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840"/>
        </w:tabs>
        <w:jc w:val="center"/>
        <w:rPr>
          <w:rFonts w:hint="eastAsia" w:ascii="宋体" w:hAnsi="宋体"/>
          <w:b/>
          <w:bCs/>
          <w:sz w:val="44"/>
          <w:szCs w:val="16"/>
          <w:highlight w:val="none"/>
        </w:rPr>
      </w:pPr>
      <w:bookmarkStart w:id="212" w:name="_GoBack"/>
      <w:bookmarkEnd w:id="212"/>
    </w:p>
    <w:p>
      <w:pPr>
        <w:tabs>
          <w:tab w:val="left" w:pos="840"/>
        </w:tabs>
        <w:jc w:val="center"/>
        <w:rPr>
          <w:rFonts w:hint="eastAsia" w:ascii="宋体" w:hAnsi="宋体"/>
          <w:b/>
          <w:bCs/>
          <w:color w:val="auto"/>
          <w:sz w:val="52"/>
          <w:highlight w:val="none"/>
        </w:rPr>
      </w:pPr>
      <w:r>
        <w:rPr>
          <w:rFonts w:hint="eastAsia" w:ascii="宋体" w:hAnsi="宋体"/>
          <w:b/>
          <w:bCs/>
          <w:color w:val="auto"/>
          <w:sz w:val="52"/>
          <w:highlight w:val="none"/>
        </w:rPr>
        <w:t>宜 兴 市 政 府 采 购</w:t>
      </w:r>
    </w:p>
    <w:p>
      <w:pPr>
        <w:jc w:val="center"/>
        <w:rPr>
          <w:rFonts w:hint="eastAsia" w:ascii="宋体" w:hAnsi="宋体"/>
          <w:b/>
          <w:bCs/>
          <w:color w:val="auto"/>
          <w:sz w:val="52"/>
          <w:highlight w:val="none"/>
        </w:rPr>
      </w:pP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磋</w:t>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商</w:t>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文</w:t>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件</w:t>
      </w:r>
    </w:p>
    <w:p>
      <w:pPr>
        <w:jc w:val="center"/>
        <w:rPr>
          <w:rFonts w:hint="eastAsia" w:ascii="宋体" w:hAnsi="宋体"/>
          <w:color w:val="auto"/>
          <w:sz w:val="32"/>
          <w:highlight w:val="none"/>
        </w:rPr>
      </w:pPr>
    </w:p>
    <w:p>
      <w:pPr>
        <w:jc w:val="center"/>
        <w:rPr>
          <w:rFonts w:hint="eastAsia" w:ascii="宋体" w:hAnsi="宋体"/>
          <w:color w:val="auto"/>
          <w:sz w:val="32"/>
          <w:highlight w:val="none"/>
        </w:rPr>
      </w:pPr>
      <w:r>
        <w:rPr>
          <w:rFonts w:hint="eastAsia" w:ascii="宋体" w:hAnsi="宋体"/>
          <w:color w:val="auto"/>
          <w:sz w:val="32"/>
          <w:highlight w:val="none"/>
        </w:rPr>
        <w:t>（电子标）</w:t>
      </w:r>
    </w:p>
    <w:p>
      <w:pPr>
        <w:jc w:val="center"/>
        <w:rPr>
          <w:rFonts w:hint="eastAsia" w:ascii="宋体" w:hAnsi="宋体"/>
          <w:color w:val="auto"/>
          <w:sz w:val="32"/>
          <w:highlight w:val="none"/>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color w:val="auto"/>
          <w:sz w:val="32"/>
          <w:highlight w:val="none"/>
        </w:rPr>
      </w:pPr>
      <w:r>
        <w:rPr>
          <w:rFonts w:hint="eastAsia" w:ascii="宋体" w:hAnsi="宋体"/>
          <w:color w:val="auto"/>
          <w:sz w:val="32"/>
          <w:highlight w:val="none"/>
        </w:rPr>
        <w:t>项目编号</w:t>
      </w:r>
      <w:r>
        <w:rPr>
          <w:rFonts w:hint="eastAsia" w:ascii="宋体" w:hAnsi="宋体"/>
          <w:color w:val="auto"/>
          <w:sz w:val="32"/>
          <w:highlight w:val="none"/>
          <w:lang w:eastAsia="zh-CN"/>
        </w:rPr>
        <w:t>:JSZC-320282-JSXY-C2025-0012</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宋体" w:hAnsi="宋体"/>
          <w:color w:val="auto"/>
          <w:sz w:val="32"/>
          <w:highlight w:val="none"/>
        </w:rPr>
      </w:pPr>
      <w:r>
        <w:rPr>
          <w:rFonts w:hint="eastAsia" w:ascii="宋体" w:hAnsi="宋体"/>
          <w:color w:val="auto"/>
          <w:sz w:val="32"/>
          <w:highlight w:val="none"/>
        </w:rPr>
        <w:t>项目名称：</w:t>
      </w:r>
      <w:r>
        <w:rPr>
          <w:rFonts w:hint="eastAsia" w:ascii="宋体" w:hAnsi="宋体"/>
          <w:color w:val="auto"/>
          <w:sz w:val="32"/>
          <w:highlight w:val="none"/>
          <w:lang w:eastAsia="zh-CN"/>
        </w:rPr>
        <w:t>宜兴法院2026年度食堂管理服务</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宋体" w:hAnsi="宋体"/>
          <w:color w:val="auto"/>
          <w:sz w:val="32"/>
          <w:highlight w:val="none"/>
          <w:lang w:eastAsia="zh-CN"/>
        </w:rPr>
      </w:pPr>
      <w:r>
        <w:rPr>
          <w:rFonts w:hint="eastAsia" w:ascii="宋体" w:hAnsi="宋体"/>
          <w:color w:val="auto"/>
          <w:sz w:val="32"/>
          <w:highlight w:val="none"/>
        </w:rPr>
        <w:t>采购人：</w:t>
      </w:r>
      <w:r>
        <w:rPr>
          <w:rFonts w:hint="eastAsia" w:ascii="宋体" w:hAnsi="宋体"/>
          <w:color w:val="auto"/>
          <w:sz w:val="32"/>
          <w:highlight w:val="none"/>
          <w:lang w:eastAsia="zh-CN"/>
        </w:rPr>
        <w:t>宜兴市人民法院</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olor w:val="auto"/>
          <w:sz w:val="32"/>
          <w:highlight w:val="none"/>
          <w:lang w:eastAsia="zh-CN"/>
        </w:rPr>
      </w:pPr>
      <w:r>
        <w:rPr>
          <w:rFonts w:hint="eastAsia" w:ascii="宋体" w:hAnsi="宋体"/>
          <w:color w:val="auto"/>
          <w:sz w:val="32"/>
          <w:highlight w:val="none"/>
          <w:lang w:eastAsia="zh-CN"/>
        </w:rPr>
        <w:t>采购代理机构</w:t>
      </w:r>
      <w:r>
        <w:rPr>
          <w:rFonts w:hint="eastAsia" w:ascii="宋体" w:hAnsi="宋体"/>
          <w:color w:val="auto"/>
          <w:sz w:val="32"/>
          <w:highlight w:val="none"/>
        </w:rPr>
        <w:t>：</w:t>
      </w:r>
      <w:r>
        <w:rPr>
          <w:rFonts w:hint="eastAsia" w:ascii="宋体" w:hAnsi="宋体"/>
          <w:color w:val="auto"/>
          <w:sz w:val="32"/>
          <w:highlight w:val="none"/>
          <w:lang w:eastAsia="zh-CN"/>
        </w:rPr>
        <w:t>国正工程咨询（江苏）有限责任公司</w:t>
      </w:r>
    </w:p>
    <w:p>
      <w:pPr>
        <w:jc w:val="center"/>
        <w:rPr>
          <w:rFonts w:hint="eastAsia" w:ascii="宋体" w:hAnsi="宋体"/>
          <w:color w:val="auto"/>
          <w:sz w:val="32"/>
          <w:highlight w:val="none"/>
        </w:rPr>
      </w:pPr>
    </w:p>
    <w:p>
      <w:pPr>
        <w:jc w:val="center"/>
        <w:rPr>
          <w:rFonts w:hint="eastAsia" w:ascii="宋体" w:hAnsi="宋体"/>
          <w:color w:val="auto"/>
          <w:sz w:val="32"/>
          <w:highlight w:val="none"/>
        </w:rPr>
        <w:sectPr>
          <w:footerReference r:id="rId3" w:type="default"/>
          <w:pgSz w:w="11906" w:h="16838"/>
          <w:pgMar w:top="1440" w:right="1701" w:bottom="1440" w:left="1701"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r>
        <w:rPr>
          <w:rFonts w:hint="eastAsia" w:ascii="宋体" w:hAnsi="宋体"/>
          <w:color w:val="auto"/>
          <w:sz w:val="32"/>
          <w:highlight w:val="none"/>
        </w:rPr>
        <w:t>二〇二</w:t>
      </w:r>
      <w:r>
        <w:rPr>
          <w:rFonts w:hint="eastAsia" w:ascii="宋体" w:hAnsi="宋体"/>
          <w:color w:val="auto"/>
          <w:sz w:val="32"/>
          <w:highlight w:val="none"/>
          <w:lang w:val="en-US" w:eastAsia="zh-CN"/>
        </w:rPr>
        <w:t>五</w:t>
      </w:r>
      <w:r>
        <w:rPr>
          <w:rFonts w:hint="eastAsia" w:ascii="宋体" w:hAnsi="宋体"/>
          <w:color w:val="auto"/>
          <w:sz w:val="32"/>
          <w:highlight w:val="none"/>
        </w:rPr>
        <w:t>年</w:t>
      </w:r>
      <w:r>
        <w:rPr>
          <w:rFonts w:hint="eastAsia" w:ascii="宋体" w:hAnsi="宋体"/>
          <w:color w:val="auto"/>
          <w:sz w:val="32"/>
          <w:highlight w:val="none"/>
          <w:lang w:val="en-US" w:eastAsia="zh-CN"/>
        </w:rPr>
        <w:t>十二</w:t>
      </w:r>
      <w:r>
        <w:rPr>
          <w:rFonts w:hint="eastAsia" w:ascii="宋体" w:hAnsi="宋体"/>
          <w:color w:val="auto"/>
          <w:sz w:val="32"/>
          <w:highlight w:val="none"/>
        </w:rPr>
        <w:t>月</w:t>
      </w:r>
    </w:p>
    <w:p>
      <w:pPr>
        <w:jc w:val="center"/>
        <w:rPr>
          <w:rStyle w:val="9"/>
          <w:rFonts w:eastAsia="黑体"/>
          <w:bCs/>
          <w:color w:val="auto"/>
          <w:sz w:val="48"/>
          <w:highlight w:val="none"/>
        </w:rPr>
      </w:pPr>
      <w:r>
        <w:rPr>
          <w:rStyle w:val="9"/>
          <w:rFonts w:hint="eastAsia" w:eastAsia="黑体"/>
          <w:bCs/>
          <w:color w:val="auto"/>
          <w:sz w:val="48"/>
          <w:highlight w:val="none"/>
        </w:rPr>
        <w:t>目   录</w:t>
      </w:r>
    </w:p>
    <w:p>
      <w:pPr>
        <w:jc w:val="center"/>
        <w:rPr>
          <w:rFonts w:ascii="黑体" w:eastAsia="黑体"/>
          <w:bCs/>
          <w:color w:val="auto"/>
          <w:sz w:val="30"/>
          <w:highlight w:val="none"/>
        </w:rPr>
      </w:pPr>
    </w:p>
    <w:p>
      <w:pPr>
        <w:jc w:val="center"/>
        <w:rPr>
          <w:rFonts w:ascii="黑体" w:eastAsia="黑体"/>
          <w:bCs/>
          <w:color w:val="auto"/>
          <w:sz w:val="30"/>
          <w:highlight w:val="none"/>
        </w:rPr>
      </w:pP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8"/>
          <w:szCs w:val="24"/>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_Toc23348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第一章 报价邀请函</w:t>
      </w:r>
      <w:r>
        <w:rPr>
          <w:color w:val="auto"/>
          <w:sz w:val="28"/>
          <w:szCs w:val="24"/>
        </w:rPr>
        <w:tab/>
      </w:r>
      <w:r>
        <w:rPr>
          <w:color w:val="auto"/>
          <w:sz w:val="28"/>
          <w:szCs w:val="24"/>
        </w:rPr>
        <w:fldChar w:fldCharType="begin"/>
      </w:r>
      <w:r>
        <w:rPr>
          <w:color w:val="auto"/>
          <w:sz w:val="28"/>
          <w:szCs w:val="24"/>
        </w:rPr>
        <w:instrText xml:space="preserve"> PAGEREF _Toc23348 \h </w:instrText>
      </w:r>
      <w:r>
        <w:rPr>
          <w:color w:val="auto"/>
          <w:sz w:val="28"/>
          <w:szCs w:val="24"/>
        </w:rPr>
        <w:fldChar w:fldCharType="separate"/>
      </w:r>
      <w:r>
        <w:rPr>
          <w:color w:val="auto"/>
          <w:sz w:val="28"/>
          <w:szCs w:val="24"/>
        </w:rPr>
        <w:t>- 1 -</w:t>
      </w:r>
      <w:r>
        <w:rPr>
          <w:color w:val="auto"/>
          <w:sz w:val="28"/>
          <w:szCs w:val="24"/>
        </w:rPr>
        <w:fldChar w:fldCharType="end"/>
      </w:r>
      <w:r>
        <w:rPr>
          <w:rFonts w:hint="eastAsia" w:ascii="黑体" w:hAnsi="黑体" w:eastAsia="黑体" w:cs="黑体"/>
          <w:color w:val="auto"/>
          <w:sz w:val="28"/>
          <w:szCs w:val="44"/>
          <w:highlight w:val="none"/>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_Toc17720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第二章 供应商须知</w:t>
      </w:r>
      <w:r>
        <w:rPr>
          <w:color w:val="auto"/>
          <w:sz w:val="28"/>
          <w:szCs w:val="24"/>
        </w:rPr>
        <w:tab/>
      </w:r>
      <w:r>
        <w:rPr>
          <w:color w:val="auto"/>
          <w:sz w:val="28"/>
          <w:szCs w:val="24"/>
        </w:rPr>
        <w:fldChar w:fldCharType="begin"/>
      </w:r>
      <w:r>
        <w:rPr>
          <w:color w:val="auto"/>
          <w:sz w:val="28"/>
          <w:szCs w:val="24"/>
        </w:rPr>
        <w:instrText xml:space="preserve"> PAGEREF _Toc17720 \h </w:instrText>
      </w:r>
      <w:r>
        <w:rPr>
          <w:color w:val="auto"/>
          <w:sz w:val="28"/>
          <w:szCs w:val="24"/>
        </w:rPr>
        <w:fldChar w:fldCharType="separate"/>
      </w:r>
      <w:r>
        <w:rPr>
          <w:color w:val="auto"/>
          <w:sz w:val="28"/>
          <w:szCs w:val="24"/>
        </w:rPr>
        <w:t>- 3 -</w:t>
      </w:r>
      <w:r>
        <w:rPr>
          <w:color w:val="auto"/>
          <w:sz w:val="28"/>
          <w:szCs w:val="24"/>
        </w:rPr>
        <w:fldChar w:fldCharType="end"/>
      </w:r>
      <w:r>
        <w:rPr>
          <w:rFonts w:hint="eastAsia" w:ascii="黑体" w:hAnsi="黑体" w:eastAsia="黑体" w:cs="黑体"/>
          <w:color w:val="auto"/>
          <w:sz w:val="28"/>
          <w:szCs w:val="44"/>
          <w:highlight w:val="none"/>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_Toc10803 </w:instrText>
      </w:r>
      <w:r>
        <w:rPr>
          <w:rFonts w:hint="eastAsia" w:ascii="黑体" w:hAnsi="黑体" w:eastAsia="黑体" w:cs="黑体"/>
          <w:color w:val="auto"/>
          <w:sz w:val="28"/>
          <w:szCs w:val="44"/>
          <w:highlight w:val="none"/>
        </w:rPr>
        <w:fldChar w:fldCharType="separate"/>
      </w:r>
      <w:r>
        <w:rPr>
          <w:rFonts w:hint="eastAsia" w:ascii="黑体" w:hAnsi="黑体" w:eastAsia="黑体" w:cs="Times New Roman"/>
          <w:color w:val="auto"/>
          <w:sz w:val="28"/>
          <w:szCs w:val="24"/>
          <w:highlight w:val="none"/>
        </w:rPr>
        <w:t>第三章 项目技术要求和有关说明</w:t>
      </w:r>
      <w:r>
        <w:rPr>
          <w:color w:val="auto"/>
          <w:sz w:val="28"/>
          <w:szCs w:val="24"/>
        </w:rPr>
        <w:tab/>
      </w:r>
      <w:r>
        <w:rPr>
          <w:color w:val="auto"/>
          <w:sz w:val="28"/>
          <w:szCs w:val="24"/>
        </w:rPr>
        <w:fldChar w:fldCharType="begin"/>
      </w:r>
      <w:r>
        <w:rPr>
          <w:color w:val="auto"/>
          <w:sz w:val="28"/>
          <w:szCs w:val="24"/>
        </w:rPr>
        <w:instrText xml:space="preserve"> PAGEREF _Toc10803 \h </w:instrText>
      </w:r>
      <w:r>
        <w:rPr>
          <w:color w:val="auto"/>
          <w:sz w:val="28"/>
          <w:szCs w:val="24"/>
        </w:rPr>
        <w:fldChar w:fldCharType="separate"/>
      </w:r>
      <w:r>
        <w:rPr>
          <w:color w:val="auto"/>
          <w:sz w:val="28"/>
          <w:szCs w:val="24"/>
        </w:rPr>
        <w:t>- 17 -</w:t>
      </w:r>
      <w:r>
        <w:rPr>
          <w:color w:val="auto"/>
          <w:sz w:val="28"/>
          <w:szCs w:val="24"/>
        </w:rPr>
        <w:fldChar w:fldCharType="end"/>
      </w:r>
      <w:r>
        <w:rPr>
          <w:rFonts w:hint="eastAsia" w:ascii="黑体" w:hAnsi="黑体" w:eastAsia="黑体" w:cs="黑体"/>
          <w:color w:val="auto"/>
          <w:sz w:val="28"/>
          <w:szCs w:val="44"/>
          <w:highlight w:val="none"/>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_Toc16158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 xml:space="preserve">第四章 </w:t>
      </w:r>
      <w:r>
        <w:rPr>
          <w:rFonts w:hint="eastAsia" w:ascii="黑体" w:hAnsi="黑体" w:eastAsia="黑体"/>
          <w:bCs/>
          <w:color w:val="auto"/>
          <w:sz w:val="28"/>
          <w:szCs w:val="24"/>
          <w:highlight w:val="none"/>
        </w:rPr>
        <w:t>评审方法和标准</w:t>
      </w:r>
      <w:r>
        <w:rPr>
          <w:color w:val="auto"/>
          <w:sz w:val="28"/>
          <w:szCs w:val="24"/>
        </w:rPr>
        <w:tab/>
      </w:r>
      <w:r>
        <w:rPr>
          <w:color w:val="auto"/>
          <w:sz w:val="28"/>
          <w:szCs w:val="24"/>
        </w:rPr>
        <w:fldChar w:fldCharType="begin"/>
      </w:r>
      <w:r>
        <w:rPr>
          <w:color w:val="auto"/>
          <w:sz w:val="28"/>
          <w:szCs w:val="24"/>
        </w:rPr>
        <w:instrText xml:space="preserve"> PAGEREF _Toc16158 \h </w:instrText>
      </w:r>
      <w:r>
        <w:rPr>
          <w:color w:val="auto"/>
          <w:sz w:val="28"/>
          <w:szCs w:val="24"/>
        </w:rPr>
        <w:fldChar w:fldCharType="separate"/>
      </w:r>
      <w:r>
        <w:rPr>
          <w:color w:val="auto"/>
          <w:sz w:val="28"/>
          <w:szCs w:val="24"/>
        </w:rPr>
        <w:t>- 20 -</w:t>
      </w:r>
      <w:r>
        <w:rPr>
          <w:color w:val="auto"/>
          <w:sz w:val="28"/>
          <w:szCs w:val="24"/>
        </w:rPr>
        <w:fldChar w:fldCharType="end"/>
      </w:r>
      <w:r>
        <w:rPr>
          <w:rFonts w:hint="eastAsia" w:ascii="黑体" w:hAnsi="黑体" w:eastAsia="黑体" w:cs="黑体"/>
          <w:color w:val="auto"/>
          <w:sz w:val="28"/>
          <w:szCs w:val="44"/>
          <w:highlight w:val="none"/>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sz w:val="28"/>
          <w:szCs w:val="24"/>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_Toc28152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第五章 政府采购合同（格式）</w:t>
      </w:r>
      <w:r>
        <w:rPr>
          <w:color w:val="auto"/>
          <w:sz w:val="28"/>
          <w:szCs w:val="24"/>
        </w:rPr>
        <w:tab/>
      </w:r>
      <w:r>
        <w:rPr>
          <w:color w:val="auto"/>
          <w:sz w:val="28"/>
          <w:szCs w:val="24"/>
        </w:rPr>
        <w:fldChar w:fldCharType="begin"/>
      </w:r>
      <w:r>
        <w:rPr>
          <w:color w:val="auto"/>
          <w:sz w:val="28"/>
          <w:szCs w:val="24"/>
        </w:rPr>
        <w:instrText xml:space="preserve"> PAGEREF _Toc28152 \h </w:instrText>
      </w:r>
      <w:r>
        <w:rPr>
          <w:color w:val="auto"/>
          <w:sz w:val="28"/>
          <w:szCs w:val="24"/>
        </w:rPr>
        <w:fldChar w:fldCharType="separate"/>
      </w:r>
      <w:r>
        <w:rPr>
          <w:color w:val="auto"/>
          <w:sz w:val="28"/>
          <w:szCs w:val="24"/>
        </w:rPr>
        <w:t>- 25 -</w:t>
      </w:r>
      <w:r>
        <w:rPr>
          <w:color w:val="auto"/>
          <w:sz w:val="28"/>
          <w:szCs w:val="24"/>
        </w:rPr>
        <w:fldChar w:fldCharType="end"/>
      </w:r>
      <w:r>
        <w:rPr>
          <w:rFonts w:hint="eastAsia" w:ascii="黑体" w:hAnsi="黑体" w:eastAsia="黑体" w:cs="黑体"/>
          <w:color w:val="auto"/>
          <w:sz w:val="28"/>
          <w:szCs w:val="44"/>
          <w:highlight w:val="none"/>
        </w:rPr>
        <w:fldChar w:fldCharType="end"/>
      </w:r>
    </w:p>
    <w:p>
      <w:pPr>
        <w:pStyle w:val="5"/>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color w:val="auto"/>
        </w:rPr>
      </w:pPr>
      <w:r>
        <w:rPr>
          <w:rFonts w:hint="eastAsia" w:ascii="黑体" w:hAnsi="黑体" w:eastAsia="黑体" w:cs="黑体"/>
          <w:color w:val="auto"/>
          <w:sz w:val="28"/>
          <w:szCs w:val="44"/>
          <w:highlight w:val="none"/>
        </w:rPr>
        <w:fldChar w:fldCharType="begin"/>
      </w:r>
      <w:r>
        <w:rPr>
          <w:rFonts w:hint="eastAsia" w:ascii="黑体" w:hAnsi="黑体" w:eastAsia="黑体" w:cs="黑体"/>
          <w:color w:val="auto"/>
          <w:sz w:val="28"/>
          <w:szCs w:val="44"/>
          <w:highlight w:val="none"/>
        </w:rPr>
        <w:instrText xml:space="preserve"> HYPERLINK \l _Toc11529 </w:instrText>
      </w:r>
      <w:r>
        <w:rPr>
          <w:rFonts w:hint="eastAsia" w:ascii="黑体" w:hAnsi="黑体" w:eastAsia="黑体" w:cs="黑体"/>
          <w:color w:val="auto"/>
          <w:sz w:val="28"/>
          <w:szCs w:val="44"/>
          <w:highlight w:val="none"/>
        </w:rPr>
        <w:fldChar w:fldCharType="separate"/>
      </w:r>
      <w:r>
        <w:rPr>
          <w:rFonts w:hint="eastAsia" w:ascii="黑体" w:hAnsi="黑体" w:eastAsia="黑体"/>
          <w:color w:val="auto"/>
          <w:sz w:val="28"/>
          <w:szCs w:val="24"/>
          <w:highlight w:val="none"/>
        </w:rPr>
        <w:t>第六章 响应文件内容与格式</w:t>
      </w:r>
      <w:r>
        <w:rPr>
          <w:color w:val="auto"/>
          <w:sz w:val="28"/>
          <w:szCs w:val="24"/>
        </w:rPr>
        <w:tab/>
      </w:r>
      <w:r>
        <w:rPr>
          <w:color w:val="auto"/>
          <w:sz w:val="28"/>
          <w:szCs w:val="24"/>
        </w:rPr>
        <w:fldChar w:fldCharType="begin"/>
      </w:r>
      <w:r>
        <w:rPr>
          <w:color w:val="auto"/>
          <w:sz w:val="28"/>
          <w:szCs w:val="24"/>
        </w:rPr>
        <w:instrText xml:space="preserve"> PAGEREF _Toc11529 \h </w:instrText>
      </w:r>
      <w:r>
        <w:rPr>
          <w:color w:val="auto"/>
          <w:sz w:val="28"/>
          <w:szCs w:val="24"/>
        </w:rPr>
        <w:fldChar w:fldCharType="separate"/>
      </w:r>
      <w:r>
        <w:rPr>
          <w:color w:val="auto"/>
          <w:sz w:val="28"/>
          <w:szCs w:val="24"/>
        </w:rPr>
        <w:t>- 34 -</w:t>
      </w:r>
      <w:r>
        <w:rPr>
          <w:color w:val="auto"/>
          <w:sz w:val="28"/>
          <w:szCs w:val="24"/>
        </w:rPr>
        <w:fldChar w:fldCharType="end"/>
      </w:r>
      <w:r>
        <w:rPr>
          <w:rFonts w:hint="eastAsia" w:ascii="黑体" w:hAnsi="黑体" w:eastAsia="黑体" w:cs="黑体"/>
          <w:color w:val="auto"/>
          <w:sz w:val="28"/>
          <w:szCs w:val="44"/>
          <w:highlight w:val="none"/>
        </w:rPr>
        <w:fldChar w:fldCharType="end"/>
      </w:r>
    </w:p>
    <w:p>
      <w:pPr>
        <w:rPr>
          <w:rFonts w:hint="eastAsia" w:ascii="黑体" w:hAnsi="黑体" w:eastAsia="黑体"/>
          <w:color w:val="auto"/>
          <w:sz w:val="28"/>
          <w:highlight w:val="none"/>
        </w:rPr>
      </w:pPr>
      <w:r>
        <w:rPr>
          <w:rFonts w:hint="eastAsia" w:ascii="黑体" w:hAnsi="黑体" w:eastAsia="黑体" w:cs="黑体"/>
          <w:color w:val="auto"/>
          <w:szCs w:val="32"/>
          <w:highlight w:val="none"/>
        </w:rPr>
        <w:fldChar w:fldCharType="end"/>
      </w:r>
      <w:bookmarkStart w:id="0" w:name="_Toc30211"/>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jc w:val="center"/>
        <w:outlineLvl w:val="0"/>
        <w:rPr>
          <w:rFonts w:hint="eastAsia" w:ascii="黑体" w:hAnsi="黑体" w:eastAsia="黑体"/>
          <w:color w:val="auto"/>
          <w:sz w:val="28"/>
          <w:highlight w:val="none"/>
        </w:rPr>
      </w:pPr>
    </w:p>
    <w:p>
      <w:pPr>
        <w:outlineLvl w:val="0"/>
        <w:rPr>
          <w:rFonts w:hint="eastAsia" w:ascii="黑体" w:hAnsi="黑体" w:eastAsia="黑体"/>
          <w:color w:val="auto"/>
          <w:sz w:val="28"/>
          <w:highlight w:val="none"/>
        </w:rPr>
      </w:pPr>
    </w:p>
    <w:p>
      <w:pPr>
        <w:adjustRightInd w:val="0"/>
        <w:snapToGrid w:val="0"/>
        <w:ind w:firstLine="560" w:firstLineChars="200"/>
        <w:jc w:val="left"/>
        <w:outlineLvl w:val="0"/>
        <w:rPr>
          <w:rFonts w:hint="eastAsia" w:ascii="黑体" w:hAnsi="黑体" w:eastAsia="黑体"/>
          <w:color w:val="auto"/>
          <w:sz w:val="28"/>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p>
    <w:p>
      <w:pPr>
        <w:jc w:val="center"/>
        <w:outlineLvl w:val="0"/>
        <w:rPr>
          <w:rFonts w:hint="eastAsia" w:ascii="黑体" w:hAnsi="黑体" w:eastAsia="黑体"/>
          <w:color w:val="auto"/>
          <w:sz w:val="28"/>
          <w:highlight w:val="none"/>
        </w:rPr>
      </w:pPr>
      <w:bookmarkStart w:id="1" w:name="_Toc23348"/>
      <w:r>
        <w:rPr>
          <w:rFonts w:hint="eastAsia" w:ascii="黑体" w:hAnsi="黑体" w:eastAsia="黑体"/>
          <w:color w:val="auto"/>
          <w:sz w:val="28"/>
          <w:highlight w:val="none"/>
        </w:rPr>
        <w:t>第一章 报价邀请函</w:t>
      </w:r>
      <w:bookmarkEnd w:id="0"/>
      <w:bookmarkEnd w:id="1"/>
    </w:p>
    <w:p>
      <w:pPr>
        <w:spacing w:line="360" w:lineRule="auto"/>
        <w:ind w:firstLine="480" w:firstLineChars="200"/>
        <w:rPr>
          <w:rFonts w:hint="eastAsia" w:ascii="宋体" w:hAnsi="宋体"/>
          <w:bCs/>
          <w:color w:val="auto"/>
          <w:sz w:val="24"/>
          <w:szCs w:val="24"/>
          <w:highlight w:val="none"/>
        </w:rPr>
      </w:pPr>
      <w:r>
        <w:rPr>
          <w:rFonts w:hint="eastAsia" w:ascii="宋体" w:hAnsi="宋体"/>
          <w:color w:val="auto"/>
          <w:sz w:val="24"/>
          <w:szCs w:val="28"/>
          <w:highlight w:val="none"/>
          <w:lang w:eastAsia="zh-CN"/>
        </w:rPr>
        <w:t>本项目磋商公告已在江苏政府采购网发布，现对本项目进行竞争性磋商采购，欢迎符合相关条件的供应商参与报价并提请遵守下表中的相关事项</w:t>
      </w:r>
      <w:r>
        <w:rPr>
          <w:rFonts w:hint="eastAsia" w:ascii="宋体" w:hAnsi="宋体"/>
          <w:bCs/>
          <w:color w:val="auto"/>
          <w:sz w:val="24"/>
          <w:szCs w:val="24"/>
          <w:highlight w:val="none"/>
        </w:rPr>
        <w:t>：</w:t>
      </w:r>
    </w:p>
    <w:tbl>
      <w:tblPr>
        <w:tblStyle w:val="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6" w:type="dxa"/>
          <w:left w:w="108" w:type="dxa"/>
          <w:bottom w:w="113" w:type="dxa"/>
          <w:right w:w="108" w:type="dxa"/>
        </w:tblCellMar>
      </w:tblPr>
      <w:tblGrid>
        <w:gridCol w:w="862"/>
        <w:gridCol w:w="1006"/>
        <w:gridCol w:w="1974"/>
        <w:gridCol w:w="5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454" w:hRule="atLeast"/>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
                <w:bCs w:val="0"/>
                <w:color w:val="auto"/>
                <w:sz w:val="24"/>
                <w:szCs w:val="24"/>
                <w:highlight w:val="none"/>
              </w:rPr>
            </w:pPr>
            <w:r>
              <w:rPr>
                <w:rFonts w:hint="eastAsia" w:ascii="宋体" w:hAnsi="宋体"/>
                <w:b/>
                <w:bCs w:val="0"/>
                <w:color w:val="auto"/>
                <w:sz w:val="24"/>
                <w:szCs w:val="24"/>
                <w:highlight w:val="none"/>
              </w:rPr>
              <w:t>序号</w:t>
            </w:r>
          </w:p>
        </w:tc>
        <w:tc>
          <w:tcPr>
            <w:tcW w:w="1006"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
                <w:bCs w:val="0"/>
                <w:color w:val="auto"/>
                <w:sz w:val="24"/>
                <w:szCs w:val="24"/>
                <w:highlight w:val="none"/>
              </w:rPr>
            </w:pPr>
            <w:r>
              <w:rPr>
                <w:rFonts w:hint="eastAsia" w:ascii="宋体" w:hAnsi="宋体"/>
                <w:b/>
                <w:bCs w:val="0"/>
                <w:color w:val="auto"/>
                <w:sz w:val="24"/>
                <w:szCs w:val="24"/>
                <w:highlight w:val="none"/>
              </w:rPr>
              <w:t>事项</w:t>
            </w:r>
          </w:p>
        </w:tc>
        <w:tc>
          <w:tcPr>
            <w:tcW w:w="781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
                <w:bCs w:val="0"/>
                <w:color w:val="auto"/>
                <w:sz w:val="24"/>
                <w:szCs w:val="24"/>
                <w:highlight w:val="none"/>
              </w:rPr>
            </w:pPr>
            <w:r>
              <w:rPr>
                <w:rFonts w:hint="eastAsia" w:ascii="宋体" w:hAnsi="宋体"/>
                <w:b/>
                <w:bCs w:val="0"/>
                <w:color w:val="auto"/>
                <w:sz w:val="24"/>
                <w:szCs w:val="24"/>
                <w:highlight w:val="none"/>
              </w:rPr>
              <w:t>内</w:t>
            </w:r>
            <w:r>
              <w:rPr>
                <w:rFonts w:ascii="宋体" w:hAnsi="宋体"/>
                <w:b/>
                <w:bCs w:val="0"/>
                <w:color w:val="auto"/>
                <w:sz w:val="24"/>
                <w:szCs w:val="24"/>
                <w:highlight w:val="none"/>
              </w:rPr>
              <w:t xml:space="preserve">    </w:t>
            </w:r>
            <w:r>
              <w:rPr>
                <w:rFonts w:hint="eastAsia" w:ascii="宋体" w:hAnsi="宋体"/>
                <w:b/>
                <w:bCs w:val="0"/>
                <w:color w:val="auto"/>
                <w:sz w:val="24"/>
                <w:szCs w:val="24"/>
                <w:highlight w:val="none"/>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3707" w:hRule="atLeast"/>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Cs/>
                <w:color w:val="auto"/>
                <w:sz w:val="24"/>
                <w:szCs w:val="24"/>
                <w:highlight w:val="none"/>
              </w:rPr>
            </w:pPr>
            <w:r>
              <w:rPr>
                <w:rFonts w:ascii="宋体" w:hAnsi="宋体"/>
                <w:bCs/>
                <w:color w:val="auto"/>
                <w:sz w:val="24"/>
                <w:szCs w:val="24"/>
                <w:highlight w:val="none"/>
              </w:rPr>
              <w:t>1</w:t>
            </w:r>
          </w:p>
        </w:tc>
        <w:tc>
          <w:tcPr>
            <w:tcW w:w="1006" w:type="dxa"/>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项目</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sz w:val="24"/>
                <w:szCs w:val="24"/>
                <w:highlight w:val="none"/>
              </w:rPr>
            </w:pPr>
            <w:r>
              <w:rPr>
                <w:rFonts w:hint="eastAsia"/>
                <w:b/>
                <w:bCs/>
                <w:color w:val="auto"/>
                <w:highlight w:val="none"/>
                <w:lang w:val="zh-CN"/>
              </w:rPr>
              <w:t>信息</w:t>
            </w:r>
          </w:p>
        </w:tc>
        <w:tc>
          <w:tcPr>
            <w:tcW w:w="781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1.项目名称：</w:t>
            </w:r>
            <w:r>
              <w:rPr>
                <w:rFonts w:hint="eastAsia" w:ascii="宋体" w:hAnsi="宋体"/>
                <w:bCs/>
                <w:color w:val="auto"/>
                <w:sz w:val="24"/>
                <w:szCs w:val="24"/>
                <w:highlight w:val="none"/>
                <w:lang w:eastAsia="zh-CN"/>
              </w:rPr>
              <w:t>宜兴法院2026年度食堂管理服务</w:t>
            </w:r>
            <w:r>
              <w:rPr>
                <w:rFonts w:hint="eastAsia" w:ascii="宋体" w:hAnsi="宋体"/>
                <w:bCs/>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2.项目编号: </w:t>
            </w:r>
            <w:r>
              <w:rPr>
                <w:rFonts w:hint="eastAsia" w:ascii="宋体" w:hAnsi="宋体"/>
                <w:bCs/>
                <w:color w:val="auto"/>
                <w:sz w:val="24"/>
                <w:szCs w:val="24"/>
                <w:highlight w:val="none"/>
                <w:lang w:eastAsia="zh-CN"/>
              </w:rPr>
              <w:t>JSZC-320282-JSXY-C2025-0012</w:t>
            </w:r>
            <w:r>
              <w:rPr>
                <w:rFonts w:hint="eastAsia" w:ascii="宋体" w:hAnsi="宋体"/>
                <w:bCs/>
                <w:color w:val="auto"/>
                <w:sz w:val="24"/>
                <w:szCs w:val="24"/>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3.采购方式：竞争性磋商</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4.评审方法：综合评分法</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5.预算金额：62万元</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6.最高限价：同预算金额</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7.项目类型：服务类</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8.本项目不接受联合体，不接受分包</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9.集中考察或答疑：无。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2386" w:hRule="atLeast"/>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Cs/>
                <w:color w:val="auto"/>
                <w:sz w:val="24"/>
                <w:szCs w:val="24"/>
                <w:highlight w:val="none"/>
              </w:rPr>
            </w:pPr>
            <w:bookmarkStart w:id="2" w:name="_Toc29543"/>
            <w:r>
              <w:rPr>
                <w:rFonts w:ascii="宋体" w:hAnsi="宋体"/>
                <w:bCs/>
                <w:color w:val="auto"/>
                <w:sz w:val="24"/>
                <w:szCs w:val="24"/>
                <w:highlight w:val="none"/>
              </w:rPr>
              <w:t>2</w:t>
            </w:r>
          </w:p>
        </w:tc>
        <w:tc>
          <w:tcPr>
            <w:tcW w:w="1006" w:type="dxa"/>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资格</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color w:val="auto"/>
                <w:highlight w:val="none"/>
                <w:lang w:val="zh-CN"/>
              </w:rPr>
            </w:pPr>
            <w:r>
              <w:rPr>
                <w:rFonts w:hint="eastAsia"/>
                <w:b/>
                <w:bCs/>
                <w:color w:val="auto"/>
                <w:highlight w:val="none"/>
                <w:lang w:val="zh-CN"/>
              </w:rPr>
              <w:t>条件</w:t>
            </w:r>
          </w:p>
        </w:tc>
        <w:tc>
          <w:tcPr>
            <w:tcW w:w="781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2.落实政府采购政策需满足的资格要求：</w:t>
            </w:r>
          </w:p>
          <w:p>
            <w:pPr>
              <w:keepNext w:val="0"/>
              <w:keepLines w:val="0"/>
              <w:pageBreakBefore w:val="0"/>
              <w:widowControl w:val="0"/>
              <w:kinsoku/>
              <w:wordWrap/>
              <w:overflowPunct/>
              <w:topLinePunct w:val="0"/>
              <w:autoSpaceDE/>
              <w:autoSpaceDN/>
              <w:bidi w:val="0"/>
              <w:adjustRightInd/>
              <w:snapToGrid/>
              <w:spacing w:line="430" w:lineRule="atLeast"/>
              <w:ind w:firstLine="240" w:firstLineChars="100"/>
              <w:textAlignment w:val="auto"/>
              <w:rPr>
                <w:rFonts w:hint="eastAsia" w:ascii="宋体" w:hAnsi="宋体" w:cs="Times New Roman"/>
                <w:bCs/>
                <w:color w:val="auto"/>
                <w:sz w:val="24"/>
                <w:szCs w:val="24"/>
                <w:highlight w:val="none"/>
                <w:lang w:val="en-US" w:eastAsia="zh-CN"/>
              </w:rPr>
            </w:pPr>
            <w:r>
              <w:rPr>
                <w:rFonts w:hint="eastAsia" w:ascii="宋体" w:hAnsi="宋体" w:cs="宋体"/>
                <w:bCs/>
                <w:color w:val="auto"/>
                <w:sz w:val="24"/>
                <w:szCs w:val="24"/>
              </w:rPr>
              <w:t>2.1中小企业政策：</w:t>
            </w:r>
            <w:r>
              <w:rPr>
                <w:rFonts w:hint="eastAsia" w:ascii="宋体" w:hAnsi="宋体"/>
                <w:b/>
                <w:bCs w:val="0"/>
                <w:color w:val="auto"/>
                <w:sz w:val="24"/>
                <w:szCs w:val="24"/>
                <w:highlight w:val="none"/>
                <w:lang w:val="en-US" w:eastAsia="zh-CN"/>
              </w:rPr>
              <w:t>本项目专门面</w:t>
            </w:r>
            <w:r>
              <w:rPr>
                <w:rFonts w:hint="eastAsia" w:ascii="宋体" w:hAnsi="宋体" w:cs="Times New Roman"/>
                <w:b/>
                <w:bCs w:val="0"/>
                <w:color w:val="auto"/>
                <w:sz w:val="24"/>
                <w:szCs w:val="24"/>
                <w:highlight w:val="none"/>
                <w:lang w:val="en-US" w:eastAsia="zh-CN"/>
              </w:rPr>
              <w:t>向中小企业采购</w:t>
            </w:r>
            <w:r>
              <w:rPr>
                <w:rFonts w:hint="eastAsia" w:ascii="宋体" w:hAnsi="宋体" w:cs="Times New Roman"/>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30" w:lineRule="atLeast"/>
              <w:ind w:firstLine="240" w:firstLineChars="1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2.2通用资格要求：在“信用中国”网站、中国政府采购网查询，无被列入失信被执行人、重大税收违法失信主体、政府采购严重失信行为记录名单。</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3.本项目的特定资格要求：</w:t>
            </w:r>
            <w:r>
              <w:rPr>
                <w:rFonts w:hint="eastAsia" w:ascii="宋体" w:hAnsi="宋体" w:cs="Times New Roman"/>
                <w:b/>
                <w:bCs w:val="0"/>
                <w:color w:val="auto"/>
                <w:sz w:val="24"/>
                <w:szCs w:val="24"/>
                <w:highlight w:val="none"/>
                <w:lang w:val="en-US" w:eastAsia="zh-CN"/>
              </w:rPr>
              <w:t>供应商具有有效期内的食品经营许可证</w:t>
            </w:r>
            <w:r>
              <w:rPr>
                <w:rFonts w:hint="eastAsia" w:ascii="宋体" w:hAnsi="宋体" w:cs="Times New Roman"/>
                <w:bCs/>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90" w:hRule="atLeast"/>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Cs/>
                <w:color w:val="auto"/>
                <w:kern w:val="2"/>
                <w:sz w:val="24"/>
                <w:szCs w:val="24"/>
                <w:highlight w:val="none"/>
                <w:lang w:val="en-US" w:eastAsia="zh-CN" w:bidi="ar-SA"/>
              </w:rPr>
            </w:pPr>
            <w:r>
              <w:rPr>
                <w:rFonts w:ascii="宋体" w:hAnsi="宋体"/>
                <w:bCs/>
                <w:color w:val="auto"/>
                <w:sz w:val="24"/>
                <w:szCs w:val="24"/>
                <w:highlight w:val="none"/>
              </w:rPr>
              <w:t>3</w:t>
            </w:r>
          </w:p>
        </w:tc>
        <w:tc>
          <w:tcPr>
            <w:tcW w:w="1006" w:type="dxa"/>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磋商</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文件</w:t>
            </w:r>
          </w:p>
        </w:tc>
        <w:tc>
          <w:tcPr>
            <w:tcW w:w="7812" w:type="dxa"/>
            <w:gridSpan w:val="2"/>
            <w:noWrap w:val="0"/>
            <w:vAlign w:val="center"/>
          </w:tcPr>
          <w:p>
            <w:pPr>
              <w:keepNext w:val="0"/>
              <w:keepLines w:val="0"/>
              <w:pageBreakBefore w:val="0"/>
              <w:widowControl w:val="0"/>
              <w:kinsoku/>
              <w:wordWrap w:val="0"/>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1.获取时间：本磋商文件有效获取期限以本项目采购公告中规定的获取磋商文件时间为准。</w:t>
            </w:r>
          </w:p>
          <w:p>
            <w:pPr>
              <w:keepNext w:val="0"/>
              <w:keepLines w:val="0"/>
              <w:pageBreakBefore w:val="0"/>
              <w:widowControl w:val="0"/>
              <w:kinsoku/>
              <w:wordWrap w:val="0"/>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获取地点：请有报价意向的供应商在磋商文件有效获取期内及时至“江苏省政府采购（苏采云）平台”（http://jszfcg.jscz.gov.cn/jszc/login）获取。在磋商文件有效获取期限内，从“江苏省政府采购（苏采云）平台”获取的磋商文件，视为依法获取的磋商文件。</w:t>
            </w:r>
          </w:p>
          <w:p>
            <w:pPr>
              <w:keepNext w:val="0"/>
              <w:keepLines w:val="0"/>
              <w:pageBreakBefore w:val="0"/>
              <w:widowControl w:val="0"/>
              <w:kinsoku/>
              <w:wordWrap w:val="0"/>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zh-CN" w:eastAsia="zh-CN"/>
              </w:rPr>
            </w:pPr>
            <w:r>
              <w:rPr>
                <w:rFonts w:hint="eastAsia" w:ascii="宋体" w:hAnsi="宋体"/>
                <w:bCs/>
                <w:color w:val="auto"/>
                <w:sz w:val="24"/>
                <w:szCs w:val="24"/>
                <w:highlight w:val="none"/>
                <w:lang w:val="en-US" w:eastAsia="zh-CN"/>
              </w:rPr>
              <w:t>3.售价：本项目磋商文件免费。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719" w:hRule="atLeast"/>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kern w:val="2"/>
                <w:sz w:val="24"/>
                <w:szCs w:val="24"/>
                <w:highlight w:val="none"/>
                <w:lang w:val="en-US" w:eastAsia="zh-CN" w:bidi="ar-SA"/>
              </w:rPr>
            </w:pPr>
            <w:r>
              <w:rPr>
                <w:rFonts w:hint="eastAsia" w:ascii="宋体" w:hAnsi="宋体"/>
                <w:bCs/>
                <w:color w:val="auto"/>
                <w:sz w:val="24"/>
                <w:szCs w:val="24"/>
                <w:highlight w:val="none"/>
              </w:rPr>
              <w:t>4</w:t>
            </w:r>
          </w:p>
        </w:tc>
        <w:tc>
          <w:tcPr>
            <w:tcW w:w="1006" w:type="dxa"/>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响应</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截止</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时间</w:t>
            </w:r>
          </w:p>
        </w:tc>
        <w:tc>
          <w:tcPr>
            <w:tcW w:w="7812" w:type="dxa"/>
            <w:gridSpan w:val="2"/>
            <w:noWrap w:val="0"/>
            <w:vAlign w:val="center"/>
          </w:tcPr>
          <w:p>
            <w:pPr>
              <w:keepNext w:val="0"/>
              <w:keepLines w:val="0"/>
              <w:pageBreakBefore w:val="0"/>
              <w:widowControl w:val="0"/>
              <w:kinsoku/>
              <w:wordWrap w:val="0"/>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提交响应文件截止时间（即响应截止时间）及报价时间：详见本项目采购公告。（采购人可以按照规定，通过更正公告修改响应截止时间，供应商的所有权利和义务以及供应商受制的截止时间均应以延长后新的截止时间为准。）</w:t>
            </w:r>
          </w:p>
          <w:p>
            <w:pPr>
              <w:keepNext w:val="0"/>
              <w:keepLines w:val="0"/>
              <w:pageBreakBefore w:val="0"/>
              <w:widowControl w:val="0"/>
              <w:kinsoku/>
              <w:wordWrap w:val="0"/>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2.报价地点：“江苏省政府采购（苏采云）平台”网上开标大厅。</w:t>
            </w:r>
          </w:p>
          <w:p>
            <w:pPr>
              <w:keepNext w:val="0"/>
              <w:keepLines w:val="0"/>
              <w:pageBreakBefore w:val="0"/>
              <w:widowControl w:val="0"/>
              <w:kinsoku/>
              <w:wordWrap w:val="0"/>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3.确定成交供应商时间：评审结束后，详见成交结果公告。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702" w:hRule="atLeast"/>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kern w:val="2"/>
                <w:sz w:val="24"/>
                <w:szCs w:val="24"/>
                <w:highlight w:val="none"/>
                <w:lang w:val="en-US" w:eastAsia="zh-CN" w:bidi="ar-SA"/>
              </w:rPr>
            </w:pPr>
            <w:r>
              <w:rPr>
                <w:rFonts w:hint="eastAsia" w:ascii="宋体" w:hAnsi="宋体"/>
                <w:bCs/>
                <w:color w:val="auto"/>
                <w:sz w:val="24"/>
                <w:szCs w:val="24"/>
                <w:highlight w:val="none"/>
              </w:rPr>
              <w:t>5</w:t>
            </w:r>
          </w:p>
        </w:tc>
        <w:tc>
          <w:tcPr>
            <w:tcW w:w="1006" w:type="dxa"/>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磋商</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保证金</w:t>
            </w:r>
          </w:p>
        </w:tc>
        <w:tc>
          <w:tcPr>
            <w:tcW w:w="781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zh-CN" w:eastAsia="zh-CN"/>
              </w:rPr>
            </w:pPr>
            <w:r>
              <w:rPr>
                <w:rFonts w:hint="eastAsia" w:ascii="宋体" w:hAnsi="宋体" w:eastAsia="宋体" w:cs="Times New Roman"/>
                <w:bCs/>
                <w:color w:val="auto"/>
                <w:sz w:val="24"/>
                <w:szCs w:val="24"/>
                <w:highlight w:val="none"/>
                <w:lang w:val="en-US" w:eastAsia="zh-CN"/>
              </w:rPr>
              <w:t>本项目免收磋商保证金。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sz w:val="24"/>
                <w:szCs w:val="24"/>
                <w:highlight w:val="none"/>
              </w:rPr>
            </w:pPr>
            <w:bookmarkStart w:id="3" w:name="OLE_LINK61" w:colFirst="1" w:colLast="3"/>
            <w:r>
              <w:rPr>
                <w:rFonts w:hint="eastAsia" w:ascii="宋体" w:hAnsi="宋体"/>
                <w:bCs/>
                <w:color w:val="auto"/>
                <w:sz w:val="24"/>
                <w:szCs w:val="24"/>
                <w:highlight w:val="none"/>
              </w:rPr>
              <w:t>6</w:t>
            </w:r>
          </w:p>
        </w:tc>
        <w:tc>
          <w:tcPr>
            <w:tcW w:w="1006" w:type="dxa"/>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其他</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要求</w:t>
            </w:r>
          </w:p>
        </w:tc>
        <w:tc>
          <w:tcPr>
            <w:tcW w:w="7812"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1.单位负责人为同一人或者存在直接控股、管理关系的不同供应商，不得参加同一合同项下的政府采购活动，否则均以报价无效处理。</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2.为本采购项目提供整体设计、规范编制或者项目管理、监理、检测等服务的供应商，不得再参加本采购项目的采购活动。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jc w:val="center"/>
        </w:trPr>
        <w:tc>
          <w:tcPr>
            <w:tcW w:w="862"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7</w:t>
            </w:r>
          </w:p>
        </w:tc>
        <w:tc>
          <w:tcPr>
            <w:tcW w:w="1006" w:type="dxa"/>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rPr>
              <w:t>不见面开标</w:t>
            </w:r>
          </w:p>
        </w:tc>
        <w:tc>
          <w:tcPr>
            <w:tcW w:w="7812" w:type="dxa"/>
            <w:gridSpan w:val="2"/>
            <w:noWrap w:val="0"/>
            <w:vAlign w:val="top"/>
          </w:tcPr>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1.本项目采用远程不见面交易模式，登录“苏采云”不见面交易系统，通过相应硬件设备（摄像头、话筒、麦克风等）完成远程解密、开标唱标、异议及回复等交互环节。交互过程中因供应商自身软硬件配备不齐全、发生故障、CA锁无法正常使用等问题而导致出现不稳定、中断、失效、超时等情况，其后果由供应商自行承担。</w:t>
            </w:r>
          </w:p>
          <w:p>
            <w:pPr>
              <w:keepNext w:val="0"/>
              <w:keepLines w:val="0"/>
              <w:pageBreakBefore w:val="0"/>
              <w:widowControl w:val="0"/>
              <w:kinsoku/>
              <w:wordWrap/>
              <w:overflowPunct/>
              <w:topLinePunct w:val="0"/>
              <w:autoSpaceDE/>
              <w:autoSpaceDN/>
              <w:bidi w:val="0"/>
              <w:adjustRightInd/>
              <w:snapToGrid/>
              <w:spacing w:line="430" w:lineRule="atLeast"/>
              <w:textAlignment w:val="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2.供应商在开、评标全过程中应保持通讯畅通，及时登录“苏采云”系统查阅、答复相关信息，并安排专人随时接受与采购人、采购代理机构及磋商小组的相关询问。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769" w:hRule="atLeast"/>
          <w:jc w:val="center"/>
        </w:trPr>
        <w:tc>
          <w:tcPr>
            <w:tcW w:w="862"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8</w:t>
            </w:r>
          </w:p>
        </w:tc>
        <w:tc>
          <w:tcPr>
            <w:tcW w:w="1006" w:type="dxa"/>
            <w:vMerge w:val="restart"/>
            <w:noWrap w:val="0"/>
            <w:vAlign w:val="center"/>
          </w:tcPr>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eastAsia="zh-CN"/>
              </w:rPr>
            </w:pPr>
            <w:r>
              <w:rPr>
                <w:rFonts w:hint="eastAsia"/>
                <w:b/>
                <w:bCs/>
                <w:color w:val="auto"/>
                <w:highlight w:val="none"/>
                <w:lang w:val="zh-CN" w:eastAsia="zh-CN"/>
              </w:rPr>
              <w:t>联系</w:t>
            </w:r>
          </w:p>
          <w:p>
            <w:pPr>
              <w:pStyle w:val="11"/>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b/>
                <w:bCs/>
                <w:color w:val="auto"/>
                <w:highlight w:val="none"/>
                <w:lang w:val="zh-CN"/>
              </w:rPr>
            </w:pPr>
            <w:r>
              <w:rPr>
                <w:rFonts w:hint="eastAsia"/>
                <w:b/>
                <w:bCs/>
                <w:color w:val="auto"/>
                <w:highlight w:val="none"/>
                <w:lang w:val="zh-CN" w:eastAsia="zh-CN"/>
              </w:rPr>
              <w:t>方式</w:t>
            </w:r>
          </w:p>
        </w:tc>
        <w:tc>
          <w:tcPr>
            <w:tcW w:w="1974"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采购人</w:t>
            </w:r>
          </w:p>
        </w:tc>
        <w:tc>
          <w:tcPr>
            <w:tcW w:w="5838" w:type="dxa"/>
            <w:noWrap w:val="0"/>
            <w:vAlign w:val="top"/>
          </w:tcPr>
          <w:p>
            <w:pPr>
              <w:keepNext w:val="0"/>
              <w:keepLines w:val="0"/>
              <w:pageBreakBefore w:val="0"/>
              <w:widowControl w:val="0"/>
              <w:kinsoku/>
              <w:wordWrap/>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单位名称：</w:t>
            </w:r>
            <w:r>
              <w:rPr>
                <w:rFonts w:hint="eastAsia" w:ascii="宋体" w:hAnsi="宋体" w:cs="Times New Roman"/>
                <w:color w:val="auto"/>
                <w:sz w:val="24"/>
                <w:szCs w:val="28"/>
                <w:highlight w:val="none"/>
                <w:lang w:val="zh-CN" w:eastAsia="zh-CN"/>
              </w:rPr>
              <w:t>宜兴市人民法院</w:t>
            </w:r>
          </w:p>
          <w:p>
            <w:pPr>
              <w:keepNext w:val="0"/>
              <w:keepLines w:val="0"/>
              <w:pageBreakBefore w:val="0"/>
              <w:widowControl w:val="0"/>
              <w:kinsoku/>
              <w:wordWrap/>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联系地址：宜兴市宜城街道教育西路52号</w:t>
            </w:r>
          </w:p>
          <w:p>
            <w:pPr>
              <w:keepNext w:val="0"/>
              <w:keepLines w:val="0"/>
              <w:pageBreakBefore w:val="0"/>
              <w:widowControl w:val="0"/>
              <w:kinsoku/>
              <w:wordWrap/>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联系人：谌先生</w:t>
            </w:r>
          </w:p>
          <w:p>
            <w:pPr>
              <w:keepNext w:val="0"/>
              <w:keepLines w:val="0"/>
              <w:pageBreakBefore w:val="0"/>
              <w:widowControl w:val="0"/>
              <w:kinsoku/>
              <w:wordWrap/>
              <w:overflowPunct/>
              <w:topLinePunct w:val="0"/>
              <w:autoSpaceDE/>
              <w:autoSpaceDN/>
              <w:bidi w:val="0"/>
              <w:adjustRightInd/>
              <w:snapToGrid/>
              <w:spacing w:line="430" w:lineRule="atLeast"/>
              <w:jc w:val="both"/>
              <w:textAlignment w:val="auto"/>
              <w:rPr>
                <w:rFonts w:hint="default"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zh-CN" w:eastAsia="zh-CN"/>
              </w:rPr>
              <w:t>联系电话：</w:t>
            </w:r>
            <w:r>
              <w:rPr>
                <w:rFonts w:hint="eastAsia" w:ascii="宋体" w:hAnsi="宋体" w:cs="Times New Roman"/>
                <w:color w:val="auto"/>
                <w:sz w:val="24"/>
                <w:szCs w:val="28"/>
                <w:highlight w:val="none"/>
                <w:lang w:val="en-US" w:eastAsia="zh-CN"/>
              </w:rPr>
              <w:t>0510-87963606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1154" w:hRule="atLeast"/>
          <w:jc w:val="center"/>
        </w:trPr>
        <w:tc>
          <w:tcPr>
            <w:tcW w:w="8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left"/>
              <w:textAlignment w:val="auto"/>
              <w:rPr>
                <w:rFonts w:ascii="宋体" w:hAnsi="宋体"/>
                <w:bCs/>
                <w:color w:val="auto"/>
                <w:sz w:val="24"/>
                <w:szCs w:val="24"/>
                <w:highlight w:val="none"/>
              </w:rPr>
            </w:pPr>
          </w:p>
        </w:tc>
        <w:tc>
          <w:tcPr>
            <w:tcW w:w="100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Cs/>
                <w:color w:val="auto"/>
                <w:sz w:val="24"/>
                <w:szCs w:val="24"/>
                <w:highlight w:val="none"/>
              </w:rPr>
            </w:pPr>
          </w:p>
        </w:tc>
        <w:tc>
          <w:tcPr>
            <w:tcW w:w="1974"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sz w:val="24"/>
                <w:szCs w:val="24"/>
                <w:highlight w:val="none"/>
                <w:lang w:eastAsia="zh-CN"/>
              </w:rPr>
            </w:pPr>
            <w:r>
              <w:rPr>
                <w:rFonts w:hint="eastAsia" w:ascii="宋体" w:hAnsi="宋体"/>
                <w:bCs/>
                <w:color w:val="auto"/>
                <w:sz w:val="24"/>
                <w:szCs w:val="24"/>
                <w:highlight w:val="none"/>
                <w:lang w:eastAsia="zh-CN"/>
              </w:rPr>
              <w:t>采购代理机构</w:t>
            </w:r>
          </w:p>
        </w:tc>
        <w:tc>
          <w:tcPr>
            <w:tcW w:w="5838" w:type="dxa"/>
            <w:noWrap w:val="0"/>
            <w:vAlign w:val="top"/>
          </w:tcPr>
          <w:p>
            <w:pPr>
              <w:keepNext w:val="0"/>
              <w:keepLines w:val="0"/>
              <w:pageBreakBefore w:val="0"/>
              <w:widowControl w:val="0"/>
              <w:kinsoku/>
              <w:wordWrap w:val="0"/>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单位名称：国正工程咨询（江苏）有限责任公司</w:t>
            </w:r>
          </w:p>
          <w:p>
            <w:pPr>
              <w:keepNext w:val="0"/>
              <w:keepLines w:val="0"/>
              <w:pageBreakBefore w:val="0"/>
              <w:widowControl w:val="0"/>
              <w:kinsoku/>
              <w:wordWrap w:val="0"/>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联系地址：宜兴市环科园岳东路7号</w:t>
            </w:r>
          </w:p>
          <w:p>
            <w:pPr>
              <w:keepNext w:val="0"/>
              <w:keepLines w:val="0"/>
              <w:pageBreakBefore w:val="0"/>
              <w:widowControl w:val="0"/>
              <w:kinsoku/>
              <w:wordWrap w:val="0"/>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 xml:space="preserve">联系人：李先生 </w:t>
            </w:r>
          </w:p>
          <w:p>
            <w:pPr>
              <w:keepNext w:val="0"/>
              <w:keepLines w:val="0"/>
              <w:pageBreakBefore w:val="0"/>
              <w:widowControl w:val="0"/>
              <w:kinsoku/>
              <w:wordWrap w:val="0"/>
              <w:overflowPunct/>
              <w:topLinePunct w:val="0"/>
              <w:autoSpaceDE/>
              <w:autoSpaceDN/>
              <w:bidi w:val="0"/>
              <w:adjustRightInd/>
              <w:snapToGrid/>
              <w:spacing w:line="430" w:lineRule="atLeast"/>
              <w:jc w:val="both"/>
              <w:textAlignment w:val="auto"/>
              <w:rPr>
                <w:rFonts w:hint="default" w:ascii="宋体" w:hAnsi="宋体" w:eastAsia="宋体" w:cs="Times New Roman"/>
                <w:color w:val="auto"/>
                <w:sz w:val="24"/>
                <w:szCs w:val="28"/>
                <w:highlight w:val="none"/>
                <w:lang w:val="en-US" w:eastAsia="zh-CN"/>
              </w:rPr>
            </w:pPr>
            <w:r>
              <w:rPr>
                <w:rFonts w:hint="eastAsia" w:ascii="宋体" w:hAnsi="宋体" w:eastAsia="宋体" w:cs="Times New Roman"/>
                <w:color w:val="auto"/>
                <w:sz w:val="24"/>
                <w:szCs w:val="28"/>
                <w:highlight w:val="none"/>
                <w:lang w:val="zh-CN" w:eastAsia="zh-CN"/>
              </w:rPr>
              <w:t>联系电话：0510-87991906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1067" w:hRule="atLeast"/>
          <w:jc w:val="center"/>
        </w:trPr>
        <w:tc>
          <w:tcPr>
            <w:tcW w:w="8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left"/>
              <w:textAlignment w:val="auto"/>
              <w:rPr>
                <w:rFonts w:ascii="宋体" w:hAnsi="宋体"/>
                <w:bCs/>
                <w:color w:val="auto"/>
                <w:sz w:val="24"/>
                <w:szCs w:val="24"/>
                <w:highlight w:val="none"/>
              </w:rPr>
            </w:pPr>
          </w:p>
        </w:tc>
        <w:tc>
          <w:tcPr>
            <w:tcW w:w="100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Cs/>
                <w:color w:val="auto"/>
                <w:sz w:val="24"/>
                <w:szCs w:val="24"/>
                <w:highlight w:val="none"/>
              </w:rPr>
            </w:pPr>
          </w:p>
        </w:tc>
        <w:tc>
          <w:tcPr>
            <w:tcW w:w="1974"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“苏采云”客服</w:t>
            </w:r>
          </w:p>
        </w:tc>
        <w:tc>
          <w:tcPr>
            <w:tcW w:w="5838" w:type="dxa"/>
            <w:noWrap w:val="0"/>
            <w:vAlign w:val="center"/>
          </w:tcPr>
          <w:p>
            <w:pPr>
              <w:keepNext w:val="0"/>
              <w:keepLines w:val="0"/>
              <w:pageBreakBefore w:val="0"/>
              <w:widowControl w:val="0"/>
              <w:kinsoku/>
              <w:wordWrap w:val="0"/>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en-US" w:eastAsia="zh-CN"/>
              </w:rPr>
              <w:t>供应商在“苏采云”系统操作过程中如遇问题，请致电“苏采云”客服，联系电话：17361717606、17312952101；或在“苏采云”系统中发起在线人工客服请求。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113" w:type="dxa"/>
            <w:right w:w="108" w:type="dxa"/>
          </w:tblCellMar>
        </w:tblPrEx>
        <w:trPr>
          <w:trHeight w:val="660" w:hRule="atLeast"/>
          <w:jc w:val="center"/>
        </w:trPr>
        <w:tc>
          <w:tcPr>
            <w:tcW w:w="862"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left"/>
              <w:textAlignment w:val="auto"/>
              <w:rPr>
                <w:rFonts w:ascii="宋体" w:hAnsi="宋体"/>
                <w:bCs/>
                <w:color w:val="auto"/>
                <w:sz w:val="24"/>
                <w:szCs w:val="24"/>
                <w:highlight w:val="none"/>
              </w:rPr>
            </w:pPr>
          </w:p>
        </w:tc>
        <w:tc>
          <w:tcPr>
            <w:tcW w:w="1006"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ascii="宋体" w:hAnsi="宋体"/>
                <w:bCs/>
                <w:color w:val="auto"/>
                <w:sz w:val="24"/>
                <w:szCs w:val="24"/>
                <w:highlight w:val="none"/>
              </w:rPr>
            </w:pPr>
          </w:p>
        </w:tc>
        <w:tc>
          <w:tcPr>
            <w:tcW w:w="1974" w:type="dxa"/>
            <w:noWrap w:val="0"/>
            <w:vAlign w:val="center"/>
          </w:tcPr>
          <w:p>
            <w:pPr>
              <w:keepNext w:val="0"/>
              <w:keepLines w:val="0"/>
              <w:pageBreakBefore w:val="0"/>
              <w:widowControl w:val="0"/>
              <w:kinsoku/>
              <w:wordWrap/>
              <w:overflowPunct/>
              <w:topLinePunct w:val="0"/>
              <w:autoSpaceDE/>
              <w:autoSpaceDN/>
              <w:bidi w:val="0"/>
              <w:adjustRightInd/>
              <w:snapToGrid/>
              <w:spacing w:line="430" w:lineRule="atLeast"/>
              <w:jc w:val="center"/>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财政监管部门</w:t>
            </w:r>
          </w:p>
        </w:tc>
        <w:tc>
          <w:tcPr>
            <w:tcW w:w="5838" w:type="dxa"/>
            <w:noWrap w:val="0"/>
            <w:vAlign w:val="center"/>
          </w:tcPr>
          <w:p>
            <w:pPr>
              <w:keepNext w:val="0"/>
              <w:keepLines w:val="0"/>
              <w:pageBreakBefore w:val="0"/>
              <w:widowControl w:val="0"/>
              <w:kinsoku/>
              <w:wordWrap w:val="0"/>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政府采购监督管理及投诉处理主体: 宜兴市财政局</w:t>
            </w:r>
          </w:p>
          <w:p>
            <w:pPr>
              <w:keepNext w:val="0"/>
              <w:keepLines w:val="0"/>
              <w:pageBreakBefore w:val="0"/>
              <w:widowControl w:val="0"/>
              <w:kinsoku/>
              <w:wordWrap w:val="0"/>
              <w:overflowPunct/>
              <w:topLinePunct w:val="0"/>
              <w:autoSpaceDE/>
              <w:autoSpaceDN/>
              <w:bidi w:val="0"/>
              <w:adjustRightInd/>
              <w:snapToGrid/>
              <w:spacing w:line="430" w:lineRule="atLeast"/>
              <w:jc w:val="both"/>
              <w:textAlignment w:val="auto"/>
              <w:rPr>
                <w:rFonts w:hint="eastAsia" w:ascii="宋体" w:hAnsi="宋体" w:eastAsia="宋体" w:cs="Times New Roman"/>
                <w:color w:val="auto"/>
                <w:sz w:val="24"/>
                <w:szCs w:val="28"/>
                <w:highlight w:val="none"/>
                <w:lang w:val="zh-CN" w:eastAsia="zh-CN"/>
              </w:rPr>
            </w:pPr>
            <w:r>
              <w:rPr>
                <w:rFonts w:hint="eastAsia" w:ascii="宋体" w:hAnsi="宋体" w:eastAsia="宋体" w:cs="Times New Roman"/>
                <w:color w:val="auto"/>
                <w:sz w:val="24"/>
                <w:szCs w:val="28"/>
                <w:highlight w:val="none"/>
                <w:lang w:val="zh-CN" w:eastAsia="zh-CN"/>
              </w:rPr>
              <w:t>联系地址：宜兴市荆溪中路35号五局大院内</w:t>
            </w:r>
          </w:p>
        </w:tc>
      </w:tr>
      <w:bookmarkEnd w:id="3"/>
    </w:tbl>
    <w:p>
      <w:pPr>
        <w:spacing w:line="360" w:lineRule="auto"/>
        <w:jc w:val="center"/>
        <w:outlineLvl w:val="0"/>
        <w:rPr>
          <w:rFonts w:hint="eastAsia" w:ascii="黑体" w:hAnsi="黑体" w:eastAsia="黑体"/>
          <w:color w:val="auto"/>
          <w:sz w:val="28"/>
          <w:highlight w:val="none"/>
        </w:rPr>
        <w:sectPr>
          <w:footerReference r:id="rId4" w:type="default"/>
          <w:pgSz w:w="11906" w:h="16838"/>
          <w:pgMar w:top="1134" w:right="1134" w:bottom="1134" w:left="1134"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p>
    <w:p>
      <w:pPr>
        <w:spacing w:line="360" w:lineRule="auto"/>
        <w:jc w:val="center"/>
        <w:outlineLvl w:val="0"/>
        <w:rPr>
          <w:rFonts w:hint="eastAsia" w:ascii="黑体" w:hAnsi="黑体" w:eastAsia="黑体"/>
          <w:color w:val="auto"/>
          <w:sz w:val="28"/>
          <w:highlight w:val="none"/>
        </w:rPr>
      </w:pPr>
      <w:bookmarkStart w:id="4" w:name="_Toc17720"/>
      <w:r>
        <w:rPr>
          <w:rFonts w:hint="eastAsia" w:ascii="黑体" w:hAnsi="黑体" w:eastAsia="黑体"/>
          <w:color w:val="auto"/>
          <w:sz w:val="28"/>
          <w:highlight w:val="none"/>
        </w:rPr>
        <w:t>第二章 供应商须知</w:t>
      </w:r>
      <w:bookmarkEnd w:id="2"/>
      <w:bookmarkEnd w:id="4"/>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一、总   则</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1、适用法律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1.1 本次采购及由此产生的合同受中华人民共和国法律的制约和保护。</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2、定义</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供应商”是指参加报价竞争的法人、其他组织或者自然人；银行、保险、石油石化、电力、电信等有行业特殊情况的，可以以分支机构直接参加政府采购活动。合格的供应商应满足采购公告中供应商的资格要求以及本文件实质性要求和条件的规定。</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 磋商文件中的“法定代表人”是指供应商的营业执照或相关部门的有效登记证明文件中的“法定代表人”、“执行事务合伙人”、“经营者”、“负责人”，若为自然人的指自然人本人。 </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2.3</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本磋商文件中的采购与招标、供应商与投标人、优惠政策与扶持政策，分别为同一概念或意思。</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2.4</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val="zh-CN"/>
        </w:rPr>
        <w:t>本磋商文件中所称的“以上”、“以来”、“以下”、“不少于”、“不超过”，包括本数；所称的“不足”、“低于”、“高于”、“少于”、“超过”，不包括本数。</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
          <w:color w:val="auto"/>
          <w:sz w:val="24"/>
          <w:szCs w:val="24"/>
          <w:highlight w:val="none"/>
          <w:lang w:val="zh-CN"/>
        </w:rPr>
        <w:t>3、政府采购政策</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3.1 政府采购原则上采购本国生产的产品，不允许采购进口产品。除非采购人采购进口产品，已经在采购活动开始前向财政部门提出申请并获得财政部门审核同意，且在采购需求中明确规定可以采购进口产品。</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3.3 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eastAsia="宋体" w:cs="宋体"/>
          <w:b/>
          <w:bCs w:val="0"/>
          <w:color w:val="auto"/>
          <w:sz w:val="24"/>
          <w:szCs w:val="24"/>
          <w:highlight w:val="none"/>
          <w:lang w:val="zh-CN"/>
        </w:rPr>
        <w:t>本项目中如有涉及到强制采购产品的，供应商须按照上述要求提供相关产品的证明材料，否则响应无效。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优先采购节能产品、环境标志产品。采购产品属于《节能产品政府采购品目清单》、《环境标志产品政府采购品目清单》（具体品目未以“★”标注）范围的，依据国家确定的认证机构出具的、处于有效期之内的节能、环境标志产品认证证书，对获得证书的产品依据品目清单和认证证书实施政府优先采购。</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认证机构详见市场监管总局发布的《参与实施政府采购节能产品认证机构名录》和《参与实施政府采购环境标志产品认证机构名录》。</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3.5 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磋商文件中有其他要求的，供应商应满足磋商文件要求。采购人可在合同中约定，在履约验收管理时，可对所提供的七种软硬件进行验收，必要时可以委托依法取得检测、认证资质的机构进行检测、认证。</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3.6 政府采购支持中小企业发展。</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3.6.1 “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以联合体形式参加政府采购活动的，联合体各方均为中小企业的，联合体视同中小企业。其中，联合体各方均为小微企业的，联合体视同小微企业。由联合体主体单位出具中小企业声明。</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3.6.2 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供应商是否为中小企业进行认定</w:t>
      </w:r>
      <w:r>
        <w:rPr>
          <w:rFonts w:hint="eastAsia" w:ascii="宋体" w:hAnsi="宋体" w:eastAsia="宋体" w:cs="宋体"/>
          <w:b w:val="0"/>
          <w:bCs/>
          <w:color w:val="auto"/>
          <w:sz w:val="24"/>
          <w:szCs w:val="24"/>
          <w:highlight w:val="none"/>
          <w:lang w:val="zh-CN"/>
        </w:rPr>
        <w:t>，</w:t>
      </w:r>
      <w:r>
        <w:rPr>
          <w:rFonts w:hint="eastAsia" w:ascii="宋体" w:hAnsi="宋体" w:eastAsia="宋体" w:cs="宋体"/>
          <w:b/>
          <w:bCs w:val="0"/>
          <w:color w:val="auto"/>
          <w:sz w:val="24"/>
          <w:szCs w:val="24"/>
          <w:highlight w:val="none"/>
          <w:lang w:val="zh-CN"/>
        </w:rPr>
        <w:t>不再对其中涉及的货物的制造商作出要求。</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供应商须在《联合体各方共同投标协议》中明确联合体各方是否存在上述关系，如未进行明确的亦不得享受价格扣除。</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3.6.4 可享受中小企业扶持政策的供应商应按照磋商文件要求提供中小企业声明，供应商提供的中小企业声明与实际情况不符的，不享受中小企业扶持政策。中小企业声明包括《中小企业声明函》或《残疾人福利性单位声明函》或监狱企业的证明文件：</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对提供《中小企业声明函》的供应商，应按照《中小企业声明函》格式准确完整填写相关内容，并明确企业类型（中型、小型或微型），否则中小企业声明函无效。新成立企业时间认定以相关部门颁发证书的发证、登记日期为准，应提供相关证书，否则不予认可。声明内容不实的，属于提供虚假材料谋取中标、成交的，应依法承担法律责任。</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②对提供《残疾人福利性单位声明函》的供应商，应符合《关于促进残疾人就业政府采购政策的通知》（财库〔2017〕141号）规定，其视同小型、微型企业。</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对提供由省级以上监狱管理局、戒毒管理局（含新疆生产建设兵团）出具的属于监狱企业证明文件的供应商，应符合《关于政府采购支持监狱企业发展有关问题的通知》（财库〔2014〕68号）规定，其视同为小型、微型企业。</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若供应商同时为小微企业、残疾人福利性单位或监狱企业，只享受一次针对小微企业的价格优惠。</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zh-CN"/>
        </w:rPr>
        <w:t>3.6.5 中小企业依据《政府采购促进中小企业发展管理办法》（财库〔2020〕46号）规定的扶持政策获得政府采购合同后，小微企业不得将合同分包给大中型企业，中型企业不得将合同分包给大型企业</w:t>
      </w:r>
      <w:r>
        <w:rPr>
          <w:rFonts w:hint="eastAsia" w:ascii="宋体" w:hAnsi="宋体" w:eastAsia="宋体" w:cs="宋体"/>
          <w:bCs/>
          <w:color w:val="auto"/>
          <w:sz w:val="24"/>
          <w:szCs w:val="24"/>
          <w:highlight w:val="none"/>
        </w:rPr>
        <w:t>。</w:t>
      </w:r>
    </w:p>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报价费用</w:t>
      </w:r>
    </w:p>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 磋商文件中的货币单位均为人民币元。</w:t>
      </w:r>
    </w:p>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 xml:space="preserve">2 </w:t>
      </w:r>
      <w:r>
        <w:rPr>
          <w:rFonts w:hint="eastAsia" w:ascii="宋体" w:hAnsi="宋体" w:eastAsia="宋体" w:cs="宋体"/>
          <w:bCs/>
          <w:color w:val="auto"/>
          <w:sz w:val="24"/>
          <w:szCs w:val="24"/>
          <w:highlight w:val="none"/>
        </w:rPr>
        <w:t>供应商应自行承担所有与准备和参加采购活动有关的一切费用。</w:t>
      </w:r>
    </w:p>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保密要求</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5.1 采购各方当事人，对采购活动过程中获悉的国家秘密、商业秘密，应当依法予以保密。</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二、磋商文件</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lang w:val="zh-CN"/>
        </w:rPr>
        <w:t>磋商文件的组成</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 磋商文件包括采购公告和本文件目录所列全部内容及其附件，如有缺漏，请立即与采购人或者采购</w:t>
      </w:r>
      <w:r>
        <w:rPr>
          <w:rFonts w:hint="eastAsia" w:ascii="宋体" w:hAnsi="宋体" w:eastAsia="宋体" w:cs="宋体"/>
          <w:bCs/>
          <w:color w:val="auto"/>
          <w:sz w:val="24"/>
          <w:szCs w:val="24"/>
          <w:highlight w:val="none"/>
          <w:lang w:eastAsia="zh-CN"/>
        </w:rPr>
        <w:t>代理</w:t>
      </w:r>
      <w:r>
        <w:rPr>
          <w:rFonts w:hint="eastAsia" w:ascii="宋体" w:hAnsi="宋体" w:eastAsia="宋体" w:cs="宋体"/>
          <w:bCs/>
          <w:color w:val="auto"/>
          <w:sz w:val="24"/>
          <w:szCs w:val="24"/>
          <w:highlight w:val="none"/>
        </w:rPr>
        <w:t>机构联系解决。</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6.2 磋商文件如与采购公告有不一致的地方，以磋商文件为准；电子响应文件制作客户端工具中电子响应文件格式、说明与本磋商文件格式、说明不一致的，以本磋商文件格式、说明为准。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6.3 相关网站公告、公示信息如有不一致的，以“江苏政府采购网”发布的信息为准。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6.4 供应商一旦参加本项目采购活动，即被认为接受了本磋商文件的规定和约束。</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磋商文件的</w:t>
      </w:r>
      <w:bookmarkStart w:id="5" w:name="OLE_LINK20"/>
      <w:r>
        <w:rPr>
          <w:rFonts w:hint="eastAsia" w:ascii="宋体" w:hAnsi="宋体" w:eastAsia="宋体" w:cs="宋体"/>
          <w:b/>
          <w:color w:val="auto"/>
          <w:sz w:val="24"/>
          <w:szCs w:val="24"/>
          <w:highlight w:val="none"/>
          <w:lang w:val="zh-CN"/>
        </w:rPr>
        <w:t>澄清、修改</w:t>
      </w:r>
      <w:bookmarkEnd w:id="5"/>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7.1 采购人或者采购</w:t>
      </w:r>
      <w:r>
        <w:rPr>
          <w:rFonts w:hint="eastAsia" w:ascii="宋体" w:hAnsi="宋体" w:eastAsia="宋体" w:cs="宋体"/>
          <w:bCs/>
          <w:color w:val="auto"/>
          <w:sz w:val="24"/>
          <w:szCs w:val="24"/>
          <w:highlight w:val="none"/>
          <w:lang w:eastAsia="zh-CN"/>
        </w:rPr>
        <w:t>代理</w:t>
      </w:r>
      <w:r>
        <w:rPr>
          <w:rFonts w:hint="eastAsia" w:ascii="宋体" w:hAnsi="宋体" w:eastAsia="宋体" w:cs="宋体"/>
          <w:bCs/>
          <w:color w:val="auto"/>
          <w:sz w:val="24"/>
          <w:szCs w:val="24"/>
          <w:highlight w:val="none"/>
        </w:rPr>
        <w:t>机构可以对已发出的磋商文件进行必要澄清或者修改，澄清或者修改的内容可能影响响应文件编制的，将在响应截止时间5日前，在原采购公告媒体发布更正公告；不足5日的，将顺延响应截止时间和报价时间。</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7.2 该澄清或修改的内容为磋商文件的组成部分，并对供应商具有约束力。供应商应在响应截止时间前登录“苏采云”系统或关注原采购公告媒体上发布的更正公告。因供应商未尽注意义务，未及时更新上传响应文件或未全面地关注更正公告导致其提交的报价材料不符合本项目相关采购要求，而造成的损失及风险（包括但不限于未成交）由供应商自行承担</w:t>
      </w:r>
      <w:r>
        <w:rPr>
          <w:rFonts w:hint="eastAsia" w:ascii="宋体" w:hAnsi="宋体" w:eastAsia="宋体" w:cs="宋体"/>
          <w:bCs/>
          <w:color w:val="auto"/>
          <w:sz w:val="24"/>
          <w:szCs w:val="24"/>
          <w:highlight w:val="none"/>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三、响应文件</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、响应文件的组成</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8.1 供应商应认真阅读磋商文件中所有的事项、格式、条款和规范等要求。按磋商文件要求和规定编制响应文件，包含资格证明文件及符合性证明文件，并保证所提供的全部资料的真实性，以使其响应文件对磋商文件作出实质性响应。</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zh-CN"/>
        </w:rPr>
        <w:t>8.2 供应商所须提供的相关证明文件和要求以及响应文件的部分格式要求，详见“第六章 响应文件内容与格式”</w:t>
      </w:r>
      <w:r>
        <w:rPr>
          <w:rFonts w:hint="eastAsia" w:ascii="宋体" w:hAnsi="宋体" w:eastAsia="宋体" w:cs="宋体"/>
          <w:b w:val="0"/>
          <w:bCs w:val="0"/>
          <w:color w:val="auto"/>
          <w:sz w:val="24"/>
          <w:szCs w:val="24"/>
          <w:highlight w:val="none"/>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bookmarkStart w:id="6" w:name="OLE_LINK100"/>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、报价</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所有采购活动均以人民币报价。供应商的报价应遵守《中华人民共和国价格法》。同时，根据《中华人民共和国政府采购法》第二条的规定，为保证公平竞争，如有</w:t>
      </w:r>
      <w:r>
        <w:rPr>
          <w:rFonts w:hint="eastAsia" w:ascii="宋体" w:hAnsi="宋体" w:cs="宋体"/>
          <w:bCs/>
          <w:color w:val="auto"/>
          <w:sz w:val="24"/>
          <w:szCs w:val="24"/>
          <w:highlight w:val="none"/>
          <w:lang w:val="en-US" w:eastAsia="zh-CN"/>
        </w:rPr>
        <w:t>服务</w:t>
      </w:r>
      <w:r>
        <w:rPr>
          <w:rFonts w:hint="eastAsia" w:ascii="宋体" w:hAnsi="宋体" w:eastAsia="宋体" w:cs="宋体"/>
          <w:bCs/>
          <w:color w:val="auto"/>
          <w:sz w:val="24"/>
          <w:szCs w:val="24"/>
          <w:highlight w:val="none"/>
          <w:lang w:val="en-US" w:eastAsia="zh-CN"/>
        </w:rPr>
        <w:t>主体部分的赠与行为，其报价将被认定为报价无效。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供应商应按照“苏采云”系统中的给定格式模块为准，完整、正确填写磋商报价表。报价应包含完成本服务项目发生的所有含税费用、支付给员工的工资和国家强制缴纳的各种社会保障资金，以及供应商认为需要的其他费用等。</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val="en-US" w:eastAsia="zh-CN"/>
        </w:rPr>
        <w:t>9.3</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val="en-US" w:eastAsia="zh-CN"/>
        </w:rPr>
        <w:t>每种服务只能有一个报价。采购人不接受具有附加条件的报价</w:t>
      </w:r>
      <w:r>
        <w:rPr>
          <w:rFonts w:hint="eastAsia" w:ascii="宋体" w:hAnsi="宋体" w:eastAsia="宋体" w:cs="宋体"/>
          <w:bCs/>
          <w:color w:val="auto"/>
          <w:sz w:val="24"/>
          <w:szCs w:val="24"/>
          <w:highlight w:val="none"/>
          <w:lang w:val="zh-CN"/>
        </w:rPr>
        <w:t>。</w:t>
      </w:r>
      <w:bookmarkEnd w:id="6"/>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、响应文件的制作</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bookmarkStart w:id="7" w:name="OLE_LINK123"/>
      <w:r>
        <w:rPr>
          <w:rFonts w:hint="eastAsia" w:ascii="宋体" w:hAnsi="宋体" w:eastAsia="宋体" w:cs="宋体"/>
          <w:bCs/>
          <w:color w:val="auto"/>
          <w:sz w:val="24"/>
          <w:szCs w:val="24"/>
          <w:highlight w:val="none"/>
        </w:rPr>
        <w:t>10.1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供应商应按照法律、法规、规章和规范性文件以及磋商文件要求提交证明文件，证明其及报价标的符合磋商文件规定。证明文件必须清晰完整、真实有效，否则由供应商自行承担无效报价的风险。</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磋商文件对证明文件无明确形式要求的，证明文件可以以文字资料、图纸和数据等形式提交。</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10.3</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所有文件、往来函件均应使用简体中文（规格、型号辅助符号例外）。</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10.4</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除技术性能另有规定外，响应文件所使用的度量衡单位，均须采用国家法定计量单位。</w:t>
      </w:r>
      <w:bookmarkEnd w:id="7"/>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、电子响应文件</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 供应商“账号注册”及CA办理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11.1.1 请有意参加本项目采购活动的供应商按以下流程进行操作：</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①访问“江苏省政府采购（苏采云）平台”选择供应商版块，点击“用户注册”按钮，进行账号注册，注册完成后需在系统中填写资质信息并提交。也可以直接通过http://jszfcg.jsczt.cn/进入界面。</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②办理“意源”CA数字证书和“方正”电子签章，办理指南链接：http://jsxcmm.com/help/help.html。</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③CA驱动下载：在“苏采云”系统账号登录页面，点击“驱动下载”链接中的“政务CA、方正签章控件驱动安装包及安装说明”可以直接下载驱动安装包，安装包中附有驱动安装手册。</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11.1.2 完成“苏采云”系统账号注册的供应商方可在“苏采云”系统中进行CA绑定。登录“苏采云”系统，插入CA后，点击【账号设置】——【绑定CA】。</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11.1.3 供应商应按上述要求提供相关材料信息，所提供的材料应均是真实的、准确的，若有违背，供应商自行承担由此而产生的一切后果。</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11.1.4 如供应商未按上述要求操作，由此所产生的损失及风险由供应商自行承担。具体操作步骤详见《“苏采云”系统供应商操作手册》（以下简称《操作手册》），下载地址：宜兴市公共资源交易中心网——下载中心——江苏省政府采购交易系统（苏采云）供应商操作手册。（友情提示：若供应商已领取副锁（含多把副锁）请注意正副锁的使用差别）</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供应商在“苏采云”系统操作过程中如遇问题，请致电“苏采云”客服，联系电话：17361717606、17312952101；或在“苏采云”系统中发起在线人工客服请求。</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 完成项目参与，上传响应文件</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11.2.1 供应商可在项目磋商公告附件中查看磋商文件，如确定参加本次采购活动，必须在磋商文件提供期限内从“苏采云”系统中下载文件（“项目参与”——“采购项目参与”找到需要获取磋商文件的项目，点击“我要参与”——“参与投标”——“下载文件”），完成项目参与，将“苏采云”系统中下载的磋商文件（后缀名为“.kedt”）导入到“政府采购客户端”，离线按要求编制并加密响应文件（使用“CA数字证书”），导出加密的响应文件（后缀名为zip，不得超过150M）并在磋商文件规定的截止时间前，通过“苏采云”系统完成提交，时间以电子交易平台时间为准。对磋商文件各项内容做出实质性响应，否则其响应文件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11.2.2 电子响应文件将作为本项目采购活动的电子档案保存，电子档案与纸档案具有同等效力。</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11.2.3 因不可抗力事件造成的响应文件的损坏、丢失的，</w:t>
      </w:r>
      <w:r>
        <w:rPr>
          <w:rFonts w:hint="eastAsia" w:ascii="宋体" w:hAnsi="宋体" w:eastAsia="宋体" w:cs="宋体"/>
          <w:b w:val="0"/>
          <w:bCs/>
          <w:color w:val="auto"/>
          <w:sz w:val="24"/>
          <w:szCs w:val="24"/>
          <w:highlight w:val="none"/>
          <w:lang w:eastAsia="zh-CN"/>
        </w:rPr>
        <w:t>采购代理机构</w:t>
      </w:r>
      <w:r>
        <w:rPr>
          <w:rFonts w:hint="eastAsia" w:ascii="宋体" w:hAnsi="宋体" w:eastAsia="宋体" w:cs="宋体"/>
          <w:b w:val="0"/>
          <w:bCs/>
          <w:color w:val="auto"/>
          <w:sz w:val="24"/>
          <w:szCs w:val="24"/>
          <w:highlight w:val="none"/>
        </w:rPr>
        <w:t xml:space="preserve">不承担责任。 </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、响应文件的拒收</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12.1 拒绝接收提交响应文件截止时间后上传的任何响应文件。</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、响应文件的真实性</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8" w:name="OLE_LINK31"/>
      <w:r>
        <w:rPr>
          <w:rFonts w:hint="eastAsia" w:ascii="宋体" w:hAnsi="宋体" w:eastAsia="宋体" w:cs="宋体"/>
          <w:color w:val="auto"/>
          <w:sz w:val="24"/>
          <w:szCs w:val="24"/>
          <w:highlight w:val="none"/>
        </w:rPr>
        <w:t>13.1 供应商（含成交供应商）应对其响应文件中提供的所有材料的真实性负责。</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如采购人、采购</w:t>
      </w:r>
      <w:r>
        <w:rPr>
          <w:rFonts w:hint="eastAsia" w:ascii="宋体" w:hAnsi="宋体" w:eastAsia="宋体" w:cs="宋体"/>
          <w:color w:val="auto"/>
          <w:sz w:val="24"/>
          <w:szCs w:val="24"/>
          <w:highlight w:val="none"/>
          <w:lang w:eastAsia="zh-CN"/>
        </w:rPr>
        <w:t>代理</w:t>
      </w:r>
      <w:r>
        <w:rPr>
          <w:rFonts w:hint="eastAsia" w:ascii="宋体" w:hAnsi="宋体" w:eastAsia="宋体" w:cs="宋体"/>
          <w:color w:val="auto"/>
          <w:sz w:val="24"/>
          <w:szCs w:val="24"/>
          <w:highlight w:val="none"/>
        </w:rPr>
        <w:t>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8"/>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bookmarkStart w:id="9" w:name="OLE_LINK32"/>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、响应文件的有效期</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14.1 响应文件的有效期为提交响应文件截止之日起的90天（含截止当日）。在特殊情况下，采购人、</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可与供应商协商延长响应文件的有效期。</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、响应文件的退还</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5.1 提交响应文件截止时间后，采购人和</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对所有供应商的响应文件一律不予退还。</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、响应文件的撤回和修改</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16.1 电子响应文件的撤回：供应商可在提交响应文件截止时间前，撤回其电子响应文件，具体操作方法见《操作手册》。供应商撤回电子响应文件，则认为其不再参与本项目报价活动。</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16.2 电子响应文件的修改：供应商可在提交响应文件截止时间前，对其电子响应文件进行修改，具体操作方法见《操作手册》。在提交响应文件截止时间之后，采购人、</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、磋商小组不接受供应商主动对其响应文件做任何补充、修改。</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16.3 在提交响应文件截止时间至磋商文件中规定的响应文件有效期满之间的这段时间内，供应商不得撤回其报价。</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无效报价的确认</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 xml:space="preserve">.1 </w:t>
      </w:r>
      <w:r>
        <w:rPr>
          <w:rFonts w:hint="eastAsia" w:ascii="宋体" w:hAnsi="宋体" w:eastAsia="宋体" w:cs="宋体"/>
          <w:bCs/>
          <w:color w:val="auto"/>
          <w:sz w:val="24"/>
          <w:szCs w:val="24"/>
          <w:highlight w:val="none"/>
          <w:lang w:val="zh-CN"/>
        </w:rPr>
        <w:t>供应商有下列情况之一者，其报价无效：</w:t>
      </w:r>
    </w:p>
    <w:bookmarkEnd w:id="9"/>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响应文件未按磋商文件规定签署或盖章的；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不具备磋商文件中“供应商参加本次政府采购活动应具备的资格条件”或未按磋商文件规定的要求提供资格证明文件的；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响应文件中有磋商文件未允许提供的选择性内容的；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响应文件含有采购人不能接受的附加条件的；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报价超过磋商文件中规定的项目（或采购包）预算金额或者最高限价的；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响应文件报价出现前后不一致，且供应商拒绝修正的；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小组认定供应商的报价明显低于其他通过符合性审查供应商的报价，有可能影响产品质量或者不能诚信履约的，磋商小组将启动异常低价投标审查程序。供应商不能应磋商小组要求在给定的合理时间内提供说明（必要时磋商小组可要求供应商提交相关证明材料），或者提供的书面说明、证明材料不能证明其报价合理性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属于磋商文件“不得参加本次采购活动”的供应商的；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与其他供应商串通报价的，包括但不限于以下几种情况：</w:t>
      </w:r>
    </w:p>
    <w:p>
      <w:pPr>
        <w:keepNext w:val="0"/>
        <w:keepLines w:val="0"/>
        <w:pageBreakBefore w:val="0"/>
        <w:widowControl w:val="0"/>
        <w:numPr>
          <w:ilvl w:val="0"/>
          <w:numId w:val="2"/>
        </w:numPr>
        <w:tabs>
          <w:tab w:val="left" w:pos="425"/>
        </w:tabs>
        <w:kinsoku/>
        <w:wordWrap w:val="0"/>
        <w:overflowPunct/>
        <w:topLinePunct w:val="0"/>
        <w:autoSpaceDE/>
        <w:autoSpaceDN/>
        <w:bidi w:val="0"/>
        <w:adjustRightInd/>
        <w:snapToGrid/>
        <w:spacing w:line="360" w:lineRule="auto"/>
        <w:ind w:firstLine="840" w:firstLineChars="35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不同供应商的响应文件由同一单位或者个人编制；</w:t>
      </w:r>
    </w:p>
    <w:p>
      <w:pPr>
        <w:keepNext w:val="0"/>
        <w:keepLines w:val="0"/>
        <w:pageBreakBefore w:val="0"/>
        <w:widowControl w:val="0"/>
        <w:numPr>
          <w:ilvl w:val="0"/>
          <w:numId w:val="2"/>
        </w:numPr>
        <w:tabs>
          <w:tab w:val="left" w:pos="425"/>
        </w:tabs>
        <w:kinsoku/>
        <w:wordWrap w:val="0"/>
        <w:overflowPunct/>
        <w:topLinePunct w:val="0"/>
        <w:autoSpaceDE/>
        <w:autoSpaceDN/>
        <w:bidi w:val="0"/>
        <w:adjustRightInd/>
        <w:snapToGrid/>
        <w:spacing w:line="360" w:lineRule="auto"/>
        <w:ind w:firstLine="840" w:firstLineChars="35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不同供应商委托同一单位或者个人办理报价事宜；</w:t>
      </w:r>
    </w:p>
    <w:p>
      <w:pPr>
        <w:keepNext w:val="0"/>
        <w:keepLines w:val="0"/>
        <w:pageBreakBefore w:val="0"/>
        <w:widowControl w:val="0"/>
        <w:numPr>
          <w:ilvl w:val="0"/>
          <w:numId w:val="2"/>
        </w:numPr>
        <w:tabs>
          <w:tab w:val="left" w:pos="425"/>
        </w:tabs>
        <w:kinsoku/>
        <w:wordWrap w:val="0"/>
        <w:overflowPunct/>
        <w:topLinePunct w:val="0"/>
        <w:autoSpaceDE/>
        <w:autoSpaceDN/>
        <w:bidi w:val="0"/>
        <w:adjustRightInd/>
        <w:snapToGrid/>
        <w:spacing w:line="360" w:lineRule="auto"/>
        <w:ind w:firstLine="840" w:firstLineChars="35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不同供应商的响应文件载明的项目管理成员或者联系人员为同一人；</w:t>
      </w:r>
    </w:p>
    <w:p>
      <w:pPr>
        <w:keepNext w:val="0"/>
        <w:keepLines w:val="0"/>
        <w:pageBreakBefore w:val="0"/>
        <w:widowControl w:val="0"/>
        <w:numPr>
          <w:ilvl w:val="0"/>
          <w:numId w:val="2"/>
        </w:numPr>
        <w:tabs>
          <w:tab w:val="left" w:pos="425"/>
        </w:tabs>
        <w:kinsoku/>
        <w:wordWrap w:val="0"/>
        <w:overflowPunct/>
        <w:topLinePunct w:val="0"/>
        <w:autoSpaceDE/>
        <w:autoSpaceDN/>
        <w:bidi w:val="0"/>
        <w:adjustRightInd/>
        <w:snapToGrid/>
        <w:spacing w:line="360" w:lineRule="auto"/>
        <w:ind w:firstLine="840" w:firstLineChars="35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不同供应商的响应文件异常一致或者报价呈规律性差异；</w:t>
      </w:r>
    </w:p>
    <w:p>
      <w:pPr>
        <w:keepNext w:val="0"/>
        <w:keepLines w:val="0"/>
        <w:pageBreakBefore w:val="0"/>
        <w:widowControl w:val="0"/>
        <w:numPr>
          <w:ilvl w:val="0"/>
          <w:numId w:val="2"/>
        </w:numPr>
        <w:tabs>
          <w:tab w:val="left" w:pos="425"/>
        </w:tabs>
        <w:kinsoku/>
        <w:wordWrap w:val="0"/>
        <w:overflowPunct/>
        <w:topLinePunct w:val="0"/>
        <w:autoSpaceDE/>
        <w:autoSpaceDN/>
        <w:bidi w:val="0"/>
        <w:adjustRightInd/>
        <w:snapToGrid/>
        <w:spacing w:line="360" w:lineRule="auto"/>
        <w:ind w:firstLine="840" w:firstLineChars="350"/>
        <w:textAlignment w:val="auto"/>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lang w:val="zh-CN"/>
        </w:rPr>
        <w:t>不同供应商的响应文件相互混装</w:t>
      </w:r>
      <w:r>
        <w:rPr>
          <w:rFonts w:hint="eastAsia" w:ascii="宋体" w:hAnsi="宋体" w:eastAsia="宋体" w:cs="宋体"/>
          <w:bCs/>
          <w:color w:val="auto"/>
          <w:sz w:val="24"/>
          <w:szCs w:val="24"/>
          <w:highlight w:val="none"/>
          <w:lang w:val="zh-CN"/>
        </w:rPr>
        <w:t>。</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提供虚假材料（含虚假承诺）的；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电子响应文件图片、字迹模糊不清、无法辨认导致无法评审的；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响应文件内容不全或不符合磋商文件中规定的实质性要求和条件，未通过符合性审查的；</w:t>
      </w:r>
    </w:p>
    <w:p>
      <w:pPr>
        <w:keepNext w:val="0"/>
        <w:keepLines w:val="0"/>
        <w:pageBreakBefore w:val="0"/>
        <w:widowControl w:val="0"/>
        <w:numPr>
          <w:ilvl w:val="0"/>
          <w:numId w:val="1"/>
        </w:numPr>
        <w:tabs>
          <w:tab w:val="left" w:pos="425"/>
          <w:tab w:val="clear" w:pos="0"/>
        </w:tabs>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法律、法规和磋商文件规定的其他无效情形。</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bookmarkStart w:id="10" w:name="OLE_LINK21"/>
      <w:r>
        <w:rPr>
          <w:rFonts w:hint="eastAsia" w:ascii="宋体" w:hAnsi="宋体" w:eastAsia="宋体" w:cs="宋体"/>
          <w:b/>
          <w:color w:val="auto"/>
          <w:sz w:val="24"/>
          <w:szCs w:val="24"/>
          <w:highlight w:val="none"/>
        </w:rPr>
        <w:t>联合体报价、成交后分包</w:t>
      </w:r>
      <w:bookmarkEnd w:id="10"/>
      <w:r>
        <w:rPr>
          <w:rFonts w:hint="eastAsia" w:ascii="宋体" w:hAnsi="宋体" w:eastAsia="宋体" w:cs="宋体"/>
          <w:b/>
          <w:color w:val="auto"/>
          <w:sz w:val="24"/>
          <w:szCs w:val="24"/>
          <w:highlight w:val="none"/>
        </w:rPr>
        <w:t>（如有）</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w:t>
      </w:r>
      <w:r>
        <w:rPr>
          <w:rFonts w:hint="eastAsia" w:ascii="宋体" w:hAnsi="宋体" w:eastAsia="宋体" w:cs="宋体"/>
          <w:b/>
          <w:bCs w:val="0"/>
          <w:color w:val="auto"/>
          <w:sz w:val="24"/>
          <w:szCs w:val="24"/>
          <w:highlight w:val="none"/>
          <w:lang w:val="en-US" w:eastAsia="zh-CN"/>
        </w:rPr>
        <w:t>8、</w:t>
      </w:r>
      <w:r>
        <w:rPr>
          <w:rFonts w:hint="eastAsia" w:ascii="宋体" w:hAnsi="宋体" w:eastAsia="宋体" w:cs="宋体"/>
          <w:b/>
          <w:bCs w:val="0"/>
          <w:color w:val="auto"/>
          <w:sz w:val="24"/>
          <w:szCs w:val="24"/>
          <w:highlight w:val="none"/>
        </w:rPr>
        <w:t>联合体</w:t>
      </w:r>
    </w:p>
    <w:p>
      <w:pPr>
        <w:keepNext w:val="0"/>
        <w:keepLines w:val="0"/>
        <w:pageBreakBefore w:val="0"/>
        <w:widowControl w:val="0"/>
        <w:kinsoku/>
        <w:wordWrap w:val="0"/>
        <w:overflowPunct/>
        <w:topLinePunct w:val="0"/>
        <w:autoSpaceDE/>
        <w:autoSpaceDN/>
        <w:bidi w:val="0"/>
        <w:adjustRightInd/>
        <w:snapToGrid/>
        <w:spacing w:line="360" w:lineRule="auto"/>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 两个以上的自然人、法人或者其他组织组成一个联合体，以一个供应商的身份共同参加政府采购。</w:t>
      </w:r>
    </w:p>
    <w:p>
      <w:pPr>
        <w:keepNext w:val="0"/>
        <w:keepLines w:val="0"/>
        <w:pageBreakBefore w:val="0"/>
        <w:widowControl w:val="0"/>
        <w:kinsoku/>
        <w:wordWrap w:val="0"/>
        <w:overflowPunct/>
        <w:topLinePunct w:val="0"/>
        <w:autoSpaceDE/>
        <w:autoSpaceDN/>
        <w:bidi w:val="0"/>
        <w:adjustRightInd/>
        <w:snapToGrid/>
        <w:spacing w:line="360" w:lineRule="auto"/>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18.2 供应商如为联合体的，联合体各方应按磋商文件提供的格式签订联合体协议书，明确联合体主体单位（即牵头人）和各方的权利义务，以及其中享受政府采购优惠政策的小微企业（如有）合同份额占合同总金额的比例。除联合体协议书外，响应文件其他地方需要供应商签名或盖章的，只需主体单位进行签名或盖章。</w:t>
      </w:r>
    </w:p>
    <w:p>
      <w:pPr>
        <w:keepNext w:val="0"/>
        <w:keepLines w:val="0"/>
        <w:pageBreakBefore w:val="0"/>
        <w:widowControl w:val="0"/>
        <w:kinsoku/>
        <w:wordWrap w:val="0"/>
        <w:overflowPunct/>
        <w:topLinePunct w:val="0"/>
        <w:autoSpaceDE/>
        <w:autoSpaceDN/>
        <w:bidi w:val="0"/>
        <w:adjustRightInd/>
        <w:snapToGrid/>
        <w:spacing w:line="360" w:lineRule="auto"/>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18.3 以联合体形式参加报价的，联合体各方均应当具备《中华人民共和国政府采购法》第二十二条规定的条件，联合体各方均未被“信用中国”网站、中国政府采购网列入失信被执行人、重大税收非法失信主体、政府采购严重违法失信行为记录名单；联合体中有同类资质的供应商按照联合体分工承担相同工作的，按照资质等级较低的供应商确定资质等级；联合体成员存在不良信用记录的，视同联合体存在不良信用记录。</w:t>
      </w:r>
    </w:p>
    <w:p>
      <w:pPr>
        <w:keepNext w:val="0"/>
        <w:keepLines w:val="0"/>
        <w:pageBreakBefore w:val="0"/>
        <w:widowControl w:val="0"/>
        <w:kinsoku/>
        <w:wordWrap w:val="0"/>
        <w:overflowPunct/>
        <w:topLinePunct w:val="0"/>
        <w:autoSpaceDE/>
        <w:autoSpaceDN/>
        <w:bidi w:val="0"/>
        <w:adjustRightInd/>
        <w:snapToGrid/>
        <w:spacing w:line="360" w:lineRule="auto"/>
        <w:ind w:firstLine="470" w:firstLineChars="196"/>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18.4 以联合体形式参加政府采购活动的，联合体各方不得再单独参加或者与其他供应商另外组成联合体参加同一合同项下的政府采购活动，否则相关报价均将被认定为报价无效。</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19、成交后分包</w:t>
      </w:r>
    </w:p>
    <w:p>
      <w:pPr>
        <w:keepNext w:val="0"/>
        <w:keepLines w:val="0"/>
        <w:pageBreakBefore w:val="0"/>
        <w:widowControl w:val="0"/>
        <w:kinsoku/>
        <w:wordWrap w:val="0"/>
        <w:overflowPunct/>
        <w:topLinePunct w:val="0"/>
        <w:autoSpaceDE/>
        <w:autoSpaceDN/>
        <w:bidi w:val="0"/>
        <w:adjustRightInd/>
        <w:snapToGrid/>
        <w:spacing w:line="360" w:lineRule="auto"/>
        <w:ind w:firstLine="470" w:firstLineChars="196"/>
        <w:textAlignment w:val="auto"/>
        <w:rPr>
          <w:rFonts w:hint="eastAsia" w:ascii="宋体" w:hAnsi="宋体" w:eastAsia="宋体" w:cs="宋体"/>
          <w:b/>
          <w:color w:val="auto"/>
          <w:sz w:val="24"/>
          <w:szCs w:val="24"/>
          <w:highlight w:val="none"/>
          <w:lang w:val="zh-CN"/>
        </w:rPr>
      </w:pPr>
      <w:r>
        <w:rPr>
          <w:rFonts w:hint="eastAsia" w:ascii="宋体" w:hAnsi="宋体" w:eastAsia="宋体" w:cs="宋体"/>
          <w:bCs/>
          <w:color w:val="auto"/>
          <w:sz w:val="24"/>
          <w:szCs w:val="24"/>
          <w:highlight w:val="none"/>
        </w:rPr>
        <w:t>19.1 供应商根据磋商文件的规定和采购项目的实际情况，拟在成交后将成交项目的非主体、非关键性工作分包的，须在响应文件中载明分包承担主体，分包承担主体应当具备相应资质条件且不得再次分包。</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五、采购活动</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20、采购活动</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20.1 采购人将在磋商公告中规定的时间和地点组织采购活动。供应商应当按照《操作手册》规定，参加采购活动和在“苏采云”系统规定的时间内对响应文件进行解密。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20.2 开标仪式由采购人或者</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组织，“苏采云”系统将自动对项目进行开标，并宣布各供应商名称。开标过程如果有特殊情况需进行记录，由相关工作人员和采购人代表签字确认后随采购文件一并存档。</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Cs/>
          <w:color w:val="auto"/>
          <w:sz w:val="24"/>
          <w:szCs w:val="24"/>
          <w:highlight w:val="none"/>
        </w:rPr>
        <w:t>20.3 供应商在参与采购活动过程中涉及的响应文件解密等工作，应按照《操作手册》规定执行。因供应商自身原因，导致响应文件未能在规定时间内完成解密的，视为供应商撤销其响应文件；因电子交易平台发生故障，导致无法按时完成响应文件的，可根据实际情况相应延迟解密时间。本项目在限定的解密时间内，只要有一家供应商解密成功，即视为电子交易平台运行无故障</w:t>
      </w:r>
      <w:r>
        <w:rPr>
          <w:rFonts w:hint="eastAsia" w:ascii="宋体" w:hAnsi="宋体" w:eastAsia="宋体" w:cs="宋体"/>
          <w:bCs/>
          <w:color w:val="auto"/>
          <w:sz w:val="24"/>
          <w:szCs w:val="24"/>
          <w:highlight w:val="none"/>
          <w:lang w:val="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21、磋商程序</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bookmarkStart w:id="11" w:name="OLE_LINK90"/>
      <w:bookmarkStart w:id="12" w:name="OLE_LINK108"/>
      <w:r>
        <w:rPr>
          <w:rFonts w:hint="eastAsia" w:ascii="宋体" w:hAnsi="宋体" w:eastAsia="宋体" w:cs="宋体"/>
          <w:bCs/>
          <w:color w:val="auto"/>
          <w:sz w:val="24"/>
          <w:szCs w:val="24"/>
          <w:highlight w:val="none"/>
        </w:rPr>
        <w:t xml:space="preserve">21.1 具体评审事务由采购人依法组建的磋商小组（即评审委员会）负责，其成员由评审专家和采购人代表组成。 </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 磋商小组按照磋商文件的要求对供应商进行资格性及符合性审查。未通过资格性或符合性审查的，其报价无效。</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21.2.1 资格性审查是指磋商小组按照磋商文件的要求对响应文件中的资格证明文件进行审查。</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21.2.2 磋商小组在进行资格审查的同时，将通过“信用中国”网站（www.creditchina.gov.cn）、中国政府采购网(www.ccgp.gov.cn)查询供应商在递交响应文件截止时间之前，是否被列入失信被执行人、重大税收违法失信主体、政府采购严重违法失信行为记录名单（在限制期内），以确定供应商是否具备报价资格，查询结果留存并归档。若在以上两个网站查询不到供应商企业信息的，以供应商提供的资格声明函中作出的无不良信用记录承诺为准。</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21.2.3 符合性审查是指磋商小组从响应文件的有效性、完整性和对磋商文件的响应程度进行审查，以确定是否对磋商文件的实质性要求作出响应。实质性响应的报价应该是与磋商文件要求的全部条款、条件和规格相符，没有重大偏离或保留的报价。</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21.3 磋商小组确定磋商程序和磋商内容后，磋商小组所有成员集中与单一供应商分别进行磋商，并给予所有参加磋商的供应商平等的磋商机会。</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21.4 磋商过程中，磋商小组可以根据磋商文件和磋商情况实质性变动采购需求中的技术、服务要求以及合同草案条款，但不得变动磋商文件中的其他内容。实质性变动的内容，须经采购人代表确认。</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21.5 磋商结束后，磋商小组将要求所有继续参加磋商的供应商在规定时间内通过电子交易平台提交第2次磋商报价（即最后报价），提交最后报价的供应商不得少于3家（市场竞争不充分的科研项目、需要扶持的科技成果转化项目，以及政府购买服务项目（含政府和社会资本合作项目），提交最后报价的供应商可以为2家）。最后报价是供应商响应文件的有效组成部分，若供应商未及时在系统中填报并确认最后报价，视为放弃磋商资格、退出磋商，其报价无效。</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21.6 已提交响应文件的供应商，在提交最后报价之前，可以根据磋商情况退出磋商。退出磋商的供应商，其报价无效。</w:t>
      </w:r>
    </w:p>
    <w:p>
      <w:pPr>
        <w:keepNext w:val="0"/>
        <w:keepLines w:val="0"/>
        <w:pageBreakBefore w:val="0"/>
        <w:widowControl w:val="0"/>
        <w:tabs>
          <w:tab w:val="left" w:pos="945"/>
        </w:tabs>
        <w:kinsoku/>
        <w:wordWrap w:val="0"/>
        <w:overflowPunct/>
        <w:topLinePunct w:val="0"/>
        <w:autoSpaceDE/>
        <w:autoSpaceDN/>
        <w:bidi w:val="0"/>
        <w:adjustRightInd/>
        <w:snapToGrid/>
        <w:spacing w:line="360" w:lineRule="auto"/>
        <w:ind w:left="1"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21.7 磋商小组将对确定为实质性响应的报价进行进一步审核，确定其是否有计算上或累加上的算术错误，修正错误的原则如下：</w:t>
      </w:r>
    </w:p>
    <w:p>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lang w:val="zh-CN"/>
        </w:rPr>
      </w:pPr>
      <w:bookmarkStart w:id="13" w:name="OLE_LINK38"/>
      <w:r>
        <w:rPr>
          <w:rFonts w:hint="eastAsia" w:ascii="宋体" w:hAnsi="宋体" w:eastAsia="宋体" w:cs="宋体"/>
          <w:b w:val="0"/>
          <w:bCs/>
          <w:color w:val="auto"/>
          <w:sz w:val="24"/>
          <w:szCs w:val="24"/>
          <w:lang w:val="zh-CN"/>
        </w:rPr>
        <w:t>响应文件中磋商报价表内容与响应文件中相应内容不一致的，以磋商报价表为准；</w:t>
      </w:r>
    </w:p>
    <w:p>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大写金额和小写金额不一致的，以大写金额为准；</w:t>
      </w:r>
    </w:p>
    <w:p>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单价金额小数点或者百分比有明显错位的，以磋商报价表的总价为准，并修改单价；</w:t>
      </w:r>
    </w:p>
    <w:p>
      <w:pPr>
        <w:keepNext w:val="0"/>
        <w:keepLines w:val="0"/>
        <w:pageBreakBefore w:val="0"/>
        <w:widowControl w:val="0"/>
        <w:numPr>
          <w:ilvl w:val="0"/>
          <w:numId w:val="3"/>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总价金额与按单价汇总金额不一致的，以单价金额计算结果为准。</w:t>
      </w:r>
    </w:p>
    <w:bookmarkEnd w:id="11"/>
    <w:bookmarkEnd w:id="12"/>
    <w:bookmarkEnd w:id="13"/>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同时出现两种以上不一致的，按照前款规定的顺序修正。磋商小组将按上述修正错误的方法调整响应文件中的报价，并通过“苏采云”系统告知供应商，调整后的价格应对供应商具有约束力。如果供应商不确认或不接受修正后的价格，则其报价将被拒绝，其报价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21.8 澄清有关问题。</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21.8.1 对响应文件中含义不明确、同类问题表述不一致或者有明显文字和计算错误的内容，磋商小组可以发起询标，要求供应商作出必要的澄清、说明或者纠正。供应商的澄清、说明或者补正不得超出响应文件的范围或者改变响应文件的实质性内容。</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21.8.2 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21.8.3 接到磋商小组澄清、说明和补正要求的供应商如未按规定及时做出澄清、说明和补正，其风险由供应商自行承担</w:t>
      </w:r>
      <w:r>
        <w:rPr>
          <w:rFonts w:hint="eastAsia" w:ascii="宋体" w:hAnsi="宋体" w:eastAsia="宋体" w:cs="宋体"/>
          <w:bCs/>
          <w:color w:val="auto"/>
          <w:sz w:val="24"/>
          <w:szCs w:val="24"/>
          <w:highlight w:val="none"/>
          <w:lang w:val="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22、评审过程的保密与公正</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凡是与审查、澄清、评价和比较报价的有关资料以及授标建议等，采购人、评委、</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均不得向供应商或与评审无关的其他人员透露。</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在评审过程中，供应商不得以任何行为影响评审过程，否则其响应文件将被作为无效响应文件。</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22.3</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和磋商小组不向未成交的供应商解释未成交原因，也不公布评审过程中的相关细节。</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22.4</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highlight w:val="none"/>
        </w:rPr>
        <w:t>采用综合评分法的项目，未成交的供应商可于成交结果公告发布后通过“苏采云”系统查看自己的评审得分及排序情况</w:t>
      </w:r>
      <w:r>
        <w:rPr>
          <w:rFonts w:hint="eastAsia" w:ascii="宋体" w:hAnsi="宋体" w:eastAsia="宋体" w:cs="宋体"/>
          <w:bCs/>
          <w:color w:val="auto"/>
          <w:sz w:val="24"/>
          <w:szCs w:val="24"/>
          <w:highlight w:val="none"/>
          <w:lang w:val="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23、确定成交供应商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23.1 磋商小组根据磋商文件规定的评标方法和评标标准进行评审，按磋商文件的要求依法选取成交候选人，成交候选人的选取原则和数量见磋商文件第四章规定。</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23.2 评审结束后，采购人依照法律规定在收到评审报告后5个工作日内，在评审报告推荐的成交候选人中按顺序确定成交供应商。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23.3 成交结果确认后，</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将向成交供应商发出电子成交通知书，请成交供应商登录“苏采云” 系统及时下载成交通知书。因系统存储空间有限，自成交结果公告发布之日起30日后，“苏采云” 系统不再保证提供下载成交通知书服务。因未及时下载而造成的一切后果由成交供应商自行承担。</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23.4 </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将在“江苏政府采购网”发布成交公告，公告期限为1个工作日。</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23.5 未通过资格审查或符合性审查的供应商，将在“苏采云”系统中告知未通过资格审查或符合性审查的原因，评审结束后，将不再告知未通过资格审查和符合性审查的原因</w:t>
      </w:r>
      <w:r>
        <w:rPr>
          <w:rFonts w:hint="eastAsia" w:ascii="宋体" w:hAnsi="宋体" w:eastAsia="宋体" w:cs="宋体"/>
          <w:bCs/>
          <w:color w:val="auto"/>
          <w:sz w:val="24"/>
          <w:szCs w:val="24"/>
          <w:highlight w:val="none"/>
          <w:lang w:val="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24、采购终止</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24.1 </w:t>
      </w:r>
      <w:r>
        <w:rPr>
          <w:rFonts w:hint="eastAsia" w:ascii="宋体" w:hAnsi="宋体" w:eastAsia="宋体" w:cs="宋体"/>
          <w:bCs/>
          <w:color w:val="auto"/>
          <w:sz w:val="24"/>
          <w:szCs w:val="24"/>
          <w:lang w:val="zh-CN"/>
        </w:rPr>
        <w:t>在竞争性磋商方式采购中，出现下列情况之一的，本次采购活动终止：</w:t>
      </w:r>
    </w:p>
    <w:p>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因情况变化，不再符合规定的竞争性磋商方式采购方式适用情形的；</w:t>
      </w:r>
    </w:p>
    <w:p>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lang w:val="zh-CN"/>
        </w:rPr>
      </w:pPr>
      <w:r>
        <w:rPr>
          <w:rFonts w:hint="eastAsia" w:ascii="宋体" w:hAnsi="宋体" w:eastAsia="宋体" w:cs="宋体"/>
          <w:b w:val="0"/>
          <w:bCs/>
          <w:color w:val="auto"/>
          <w:sz w:val="24"/>
          <w:szCs w:val="24"/>
          <w:lang w:val="zh-CN"/>
        </w:rPr>
        <w:t>出现影响采购公正的违法、违规行为的；</w:t>
      </w:r>
    </w:p>
    <w:p>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lang w:val="zh-CN"/>
        </w:rPr>
        <w:t>除市场竞争不充分的科研项目、需要扶持的科技成果转化项目</w:t>
      </w:r>
      <w:r>
        <w:rPr>
          <w:rFonts w:hint="eastAsia" w:ascii="宋体" w:hAnsi="宋体" w:eastAsia="宋体" w:cs="宋体"/>
          <w:b w:val="0"/>
          <w:bCs/>
          <w:color w:val="auto"/>
          <w:sz w:val="24"/>
          <w:szCs w:val="24"/>
        </w:rPr>
        <w:t>以及</w:t>
      </w:r>
      <w:r>
        <w:rPr>
          <w:rFonts w:hint="eastAsia" w:ascii="宋体" w:hAnsi="宋体" w:eastAsia="宋体" w:cs="宋体"/>
          <w:b w:val="0"/>
          <w:bCs/>
          <w:color w:val="auto"/>
          <w:sz w:val="24"/>
          <w:szCs w:val="24"/>
          <w:lang w:val="zh-CN"/>
        </w:rPr>
        <w:t>政府购买服务项目（含政府和社会资本合作项目）以外，在采购过程中符合竞争要求的供应商或者报价未超过采购预算、最高限价的供应商不足3家的。</w:t>
      </w:r>
    </w:p>
    <w:p>
      <w:pPr>
        <w:keepNext w:val="0"/>
        <w:keepLines w:val="0"/>
        <w:pageBreakBefore w:val="0"/>
        <w:widowControl w:val="0"/>
        <w:numPr>
          <w:ilvl w:val="0"/>
          <w:numId w:val="4"/>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rPr>
        <w:t>磋商小组认定磋商文件存在歧义、重大缺陷导致评审工作无法进行。</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六、磋商保证金</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、磋商保证金：</w:t>
      </w:r>
      <w:r>
        <w:rPr>
          <w:rFonts w:hint="eastAsia" w:ascii="宋体" w:hAnsi="宋体" w:eastAsia="宋体" w:cs="宋体"/>
          <w:bCs/>
          <w:color w:val="auto"/>
          <w:sz w:val="24"/>
          <w:szCs w:val="24"/>
          <w:highlight w:val="none"/>
        </w:rPr>
        <w:t>本项目免收磋商保证金。</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七、签订</w:t>
      </w:r>
      <w:r>
        <w:rPr>
          <w:rFonts w:hint="eastAsia" w:ascii="宋体" w:hAnsi="宋体" w:eastAsia="宋体" w:cs="宋体"/>
          <w:b/>
          <w:color w:val="auto"/>
          <w:sz w:val="24"/>
          <w:szCs w:val="24"/>
          <w:highlight w:val="none"/>
          <w:lang w:val="zh-CN"/>
        </w:rPr>
        <w:t>合同</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、签订合同</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 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26.2 成交供应商应于成交通知书发出之日起30日内，按照采购文件确定的事项与采购人签订政府采购合同；采购人应于政府采购合同签订之日起2个工作日内对合同进行公告，并于7个工作日内将合同副本报同级财政监管部门备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成交供应商如逾期不办理相关手续、签订合同，财政部门将依据有关规定进行处理。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如遇特殊情况，采购人及财政部门可延期签订合同。</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26.3 签订合同书及合同条款应以磋商文件和成交供应商的响应文件为依据。</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26.4 签订合同前，采购人有权要求成交供应商提交履约保证金，履约保证金的数额不超过政府采购合同总金额的10%。采购人应当允许供应商自主选择以电子履约保函等非现金形式缴纳或提交，并与成交供应商在采购合同中约定履约保证金退还的方式、时间、条件和不予退还的情形，明确逾期退还履约保证金的违约责任。</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26.5 采购合同履行中，采购人需追加与合同标的相同货物的，在不改变合同其他条款的前提下，可以与成交供应商协商签订补充合同，但所有补充合同的采购金额不得超过原合同采购金额的百分之十。</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26.6 成交供应商拒绝与采购人签订合同，或因不可抗力不能履行政府采购合同的，须要有明确的意思表示，并向采购人书面申明放弃合同，采购人可以按照评审报告推荐的成交候选人名单排序，视情况确定下一候选人为成交供应商，也可以重新开展政府采购活动。无正当理由拒绝签订合同的成交供应商，财政监管部门将视情对其处以采购金额千分之五以上千分之十以下的罚款，列入不良行为记录名单，在一至三年内禁止参加政府采购活动。拒绝签订政府采购合同的成交供应商不得参加对该项目重新开展的采购活动。</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成交候选人放弃成交资格的，参照前款进行处理</w:t>
      </w:r>
      <w:r>
        <w:rPr>
          <w:rFonts w:hint="eastAsia" w:ascii="宋体" w:hAnsi="宋体" w:eastAsia="宋体" w:cs="宋体"/>
          <w:bCs/>
          <w:color w:val="auto"/>
          <w:sz w:val="24"/>
          <w:szCs w:val="24"/>
          <w:highlight w:val="none"/>
          <w:lang w:val="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27、“政采贷”、履约保函</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27.1 成交供应商可采用合同融资形式，成交供应商可凭政府采购合同办理融资贷款，详见江苏政府采购网“政采贷”专栏。</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27.2 履约保函，是指由专业担保机构为中标（成交）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八、报价行为及报价产品</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z w:val="24"/>
          <w:szCs w:val="24"/>
          <w:highlight w:val="none"/>
          <w:lang w:val="en-US" w:eastAsia="zh-CN"/>
        </w:rPr>
        <w:t>8</w:t>
      </w:r>
      <w:r>
        <w:rPr>
          <w:rFonts w:hint="eastAsia" w:ascii="宋体" w:hAnsi="宋体" w:eastAsia="宋体" w:cs="宋体"/>
          <w:b/>
          <w:bCs w:val="0"/>
          <w:color w:val="auto"/>
          <w:sz w:val="24"/>
          <w:szCs w:val="24"/>
          <w:highlight w:val="none"/>
        </w:rPr>
        <w:t>、报价行为及报价产品：</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bookmarkStart w:id="14" w:name="OLE_LINK17"/>
      <w:r>
        <w:rPr>
          <w:rFonts w:hint="eastAsia" w:ascii="宋体" w:hAnsi="宋体" w:eastAsia="宋体" w:cs="宋体"/>
          <w:bCs/>
          <w:color w:val="auto"/>
          <w:sz w:val="24"/>
          <w:szCs w:val="24"/>
        </w:rPr>
        <w:t xml:space="preserve">28.1 </w:t>
      </w:r>
      <w:r>
        <w:rPr>
          <w:rFonts w:hint="eastAsia" w:ascii="宋体" w:hAnsi="宋体" w:eastAsia="宋体" w:cs="宋体"/>
          <w:bCs/>
          <w:color w:val="auto"/>
          <w:sz w:val="24"/>
          <w:szCs w:val="24"/>
          <w:lang w:val="zh-CN"/>
        </w:rPr>
        <w:t>供应商的行为必须遵守各项法律、法规、规章及相关制度的规定。</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28.2 </w:t>
      </w:r>
      <w:r>
        <w:rPr>
          <w:rFonts w:hint="eastAsia" w:ascii="宋体" w:hAnsi="宋体" w:eastAsia="宋体" w:cs="宋体"/>
          <w:bCs/>
          <w:color w:val="auto"/>
          <w:sz w:val="24"/>
          <w:szCs w:val="24"/>
          <w:lang w:val="zh-CN"/>
        </w:rPr>
        <w:t>提供的服务及产品、产品安装（施工）等应符合国家、行业等相关标准及要求。</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28.3 </w:t>
      </w:r>
      <w:r>
        <w:rPr>
          <w:rFonts w:hint="eastAsia" w:ascii="宋体" w:hAnsi="宋体" w:eastAsia="宋体" w:cs="宋体"/>
          <w:bCs/>
          <w:color w:val="auto"/>
          <w:sz w:val="24"/>
          <w:szCs w:val="24"/>
          <w:lang w:val="zh-CN"/>
        </w:rPr>
        <w:t>供应商提供的产品应是全新、未使用过的原装合格正品。</w:t>
      </w:r>
      <w:r>
        <w:rPr>
          <w:rFonts w:hint="eastAsia" w:ascii="宋体" w:hAnsi="宋体" w:eastAsia="宋体" w:cs="宋体"/>
          <w:bCs/>
          <w:color w:val="auto"/>
          <w:sz w:val="24"/>
          <w:szCs w:val="24"/>
        </w:rPr>
        <w:t>供应商成交后，在供货期内如遇产品平滑（自然）升级，成交供应商应提供平滑升级商品不补差价（磋商文件中有特殊要求的除外）。</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 xml:space="preserve">28.4 </w:t>
      </w:r>
      <w:r>
        <w:rPr>
          <w:rFonts w:hint="eastAsia" w:ascii="宋体" w:hAnsi="宋体" w:eastAsia="宋体" w:cs="宋体"/>
          <w:bCs/>
          <w:color w:val="auto"/>
          <w:sz w:val="24"/>
          <w:szCs w:val="24"/>
          <w:lang w:val="zh-CN"/>
        </w:rPr>
        <w:t>磋商文件中要求供应商出具的证书、证明等相关材料，应当能实质性证明采购需求中的相关要求，且均应在有效期限内，即有效期限应覆盖响应文件评审当日。</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28.5 若本次采购包含软件开发，涉及源程序、源代码（包括今后升级后的源程序、源代码），数据库结构图、表间关系、开发文档、安装程序（制成光盘）的，成交供应商须按规定提供，软件版权归采购人所有。</w:t>
      </w:r>
    </w:p>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rPr>
        <w:t>28.6 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r>
        <w:rPr>
          <w:rFonts w:hint="eastAsia" w:ascii="宋体" w:hAnsi="宋体" w:eastAsia="宋体" w:cs="宋体"/>
          <w:bCs/>
          <w:color w:val="auto"/>
          <w:sz w:val="24"/>
          <w:szCs w:val="24"/>
          <w:highlight w:val="none"/>
          <w:lang w:val="zh-CN"/>
        </w:rPr>
        <w:t>。</w:t>
      </w:r>
    </w:p>
    <w:bookmarkEnd w:id="14"/>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zh-CN"/>
        </w:rPr>
      </w:pPr>
      <w:bookmarkStart w:id="15" w:name="_Toc23122"/>
      <w:r>
        <w:rPr>
          <w:rFonts w:hint="eastAsia" w:ascii="宋体" w:hAnsi="宋体" w:eastAsia="宋体" w:cs="宋体"/>
          <w:b/>
          <w:color w:val="auto"/>
          <w:sz w:val="24"/>
          <w:szCs w:val="24"/>
          <w:highlight w:val="none"/>
          <w:lang w:val="zh-CN"/>
        </w:rPr>
        <w:t>九、验收</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29.1 采购人将按照政府采购合同和磋商文件的规定以及供应商提供的技术、服务、安全标准等相关承诺，对供应商的履约情况进行验收并出具政府采购项目验收单。由采购人对成交供应商进行履约管理，并及时向成交供应商支付采购资金</w:t>
      </w:r>
      <w:r>
        <w:rPr>
          <w:rFonts w:hint="eastAsia" w:ascii="宋体" w:hAnsi="宋体" w:eastAsia="宋体" w:cs="宋体"/>
          <w:bCs/>
          <w:color w:val="auto"/>
          <w:sz w:val="24"/>
          <w:szCs w:val="24"/>
          <w:highlight w:val="none"/>
          <w:lang w:val="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十、质疑处理</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rPr>
      </w:pPr>
      <w:bookmarkStart w:id="16" w:name="OLE_LINK41"/>
      <w:bookmarkStart w:id="17" w:name="OLE_LINK126"/>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、询问</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30.1 供应商对采购活动事项有疑问的，可以向采购人提出询问，采购人将在三个工作日内作出答复，但答复的内容不得涉及商业秘密；供应商也可以向采购人委托的代理机构提出询问，代理机构就采购人委托授权范围内的事项作出答复。</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30.2</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采购代理机构</w:t>
      </w:r>
      <w:r>
        <w:rPr>
          <w:rFonts w:hint="eastAsia" w:ascii="宋体" w:hAnsi="宋体" w:eastAsia="宋体" w:cs="宋体"/>
          <w:bCs/>
          <w:color w:val="auto"/>
          <w:sz w:val="24"/>
          <w:szCs w:val="24"/>
          <w:highlight w:val="none"/>
        </w:rPr>
        <w:t>不负责向任何供应商解释评审情况</w:t>
      </w:r>
      <w:r>
        <w:rPr>
          <w:rFonts w:hint="eastAsia" w:ascii="宋体" w:hAnsi="宋体" w:eastAsia="宋体" w:cs="宋体"/>
          <w:bCs/>
          <w:color w:val="auto"/>
          <w:sz w:val="24"/>
          <w:szCs w:val="24"/>
          <w:highlight w:val="none"/>
          <w:lang w:eastAsia="zh-CN"/>
        </w:rPr>
        <w:t>。</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31</w:t>
      </w:r>
      <w:r>
        <w:rPr>
          <w:rFonts w:hint="eastAsia" w:ascii="宋体" w:hAnsi="宋体" w:eastAsia="宋体" w:cs="宋体"/>
          <w:b/>
          <w:bCs w:val="0"/>
          <w:color w:val="auto"/>
          <w:sz w:val="24"/>
          <w:szCs w:val="24"/>
          <w:highlight w:val="none"/>
        </w:rPr>
        <w:t>、质疑</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31.1</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lang w:val="zh-CN"/>
        </w:rPr>
        <w:t>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"http://download.ccgp.gov.cn/2018/zhiyihanfanben.zip" \o "http://download.ccgp.gov.cn/2018/zhiyihanfanben.zip"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val="zh-CN"/>
        </w:rPr>
        <w:t>政府采购供应商质疑函范本</w:t>
      </w:r>
      <w:r>
        <w:rPr>
          <w:rFonts w:hint="eastAsia" w:ascii="宋体" w:hAnsi="宋体" w:eastAsia="宋体" w:cs="宋体"/>
          <w:bCs/>
          <w:color w:val="auto"/>
          <w:sz w:val="24"/>
          <w:szCs w:val="24"/>
          <w:lang w:val="zh-CN"/>
        </w:rPr>
        <w:fldChar w:fldCharType="end"/>
      </w:r>
      <w:r>
        <w:rPr>
          <w:rFonts w:hint="eastAsia" w:ascii="宋体" w:hAnsi="宋体" w:eastAsia="宋体" w:cs="宋体"/>
          <w:bCs/>
          <w:color w:val="auto"/>
          <w:sz w:val="24"/>
          <w:szCs w:val="24"/>
          <w:lang w:val="zh-CN"/>
        </w:rPr>
        <w:t>》）。同一项目下的不同采购包，供应商只能对其参与的采购包提出质疑。</w:t>
      </w:r>
    </w:p>
    <w:p>
      <w:pPr>
        <w:keepNext w:val="0"/>
        <w:keepLines w:val="0"/>
        <w:pageBreakBefore w:val="0"/>
        <w:widowControl w:val="0"/>
        <w:kinsoku/>
        <w:wordWrap w:val="0"/>
        <w:overflowPunct/>
        <w:topLinePunct w:val="0"/>
        <w:autoSpaceDE/>
        <w:autoSpaceDN/>
        <w:bidi w:val="0"/>
        <w:adjustRightInd/>
        <w:snapToGrid/>
        <w:spacing w:line="360" w:lineRule="auto"/>
        <w:ind w:firstLine="48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31</w:t>
      </w:r>
      <w:r>
        <w:rPr>
          <w:rFonts w:hint="eastAsia" w:ascii="宋体" w:hAnsi="宋体" w:eastAsia="宋体" w:cs="宋体"/>
          <w:bCs/>
          <w:color w:val="auto"/>
          <w:sz w:val="24"/>
          <w:szCs w:val="24"/>
          <w:lang w:val="zh-CN"/>
        </w:rPr>
        <w:t>.2</w:t>
      </w:r>
      <w:r>
        <w:rPr>
          <w:rFonts w:hint="eastAsia" w:ascii="宋体" w:hAnsi="宋体" w:eastAsia="宋体" w:cs="宋体"/>
          <w:bCs/>
          <w:color w:val="auto"/>
          <w:sz w:val="24"/>
          <w:szCs w:val="24"/>
          <w:highlight w:val="none"/>
          <w:lang w:val="zh-CN"/>
        </w:rPr>
        <w:t xml:space="preserve"> </w:t>
      </w:r>
      <w:r>
        <w:rPr>
          <w:rFonts w:hint="eastAsia" w:ascii="宋体" w:hAnsi="宋体" w:eastAsia="宋体" w:cs="宋体"/>
          <w:bCs/>
          <w:color w:val="auto"/>
          <w:sz w:val="24"/>
          <w:szCs w:val="24"/>
          <w:lang w:val="zh-CN"/>
        </w:rPr>
        <w:t>质疑答复责任主体：</w:t>
      </w:r>
    </w:p>
    <w:p>
      <w:pPr>
        <w:keepNext w:val="0"/>
        <w:keepLines w:val="0"/>
        <w:pageBreakBefore w:val="0"/>
        <w:widowControl w:val="0"/>
        <w:numPr>
          <w:ilvl w:val="0"/>
          <w:numId w:val="5"/>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zh-CN"/>
        </w:rPr>
        <w:t>根据《中华人民共和国政府采购法》</w:t>
      </w:r>
      <w:r>
        <w:rPr>
          <w:rFonts w:hint="eastAsia" w:ascii="宋体" w:hAnsi="宋体" w:eastAsia="宋体" w:cs="宋体"/>
          <w:bCs/>
          <w:color w:val="auto"/>
          <w:sz w:val="24"/>
          <w:szCs w:val="24"/>
        </w:rPr>
        <w:t>五十一条、五十二条、五十三条规定，</w:t>
      </w:r>
      <w:r>
        <w:rPr>
          <w:rFonts w:hint="eastAsia" w:ascii="宋体" w:hAnsi="宋体" w:eastAsia="宋体" w:cs="宋体"/>
          <w:bCs/>
          <w:color w:val="auto"/>
          <w:sz w:val="24"/>
          <w:szCs w:val="24"/>
          <w:lang w:val="zh-CN"/>
        </w:rPr>
        <w:t>供应商认</w:t>
      </w:r>
      <w:r>
        <w:rPr>
          <w:rFonts w:hint="eastAsia" w:ascii="宋体" w:hAnsi="宋体" w:eastAsia="宋体" w:cs="宋体"/>
          <w:bCs/>
          <w:color w:val="auto"/>
          <w:sz w:val="24"/>
          <w:szCs w:val="24"/>
        </w:rPr>
        <w:t>为磋商文件、采购过程和成交结果使自己的权益受到损害的，可以在知道或者应当知道其权益受到损害之日起七个工作日内，以书面形式向采购人提出质疑。</w:t>
      </w:r>
    </w:p>
    <w:p>
      <w:pPr>
        <w:keepNext w:val="0"/>
        <w:keepLines w:val="0"/>
        <w:pageBreakBefore w:val="0"/>
        <w:widowControl w:val="0"/>
        <w:numPr>
          <w:ilvl w:val="0"/>
          <w:numId w:val="5"/>
        </w:numPr>
        <w:kinsoku/>
        <w:wordWrap w:val="0"/>
        <w:overflowPunct/>
        <w:topLinePunct w:val="0"/>
        <w:autoSpaceDE/>
        <w:autoSpaceDN/>
        <w:bidi w:val="0"/>
        <w:adjustRightInd/>
        <w:snapToGrid/>
        <w:spacing w:line="360" w:lineRule="auto"/>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供应商认为采购程序及流程操作使自己的权益受到损害的，可以向采购人提出质疑，也可以在法律规定时间内向采购代理机构提出质疑，采购</w:t>
      </w:r>
      <w:r>
        <w:rPr>
          <w:rFonts w:hint="eastAsia" w:ascii="宋体" w:hAnsi="宋体" w:eastAsia="宋体" w:cs="宋体"/>
          <w:bCs/>
          <w:color w:val="auto"/>
          <w:sz w:val="24"/>
          <w:szCs w:val="24"/>
          <w:lang w:val="zh-CN"/>
        </w:rPr>
        <w:t>代理机构就采购人委托授权范围内的事项作出答复。</w:t>
      </w:r>
    </w:p>
    <w:p>
      <w:pPr>
        <w:keepNext w:val="0"/>
        <w:keepLines w:val="0"/>
        <w:pageBreakBefore w:val="0"/>
        <w:widowControl w:val="0"/>
        <w:kinsoku/>
        <w:wordWrap w:val="0"/>
        <w:overflowPunct/>
        <w:topLinePunct w:val="0"/>
        <w:autoSpaceDE/>
        <w:autoSpaceDN/>
        <w:bidi w:val="0"/>
        <w:adjustRightInd/>
        <w:snapToGrid/>
        <w:spacing w:line="360" w:lineRule="auto"/>
        <w:ind w:firstLine="42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31</w:t>
      </w:r>
      <w:r>
        <w:rPr>
          <w:rFonts w:hint="eastAsia" w:ascii="宋体" w:hAnsi="宋体" w:eastAsia="宋体" w:cs="宋体"/>
          <w:bCs/>
          <w:color w:val="auto"/>
          <w:sz w:val="24"/>
          <w:szCs w:val="24"/>
          <w:lang w:val="zh-CN"/>
        </w:rPr>
        <w:t>.3 质疑时效期间的起算：对磋商文件提出质疑的，应自</w:t>
      </w:r>
      <w:r>
        <w:rPr>
          <w:rFonts w:hint="eastAsia" w:ascii="宋体" w:hAnsi="宋体" w:eastAsia="宋体" w:cs="宋体"/>
          <w:bCs/>
          <w:color w:val="auto"/>
          <w:sz w:val="24"/>
          <w:szCs w:val="24"/>
        </w:rPr>
        <w:t>采购</w:t>
      </w:r>
      <w:r>
        <w:rPr>
          <w:rFonts w:hint="eastAsia" w:ascii="宋体" w:hAnsi="宋体" w:eastAsia="宋体" w:cs="宋体"/>
          <w:bCs/>
          <w:color w:val="auto"/>
          <w:sz w:val="24"/>
          <w:szCs w:val="24"/>
          <w:lang w:val="zh-CN"/>
        </w:rPr>
        <w:t>公告期限届满之日起计算，</w:t>
      </w:r>
      <w:bookmarkStart w:id="18" w:name="_Hlk170477102"/>
      <w:r>
        <w:rPr>
          <w:rFonts w:hint="eastAsia" w:ascii="宋体" w:hAnsi="宋体" w:eastAsia="宋体" w:cs="宋体"/>
          <w:bCs/>
          <w:color w:val="auto"/>
          <w:sz w:val="24"/>
          <w:szCs w:val="24"/>
          <w:lang w:val="zh-CN"/>
        </w:rPr>
        <w:t>本次采购供应商应当收到采购文件期限和采购文件公告届满期限均为采购公告发布之日起三个工作日</w:t>
      </w:r>
      <w:bookmarkEnd w:id="18"/>
      <w:r>
        <w:rPr>
          <w:rFonts w:hint="eastAsia" w:ascii="宋体" w:hAnsi="宋体" w:eastAsia="宋体" w:cs="宋体"/>
          <w:bCs/>
          <w:color w:val="auto"/>
          <w:sz w:val="24"/>
          <w:szCs w:val="24"/>
          <w:lang w:val="zh-CN"/>
        </w:rPr>
        <w:t>；对采购过程提出质疑的，自采购程序环节结束之日起计算；对成交结果提出质疑的，自成交结果公告期限届满之日起计算。未在法律规定的时间内按要求提交质疑函（仅限于原件）的，被质疑人将不予受理。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rPr>
        <w:t xml:space="preserve">31.4 </w:t>
      </w:r>
      <w:r>
        <w:rPr>
          <w:rFonts w:hint="eastAsia" w:ascii="宋体" w:hAnsi="宋体" w:eastAsia="宋体" w:cs="宋体"/>
          <w:bCs/>
          <w:color w:val="auto"/>
          <w:sz w:val="24"/>
          <w:szCs w:val="24"/>
          <w:lang w:val="zh-CN"/>
        </w:rPr>
        <w:t>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p>
    <w:p>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32、投诉</w:t>
      </w:r>
    </w:p>
    <w:bookmarkEnd w:id="16"/>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zh-CN"/>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bookmarkStart w:id="19" w:name="OLE_LINK229"/>
      <w:bookmarkStart w:id="20" w:name="OLE_LINK111"/>
      <w:r>
        <w:rPr>
          <w:rFonts w:hint="eastAsia" w:ascii="宋体" w:hAnsi="宋体" w:eastAsia="宋体" w:cs="宋体"/>
          <w:bCs/>
          <w:color w:val="auto"/>
          <w:sz w:val="24"/>
          <w:szCs w:val="24"/>
          <w:highlight w:val="none"/>
        </w:rPr>
        <w:t>32.1 质疑供应商对采购人的答复不满意或者采购人未在规定的时间内作出答复的，可以在答复期满后十五个工作日内向报价邀请函中的财政监管部门提出投诉</w:t>
      </w:r>
      <w:r>
        <w:rPr>
          <w:rFonts w:hint="eastAsia" w:ascii="宋体" w:hAnsi="宋体" w:eastAsia="宋体" w:cs="宋体"/>
          <w:bCs/>
          <w:color w:val="auto"/>
          <w:sz w:val="24"/>
          <w:szCs w:val="24"/>
          <w:highlight w:val="none"/>
          <w:lang w:val="zh-CN"/>
        </w:rPr>
        <w:t>。</w:t>
      </w:r>
      <w:bookmarkEnd w:id="17"/>
      <w:bookmarkEnd w:id="19"/>
      <w:bookmarkEnd w:id="20"/>
    </w:p>
    <w:p>
      <w:pPr>
        <w:keepNext w:val="0"/>
        <w:keepLines w:val="0"/>
        <w:pageBreakBefore w:val="0"/>
        <w:widowControl w:val="0"/>
        <w:kinsoku/>
        <w:wordWrap/>
        <w:overflowPunct/>
        <w:topLinePunct w:val="0"/>
        <w:bidi w:val="0"/>
        <w:spacing w:line="360" w:lineRule="auto"/>
        <w:ind w:firstLine="480"/>
        <w:jc w:val="center"/>
        <w:textAlignment w:val="auto"/>
        <w:outlineLvl w:val="0"/>
        <w:rPr>
          <w:rFonts w:hint="eastAsia" w:ascii="宋体" w:hAnsi="宋体" w:eastAsia="宋体" w:cs="宋体"/>
          <w:color w:val="auto"/>
          <w:sz w:val="28"/>
          <w:highlight w:val="none"/>
        </w:rPr>
      </w:pPr>
      <w:bookmarkStart w:id="21" w:name="_Toc10803"/>
      <w:r>
        <w:rPr>
          <w:rFonts w:hint="eastAsia" w:ascii="黑体" w:hAnsi="黑体" w:eastAsia="黑体" w:cs="Times New Roman"/>
          <w:color w:val="auto"/>
          <w:sz w:val="28"/>
          <w:highlight w:val="none"/>
        </w:rPr>
        <w:t>第三章 项目技术要求和有关说明</w:t>
      </w:r>
      <w:bookmarkEnd w:id="15"/>
      <w:bookmarkEnd w:id="21"/>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rPr>
      </w:pPr>
      <w:bookmarkStart w:id="22" w:name="_Toc27627"/>
      <w:bookmarkStart w:id="23" w:name="_Toc526779129"/>
      <w:bookmarkStart w:id="24" w:name="OLE_LINK13"/>
      <w:bookmarkStart w:id="25" w:name="OLE_LINK91"/>
      <w:bookmarkStart w:id="26" w:name="_Toc3082"/>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32"/>
        </w:rPr>
      </w:pPr>
      <w:r>
        <w:rPr>
          <w:rFonts w:hint="eastAsia" w:ascii="宋体" w:hAnsi="宋体" w:eastAsia="宋体" w:cs="宋体"/>
          <w:color w:val="auto"/>
          <w:sz w:val="24"/>
          <w:szCs w:val="32"/>
        </w:rPr>
        <w:t>本项目为</w:t>
      </w:r>
      <w:r>
        <w:rPr>
          <w:rFonts w:hint="eastAsia" w:ascii="宋体" w:hAnsi="宋体" w:cs="宋体"/>
          <w:color w:val="auto"/>
          <w:sz w:val="24"/>
          <w:szCs w:val="32"/>
          <w:lang w:eastAsia="zh-CN"/>
        </w:rPr>
        <w:t>宜兴市人民法院</w:t>
      </w:r>
      <w:r>
        <w:rPr>
          <w:rFonts w:hint="eastAsia" w:ascii="宋体" w:hAnsi="宋体" w:eastAsia="宋体" w:cs="宋体"/>
          <w:color w:val="auto"/>
          <w:sz w:val="24"/>
          <w:szCs w:val="32"/>
        </w:rPr>
        <w:t>的</w:t>
      </w:r>
      <w:r>
        <w:rPr>
          <w:rFonts w:hint="eastAsia" w:ascii="宋体" w:hAnsi="宋体" w:cs="宋体"/>
          <w:color w:val="auto"/>
          <w:sz w:val="24"/>
          <w:szCs w:val="32"/>
          <w:lang w:eastAsia="zh-CN"/>
        </w:rPr>
        <w:t>宜兴法院2026年度食堂管理服务</w:t>
      </w:r>
      <w:r>
        <w:rPr>
          <w:rFonts w:hint="eastAsia" w:ascii="宋体" w:hAnsi="宋体" w:eastAsia="宋体" w:cs="宋体"/>
          <w:color w:val="auto"/>
          <w:sz w:val="24"/>
          <w:szCs w:val="32"/>
        </w:rPr>
        <w:t>，具体要求如下：</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32"/>
          <w:lang w:eastAsia="zh-CN"/>
        </w:rPr>
      </w:pPr>
      <w:r>
        <w:rPr>
          <w:rFonts w:hint="eastAsia" w:ascii="宋体" w:hAnsi="宋体" w:eastAsia="宋体" w:cs="宋体"/>
          <w:b/>
          <w:bCs/>
          <w:color w:val="auto"/>
          <w:sz w:val="24"/>
          <w:szCs w:val="32"/>
        </w:rPr>
        <w:t>一、</w:t>
      </w:r>
      <w:r>
        <w:rPr>
          <w:rFonts w:hint="eastAsia" w:ascii="宋体" w:hAnsi="宋体" w:cs="宋体"/>
          <w:b/>
          <w:bCs/>
          <w:color w:val="auto"/>
          <w:sz w:val="24"/>
          <w:szCs w:val="32"/>
          <w:lang w:eastAsia="zh-CN"/>
        </w:rPr>
        <w:t>项目概况</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为更好的向广大职工提供优质餐饮服务，对食堂服务管理进行采购。</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32"/>
        </w:rPr>
      </w:pPr>
      <w:r>
        <w:rPr>
          <w:rFonts w:hint="eastAsia" w:ascii="宋体" w:hAnsi="宋体" w:eastAsia="宋体" w:cs="宋体"/>
          <w:b/>
          <w:bCs/>
          <w:color w:val="auto"/>
          <w:sz w:val="24"/>
          <w:szCs w:val="32"/>
        </w:rPr>
        <w:t>二、服务要求</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1、保障早餐（约400人）、中午（约250人）职工餐饮供给、工作餐接待。</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2、管理团队所有人员均要持有健康证。厨师长至少为中级技师、面点厨师须有5年以上工作经验。</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成交供应商对上述人员有用人自主权，但人员的配备需向采购人备案认可。成交供应商派出的管理团队人员为成交供应商单位员工(需相关证明文件)，与采购人没有任何劳动人事关系。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3、食堂所需的主副食、菜品原材料和配料等由采购人经统一采购渠道采购,由成交供应商负责验收。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4、在管理过程中因成交供应商管理不善造成事故的，由成交供应商负责，并赔偿由此给采购人造成的所有损失。</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5、采购人将对成交供应商定期进行考核和评议，如成交供应商对采购人指出的问题整改不到位，将扣除相应的管理费。</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6、在上级领导视察、其他单位来参观考察或法定节假日时，若采购人通知供应商须提供服务，供应商应积极配合采购人做好本职服务工作，不得以任何理由推脱拒绝提供服务，否则采购人有权取消合同，并处以相应处罚。</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lang w:eastAsia="zh-CN"/>
        </w:rPr>
      </w:pPr>
      <w:r>
        <w:rPr>
          <w:rFonts w:hint="eastAsia" w:ascii="宋体" w:hAnsi="宋体" w:cs="宋体"/>
          <w:color w:val="auto"/>
          <w:sz w:val="24"/>
          <w:szCs w:val="32"/>
          <w:lang w:val="en-US" w:eastAsia="zh-CN"/>
        </w:rPr>
        <w:t>7、</w:t>
      </w:r>
      <w:r>
        <w:rPr>
          <w:rFonts w:hint="eastAsia" w:ascii="宋体" w:hAnsi="宋体" w:cs="宋体"/>
          <w:color w:val="auto"/>
          <w:sz w:val="24"/>
          <w:szCs w:val="32"/>
          <w:lang w:eastAsia="zh-CN"/>
        </w:rPr>
        <w:t>供应商应对本项目中有充分的认识和理解，了解采购人需求，提供各项服务方案，并结合实施经验分析过程中可能存在的突发事件，提出相对应的应急预案。</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宋体"/>
          <w:b/>
          <w:bCs/>
          <w:color w:val="auto"/>
          <w:sz w:val="24"/>
          <w:szCs w:val="32"/>
        </w:rPr>
      </w:pPr>
      <w:r>
        <w:rPr>
          <w:rFonts w:hint="eastAsia" w:ascii="宋体" w:hAnsi="宋体" w:eastAsia="宋体" w:cs="宋体"/>
          <w:b/>
          <w:bCs/>
          <w:color w:val="auto"/>
          <w:sz w:val="24"/>
          <w:szCs w:val="32"/>
        </w:rPr>
        <w:t>三、人员配备</w:t>
      </w:r>
    </w:p>
    <w:p>
      <w:pPr>
        <w:keepNext w:val="0"/>
        <w:keepLines w:val="0"/>
        <w:pageBreakBefore w:val="0"/>
        <w:widowControl w:val="0"/>
        <w:kinsoku/>
        <w:wordWrap/>
        <w:overflowPunct/>
        <w:topLinePunct w:val="0"/>
        <w:autoSpaceDE/>
        <w:autoSpaceDN/>
        <w:bidi w:val="0"/>
        <w:adjustRightInd/>
        <w:snapToGrid/>
        <w:spacing w:line="360" w:lineRule="auto"/>
        <w:jc w:val="center"/>
        <w:rPr>
          <w:rFonts w:hint="eastAsia" w:ascii="宋体" w:hAnsi="宋体" w:eastAsia="宋体" w:cs="Times New Roman"/>
          <w:b/>
          <w:bCs w:val="0"/>
          <w:color w:val="auto"/>
          <w:kern w:val="0"/>
          <w:sz w:val="24"/>
          <w:szCs w:val="24"/>
          <w:lang w:val="en-US" w:eastAsia="zh-CN" w:bidi="ar-SA"/>
        </w:rPr>
      </w:pPr>
      <w:r>
        <w:rPr>
          <w:rFonts w:hint="eastAsia" w:ascii="宋体" w:hAnsi="宋体" w:eastAsia="宋体" w:cs="Times New Roman"/>
          <w:b/>
          <w:bCs w:val="0"/>
          <w:color w:val="auto"/>
          <w:kern w:val="0"/>
          <w:sz w:val="24"/>
          <w:szCs w:val="24"/>
          <w:lang w:val="en-US" w:eastAsia="zh-CN" w:bidi="ar-SA"/>
        </w:rPr>
        <w:t>食堂服务人员配置及架构</w:t>
      </w:r>
    </w:p>
    <w:tbl>
      <w:tblPr>
        <w:tblStyle w:val="6"/>
        <w:tblW w:w="9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1500"/>
        <w:gridCol w:w="6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685" w:type="dxa"/>
            <w:tcBorders>
              <w:tl2br w:val="nil"/>
              <w:tr2bl w:val="nil"/>
            </w:tcBorders>
            <w:noWrap w:val="0"/>
            <w:vAlign w:val="center"/>
          </w:tcPr>
          <w:p>
            <w:pPr>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岗位</w:t>
            </w:r>
          </w:p>
        </w:tc>
        <w:tc>
          <w:tcPr>
            <w:tcW w:w="1500" w:type="dxa"/>
            <w:tcBorders>
              <w:tl2br w:val="nil"/>
              <w:tr2bl w:val="nil"/>
            </w:tcBorders>
            <w:noWrap w:val="0"/>
            <w:vAlign w:val="center"/>
          </w:tcPr>
          <w:p>
            <w:pPr>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配备人数</w:t>
            </w:r>
          </w:p>
        </w:tc>
        <w:tc>
          <w:tcPr>
            <w:tcW w:w="6431" w:type="dxa"/>
            <w:tcBorders>
              <w:tl2br w:val="nil"/>
              <w:tr2bl w:val="nil"/>
            </w:tcBorders>
            <w:noWrap w:val="0"/>
            <w:vAlign w:val="center"/>
          </w:tcPr>
          <w:p>
            <w:pPr>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工作概述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685"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项目负责人</w:t>
            </w:r>
          </w:p>
        </w:tc>
        <w:tc>
          <w:tcPr>
            <w:tcW w:w="1500"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1</w:t>
            </w:r>
          </w:p>
        </w:tc>
        <w:tc>
          <w:tcPr>
            <w:tcW w:w="643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1、与采购人保持联系，每月向采购人进行情况汇报</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2、日常工作的监管、协调、考核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685"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厨师长</w:t>
            </w:r>
          </w:p>
        </w:tc>
        <w:tc>
          <w:tcPr>
            <w:tcW w:w="1500"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1</w:t>
            </w:r>
          </w:p>
        </w:tc>
        <w:tc>
          <w:tcPr>
            <w:tcW w:w="643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1、处理厨房的日常业务工作</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2、做好原材料需求计划及购进材料的质量数量验收</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3、负责菜品研发，每日菜谱制定，并把好食品卫生关</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4、抓好加工，烹饪全过程的管理，严把饭菜质量关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685"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厨师</w:t>
            </w:r>
          </w:p>
        </w:tc>
        <w:tc>
          <w:tcPr>
            <w:tcW w:w="1500"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1</w:t>
            </w:r>
          </w:p>
        </w:tc>
        <w:tc>
          <w:tcPr>
            <w:tcW w:w="643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1、助切配帮厨及时完成配菜任务</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2、保证菜品质量按照菜谱与投料标准进行菜品制作</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3、保证菜品质量</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4、负责菜品留样与后灶卫生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685"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帮厨</w:t>
            </w:r>
          </w:p>
        </w:tc>
        <w:tc>
          <w:tcPr>
            <w:tcW w:w="1500"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1</w:t>
            </w:r>
          </w:p>
        </w:tc>
        <w:tc>
          <w:tcPr>
            <w:tcW w:w="643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1、按照投料与切配标准及大厨要求，进行菜品切配</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2、保证切配质量</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3、协助厨师长进行原料的把关</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4、负责切配区域的卫生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685"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点心师</w:t>
            </w:r>
          </w:p>
        </w:tc>
        <w:tc>
          <w:tcPr>
            <w:tcW w:w="1500"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1</w:t>
            </w:r>
          </w:p>
        </w:tc>
        <w:tc>
          <w:tcPr>
            <w:tcW w:w="643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1、负责点心原材料的验收，保证原材料质量</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2、按照投料标准及供餐时间进行点心制作</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3、及时无误提供点心花样种类</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4、负责点心间区域卫生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1685"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小工</w:t>
            </w:r>
          </w:p>
        </w:tc>
        <w:tc>
          <w:tcPr>
            <w:tcW w:w="1500"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r>
              <w:rPr>
                <w:rFonts w:hint="default" w:ascii="宋体" w:hAnsi="宋体"/>
                <w:b w:val="0"/>
                <w:bCs w:val="0"/>
                <w:color w:val="auto"/>
                <w:sz w:val="24"/>
                <w:szCs w:val="24"/>
                <w:highlight w:val="none"/>
                <w:lang w:val="en-US" w:eastAsia="zh-CN"/>
              </w:rPr>
              <w:t>5</w:t>
            </w:r>
          </w:p>
        </w:tc>
        <w:tc>
          <w:tcPr>
            <w:tcW w:w="643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1、各类蔬菜、荤菜、水产的洗、择等粗加工</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2、负责餐渣清理及清理后餐具的洗刷消毒</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3、负责食堂所有公共区域卫生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1685" w:type="dxa"/>
            <w:tcBorders>
              <w:tl2br w:val="nil"/>
              <w:tr2bl w:val="nil"/>
            </w:tcBorders>
            <w:noWrap w:val="0"/>
            <w:vAlign w:val="center"/>
          </w:tcPr>
          <w:p>
            <w:pPr>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合计</w:t>
            </w:r>
          </w:p>
        </w:tc>
        <w:tc>
          <w:tcPr>
            <w:tcW w:w="1500" w:type="dxa"/>
            <w:tcBorders>
              <w:tl2br w:val="nil"/>
              <w:tr2bl w:val="nil"/>
            </w:tcBorders>
            <w:noWrap w:val="0"/>
            <w:vAlign w:val="center"/>
          </w:tcPr>
          <w:p>
            <w:pPr>
              <w:jc w:val="cente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10人</w:t>
            </w:r>
          </w:p>
        </w:tc>
        <w:tc>
          <w:tcPr>
            <w:tcW w:w="6431" w:type="dxa"/>
            <w:tcBorders>
              <w:tl2br w:val="nil"/>
              <w:tr2bl w:val="nil"/>
            </w:tcBorders>
            <w:noWrap w:val="0"/>
            <w:vAlign w:val="center"/>
          </w:tcPr>
          <w:p>
            <w:pPr>
              <w:jc w:val="center"/>
              <w:rPr>
                <w:rFonts w:hint="eastAsia" w:ascii="宋体" w:hAnsi="宋体"/>
                <w:b w:val="0"/>
                <w:bCs w:val="0"/>
                <w:color w:val="auto"/>
                <w:sz w:val="24"/>
                <w:szCs w:val="24"/>
                <w:highlight w:val="none"/>
                <w:lang w:val="en-US" w:eastAsia="zh-CN"/>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cs="宋体"/>
          <w:color w:val="auto"/>
          <w:sz w:val="24"/>
          <w:szCs w:val="32"/>
          <w:lang w:eastAsia="zh-CN"/>
        </w:rPr>
      </w:pPr>
      <w:r>
        <w:rPr>
          <w:rFonts w:hint="eastAsia" w:ascii="宋体" w:hAnsi="宋体" w:cs="宋体"/>
          <w:color w:val="auto"/>
          <w:sz w:val="24"/>
          <w:szCs w:val="32"/>
          <w:lang w:eastAsia="zh-CN"/>
        </w:rPr>
        <w:t>注：上述人员中男员工年龄须在60周岁以下，女员工年龄须在55周岁以下。 所有人员须经过专业培训和接受采购人的专业指导，派驻人员应服从采购人的管理和指导，若不服从，成交供应商必须应在接到（口头或书面）通知后，3天工作时间内调换人员，调换人员须符合招标文件要求，所有人员必须有1至2名替补人员（和调换人员要求一致），以备特殊情况下进行更换和增加。更换和增加的人员须征得采购人同意后方可调配补充，由此产生的额外费用均由供应商自行承担。</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32"/>
        </w:rPr>
      </w:pPr>
      <w:r>
        <w:rPr>
          <w:rFonts w:hint="eastAsia" w:ascii="宋体" w:hAnsi="宋体" w:cs="宋体"/>
          <w:b/>
          <w:bCs/>
          <w:color w:val="auto"/>
          <w:sz w:val="24"/>
          <w:szCs w:val="32"/>
          <w:lang w:eastAsia="zh-CN"/>
        </w:rPr>
        <w:t>三</w:t>
      </w:r>
      <w:r>
        <w:rPr>
          <w:rFonts w:hint="eastAsia" w:ascii="宋体" w:hAnsi="宋体" w:eastAsia="宋体" w:cs="宋体"/>
          <w:b/>
          <w:bCs/>
          <w:color w:val="auto"/>
          <w:sz w:val="24"/>
          <w:szCs w:val="32"/>
        </w:rPr>
        <w:t>、商务要求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rPr>
      </w:pPr>
      <w:r>
        <w:rPr>
          <w:rFonts w:hint="eastAsia" w:ascii="宋体" w:hAnsi="宋体" w:eastAsia="宋体" w:cs="宋体"/>
          <w:color w:val="auto"/>
          <w:sz w:val="24"/>
          <w:szCs w:val="32"/>
        </w:rPr>
        <w:t>1、服务期限：202</w:t>
      </w:r>
      <w:r>
        <w:rPr>
          <w:rFonts w:hint="eastAsia" w:ascii="宋体" w:hAnsi="宋体" w:cs="宋体"/>
          <w:color w:val="auto"/>
          <w:sz w:val="24"/>
          <w:szCs w:val="32"/>
          <w:lang w:val="en-US" w:eastAsia="zh-CN"/>
        </w:rPr>
        <w:t>5</w:t>
      </w:r>
      <w:r>
        <w:rPr>
          <w:rFonts w:hint="eastAsia" w:ascii="宋体" w:hAnsi="宋体" w:eastAsia="宋体" w:cs="宋体"/>
          <w:color w:val="auto"/>
          <w:sz w:val="24"/>
          <w:szCs w:val="32"/>
        </w:rPr>
        <w:t>年12月-202</w:t>
      </w:r>
      <w:r>
        <w:rPr>
          <w:rFonts w:hint="eastAsia" w:ascii="宋体" w:hAnsi="宋体" w:cs="宋体"/>
          <w:color w:val="auto"/>
          <w:sz w:val="24"/>
          <w:szCs w:val="32"/>
          <w:lang w:val="en-US" w:eastAsia="zh-CN"/>
        </w:rPr>
        <w:t>6</w:t>
      </w:r>
      <w:r>
        <w:rPr>
          <w:rFonts w:hint="eastAsia" w:ascii="宋体" w:hAnsi="宋体" w:eastAsia="宋体" w:cs="宋体"/>
          <w:color w:val="auto"/>
          <w:sz w:val="24"/>
          <w:szCs w:val="32"/>
        </w:rPr>
        <w:t>年12月。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rPr>
      </w:pPr>
      <w:r>
        <w:rPr>
          <w:rFonts w:hint="eastAsia" w:ascii="宋体" w:hAnsi="宋体" w:eastAsia="宋体" w:cs="宋体"/>
          <w:color w:val="auto"/>
          <w:sz w:val="24"/>
          <w:szCs w:val="32"/>
        </w:rPr>
        <w:t>2、服务地点：</w:t>
      </w:r>
      <w:r>
        <w:rPr>
          <w:rFonts w:hint="eastAsia" w:ascii="宋体" w:hAnsi="宋体"/>
          <w:color w:val="auto"/>
          <w:sz w:val="24"/>
          <w:highlight w:val="none"/>
          <w:lang w:eastAsia="zh-CN"/>
        </w:rPr>
        <w:t>宜兴市人民法院</w:t>
      </w:r>
      <w:r>
        <w:rPr>
          <w:rFonts w:hint="eastAsia" w:ascii="宋体" w:hAnsi="宋体" w:eastAsia="宋体" w:cs="宋体"/>
          <w:color w:val="auto"/>
          <w:sz w:val="24"/>
          <w:szCs w:val="32"/>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rPr>
      </w:pPr>
      <w:r>
        <w:rPr>
          <w:rFonts w:hint="eastAsia" w:ascii="宋体" w:hAnsi="宋体" w:eastAsia="宋体" w:cs="宋体"/>
          <w:color w:val="auto"/>
          <w:sz w:val="24"/>
          <w:szCs w:val="32"/>
        </w:rPr>
        <w:t>3、验收标准：采购人根据国家有关规定、磋商文件、响应文件以及合同约定的内容组织验收，具体验收办法详见《江苏省政府采购履约验收管理办法》。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FF0000"/>
          <w:sz w:val="24"/>
          <w:szCs w:val="32"/>
          <w:highlight w:val="yellow"/>
          <w:lang w:eastAsia="zh-CN"/>
        </w:rPr>
      </w:pPr>
      <w:r>
        <w:rPr>
          <w:rFonts w:hint="eastAsia" w:ascii="宋体" w:hAnsi="宋体" w:eastAsia="宋体" w:cs="宋体"/>
          <w:color w:val="auto"/>
          <w:sz w:val="24"/>
          <w:szCs w:val="32"/>
        </w:rPr>
        <w:t>4、付款步骤：</w:t>
      </w:r>
      <w:bookmarkStart w:id="27" w:name="OLE_LINK1"/>
      <w:r>
        <w:rPr>
          <w:rFonts w:hint="eastAsia" w:ascii="宋体" w:hAnsi="宋体" w:cs="宋体"/>
          <w:color w:val="auto"/>
          <w:sz w:val="24"/>
          <w:szCs w:val="32"/>
          <w:highlight w:val="none"/>
          <w:lang w:eastAsia="zh-CN"/>
        </w:rPr>
        <w:t>按季度结算，服务费自签订合同生效之日起算，每季度费用由乙方在下一个季度的第一个月内开出该季度服务费70%的发票，甲方于收到发票之日起30个工作日内付清。每季度剩余款项一并于202</w:t>
      </w:r>
      <w:r>
        <w:rPr>
          <w:rFonts w:hint="eastAsia" w:ascii="宋体" w:hAnsi="宋体" w:cs="宋体"/>
          <w:color w:val="auto"/>
          <w:sz w:val="24"/>
          <w:szCs w:val="32"/>
          <w:highlight w:val="none"/>
          <w:lang w:val="en-US" w:eastAsia="zh-CN"/>
        </w:rPr>
        <w:t>7</w:t>
      </w:r>
      <w:r>
        <w:rPr>
          <w:rFonts w:hint="eastAsia" w:ascii="宋体" w:hAnsi="宋体" w:cs="宋体"/>
          <w:color w:val="auto"/>
          <w:sz w:val="24"/>
          <w:szCs w:val="32"/>
          <w:highlight w:val="none"/>
          <w:lang w:eastAsia="zh-CN"/>
        </w:rPr>
        <w:t>年第一季度内付清。</w:t>
      </w:r>
    </w:p>
    <w:bookmarkEnd w:id="27"/>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32"/>
        </w:rPr>
      </w:pPr>
      <w:r>
        <w:rPr>
          <w:rFonts w:hint="eastAsia" w:ascii="宋体" w:hAnsi="宋体" w:cs="宋体"/>
          <w:b/>
          <w:bCs/>
          <w:color w:val="auto"/>
          <w:sz w:val="24"/>
          <w:szCs w:val="32"/>
          <w:lang w:eastAsia="zh-CN"/>
        </w:rPr>
        <w:t>四</w:t>
      </w:r>
      <w:r>
        <w:rPr>
          <w:rFonts w:hint="eastAsia" w:ascii="宋体" w:hAnsi="宋体" w:eastAsia="宋体" w:cs="宋体"/>
          <w:b/>
          <w:bCs/>
          <w:color w:val="auto"/>
          <w:sz w:val="24"/>
          <w:szCs w:val="32"/>
        </w:rPr>
        <w:t>、实质性要求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32"/>
        </w:rPr>
      </w:pPr>
      <w:r>
        <w:rPr>
          <w:rFonts w:hint="eastAsia" w:ascii="宋体" w:hAnsi="宋体" w:eastAsia="宋体" w:cs="宋体"/>
          <w:color w:val="auto"/>
          <w:sz w:val="24"/>
          <w:szCs w:val="32"/>
        </w:rPr>
        <w:t>本章内容均为实质性要求（基准要求），采购人不接受低于该基准要求（负偏离）的报价，供应商应对此基准要求作出实质性响应。供应商可高于此基准要求进行报价，偏离情况在项目技术要求偏离表中列明。</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pPr>
        <w:spacing w:line="360" w:lineRule="auto"/>
        <w:jc w:val="center"/>
        <w:outlineLvl w:val="0"/>
        <w:rPr>
          <w:rFonts w:hint="eastAsia" w:ascii="黑体" w:hAnsi="黑体" w:eastAsia="黑体"/>
          <w:bCs/>
          <w:color w:val="auto"/>
          <w:sz w:val="28"/>
          <w:highlight w:val="none"/>
        </w:rPr>
      </w:pPr>
      <w:bookmarkStart w:id="28" w:name="_Toc16158"/>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评审方法和标准</w:t>
      </w:r>
      <w:bookmarkEnd w:id="28"/>
    </w:p>
    <w:p>
      <w:pPr>
        <w:spacing w:line="360" w:lineRule="auto"/>
        <w:jc w:val="left"/>
        <w:rPr>
          <w:rFonts w:hint="eastAsia" w:ascii="宋体" w:hAnsi="宋体"/>
          <w:b/>
          <w:bCs/>
          <w:color w:val="auto"/>
          <w:sz w:val="28"/>
          <w:szCs w:val="28"/>
          <w:highlight w:val="none"/>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b/>
          <w:bCs/>
          <w:color w:val="auto"/>
          <w:sz w:val="28"/>
          <w:szCs w:val="28"/>
          <w:highlight w:val="none"/>
        </w:rPr>
      </w:pPr>
      <w:r>
        <w:rPr>
          <w:rFonts w:hint="eastAsia" w:ascii="宋体" w:hAnsi="宋体"/>
          <w:b/>
          <w:bCs/>
          <w:color w:val="auto"/>
          <w:sz w:val="28"/>
          <w:szCs w:val="28"/>
          <w:highlight w:val="none"/>
        </w:rPr>
        <w:t>第一部分</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评审方法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1、供应商通过资格审查和符合性审查的，方可进入比较与评价程序。比较与评价采用综合评分法。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2、磋商小组遵循公平、公正、择优原则，独立按照评标标准分别评定供应商的分值；各供应商的评审后得分为各评委所评定分值的平均值，并按高低顺序排列。得分相同的，按报价由低到高顺序排列；得分相同且报价相同的，由采购人代表抽签确定排序。响应文件满足磋商文件全部实质性要求，且按照评审因素的量化指标评审得分最高的供应商排名第一，以此类推，按排名先后顺序选取3名成交候选人。</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val="0"/>
          <w:bCs w:val="0"/>
          <w:color w:val="auto"/>
          <w:sz w:val="24"/>
          <w:szCs w:val="24"/>
          <w:highlight w:val="none"/>
        </w:rPr>
      </w:pPr>
      <w:r>
        <w:rPr>
          <w:rFonts w:hint="eastAsia" w:ascii="宋体" w:hAnsi="宋体"/>
          <w:b/>
          <w:bCs/>
          <w:color w:val="auto"/>
          <w:sz w:val="24"/>
          <w:szCs w:val="24"/>
          <w:highlight w:val="none"/>
        </w:rPr>
        <w:t>3、落实政府采购政策的价格调整。</w:t>
      </w:r>
      <w:r>
        <w:rPr>
          <w:rFonts w:hint="eastAsia" w:ascii="宋体" w:hAnsi="宋体"/>
          <w:b w:val="0"/>
          <w:bCs w:val="0"/>
          <w:color w:val="auto"/>
          <w:sz w:val="24"/>
          <w:szCs w:val="24"/>
          <w:highlight w:val="none"/>
        </w:rPr>
        <w:t>详见“第二章 供应商须知”中“3.6 政府采购支持中小企业发展”。</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color w:val="auto"/>
          <w:sz w:val="24"/>
          <w:szCs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b/>
          <w:bCs/>
          <w:color w:val="auto"/>
          <w:sz w:val="24"/>
          <w:szCs w:val="24"/>
          <w:highlight w:val="none"/>
        </w:rPr>
        <w:t>3.1 小微型企业价格扣除：专门面向中小/小微企业的项目不做价格扣除。</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b/>
          <w:bCs/>
          <w:color w:val="auto"/>
          <w:sz w:val="28"/>
          <w:szCs w:val="28"/>
          <w:highlight w:val="none"/>
        </w:rPr>
      </w:pPr>
      <w:r>
        <w:rPr>
          <w:rFonts w:hint="eastAsia" w:ascii="宋体" w:hAnsi="宋体"/>
          <w:b/>
          <w:bCs/>
          <w:color w:val="auto"/>
          <w:sz w:val="28"/>
          <w:szCs w:val="28"/>
          <w:highlight w:val="none"/>
        </w:rPr>
        <w:t>第</w:t>
      </w:r>
      <w:r>
        <w:rPr>
          <w:rFonts w:hint="eastAsia" w:ascii="宋体" w:hAnsi="宋体"/>
          <w:b/>
          <w:bCs/>
          <w:color w:val="auto"/>
          <w:sz w:val="28"/>
          <w:szCs w:val="28"/>
          <w:highlight w:val="none"/>
          <w:lang w:eastAsia="zh-CN"/>
        </w:rPr>
        <w:t>二</w:t>
      </w:r>
      <w:r>
        <w:rPr>
          <w:rFonts w:hint="eastAsia" w:ascii="宋体" w:hAnsi="宋体"/>
          <w:b/>
          <w:bCs/>
          <w:color w:val="auto"/>
          <w:sz w:val="28"/>
          <w:szCs w:val="28"/>
          <w:highlight w:val="none"/>
        </w:rPr>
        <w:t>部分</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评分标准</w:t>
      </w:r>
    </w:p>
    <w:p>
      <w:pPr>
        <w:rPr>
          <w:rFonts w:hint="eastAsia"/>
          <w:color w:val="auto"/>
        </w:rPr>
      </w:pPr>
    </w:p>
    <w:p>
      <w:pPr>
        <w:spacing w:line="360" w:lineRule="auto"/>
        <w:jc w:val="left"/>
        <w:rPr>
          <w:rFonts w:hint="eastAsia" w:ascii="宋体" w:hAnsi="宋体"/>
          <w:b/>
          <w:bCs/>
          <w:color w:val="auto"/>
          <w:sz w:val="24"/>
          <w:szCs w:val="24"/>
          <w:highlight w:val="none"/>
        </w:rPr>
      </w:pPr>
      <w:r>
        <w:rPr>
          <w:rFonts w:hint="eastAsia" w:ascii="宋体" w:hAnsi="宋体"/>
          <w:b/>
          <w:bCs/>
          <w:color w:val="auto"/>
          <w:sz w:val="24"/>
          <w:szCs w:val="24"/>
          <w:highlight w:val="none"/>
        </w:rPr>
        <w:t>一、采用综合评分法（总分100分），其中：</w:t>
      </w:r>
    </w:p>
    <w:tbl>
      <w:tblPr>
        <w:tblStyle w:val="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0"/>
        <w:gridCol w:w="6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12" w:type="pct"/>
            <w:noWrap w:val="0"/>
            <w:vAlign w:val="center"/>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技术部分</w:t>
            </w:r>
          </w:p>
        </w:tc>
        <w:tc>
          <w:tcPr>
            <w:tcW w:w="3187" w:type="pct"/>
            <w:noWrap w:val="0"/>
            <w:vAlign w:val="center"/>
          </w:tcPr>
          <w:p>
            <w:pPr>
              <w:jc w:val="center"/>
              <w:rPr>
                <w:rFonts w:hint="eastAsia" w:ascii="宋体" w:hAnsi="宋体"/>
                <w:b/>
                <w:bCs/>
                <w:color w:val="auto"/>
                <w:sz w:val="24"/>
                <w:szCs w:val="24"/>
                <w:highlight w:val="none"/>
              </w:rPr>
            </w:pPr>
            <w:r>
              <w:rPr>
                <w:rFonts w:hint="eastAsia" w:ascii="宋体" w:hAnsi="宋体"/>
                <w:b w:val="0"/>
                <w:bCs w:val="0"/>
                <w:color w:val="auto"/>
                <w:sz w:val="24"/>
                <w:szCs w:val="24"/>
                <w:highlight w:val="none"/>
                <w:lang w:val="en-US" w:eastAsia="zh-CN"/>
              </w:rPr>
              <w:t>70分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12" w:type="pct"/>
            <w:noWrap w:val="0"/>
            <w:vAlign w:val="center"/>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商务部分</w:t>
            </w:r>
          </w:p>
        </w:tc>
        <w:tc>
          <w:tcPr>
            <w:tcW w:w="3187" w:type="pct"/>
            <w:noWrap w:val="0"/>
            <w:vAlign w:val="center"/>
          </w:tcPr>
          <w:p>
            <w:pPr>
              <w:jc w:val="center"/>
              <w:rPr>
                <w:rFonts w:hint="eastAsia" w:ascii="宋体" w:hAnsi="宋体" w:cs="宋体"/>
                <w:b/>
                <w:bCs/>
                <w:color w:val="auto"/>
                <w:sz w:val="24"/>
                <w:szCs w:val="24"/>
                <w:highlight w:val="none"/>
                <w:lang w:val="en-US" w:eastAsia="zh-CN"/>
              </w:rPr>
            </w:pPr>
            <w:r>
              <w:rPr>
                <w:rFonts w:hint="eastAsia" w:ascii="宋体" w:hAnsi="宋体"/>
                <w:b w:val="0"/>
                <w:bCs w:val="0"/>
                <w:color w:val="auto"/>
                <w:sz w:val="24"/>
                <w:szCs w:val="24"/>
                <w:highlight w:val="none"/>
                <w:lang w:val="en-US" w:eastAsia="zh-CN"/>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812" w:type="pct"/>
            <w:noWrap w:val="0"/>
            <w:vAlign w:val="center"/>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价格部分</w:t>
            </w:r>
          </w:p>
        </w:tc>
        <w:tc>
          <w:tcPr>
            <w:tcW w:w="3187" w:type="pct"/>
            <w:noWrap w:val="0"/>
            <w:vAlign w:val="center"/>
          </w:tcPr>
          <w:p>
            <w:pPr>
              <w:jc w:val="center"/>
              <w:rPr>
                <w:rFonts w:hint="default" w:ascii="宋体" w:hAnsi="宋体" w:eastAsia="宋体"/>
                <w:b/>
                <w:bCs/>
                <w:color w:val="auto"/>
                <w:sz w:val="24"/>
                <w:szCs w:val="24"/>
                <w:highlight w:val="none"/>
                <w:lang w:val="en-US" w:eastAsia="zh-CN"/>
              </w:rPr>
            </w:pPr>
            <w:r>
              <w:rPr>
                <w:rFonts w:hint="eastAsia" w:ascii="宋体" w:hAnsi="宋体"/>
                <w:b w:val="0"/>
                <w:bCs w:val="0"/>
                <w:color w:val="auto"/>
                <w:sz w:val="24"/>
                <w:szCs w:val="24"/>
                <w:highlight w:val="none"/>
                <w:lang w:val="en-US" w:eastAsia="zh-CN"/>
              </w:rPr>
              <w:t>15分</w:t>
            </w:r>
          </w:p>
        </w:tc>
      </w:tr>
    </w:tbl>
    <w:p>
      <w:pPr>
        <w:spacing w:line="360" w:lineRule="auto"/>
        <w:jc w:val="left"/>
        <w:rPr>
          <w:rFonts w:hint="eastAsia" w:ascii="宋体" w:hAnsi="宋体"/>
          <w:b/>
          <w:bCs/>
          <w:color w:val="auto"/>
          <w:sz w:val="24"/>
          <w:szCs w:val="24"/>
          <w:highlight w:val="none"/>
        </w:rPr>
      </w:pPr>
      <w:r>
        <w:rPr>
          <w:rFonts w:hint="eastAsia" w:ascii="宋体" w:hAnsi="宋体"/>
          <w:b/>
          <w:bCs/>
          <w:color w:val="auto"/>
          <w:sz w:val="24"/>
          <w:szCs w:val="24"/>
          <w:highlight w:val="none"/>
        </w:rPr>
        <w:t>二、评审内容和标准：</w:t>
      </w:r>
    </w:p>
    <w:tbl>
      <w:tblPr>
        <w:tblStyle w:val="6"/>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6" w:type="dxa"/>
          <w:left w:w="108" w:type="dxa"/>
          <w:bottom w:w="57" w:type="dxa"/>
          <w:right w:w="108" w:type="dxa"/>
        </w:tblCellMar>
      </w:tblPr>
      <w:tblGrid>
        <w:gridCol w:w="796"/>
        <w:gridCol w:w="876"/>
        <w:gridCol w:w="969"/>
        <w:gridCol w:w="935"/>
        <w:gridCol w:w="6226"/>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850" w:hRule="atLeast"/>
          <w:jc w:val="center"/>
        </w:trPr>
        <w:tc>
          <w:tcPr>
            <w:tcW w:w="405"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color w:val="auto"/>
                <w:sz w:val="24"/>
                <w:szCs w:val="24"/>
                <w:highlight w:val="none"/>
              </w:rPr>
            </w:pPr>
            <w:r>
              <w:rPr>
                <w:rFonts w:hint="eastAsia" w:ascii="宋体" w:hAnsi="宋体"/>
                <w:b/>
                <w:bCs/>
                <w:color w:val="auto"/>
                <w:sz w:val="24"/>
                <w:szCs w:val="24"/>
                <w:highlight w:val="none"/>
              </w:rPr>
              <w:t>评审内容</w:t>
            </w:r>
          </w:p>
        </w:tc>
        <w:tc>
          <w:tcPr>
            <w:tcW w:w="446" w:type="pct"/>
            <w:tcBorders>
              <w:top w:val="single" w:color="auto" w:sz="4" w:space="0"/>
              <w:left w:val="single" w:color="auto" w:sz="4" w:space="0"/>
              <w:bottom w:val="single" w:color="auto" w:sz="4" w:space="0"/>
              <w:right w:val="single" w:color="auto" w:sz="4" w:space="0"/>
            </w:tcBorders>
            <w:noWrap w:val="0"/>
            <w:vAlign w:val="center"/>
          </w:tcPr>
          <w:p>
            <w:pPr>
              <w:jc w:val="center"/>
              <w:rPr>
                <w:b/>
                <w:bCs/>
                <w:color w:val="auto"/>
                <w:highlight w:val="none"/>
              </w:rPr>
            </w:pPr>
            <w:r>
              <w:rPr>
                <w:rFonts w:hint="eastAsia" w:ascii="宋体" w:hAnsi="宋体"/>
                <w:b/>
                <w:bCs/>
                <w:color w:val="auto"/>
                <w:sz w:val="24"/>
                <w:szCs w:val="24"/>
                <w:highlight w:val="none"/>
              </w:rPr>
              <w:t>序号</w:t>
            </w:r>
          </w:p>
        </w:tc>
        <w:tc>
          <w:tcPr>
            <w:tcW w:w="493" w:type="pct"/>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bCs/>
                <w:color w:val="auto"/>
                <w:sz w:val="24"/>
                <w:szCs w:val="24"/>
                <w:highlight w:val="none"/>
              </w:rPr>
            </w:pPr>
            <w:r>
              <w:rPr>
                <w:rFonts w:hint="eastAsia" w:ascii="宋体" w:hAnsi="宋体"/>
                <w:b/>
                <w:bCs/>
                <w:color w:val="auto"/>
                <w:sz w:val="24"/>
                <w:szCs w:val="24"/>
                <w:highlight w:val="none"/>
              </w:rPr>
              <w:t>评审</w:t>
            </w:r>
          </w:p>
          <w:p>
            <w:pPr>
              <w:jc w:val="center"/>
              <w:rPr>
                <w:rFonts w:ascii="宋体" w:hAnsi="宋体"/>
                <w:b/>
                <w:bCs/>
                <w:color w:val="auto"/>
                <w:sz w:val="24"/>
                <w:szCs w:val="24"/>
                <w:highlight w:val="none"/>
              </w:rPr>
            </w:pPr>
            <w:r>
              <w:rPr>
                <w:rFonts w:hint="eastAsia" w:ascii="宋体" w:hAnsi="宋体"/>
                <w:b/>
                <w:bCs/>
                <w:color w:val="auto"/>
                <w:sz w:val="24"/>
                <w:szCs w:val="24"/>
                <w:highlight w:val="none"/>
              </w:rPr>
              <w:t>项目</w:t>
            </w:r>
          </w:p>
        </w:tc>
        <w:tc>
          <w:tcPr>
            <w:tcW w:w="476"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color w:val="auto"/>
                <w:sz w:val="24"/>
                <w:szCs w:val="24"/>
                <w:highlight w:val="none"/>
              </w:rPr>
            </w:pPr>
            <w:r>
              <w:rPr>
                <w:rFonts w:hint="eastAsia" w:ascii="宋体" w:hAnsi="宋体"/>
                <w:b/>
                <w:bCs/>
                <w:color w:val="auto"/>
                <w:sz w:val="24"/>
                <w:szCs w:val="24"/>
                <w:highlight w:val="none"/>
              </w:rPr>
              <w:t>分值</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b/>
                <w:bCs/>
                <w:color w:val="auto"/>
                <w:sz w:val="24"/>
                <w:szCs w:val="24"/>
                <w:highlight w:val="none"/>
              </w:rPr>
            </w:pPr>
            <w:r>
              <w:rPr>
                <w:rFonts w:hint="eastAsia" w:ascii="宋体" w:hAnsi="宋体"/>
                <w:b/>
                <w:bCs/>
                <w:color w:val="auto"/>
                <w:sz w:val="24"/>
                <w:szCs w:val="24"/>
                <w:highlight w:val="none"/>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02" w:hRule="atLeast"/>
          <w:jc w:val="center"/>
        </w:trPr>
        <w:tc>
          <w:tcPr>
            <w:tcW w:w="405" w:type="pct"/>
            <w:vMerge w:val="restar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技术部分</w:t>
            </w:r>
          </w:p>
        </w:tc>
        <w:tc>
          <w:tcPr>
            <w:tcW w:w="44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整体服务设想和总体目标</w:t>
            </w:r>
          </w:p>
        </w:tc>
        <w:tc>
          <w:tcPr>
            <w:tcW w:w="47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整体服务设想和总体目标：考察供应商对项目现状的熟悉程度，是否了解项目的重点难点，针对重点难点的措施是否切实合理，服务目标是否满足项目需求等。</w:t>
            </w:r>
            <w:r>
              <w:rPr>
                <w:rFonts w:hint="eastAsia" w:ascii="宋体" w:hAnsi="宋体" w:eastAsia="宋体" w:cs="宋体"/>
                <w:color w:val="auto"/>
                <w:kern w:val="0"/>
                <w:sz w:val="24"/>
                <w:szCs w:val="24"/>
                <w:highlight w:val="none"/>
                <w:lang w:val="en-US" w:eastAsia="zh-CN"/>
              </w:rPr>
              <w:br w:type="textWrapping"/>
            </w:r>
            <w:r>
              <w:rPr>
                <w:rFonts w:hint="eastAsia" w:ascii="宋体" w:hAnsi="宋体" w:eastAsia="宋体" w:cs="宋体"/>
                <w:color w:val="auto"/>
                <w:kern w:val="0"/>
                <w:sz w:val="24"/>
                <w:szCs w:val="24"/>
                <w:highlight w:val="none"/>
                <w:lang w:val="en-US" w:eastAsia="zh-CN"/>
              </w:rPr>
              <w:t xml:space="preserve"> 对投标项目基本情况熟悉，了解招标人的服务需求，重点难点分析正确，针对重点难点的措施切实可行得10分；对投标项目基本情况熟悉度一般，基本了解招标人的服务需求，重点难点分析基本正确，针对重点难点的措施基本可操作得7分；对投标项目基本情况熟悉度一般，对招标人的服务需求了解度一般，重点难点分析不符合实际，针对重点难点的措施可操作差得3分。无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02" w:hRule="atLeast"/>
          <w:jc w:val="center"/>
        </w:trPr>
        <w:tc>
          <w:tcPr>
            <w:tcW w:w="405" w:type="pct"/>
            <w:vMerge w:val="continue"/>
            <w:tcBorders>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食堂管理供给方案</w:t>
            </w:r>
          </w:p>
        </w:tc>
        <w:tc>
          <w:tcPr>
            <w:tcW w:w="47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食堂管理供给方案：为职工提供“细中有粗，营养搭配”合理营养的早、午餐服务。从菜品多样性出发，根据季节设计菜单，满足职工的用餐需求，提高职工的满意度。方案完整、细致，符合项目需求，操作性强得10分；方案较为完整、细致，基本符合项目需求，操作性较强得7分；方案不完整、不细致，与项目需求响应度低，操作性差得3分。无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02" w:hRule="atLeast"/>
          <w:jc w:val="center"/>
        </w:trPr>
        <w:tc>
          <w:tcPr>
            <w:tcW w:w="405" w:type="pct"/>
            <w:vMerge w:val="continue"/>
            <w:tcBorders>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公务接待方案</w:t>
            </w:r>
          </w:p>
        </w:tc>
        <w:tc>
          <w:tcPr>
            <w:tcW w:w="47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公务接待方案：具有包厢菜肴设计、制作、服务的综合能力，包厢菜肴根据宜兴特色定制菜单。方案完整、细致，符合项目需求，操作性强得</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分；方案较为完整、细致，基本符合项目需求，操作性较强得</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分；方案不完整、不细致，与项目需求响应度低，操作性差得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分。无则不得分。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02" w:hRule="atLeast"/>
          <w:jc w:val="center"/>
        </w:trPr>
        <w:tc>
          <w:tcPr>
            <w:tcW w:w="405" w:type="pct"/>
            <w:vMerge w:val="continue"/>
            <w:tcBorders>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人员定岗及责任区域的划分</w:t>
            </w:r>
          </w:p>
        </w:tc>
        <w:tc>
          <w:tcPr>
            <w:tcW w:w="47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人员定岗及责任区域的划分：供应商根据现场勘察情况及本招标文件要求的人员配置情况，对各岗位人员责任区域进行划分。人员服务时间安排、责任区域划分合理，能满足招标方服务需求的得</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分；人员服务时间安排、责任区域划分基本合理，基本满足招标方服务需求的得</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分；人员服务时间安排、责任区域划分不合理，不能满足招标方服务需求</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分。无则不得分。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02" w:hRule="atLeast"/>
          <w:jc w:val="center"/>
        </w:trPr>
        <w:tc>
          <w:tcPr>
            <w:tcW w:w="405" w:type="pct"/>
            <w:vMerge w:val="continue"/>
            <w:tcBorders>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各项管理规章制度及现代化管理措施</w:t>
            </w:r>
          </w:p>
        </w:tc>
        <w:tc>
          <w:tcPr>
            <w:tcW w:w="47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各项管理规章制度及现代化管理措施：供应商有无健全的管理规章制度，包括员工管理考核类、操作指导类等，有无采用现代化的管理措施确保服务目标的实现。规章制度健全且现代化管理措施操作性强的得</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分；规章制度基本健全，现代化管理措施基本可操作的得</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分；规章制度不健全，现代化管理措施操作性差的得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分。无则不得分。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02" w:hRule="atLeast"/>
          <w:jc w:val="center"/>
        </w:trPr>
        <w:tc>
          <w:tcPr>
            <w:tcW w:w="405" w:type="pct"/>
            <w:vMerge w:val="continue"/>
            <w:tcBorders>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保洁服务方案</w:t>
            </w:r>
          </w:p>
        </w:tc>
        <w:tc>
          <w:tcPr>
            <w:tcW w:w="47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en-US"/>
              </w:rPr>
            </w:pPr>
            <w:r>
              <w:rPr>
                <w:rFonts w:hint="eastAsia" w:ascii="宋体" w:hAnsi="宋体" w:eastAsia="宋体" w:cs="宋体"/>
                <w:color w:val="auto"/>
                <w:kern w:val="0"/>
                <w:sz w:val="24"/>
                <w:szCs w:val="24"/>
                <w:highlight w:val="none"/>
                <w:lang w:val="en-US" w:eastAsia="zh-CN"/>
              </w:rPr>
              <w:t>保洁服务方案：保洁服务整体模式，根据食堂保洁要求制定的各部位保洁服务具体措施等。方案内容完整，针对性强的得</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分；方案内容较为完整，针对性较强的得</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分；方案针对性、完整性一般的得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分；无则不得分。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02" w:hRule="atLeast"/>
          <w:jc w:val="center"/>
        </w:trPr>
        <w:tc>
          <w:tcPr>
            <w:tcW w:w="405" w:type="pct"/>
            <w:vMerge w:val="continue"/>
            <w:tcBorders>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eastAsia="zh-CN"/>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突发事件应急预案</w:t>
            </w:r>
          </w:p>
        </w:tc>
        <w:tc>
          <w:tcPr>
            <w:tcW w:w="476" w:type="pc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color w:val="auto"/>
                <w:kern w:val="0"/>
                <w:sz w:val="24"/>
                <w:szCs w:val="24"/>
                <w:highlight w:val="none"/>
                <w:lang w:val="en-US" w:eastAsia="en-US"/>
              </w:rPr>
            </w:pPr>
            <w:r>
              <w:rPr>
                <w:rFonts w:hint="eastAsia" w:ascii="宋体" w:hAnsi="宋体" w:eastAsia="宋体" w:cs="宋体"/>
                <w:color w:val="auto"/>
                <w:kern w:val="0"/>
                <w:sz w:val="24"/>
                <w:szCs w:val="24"/>
                <w:highlight w:val="none"/>
                <w:lang w:val="en-US" w:eastAsia="zh-CN"/>
              </w:rPr>
              <w:t>突发事件应急预案：供应商有无应急响应优势、有无应急响应组织，有无完整的应急响应指导书，突发事件应急响应预案是否全面、切合投标项目实际情况。有应急响应优势，有应急组织及指导书，各类应急预案健全且符合项目需求得</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lang w:val="en-US" w:eastAsia="zh-CN"/>
              </w:rPr>
              <w:t>分；应急响应优势不明显，应急组织及指导书基本健全，各类应急预案基本健全且基本符合项目需求得</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分；无应急响应优势，应急组织及指导书不健全，各类应急预案不健全得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分。无则不得分。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5349" w:hRule="atLeast"/>
          <w:jc w:val="center"/>
        </w:trPr>
        <w:tc>
          <w:tcPr>
            <w:tcW w:w="405" w:type="pct"/>
            <w:vMerge w:val="restart"/>
            <w:tcBorders>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商务部分</w:t>
            </w:r>
          </w:p>
        </w:tc>
        <w:tc>
          <w:tcPr>
            <w:tcW w:w="446" w:type="pct"/>
            <w:tcBorders>
              <w:top w:val="single" w:color="auto" w:sz="4" w:space="0"/>
              <w:left w:val="single" w:color="auto" w:sz="4" w:space="0"/>
              <w:right w:val="single" w:color="auto" w:sz="4" w:space="0"/>
            </w:tcBorders>
            <w:noWrap w:val="0"/>
            <w:vAlign w:val="center"/>
          </w:tcPr>
          <w:p>
            <w:pPr>
              <w:pStyle w:val="13"/>
              <w:spacing w:before="38" w:line="241" w:lineRule="auto"/>
              <w:ind w:left="117" w:leftChars="0" w:right="131" w:rightChars="0" w:firstLine="1" w:firstLineChars="0"/>
              <w:jc w:val="center"/>
              <w:rPr>
                <w:rFonts w:hint="eastAsia" w:ascii="宋体" w:hAnsi="宋体" w:eastAsia="宋体" w:cs="宋体"/>
                <w:color w:val="auto"/>
                <w:kern w:val="0"/>
                <w:sz w:val="24"/>
                <w:szCs w:val="24"/>
                <w:highlight w:val="none"/>
                <w:lang w:val="en-US" w:eastAsia="zh-CN"/>
              </w:rPr>
            </w:pPr>
            <w:r>
              <w:rPr>
                <w:rFonts w:hint="eastAsia" w:eastAsia="宋体"/>
                <w:color w:val="auto"/>
                <w:lang w:val="en-US" w:eastAsia="zh-CN"/>
              </w:rPr>
              <w:t>1</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人员</w:t>
            </w:r>
          </w:p>
          <w:p>
            <w:pPr>
              <w:tabs>
                <w:tab w:val="left" w:pos="420"/>
                <w:tab w:val="left" w:pos="540"/>
              </w:tabs>
              <w:spacing w:line="4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配置</w:t>
            </w:r>
          </w:p>
        </w:tc>
        <w:tc>
          <w:tcPr>
            <w:tcW w:w="476" w:type="pct"/>
            <w:tcBorders>
              <w:top w:val="single" w:color="auto" w:sz="4" w:space="0"/>
              <w:left w:val="single" w:color="auto" w:sz="4" w:space="0"/>
              <w:right w:val="single" w:color="auto" w:sz="4" w:space="0"/>
            </w:tcBorders>
            <w:noWrap w:val="0"/>
            <w:vAlign w:val="center"/>
          </w:tcPr>
          <w:p>
            <w:pPr>
              <w:snapToGrid w:val="0"/>
              <w:spacing w:line="400" w:lineRule="exact"/>
              <w:ind w:left="0" w:leftChars="0" w:firstLine="0" w:firstLineChars="0"/>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kern w:val="0"/>
                <w:sz w:val="24"/>
                <w:szCs w:val="24"/>
                <w:highlight w:val="none"/>
                <w:lang w:val="en-US" w:eastAsia="en-US"/>
              </w:rPr>
              <w:t>分</w:t>
            </w:r>
          </w:p>
        </w:tc>
        <w:tc>
          <w:tcPr>
            <w:tcW w:w="3168" w:type="pct"/>
            <w:tcBorders>
              <w:top w:val="single" w:color="auto" w:sz="4" w:space="0"/>
              <w:left w:val="single" w:color="auto" w:sz="4" w:space="0"/>
              <w:right w:val="single" w:color="auto" w:sz="4" w:space="0"/>
            </w:tcBorders>
            <w:noWrap w:val="0"/>
            <w:vAlign w:val="center"/>
          </w:tcPr>
          <w:p>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供应商拟配备的人员中具有高级以上中式烹调师职业资格证书的得</w:t>
            </w: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eastAsia="zh-CN"/>
              </w:rPr>
              <w:t>分，同时具有高级及以上营养配餐员职业资格证书的得1分，本项最高得</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分；</w:t>
            </w:r>
          </w:p>
          <w:p>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firstLine="240" w:firstLineChars="1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供应商拟配备的人员中同时具有高级及以上中式面点师及中式烹调师职业资格证书的，得</w:t>
            </w: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eastAsia="zh-CN"/>
              </w:rPr>
              <w:t>分/人，本项最高得</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分；</w:t>
            </w:r>
          </w:p>
          <w:p>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firstLine="240" w:firstLineChars="1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供应商拟配备的人员中具有机关事业单位技师证书的得</w:t>
            </w: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lang w:val="en-US" w:eastAsia="zh-CN"/>
              </w:rPr>
              <w:t>分，同时具有中级及以上公共营养师职业资格证书的得1分，本项最高得</w:t>
            </w: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分；</w:t>
            </w:r>
          </w:p>
          <w:p>
            <w:pPr>
              <w:keepNext w:val="0"/>
              <w:keepLines w:val="0"/>
              <w:pageBreakBefore w:val="0"/>
              <w:widowControl w:val="0"/>
              <w:numPr>
                <w:ilvl w:val="0"/>
                <w:numId w:val="6"/>
              </w:numPr>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供应商拟配备的人员中获得过餐饮或烹饪协会颁发的荣誉或奖项的，有一个荣誉或奖项得1分，本项最高得</w:t>
            </w: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val="en-US"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注：上述1-3项人员仅计取一次，不重复得分。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241"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【须提供上述人员相关证明材料】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1364" w:hRule="atLeast"/>
          <w:jc w:val="center"/>
        </w:trPr>
        <w:tc>
          <w:tcPr>
            <w:tcW w:w="405" w:type="pct"/>
            <w:vMerge w:val="continue"/>
            <w:tcBorders>
              <w:left w:val="single" w:color="auto" w:sz="4" w:space="0"/>
              <w:right w:val="single" w:color="auto" w:sz="4" w:space="0"/>
            </w:tcBorders>
            <w:noWrap w:val="0"/>
            <w:vAlign w:val="center"/>
          </w:tcPr>
          <w:p>
            <w:pPr>
              <w:widowControl/>
              <w:jc w:val="left"/>
              <w:rPr>
                <w:rFonts w:ascii="宋体" w:hAnsi="宋体"/>
                <w:color w:val="auto"/>
                <w:sz w:val="24"/>
                <w:szCs w:val="24"/>
                <w:highlight w:val="none"/>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tabs>
                <w:tab w:val="left" w:pos="420"/>
                <w:tab w:val="left" w:pos="540"/>
              </w:tabs>
              <w:spacing w:line="40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2</w:t>
            </w:r>
          </w:p>
        </w:tc>
        <w:tc>
          <w:tcPr>
            <w:tcW w:w="493" w:type="pct"/>
            <w:tcBorders>
              <w:top w:val="single" w:color="auto" w:sz="4" w:space="0"/>
              <w:left w:val="single" w:color="auto" w:sz="4" w:space="0"/>
              <w:bottom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供应商实力</w:t>
            </w:r>
          </w:p>
        </w:tc>
        <w:tc>
          <w:tcPr>
            <w:tcW w:w="476" w:type="pct"/>
            <w:tcBorders>
              <w:top w:val="single" w:color="auto" w:sz="4" w:space="0"/>
              <w:left w:val="single" w:color="auto" w:sz="4" w:space="0"/>
              <w:bottom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lang w:val="en-US" w:eastAsia="zh-CN"/>
              </w:rPr>
              <w:t>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供应商具有质量管理体系认证证书</w:t>
            </w:r>
            <w:r>
              <w:rPr>
                <w:rFonts w:hint="default" w:ascii="宋体" w:hAnsi="宋体" w:eastAsia="宋体" w:cs="宋体"/>
                <w:color w:val="auto"/>
                <w:kern w:val="0"/>
                <w:sz w:val="24"/>
                <w:szCs w:val="24"/>
                <w:highlight w:val="none"/>
                <w:lang w:val="en-US" w:eastAsia="zh-CN"/>
              </w:rPr>
              <w:t>(ISO9001)</w:t>
            </w:r>
            <w:r>
              <w:rPr>
                <w:rFonts w:hint="eastAsia" w:ascii="宋体" w:hAnsi="宋体" w:eastAsia="宋体" w:cs="宋体"/>
                <w:b w:val="0"/>
                <w:bCs w:val="0"/>
                <w:color w:val="auto"/>
                <w:kern w:val="0"/>
                <w:sz w:val="24"/>
                <w:szCs w:val="24"/>
                <w:highlight w:val="none"/>
                <w:lang w:val="en-US" w:eastAsia="zh-CN"/>
              </w:rPr>
              <w:t>、环境管理体系认证证书</w:t>
            </w:r>
            <w:r>
              <w:rPr>
                <w:rFonts w:hint="default" w:ascii="宋体" w:hAnsi="宋体" w:eastAsia="宋体" w:cs="宋体"/>
                <w:color w:val="auto"/>
                <w:kern w:val="0"/>
                <w:sz w:val="24"/>
                <w:szCs w:val="24"/>
                <w:highlight w:val="none"/>
                <w:lang w:val="en-US" w:eastAsia="zh-CN"/>
              </w:rPr>
              <w:t>(ISO14001)</w:t>
            </w:r>
            <w:r>
              <w:rPr>
                <w:rFonts w:hint="eastAsia" w:ascii="宋体" w:hAnsi="宋体" w:eastAsia="宋体" w:cs="宋体"/>
                <w:b w:val="0"/>
                <w:bCs w:val="0"/>
                <w:color w:val="auto"/>
                <w:kern w:val="0"/>
                <w:sz w:val="24"/>
                <w:szCs w:val="24"/>
                <w:highlight w:val="none"/>
                <w:lang w:val="en-US" w:eastAsia="zh-CN"/>
              </w:rPr>
              <w:t>、职业健康安全体系认证证书</w:t>
            </w:r>
            <w:r>
              <w:rPr>
                <w:rFonts w:hint="default" w:ascii="宋体" w:hAnsi="宋体" w:eastAsia="宋体" w:cs="宋体"/>
                <w:color w:val="auto"/>
                <w:kern w:val="0"/>
                <w:sz w:val="24"/>
                <w:szCs w:val="24"/>
                <w:highlight w:val="none"/>
                <w:lang w:val="en-US" w:eastAsia="zh-CN"/>
              </w:rPr>
              <w:t>(ISO45001)</w:t>
            </w:r>
            <w:r>
              <w:rPr>
                <w:rFonts w:hint="eastAsia" w:ascii="宋体" w:hAnsi="宋体" w:eastAsia="宋体" w:cs="宋体"/>
                <w:b w:val="0"/>
                <w:bCs w:val="0"/>
                <w:color w:val="auto"/>
                <w:kern w:val="0"/>
                <w:sz w:val="24"/>
                <w:szCs w:val="24"/>
                <w:highlight w:val="none"/>
                <w:lang w:val="en-US" w:eastAsia="zh-CN"/>
              </w:rPr>
              <w:t>、食品安全管理体系认证证书(ISO22000)的，每有一项得0.5分，最多得2分。</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241" w:firstLineChars="1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sz w:val="24"/>
                <w:szCs w:val="24"/>
              </w:rPr>
              <w:t>【须提供</w:t>
            </w:r>
            <w:r>
              <w:rPr>
                <w:rFonts w:hint="eastAsia" w:ascii="宋体" w:hAnsi="宋体" w:eastAsia="宋体" w:cs="宋体"/>
                <w:b/>
                <w:bCs/>
                <w:color w:val="auto"/>
                <w:sz w:val="24"/>
                <w:szCs w:val="24"/>
                <w:lang w:eastAsia="zh-CN"/>
              </w:rPr>
              <w:t>有效期内的</w:t>
            </w:r>
            <w:r>
              <w:rPr>
                <w:rFonts w:hint="eastAsia" w:ascii="宋体" w:hAnsi="宋体" w:eastAsia="宋体" w:cs="宋体"/>
                <w:b/>
                <w:bCs/>
                <w:color w:val="auto"/>
                <w:sz w:val="24"/>
                <w:szCs w:val="24"/>
                <w:lang w:val="en-US" w:eastAsia="zh-CN"/>
              </w:rPr>
              <w:t>认证证书</w:t>
            </w:r>
            <w:r>
              <w:rPr>
                <w:rFonts w:hint="eastAsia" w:ascii="宋体" w:hAnsi="宋体" w:eastAsia="宋体" w:cs="宋体"/>
                <w:b/>
                <w:bCs/>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gridAfter w:val="1"/>
          <w:wAfter w:w="9" w:type="pct"/>
          <w:cantSplit/>
          <w:trHeight w:val="890" w:hRule="atLeast"/>
          <w:jc w:val="center"/>
        </w:trPr>
        <w:tc>
          <w:tcPr>
            <w:tcW w:w="405" w:type="pct"/>
            <w:vMerge w:val="continue"/>
            <w:tcBorders>
              <w:left w:val="single" w:color="auto" w:sz="4" w:space="0"/>
              <w:right w:val="single" w:color="auto" w:sz="4" w:space="0"/>
            </w:tcBorders>
            <w:noWrap w:val="0"/>
            <w:vAlign w:val="center"/>
          </w:tcPr>
          <w:p>
            <w:pPr>
              <w:widowControl/>
              <w:jc w:val="left"/>
              <w:rPr>
                <w:rFonts w:ascii="宋体" w:hAnsi="宋体"/>
                <w:color w:val="auto"/>
                <w:sz w:val="24"/>
                <w:szCs w:val="24"/>
                <w:highlight w:val="none"/>
              </w:rPr>
            </w:pPr>
          </w:p>
        </w:tc>
        <w:tc>
          <w:tcPr>
            <w:tcW w:w="446" w:type="pct"/>
            <w:tcBorders>
              <w:top w:val="single" w:color="auto" w:sz="4" w:space="0"/>
              <w:left w:val="single" w:color="auto" w:sz="4" w:space="0"/>
              <w:bottom w:val="single" w:color="auto" w:sz="4" w:space="0"/>
              <w:right w:val="single" w:color="auto" w:sz="4" w:space="0"/>
            </w:tcBorders>
            <w:noWrap w:val="0"/>
            <w:vAlign w:val="center"/>
          </w:tcPr>
          <w:p>
            <w:pPr>
              <w:tabs>
                <w:tab w:val="left" w:pos="420"/>
                <w:tab w:val="left" w:pos="540"/>
              </w:tabs>
              <w:spacing w:line="400" w:lineRule="exact"/>
              <w:jc w:val="center"/>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w:t>
            </w:r>
          </w:p>
        </w:tc>
        <w:tc>
          <w:tcPr>
            <w:tcW w:w="493" w:type="pct"/>
            <w:tcBorders>
              <w:top w:val="single" w:color="auto" w:sz="4" w:space="0"/>
              <w:left w:val="single" w:color="auto" w:sz="4" w:space="0"/>
              <w:bottom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类似</w:t>
            </w:r>
          </w:p>
          <w:p>
            <w:pPr>
              <w:tabs>
                <w:tab w:val="left" w:pos="420"/>
                <w:tab w:val="left" w:pos="540"/>
              </w:tabs>
              <w:spacing w:line="400" w:lineRule="exact"/>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业绩</w:t>
            </w:r>
          </w:p>
        </w:tc>
        <w:tc>
          <w:tcPr>
            <w:tcW w:w="476" w:type="pct"/>
            <w:tcBorders>
              <w:top w:val="single" w:color="auto" w:sz="4" w:space="0"/>
              <w:left w:val="single" w:color="auto" w:sz="4" w:space="0"/>
              <w:bottom w:val="single" w:color="auto" w:sz="4" w:space="0"/>
              <w:right w:val="single" w:color="auto" w:sz="4" w:space="0"/>
            </w:tcBorders>
            <w:noWrap w:val="0"/>
            <w:vAlign w:val="center"/>
          </w:tcPr>
          <w:p>
            <w:pPr>
              <w:tabs>
                <w:tab w:val="left" w:pos="420"/>
                <w:tab w:val="left" w:pos="540"/>
              </w:tabs>
              <w:spacing w:line="400" w:lineRule="exact"/>
              <w:jc w:val="center"/>
              <w:rPr>
                <w:rFonts w:hint="default"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lang w:val="en-US" w:eastAsia="zh-CN"/>
              </w:rPr>
              <w:t>分</w:t>
            </w:r>
          </w:p>
        </w:tc>
        <w:tc>
          <w:tcPr>
            <w:tcW w:w="31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ascii="宋体" w:hAnsi="宋体" w:cs="宋体"/>
                <w:color w:val="auto"/>
                <w:sz w:val="24"/>
                <w:szCs w:val="24"/>
              </w:rPr>
            </w:pPr>
            <w:r>
              <w:rPr>
                <w:rFonts w:hint="eastAsia" w:ascii="宋体" w:hAnsi="宋体" w:cs="宋体"/>
                <w:color w:val="auto"/>
                <w:sz w:val="24"/>
                <w:szCs w:val="24"/>
              </w:rPr>
              <w:t>供应商202</w:t>
            </w:r>
            <w:r>
              <w:rPr>
                <w:rFonts w:hint="eastAsia" w:ascii="宋体" w:hAnsi="宋体" w:cs="宋体"/>
                <w:color w:val="auto"/>
                <w:sz w:val="24"/>
                <w:szCs w:val="24"/>
                <w:lang w:val="en-US" w:eastAsia="zh-CN"/>
              </w:rPr>
              <w:t>2</w:t>
            </w:r>
            <w:r>
              <w:rPr>
                <w:rFonts w:hint="eastAsia" w:ascii="宋体" w:hAnsi="宋体" w:cs="宋体"/>
                <w:color w:val="auto"/>
                <w:sz w:val="24"/>
                <w:szCs w:val="24"/>
              </w:rPr>
              <w:t>年</w:t>
            </w:r>
            <w:r>
              <w:rPr>
                <w:rFonts w:hint="eastAsia" w:ascii="宋体" w:hAnsi="宋体" w:cs="宋体"/>
                <w:color w:val="auto"/>
                <w:sz w:val="24"/>
                <w:szCs w:val="24"/>
                <w:lang w:val="en-US" w:eastAsia="zh-CN"/>
              </w:rPr>
              <w:t>12</w:t>
            </w:r>
            <w:r>
              <w:rPr>
                <w:rFonts w:hint="eastAsia" w:ascii="宋体" w:hAnsi="宋体" w:cs="宋体"/>
                <w:color w:val="auto"/>
                <w:sz w:val="24"/>
                <w:szCs w:val="24"/>
              </w:rPr>
              <w:t>月至今（以合同签订日期为准），承担过类似项目的，有1</w:t>
            </w:r>
            <w:r>
              <w:rPr>
                <w:rFonts w:hint="eastAsia" w:ascii="宋体" w:hAnsi="宋体" w:cs="宋体"/>
                <w:color w:val="auto"/>
                <w:sz w:val="24"/>
                <w:szCs w:val="24"/>
                <w:lang w:eastAsia="zh-CN"/>
              </w:rPr>
              <w:t>项</w:t>
            </w:r>
            <w:r>
              <w:rPr>
                <w:rFonts w:hint="eastAsia" w:ascii="宋体" w:hAnsi="宋体" w:cs="宋体"/>
                <w:color w:val="auto"/>
                <w:sz w:val="24"/>
                <w:szCs w:val="24"/>
              </w:rPr>
              <w:t>得</w:t>
            </w:r>
            <w:r>
              <w:rPr>
                <w:rFonts w:hint="eastAsia" w:ascii="宋体" w:hAnsi="宋体" w:cs="宋体"/>
                <w:color w:val="auto"/>
                <w:sz w:val="24"/>
                <w:szCs w:val="24"/>
                <w:lang w:val="en-US" w:eastAsia="zh-CN"/>
              </w:rPr>
              <w:t>1</w:t>
            </w:r>
            <w:r>
              <w:rPr>
                <w:rFonts w:hint="eastAsia" w:ascii="宋体" w:hAnsi="宋体" w:cs="宋体"/>
                <w:color w:val="auto"/>
                <w:sz w:val="24"/>
                <w:szCs w:val="24"/>
              </w:rPr>
              <w:t>分，最高得</w:t>
            </w:r>
            <w:r>
              <w:rPr>
                <w:rFonts w:hint="eastAsia" w:ascii="宋体" w:hAnsi="宋体" w:cs="宋体"/>
                <w:color w:val="auto"/>
                <w:sz w:val="24"/>
                <w:szCs w:val="24"/>
                <w:lang w:val="en-US" w:eastAsia="zh-CN"/>
              </w:rPr>
              <w:t>3</w:t>
            </w:r>
            <w:r>
              <w:rPr>
                <w:rFonts w:hint="eastAsia" w:ascii="宋体" w:hAnsi="宋体" w:cs="宋体"/>
                <w:color w:val="auto"/>
                <w:sz w:val="24"/>
                <w:szCs w:val="24"/>
              </w:rPr>
              <w:t>分。</w:t>
            </w:r>
          </w:p>
          <w:p>
            <w:pPr>
              <w:keepNext w:val="0"/>
              <w:keepLines w:val="0"/>
              <w:pageBreakBefore w:val="0"/>
              <w:widowControl w:val="0"/>
              <w:kinsoku/>
              <w:wordWrap/>
              <w:overflowPunct/>
              <w:topLinePunct w:val="0"/>
              <w:autoSpaceDE/>
              <w:autoSpaceDN/>
              <w:bidi w:val="0"/>
              <w:adjustRightInd/>
              <w:snapToGrid/>
              <w:spacing w:line="400" w:lineRule="exact"/>
              <w:ind w:firstLine="241" w:firstLineChars="100"/>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b/>
                <w:bCs/>
                <w:color w:val="auto"/>
                <w:sz w:val="24"/>
                <w:szCs w:val="24"/>
              </w:rPr>
              <w:t>【须提供项目合同】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6" w:type="dxa"/>
            <w:left w:w="108" w:type="dxa"/>
            <w:bottom w:w="57" w:type="dxa"/>
            <w:right w:w="108" w:type="dxa"/>
          </w:tblCellMar>
        </w:tblPrEx>
        <w:trPr>
          <w:cantSplit/>
          <w:trHeight w:val="1134" w:hRule="atLeast"/>
          <w:jc w:val="center"/>
        </w:trPr>
        <w:tc>
          <w:tcPr>
            <w:tcW w:w="405" w:type="pct"/>
            <w:tcBorders>
              <w:top w:val="single" w:color="auto" w:sz="4" w:space="0"/>
              <w:left w:val="single" w:color="auto" w:sz="4" w:space="0"/>
              <w:bottom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rPr>
            </w:pPr>
            <w:r>
              <w:rPr>
                <w:rFonts w:hint="eastAsia" w:ascii="宋体" w:hAnsi="宋体" w:cs="宋体"/>
                <w:color w:val="auto"/>
                <w:kern w:val="0"/>
                <w:sz w:val="24"/>
                <w:szCs w:val="24"/>
              </w:rPr>
              <w:t>价格部分</w:t>
            </w:r>
          </w:p>
        </w:tc>
        <w:tc>
          <w:tcPr>
            <w:tcW w:w="446"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eastAsia="宋体" w:cs="宋体"/>
                <w:color w:val="auto"/>
                <w:kern w:val="0"/>
                <w:sz w:val="24"/>
                <w:szCs w:val="24"/>
                <w:lang w:val="en-US" w:eastAsia="zh-CN"/>
              </w:rPr>
            </w:pPr>
            <w:r>
              <w:rPr>
                <w:rFonts w:hint="eastAsia" w:ascii="宋体" w:hAnsi="宋体" w:cs="宋体"/>
                <w:color w:val="auto"/>
                <w:kern w:val="0"/>
                <w:sz w:val="24"/>
                <w:szCs w:val="24"/>
                <w:lang w:val="en-US" w:eastAsia="zh-CN"/>
              </w:rPr>
              <w:t>1</w:t>
            </w:r>
          </w:p>
        </w:tc>
        <w:tc>
          <w:tcPr>
            <w:tcW w:w="493"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磋商</w:t>
            </w:r>
          </w:p>
          <w:p>
            <w:pPr>
              <w:tabs>
                <w:tab w:val="left" w:pos="420"/>
                <w:tab w:val="left" w:pos="540"/>
              </w:tabs>
              <w:spacing w:line="400" w:lineRule="exact"/>
              <w:jc w:val="center"/>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报价</w:t>
            </w:r>
          </w:p>
        </w:tc>
        <w:tc>
          <w:tcPr>
            <w:tcW w:w="476" w:type="pct"/>
            <w:tcBorders>
              <w:top w:val="single" w:color="auto" w:sz="4" w:space="0"/>
              <w:left w:val="single" w:color="auto" w:sz="4" w:space="0"/>
              <w:right w:val="single" w:color="auto" w:sz="4" w:space="0"/>
            </w:tcBorders>
            <w:noWrap w:val="0"/>
            <w:vAlign w:val="center"/>
          </w:tcPr>
          <w:p>
            <w:pPr>
              <w:tabs>
                <w:tab w:val="left" w:pos="420"/>
                <w:tab w:val="left" w:pos="540"/>
              </w:tabs>
              <w:spacing w:line="400" w:lineRule="exact"/>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15</w:t>
            </w:r>
            <w:r>
              <w:rPr>
                <w:rFonts w:hint="eastAsia" w:ascii="宋体" w:hAnsi="宋体" w:cs="宋体"/>
                <w:color w:val="auto"/>
                <w:kern w:val="0"/>
                <w:sz w:val="24"/>
                <w:szCs w:val="24"/>
                <w:highlight w:val="none"/>
              </w:rPr>
              <w:t>分</w:t>
            </w:r>
          </w:p>
        </w:tc>
        <w:tc>
          <w:tcPr>
            <w:tcW w:w="3177"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价格分采用低价优先法，即满足磋商文件要求且最后报价最低的供应商的价格为磋商基准价，其价格分为满分。其他供应商的价格分统一按照下列公式计算：</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磋商报价得分=（磋商基准价/最后磋商报价）×15</w:t>
            </w:r>
          </w:p>
          <w:p>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color w:val="auto"/>
                <w:sz w:val="24"/>
                <w:szCs w:val="24"/>
                <w:highlight w:val="none"/>
              </w:rPr>
            </w:pPr>
            <w:r>
              <w:rPr>
                <w:rFonts w:hint="eastAsia" w:ascii="宋体" w:hAnsi="宋体" w:cs="宋体"/>
                <w:color w:val="auto"/>
                <w:kern w:val="0"/>
                <w:sz w:val="24"/>
                <w:szCs w:val="24"/>
                <w:highlight w:val="none"/>
                <w:lang w:val="en-US" w:eastAsia="zh-CN"/>
              </w:rPr>
              <w:t>注：因算术修正和落实政府采购政策进行价格调整的，以调整后的价格计算基准价和磋商报价。</w:t>
            </w:r>
          </w:p>
        </w:tc>
      </w:tr>
    </w:tbl>
    <w:p>
      <w:pPr>
        <w:keepNext w:val="0"/>
        <w:keepLines w:val="0"/>
        <w:pageBreakBefore w:val="0"/>
        <w:widowControl w:val="0"/>
        <w:kinsoku/>
        <w:wordWrap w:val="0"/>
        <w:overflowPunct/>
        <w:topLinePunct w:val="0"/>
        <w:autoSpaceDE/>
        <w:autoSpaceDN/>
        <w:bidi w:val="0"/>
        <w:adjustRightInd/>
        <w:snapToGrid/>
        <w:spacing w:line="400" w:lineRule="exact"/>
        <w:jc w:val="left"/>
        <w:textAlignment w:val="auto"/>
        <w:rPr>
          <w:rFonts w:hint="eastAsia" w:ascii="宋体" w:hAnsi="宋体"/>
          <w:b/>
          <w:bCs/>
          <w:color w:val="auto"/>
          <w:sz w:val="24"/>
          <w:szCs w:val="24"/>
        </w:rPr>
      </w:pPr>
      <w:r>
        <w:rPr>
          <w:rFonts w:hint="eastAsia" w:ascii="宋体" w:hAnsi="宋体"/>
          <w:b/>
          <w:bCs/>
          <w:color w:val="auto"/>
          <w:sz w:val="24"/>
          <w:szCs w:val="24"/>
        </w:rPr>
        <w:t>备注：</w:t>
      </w:r>
    </w:p>
    <w:p>
      <w:pPr>
        <w:keepNext w:val="0"/>
        <w:keepLines w:val="0"/>
        <w:pageBreakBefore w:val="0"/>
        <w:widowControl w:val="0"/>
        <w:kinsoku/>
        <w:wordWrap w:val="0"/>
        <w:overflowPunct/>
        <w:topLinePunct w:val="0"/>
        <w:autoSpaceDE/>
        <w:autoSpaceDN/>
        <w:bidi w:val="0"/>
        <w:adjustRightInd/>
        <w:snapToGrid/>
        <w:spacing w:line="400" w:lineRule="exact"/>
        <w:ind w:firstLine="482" w:firstLineChars="200"/>
        <w:jc w:val="left"/>
        <w:textAlignment w:val="auto"/>
        <w:rPr>
          <w:rFonts w:hint="eastAsia" w:ascii="宋体" w:hAnsi="宋体"/>
          <w:b/>
          <w:bCs/>
          <w:color w:val="auto"/>
          <w:sz w:val="24"/>
          <w:szCs w:val="24"/>
        </w:rPr>
      </w:pPr>
      <w:r>
        <w:rPr>
          <w:rFonts w:hint="eastAsia" w:ascii="宋体" w:hAnsi="宋体"/>
          <w:b/>
          <w:bCs/>
          <w:color w:val="auto"/>
          <w:sz w:val="24"/>
          <w:szCs w:val="24"/>
        </w:rPr>
        <w:t>1、评分过程中如出现小数点后三位，采用四舍五入法，最终保留两位小数；</w:t>
      </w:r>
    </w:p>
    <w:p>
      <w:pPr>
        <w:keepNext w:val="0"/>
        <w:keepLines w:val="0"/>
        <w:pageBreakBefore w:val="0"/>
        <w:widowControl w:val="0"/>
        <w:numPr>
          <w:ilvl w:val="0"/>
          <w:numId w:val="0"/>
        </w:numPr>
        <w:kinsoku/>
        <w:wordWrap w:val="0"/>
        <w:overflowPunct/>
        <w:topLinePunct w:val="0"/>
        <w:autoSpaceDE/>
        <w:autoSpaceDN/>
        <w:bidi w:val="0"/>
        <w:adjustRightInd/>
        <w:snapToGrid/>
        <w:spacing w:line="400" w:lineRule="exact"/>
        <w:ind w:firstLine="482" w:firstLineChars="200"/>
        <w:jc w:val="left"/>
        <w:textAlignment w:val="auto"/>
        <w:rPr>
          <w:rFonts w:hint="eastAsia" w:ascii="宋体" w:hAnsi="宋体"/>
          <w:b/>
          <w:bCs/>
          <w:color w:val="auto"/>
          <w:sz w:val="24"/>
          <w:szCs w:val="24"/>
          <w:highlight w:val="none"/>
        </w:rPr>
      </w:pPr>
      <w:r>
        <w:rPr>
          <w:rFonts w:hint="eastAsia" w:ascii="宋体" w:hAnsi="宋体"/>
          <w:b/>
          <w:bCs/>
          <w:color w:val="auto"/>
          <w:sz w:val="24"/>
          <w:szCs w:val="24"/>
        </w:rPr>
        <w:t>2、响应文件中必须提供以上相关证明材料</w:t>
      </w:r>
      <w:r>
        <w:rPr>
          <w:rFonts w:hint="eastAsia" w:ascii="宋体" w:hAnsi="宋体"/>
          <w:b/>
          <w:bCs/>
          <w:color w:val="auto"/>
          <w:sz w:val="24"/>
          <w:szCs w:val="24"/>
          <w:lang w:val="en-US" w:eastAsia="zh-CN"/>
        </w:rPr>
        <w:t>扫描件并加盖供应商公章，</w:t>
      </w:r>
      <w:r>
        <w:rPr>
          <w:rFonts w:hint="eastAsia" w:ascii="宋体" w:hAnsi="宋体"/>
          <w:b/>
          <w:bCs/>
          <w:color w:val="auto"/>
          <w:sz w:val="24"/>
          <w:szCs w:val="24"/>
        </w:rPr>
        <w:t>否则</w:t>
      </w:r>
      <w:r>
        <w:rPr>
          <w:rFonts w:hint="eastAsia" w:ascii="宋体" w:hAnsi="宋体"/>
          <w:b/>
          <w:bCs/>
          <w:color w:val="auto"/>
          <w:sz w:val="24"/>
          <w:szCs w:val="24"/>
          <w:lang w:val="en-US" w:eastAsia="zh-CN"/>
        </w:rPr>
        <w:t>相关评分</w:t>
      </w:r>
      <w:r>
        <w:rPr>
          <w:rFonts w:hint="eastAsia" w:ascii="宋体" w:hAnsi="宋体"/>
          <w:b/>
          <w:bCs/>
          <w:color w:val="auto"/>
          <w:sz w:val="24"/>
          <w:szCs w:val="24"/>
        </w:rPr>
        <w:t>不予加分</w:t>
      </w:r>
      <w:r>
        <w:rPr>
          <w:rFonts w:hint="eastAsia" w:ascii="宋体" w:hAnsi="宋体"/>
          <w:b/>
          <w:bCs/>
          <w:color w:val="auto"/>
          <w:sz w:val="24"/>
          <w:szCs w:val="24"/>
          <w:highlight w:val="none"/>
        </w:rPr>
        <w:t>。</w:t>
      </w:r>
    </w:p>
    <w:p>
      <w:pPr>
        <w:pStyle w:val="14"/>
        <w:keepNext w:val="0"/>
        <w:keepLines w:val="0"/>
        <w:pageBreakBefore w:val="0"/>
        <w:widowControl/>
        <w:kinsoku/>
        <w:wordWrap w:val="0"/>
        <w:overflowPunct/>
        <w:topLinePunct w:val="0"/>
        <w:autoSpaceDE w:val="0"/>
        <w:autoSpaceDN w:val="0"/>
        <w:bidi w:val="0"/>
        <w:adjustRightInd/>
        <w:snapToGrid/>
        <w:spacing w:line="360" w:lineRule="auto"/>
        <w:textAlignment w:val="auto"/>
        <w:rPr>
          <w:rFonts w:hint="eastAsia" w:ascii="宋体" w:hAnsi="宋体" w:eastAsia="宋体" w:cs="宋体"/>
          <w:b/>
          <w:bCs/>
          <w:color w:val="auto"/>
          <w:sz w:val="24"/>
          <w:szCs w:val="28"/>
        </w:rPr>
      </w:pPr>
      <w:r>
        <w:rPr>
          <w:rFonts w:hint="eastAsia" w:ascii="宋体" w:hAnsi="宋体" w:eastAsia="宋体"/>
          <w:b/>
          <w:bCs/>
          <w:color w:val="auto"/>
          <w:sz w:val="24"/>
          <w:szCs w:val="24"/>
          <w:highlight w:val="none"/>
          <w:lang w:val="en-US" w:eastAsia="zh-CN"/>
        </w:rPr>
        <w:t>3</w:t>
      </w:r>
      <w:r>
        <w:rPr>
          <w:rFonts w:hint="eastAsia" w:ascii="宋体" w:hAnsi="宋体" w:eastAsia="宋体" w:cs="宋体"/>
          <w:b/>
          <w:bCs/>
          <w:color w:val="auto"/>
          <w:sz w:val="24"/>
          <w:szCs w:val="28"/>
        </w:rPr>
        <w:t>、政府采购评审中出现下列情形之一的，</w:t>
      </w:r>
      <w:r>
        <w:rPr>
          <w:rFonts w:hint="eastAsia" w:hAnsi="宋体" w:eastAsia="宋体" w:cs="宋体"/>
          <w:b/>
          <w:bCs/>
          <w:color w:val="auto"/>
          <w:sz w:val="24"/>
          <w:szCs w:val="28"/>
          <w:lang w:eastAsia="zh-CN"/>
        </w:rPr>
        <w:t>磋商小组</w:t>
      </w:r>
      <w:r>
        <w:rPr>
          <w:rFonts w:hint="eastAsia" w:ascii="宋体" w:hAnsi="宋体" w:eastAsia="宋体" w:cs="宋体"/>
          <w:b/>
          <w:bCs/>
          <w:color w:val="auto"/>
          <w:sz w:val="24"/>
          <w:szCs w:val="28"/>
        </w:rPr>
        <w:t>将启动异常低价投标审查程序：</w:t>
      </w:r>
    </w:p>
    <w:p>
      <w:pPr>
        <w:pStyle w:val="14"/>
        <w:keepNext w:val="0"/>
        <w:keepLines w:val="0"/>
        <w:pageBreakBefore w:val="0"/>
        <w:widowControl/>
        <w:kinsoku/>
        <w:wordWrap w:val="0"/>
        <w:overflowPunct/>
        <w:topLinePunct w:val="0"/>
        <w:autoSpaceDE w:val="0"/>
        <w:autoSpaceDN w:val="0"/>
        <w:bidi w:val="0"/>
        <w:adjustRightInd/>
        <w:snapToGrid/>
        <w:spacing w:line="360" w:lineRule="auto"/>
        <w:ind w:left="479" w:leftChars="228" w:firstLine="0" w:firstLineChars="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①投标（响应）报价低于采购项目预算50%的，即投标（响应）报价&lt;采购项目预算×50%；</w:t>
      </w:r>
    </w:p>
    <w:p>
      <w:pPr>
        <w:pStyle w:val="14"/>
        <w:keepNext w:val="0"/>
        <w:keepLines w:val="0"/>
        <w:pageBreakBefore w:val="0"/>
        <w:widowControl/>
        <w:kinsoku/>
        <w:wordWrap w:val="0"/>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②投标（响应）报价低于采购项目最高限价45%的，即投标（响应）报价&lt;采购项目最高限价×45%；</w:t>
      </w:r>
    </w:p>
    <w:p>
      <w:pPr>
        <w:pStyle w:val="14"/>
        <w:keepNext w:val="0"/>
        <w:keepLines w:val="0"/>
        <w:pageBreakBefore w:val="0"/>
        <w:widowControl/>
        <w:kinsoku/>
        <w:wordWrap w:val="0"/>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③磋商小组认定的供应商报价过低、有可能影响产品质量或者不能诚信履约的其他情形。</w:t>
      </w:r>
    </w:p>
    <w:p>
      <w:pPr>
        <w:pStyle w:val="14"/>
        <w:keepNext w:val="0"/>
        <w:keepLines w:val="0"/>
        <w:pageBreakBefore w:val="0"/>
        <w:widowControl/>
        <w:kinsoku/>
        <w:wordWrap w:val="0"/>
        <w:overflowPunct/>
        <w:topLinePunct w:val="0"/>
        <w:autoSpaceDE w:val="0"/>
        <w:autoSpaceDN w:val="0"/>
        <w:bidi w:val="0"/>
        <w:adjustRightInd/>
        <w:snapToGrid/>
        <w:spacing w:line="360" w:lineRule="auto"/>
        <w:textAlignment w:val="auto"/>
        <w:rPr>
          <w:rFonts w:hint="eastAsia" w:ascii="宋体" w:hAnsi="宋体" w:eastAsia="宋体" w:cs="宋体"/>
          <w:color w:val="auto"/>
          <w:sz w:val="24"/>
          <w:szCs w:val="28"/>
        </w:rPr>
        <w:sectPr>
          <w:pgSz w:w="11906" w:h="16838"/>
          <w:pgMar w:top="1134" w:right="1134" w:bottom="1134" w:left="1134" w:header="851" w:footer="850"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eastAsia="宋体" w:cs="宋体"/>
          <w:color w:val="auto"/>
          <w:sz w:val="24"/>
          <w:szCs w:val="28"/>
        </w:rPr>
        <w:t>启动异常低价投标（响应）审查后，磋商小组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olor w:val="auto"/>
          <w:sz w:val="28"/>
          <w:highlight w:val="none"/>
        </w:rPr>
      </w:pPr>
      <w:bookmarkStart w:id="29" w:name="_Toc28152"/>
      <w:r>
        <w:rPr>
          <w:rFonts w:hint="eastAsia" w:ascii="黑体" w:hAnsi="黑体" w:eastAsia="黑体"/>
          <w:color w:val="auto"/>
          <w:sz w:val="28"/>
          <w:highlight w:val="none"/>
        </w:rPr>
        <w:t>第五章 政府采购合同（格式）</w:t>
      </w:r>
      <w:bookmarkEnd w:id="22"/>
      <w:bookmarkEnd w:id="23"/>
      <w:bookmarkEnd w:id="29"/>
    </w:p>
    <w:p>
      <w:pPr>
        <w:pStyle w:val="15"/>
        <w:ind w:firstLine="0"/>
        <w:jc w:val="right"/>
        <w:rPr>
          <w:rFonts w:hint="eastAsia" w:hAnsi="宋体" w:cs="宋体"/>
          <w:b/>
          <w:color w:val="auto"/>
          <w:szCs w:val="24"/>
          <w:highlight w:val="none"/>
        </w:rPr>
      </w:pPr>
    </w:p>
    <w:p>
      <w:pPr>
        <w:pStyle w:val="15"/>
        <w:wordWrap w:val="0"/>
        <w:ind w:firstLine="0"/>
        <w:jc w:val="right"/>
        <w:rPr>
          <w:rFonts w:hint="default" w:hAnsi="宋体" w:eastAsia="宋体" w:cs="宋体"/>
          <w:b/>
          <w:color w:val="auto"/>
          <w:sz w:val="28"/>
          <w:szCs w:val="24"/>
          <w:highlight w:val="none"/>
          <w:lang w:val="en-US" w:eastAsia="zh-CN"/>
        </w:rPr>
      </w:pPr>
      <w:r>
        <w:rPr>
          <w:rFonts w:hint="eastAsia" w:hAnsi="宋体" w:cs="宋体"/>
          <w:b/>
          <w:color w:val="auto"/>
          <w:szCs w:val="24"/>
          <w:highlight w:val="none"/>
        </w:rPr>
        <w:t>政府采购计划号：</w:t>
      </w:r>
      <w:r>
        <w:rPr>
          <w:rFonts w:hint="eastAsia" w:hAnsi="宋体" w:cs="宋体"/>
          <w:b/>
          <w:color w:val="auto"/>
          <w:szCs w:val="24"/>
          <w:highlight w:val="none"/>
          <w:lang w:val="en-US" w:eastAsia="zh-CN"/>
        </w:rPr>
        <w:t>LWZC320282000202500252</w:t>
      </w:r>
    </w:p>
    <w:p>
      <w:pPr>
        <w:pStyle w:val="15"/>
        <w:ind w:firstLine="0"/>
        <w:jc w:val="right"/>
        <w:rPr>
          <w:rFonts w:hint="eastAsia" w:hAnsi="宋体" w:cs="宋体"/>
          <w:b/>
          <w:color w:val="auto"/>
          <w:sz w:val="28"/>
          <w:szCs w:val="28"/>
          <w:highlight w:val="none"/>
          <w:lang w:val="zh-CN"/>
        </w:rPr>
      </w:pPr>
    </w:p>
    <w:p>
      <w:pPr>
        <w:pStyle w:val="15"/>
        <w:ind w:firstLine="0"/>
        <w:jc w:val="right"/>
        <w:rPr>
          <w:rFonts w:hint="eastAsia" w:hAnsi="宋体" w:cs="宋体"/>
          <w:color w:val="auto"/>
          <w:szCs w:val="24"/>
          <w:highlight w:val="none"/>
        </w:rPr>
      </w:pPr>
    </w:p>
    <w:p>
      <w:pPr>
        <w:pStyle w:val="15"/>
        <w:ind w:firstLine="0"/>
        <w:rPr>
          <w:rFonts w:hint="eastAsia" w:hAnsi="宋体" w:cs="宋体"/>
          <w:color w:val="auto"/>
          <w:szCs w:val="24"/>
          <w:highlight w:val="none"/>
        </w:rPr>
      </w:pPr>
    </w:p>
    <w:p>
      <w:pPr>
        <w:pStyle w:val="15"/>
        <w:ind w:firstLine="0"/>
        <w:rPr>
          <w:rFonts w:hint="eastAsia" w:hAnsi="宋体" w:cs="宋体"/>
          <w:color w:val="auto"/>
          <w:szCs w:val="24"/>
          <w:highlight w:val="none"/>
        </w:rPr>
      </w:pPr>
    </w:p>
    <w:p>
      <w:pPr>
        <w:pStyle w:val="15"/>
        <w:ind w:firstLine="0"/>
        <w:jc w:val="center"/>
        <w:rPr>
          <w:rFonts w:hint="eastAsia" w:hAnsi="宋体" w:cs="宋体"/>
          <w:b/>
          <w:color w:val="auto"/>
          <w:szCs w:val="24"/>
          <w:highlight w:val="none"/>
        </w:rPr>
      </w:pPr>
      <w:r>
        <w:rPr>
          <w:rFonts w:hint="eastAsia" w:hAnsi="宋体" w:cs="宋体"/>
          <w:b/>
          <w:color w:val="auto"/>
          <w:szCs w:val="24"/>
          <w:highlight w:val="none"/>
        </w:rPr>
        <w:t>第一部分 合同书</w:t>
      </w:r>
    </w:p>
    <w:p>
      <w:pPr>
        <w:pStyle w:val="15"/>
        <w:ind w:firstLine="0"/>
        <w:rPr>
          <w:rFonts w:hint="eastAsia" w:hAnsi="宋体" w:cs="宋体"/>
          <w:color w:val="auto"/>
          <w:szCs w:val="24"/>
          <w:highlight w:val="none"/>
        </w:rPr>
      </w:pPr>
    </w:p>
    <w:p>
      <w:pPr>
        <w:pStyle w:val="15"/>
        <w:ind w:firstLine="0"/>
        <w:rPr>
          <w:rFonts w:hint="eastAsia" w:hAnsi="宋体" w:cs="宋体"/>
          <w:color w:val="auto"/>
          <w:szCs w:val="24"/>
          <w:highlight w:val="none"/>
        </w:rPr>
      </w:pPr>
    </w:p>
    <w:p>
      <w:pPr>
        <w:spacing w:line="22" w:lineRule="atLeast"/>
        <w:rPr>
          <w:rFonts w:hint="eastAsia" w:ascii="宋体" w:hAnsi="宋体" w:cs="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22" w:lineRule="atLeast"/>
        <w:ind w:left="960" w:firstLine="960" w:firstLineChars="400"/>
        <w:textAlignment w:val="auto"/>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pPr>
        <w:pStyle w:val="16"/>
        <w:keepNext w:val="0"/>
        <w:keepLines w:val="0"/>
        <w:pageBreakBefore w:val="0"/>
        <w:widowControl w:val="0"/>
        <w:kinsoku/>
        <w:wordWrap/>
        <w:overflowPunct/>
        <w:topLinePunct w:val="0"/>
        <w:autoSpaceDE/>
        <w:autoSpaceDN/>
        <w:bidi w:val="0"/>
        <w:adjustRightInd/>
        <w:snapToGrid/>
        <w:spacing w:line="22" w:lineRule="atLeast"/>
        <w:ind w:firstLine="960" w:firstLineChars="400"/>
        <w:textAlignment w:val="auto"/>
        <w:rPr>
          <w:rFonts w:hint="eastAsia" w:ascii="宋体" w:hAnsi="宋体" w:eastAsia="宋体" w:cs="宋体"/>
          <w:color w:val="auto"/>
          <w:szCs w:val="24"/>
          <w:highlight w:val="none"/>
        </w:rPr>
      </w:pPr>
    </w:p>
    <w:p>
      <w:pPr>
        <w:pStyle w:val="16"/>
        <w:keepNext w:val="0"/>
        <w:keepLines w:val="0"/>
        <w:pageBreakBefore w:val="0"/>
        <w:widowControl w:val="0"/>
        <w:kinsoku/>
        <w:wordWrap/>
        <w:overflowPunct/>
        <w:topLinePunct w:val="0"/>
        <w:autoSpaceDE/>
        <w:autoSpaceDN/>
        <w:bidi w:val="0"/>
        <w:adjustRightInd/>
        <w:snapToGrid/>
        <w:spacing w:line="22" w:lineRule="atLeast"/>
        <w:ind w:firstLine="960" w:firstLineChars="400"/>
        <w:textAlignment w:val="auto"/>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default" w:ascii="宋体" w:hAnsi="宋体" w:eastAsia="宋体" w:cs="宋体"/>
          <w:bCs/>
          <w:color w:val="auto"/>
          <w:highlight w:val="none"/>
          <w:u w:val="single"/>
          <w:lang w:val="en-US"/>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lang w:eastAsia="zh-CN"/>
        </w:rPr>
        <w:t>JSZC-320282-JSXY-C2025-0012</w:t>
      </w:r>
      <w:r>
        <w:rPr>
          <w:rFonts w:hint="default" w:ascii="宋体" w:hAnsi="宋体" w:eastAsia="宋体" w:cs="宋体"/>
          <w:bCs/>
          <w:color w:val="auto"/>
          <w:highlight w:val="none"/>
          <w:u w:val="single"/>
          <w:lang w:val="en-US"/>
        </w:rPr>
        <w:t xml:space="preserve">  </w:t>
      </w:r>
      <w:r>
        <w:rPr>
          <w:rFonts w:hint="eastAsia" w:ascii="宋体" w:hAnsi="宋体" w:eastAsia="宋体" w:cs="宋体"/>
          <w:bCs/>
          <w:color w:val="auto"/>
          <w:highlight w:val="none"/>
          <w:u w:val="single"/>
          <w:lang w:val="en-US" w:eastAsia="zh-CN"/>
        </w:rPr>
        <w:t xml:space="preserve"> </w:t>
      </w:r>
      <w:r>
        <w:rPr>
          <w:rFonts w:hint="default" w:ascii="宋体" w:hAnsi="宋体" w:eastAsia="宋体" w:cs="宋体"/>
          <w:bCs/>
          <w:color w:val="auto"/>
          <w:highlight w:val="none"/>
          <w:u w:val="single"/>
          <w:lang w:val="en-US"/>
        </w:rPr>
        <w:t xml:space="preserve"> </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cs="宋体"/>
          <w:color w:val="auto"/>
          <w:highlight w:val="none"/>
        </w:rPr>
      </w:pPr>
    </w:p>
    <w:p>
      <w:pPr>
        <w:keepNext w:val="0"/>
        <w:keepLines w:val="0"/>
        <w:pageBreakBefore w:val="0"/>
        <w:widowControl w:val="0"/>
        <w:kinsoku/>
        <w:wordWrap/>
        <w:overflowPunct/>
        <w:topLinePunct w:val="0"/>
        <w:autoSpaceDE/>
        <w:autoSpaceDN/>
        <w:bidi w:val="0"/>
        <w:adjustRightInd/>
        <w:snapToGrid/>
        <w:spacing w:line="22" w:lineRule="atLeast"/>
        <w:ind w:left="960" w:firstLine="960" w:firstLineChars="40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甲方：</w:t>
      </w:r>
      <w:r>
        <w:rPr>
          <w:rFonts w:hint="eastAsia" w:ascii="宋体" w:hAnsi="宋体" w:cs="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22" w:lineRule="atLeast"/>
        <w:ind w:firstLine="960" w:firstLineChars="400"/>
        <w:textAlignment w:val="auto"/>
        <w:rPr>
          <w:rFonts w:hint="eastAsia" w:ascii="宋体" w:hAnsi="宋体" w:cs="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22" w:lineRule="atLeast"/>
        <w:ind w:left="960" w:firstLine="960" w:firstLineChars="40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22" w:lineRule="atLeast"/>
        <w:ind w:left="960" w:firstLine="960" w:firstLineChars="400"/>
        <w:textAlignment w:val="auto"/>
        <w:rPr>
          <w:rFonts w:hint="eastAsia" w:ascii="宋体" w:hAnsi="宋体" w:cs="宋体"/>
          <w:color w:val="auto"/>
          <w:sz w:val="24"/>
          <w:highlight w:val="none"/>
          <w:u w:val="single"/>
        </w:rPr>
      </w:pPr>
    </w:p>
    <w:p>
      <w:pPr>
        <w:keepNext w:val="0"/>
        <w:keepLines w:val="0"/>
        <w:pageBreakBefore w:val="0"/>
        <w:widowControl w:val="0"/>
        <w:kinsoku/>
        <w:wordWrap/>
        <w:overflowPunct/>
        <w:topLinePunct w:val="0"/>
        <w:autoSpaceDE/>
        <w:autoSpaceDN/>
        <w:bidi w:val="0"/>
        <w:adjustRightInd/>
        <w:snapToGrid/>
        <w:spacing w:line="22" w:lineRule="atLeast"/>
        <w:ind w:left="960" w:firstLine="960" w:firstLineChars="400"/>
        <w:textAlignment w:val="auto"/>
        <w:rPr>
          <w:rFonts w:hint="eastAsia" w:ascii="宋体" w:hAnsi="宋体" w:cs="宋体"/>
          <w:color w:val="auto"/>
          <w:sz w:val="24"/>
          <w:highlight w:val="none"/>
          <w:u w:val="single"/>
        </w:rPr>
      </w:pPr>
      <w:r>
        <w:rPr>
          <w:rFonts w:hint="eastAsia" w:ascii="宋体" w:hAnsi="宋体" w:cs="宋体"/>
          <w:color w:val="auto"/>
          <w:sz w:val="24"/>
          <w:highlight w:val="none"/>
        </w:rPr>
        <w:t>签订地：</w:t>
      </w:r>
      <w:r>
        <w:rPr>
          <w:rFonts w:hint="eastAsia" w:ascii="宋体" w:hAnsi="宋体" w:cs="宋体"/>
          <w:color w:val="auto"/>
          <w:sz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22" w:lineRule="atLeast"/>
        <w:ind w:left="960" w:firstLine="960" w:firstLineChars="400"/>
        <w:textAlignment w:val="auto"/>
        <w:rPr>
          <w:rFonts w:hint="eastAsia" w:ascii="宋体" w:hAnsi="宋体" w:cs="宋体"/>
          <w:color w:val="auto"/>
          <w:sz w:val="24"/>
          <w:highlight w:val="none"/>
        </w:rPr>
      </w:pPr>
    </w:p>
    <w:p>
      <w:pPr>
        <w:keepNext w:val="0"/>
        <w:keepLines w:val="0"/>
        <w:pageBreakBefore w:val="0"/>
        <w:widowControl w:val="0"/>
        <w:kinsoku/>
        <w:wordWrap/>
        <w:overflowPunct/>
        <w:topLinePunct w:val="0"/>
        <w:autoSpaceDE/>
        <w:autoSpaceDN/>
        <w:bidi w:val="0"/>
        <w:adjustRightInd/>
        <w:snapToGrid/>
        <w:spacing w:line="22" w:lineRule="atLeast"/>
        <w:ind w:left="960" w:firstLine="960" w:firstLineChars="400"/>
        <w:textAlignment w:val="auto"/>
        <w:rPr>
          <w:rFonts w:hint="eastAsia" w:ascii="宋体" w:hAnsi="宋体" w:cs="宋体"/>
          <w:color w:val="auto"/>
          <w:sz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cs="宋体"/>
          <w:color w:val="auto"/>
          <w:sz w:val="24"/>
          <w:highlight w:val="none"/>
        </w:rPr>
        <w:t>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日</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宜兴市人民法院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以</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竞争性磋商采购方式 </w:t>
      </w:r>
      <w:r>
        <w:rPr>
          <w:rFonts w:hint="eastAsia" w:ascii="宋体" w:hAnsi="宋体" w:cs="宋体"/>
          <w:color w:val="auto"/>
          <w:sz w:val="24"/>
          <w:highlight w:val="none"/>
        </w:rPr>
        <w:t>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宜兴法院2026年度食堂管理服务 </w:t>
      </w:r>
      <w:r>
        <w:rPr>
          <w:rFonts w:hint="eastAsia" w:ascii="宋体" w:hAnsi="宋体" w:cs="宋体"/>
          <w:color w:val="auto"/>
          <w:sz w:val="24"/>
          <w:highlight w:val="none"/>
        </w:rPr>
        <w:t>进行了采购。经磋商小组评审，</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宜兴市人民法院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确定</w:t>
      </w:r>
      <w:r>
        <w:rPr>
          <w:rFonts w:hint="eastAsia" w:ascii="宋体" w:hAnsi="宋体" w:cs="宋体"/>
          <w:color w:val="auto"/>
          <w:sz w:val="24"/>
          <w:highlight w:val="none"/>
          <w:u w:val="single"/>
        </w:rPr>
        <w:t>（成交供应商名称）</w:t>
      </w:r>
      <w:r>
        <w:rPr>
          <w:rFonts w:hint="eastAsia" w:ascii="宋体" w:hAnsi="宋体" w:cs="宋体"/>
          <w:color w:val="auto"/>
          <w:sz w:val="24"/>
          <w:highlight w:val="none"/>
        </w:rPr>
        <w:t>为该项目成交供应商。现于成交通知书发出之日起三十日内，按照磋商文件确定的事项签订本合同。</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highlight w:val="none"/>
          <w:lang w:val="zh-CN"/>
        </w:rPr>
        <w:t>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宜兴市人民法院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(以下简称：甲方)和</w:t>
      </w:r>
      <w:r>
        <w:rPr>
          <w:rFonts w:hint="eastAsia" w:ascii="宋体" w:hAnsi="宋体" w:cs="宋体"/>
          <w:color w:val="auto"/>
          <w:sz w:val="24"/>
          <w:highlight w:val="none"/>
          <w:u w:val="single"/>
        </w:rPr>
        <w:t xml:space="preserve"> （成交供应商名称）</w:t>
      </w:r>
      <w:r>
        <w:rPr>
          <w:rFonts w:hint="eastAsia" w:ascii="宋体" w:hAnsi="宋体" w:cs="宋体"/>
          <w:color w:val="auto"/>
          <w:sz w:val="24"/>
          <w:highlight w:val="none"/>
          <w:lang w:val="zh-CN"/>
        </w:rPr>
        <w:t>(以下简称：乙方)协商一致，约定以下合同</w:t>
      </w:r>
      <w:r>
        <w:rPr>
          <w:rFonts w:hint="eastAsia" w:ascii="宋体" w:hAnsi="宋体" w:cs="宋体"/>
          <w:color w:val="auto"/>
          <w:sz w:val="24"/>
          <w:highlight w:val="none"/>
        </w:rPr>
        <w:t>条款，以兹共同遵守、全面履行。</w:t>
      </w:r>
    </w:p>
    <w:p>
      <w:pPr>
        <w:keepNext w:val="0"/>
        <w:keepLines w:val="0"/>
        <w:pageBreakBefore w:val="0"/>
        <w:widowControl w:val="0"/>
        <w:kinsoku/>
        <w:wordWrap w:val="0"/>
        <w:overflowPunct/>
        <w:topLinePunct w:val="0"/>
        <w:autoSpaceDE/>
        <w:autoSpaceDN/>
        <w:bidi w:val="0"/>
        <w:adjustRightInd/>
        <w:snapToGrid/>
        <w:spacing w:line="560" w:lineRule="exact"/>
        <w:ind w:firstLine="482" w:firstLineChars="200"/>
        <w:textAlignment w:val="auto"/>
        <w:rPr>
          <w:rFonts w:hint="eastAsia" w:ascii="宋体" w:hAnsi="宋体" w:cs="宋体"/>
          <w:color w:val="auto"/>
          <w:sz w:val="24"/>
          <w:szCs w:val="24"/>
          <w:highlight w:val="none"/>
        </w:rPr>
      </w:pPr>
      <w:bookmarkStart w:id="30" w:name="_Toc22967"/>
      <w:bookmarkStart w:id="31" w:name="_Toc15367"/>
      <w:bookmarkStart w:id="32" w:name="_Toc28855"/>
      <w:bookmarkStart w:id="33" w:name="_Toc19273"/>
      <w:bookmarkStart w:id="34" w:name="_Toc20421"/>
      <w:r>
        <w:rPr>
          <w:rFonts w:hint="eastAsia" w:ascii="宋体" w:hAnsi="宋体" w:cs="宋体"/>
          <w:b/>
          <w:color w:val="auto"/>
          <w:sz w:val="24"/>
          <w:szCs w:val="24"/>
          <w:highlight w:val="none"/>
        </w:rPr>
        <w:t>1.1 合同组成部分</w:t>
      </w:r>
      <w:bookmarkEnd w:id="30"/>
      <w:bookmarkEnd w:id="31"/>
      <w:bookmarkEnd w:id="32"/>
      <w:bookmarkEnd w:id="33"/>
      <w:bookmarkEnd w:id="34"/>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下列文件为本合同的组成部分，并构成一个整体，需综合解释、相互补充。如果下列文件内容出现不一致的情形，那么在保证按照磋商文件确定的事项的前提下，组成本合同的多个文件的优先适用顺序如下：</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1.1.1 本合同及其补充合同、变更协议；</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1.1.2 成交通知书；</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1.1.3 响应文件（含澄清或者说明文件）；</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1.1.4 磋商文件（含澄清或者修改文件）；</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1.1.5 其他相关磋商文件。</w:t>
      </w:r>
    </w:p>
    <w:p>
      <w:pPr>
        <w:keepNext w:val="0"/>
        <w:keepLines w:val="0"/>
        <w:pageBreakBefore w:val="0"/>
        <w:widowControl w:val="0"/>
        <w:kinsoku/>
        <w:wordWrap w:val="0"/>
        <w:overflowPunct/>
        <w:topLinePunct w:val="0"/>
        <w:autoSpaceDE/>
        <w:autoSpaceDN/>
        <w:bidi w:val="0"/>
        <w:adjustRightInd/>
        <w:snapToGrid/>
        <w:spacing w:line="560" w:lineRule="exact"/>
        <w:ind w:firstLine="482" w:firstLineChars="200"/>
        <w:textAlignment w:val="auto"/>
        <w:rPr>
          <w:rFonts w:hint="eastAsia" w:ascii="宋体" w:hAnsi="宋体" w:cs="宋体"/>
          <w:b/>
          <w:color w:val="auto"/>
          <w:sz w:val="24"/>
          <w:szCs w:val="24"/>
          <w:highlight w:val="none"/>
        </w:rPr>
      </w:pPr>
      <w:bookmarkStart w:id="35" w:name="_Toc2918"/>
      <w:bookmarkStart w:id="36" w:name="_Toc18585"/>
      <w:bookmarkStart w:id="37" w:name="_Toc22185"/>
      <w:bookmarkStart w:id="38" w:name="_Toc6773"/>
      <w:bookmarkStart w:id="39" w:name="_Toc6311"/>
      <w:r>
        <w:rPr>
          <w:rFonts w:hint="eastAsia" w:ascii="宋体" w:hAnsi="宋体" w:cs="宋体"/>
          <w:b/>
          <w:color w:val="auto"/>
          <w:sz w:val="24"/>
          <w:szCs w:val="24"/>
          <w:highlight w:val="none"/>
        </w:rPr>
        <w:t>1.2 标的</w:t>
      </w:r>
      <w:bookmarkEnd w:id="35"/>
      <w:bookmarkEnd w:id="36"/>
      <w:bookmarkEnd w:id="37"/>
      <w:bookmarkEnd w:id="38"/>
      <w:bookmarkEnd w:id="39"/>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1.2.1 项目名称：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1.2.2 项目数量：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1.2.3 项目质量：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val="0"/>
        <w:keepLines w:val="0"/>
        <w:pageBreakBefore w:val="0"/>
        <w:widowControl w:val="0"/>
        <w:kinsoku/>
        <w:wordWrap w:val="0"/>
        <w:overflowPunct/>
        <w:topLinePunct w:val="0"/>
        <w:autoSpaceDE/>
        <w:autoSpaceDN/>
        <w:bidi w:val="0"/>
        <w:adjustRightInd/>
        <w:snapToGrid/>
        <w:spacing w:line="560" w:lineRule="exact"/>
        <w:ind w:firstLine="482" w:firstLineChars="200"/>
        <w:textAlignment w:val="auto"/>
        <w:rPr>
          <w:rFonts w:hint="eastAsia" w:ascii="宋体" w:hAnsi="宋体" w:cs="宋体"/>
          <w:b/>
          <w:color w:val="auto"/>
          <w:sz w:val="24"/>
          <w:szCs w:val="24"/>
          <w:highlight w:val="none"/>
        </w:rPr>
      </w:pPr>
      <w:bookmarkStart w:id="40" w:name="_Toc21124"/>
      <w:bookmarkStart w:id="41" w:name="_Toc4929"/>
      <w:bookmarkStart w:id="42" w:name="_Toc1386"/>
      <w:bookmarkStart w:id="43" w:name="_Toc5635"/>
      <w:bookmarkStart w:id="44" w:name="_Toc13918"/>
      <w:r>
        <w:rPr>
          <w:rFonts w:hint="eastAsia" w:ascii="宋体" w:hAnsi="宋体" w:cs="宋体"/>
          <w:b/>
          <w:color w:val="auto"/>
          <w:sz w:val="24"/>
          <w:szCs w:val="24"/>
          <w:highlight w:val="none"/>
        </w:rPr>
        <w:t>1.3 价款</w:t>
      </w:r>
      <w:bookmarkEnd w:id="40"/>
      <w:bookmarkEnd w:id="41"/>
      <w:bookmarkEnd w:id="42"/>
      <w:bookmarkEnd w:id="43"/>
      <w:bookmarkEnd w:id="44"/>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rPr>
      </w:pPr>
      <w:bookmarkStart w:id="45" w:name="_Toc26916"/>
      <w:bookmarkStart w:id="46" w:name="_Toc3654"/>
      <w:bookmarkStart w:id="47" w:name="_Toc14993"/>
      <w:bookmarkStart w:id="48" w:name="_Toc30506"/>
      <w:bookmarkStart w:id="49" w:name="_Toc30158"/>
      <w:r>
        <w:rPr>
          <w:rFonts w:hint="eastAsia" w:ascii="宋体" w:hAnsi="宋体" w:cs="宋体"/>
          <w:color w:val="auto"/>
          <w:sz w:val="24"/>
          <w:szCs w:val="24"/>
          <w:highlight w:val="none"/>
        </w:rPr>
        <w:t>本合同总价为：￥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w:t>
      </w:r>
    </w:p>
    <w:p>
      <w:pPr>
        <w:keepNext w:val="0"/>
        <w:keepLines w:val="0"/>
        <w:pageBreakBefore w:val="0"/>
        <w:widowControl w:val="0"/>
        <w:kinsoku/>
        <w:wordWrap w:val="0"/>
        <w:overflowPunct/>
        <w:topLinePunct w:val="0"/>
        <w:autoSpaceDE/>
        <w:autoSpaceDN/>
        <w:bidi w:val="0"/>
        <w:adjustRightInd/>
        <w:snapToGrid/>
        <w:spacing w:line="560" w:lineRule="exact"/>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分项价格：</w:t>
      </w:r>
    </w:p>
    <w:tbl>
      <w:tblPr>
        <w:tblStyle w:val="6"/>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1" w:type="dxa"/>
            <w:noWrap w:val="0"/>
            <w:vAlign w:val="center"/>
          </w:tcPr>
          <w:p>
            <w:pPr>
              <w:spacing w:line="360" w:lineRule="auto"/>
              <w:jc w:val="center"/>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序号</w:t>
            </w:r>
          </w:p>
        </w:tc>
        <w:tc>
          <w:tcPr>
            <w:tcW w:w="3402" w:type="dxa"/>
            <w:noWrap w:val="0"/>
            <w:vAlign w:val="center"/>
          </w:tcPr>
          <w:p>
            <w:pPr>
              <w:spacing w:line="360" w:lineRule="auto"/>
              <w:jc w:val="center"/>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分项名称</w:t>
            </w:r>
          </w:p>
        </w:tc>
        <w:tc>
          <w:tcPr>
            <w:tcW w:w="2552" w:type="dxa"/>
            <w:noWrap w:val="0"/>
            <w:vAlign w:val="center"/>
          </w:tcPr>
          <w:p>
            <w:pPr>
              <w:spacing w:line="360" w:lineRule="auto"/>
              <w:jc w:val="center"/>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分项价格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1" w:type="dxa"/>
            <w:noWrap w:val="0"/>
            <w:vAlign w:val="center"/>
          </w:tcPr>
          <w:p>
            <w:pPr>
              <w:spacing w:line="360" w:lineRule="auto"/>
              <w:jc w:val="center"/>
              <w:rPr>
                <w:rFonts w:hint="eastAsia" w:ascii="宋体" w:hAnsi="宋体" w:eastAsia="宋体"/>
                <w:bCs/>
                <w:color w:val="auto"/>
                <w:sz w:val="24"/>
                <w:highlight w:val="none"/>
                <w:lang w:val="zh-CN"/>
              </w:rPr>
            </w:pPr>
          </w:p>
        </w:tc>
        <w:tc>
          <w:tcPr>
            <w:tcW w:w="3402" w:type="dxa"/>
            <w:noWrap w:val="0"/>
            <w:vAlign w:val="center"/>
          </w:tcPr>
          <w:p>
            <w:pPr>
              <w:spacing w:line="360" w:lineRule="auto"/>
              <w:jc w:val="center"/>
              <w:rPr>
                <w:rFonts w:hint="eastAsia" w:ascii="宋体" w:hAnsi="宋体" w:eastAsia="宋体"/>
                <w:bCs/>
                <w:color w:val="auto"/>
                <w:sz w:val="24"/>
                <w:highlight w:val="none"/>
                <w:lang w:val="zh-CN"/>
              </w:rPr>
            </w:pPr>
          </w:p>
        </w:tc>
        <w:tc>
          <w:tcPr>
            <w:tcW w:w="2552" w:type="dxa"/>
            <w:noWrap w:val="0"/>
            <w:vAlign w:val="center"/>
          </w:tcPr>
          <w:p>
            <w:pPr>
              <w:spacing w:line="360" w:lineRule="auto"/>
              <w:jc w:val="center"/>
              <w:rPr>
                <w:rFonts w:hint="eastAsia" w:ascii="宋体" w:hAnsi="宋体" w:eastAsia="宋体"/>
                <w:bCs/>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1" w:type="dxa"/>
            <w:noWrap w:val="0"/>
            <w:vAlign w:val="center"/>
          </w:tcPr>
          <w:p>
            <w:pPr>
              <w:spacing w:line="360" w:lineRule="auto"/>
              <w:jc w:val="center"/>
              <w:rPr>
                <w:rFonts w:hint="eastAsia" w:ascii="宋体" w:hAnsi="宋体" w:eastAsia="宋体"/>
                <w:bCs/>
                <w:color w:val="auto"/>
                <w:sz w:val="24"/>
                <w:highlight w:val="none"/>
                <w:lang w:val="zh-CN"/>
              </w:rPr>
            </w:pPr>
          </w:p>
        </w:tc>
        <w:tc>
          <w:tcPr>
            <w:tcW w:w="3402" w:type="dxa"/>
            <w:noWrap w:val="0"/>
            <w:vAlign w:val="center"/>
          </w:tcPr>
          <w:p>
            <w:pPr>
              <w:spacing w:line="360" w:lineRule="auto"/>
              <w:jc w:val="center"/>
              <w:rPr>
                <w:rFonts w:hint="eastAsia" w:ascii="宋体" w:hAnsi="宋体" w:eastAsia="宋体"/>
                <w:bCs/>
                <w:color w:val="auto"/>
                <w:sz w:val="24"/>
                <w:highlight w:val="none"/>
                <w:lang w:val="zh-CN"/>
              </w:rPr>
            </w:pPr>
          </w:p>
        </w:tc>
        <w:tc>
          <w:tcPr>
            <w:tcW w:w="2552" w:type="dxa"/>
            <w:noWrap w:val="0"/>
            <w:vAlign w:val="center"/>
          </w:tcPr>
          <w:p>
            <w:pPr>
              <w:spacing w:line="360" w:lineRule="auto"/>
              <w:jc w:val="center"/>
              <w:rPr>
                <w:rFonts w:hint="eastAsia" w:ascii="宋体" w:hAnsi="宋体" w:eastAsia="宋体"/>
                <w:bCs/>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1" w:type="dxa"/>
            <w:noWrap w:val="0"/>
            <w:vAlign w:val="center"/>
          </w:tcPr>
          <w:p>
            <w:pPr>
              <w:spacing w:line="360" w:lineRule="auto"/>
              <w:jc w:val="center"/>
              <w:rPr>
                <w:rFonts w:hint="eastAsia" w:ascii="宋体" w:hAnsi="宋体" w:eastAsia="宋体"/>
                <w:bCs/>
                <w:color w:val="auto"/>
                <w:sz w:val="24"/>
                <w:highlight w:val="none"/>
                <w:lang w:val="zh-CN"/>
              </w:rPr>
            </w:pPr>
          </w:p>
        </w:tc>
        <w:tc>
          <w:tcPr>
            <w:tcW w:w="3402" w:type="dxa"/>
            <w:noWrap w:val="0"/>
            <w:vAlign w:val="center"/>
          </w:tcPr>
          <w:p>
            <w:pPr>
              <w:spacing w:line="360" w:lineRule="auto"/>
              <w:jc w:val="center"/>
              <w:rPr>
                <w:rFonts w:hint="eastAsia" w:ascii="宋体" w:hAnsi="宋体" w:eastAsia="宋体"/>
                <w:bCs/>
                <w:color w:val="auto"/>
                <w:sz w:val="24"/>
                <w:highlight w:val="none"/>
                <w:lang w:val="zh-CN"/>
              </w:rPr>
            </w:pPr>
          </w:p>
        </w:tc>
        <w:tc>
          <w:tcPr>
            <w:tcW w:w="2552" w:type="dxa"/>
            <w:noWrap w:val="0"/>
            <w:vAlign w:val="center"/>
          </w:tcPr>
          <w:p>
            <w:pPr>
              <w:spacing w:line="360" w:lineRule="auto"/>
              <w:jc w:val="center"/>
              <w:rPr>
                <w:rFonts w:hint="eastAsia" w:ascii="宋体" w:hAnsi="宋体" w:eastAsia="宋体"/>
                <w:bCs/>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01" w:type="dxa"/>
            <w:noWrap w:val="0"/>
            <w:vAlign w:val="center"/>
          </w:tcPr>
          <w:p>
            <w:pPr>
              <w:spacing w:line="360" w:lineRule="auto"/>
              <w:jc w:val="center"/>
              <w:rPr>
                <w:rFonts w:hint="eastAsia" w:ascii="宋体" w:hAnsi="宋体" w:eastAsia="宋体"/>
                <w:bCs/>
                <w:color w:val="auto"/>
                <w:sz w:val="24"/>
                <w:highlight w:val="none"/>
                <w:lang w:val="zh-CN"/>
              </w:rPr>
            </w:pPr>
          </w:p>
        </w:tc>
        <w:tc>
          <w:tcPr>
            <w:tcW w:w="3402" w:type="dxa"/>
            <w:noWrap w:val="0"/>
            <w:vAlign w:val="center"/>
          </w:tcPr>
          <w:p>
            <w:pPr>
              <w:spacing w:line="360" w:lineRule="auto"/>
              <w:jc w:val="center"/>
              <w:rPr>
                <w:rFonts w:hint="eastAsia" w:ascii="宋体" w:hAnsi="宋体" w:eastAsia="宋体"/>
                <w:bCs/>
                <w:color w:val="auto"/>
                <w:sz w:val="24"/>
                <w:highlight w:val="none"/>
                <w:lang w:val="zh-CN"/>
              </w:rPr>
            </w:pPr>
          </w:p>
        </w:tc>
        <w:tc>
          <w:tcPr>
            <w:tcW w:w="2552" w:type="dxa"/>
            <w:noWrap w:val="0"/>
            <w:vAlign w:val="center"/>
          </w:tcPr>
          <w:p>
            <w:pPr>
              <w:spacing w:line="360" w:lineRule="auto"/>
              <w:jc w:val="center"/>
              <w:rPr>
                <w:rFonts w:hint="eastAsia" w:ascii="宋体" w:hAnsi="宋体" w:eastAsia="宋体"/>
                <w:bCs/>
                <w:color w:val="auto"/>
                <w:sz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03" w:type="dxa"/>
            <w:gridSpan w:val="2"/>
            <w:noWrap w:val="0"/>
            <w:vAlign w:val="center"/>
          </w:tcPr>
          <w:p>
            <w:pPr>
              <w:spacing w:line="360" w:lineRule="auto"/>
              <w:jc w:val="center"/>
              <w:rPr>
                <w:rFonts w:hint="eastAsia" w:ascii="宋体" w:hAnsi="宋体" w:eastAsia="宋体"/>
                <w:bCs/>
                <w:color w:val="auto"/>
                <w:sz w:val="24"/>
                <w:highlight w:val="none"/>
                <w:lang w:val="zh-CN"/>
              </w:rPr>
            </w:pPr>
            <w:r>
              <w:rPr>
                <w:rFonts w:hint="eastAsia" w:ascii="宋体" w:hAnsi="宋体" w:eastAsia="宋体"/>
                <w:bCs/>
                <w:color w:val="auto"/>
                <w:sz w:val="24"/>
                <w:highlight w:val="none"/>
                <w:lang w:val="zh-CN"/>
              </w:rPr>
              <w:t>总价</w:t>
            </w:r>
          </w:p>
        </w:tc>
        <w:tc>
          <w:tcPr>
            <w:tcW w:w="2552" w:type="dxa"/>
            <w:noWrap w:val="0"/>
            <w:vAlign w:val="center"/>
          </w:tcPr>
          <w:p>
            <w:pPr>
              <w:spacing w:line="360" w:lineRule="auto"/>
              <w:jc w:val="center"/>
              <w:rPr>
                <w:rFonts w:hint="eastAsia" w:ascii="宋体" w:hAnsi="宋体" w:eastAsia="宋体"/>
                <w:bCs/>
                <w:color w:val="auto"/>
                <w:sz w:val="24"/>
                <w:highlight w:val="none"/>
                <w:lang w:val="zh-CN"/>
              </w:rPr>
            </w:pPr>
          </w:p>
        </w:tc>
      </w:tr>
    </w:tbl>
    <w:p>
      <w:pPr>
        <w:keepNext w:val="0"/>
        <w:keepLines w:val="0"/>
        <w:pageBreakBefore w:val="0"/>
        <w:kinsoku/>
        <w:wordWrap w:val="0"/>
        <w:overflowPunct/>
        <w:topLinePunct w:val="0"/>
        <w:bidi w:val="0"/>
        <w:snapToGrid/>
        <w:spacing w:line="560" w:lineRule="exact"/>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1.4 付款方式和发票开具方式</w:t>
      </w:r>
      <w:bookmarkEnd w:id="45"/>
      <w:bookmarkEnd w:id="46"/>
      <w:bookmarkEnd w:id="47"/>
      <w:bookmarkEnd w:id="48"/>
      <w:bookmarkEnd w:id="49"/>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1.4.1付款方式：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1.4.2 发票开具方式：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val="0"/>
        <w:keepLines w:val="0"/>
        <w:pageBreakBefore w:val="0"/>
        <w:kinsoku/>
        <w:wordWrap w:val="0"/>
        <w:overflowPunct/>
        <w:topLinePunct w:val="0"/>
        <w:bidi w:val="0"/>
        <w:snapToGrid/>
        <w:spacing w:line="560" w:lineRule="exact"/>
        <w:ind w:firstLine="482" w:firstLineChars="200"/>
        <w:textAlignment w:val="auto"/>
        <w:rPr>
          <w:rFonts w:hint="eastAsia" w:ascii="宋体" w:hAnsi="宋体" w:cs="宋体"/>
          <w:b/>
          <w:color w:val="auto"/>
          <w:sz w:val="24"/>
          <w:szCs w:val="24"/>
          <w:highlight w:val="none"/>
        </w:rPr>
      </w:pPr>
      <w:bookmarkStart w:id="50" w:name="_Toc4760"/>
      <w:bookmarkStart w:id="51" w:name="_Toc11108"/>
      <w:bookmarkStart w:id="52" w:name="_Toc3625"/>
      <w:bookmarkStart w:id="53" w:name="_Toc31421"/>
      <w:bookmarkStart w:id="54" w:name="_Toc8772"/>
      <w:r>
        <w:rPr>
          <w:rFonts w:hint="eastAsia" w:ascii="宋体" w:hAnsi="宋体" w:cs="宋体"/>
          <w:b/>
          <w:color w:val="auto"/>
          <w:sz w:val="24"/>
          <w:szCs w:val="24"/>
          <w:highlight w:val="none"/>
        </w:rPr>
        <w:t>1.5 履行期限、地点和方式</w:t>
      </w:r>
      <w:bookmarkEnd w:id="50"/>
      <w:bookmarkEnd w:id="51"/>
      <w:bookmarkEnd w:id="52"/>
      <w:bookmarkEnd w:id="53"/>
      <w:bookmarkEnd w:id="54"/>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1.5.1 履行期限：</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1.5.2 履行地点：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1.5.3 履行方式：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p>
    <w:p>
      <w:pPr>
        <w:keepNext w:val="0"/>
        <w:keepLines w:val="0"/>
        <w:pageBreakBefore w:val="0"/>
        <w:kinsoku/>
        <w:wordWrap w:val="0"/>
        <w:overflowPunct/>
        <w:topLinePunct w:val="0"/>
        <w:bidi w:val="0"/>
        <w:snapToGrid/>
        <w:spacing w:line="560" w:lineRule="exact"/>
        <w:ind w:firstLine="482" w:firstLineChars="200"/>
        <w:textAlignment w:val="auto"/>
        <w:rPr>
          <w:rFonts w:hint="eastAsia" w:ascii="宋体" w:hAnsi="宋体" w:cs="宋体"/>
          <w:color w:val="auto"/>
          <w:sz w:val="24"/>
          <w:szCs w:val="24"/>
          <w:highlight w:val="none"/>
          <w:u w:val="single"/>
        </w:rPr>
      </w:pPr>
      <w:bookmarkStart w:id="55" w:name="_Toc8586"/>
      <w:bookmarkStart w:id="56" w:name="_Toc2375"/>
      <w:bookmarkStart w:id="57" w:name="_Toc24662"/>
      <w:bookmarkStart w:id="58" w:name="_Toc5698"/>
      <w:bookmarkStart w:id="59" w:name="_Toc3079"/>
      <w:r>
        <w:rPr>
          <w:rFonts w:hint="eastAsia" w:ascii="宋体" w:hAnsi="宋体" w:cs="宋体"/>
          <w:b/>
          <w:color w:val="auto"/>
          <w:sz w:val="24"/>
          <w:szCs w:val="24"/>
          <w:highlight w:val="none"/>
        </w:rPr>
        <w:t>1.6 违约责任</w:t>
      </w:r>
      <w:bookmarkEnd w:id="55"/>
      <w:bookmarkEnd w:id="56"/>
      <w:bookmarkEnd w:id="57"/>
      <w:bookmarkEnd w:id="58"/>
      <w:bookmarkEnd w:id="59"/>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rPr>
      </w:pPr>
      <w:bookmarkStart w:id="60" w:name="_Toc18683"/>
      <w:bookmarkStart w:id="61" w:name="_Toc32454"/>
      <w:bookmarkStart w:id="62" w:name="_Toc9497"/>
      <w:bookmarkStart w:id="63" w:name="_Toc26807"/>
      <w:bookmarkStart w:id="64" w:name="_Toc30329"/>
      <w:r>
        <w:rPr>
          <w:rFonts w:hint="eastAsia" w:ascii="宋体" w:hAnsi="宋体" w:cs="宋体"/>
          <w:color w:val="auto"/>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auto"/>
          <w:sz w:val="24"/>
          <w:szCs w:val="24"/>
          <w:u w:val="single"/>
        </w:rPr>
        <w:t xml:space="preserve">    </w:t>
      </w:r>
      <w:r>
        <w:rPr>
          <w:rFonts w:hint="eastAsia" w:ascii="宋体" w:hAnsi="宋体" w:cs="宋体"/>
          <w:color w:val="auto"/>
          <w:sz w:val="24"/>
          <w:szCs w:val="24"/>
        </w:rPr>
        <w:t>%计算，最高限额为本合同总价的</w:t>
      </w:r>
      <w:r>
        <w:rPr>
          <w:rFonts w:hint="eastAsia" w:ascii="宋体" w:hAnsi="宋体" w:cs="宋体"/>
          <w:color w:val="auto"/>
          <w:sz w:val="24"/>
          <w:szCs w:val="24"/>
          <w:u w:val="single"/>
        </w:rPr>
        <w:t xml:space="preserve">    </w:t>
      </w:r>
      <w:r>
        <w:rPr>
          <w:rFonts w:hint="eastAsia" w:ascii="宋体" w:hAnsi="宋体" w:cs="宋体"/>
          <w:color w:val="auto"/>
          <w:sz w:val="24"/>
          <w:szCs w:val="24"/>
        </w:rPr>
        <w:t>%；迟延履行的违约金计算数额达到前述最高限额之日起，甲方有权在要求乙方支付违约金的同时，书面通知乙方解除本合同；</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u w:val="single"/>
        </w:rPr>
        <w:t xml:space="preserve">    </w:t>
      </w:r>
      <w:r>
        <w:rPr>
          <w:rFonts w:hint="eastAsia" w:ascii="宋体" w:hAnsi="宋体" w:cs="宋体"/>
          <w:color w:val="auto"/>
          <w:sz w:val="24"/>
          <w:szCs w:val="24"/>
        </w:rPr>
        <w:t>%计算，最高限额为本合同总价的</w:t>
      </w:r>
      <w:r>
        <w:rPr>
          <w:rFonts w:hint="eastAsia" w:ascii="宋体" w:hAnsi="宋体" w:cs="宋体"/>
          <w:color w:val="auto"/>
          <w:sz w:val="24"/>
          <w:szCs w:val="24"/>
          <w:u w:val="single"/>
        </w:rPr>
        <w:t xml:space="preserve">    </w:t>
      </w:r>
      <w:r>
        <w:rPr>
          <w:rFonts w:hint="eastAsia" w:ascii="宋体" w:hAnsi="宋体" w:cs="宋体"/>
          <w:color w:val="auto"/>
          <w:sz w:val="24"/>
          <w:szCs w:val="24"/>
        </w:rPr>
        <w:t>%；迟延付款的违约金计算数额达到前述最高限额之日起，乙方有权在要求甲方支付违约金的同时，书面通知甲方解除本合同；</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rPr>
      </w:pPr>
      <w:r>
        <w:rPr>
          <w:rFonts w:hint="eastAsia" w:ascii="宋体" w:hAnsi="宋体"/>
          <w:bCs/>
          <w:color w:val="auto"/>
          <w:sz w:val="24"/>
        </w:rPr>
        <w:t xml:space="preserve">1.6.5 </w:t>
      </w:r>
      <w:r>
        <w:rPr>
          <w:rFonts w:hint="eastAsia" w:ascii="宋体" w:hAnsi="宋体"/>
          <w:bCs/>
          <w:color w:val="auto"/>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rPr>
      </w:pPr>
      <w:r>
        <w:rPr>
          <w:rFonts w:hint="eastAsia" w:ascii="宋体" w:hAnsi="宋体" w:cs="宋体"/>
          <w:color w:val="auto"/>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pPr>
        <w:keepNext w:val="0"/>
        <w:keepLines w:val="0"/>
        <w:pageBreakBefore w:val="0"/>
        <w:kinsoku/>
        <w:wordWrap w:val="0"/>
        <w:overflowPunct/>
        <w:topLinePunct w:val="0"/>
        <w:bidi w:val="0"/>
        <w:snapToGrid/>
        <w:spacing w:line="560" w:lineRule="exact"/>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1.7 合同争议的解决</w:t>
      </w:r>
      <w:bookmarkEnd w:id="60"/>
      <w:bookmarkEnd w:id="61"/>
      <w:bookmarkEnd w:id="62"/>
      <w:bookmarkEnd w:id="63"/>
      <w:bookmarkEnd w:id="64"/>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1.7.1 凡因本合同引起的或与本合同有关的任何争议，均提交无锡仲裁委员会，按照申请仲裁时该会的仲裁规则进行仲裁。</w:t>
      </w:r>
    </w:p>
    <w:p>
      <w:pPr>
        <w:keepNext w:val="0"/>
        <w:keepLines w:val="0"/>
        <w:pageBreakBefore w:val="0"/>
        <w:kinsoku/>
        <w:wordWrap w:val="0"/>
        <w:overflowPunct/>
        <w:topLinePunct w:val="0"/>
        <w:bidi w:val="0"/>
        <w:snapToGrid/>
        <w:spacing w:line="560" w:lineRule="exact"/>
        <w:ind w:firstLine="482" w:firstLineChars="200"/>
        <w:textAlignment w:val="auto"/>
        <w:rPr>
          <w:rFonts w:hint="eastAsia" w:ascii="宋体" w:hAnsi="宋体" w:cs="宋体"/>
          <w:b/>
          <w:color w:val="auto"/>
          <w:sz w:val="24"/>
          <w:szCs w:val="24"/>
          <w:highlight w:val="none"/>
        </w:rPr>
      </w:pPr>
      <w:bookmarkStart w:id="65" w:name="_Toc15827"/>
      <w:bookmarkStart w:id="66" w:name="_Toc26227"/>
      <w:bookmarkStart w:id="67" w:name="_Toc23784"/>
      <w:bookmarkStart w:id="68" w:name="_Toc16417"/>
      <w:bookmarkStart w:id="69" w:name="_Toc12273"/>
      <w:r>
        <w:rPr>
          <w:rFonts w:hint="eastAsia" w:ascii="宋体" w:hAnsi="宋体" w:cs="宋体"/>
          <w:b/>
          <w:color w:val="auto"/>
          <w:sz w:val="24"/>
          <w:szCs w:val="24"/>
          <w:highlight w:val="none"/>
        </w:rPr>
        <w:t>1.8 合同生效</w:t>
      </w:r>
      <w:bookmarkEnd w:id="65"/>
      <w:bookmarkEnd w:id="66"/>
      <w:bookmarkEnd w:id="67"/>
      <w:bookmarkEnd w:id="68"/>
      <w:bookmarkEnd w:id="69"/>
    </w:p>
    <w:p>
      <w:pPr>
        <w:keepNext w:val="0"/>
        <w:keepLines w:val="0"/>
        <w:pageBreakBefore w:val="0"/>
        <w:kinsoku/>
        <w:wordWrap w:val="0"/>
        <w:overflowPunct/>
        <w:topLinePunct w:val="0"/>
        <w:bidi w:val="0"/>
        <w:snapToGrid/>
        <w:spacing w:line="560" w:lineRule="exact"/>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1.8.1 本合同</w:t>
      </w:r>
      <w:r>
        <w:rPr>
          <w:rFonts w:hint="eastAsia" w:ascii="宋体" w:hAnsi="宋体" w:cs="宋体"/>
          <w:color w:val="auto"/>
          <w:sz w:val="24"/>
          <w:highlight w:val="none"/>
          <w:lang w:val="zh-CN"/>
        </w:rPr>
        <w:t>经甲乙双方代表签字并加盖公章（或合同章）后即生效。</w:t>
      </w:r>
    </w:p>
    <w:p>
      <w:pPr>
        <w:keepNext w:val="0"/>
        <w:keepLines w:val="0"/>
        <w:pageBreakBefore w:val="0"/>
        <w:kinsoku/>
        <w:wordWrap w:val="0"/>
        <w:overflowPunct/>
        <w:topLinePunct w:val="0"/>
        <w:autoSpaceDE w:val="0"/>
        <w:autoSpaceDN w:val="0"/>
        <w:bidi w:val="0"/>
        <w:adjustRightInd w:val="0"/>
        <w:snapToGrid/>
        <w:spacing w:line="560" w:lineRule="exact"/>
        <w:ind w:firstLine="480"/>
        <w:textAlignment w:val="auto"/>
        <w:rPr>
          <w:rFonts w:hint="eastAsia" w:ascii="宋体" w:hAnsi="宋体" w:cs="宋体"/>
          <w:color w:val="auto"/>
          <w:sz w:val="24"/>
          <w:highlight w:val="none"/>
        </w:rPr>
      </w:pPr>
      <w:r>
        <w:rPr>
          <w:rFonts w:hint="eastAsia" w:ascii="宋体" w:hAnsi="宋体" w:cs="宋体"/>
          <w:color w:val="auto"/>
          <w:sz w:val="24"/>
          <w:highlight w:val="none"/>
        </w:rPr>
        <w:t>1.8.2 本合同一式</w:t>
      </w:r>
      <w:r>
        <w:rPr>
          <w:rFonts w:hint="eastAsia" w:ascii="宋体" w:hAnsi="宋体" w:cs="宋体"/>
          <w:color w:val="auto"/>
          <w:sz w:val="24"/>
          <w:highlight w:val="none"/>
          <w:lang w:val="en-US" w:eastAsia="zh-CN"/>
        </w:rPr>
        <w:t>捌</w:t>
      </w:r>
      <w:r>
        <w:rPr>
          <w:rFonts w:hint="eastAsia" w:ascii="宋体" w:hAnsi="宋体" w:cs="宋体"/>
          <w:color w:val="auto"/>
          <w:sz w:val="24"/>
          <w:highlight w:val="none"/>
        </w:rPr>
        <w:t>份，供需双方各持</w:t>
      </w:r>
      <w:r>
        <w:rPr>
          <w:rFonts w:hint="eastAsia" w:ascii="宋体" w:hAnsi="宋体" w:cs="宋体"/>
          <w:color w:val="auto"/>
          <w:sz w:val="24"/>
          <w:highlight w:val="none"/>
          <w:lang w:val="en-US" w:eastAsia="zh-CN"/>
        </w:rPr>
        <w:t>叁</w:t>
      </w:r>
      <w:r>
        <w:rPr>
          <w:rFonts w:hint="eastAsia" w:ascii="宋体" w:hAnsi="宋体" w:cs="宋体"/>
          <w:color w:val="auto"/>
          <w:sz w:val="24"/>
          <w:highlight w:val="none"/>
        </w:rPr>
        <w:t>份，报送财政监管部门备案</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招标代理</w:t>
      </w:r>
      <w:r>
        <w:rPr>
          <w:rFonts w:hint="eastAsia" w:ascii="宋体" w:hAnsi="宋体" w:cs="宋体"/>
          <w:color w:val="auto"/>
          <w:sz w:val="24"/>
        </w:rPr>
        <w:t>存档各</w:t>
      </w:r>
      <w:r>
        <w:rPr>
          <w:rFonts w:hint="eastAsia" w:ascii="宋体" w:hAnsi="宋体" w:cs="宋体"/>
          <w:color w:val="auto"/>
          <w:sz w:val="24"/>
          <w:lang w:eastAsia="zh-CN"/>
        </w:rPr>
        <w:t>壹</w:t>
      </w:r>
      <w:r>
        <w:rPr>
          <w:rFonts w:hint="eastAsia" w:ascii="宋体" w:hAnsi="宋体" w:cs="宋体"/>
          <w:color w:val="auto"/>
          <w:sz w:val="24"/>
        </w:rPr>
        <w:t>份</w:t>
      </w:r>
      <w:r>
        <w:rPr>
          <w:rFonts w:hint="eastAsia" w:ascii="宋体" w:hAnsi="宋体" w:cs="宋体"/>
          <w:color w:val="auto"/>
          <w:sz w:val="24"/>
          <w:highlight w:val="none"/>
        </w:rPr>
        <w:t>。</w:t>
      </w:r>
    </w:p>
    <w:p>
      <w:pPr>
        <w:keepNext w:val="0"/>
        <w:keepLines w:val="0"/>
        <w:pageBreakBefore w:val="0"/>
        <w:tabs>
          <w:tab w:val="left" w:pos="1514"/>
        </w:tabs>
        <w:kinsoku/>
        <w:wordWrap w:val="0"/>
        <w:overflowPunct/>
        <w:topLinePunct w:val="0"/>
        <w:autoSpaceDE w:val="0"/>
        <w:autoSpaceDN w:val="0"/>
        <w:bidi w:val="0"/>
        <w:adjustRightInd w:val="0"/>
        <w:snapToGrid/>
        <w:spacing w:line="560" w:lineRule="exact"/>
        <w:ind w:firstLine="1267" w:firstLineChars="526"/>
        <w:textAlignment w:val="auto"/>
        <w:rPr>
          <w:rFonts w:hint="eastAsia" w:ascii="宋体" w:hAnsi="宋体" w:cs="宋体"/>
          <w:color w:val="auto"/>
          <w:sz w:val="24"/>
          <w:szCs w:val="24"/>
          <w:highlight w:val="none"/>
          <w:lang w:val="zh-CN"/>
        </w:rPr>
      </w:pPr>
      <w:r>
        <w:rPr>
          <w:rFonts w:hint="eastAsia" w:ascii="宋体" w:hAnsi="宋体" w:cs="宋体"/>
          <w:b/>
          <w:color w:val="auto"/>
          <w:sz w:val="24"/>
          <w:szCs w:val="24"/>
          <w:highlight w:val="none"/>
          <w:lang w:val="zh-CN"/>
        </w:rPr>
        <w:t>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统一社会信用代码：                       统一社会信用代码或身份证号码：</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住所：                                   住所：</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法定代表人或                             法定代表人</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联系人：                                 联系人：</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约定送达地址：                           约定送达地址：</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邮政编码：                               邮政编码：</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传真:                                    传真:</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电子邮箱：                               电子邮箱：</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p>
    <w:p>
      <w:pPr>
        <w:keepNext w:val="0"/>
        <w:keepLines w:val="0"/>
        <w:pageBreakBefore w:val="0"/>
        <w:kinsoku/>
        <w:wordWrap w:val="0"/>
        <w:overflowPunct/>
        <w:topLinePunct w:val="0"/>
        <w:autoSpaceDE w:val="0"/>
        <w:autoSpaceDN w:val="0"/>
        <w:bidi w:val="0"/>
        <w:adjustRightInd w:val="0"/>
        <w:snapToGrid/>
        <w:spacing w:line="560" w:lineRule="exact"/>
        <w:ind w:firstLine="1260" w:firstLineChars="525"/>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开户账号：</w:t>
      </w:r>
    </w:p>
    <w:p>
      <w:pPr>
        <w:keepNext w:val="0"/>
        <w:keepLines w:val="0"/>
        <w:pageBreakBefore w:val="0"/>
        <w:widowControl/>
        <w:kinsoku/>
        <w:wordWrap w:val="0"/>
        <w:overflowPunct/>
        <w:topLinePunct w:val="0"/>
        <w:bidi w:val="0"/>
        <w:snapToGrid/>
        <w:spacing w:line="560" w:lineRule="exact"/>
        <w:jc w:val="left"/>
        <w:textAlignment w:val="auto"/>
        <w:rPr>
          <w:rFonts w:hint="eastAsia" w:ascii="宋体" w:hAnsi="宋体" w:cs="宋体"/>
          <w:b/>
          <w:color w:val="auto"/>
          <w:sz w:val="24"/>
          <w:szCs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bookmarkStart w:id="70" w:name="_Toc331685783"/>
    </w:p>
    <w:p>
      <w:pPr>
        <w:pStyle w:val="15"/>
        <w:keepNext w:val="0"/>
        <w:keepLines w:val="0"/>
        <w:pageBreakBefore w:val="0"/>
        <w:widowControl w:val="0"/>
        <w:kinsoku/>
        <w:wordWrap w:val="0"/>
        <w:overflowPunct/>
        <w:topLinePunct w:val="0"/>
        <w:bidi w:val="0"/>
        <w:snapToGrid/>
        <w:spacing w:line="500" w:lineRule="exact"/>
        <w:ind w:firstLine="200"/>
        <w:jc w:val="center"/>
        <w:textAlignment w:val="auto"/>
        <w:rPr>
          <w:rFonts w:hint="eastAsia" w:hAnsi="宋体" w:cs="宋体"/>
          <w:b/>
          <w:color w:val="auto"/>
          <w:szCs w:val="24"/>
          <w:highlight w:val="none"/>
        </w:rPr>
      </w:pPr>
      <w:r>
        <w:rPr>
          <w:rFonts w:hint="eastAsia" w:hAnsi="宋体" w:cs="宋体"/>
          <w:b/>
          <w:color w:val="auto"/>
          <w:szCs w:val="24"/>
          <w:highlight w:val="none"/>
        </w:rPr>
        <w:t>第二部分 合同一般条款</w:t>
      </w:r>
      <w:bookmarkEnd w:id="70"/>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71" w:name="_Ref467379225"/>
      <w:bookmarkStart w:id="72" w:name="_Ref467379214"/>
      <w:bookmarkStart w:id="73" w:name="_Toc259093669"/>
      <w:bookmarkStart w:id="74" w:name="_Toc14021"/>
      <w:bookmarkStart w:id="75" w:name="_Ref467378404"/>
      <w:bookmarkStart w:id="76" w:name="_Ref467378463"/>
      <w:bookmarkStart w:id="77" w:name="_Ref467379109"/>
      <w:bookmarkStart w:id="78" w:name="_Ref467379195"/>
      <w:bookmarkStart w:id="79" w:name="_Toc31297"/>
      <w:bookmarkStart w:id="80" w:name="_Ref467378499"/>
      <w:bookmarkStart w:id="81" w:name="_Toc19680"/>
      <w:bookmarkStart w:id="82" w:name="_Toc487900349"/>
      <w:bookmarkStart w:id="83" w:name="_Ref467379094"/>
      <w:bookmarkStart w:id="84" w:name="_Toc279701240"/>
      <w:bookmarkStart w:id="85" w:name="_Ref467379205"/>
      <w:bookmarkStart w:id="86" w:name="_Toc25079"/>
      <w:bookmarkStart w:id="87" w:name="_Toc5228"/>
      <w:bookmarkStart w:id="88" w:name="_Ref467379101"/>
      <w:r>
        <w:rPr>
          <w:rFonts w:hint="eastAsia" w:ascii="宋体" w:hAnsi="宋体" w:cs="宋体"/>
          <w:b/>
          <w:color w:val="auto"/>
          <w:sz w:val="24"/>
          <w:szCs w:val="24"/>
          <w:highlight w:val="none"/>
        </w:rPr>
        <w:t>2.1 定义</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本合同中的下列词语应按以下内容进行解释：</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2.1.1 “合同”系指采购人和成交供应商签订的载明双方当事人所达成的协议，并包括所有的附件、附录和构成合同的其他文件。</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2.1.2 “合同价”系指根据合同约定，成交供应商在完全履行合同义务后，采购人应支付给成交供应商的价格。</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2.1.3 “服务”系指成交供应商根据合同约定应向采购人履行的除货物和工程以外的其他政府采购对象，包括采购人自身需要的服务和向社会公众提供的公共服务。</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bookmarkStart w:id="89" w:name="_Ref467378840"/>
      <w:r>
        <w:rPr>
          <w:rFonts w:hint="eastAsia" w:ascii="宋体" w:hAnsi="宋体" w:cs="宋体"/>
          <w:color w:val="auto"/>
          <w:sz w:val="24"/>
          <w:szCs w:val="24"/>
          <w:highlight w:val="none"/>
        </w:rPr>
        <w:t>2.1.4 “甲方”系指与成交供应商签署合同的采购人</w:t>
      </w:r>
      <w:bookmarkEnd w:id="89"/>
      <w:r>
        <w:rPr>
          <w:rFonts w:hint="eastAsia" w:ascii="宋体" w:hAnsi="宋体" w:cs="宋体"/>
          <w:color w:val="auto"/>
          <w:sz w:val="24"/>
          <w:szCs w:val="24"/>
          <w:highlight w:val="none"/>
        </w:rPr>
        <w:t>；采购人委托采购代理机构代表其与乙方签订合同的，采购人的授权委托书作为合同附件。</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bookmarkStart w:id="90" w:name="_Ref467379400"/>
      <w:r>
        <w:rPr>
          <w:rFonts w:hint="eastAsia" w:ascii="宋体" w:hAnsi="宋体" w:cs="宋体"/>
          <w:color w:val="auto"/>
          <w:sz w:val="24"/>
          <w:szCs w:val="24"/>
          <w:highlight w:val="none"/>
        </w:rPr>
        <w:t>2.1.5 “乙方”系指根据合同约定提供服务的成交供应商</w:t>
      </w:r>
      <w:bookmarkEnd w:id="90"/>
      <w:r>
        <w:rPr>
          <w:rFonts w:hint="eastAsia" w:ascii="宋体" w:hAnsi="宋体" w:cs="宋体"/>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bookmarkStart w:id="91" w:name="_Ref467379436"/>
      <w:r>
        <w:rPr>
          <w:rFonts w:hint="eastAsia" w:ascii="宋体" w:hAnsi="宋体" w:cs="宋体"/>
          <w:color w:val="auto"/>
          <w:sz w:val="24"/>
          <w:szCs w:val="24"/>
          <w:highlight w:val="none"/>
        </w:rPr>
        <w:t>2.1.6 “现场”系指合同约定提供服务的地点。</w:t>
      </w:r>
      <w:bookmarkEnd w:id="91"/>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92" w:name="_Toc3769"/>
      <w:bookmarkStart w:id="93" w:name="_Toc279701241"/>
      <w:bookmarkStart w:id="94" w:name="_Toc259093670"/>
      <w:bookmarkStart w:id="95" w:name="_Toc487900350"/>
      <w:bookmarkStart w:id="96" w:name="_Toc31402"/>
      <w:bookmarkStart w:id="97" w:name="_Toc19539"/>
      <w:bookmarkStart w:id="98" w:name="_Toc23289"/>
      <w:bookmarkStart w:id="99" w:name="_Toc16752"/>
      <w:r>
        <w:rPr>
          <w:rFonts w:hint="eastAsia" w:ascii="宋体" w:hAnsi="宋体" w:cs="宋体"/>
          <w:b/>
          <w:color w:val="auto"/>
          <w:sz w:val="24"/>
          <w:szCs w:val="24"/>
          <w:highlight w:val="none"/>
        </w:rPr>
        <w:t>2.2 技术规范</w:t>
      </w:r>
      <w:bookmarkEnd w:id="92"/>
      <w:bookmarkEnd w:id="93"/>
      <w:bookmarkEnd w:id="94"/>
      <w:bookmarkEnd w:id="95"/>
      <w:bookmarkEnd w:id="96"/>
      <w:bookmarkEnd w:id="97"/>
      <w:bookmarkEnd w:id="98"/>
      <w:bookmarkEnd w:id="99"/>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服务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00" w:name="_Toc13673"/>
      <w:bookmarkStart w:id="101" w:name="_Toc279701242"/>
      <w:bookmarkStart w:id="102" w:name="_Toc12412"/>
      <w:bookmarkStart w:id="103" w:name="_Toc487900351"/>
      <w:bookmarkStart w:id="104" w:name="_Toc259093671"/>
      <w:bookmarkStart w:id="105" w:name="_Toc27945"/>
      <w:bookmarkStart w:id="106" w:name="_Toc4133"/>
      <w:bookmarkStart w:id="107" w:name="_Toc9161"/>
      <w:r>
        <w:rPr>
          <w:rFonts w:hint="eastAsia" w:ascii="宋体" w:hAnsi="宋体" w:cs="宋体"/>
          <w:b/>
          <w:color w:val="auto"/>
          <w:sz w:val="24"/>
          <w:szCs w:val="24"/>
          <w:highlight w:val="none"/>
        </w:rPr>
        <w:t>2.3 知识产权</w:t>
      </w:r>
      <w:bookmarkEnd w:id="100"/>
      <w:bookmarkEnd w:id="101"/>
      <w:bookmarkEnd w:id="102"/>
      <w:bookmarkEnd w:id="103"/>
      <w:bookmarkEnd w:id="104"/>
      <w:bookmarkEnd w:id="105"/>
      <w:bookmarkEnd w:id="106"/>
      <w:bookmarkEnd w:id="107"/>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2.3.2 技术成果归属甲方，乙方享有署名权，并有权为科学研究、学术交流研讨、单位成果宣传、行业评奖评优等原因自行使用项目合同成果，除上述约定外，乙方未经甲方同意不得自行或授权给其他方使用，否则甲方有权要求乙方赔偿实际损失。</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2.4 履约检查和问题反馈</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bookmarkStart w:id="108" w:name="_Ref467379657"/>
      <w:r>
        <w:rPr>
          <w:rFonts w:hint="eastAsia" w:ascii="宋体" w:hAnsi="宋体" w:cs="宋体"/>
          <w:color w:val="auto"/>
          <w:sz w:val="24"/>
          <w:szCs w:val="24"/>
          <w:highlight w:val="none"/>
        </w:rPr>
        <w:t>2.4.1</w:t>
      </w:r>
      <w:bookmarkEnd w:id="108"/>
      <w:bookmarkStart w:id="109" w:name="_Toc186431854"/>
      <w:bookmarkStart w:id="110" w:name="_Toc259093676"/>
      <w:bookmarkStart w:id="111" w:name="_Ref467379793"/>
      <w:bookmarkStart w:id="112" w:name="_Toc487900357"/>
      <w:bookmarkStart w:id="113" w:name="_Ref467379807"/>
      <w:bookmarkStart w:id="114" w:name="_Toc279701247"/>
      <w:r>
        <w:rPr>
          <w:rFonts w:hint="eastAsia" w:ascii="宋体" w:hAnsi="宋体" w:cs="宋体"/>
          <w:color w:val="auto"/>
          <w:sz w:val="24"/>
          <w:szCs w:val="24"/>
          <w:highlight w:val="none"/>
        </w:rPr>
        <w:t>甲方有权在其认为必要时，对乙方是否能够按照合同约定提供服务进行履约检查，以确保乙方所提供的服务能够依约满足甲方之项目需求，但不得因履约检查妨碍乙方的正常工作，乙方应予积极配合；</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2.4.2 合同履行期间，甲方有权将履行过程中出现的问题反馈给乙方，双方当事人应以书面形式约定需要完善和改进的内容</w:t>
      </w:r>
      <w:bookmarkEnd w:id="109"/>
      <w:bookmarkStart w:id="115" w:name="_Toc186431855"/>
      <w:r>
        <w:rPr>
          <w:rFonts w:hint="eastAsia" w:ascii="宋体" w:hAnsi="宋体" w:cs="宋体"/>
          <w:color w:val="auto"/>
          <w:sz w:val="24"/>
          <w:szCs w:val="24"/>
          <w:highlight w:val="none"/>
        </w:rPr>
        <w:t>。</w:t>
      </w:r>
    </w:p>
    <w:bookmarkEnd w:id="110"/>
    <w:bookmarkEnd w:id="111"/>
    <w:bookmarkEnd w:id="112"/>
    <w:bookmarkEnd w:id="113"/>
    <w:bookmarkEnd w:id="114"/>
    <w:bookmarkEnd w:id="115"/>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16" w:name="_Ref467379923"/>
      <w:bookmarkStart w:id="117" w:name="_Ref467379863"/>
      <w:bookmarkStart w:id="118" w:name="_Toc259093677"/>
      <w:bookmarkStart w:id="119" w:name="_Toc279701248"/>
      <w:bookmarkStart w:id="120" w:name="_Ref467379852"/>
      <w:bookmarkStart w:id="121" w:name="_Toc487900358"/>
      <w:bookmarkStart w:id="122" w:name="_Toc30507"/>
      <w:bookmarkStart w:id="123" w:name="_Toc13154"/>
      <w:bookmarkStart w:id="124" w:name="_Toc16163"/>
      <w:bookmarkStart w:id="125" w:name="_Toc18990"/>
      <w:bookmarkStart w:id="126" w:name="_Toc13467"/>
      <w:r>
        <w:rPr>
          <w:rFonts w:hint="eastAsia" w:ascii="宋体" w:hAnsi="宋体" w:cs="宋体"/>
          <w:b/>
          <w:color w:val="auto"/>
          <w:sz w:val="24"/>
          <w:szCs w:val="24"/>
          <w:highlight w:val="none"/>
        </w:rPr>
        <w:t>2.5 技术资料</w:t>
      </w:r>
      <w:bookmarkEnd w:id="116"/>
      <w:bookmarkEnd w:id="117"/>
      <w:bookmarkEnd w:id="118"/>
      <w:bookmarkEnd w:id="119"/>
      <w:bookmarkEnd w:id="120"/>
      <w:bookmarkEnd w:id="121"/>
      <w:r>
        <w:rPr>
          <w:rFonts w:hint="eastAsia" w:ascii="宋体" w:hAnsi="宋体" w:cs="宋体"/>
          <w:b/>
          <w:color w:val="auto"/>
          <w:sz w:val="24"/>
          <w:szCs w:val="24"/>
          <w:highlight w:val="none"/>
        </w:rPr>
        <w:t>和保密义务</w:t>
      </w:r>
      <w:bookmarkEnd w:id="122"/>
      <w:bookmarkEnd w:id="123"/>
      <w:bookmarkEnd w:id="124"/>
      <w:bookmarkEnd w:id="125"/>
      <w:bookmarkEnd w:id="126"/>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2.5.1 乙方有权依据合同约定和项目需要，向甲方了解有关情况，调阅有关资料等，甲方应予积极配合；</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2.5.2 乙方有义务妥善保管和保护由甲方提供的前款信息和资料等；</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27" w:name="_Toc19069"/>
      <w:bookmarkStart w:id="128" w:name="_Toc259093681"/>
      <w:bookmarkStart w:id="129" w:name="_Toc279701252"/>
      <w:bookmarkStart w:id="130" w:name="_Toc487900362"/>
      <w:r>
        <w:rPr>
          <w:rFonts w:hint="eastAsia" w:ascii="宋体" w:hAnsi="宋体" w:cs="宋体"/>
          <w:b/>
          <w:color w:val="auto"/>
          <w:sz w:val="24"/>
          <w:szCs w:val="24"/>
          <w:highlight w:val="none"/>
        </w:rPr>
        <w:t>2.6 质量保证</w:t>
      </w:r>
      <w:bookmarkEnd w:id="127"/>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2.6.1 乙方应建立和完善履行合同的内部质量保证体系，并提供相关内部规章制度给甲方，以便甲方进行监督检查；</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2.6.2 乙方应保证履行合同的人员数量和素质、软件和硬件设备的配置、场地、环境和设施等满足全面履行合同的要求，并应接受甲方的监督检查。</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31" w:name="_Toc22267"/>
      <w:r>
        <w:rPr>
          <w:rFonts w:hint="eastAsia" w:ascii="宋体" w:hAnsi="宋体" w:cs="宋体"/>
          <w:b/>
          <w:color w:val="auto"/>
          <w:sz w:val="24"/>
          <w:szCs w:val="24"/>
          <w:highlight w:val="none"/>
        </w:rPr>
        <w:t>2.7 延迟</w:t>
      </w:r>
      <w:bookmarkEnd w:id="128"/>
      <w:bookmarkEnd w:id="129"/>
      <w:bookmarkEnd w:id="130"/>
      <w:r>
        <w:rPr>
          <w:rFonts w:hint="eastAsia" w:ascii="宋体" w:hAnsi="宋体" w:cs="宋体"/>
          <w:b/>
          <w:color w:val="auto"/>
          <w:sz w:val="24"/>
          <w:szCs w:val="24"/>
          <w:highlight w:val="none"/>
        </w:rPr>
        <w:t>履行</w:t>
      </w:r>
      <w:bookmarkEnd w:id="131"/>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32" w:name="_Toc10611"/>
      <w:bookmarkStart w:id="133" w:name="_Toc279701254"/>
      <w:bookmarkStart w:id="134" w:name="_Ref467378121"/>
      <w:bookmarkStart w:id="135" w:name="_Toc487900364"/>
      <w:bookmarkStart w:id="136" w:name="_Toc259093683"/>
      <w:r>
        <w:rPr>
          <w:rFonts w:hint="eastAsia" w:ascii="宋体" w:hAnsi="宋体" w:cs="宋体"/>
          <w:b/>
          <w:color w:val="auto"/>
          <w:sz w:val="24"/>
          <w:szCs w:val="24"/>
          <w:highlight w:val="none"/>
        </w:rPr>
        <w:t>2.8 合同变更</w:t>
      </w:r>
      <w:bookmarkEnd w:id="132"/>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2.8.1 双方当事人协商一致，可以签订书面补充合同的形式变更合同，但不得违背磋商文件确定的事项，且如果系追加与合同标的相同的服务的，那么所有补充合同的采购金额不得超过原合同价的10%；</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2.8.2 合同继续履行将损害国家利益和社会公共利益的，双方当事人应当以书面形式变更合同。有过错的一方应当承担赔偿责任，双方当事人都有过错的，各自承担相应的责任。</w:t>
      </w:r>
      <w:bookmarkStart w:id="137" w:name="_Toc259093688"/>
      <w:bookmarkStart w:id="138" w:name="_Toc487900369"/>
      <w:bookmarkStart w:id="139" w:name="_Toc279701259"/>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40" w:name="_Toc26689"/>
      <w:bookmarkStart w:id="141" w:name="_Toc23368"/>
      <w:bookmarkStart w:id="142" w:name="_Toc42"/>
      <w:bookmarkStart w:id="143" w:name="_Toc10663"/>
      <w:bookmarkStart w:id="144" w:name="_Toc21830"/>
      <w:r>
        <w:rPr>
          <w:rFonts w:hint="eastAsia" w:ascii="宋体" w:hAnsi="宋体" w:cs="宋体"/>
          <w:b/>
          <w:color w:val="auto"/>
          <w:sz w:val="24"/>
          <w:szCs w:val="24"/>
          <w:highlight w:val="none"/>
        </w:rPr>
        <w:t>2.9 合同转让</w:t>
      </w:r>
      <w:bookmarkEnd w:id="137"/>
      <w:bookmarkEnd w:id="138"/>
      <w:bookmarkEnd w:id="139"/>
      <w:r>
        <w:rPr>
          <w:rFonts w:hint="eastAsia" w:ascii="宋体" w:hAnsi="宋体" w:cs="宋体"/>
          <w:b/>
          <w:color w:val="auto"/>
          <w:sz w:val="24"/>
          <w:szCs w:val="24"/>
          <w:highlight w:val="none"/>
        </w:rPr>
        <w:t>和分包</w:t>
      </w:r>
      <w:bookmarkEnd w:id="140"/>
      <w:bookmarkEnd w:id="141"/>
      <w:bookmarkEnd w:id="142"/>
      <w:bookmarkEnd w:id="143"/>
      <w:bookmarkEnd w:id="144"/>
    </w:p>
    <w:p>
      <w:pPr>
        <w:keepNext w:val="0"/>
        <w:keepLines w:val="0"/>
        <w:pageBreakBefore w:val="0"/>
        <w:widowControl w:val="0"/>
        <w:tabs>
          <w:tab w:val="left" w:pos="2700"/>
        </w:tabs>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highlight w:val="none"/>
        </w:rPr>
        <w:t>合同的权利义务依法不得转让，</w:t>
      </w:r>
      <w:r>
        <w:rPr>
          <w:rFonts w:hint="eastAsia" w:ascii="宋体" w:hAnsi="宋体" w:cs="宋体"/>
          <w:color w:val="auto"/>
          <w:sz w:val="24"/>
          <w:highlight w:val="none"/>
          <w:lang w:val="en-US" w:eastAsia="zh-CN"/>
        </w:rPr>
        <w:t>但</w:t>
      </w:r>
      <w:r>
        <w:rPr>
          <w:rFonts w:hint="eastAsia" w:ascii="宋体" w:hAnsi="宋体" w:cs="宋体"/>
          <w:color w:val="auto"/>
          <w:sz w:val="24"/>
          <w:szCs w:val="24"/>
          <w:highlight w:val="none"/>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45" w:name="_Toc4720"/>
      <w:bookmarkStart w:id="146" w:name="_Toc32494"/>
      <w:bookmarkStart w:id="147" w:name="_Toc26633"/>
      <w:bookmarkStart w:id="148" w:name="_Toc14371"/>
      <w:bookmarkStart w:id="149" w:name="_Toc25571"/>
      <w:r>
        <w:rPr>
          <w:rFonts w:hint="eastAsia" w:ascii="宋体" w:hAnsi="宋体" w:cs="宋体"/>
          <w:b/>
          <w:color w:val="auto"/>
          <w:sz w:val="24"/>
          <w:szCs w:val="24"/>
          <w:highlight w:val="none"/>
        </w:rPr>
        <w:t>2.10 不可抗力</w:t>
      </w:r>
      <w:bookmarkEnd w:id="145"/>
      <w:bookmarkEnd w:id="146"/>
      <w:bookmarkEnd w:id="147"/>
      <w:bookmarkEnd w:id="148"/>
      <w:bookmarkEnd w:id="149"/>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2.10.1如果任何一方遭遇法律规定的不可抗力，致使合同履行受阻时，履行合同的期限应予延长，延长的期限应相当于不可抗力所影响的时间；</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2.10.2 因不可抗力致使不能实现合同目的的，当事人可以解除合同；</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2.10.3 因不可抗力致使合同有变更必要的，</w:t>
      </w:r>
      <w:r>
        <w:rPr>
          <w:rFonts w:hint="eastAsia" w:ascii="宋体" w:hAnsi="宋体" w:cs="宋体"/>
          <w:color w:val="auto"/>
          <w:sz w:val="24"/>
          <w:highlight w:val="none"/>
        </w:rPr>
        <w:t>双方当事人应在约定时间内以书面形式变更合同</w:t>
      </w:r>
      <w:r>
        <w:rPr>
          <w:rFonts w:hint="eastAsia" w:ascii="宋体" w:hAnsi="宋体" w:cs="宋体"/>
          <w:color w:val="auto"/>
          <w:sz w:val="24"/>
          <w:szCs w:val="24"/>
          <w:highlight w:val="none"/>
        </w:rPr>
        <w:t>；</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bCs/>
          <w:color w:val="auto"/>
          <w:sz w:val="24"/>
          <w:highlight w:val="none"/>
          <w:lang w:val="zh-CN"/>
        </w:rPr>
      </w:pPr>
      <w:r>
        <w:rPr>
          <w:rFonts w:hint="eastAsia" w:ascii="宋体" w:hAnsi="宋体" w:cs="宋体"/>
          <w:color w:val="auto"/>
          <w:sz w:val="24"/>
          <w:szCs w:val="24"/>
          <w:highlight w:val="none"/>
        </w:rPr>
        <w:t xml:space="preserve">2.10.4 </w:t>
      </w:r>
      <w:r>
        <w:rPr>
          <w:rFonts w:hint="eastAsia" w:ascii="宋体" w:hAnsi="宋体"/>
          <w:bCs/>
          <w:color w:val="auto"/>
          <w:sz w:val="24"/>
          <w:highlight w:val="none"/>
          <w:lang w:val="zh-CN"/>
        </w:rPr>
        <w:t>如遭遇不可抗力事件，遭遇不可抗力的一方应尽快以书面形式将不可抗力的情况和原因通知另一方，并</w:t>
      </w:r>
      <w:r>
        <w:rPr>
          <w:rFonts w:hint="eastAsia" w:ascii="宋体" w:hAnsi="宋体" w:cs="宋体"/>
          <w:color w:val="auto"/>
          <w:sz w:val="24"/>
          <w:highlight w:val="none"/>
        </w:rPr>
        <w:t>将有关部门出具的证明文件送达对方当事人，</w:t>
      </w:r>
      <w:r>
        <w:rPr>
          <w:rFonts w:hint="eastAsia" w:ascii="宋体" w:hAnsi="宋体"/>
          <w:bCs/>
          <w:color w:val="auto"/>
          <w:sz w:val="24"/>
          <w:highlight w:val="none"/>
          <w:lang w:val="zh-CN"/>
        </w:rPr>
        <w:t>积极采取措施防止损失扩大。因不可抗力造成的损失，甲乙双方按照法律规定处理；</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highlight w:val="none"/>
        </w:rPr>
        <w:t>2.10.5 “</w:t>
      </w:r>
      <w:r>
        <w:rPr>
          <w:rFonts w:hint="eastAsia" w:ascii="宋体" w:hAnsi="宋体"/>
          <w:bCs/>
          <w:color w:val="auto"/>
          <w:sz w:val="24"/>
          <w:highlight w:val="none"/>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50" w:name="_Toc487900365"/>
      <w:bookmarkStart w:id="151" w:name="_Toc24465"/>
      <w:bookmarkStart w:id="152" w:name="_Toc279701255"/>
      <w:bookmarkStart w:id="153" w:name="_Toc25783"/>
      <w:bookmarkStart w:id="154" w:name="_Toc14115"/>
      <w:bookmarkStart w:id="155" w:name="_Toc23854"/>
      <w:bookmarkStart w:id="156" w:name="_Toc3638"/>
      <w:bookmarkStart w:id="157" w:name="_Toc259093684"/>
      <w:r>
        <w:rPr>
          <w:rFonts w:hint="eastAsia" w:ascii="宋体" w:hAnsi="宋体" w:cs="宋体"/>
          <w:b/>
          <w:color w:val="auto"/>
          <w:sz w:val="24"/>
          <w:szCs w:val="24"/>
          <w:highlight w:val="none"/>
        </w:rPr>
        <w:t>2.11 税费</w:t>
      </w:r>
      <w:bookmarkEnd w:id="150"/>
      <w:bookmarkEnd w:id="151"/>
      <w:bookmarkEnd w:id="152"/>
      <w:bookmarkEnd w:id="153"/>
      <w:bookmarkEnd w:id="154"/>
      <w:bookmarkEnd w:id="155"/>
      <w:bookmarkEnd w:id="156"/>
      <w:bookmarkEnd w:id="157"/>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与合同有关的一切税费，均按照中华人民共和国法律的相关规定缴纳。</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58" w:name="_Toc279701258"/>
      <w:bookmarkStart w:id="159" w:name="_Toc30105"/>
      <w:bookmarkStart w:id="160" w:name="_Toc14814"/>
      <w:bookmarkStart w:id="161" w:name="_Toc487900368"/>
      <w:bookmarkStart w:id="162" w:name="_Toc25525"/>
      <w:bookmarkStart w:id="163" w:name="_Toc7315"/>
      <w:bookmarkStart w:id="164" w:name="_Toc259093687"/>
      <w:bookmarkStart w:id="165" w:name="_Toc26883"/>
      <w:r>
        <w:rPr>
          <w:rFonts w:hint="eastAsia" w:ascii="宋体" w:hAnsi="宋体" w:cs="宋体"/>
          <w:b/>
          <w:color w:val="auto"/>
          <w:sz w:val="24"/>
          <w:szCs w:val="24"/>
          <w:highlight w:val="none"/>
        </w:rPr>
        <w:t>2.12 乙方破产</w:t>
      </w:r>
      <w:bookmarkEnd w:id="158"/>
      <w:bookmarkEnd w:id="159"/>
      <w:bookmarkEnd w:id="160"/>
      <w:bookmarkEnd w:id="161"/>
      <w:bookmarkEnd w:id="162"/>
      <w:bookmarkEnd w:id="163"/>
      <w:bookmarkEnd w:id="164"/>
      <w:bookmarkEnd w:id="165"/>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66" w:name="_Toc1123"/>
      <w:bookmarkStart w:id="167" w:name="_Toc23323"/>
      <w:bookmarkStart w:id="168" w:name="_Toc2016"/>
      <w:r>
        <w:rPr>
          <w:rFonts w:hint="eastAsia" w:ascii="宋体" w:hAnsi="宋体" w:cs="宋体"/>
          <w:b/>
          <w:color w:val="auto"/>
          <w:sz w:val="24"/>
          <w:szCs w:val="24"/>
          <w:highlight w:val="none"/>
        </w:rPr>
        <w:t>2.13 合同中止、终止</w:t>
      </w:r>
      <w:bookmarkEnd w:id="166"/>
      <w:bookmarkEnd w:id="167"/>
      <w:bookmarkEnd w:id="168"/>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2.13.1 双方当事人不得擅自中止或者终止合同；</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2.13.2合同继续履行将损害国家利益和社会公共利益的，双方当事人应当中止或者终止合同。有过错的一方应当承担赔偿责任，双方当事人都有过错的，各自承担相应的责任。</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69" w:name="_Toc1969"/>
      <w:bookmarkStart w:id="170" w:name="_Toc17363"/>
      <w:bookmarkStart w:id="171" w:name="_Toc14525"/>
      <w:r>
        <w:rPr>
          <w:rFonts w:hint="eastAsia" w:ascii="宋体" w:hAnsi="宋体" w:cs="宋体"/>
          <w:b/>
          <w:color w:val="auto"/>
          <w:sz w:val="24"/>
          <w:szCs w:val="24"/>
          <w:highlight w:val="none"/>
        </w:rPr>
        <w:t>2.14 检验和验收</w:t>
      </w:r>
      <w:bookmarkEnd w:id="169"/>
      <w:bookmarkEnd w:id="170"/>
      <w:bookmarkEnd w:id="171"/>
    </w:p>
    <w:p>
      <w:pPr>
        <w:keepNext w:val="0"/>
        <w:keepLines w:val="0"/>
        <w:pageBreakBefore w:val="0"/>
        <w:widowControl w:val="0"/>
        <w:tabs>
          <w:tab w:val="left" w:pos="360"/>
          <w:tab w:val="left" w:pos="540"/>
          <w:tab w:val="left" w:pos="1080"/>
        </w:tabs>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2.14.1 乙方按照约定，定期提交服务报告，甲方定期进行验收；</w:t>
      </w:r>
    </w:p>
    <w:p>
      <w:pPr>
        <w:keepNext w:val="0"/>
        <w:keepLines w:val="0"/>
        <w:pageBreakBefore w:val="0"/>
        <w:widowControl w:val="0"/>
        <w:tabs>
          <w:tab w:val="left" w:pos="360"/>
          <w:tab w:val="left" w:pos="540"/>
          <w:tab w:val="left" w:pos="1080"/>
        </w:tabs>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133"/>
    <w:bookmarkEnd w:id="134"/>
    <w:bookmarkEnd w:id="135"/>
    <w:bookmarkEnd w:id="136"/>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72" w:name="_Toc259093690"/>
      <w:bookmarkStart w:id="173" w:name="_Toc279701261"/>
      <w:bookmarkStart w:id="174" w:name="_Toc487900371"/>
      <w:bookmarkStart w:id="175" w:name="_Toc31892"/>
      <w:bookmarkStart w:id="176" w:name="_Toc2308"/>
      <w:bookmarkStart w:id="177" w:name="_Toc25198"/>
      <w:bookmarkStart w:id="178" w:name="_Toc9808"/>
      <w:bookmarkStart w:id="179" w:name="_Toc12666"/>
      <w:r>
        <w:rPr>
          <w:rFonts w:hint="eastAsia" w:ascii="宋体" w:hAnsi="宋体" w:cs="宋体"/>
          <w:b/>
          <w:color w:val="auto"/>
          <w:sz w:val="24"/>
          <w:szCs w:val="24"/>
          <w:highlight w:val="none"/>
        </w:rPr>
        <w:t>2.15 通知</w:t>
      </w:r>
      <w:bookmarkEnd w:id="172"/>
      <w:bookmarkEnd w:id="173"/>
      <w:bookmarkEnd w:id="174"/>
      <w:r>
        <w:rPr>
          <w:rFonts w:hint="eastAsia" w:ascii="宋体" w:hAnsi="宋体" w:cs="宋体"/>
          <w:b/>
          <w:color w:val="auto"/>
          <w:sz w:val="24"/>
          <w:szCs w:val="24"/>
          <w:highlight w:val="none"/>
        </w:rPr>
        <w:t>和送达</w:t>
      </w:r>
      <w:bookmarkEnd w:id="175"/>
      <w:bookmarkEnd w:id="176"/>
      <w:bookmarkEnd w:id="177"/>
      <w:bookmarkEnd w:id="178"/>
      <w:bookmarkEnd w:id="179"/>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bookmarkStart w:id="180" w:name="_Toc7073"/>
      <w:bookmarkStart w:id="181" w:name="_Toc29220"/>
      <w:bookmarkStart w:id="182" w:name="_Toc279701262"/>
      <w:bookmarkStart w:id="183" w:name="_Toc259093691"/>
      <w:bookmarkStart w:id="184" w:name="_Toc487900372"/>
      <w:r>
        <w:rPr>
          <w:rFonts w:hint="eastAsia" w:ascii="宋体" w:hAnsi="宋体" w:cs="宋体"/>
          <w:color w:val="auto"/>
          <w:sz w:val="24"/>
          <w:szCs w:val="24"/>
          <w:highlight w:val="none"/>
        </w:rPr>
        <w:t>2.15.1 任何一方因履行合同而以合同第一部分尾部所列明的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发出的所有通知、文件、材料，均视为已向对方当事人送达；任何一方变更上述送达方式或者地址的，应于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个工作日内书面通知对方当事人，在对方当事人收到有关变更通知之前，变更前的约定送达方式或者地址仍视为有效。</w:t>
      </w:r>
      <w:bookmarkEnd w:id="180"/>
      <w:bookmarkEnd w:id="181"/>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bookmarkStart w:id="185" w:name="_Toc18401"/>
      <w:bookmarkStart w:id="186" w:name="_Toc27674"/>
      <w:r>
        <w:rPr>
          <w:rFonts w:hint="eastAsia" w:ascii="宋体" w:hAnsi="宋体" w:cs="宋体"/>
          <w:color w:val="auto"/>
          <w:sz w:val="24"/>
          <w:szCs w:val="24"/>
          <w:highlight w:val="none"/>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185"/>
      <w:bookmarkEnd w:id="186"/>
    </w:p>
    <w:bookmarkEnd w:id="182"/>
    <w:bookmarkEnd w:id="183"/>
    <w:bookmarkEnd w:id="184"/>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color w:val="auto"/>
          <w:sz w:val="24"/>
          <w:szCs w:val="24"/>
          <w:highlight w:val="none"/>
        </w:rPr>
      </w:pPr>
      <w:bookmarkStart w:id="187" w:name="_Toc5063"/>
      <w:bookmarkStart w:id="188" w:name="_Toc279701263"/>
      <w:bookmarkStart w:id="189" w:name="_Toc259093692"/>
      <w:bookmarkStart w:id="190" w:name="_Toc28906"/>
      <w:bookmarkStart w:id="191" w:name="_Toc12254"/>
      <w:bookmarkStart w:id="192" w:name="_Toc487900373"/>
      <w:bookmarkStart w:id="193" w:name="_Toc20808"/>
      <w:bookmarkStart w:id="194" w:name="_Toc27644"/>
      <w:r>
        <w:rPr>
          <w:rFonts w:hint="eastAsia" w:ascii="宋体" w:hAnsi="宋体" w:cs="宋体"/>
          <w:b/>
          <w:color w:val="auto"/>
          <w:sz w:val="24"/>
          <w:szCs w:val="24"/>
          <w:highlight w:val="none"/>
        </w:rPr>
        <w:t>2.16 合同使用的文字和适用的法律</w:t>
      </w:r>
      <w:bookmarkEnd w:id="187"/>
      <w:bookmarkEnd w:id="188"/>
      <w:bookmarkEnd w:id="189"/>
      <w:bookmarkEnd w:id="190"/>
      <w:bookmarkEnd w:id="191"/>
      <w:bookmarkEnd w:id="192"/>
      <w:bookmarkEnd w:id="193"/>
      <w:bookmarkEnd w:id="194"/>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2.16.1 合同使用汉语书就、变更和解释；</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2.16.2 合同适用中华人民共和国法律。</w:t>
      </w:r>
    </w:p>
    <w:p>
      <w:pPr>
        <w:keepNext w:val="0"/>
        <w:keepLines w:val="0"/>
        <w:pageBreakBefore w:val="0"/>
        <w:widowControl w:val="0"/>
        <w:kinsoku/>
        <w:wordWrap w:val="0"/>
        <w:overflowPunct/>
        <w:topLinePunct w:val="0"/>
        <w:bidi w:val="0"/>
        <w:snapToGrid/>
        <w:spacing w:line="500" w:lineRule="exact"/>
        <w:ind w:firstLine="482" w:firstLineChars="200"/>
        <w:textAlignment w:val="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2.17 履约保证金（若有）</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2.17.1 签订合同前，成交供应商须交纳成交合同总金额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%的履约保证金。</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pPr>
        <w:keepNext w:val="0"/>
        <w:keepLines w:val="0"/>
        <w:pageBreakBefore w:val="0"/>
        <w:widowControl w:val="0"/>
        <w:kinsoku/>
        <w:wordWrap w:val="0"/>
        <w:overflowPunct/>
        <w:topLinePunct w:val="0"/>
        <w:bidi w:val="0"/>
        <w:snapToGrid/>
        <w:spacing w:line="500" w:lineRule="exact"/>
        <w:ind w:firstLine="480" w:firstLineChars="200"/>
        <w:textAlignment w:val="auto"/>
        <w:rPr>
          <w:rFonts w:hint="eastAsia" w:ascii="宋体" w:hAnsi="宋体" w:cs="宋体"/>
          <w:color w:val="auto"/>
          <w:sz w:val="24"/>
          <w:szCs w:val="24"/>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cs="宋体"/>
          <w:color w:val="auto"/>
          <w:sz w:val="24"/>
          <w:szCs w:val="24"/>
          <w:highlight w:val="none"/>
        </w:rPr>
        <w:t>2.17.3 如果甲方未及时退还履约保证金，相关责任由甲乙双方在合同中自行约定。</w:t>
      </w:r>
    </w:p>
    <w:bookmarkEnd w:id="24"/>
    <w:bookmarkEnd w:id="25"/>
    <w:bookmarkEnd w:id="26"/>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olor w:val="auto"/>
          <w:sz w:val="28"/>
          <w:highlight w:val="none"/>
        </w:rPr>
      </w:pPr>
      <w:bookmarkStart w:id="195" w:name="_Toc11529"/>
      <w:bookmarkStart w:id="196" w:name="_Toc19193"/>
      <w:bookmarkStart w:id="197" w:name="_Toc24602"/>
      <w:r>
        <w:rPr>
          <w:rFonts w:hint="eastAsia" w:ascii="黑体" w:hAnsi="黑体" w:eastAsia="黑体"/>
          <w:color w:val="auto"/>
          <w:sz w:val="28"/>
          <w:highlight w:val="none"/>
        </w:rPr>
        <w:t>第六章</w:t>
      </w:r>
      <w:bookmarkStart w:id="198" w:name="_Toc11185"/>
      <w:r>
        <w:rPr>
          <w:rFonts w:hint="eastAsia" w:ascii="黑体" w:hAnsi="黑体" w:eastAsia="黑体"/>
          <w:color w:val="auto"/>
          <w:sz w:val="28"/>
          <w:highlight w:val="none"/>
        </w:rPr>
        <w:t xml:space="preserve"> </w:t>
      </w:r>
      <w:bookmarkEnd w:id="198"/>
      <w:r>
        <w:rPr>
          <w:rFonts w:hint="eastAsia" w:ascii="黑体" w:hAnsi="黑体" w:eastAsia="黑体"/>
          <w:color w:val="auto"/>
          <w:sz w:val="28"/>
          <w:highlight w:val="none"/>
        </w:rPr>
        <w:t>响应文件内容与格式</w:t>
      </w:r>
      <w:bookmarkEnd w:id="195"/>
    </w:p>
    <w:p>
      <w:pPr>
        <w:pStyle w:val="17"/>
        <w:spacing w:line="500" w:lineRule="exact"/>
        <w:ind w:firstLine="0"/>
        <w:rPr>
          <w:rFonts w:hint="eastAsia" w:eastAsia="宋体" w:cs="Times New Roman"/>
          <w:b/>
          <w:color w:val="auto"/>
          <w:sz w:val="28"/>
          <w:szCs w:val="28"/>
        </w:rPr>
      </w:pPr>
      <w:r>
        <w:rPr>
          <w:rFonts w:hint="eastAsia" w:eastAsia="宋体" w:cs="Times New Roman"/>
          <w:b/>
          <w:color w:val="auto"/>
          <w:sz w:val="28"/>
          <w:szCs w:val="28"/>
        </w:rPr>
        <w:t>第一部分  响应文件内容</w:t>
      </w:r>
    </w:p>
    <w:p>
      <w:pPr>
        <w:pStyle w:val="17"/>
        <w:spacing w:line="500" w:lineRule="exact"/>
        <w:ind w:firstLine="0"/>
        <w:rPr>
          <w:rFonts w:hint="eastAsia" w:eastAsia="宋体" w:cs="Times New Roman"/>
          <w:b/>
          <w:color w:val="auto"/>
          <w:sz w:val="28"/>
          <w:szCs w:val="28"/>
        </w:rPr>
      </w:pPr>
      <w:r>
        <w:rPr>
          <w:rFonts w:hint="eastAsia" w:eastAsia="宋体" w:cs="Times New Roman"/>
          <w:b/>
          <w:color w:val="auto"/>
          <w:sz w:val="28"/>
          <w:szCs w:val="28"/>
        </w:rPr>
        <w:t>一、资格证明文件</w:t>
      </w:r>
    </w:p>
    <w:tbl>
      <w:tblPr>
        <w:tblStyle w:val="6"/>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6" w:type="dxa"/>
          <w:left w:w="108" w:type="dxa"/>
          <w:bottom w:w="57" w:type="dxa"/>
          <w:right w:w="108" w:type="dxa"/>
        </w:tblCellMar>
      </w:tblPr>
      <w:tblGrid>
        <w:gridCol w:w="710"/>
        <w:gridCol w:w="1675"/>
        <w:gridCol w:w="5791"/>
        <w:gridCol w:w="14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656"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
                <w:color w:val="auto"/>
              </w:rPr>
            </w:pPr>
            <w:r>
              <w:rPr>
                <w:rFonts w:hint="eastAsia" w:ascii="宋体" w:hAnsi="宋体" w:cs="宋体"/>
                <w:b/>
                <w:color w:val="auto"/>
              </w:rPr>
              <w:t>序号</w:t>
            </w:r>
          </w:p>
        </w:tc>
        <w:tc>
          <w:tcPr>
            <w:tcW w:w="1675"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
                <w:color w:val="auto"/>
              </w:rPr>
            </w:pPr>
            <w:r>
              <w:rPr>
                <w:rFonts w:hint="eastAsia" w:ascii="宋体" w:hAnsi="宋体" w:cs="宋体"/>
                <w:b/>
                <w:color w:val="auto"/>
              </w:rPr>
              <w:t>评审项目</w:t>
            </w:r>
          </w:p>
        </w:tc>
        <w:tc>
          <w:tcPr>
            <w:tcW w:w="5791"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jc w:val="center"/>
              <w:textAlignment w:val="auto"/>
              <w:rPr>
                <w:rFonts w:ascii="宋体" w:hAnsi="宋体" w:cs="宋体"/>
                <w:b/>
                <w:color w:val="auto"/>
              </w:rPr>
            </w:pPr>
            <w:r>
              <w:rPr>
                <w:rFonts w:hint="eastAsia" w:ascii="宋体" w:hAnsi="宋体" w:cs="宋体"/>
                <w:b/>
                <w:color w:val="auto"/>
              </w:rPr>
              <w:t>评审要求</w:t>
            </w:r>
          </w:p>
        </w:tc>
        <w:tc>
          <w:tcPr>
            <w:tcW w:w="1459"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
                <w:color w:val="auto"/>
              </w:rPr>
            </w:pPr>
            <w:r>
              <w:rPr>
                <w:rFonts w:hint="eastAsia" w:ascii="宋体" w:hAnsi="宋体" w:cs="宋体"/>
                <w:b/>
                <w:color w:val="auto"/>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349"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1</w:t>
            </w:r>
          </w:p>
        </w:tc>
        <w:tc>
          <w:tcPr>
            <w:tcW w:w="1675"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bCs/>
                <w:color w:val="auto"/>
              </w:rPr>
            </w:pPr>
            <w:r>
              <w:rPr>
                <w:rFonts w:hint="eastAsia" w:ascii="宋体" w:hAnsi="宋体"/>
                <w:bCs/>
                <w:color w:val="auto"/>
                <w:lang w:val="zh-CN"/>
              </w:rPr>
              <w:t>资格声明</w:t>
            </w:r>
            <w:r>
              <w:rPr>
                <w:rFonts w:hint="eastAsia" w:ascii="宋体" w:hAnsi="宋体"/>
                <w:bCs/>
                <w:color w:val="auto"/>
              </w:rPr>
              <w:t>函</w:t>
            </w:r>
          </w:p>
        </w:tc>
        <w:tc>
          <w:tcPr>
            <w:tcW w:w="5791"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color w:val="auto"/>
              </w:rPr>
            </w:pPr>
            <w:r>
              <w:rPr>
                <w:rFonts w:hint="eastAsia" w:ascii="宋体" w:hAnsi="宋体"/>
                <w:bCs/>
                <w:color w:val="auto"/>
                <w:lang w:val="zh-CN"/>
              </w:rPr>
              <w:t>提供《关于资格的声明函》</w:t>
            </w:r>
            <w:r>
              <w:rPr>
                <w:rFonts w:hint="eastAsia" w:ascii="宋体" w:hAnsi="宋体" w:cs="宋体"/>
                <w:b/>
                <w:bCs/>
                <w:color w:val="auto"/>
              </w:rPr>
              <w:t>（给定格式）</w:t>
            </w:r>
            <w:r>
              <w:rPr>
                <w:rFonts w:hint="eastAsia" w:ascii="宋体" w:hAnsi="宋体" w:cs="宋体"/>
                <w:color w:val="auto"/>
              </w:rPr>
              <w:t>。</w:t>
            </w:r>
          </w:p>
        </w:tc>
        <w:tc>
          <w:tcPr>
            <w:tcW w:w="1459" w:type="dxa"/>
            <w:vMerge w:val="restart"/>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满足《中华人民共和国政府采购法》第二十二条规定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739"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2</w:t>
            </w:r>
          </w:p>
        </w:tc>
        <w:tc>
          <w:tcPr>
            <w:tcW w:w="1675"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bCs/>
                <w:color w:val="auto"/>
                <w:lang w:val="zh-CN"/>
              </w:rPr>
              <w:t>被授权代表身份证明</w:t>
            </w:r>
          </w:p>
        </w:tc>
        <w:tc>
          <w:tcPr>
            <w:tcW w:w="5791"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color w:val="auto"/>
              </w:rPr>
            </w:pPr>
            <w:r>
              <w:rPr>
                <w:rFonts w:hint="eastAsia" w:ascii="宋体" w:hAnsi="宋体"/>
                <w:bCs/>
                <w:color w:val="auto"/>
                <w:lang w:val="zh-CN"/>
              </w:rPr>
              <w:t>提供</w:t>
            </w:r>
            <w:r>
              <w:rPr>
                <w:rFonts w:hint="eastAsia" w:ascii="宋体" w:hAnsi="宋体" w:cs="宋体"/>
                <w:color w:val="auto"/>
              </w:rPr>
              <w:t>《法定代表人授权委托书》</w:t>
            </w:r>
            <w:r>
              <w:rPr>
                <w:rFonts w:hint="eastAsia" w:ascii="宋体" w:hAnsi="宋体" w:cs="宋体"/>
                <w:b/>
                <w:bCs/>
                <w:color w:val="auto"/>
              </w:rPr>
              <w:t>（给定格式；供应商</w:t>
            </w:r>
            <w:r>
              <w:rPr>
                <w:rFonts w:hint="eastAsia" w:ascii="宋体" w:hAnsi="宋体"/>
                <w:b/>
                <w:bCs/>
                <w:color w:val="auto"/>
                <w:lang w:val="zh-CN"/>
              </w:rPr>
              <w:t>法定代表人亲自参加</w:t>
            </w:r>
            <w:r>
              <w:rPr>
                <w:rFonts w:hint="eastAsia" w:ascii="宋体" w:hAnsi="宋体" w:cs="宋体"/>
                <w:b/>
                <w:bCs/>
                <w:color w:val="auto"/>
              </w:rPr>
              <w:t>或供应商是自然人</w:t>
            </w:r>
            <w:r>
              <w:rPr>
                <w:rFonts w:hint="eastAsia" w:ascii="宋体" w:hAnsi="宋体"/>
                <w:b/>
                <w:bCs/>
                <w:color w:val="auto"/>
                <w:lang w:val="zh-CN"/>
              </w:rPr>
              <w:t>的</w:t>
            </w:r>
            <w:r>
              <w:rPr>
                <w:rFonts w:hint="eastAsia" w:ascii="宋体" w:hAnsi="宋体" w:cs="宋体"/>
                <w:b/>
                <w:bCs/>
                <w:color w:val="auto"/>
              </w:rPr>
              <w:t>，可不提供）</w:t>
            </w:r>
            <w:r>
              <w:rPr>
                <w:rFonts w:hint="eastAsia" w:ascii="宋体" w:hAnsi="宋体" w:cs="宋体"/>
                <w:color w:val="auto"/>
              </w:rPr>
              <w:t>。</w:t>
            </w:r>
          </w:p>
        </w:tc>
        <w:tc>
          <w:tcPr>
            <w:tcW w:w="1459" w:type="dxa"/>
            <w:vMerge w:val="continue"/>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1369"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3</w:t>
            </w:r>
          </w:p>
        </w:tc>
        <w:tc>
          <w:tcPr>
            <w:tcW w:w="1675"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hint="eastAsia" w:ascii="宋体" w:hAnsi="宋体" w:eastAsia="宋体" w:cs="Times New Roman"/>
                <w:bCs/>
                <w:color w:val="auto"/>
                <w:lang w:val="zh-CN"/>
              </w:rPr>
            </w:pPr>
            <w:r>
              <w:rPr>
                <w:rFonts w:hint="eastAsia" w:ascii="宋体" w:hAnsi="宋体" w:eastAsia="宋体" w:cs="Times New Roman"/>
                <w:bCs/>
                <w:color w:val="auto"/>
                <w:lang w:val="zh-CN"/>
              </w:rPr>
              <w:t>具有独立承担民事责任能力</w:t>
            </w:r>
          </w:p>
        </w:tc>
        <w:tc>
          <w:tcPr>
            <w:tcW w:w="5791"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color w:val="auto"/>
              </w:rPr>
            </w:pPr>
            <w:r>
              <w:rPr>
                <w:rFonts w:hint="eastAsia" w:ascii="宋体" w:hAnsi="宋体"/>
                <w:bCs/>
                <w:color w:val="auto"/>
                <w:lang w:val="zh-CN"/>
              </w:rPr>
              <w:t>提供供应商营业执照或法人（登记）证书，供应商为自然人的提供自然人身份证</w:t>
            </w:r>
            <w:r>
              <w:rPr>
                <w:rFonts w:hint="eastAsia" w:ascii="宋体" w:hAnsi="宋体"/>
                <w:bCs/>
                <w:color w:val="auto"/>
              </w:rPr>
              <w:t>明</w:t>
            </w:r>
            <w:r>
              <w:rPr>
                <w:rFonts w:hint="eastAsia" w:ascii="宋体" w:hAnsi="宋体" w:cs="宋体"/>
                <w:b/>
                <w:bCs/>
                <w:color w:val="auto"/>
              </w:rPr>
              <w:t>（</w:t>
            </w:r>
            <w:r>
              <w:rPr>
                <w:rFonts w:hint="eastAsia" w:ascii="宋体" w:hAnsi="宋体" w:cs="宋体"/>
                <w:b/>
                <w:bCs/>
                <w:color w:val="auto"/>
                <w:lang w:val="zh-CN"/>
              </w:rPr>
              <w:t>供应商</w:t>
            </w:r>
            <w:r>
              <w:rPr>
                <w:rFonts w:hint="eastAsia" w:ascii="宋体" w:hAnsi="宋体" w:cs="宋体"/>
                <w:b/>
                <w:bCs/>
                <w:color w:val="auto"/>
              </w:rPr>
              <w:t>如是允许以分支机构身份参加采购活动的，提供</w:t>
            </w:r>
            <w:r>
              <w:rPr>
                <w:rFonts w:hint="eastAsia" w:ascii="宋体" w:hAnsi="宋体" w:cs="宋体"/>
                <w:b/>
                <w:bCs/>
                <w:color w:val="auto"/>
                <w:lang w:val="zh-CN"/>
              </w:rPr>
              <w:t>供应商</w:t>
            </w:r>
            <w:r>
              <w:rPr>
                <w:rFonts w:hint="eastAsia" w:ascii="宋体" w:hAnsi="宋体" w:cs="宋体"/>
                <w:b/>
                <w:bCs/>
                <w:color w:val="auto"/>
              </w:rPr>
              <w:t>分支机构的营业执照）</w:t>
            </w:r>
            <w:r>
              <w:rPr>
                <w:rFonts w:hint="eastAsia" w:ascii="宋体" w:hAnsi="宋体" w:cs="宋体"/>
                <w:color w:val="auto"/>
              </w:rPr>
              <w:t>。</w:t>
            </w:r>
          </w:p>
        </w:tc>
        <w:tc>
          <w:tcPr>
            <w:tcW w:w="1459" w:type="dxa"/>
            <w:vMerge w:val="continue"/>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4</w:t>
            </w:r>
          </w:p>
        </w:tc>
        <w:tc>
          <w:tcPr>
            <w:tcW w:w="1675"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hint="eastAsia" w:ascii="宋体" w:hAnsi="宋体" w:eastAsia="宋体" w:cs="Times New Roman"/>
                <w:bCs/>
                <w:color w:val="auto"/>
                <w:lang w:val="zh-CN"/>
              </w:rPr>
            </w:pPr>
            <w:r>
              <w:rPr>
                <w:rFonts w:hint="eastAsia" w:ascii="宋体" w:hAnsi="宋体" w:eastAsia="宋体" w:cs="Times New Roman"/>
                <w:bCs/>
                <w:color w:val="auto"/>
                <w:lang w:val="zh-CN"/>
              </w:rPr>
              <w:t>具有良好的商业信誉和健全的财务会计制度</w:t>
            </w:r>
          </w:p>
        </w:tc>
        <w:tc>
          <w:tcPr>
            <w:tcW w:w="5791"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color w:val="auto"/>
              </w:rPr>
            </w:pPr>
            <w:r>
              <w:rPr>
                <w:rFonts w:hint="eastAsia" w:ascii="宋体" w:hAnsi="宋体"/>
                <w:bCs/>
                <w:color w:val="auto"/>
                <w:lang w:val="zh-CN"/>
              </w:rPr>
              <w:t>提供银行出具的资信证明（若供应商为法人的须提供其基本开户银行出具的资信证明）；或供应商近十二个月中任意一个月份</w:t>
            </w:r>
            <w:r>
              <w:rPr>
                <w:rFonts w:hint="eastAsia" w:ascii="宋体" w:hAnsi="宋体" w:cs="宋体"/>
                <w:color w:val="auto"/>
                <w:lang w:val="zh-CN"/>
              </w:rPr>
              <w:t>（</w:t>
            </w:r>
            <w:r>
              <w:rPr>
                <w:rFonts w:hint="eastAsia" w:ascii="宋体" w:hAnsi="宋体" w:cs="宋体"/>
                <w:color w:val="auto"/>
              </w:rPr>
              <w:t>不含报价当月</w:t>
            </w:r>
            <w:r>
              <w:rPr>
                <w:rFonts w:hint="eastAsia" w:ascii="宋体" w:hAnsi="宋体" w:cs="宋体"/>
                <w:color w:val="auto"/>
                <w:lang w:val="zh-CN"/>
              </w:rPr>
              <w:t>）</w:t>
            </w:r>
            <w:r>
              <w:rPr>
                <w:rFonts w:hint="eastAsia" w:ascii="宋体" w:hAnsi="宋体"/>
                <w:bCs/>
                <w:color w:val="auto"/>
                <w:lang w:val="zh-CN"/>
              </w:rPr>
              <w:t>的财务状况报告（须包含资产负债表和利润表）；或由会计师事务所出具的近两年中任意一个年度的审计报告和所附已审财务报告。</w:t>
            </w:r>
          </w:p>
        </w:tc>
        <w:tc>
          <w:tcPr>
            <w:tcW w:w="1459" w:type="dxa"/>
            <w:vMerge w:val="continue"/>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5</w:t>
            </w:r>
          </w:p>
        </w:tc>
        <w:tc>
          <w:tcPr>
            <w:tcW w:w="1675"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hint="eastAsia" w:ascii="宋体" w:hAnsi="宋体" w:eastAsia="宋体" w:cs="Times New Roman"/>
                <w:bCs/>
                <w:color w:val="auto"/>
                <w:lang w:val="zh-CN"/>
              </w:rPr>
            </w:pPr>
            <w:r>
              <w:rPr>
                <w:rFonts w:hint="eastAsia" w:ascii="宋体" w:hAnsi="宋体" w:eastAsia="宋体" w:cs="Times New Roman"/>
                <w:bCs/>
                <w:color w:val="auto"/>
                <w:lang w:val="zh-CN"/>
              </w:rPr>
              <w:t>有依法缴纳税收的良好记录</w:t>
            </w:r>
          </w:p>
        </w:tc>
        <w:tc>
          <w:tcPr>
            <w:tcW w:w="5791"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color w:val="auto"/>
              </w:rPr>
            </w:pPr>
            <w:r>
              <w:rPr>
                <w:rFonts w:hint="eastAsia" w:ascii="宋体" w:hAnsi="宋体"/>
                <w:bCs/>
                <w:color w:val="auto"/>
                <w:lang w:val="zh-CN"/>
              </w:rPr>
              <w:t>提供供应商</w:t>
            </w:r>
            <w:r>
              <w:rPr>
                <w:rFonts w:hint="eastAsia" w:ascii="宋体" w:hAnsi="宋体" w:cs="宋体"/>
                <w:color w:val="auto"/>
                <w:lang w:val="zh-CN"/>
              </w:rPr>
              <w:t>依法缴纳近十二个月中任意一个月份（</w:t>
            </w:r>
            <w:r>
              <w:rPr>
                <w:rFonts w:hint="eastAsia" w:ascii="宋体" w:hAnsi="宋体" w:cs="宋体"/>
                <w:color w:val="auto"/>
              </w:rPr>
              <w:t>不含报价当月</w:t>
            </w:r>
            <w:r>
              <w:rPr>
                <w:rFonts w:hint="eastAsia" w:ascii="宋体" w:hAnsi="宋体" w:cs="宋体"/>
                <w:color w:val="auto"/>
                <w:lang w:val="zh-CN"/>
              </w:rPr>
              <w:t>）税收的相关材料</w:t>
            </w:r>
            <w:r>
              <w:rPr>
                <w:rFonts w:hint="eastAsia" w:ascii="宋体" w:hAnsi="宋体" w:cs="宋体"/>
                <w:b/>
                <w:bCs/>
                <w:color w:val="auto"/>
                <w:lang w:val="zh-CN"/>
              </w:rPr>
              <w:t>（提供相关主管部门证明或银行代扣证明）</w:t>
            </w:r>
            <w:r>
              <w:rPr>
                <w:rFonts w:hint="eastAsia" w:ascii="宋体" w:hAnsi="宋体" w:cs="宋体"/>
                <w:color w:val="auto"/>
              </w:rPr>
              <w:t>。</w:t>
            </w:r>
          </w:p>
        </w:tc>
        <w:tc>
          <w:tcPr>
            <w:tcW w:w="1459" w:type="dxa"/>
            <w:vMerge w:val="continue"/>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6</w:t>
            </w:r>
          </w:p>
        </w:tc>
        <w:tc>
          <w:tcPr>
            <w:tcW w:w="1675"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hint="eastAsia" w:ascii="宋体" w:hAnsi="宋体" w:eastAsia="宋体" w:cs="Times New Roman"/>
                <w:bCs/>
                <w:color w:val="auto"/>
                <w:lang w:val="zh-CN"/>
              </w:rPr>
            </w:pPr>
            <w:r>
              <w:rPr>
                <w:rFonts w:hint="eastAsia" w:ascii="宋体" w:hAnsi="宋体" w:eastAsia="宋体" w:cs="Times New Roman"/>
                <w:bCs/>
                <w:color w:val="auto"/>
                <w:lang w:val="zh-CN"/>
              </w:rPr>
              <w:t>有依法缴纳社会保障资金的良好记录</w:t>
            </w:r>
          </w:p>
        </w:tc>
        <w:tc>
          <w:tcPr>
            <w:tcW w:w="5791"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color w:val="auto"/>
              </w:rPr>
            </w:pPr>
            <w:r>
              <w:rPr>
                <w:rFonts w:hint="eastAsia" w:ascii="宋体" w:hAnsi="宋体"/>
                <w:bCs/>
                <w:color w:val="auto"/>
                <w:lang w:val="zh-CN"/>
              </w:rPr>
              <w:t>提供供应商依法缴纳近十二个月中任意一个月份</w:t>
            </w:r>
            <w:r>
              <w:rPr>
                <w:rFonts w:hint="eastAsia" w:ascii="宋体" w:hAnsi="宋体" w:cs="宋体"/>
                <w:color w:val="auto"/>
                <w:lang w:val="zh-CN"/>
              </w:rPr>
              <w:t>（</w:t>
            </w:r>
            <w:r>
              <w:rPr>
                <w:rFonts w:hint="eastAsia" w:ascii="宋体" w:hAnsi="宋体" w:cs="宋体"/>
                <w:color w:val="auto"/>
              </w:rPr>
              <w:t>不含报价当月</w:t>
            </w:r>
            <w:r>
              <w:rPr>
                <w:rFonts w:hint="eastAsia" w:ascii="宋体" w:hAnsi="宋体" w:cs="宋体"/>
                <w:color w:val="auto"/>
                <w:lang w:val="zh-CN"/>
              </w:rPr>
              <w:t>）</w:t>
            </w:r>
            <w:r>
              <w:rPr>
                <w:rFonts w:hint="eastAsia" w:ascii="宋体" w:hAnsi="宋体"/>
                <w:bCs/>
                <w:color w:val="auto"/>
                <w:lang w:val="zh-CN"/>
              </w:rPr>
              <w:t>社会保障资金的相关材料</w:t>
            </w:r>
            <w:r>
              <w:rPr>
                <w:rFonts w:hint="eastAsia" w:ascii="宋体" w:hAnsi="宋体"/>
                <w:b/>
                <w:color w:val="auto"/>
                <w:lang w:val="zh-CN"/>
              </w:rPr>
              <w:t>（提供相关主管部门证明或银行代扣证明）</w:t>
            </w:r>
            <w:r>
              <w:rPr>
                <w:rFonts w:hint="eastAsia" w:ascii="宋体" w:hAnsi="宋体" w:cs="宋体"/>
                <w:color w:val="auto"/>
              </w:rPr>
              <w:t>。</w:t>
            </w:r>
          </w:p>
        </w:tc>
        <w:tc>
          <w:tcPr>
            <w:tcW w:w="1459" w:type="dxa"/>
            <w:vMerge w:val="continue"/>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7</w:t>
            </w:r>
          </w:p>
        </w:tc>
        <w:tc>
          <w:tcPr>
            <w:tcW w:w="1675"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bCs/>
                <w:color w:val="auto"/>
                <w:lang w:val="zh-CN"/>
              </w:rPr>
            </w:pPr>
            <w:r>
              <w:rPr>
                <w:rFonts w:hint="eastAsia" w:ascii="宋体" w:hAnsi="宋体"/>
                <w:bCs/>
                <w:color w:val="auto"/>
                <w:lang w:val="zh-CN"/>
              </w:rPr>
              <w:t>无不良信用</w:t>
            </w:r>
          </w:p>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bCs/>
                <w:color w:val="auto"/>
                <w:lang w:val="zh-CN"/>
              </w:rPr>
            </w:pPr>
            <w:r>
              <w:rPr>
                <w:rFonts w:hint="eastAsia" w:ascii="宋体" w:hAnsi="宋体"/>
                <w:bCs/>
                <w:color w:val="auto"/>
                <w:lang w:val="zh-CN"/>
              </w:rPr>
              <w:t>记录</w:t>
            </w:r>
          </w:p>
        </w:tc>
        <w:tc>
          <w:tcPr>
            <w:tcW w:w="5791" w:type="dxa"/>
            <w:shd w:val="clear" w:color="auto" w:fill="auto"/>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color w:val="auto"/>
              </w:rPr>
            </w:pPr>
            <w:r>
              <w:rPr>
                <w:rFonts w:hint="eastAsia" w:ascii="宋体" w:hAnsi="宋体" w:cs="宋体"/>
                <w:bCs/>
                <w:color w:val="auto"/>
              </w:rPr>
              <w:t>未被“信用中国”、中国政府采购网列入失信被执行人、重大税收违法失信主体、政府采购严重违法失信行为记录名单</w:t>
            </w:r>
            <w:r>
              <w:rPr>
                <w:rFonts w:hint="eastAsia" w:ascii="宋体" w:hAnsi="宋体"/>
                <w:b/>
                <w:color w:val="auto"/>
                <w:lang w:val="zh-CN"/>
              </w:rPr>
              <w:t>（</w:t>
            </w:r>
            <w:r>
              <w:rPr>
                <w:rFonts w:ascii="宋体" w:hAnsi="宋体"/>
                <w:b/>
                <w:color w:val="auto"/>
                <w:lang w:val="zh-CN"/>
              </w:rPr>
              <w:t>若</w:t>
            </w:r>
            <w:r>
              <w:rPr>
                <w:rFonts w:hint="eastAsia" w:ascii="宋体" w:hAnsi="宋体"/>
                <w:b/>
                <w:color w:val="auto"/>
                <w:lang w:val="zh-CN"/>
              </w:rPr>
              <w:t>供应商</w:t>
            </w:r>
            <w:r>
              <w:rPr>
                <w:rFonts w:ascii="宋体" w:hAnsi="宋体"/>
                <w:b/>
                <w:color w:val="auto"/>
                <w:lang w:val="zh-CN"/>
              </w:rPr>
              <w:t>企业信息已录入以上网站的，</w:t>
            </w:r>
            <w:r>
              <w:rPr>
                <w:rFonts w:hint="eastAsia" w:ascii="宋体" w:hAnsi="宋体"/>
                <w:b/>
                <w:color w:val="auto"/>
                <w:lang w:val="zh-CN"/>
              </w:rPr>
              <w:t>无需提供相关证明材料</w:t>
            </w:r>
            <w:r>
              <w:rPr>
                <w:rFonts w:ascii="宋体" w:hAnsi="宋体"/>
                <w:b/>
                <w:color w:val="auto"/>
                <w:lang w:val="zh-CN"/>
              </w:rPr>
              <w:t>；</w:t>
            </w:r>
            <w:r>
              <w:rPr>
                <w:rFonts w:hint="eastAsia" w:ascii="宋体" w:hAnsi="宋体"/>
                <w:b/>
                <w:color w:val="auto"/>
                <w:lang w:val="zh-CN"/>
              </w:rPr>
              <w:t>若供应商企业信息</w:t>
            </w:r>
            <w:r>
              <w:rPr>
                <w:rFonts w:ascii="宋体" w:hAnsi="宋体"/>
                <w:b/>
                <w:color w:val="auto"/>
                <w:lang w:val="zh-CN"/>
              </w:rPr>
              <w:t>未</w:t>
            </w:r>
            <w:r>
              <w:rPr>
                <w:rFonts w:hint="eastAsia" w:ascii="宋体" w:hAnsi="宋体"/>
                <w:b/>
                <w:color w:val="auto"/>
                <w:lang w:val="zh-CN"/>
              </w:rPr>
              <w:t>录入以上网站的，以供应商提供的资格声明函中作出的无不良信用记录承诺为准）</w:t>
            </w:r>
            <w:r>
              <w:rPr>
                <w:rFonts w:hint="eastAsia" w:ascii="宋体" w:hAnsi="宋体"/>
                <w:bCs/>
                <w:color w:val="auto"/>
                <w:lang w:val="zh-CN"/>
              </w:rPr>
              <w:t>。</w:t>
            </w:r>
          </w:p>
        </w:tc>
        <w:tc>
          <w:tcPr>
            <w:tcW w:w="1459" w:type="dxa"/>
            <w:vMerge w:val="restart"/>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详见第一章《报价邀请函》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color w:val="auto"/>
              </w:rPr>
            </w:pPr>
            <w:r>
              <w:rPr>
                <w:rFonts w:hint="eastAsia" w:ascii="宋体" w:hAnsi="宋体" w:cs="宋体"/>
                <w:color w:val="auto"/>
              </w:rPr>
              <w:t>8</w:t>
            </w:r>
          </w:p>
        </w:tc>
        <w:tc>
          <w:tcPr>
            <w:tcW w:w="1675"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bCs/>
                <w:color w:val="auto"/>
              </w:rPr>
            </w:pPr>
            <w:r>
              <w:rPr>
                <w:rFonts w:hint="eastAsia" w:ascii="宋体" w:hAnsi="宋体"/>
                <w:bCs/>
                <w:color w:val="auto"/>
                <w:lang w:val="zh-CN"/>
              </w:rPr>
              <w:t>中小企业声明</w:t>
            </w:r>
          </w:p>
        </w:tc>
        <w:tc>
          <w:tcPr>
            <w:tcW w:w="5791"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textAlignment w:val="auto"/>
              <w:rPr>
                <w:rFonts w:ascii="宋体" w:hAnsi="宋体" w:cs="宋体"/>
                <w:color w:val="auto"/>
              </w:rPr>
            </w:pPr>
            <w:r>
              <w:rPr>
                <w:rFonts w:hint="eastAsia" w:ascii="宋体" w:hAnsi="宋体"/>
                <w:bCs/>
                <w:color w:val="auto"/>
                <w:lang w:val="zh-CN"/>
              </w:rPr>
              <w:t>专门面向中小企业采购的，供应商应提供有效的《中小企业声明函》或《残疾人福利性单位声明函》或监狱企业的证明文件</w:t>
            </w:r>
            <w:r>
              <w:rPr>
                <w:rFonts w:hint="eastAsia" w:ascii="宋体" w:hAnsi="宋体"/>
                <w:b/>
                <w:color w:val="auto"/>
                <w:lang w:val="zh-CN"/>
              </w:rPr>
              <w:t>（</w:t>
            </w:r>
            <w:r>
              <w:rPr>
                <w:rFonts w:hint="eastAsia" w:ascii="宋体" w:hAnsi="宋体" w:cs="宋体"/>
                <w:b/>
                <w:color w:val="auto"/>
              </w:rPr>
              <w:t>给定格式；非</w:t>
            </w:r>
            <w:r>
              <w:rPr>
                <w:rFonts w:hint="eastAsia" w:ascii="宋体" w:hAnsi="宋体"/>
                <w:b/>
                <w:color w:val="auto"/>
                <w:lang w:val="zh-CN"/>
              </w:rPr>
              <w:t>专门面向中小企业采购的无需提供）</w:t>
            </w:r>
            <w:r>
              <w:rPr>
                <w:rFonts w:hint="eastAsia" w:ascii="宋体" w:hAnsi="宋体"/>
                <w:bCs/>
                <w:color w:val="auto"/>
                <w:lang w:val="zh-CN"/>
              </w:rPr>
              <w:t>。</w:t>
            </w:r>
          </w:p>
        </w:tc>
        <w:tc>
          <w:tcPr>
            <w:tcW w:w="1459" w:type="dxa"/>
            <w:vMerge w:val="continue"/>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textAlignment w:val="auto"/>
              <w:rPr>
                <w:rFonts w:ascii="宋体" w:hAnsi="宋体" w:cs="宋体"/>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Cs/>
                <w:color w:val="auto"/>
              </w:rPr>
            </w:pPr>
            <w:r>
              <w:rPr>
                <w:rFonts w:hint="eastAsia" w:ascii="宋体" w:hAnsi="宋体" w:cs="宋体"/>
                <w:bCs/>
                <w:color w:val="auto"/>
              </w:rPr>
              <w:t>9</w:t>
            </w:r>
          </w:p>
        </w:tc>
        <w:tc>
          <w:tcPr>
            <w:tcW w:w="1675"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Cs/>
                <w:color w:val="auto"/>
              </w:rPr>
            </w:pPr>
            <w:r>
              <w:rPr>
                <w:rFonts w:hint="eastAsia" w:ascii="宋体" w:hAnsi="宋体" w:cs="宋体"/>
                <w:bCs/>
                <w:color w:val="auto"/>
              </w:rPr>
              <w:t>特定资格要求</w:t>
            </w:r>
          </w:p>
        </w:tc>
        <w:tc>
          <w:tcPr>
            <w:tcW w:w="5791"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both"/>
              <w:textAlignment w:val="auto"/>
              <w:rPr>
                <w:rFonts w:ascii="宋体" w:hAnsi="宋体" w:cs="宋体"/>
                <w:bCs/>
                <w:color w:val="auto"/>
              </w:rPr>
            </w:pPr>
            <w:r>
              <w:rPr>
                <w:rFonts w:hint="eastAsia" w:ascii="宋体" w:hAnsi="宋体" w:cs="Times New Roman"/>
                <w:bCs/>
                <w:color w:val="auto"/>
                <w:sz w:val="24"/>
                <w:szCs w:val="24"/>
                <w:highlight w:val="none"/>
                <w:lang w:val="en-US" w:eastAsia="zh-CN"/>
              </w:rPr>
              <w:t>提供供应商有效期内食品经营许可证</w:t>
            </w:r>
            <w:r>
              <w:rPr>
                <w:rFonts w:hint="eastAsia" w:ascii="宋体" w:hAnsi="宋体" w:cs="宋体"/>
                <w:color w:val="auto"/>
              </w:rPr>
              <w:t>。</w:t>
            </w:r>
          </w:p>
        </w:tc>
        <w:tc>
          <w:tcPr>
            <w:tcW w:w="1459" w:type="dxa"/>
            <w:vMerge w:val="continue"/>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textAlignment w:val="auto"/>
              <w:rPr>
                <w:rFonts w:ascii="宋体" w:hAnsi="宋体" w:cs="宋体"/>
                <w:bCs/>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Cs/>
                <w:color w:val="auto"/>
              </w:rPr>
            </w:pPr>
            <w:r>
              <w:rPr>
                <w:rFonts w:hint="eastAsia" w:ascii="宋体" w:hAnsi="宋体" w:cs="宋体"/>
                <w:bCs/>
                <w:color w:val="auto"/>
              </w:rPr>
              <w:t>10</w:t>
            </w:r>
          </w:p>
        </w:tc>
        <w:tc>
          <w:tcPr>
            <w:tcW w:w="1675"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Cs/>
                <w:color w:val="auto"/>
                <w:lang w:val="zh-CN"/>
              </w:rPr>
            </w:pPr>
            <w:r>
              <w:rPr>
                <w:rFonts w:hint="eastAsia" w:ascii="宋体" w:hAnsi="宋体"/>
                <w:bCs/>
                <w:color w:val="auto"/>
                <w:lang w:val="zh-CN"/>
              </w:rPr>
              <w:t>联合体</w:t>
            </w:r>
          </w:p>
        </w:tc>
        <w:tc>
          <w:tcPr>
            <w:tcW w:w="7250" w:type="dxa"/>
            <w:gridSpan w:val="2"/>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textAlignment w:val="auto"/>
              <w:rPr>
                <w:rFonts w:ascii="宋体" w:hAnsi="宋体" w:cs="宋体"/>
                <w:color w:val="auto"/>
              </w:rPr>
            </w:pPr>
            <w:r>
              <w:rPr>
                <w:rFonts w:hint="eastAsia" w:ascii="宋体" w:hAnsi="宋体" w:cs="宋体"/>
                <w:bCs/>
                <w:color w:val="auto"/>
                <w:lang w:val="zh-CN"/>
              </w:rPr>
              <w:t>《联合体协议书》</w:t>
            </w:r>
            <w:r>
              <w:rPr>
                <w:rFonts w:hint="eastAsia" w:ascii="宋体" w:hAnsi="宋体" w:cs="宋体"/>
                <w:b/>
                <w:color w:val="auto"/>
              </w:rPr>
              <w:t>（给定格式；</w:t>
            </w:r>
            <w:r>
              <w:rPr>
                <w:rFonts w:hint="eastAsia" w:ascii="宋体" w:hAnsi="宋体"/>
                <w:b/>
                <w:color w:val="auto"/>
              </w:rPr>
              <w:t>如接受联合体报价且</w:t>
            </w:r>
            <w:r>
              <w:rPr>
                <w:rFonts w:hint="eastAsia" w:ascii="宋体" w:hAnsi="宋体"/>
                <w:b/>
                <w:color w:val="auto"/>
                <w:lang w:val="zh-CN"/>
              </w:rPr>
              <w:t>供应商</w:t>
            </w:r>
            <w:r>
              <w:rPr>
                <w:rFonts w:hint="eastAsia" w:ascii="宋体" w:hAnsi="宋体"/>
                <w:b/>
                <w:color w:val="auto"/>
              </w:rPr>
              <w:t>为联合体时须提供</w:t>
            </w:r>
            <w:r>
              <w:rPr>
                <w:rFonts w:hint="eastAsia" w:ascii="宋体" w:hAnsi="宋体" w:cs="宋体"/>
                <w:b/>
                <w:color w:val="auto"/>
              </w:rPr>
              <w:t>，</w:t>
            </w:r>
            <w:r>
              <w:rPr>
                <w:rFonts w:hint="eastAsia" w:ascii="宋体" w:hAnsi="宋体"/>
                <w:b/>
                <w:color w:val="auto"/>
                <w:lang w:val="zh-CN"/>
              </w:rPr>
              <w:t>否则无需提供</w:t>
            </w:r>
            <w:r>
              <w:rPr>
                <w:rFonts w:hint="eastAsia" w:ascii="宋体" w:hAnsi="宋体" w:cs="宋体"/>
                <w:b/>
                <w:color w:val="auto"/>
              </w:rPr>
              <w:t>）</w:t>
            </w:r>
            <w:r>
              <w:rPr>
                <w:rFonts w:hint="eastAsia" w:ascii="宋体" w:hAnsi="宋体" w:cs="宋体"/>
                <w:bCs/>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57" w:type="dxa"/>
            <w:right w:w="108" w:type="dxa"/>
          </w:tblCellMar>
        </w:tblPrEx>
        <w:trPr>
          <w:trHeight w:val="567" w:hRule="atLeast"/>
          <w:jc w:val="center"/>
        </w:trPr>
        <w:tc>
          <w:tcPr>
            <w:tcW w:w="710"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Cs/>
                <w:color w:val="auto"/>
              </w:rPr>
            </w:pPr>
            <w:r>
              <w:rPr>
                <w:rFonts w:hint="eastAsia" w:ascii="宋体" w:hAnsi="宋体" w:cs="宋体"/>
                <w:bCs/>
                <w:color w:val="auto"/>
              </w:rPr>
              <w:t>11</w:t>
            </w:r>
          </w:p>
        </w:tc>
        <w:tc>
          <w:tcPr>
            <w:tcW w:w="1675"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jc w:val="center"/>
              <w:textAlignment w:val="auto"/>
              <w:rPr>
                <w:rFonts w:ascii="宋体" w:hAnsi="宋体" w:cs="宋体"/>
                <w:bCs/>
                <w:color w:val="auto"/>
                <w:lang w:val="zh-CN"/>
              </w:rPr>
            </w:pPr>
            <w:r>
              <w:rPr>
                <w:rFonts w:hint="eastAsia" w:ascii="宋体" w:hAnsi="宋体"/>
                <w:bCs/>
                <w:color w:val="auto"/>
                <w:lang w:val="zh-CN"/>
              </w:rPr>
              <w:t>分包</w:t>
            </w:r>
          </w:p>
        </w:tc>
        <w:tc>
          <w:tcPr>
            <w:tcW w:w="7250" w:type="dxa"/>
            <w:gridSpan w:val="2"/>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40" w:lineRule="exact"/>
              <w:ind w:firstLine="0"/>
              <w:textAlignment w:val="auto"/>
              <w:rPr>
                <w:rFonts w:ascii="宋体" w:hAnsi="宋体" w:cs="宋体"/>
                <w:bCs/>
                <w:color w:val="auto"/>
                <w:lang w:val="zh-CN"/>
              </w:rPr>
            </w:pPr>
            <w:r>
              <w:rPr>
                <w:rFonts w:hint="eastAsia" w:ascii="宋体" w:hAnsi="宋体" w:cs="宋体"/>
                <w:bCs/>
                <w:color w:val="auto"/>
                <w:lang w:val="zh-CN"/>
              </w:rPr>
              <w:t>《分包情况说明》</w:t>
            </w:r>
            <w:r>
              <w:rPr>
                <w:rFonts w:hint="eastAsia" w:ascii="宋体" w:hAnsi="宋体" w:cs="宋体"/>
                <w:b/>
                <w:color w:val="auto"/>
                <w:lang w:val="zh-CN"/>
              </w:rPr>
              <w:t>（给定格式；如采购人</w:t>
            </w:r>
            <w:r>
              <w:rPr>
                <w:rFonts w:hint="eastAsia" w:ascii="宋体" w:hAnsi="宋体" w:cs="宋体"/>
                <w:b/>
                <w:color w:val="auto"/>
              </w:rPr>
              <w:t>接受</w:t>
            </w:r>
            <w:r>
              <w:rPr>
                <w:rFonts w:hint="eastAsia" w:ascii="宋体" w:hAnsi="宋体" w:cs="宋体"/>
                <w:b/>
                <w:color w:val="auto"/>
                <w:lang w:val="zh-CN"/>
              </w:rPr>
              <w:t>分包且供应商有分包意向的须提供，否则无需提供）</w:t>
            </w:r>
            <w:r>
              <w:rPr>
                <w:rFonts w:hint="eastAsia" w:ascii="宋体" w:hAnsi="宋体" w:cs="宋体"/>
                <w:bCs/>
                <w:color w:val="auto"/>
                <w:lang w:val="zh-CN"/>
              </w:rPr>
              <w:t>。</w:t>
            </w:r>
          </w:p>
        </w:tc>
      </w:tr>
    </w:tbl>
    <w:p>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textAlignment w:val="auto"/>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说明：</w:t>
      </w:r>
    </w:p>
    <w:p>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上述资格证明文件1～6项必须全部按要求提供（有给定格式的，必须按给定格式的要求正确填报并提供，相应格式见本章第二部分），否则响应文件无效。如遇年检、换证，则必须提供法定年检、换证单位出具的有效证明。其中第5、6项如遇有国家相关政策规定可不具备的（如依法享受缓缴、免缴税收、社会保障资金等），必须提供相关政策规定或相关单位出具的有效证明；如因新成立确无法提供的，可以不提供。如采购的项目中有多个采购包，供应商应当按照所参与的采购包提交相应的响应文件资料，不同采购包的响应文件资料不混用且不作为评审依据。</w:t>
      </w:r>
    </w:p>
    <w:p>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上述资格证明文件第8项，如本项目落实政府采购政策需满足的资格要求中有中小企业政策要求的（详见第一章《报价邀请函》），必须提供相应证明文件，否则响应文件无效。专门面向中小企业，是指专门面向中型、小型、微型企业、监狱企业或残疾人福利性单位；专门面向小微企业，是指专门面向小型、微型企业、监狱企业或残疾人福利性单位。</w:t>
      </w:r>
    </w:p>
    <w:p>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上述资格证明文件第9项，如本项目有特定资格要求的，必须按要求提供证明材料，否则响应文件无效。</w:t>
      </w:r>
    </w:p>
    <w:p>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上述资格证明文件第10项，如项目接受联合体报价且供应商为联合体时，上述资格证明文件中：第1、2项可由联合体主体单位（即联合体牵头人）代表联合体提供；第3、4、5、6、8（如有要求）、9（如有要求）项，联合体各方均须提供。</w:t>
      </w:r>
    </w:p>
    <w:p>
      <w:pPr>
        <w:keepNext w:val="0"/>
        <w:keepLines w:val="0"/>
        <w:pageBreakBefore w:val="0"/>
        <w:widowControl w:val="0"/>
        <w:numPr>
          <w:ilvl w:val="0"/>
          <w:numId w:val="7"/>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auto"/>
          <w:kern w:val="0"/>
          <w:sz w:val="24"/>
          <w:szCs w:val="24"/>
        </w:rPr>
        <w:sectPr>
          <w:footerReference r:id="rId5" w:type="default"/>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eastAsia="宋体" w:cs="Times New Roman"/>
          <w:color w:val="auto"/>
          <w:kern w:val="0"/>
          <w:sz w:val="24"/>
          <w:szCs w:val="24"/>
        </w:rPr>
        <w:t>上述资格证明文件第11项，如采购人接受分包且供应商有分包意向时，上述资格证明文件中：第1、2、9项由供应商提供；第3、4、5、6、8（如有要求）项，各方均须提供。</w:t>
      </w:r>
    </w:p>
    <w:p>
      <w:pPr>
        <w:pStyle w:val="17"/>
        <w:spacing w:line="500" w:lineRule="exact"/>
        <w:ind w:firstLine="0"/>
        <w:rPr>
          <w:rFonts w:hint="eastAsia" w:eastAsia="宋体" w:cs="Times New Roman"/>
          <w:b/>
          <w:color w:val="auto"/>
          <w:sz w:val="28"/>
          <w:szCs w:val="28"/>
        </w:rPr>
      </w:pPr>
      <w:r>
        <w:rPr>
          <w:rFonts w:hint="eastAsia" w:eastAsia="宋体" w:cs="Times New Roman"/>
          <w:b/>
          <w:color w:val="auto"/>
          <w:sz w:val="28"/>
          <w:szCs w:val="28"/>
        </w:rPr>
        <w:t>二、符合性证明文件及评审因素</w:t>
      </w:r>
    </w:p>
    <w:p>
      <w:pPr>
        <w:pStyle w:val="17"/>
        <w:spacing w:line="500" w:lineRule="exact"/>
        <w:ind w:firstLine="0"/>
        <w:rPr>
          <w:rFonts w:hint="eastAsia" w:eastAsia="宋体" w:cs="Times New Roman"/>
          <w:b/>
          <w:color w:val="auto"/>
          <w:sz w:val="28"/>
          <w:szCs w:val="28"/>
        </w:rPr>
      </w:pPr>
      <w:r>
        <w:rPr>
          <w:rFonts w:hint="eastAsia" w:eastAsia="宋体" w:cs="Times New Roman"/>
          <w:b/>
          <w:color w:val="auto"/>
          <w:sz w:val="28"/>
          <w:szCs w:val="28"/>
        </w:rPr>
        <w:t>（一）符合性证明文件</w:t>
      </w:r>
    </w:p>
    <w:tbl>
      <w:tblPr>
        <w:tblStyle w:val="6"/>
        <w:tblW w:w="95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0"/>
        <w:gridCol w:w="6445"/>
        <w:gridCol w:w="22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80" w:type="dxa"/>
            <w:noWrap w:val="0"/>
            <w:vAlign w:val="center"/>
          </w:tcPr>
          <w:p>
            <w:pPr>
              <w:pStyle w:val="17"/>
              <w:spacing w:before="0" w:after="0" w:line="240" w:lineRule="auto"/>
              <w:ind w:firstLine="0"/>
              <w:jc w:val="center"/>
              <w:rPr>
                <w:rFonts w:cs="Arial"/>
                <w:b/>
                <w:color w:val="auto"/>
              </w:rPr>
            </w:pPr>
            <w:r>
              <w:rPr>
                <w:rFonts w:hint="eastAsia" w:cs="Arial"/>
                <w:b/>
                <w:color w:val="auto"/>
              </w:rPr>
              <w:t>序号</w:t>
            </w:r>
          </w:p>
        </w:tc>
        <w:tc>
          <w:tcPr>
            <w:tcW w:w="6445" w:type="dxa"/>
            <w:noWrap w:val="0"/>
            <w:vAlign w:val="center"/>
          </w:tcPr>
          <w:p>
            <w:pPr>
              <w:pStyle w:val="17"/>
              <w:spacing w:before="0" w:after="0" w:line="240" w:lineRule="auto"/>
              <w:ind w:firstLine="0"/>
              <w:jc w:val="center"/>
              <w:rPr>
                <w:rFonts w:cs="Arial"/>
                <w:b/>
                <w:color w:val="auto"/>
              </w:rPr>
            </w:pPr>
            <w:r>
              <w:rPr>
                <w:rFonts w:hint="eastAsia" w:ascii="宋体" w:hAnsi="宋体" w:cs="宋体"/>
                <w:b/>
                <w:color w:val="auto"/>
              </w:rPr>
              <w:t>评审项目及评审要求</w:t>
            </w:r>
          </w:p>
        </w:tc>
        <w:tc>
          <w:tcPr>
            <w:tcW w:w="2263" w:type="dxa"/>
            <w:noWrap w:val="0"/>
            <w:vAlign w:val="center"/>
          </w:tcPr>
          <w:p>
            <w:pPr>
              <w:pStyle w:val="17"/>
              <w:spacing w:before="0" w:after="0" w:line="240" w:lineRule="auto"/>
              <w:ind w:firstLine="0"/>
              <w:jc w:val="center"/>
              <w:rPr>
                <w:rFonts w:cs="Arial"/>
                <w:b/>
                <w:color w:val="auto"/>
              </w:rPr>
            </w:pPr>
            <w:r>
              <w:rPr>
                <w:rFonts w:hint="eastAsia" w:cs="Arial"/>
                <w:b/>
                <w:color w:val="auto"/>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80" w:type="dxa"/>
            <w:shd w:val="clear" w:color="auto" w:fill="auto"/>
            <w:noWrap w:val="0"/>
            <w:vAlign w:val="center"/>
          </w:tcPr>
          <w:p>
            <w:pPr>
              <w:pStyle w:val="17"/>
              <w:spacing w:before="0" w:after="0" w:line="240" w:lineRule="auto"/>
              <w:ind w:firstLine="0"/>
              <w:jc w:val="center"/>
              <w:rPr>
                <w:rFonts w:ascii="宋体" w:hAnsi="宋体" w:cs="Arial"/>
                <w:color w:val="auto"/>
              </w:rPr>
            </w:pPr>
            <w:r>
              <w:rPr>
                <w:rFonts w:hint="eastAsia" w:ascii="宋体" w:hAnsi="宋体" w:cs="Arial"/>
                <w:color w:val="auto"/>
              </w:rPr>
              <w:t>1</w:t>
            </w:r>
          </w:p>
        </w:tc>
        <w:tc>
          <w:tcPr>
            <w:tcW w:w="6445" w:type="dxa"/>
            <w:noWrap w:val="0"/>
            <w:vAlign w:val="center"/>
          </w:tcPr>
          <w:p>
            <w:pPr>
              <w:pStyle w:val="17"/>
              <w:spacing w:before="0" w:after="0" w:line="240" w:lineRule="auto"/>
              <w:ind w:firstLine="0"/>
              <w:jc w:val="both"/>
              <w:rPr>
                <w:rFonts w:ascii="宋体" w:hAnsi="宋体" w:cs="Arial"/>
                <w:color w:val="auto"/>
              </w:rPr>
            </w:pPr>
            <w:r>
              <w:rPr>
                <w:rFonts w:hint="eastAsia" w:ascii="宋体" w:hAnsi="宋体"/>
                <w:color w:val="auto"/>
              </w:rPr>
              <w:t>磋商报价表</w:t>
            </w:r>
            <w:r>
              <w:rPr>
                <w:rFonts w:hint="eastAsia" w:ascii="宋体" w:hAnsi="宋体"/>
                <w:b/>
                <w:bCs/>
                <w:color w:val="auto"/>
              </w:rPr>
              <w:t>（“苏采云”系统中给定格式）</w:t>
            </w:r>
          </w:p>
        </w:tc>
        <w:tc>
          <w:tcPr>
            <w:tcW w:w="2263" w:type="dxa"/>
            <w:vMerge w:val="restart"/>
            <w:noWrap w:val="0"/>
            <w:vAlign w:val="center"/>
          </w:tcPr>
          <w:p>
            <w:pPr>
              <w:pStyle w:val="17"/>
              <w:spacing w:before="0" w:after="0" w:line="240" w:lineRule="auto"/>
              <w:ind w:firstLine="0"/>
              <w:jc w:val="center"/>
              <w:rPr>
                <w:rFonts w:cs="Arial"/>
                <w:color w:val="auto"/>
              </w:rPr>
            </w:pPr>
            <w:r>
              <w:rPr>
                <w:rFonts w:hint="eastAsia"/>
                <w:b/>
                <w:color w:val="auto"/>
                <w:sz w:val="28"/>
                <w:szCs w:val="28"/>
              </w:rPr>
              <w:t>符合性证明文件（</w:t>
            </w:r>
            <w:r>
              <w:rPr>
                <w:rFonts w:hint="eastAsia" w:cs="Arial"/>
                <w:color w:val="auto"/>
              </w:rPr>
              <w:t>报价符合性</w:t>
            </w:r>
            <w:r>
              <w:rPr>
                <w:rFonts w:hint="eastAsia"/>
                <w:b/>
                <w:color w:val="auto"/>
                <w:sz w:val="28"/>
                <w:szCs w:val="2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80" w:type="dxa"/>
            <w:shd w:val="clear" w:color="auto" w:fill="auto"/>
            <w:noWrap w:val="0"/>
            <w:vAlign w:val="center"/>
          </w:tcPr>
          <w:p>
            <w:pPr>
              <w:pStyle w:val="17"/>
              <w:spacing w:before="0" w:after="0" w:line="240" w:lineRule="auto"/>
              <w:ind w:firstLine="0" w:firstLineChars="0"/>
              <w:jc w:val="center"/>
              <w:rPr>
                <w:rFonts w:hint="eastAsia" w:ascii="宋体" w:hAnsi="宋体" w:eastAsia="宋体" w:cs="Arial"/>
                <w:color w:val="auto"/>
                <w:kern w:val="2"/>
                <w:sz w:val="24"/>
                <w:szCs w:val="24"/>
                <w:lang w:val="en-US" w:eastAsia="zh-CN" w:bidi="ar-SA"/>
              </w:rPr>
            </w:pPr>
            <w:r>
              <w:rPr>
                <w:rFonts w:hint="eastAsia" w:ascii="宋体" w:hAnsi="宋体" w:cs="Arial"/>
                <w:color w:val="auto"/>
              </w:rPr>
              <w:t>2</w:t>
            </w:r>
          </w:p>
        </w:tc>
        <w:tc>
          <w:tcPr>
            <w:tcW w:w="6445" w:type="dxa"/>
            <w:noWrap w:val="0"/>
            <w:vAlign w:val="center"/>
          </w:tcPr>
          <w:p>
            <w:pPr>
              <w:pStyle w:val="17"/>
              <w:spacing w:before="0" w:after="0" w:line="240" w:lineRule="auto"/>
              <w:ind w:firstLine="0"/>
              <w:jc w:val="both"/>
              <w:rPr>
                <w:rFonts w:hint="eastAsia" w:ascii="宋体" w:hAnsi="宋体"/>
                <w:color w:val="auto"/>
              </w:rPr>
            </w:pPr>
            <w:r>
              <w:rPr>
                <w:rFonts w:hint="eastAsia" w:ascii="宋体" w:hAnsi="宋体"/>
                <w:color w:val="auto"/>
                <w:lang w:val="en-US" w:eastAsia="zh-CN"/>
              </w:rPr>
              <w:t>明细报价表</w:t>
            </w:r>
            <w:r>
              <w:rPr>
                <w:rFonts w:hint="eastAsia" w:ascii="宋体" w:hAnsi="宋体"/>
                <w:b/>
                <w:bCs/>
                <w:color w:val="auto"/>
                <w:lang w:val="en-US" w:eastAsia="zh-CN"/>
              </w:rPr>
              <w:t>（给定格式）</w:t>
            </w:r>
          </w:p>
        </w:tc>
        <w:tc>
          <w:tcPr>
            <w:tcW w:w="2263" w:type="dxa"/>
            <w:vMerge w:val="continue"/>
            <w:noWrap w:val="0"/>
            <w:vAlign w:val="center"/>
          </w:tcPr>
          <w:p>
            <w:pPr>
              <w:pStyle w:val="17"/>
              <w:spacing w:before="0" w:after="0" w:line="240" w:lineRule="auto"/>
              <w:ind w:firstLine="0"/>
              <w:jc w:val="center"/>
              <w:rPr>
                <w:rFonts w:hint="eastAsia"/>
                <w:b/>
                <w:color w:val="auto"/>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80" w:type="dxa"/>
            <w:shd w:val="clear" w:color="auto" w:fill="auto"/>
            <w:noWrap w:val="0"/>
            <w:vAlign w:val="center"/>
          </w:tcPr>
          <w:p>
            <w:pPr>
              <w:pStyle w:val="17"/>
              <w:spacing w:before="0" w:after="0" w:line="240" w:lineRule="auto"/>
              <w:ind w:firstLine="0" w:firstLineChars="0"/>
              <w:jc w:val="center"/>
              <w:rPr>
                <w:rFonts w:ascii="宋体" w:hAnsi="宋体" w:eastAsia="宋体" w:cs="Times New Roman"/>
                <w:color w:val="auto"/>
                <w:kern w:val="2"/>
                <w:sz w:val="24"/>
                <w:szCs w:val="24"/>
                <w:lang w:val="en-US" w:eastAsia="zh-CN" w:bidi="ar-SA"/>
              </w:rPr>
            </w:pPr>
            <w:r>
              <w:rPr>
                <w:rFonts w:hint="eastAsia" w:ascii="宋体" w:hAnsi="宋体"/>
                <w:color w:val="auto"/>
              </w:rPr>
              <w:t>3</w:t>
            </w:r>
          </w:p>
        </w:tc>
        <w:tc>
          <w:tcPr>
            <w:tcW w:w="6445" w:type="dxa"/>
            <w:noWrap w:val="0"/>
            <w:vAlign w:val="center"/>
          </w:tcPr>
          <w:p>
            <w:pPr>
              <w:pStyle w:val="17"/>
              <w:spacing w:before="0" w:after="0" w:line="240" w:lineRule="auto"/>
              <w:ind w:firstLine="0"/>
              <w:jc w:val="both"/>
              <w:rPr>
                <w:rFonts w:ascii="宋体" w:hAnsi="宋体" w:cs="Arial"/>
                <w:color w:val="auto"/>
              </w:rPr>
            </w:pPr>
            <w:r>
              <w:rPr>
                <w:rFonts w:hint="eastAsia" w:ascii="宋体" w:hAnsi="宋体"/>
                <w:color w:val="auto"/>
              </w:rPr>
              <w:t>响应</w:t>
            </w:r>
            <w:r>
              <w:rPr>
                <w:rFonts w:hint="eastAsia" w:ascii="宋体" w:hAnsi="宋体" w:cs="Arial"/>
                <w:color w:val="auto"/>
              </w:rPr>
              <w:t>函</w:t>
            </w:r>
            <w:r>
              <w:rPr>
                <w:rFonts w:hint="eastAsia" w:ascii="宋体" w:hAnsi="宋体" w:cs="Arial"/>
                <w:b/>
                <w:bCs/>
                <w:color w:val="auto"/>
              </w:rPr>
              <w:t>（给定格式）</w:t>
            </w:r>
          </w:p>
        </w:tc>
        <w:tc>
          <w:tcPr>
            <w:tcW w:w="2263" w:type="dxa"/>
            <w:vMerge w:val="restart"/>
            <w:noWrap w:val="0"/>
            <w:vAlign w:val="center"/>
          </w:tcPr>
          <w:p>
            <w:pPr>
              <w:pStyle w:val="17"/>
              <w:spacing w:before="0" w:after="0" w:line="240" w:lineRule="auto"/>
              <w:ind w:firstLine="0"/>
              <w:jc w:val="center"/>
              <w:rPr>
                <w:rFonts w:cs="Arial"/>
                <w:color w:val="auto"/>
              </w:rPr>
            </w:pPr>
            <w:r>
              <w:rPr>
                <w:rFonts w:hint="eastAsia"/>
                <w:b/>
                <w:color w:val="auto"/>
                <w:sz w:val="28"/>
                <w:szCs w:val="28"/>
              </w:rPr>
              <w:t>符合性证明文件（</w:t>
            </w:r>
            <w:r>
              <w:rPr>
                <w:rFonts w:hint="eastAsia" w:cs="Arial"/>
                <w:color w:val="auto"/>
              </w:rPr>
              <w:t>商务符合性</w:t>
            </w:r>
            <w:r>
              <w:rPr>
                <w:rFonts w:hint="eastAsia"/>
                <w:b/>
                <w:color w:val="auto"/>
                <w:sz w:val="28"/>
                <w:szCs w:val="2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80" w:type="dxa"/>
            <w:shd w:val="clear" w:color="auto" w:fill="auto"/>
            <w:noWrap w:val="0"/>
            <w:vAlign w:val="center"/>
          </w:tcPr>
          <w:p>
            <w:pPr>
              <w:pStyle w:val="17"/>
              <w:spacing w:before="0" w:after="0" w:line="240" w:lineRule="auto"/>
              <w:ind w:firstLine="0" w:firstLineChars="0"/>
              <w:jc w:val="center"/>
              <w:rPr>
                <w:rFonts w:ascii="宋体" w:hAnsi="宋体" w:eastAsia="宋体" w:cs="Times New Roman"/>
                <w:color w:val="auto"/>
                <w:kern w:val="2"/>
                <w:sz w:val="24"/>
                <w:szCs w:val="24"/>
                <w:lang w:val="en-US" w:eastAsia="zh-CN" w:bidi="ar-SA"/>
              </w:rPr>
            </w:pPr>
            <w:r>
              <w:rPr>
                <w:rFonts w:hint="eastAsia" w:ascii="宋体" w:hAnsi="宋体"/>
                <w:color w:val="auto"/>
              </w:rPr>
              <w:t>4</w:t>
            </w:r>
          </w:p>
        </w:tc>
        <w:tc>
          <w:tcPr>
            <w:tcW w:w="6445" w:type="dxa"/>
            <w:noWrap w:val="0"/>
            <w:vAlign w:val="center"/>
          </w:tcPr>
          <w:p>
            <w:pPr>
              <w:pStyle w:val="17"/>
              <w:spacing w:before="0" w:after="0" w:line="240" w:lineRule="auto"/>
              <w:ind w:firstLine="0"/>
              <w:jc w:val="both"/>
              <w:rPr>
                <w:rFonts w:ascii="宋体" w:hAnsi="宋体" w:cs="Arial"/>
                <w:color w:val="auto"/>
              </w:rPr>
            </w:pPr>
            <w:r>
              <w:rPr>
                <w:rFonts w:hint="eastAsia" w:ascii="宋体" w:hAnsi="宋体" w:cs="Arial"/>
                <w:color w:val="auto"/>
              </w:rPr>
              <w:t>承诺书</w:t>
            </w:r>
            <w:r>
              <w:rPr>
                <w:rFonts w:hint="eastAsia" w:ascii="宋体" w:hAnsi="宋体" w:cs="Arial"/>
                <w:b/>
                <w:bCs/>
                <w:color w:val="auto"/>
              </w:rPr>
              <w:t>（给定格式）</w:t>
            </w:r>
          </w:p>
        </w:tc>
        <w:tc>
          <w:tcPr>
            <w:tcW w:w="2263" w:type="dxa"/>
            <w:vMerge w:val="continue"/>
            <w:noWrap w:val="0"/>
            <w:vAlign w:val="center"/>
          </w:tcPr>
          <w:p>
            <w:pPr>
              <w:pStyle w:val="17"/>
              <w:spacing w:before="0" w:after="0" w:line="240" w:lineRule="auto"/>
              <w:ind w:firstLine="0"/>
              <w:jc w:val="center"/>
              <w:rPr>
                <w:rFonts w:cs="Arial"/>
                <w:color w:val="aut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80" w:type="dxa"/>
            <w:shd w:val="clear" w:color="auto" w:fill="auto"/>
            <w:noWrap w:val="0"/>
            <w:vAlign w:val="center"/>
          </w:tcPr>
          <w:p>
            <w:pPr>
              <w:pStyle w:val="17"/>
              <w:spacing w:before="0" w:after="0" w:line="240" w:lineRule="auto"/>
              <w:ind w:firstLine="0" w:firstLineChars="0"/>
              <w:jc w:val="center"/>
              <w:rPr>
                <w:rFonts w:ascii="宋体" w:hAnsi="宋体" w:eastAsia="宋体" w:cs="Times New Roman"/>
                <w:color w:val="auto"/>
                <w:kern w:val="2"/>
                <w:sz w:val="24"/>
                <w:szCs w:val="24"/>
                <w:lang w:val="en-US" w:eastAsia="zh-CN" w:bidi="ar-SA"/>
              </w:rPr>
            </w:pPr>
            <w:r>
              <w:rPr>
                <w:rFonts w:hint="eastAsia" w:ascii="宋体" w:hAnsi="宋体"/>
                <w:color w:val="auto"/>
              </w:rPr>
              <w:t>5</w:t>
            </w:r>
          </w:p>
        </w:tc>
        <w:tc>
          <w:tcPr>
            <w:tcW w:w="6445" w:type="dxa"/>
            <w:shd w:val="clear" w:color="auto" w:fill="auto"/>
            <w:noWrap w:val="0"/>
            <w:vAlign w:val="center"/>
          </w:tcPr>
          <w:p>
            <w:pPr>
              <w:pStyle w:val="17"/>
              <w:spacing w:before="0" w:after="0" w:line="240" w:lineRule="auto"/>
              <w:ind w:firstLine="0"/>
              <w:jc w:val="both"/>
              <w:rPr>
                <w:rFonts w:ascii="宋体" w:hAnsi="宋体" w:cs="Arial"/>
                <w:color w:val="auto"/>
              </w:rPr>
            </w:pPr>
            <w:r>
              <w:rPr>
                <w:rFonts w:hint="eastAsia" w:ascii="宋体" w:hAnsi="宋体"/>
                <w:color w:val="auto"/>
              </w:rPr>
              <w:t>项目技术要求偏离表</w:t>
            </w:r>
            <w:r>
              <w:rPr>
                <w:rFonts w:hint="eastAsia" w:ascii="宋体" w:hAnsi="宋体"/>
                <w:b/>
                <w:bCs/>
                <w:color w:val="auto"/>
              </w:rPr>
              <w:t>（给定格式）</w:t>
            </w:r>
          </w:p>
        </w:tc>
        <w:tc>
          <w:tcPr>
            <w:tcW w:w="2263" w:type="dxa"/>
            <w:vMerge w:val="restart"/>
            <w:noWrap w:val="0"/>
            <w:vAlign w:val="center"/>
          </w:tcPr>
          <w:p>
            <w:pPr>
              <w:pStyle w:val="17"/>
              <w:spacing w:before="0" w:after="0" w:line="240" w:lineRule="auto"/>
              <w:ind w:firstLine="0"/>
              <w:jc w:val="center"/>
              <w:rPr>
                <w:rFonts w:cs="Arial"/>
                <w:color w:val="auto"/>
              </w:rPr>
            </w:pPr>
            <w:r>
              <w:rPr>
                <w:rFonts w:hint="eastAsia"/>
                <w:b/>
                <w:color w:val="auto"/>
                <w:sz w:val="28"/>
                <w:szCs w:val="28"/>
              </w:rPr>
              <w:t>符合性证明文件（</w:t>
            </w:r>
            <w:r>
              <w:rPr>
                <w:rFonts w:hint="eastAsia" w:cs="Arial"/>
                <w:color w:val="auto"/>
              </w:rPr>
              <w:t>技术符合性</w:t>
            </w:r>
            <w:r>
              <w:rPr>
                <w:rFonts w:hint="eastAsia"/>
                <w:b/>
                <w:color w:val="auto"/>
                <w:sz w:val="28"/>
                <w:szCs w:val="28"/>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880" w:type="dxa"/>
            <w:shd w:val="clear" w:color="auto" w:fill="auto"/>
            <w:noWrap w:val="0"/>
            <w:vAlign w:val="center"/>
          </w:tcPr>
          <w:p>
            <w:pPr>
              <w:pStyle w:val="17"/>
              <w:spacing w:before="0" w:after="0" w:line="240" w:lineRule="auto"/>
              <w:ind w:firstLine="0" w:firstLineChars="0"/>
              <w:jc w:val="center"/>
              <w:rPr>
                <w:rFonts w:hint="default" w:ascii="宋体" w:hAnsi="宋体" w:eastAsia="宋体" w:cs="Times New Roman"/>
                <w:color w:val="auto"/>
                <w:kern w:val="2"/>
                <w:sz w:val="24"/>
                <w:szCs w:val="24"/>
                <w:lang w:val="en-US" w:eastAsia="zh-CN" w:bidi="ar-SA"/>
              </w:rPr>
            </w:pPr>
            <w:r>
              <w:rPr>
                <w:rFonts w:hint="eastAsia" w:ascii="宋体" w:hAnsi="宋体" w:cs="Times New Roman"/>
                <w:color w:val="auto"/>
                <w:kern w:val="2"/>
                <w:sz w:val="24"/>
                <w:szCs w:val="24"/>
                <w:lang w:val="en-US" w:eastAsia="zh-CN" w:bidi="ar-SA"/>
              </w:rPr>
              <w:t>6</w:t>
            </w:r>
          </w:p>
        </w:tc>
        <w:tc>
          <w:tcPr>
            <w:tcW w:w="6445" w:type="dxa"/>
            <w:shd w:val="clear" w:color="auto" w:fill="auto"/>
            <w:noWrap w:val="0"/>
            <w:vAlign w:val="center"/>
          </w:tcPr>
          <w:p>
            <w:pPr>
              <w:pStyle w:val="17"/>
              <w:spacing w:before="0" w:after="0" w:line="240" w:lineRule="auto"/>
              <w:ind w:firstLine="0"/>
              <w:jc w:val="both"/>
              <w:rPr>
                <w:rFonts w:ascii="宋体" w:hAnsi="宋体"/>
                <w:color w:val="auto"/>
              </w:rPr>
            </w:pPr>
            <w:r>
              <w:rPr>
                <w:rFonts w:hint="eastAsia" w:ascii="宋体" w:hAnsi="宋体"/>
                <w:color w:val="auto"/>
              </w:rPr>
              <w:t>《采购需求》中要求提供的证明材料</w:t>
            </w:r>
            <w:r>
              <w:rPr>
                <w:rFonts w:hint="eastAsia" w:ascii="宋体" w:hAnsi="宋体"/>
                <w:b/>
                <w:bCs/>
                <w:color w:val="auto"/>
              </w:rPr>
              <w:t>（如有）</w:t>
            </w:r>
          </w:p>
        </w:tc>
        <w:tc>
          <w:tcPr>
            <w:tcW w:w="2263" w:type="dxa"/>
            <w:vMerge w:val="continue"/>
            <w:noWrap w:val="0"/>
            <w:vAlign w:val="center"/>
          </w:tcPr>
          <w:p>
            <w:pPr>
              <w:pStyle w:val="17"/>
              <w:spacing w:before="0" w:after="0" w:line="240" w:lineRule="auto"/>
              <w:ind w:firstLine="0"/>
              <w:jc w:val="center"/>
              <w:rPr>
                <w:rFonts w:cs="Arial"/>
                <w:color w:val="auto"/>
              </w:rPr>
            </w:pPr>
          </w:p>
        </w:tc>
      </w:tr>
    </w:tbl>
    <w:p>
      <w:pPr>
        <w:keepNext w:val="0"/>
        <w:keepLines w:val="0"/>
        <w:pageBreakBefore w:val="0"/>
        <w:widowControl w:val="0"/>
        <w:kinsoku/>
        <w:wordWrap w:val="0"/>
        <w:overflowPunct/>
        <w:topLinePunct w:val="0"/>
        <w:autoSpaceDE/>
        <w:autoSpaceDN/>
        <w:bidi w:val="0"/>
        <w:adjustRightInd/>
        <w:snapToGrid/>
        <w:spacing w:line="500" w:lineRule="exact"/>
        <w:textAlignment w:val="auto"/>
        <w:rPr>
          <w:rFonts w:ascii="宋体" w:hAnsi="宋体"/>
          <w:color w:val="auto"/>
          <w:sz w:val="24"/>
          <w:szCs w:val="24"/>
        </w:rPr>
      </w:pPr>
      <w:r>
        <w:rPr>
          <w:rFonts w:hint="eastAsia" w:ascii="宋体" w:hAnsi="宋体"/>
          <w:color w:val="auto"/>
          <w:sz w:val="24"/>
          <w:szCs w:val="24"/>
        </w:rPr>
        <w:t>说明：</w:t>
      </w:r>
    </w:p>
    <w:p>
      <w:pPr>
        <w:keepNext w:val="0"/>
        <w:keepLines w:val="0"/>
        <w:pageBreakBefore w:val="0"/>
        <w:widowControl w:val="0"/>
        <w:numPr>
          <w:ilvl w:val="0"/>
          <w:numId w:val="8"/>
        </w:numPr>
        <w:kinsoku/>
        <w:wordWrap w:val="0"/>
        <w:overflowPunct/>
        <w:topLinePunct w:val="0"/>
        <w:autoSpaceDE/>
        <w:autoSpaceDN/>
        <w:bidi w:val="0"/>
        <w:adjustRightInd/>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上述</w:t>
      </w:r>
      <w:r>
        <w:rPr>
          <w:rFonts w:hint="eastAsia" w:cs="Arial"/>
          <w:color w:val="auto"/>
          <w:sz w:val="24"/>
          <w:szCs w:val="24"/>
        </w:rPr>
        <w:t>符合性证明文件第</w:t>
      </w:r>
      <w:r>
        <w:rPr>
          <w:rFonts w:hint="eastAsia" w:ascii="宋体" w:hAnsi="宋体"/>
          <w:color w:val="auto"/>
          <w:sz w:val="24"/>
          <w:szCs w:val="24"/>
        </w:rPr>
        <w:t>1～</w:t>
      </w:r>
      <w:r>
        <w:rPr>
          <w:rFonts w:hint="eastAsia" w:ascii="宋体" w:hAnsi="宋体"/>
          <w:color w:val="auto"/>
          <w:sz w:val="24"/>
          <w:szCs w:val="24"/>
          <w:lang w:val="en-US" w:eastAsia="zh-CN"/>
        </w:rPr>
        <w:t>5</w:t>
      </w:r>
      <w:r>
        <w:rPr>
          <w:rFonts w:hint="eastAsia" w:ascii="宋体" w:hAnsi="宋体"/>
          <w:color w:val="auto"/>
          <w:sz w:val="24"/>
          <w:szCs w:val="24"/>
        </w:rPr>
        <w:t>项必须按要求全部提供（有给定格式的，必须按给定格式的要求正确填报并提供，相应格式见本章第二部分），否则响应文件无效。</w:t>
      </w:r>
    </w:p>
    <w:p>
      <w:pPr>
        <w:keepNext w:val="0"/>
        <w:keepLines w:val="0"/>
        <w:pageBreakBefore w:val="0"/>
        <w:widowControl w:val="0"/>
        <w:numPr>
          <w:ilvl w:val="0"/>
          <w:numId w:val="8"/>
        </w:numPr>
        <w:kinsoku/>
        <w:wordWrap w:val="0"/>
        <w:overflowPunct/>
        <w:topLinePunct w:val="0"/>
        <w:autoSpaceDE/>
        <w:autoSpaceDN/>
        <w:bidi w:val="0"/>
        <w:adjustRightInd/>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上述</w:t>
      </w:r>
      <w:r>
        <w:rPr>
          <w:rFonts w:hint="eastAsia" w:ascii="宋体" w:hAnsi="宋体" w:cs="Arial"/>
          <w:color w:val="auto"/>
          <w:sz w:val="24"/>
          <w:szCs w:val="24"/>
        </w:rPr>
        <w:t>符合性证明文件第</w:t>
      </w:r>
      <w:r>
        <w:rPr>
          <w:rFonts w:hint="eastAsia" w:ascii="宋体" w:hAnsi="宋体" w:cs="Arial"/>
          <w:color w:val="auto"/>
          <w:sz w:val="24"/>
          <w:szCs w:val="24"/>
          <w:lang w:val="en-US" w:eastAsia="zh-CN"/>
        </w:rPr>
        <w:t>6</w:t>
      </w:r>
      <w:r>
        <w:rPr>
          <w:rFonts w:hint="eastAsia" w:ascii="宋体" w:hAnsi="宋体" w:cs="Arial"/>
          <w:color w:val="auto"/>
          <w:sz w:val="24"/>
          <w:szCs w:val="24"/>
        </w:rPr>
        <w:t>项，本磋商文件“第三章 项目技术要求和有关说明”中如有要求提供证明材料的，须按要求提供，否则</w:t>
      </w:r>
      <w:r>
        <w:rPr>
          <w:rFonts w:hint="eastAsia" w:ascii="宋体" w:hAnsi="宋体"/>
          <w:color w:val="auto"/>
          <w:sz w:val="24"/>
          <w:szCs w:val="24"/>
        </w:rPr>
        <w:t>响应</w:t>
      </w:r>
      <w:r>
        <w:rPr>
          <w:rFonts w:hint="eastAsia" w:ascii="宋体" w:hAnsi="宋体" w:cs="Arial"/>
          <w:color w:val="auto"/>
          <w:sz w:val="24"/>
          <w:szCs w:val="24"/>
        </w:rPr>
        <w:t>文件无效。</w:t>
      </w:r>
    </w:p>
    <w:p>
      <w:pPr>
        <w:keepNext w:val="0"/>
        <w:keepLines w:val="0"/>
        <w:pageBreakBefore w:val="0"/>
        <w:widowControl w:val="0"/>
        <w:numPr>
          <w:ilvl w:val="0"/>
          <w:numId w:val="8"/>
        </w:numPr>
        <w:kinsoku/>
        <w:wordWrap w:val="0"/>
        <w:overflowPunct/>
        <w:topLinePunct w:val="0"/>
        <w:autoSpaceDE/>
        <w:autoSpaceDN/>
        <w:bidi w:val="0"/>
        <w:adjustRightInd/>
        <w:snapToGrid/>
        <w:spacing w:line="500" w:lineRule="exact"/>
        <w:ind w:firstLine="480" w:firstLineChars="200"/>
        <w:textAlignment w:val="auto"/>
        <w:rPr>
          <w:rFonts w:ascii="宋体" w:hAnsi="宋体"/>
          <w:color w:val="auto"/>
          <w:sz w:val="24"/>
          <w:szCs w:val="24"/>
        </w:rPr>
      </w:pPr>
      <w:r>
        <w:rPr>
          <w:rFonts w:hint="eastAsia" w:ascii="宋体" w:hAnsi="宋体"/>
          <w:color w:val="auto"/>
          <w:sz w:val="24"/>
          <w:szCs w:val="24"/>
        </w:rPr>
        <w:t>上述</w:t>
      </w:r>
      <w:r>
        <w:rPr>
          <w:rFonts w:hint="eastAsia" w:ascii="宋体" w:hAnsi="宋体" w:cs="Arial"/>
          <w:color w:val="auto"/>
          <w:sz w:val="24"/>
          <w:szCs w:val="24"/>
        </w:rPr>
        <w:t>符合性证明文件第</w:t>
      </w:r>
      <w:r>
        <w:rPr>
          <w:rFonts w:hint="eastAsia" w:ascii="宋体" w:hAnsi="宋体" w:cs="Arial"/>
          <w:color w:val="auto"/>
          <w:sz w:val="24"/>
          <w:szCs w:val="24"/>
          <w:lang w:val="en-US" w:eastAsia="zh-CN"/>
        </w:rPr>
        <w:t>6</w:t>
      </w:r>
      <w:r>
        <w:rPr>
          <w:rFonts w:hint="eastAsia" w:ascii="宋体" w:hAnsi="宋体" w:cs="Arial"/>
          <w:color w:val="auto"/>
          <w:sz w:val="24"/>
          <w:szCs w:val="24"/>
        </w:rPr>
        <w:t>项，本项目如有涉及</w:t>
      </w:r>
      <w:r>
        <w:rPr>
          <w:rFonts w:hint="eastAsia" w:ascii="宋体" w:hAnsi="宋体"/>
          <w:b/>
          <w:color w:val="auto"/>
          <w:sz w:val="24"/>
          <w:szCs w:val="24"/>
          <w:lang w:val="zh-CN"/>
        </w:rPr>
        <w:t>强制采购节能产品、信息安全产品</w:t>
      </w:r>
      <w:r>
        <w:rPr>
          <w:rFonts w:hint="eastAsia" w:ascii="宋体" w:hAnsi="宋体"/>
          <w:bCs/>
          <w:color w:val="auto"/>
          <w:sz w:val="24"/>
          <w:szCs w:val="24"/>
          <w:lang w:val="zh-CN"/>
        </w:rPr>
        <w:t>的</w:t>
      </w:r>
      <w:r>
        <w:rPr>
          <w:rFonts w:hint="eastAsia" w:ascii="宋体" w:hAnsi="宋体" w:cs="Arial"/>
          <w:color w:val="auto"/>
          <w:sz w:val="24"/>
          <w:szCs w:val="24"/>
        </w:rPr>
        <w:t>，须按要求提供相关证明材料，否则响应文件无效。</w:t>
      </w:r>
    </w:p>
    <w:p>
      <w:pPr>
        <w:keepNext w:val="0"/>
        <w:keepLines w:val="0"/>
        <w:pageBreakBefore w:val="0"/>
        <w:widowControl w:val="0"/>
        <w:numPr>
          <w:ilvl w:val="0"/>
          <w:numId w:val="8"/>
        </w:numPr>
        <w:kinsoku/>
        <w:wordWrap w:val="0"/>
        <w:overflowPunct/>
        <w:topLinePunct w:val="0"/>
        <w:autoSpaceDE/>
        <w:autoSpaceDN/>
        <w:bidi w:val="0"/>
        <w:adjustRightInd/>
        <w:snapToGrid/>
        <w:spacing w:line="50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如项目接受联合体报价，且供应商为联合体时，上述</w:t>
      </w:r>
      <w:r>
        <w:rPr>
          <w:rFonts w:hint="eastAsia" w:cs="Arial"/>
          <w:color w:val="auto"/>
          <w:sz w:val="24"/>
          <w:szCs w:val="24"/>
        </w:rPr>
        <w:t>符合性证明文件</w:t>
      </w:r>
      <w:r>
        <w:rPr>
          <w:rFonts w:hint="eastAsia" w:ascii="宋体" w:hAnsi="宋体" w:cs="宋体"/>
          <w:color w:val="auto"/>
          <w:sz w:val="24"/>
          <w:szCs w:val="24"/>
        </w:rPr>
        <w:t>第1～</w:t>
      </w:r>
      <w:r>
        <w:rPr>
          <w:rFonts w:hint="eastAsia" w:ascii="宋体" w:hAnsi="宋体" w:cs="宋体"/>
          <w:color w:val="auto"/>
          <w:sz w:val="24"/>
          <w:szCs w:val="24"/>
          <w:lang w:val="en-US" w:eastAsia="zh-CN"/>
        </w:rPr>
        <w:t>5</w:t>
      </w:r>
      <w:r>
        <w:rPr>
          <w:rFonts w:hint="eastAsia" w:ascii="宋体" w:hAnsi="宋体" w:cs="宋体"/>
          <w:color w:val="auto"/>
          <w:sz w:val="24"/>
          <w:szCs w:val="24"/>
        </w:rPr>
        <w:t>项可由联合体主体单位（即联合体牵头人）代表联合体提供。第</w:t>
      </w:r>
      <w:r>
        <w:rPr>
          <w:rFonts w:hint="eastAsia" w:ascii="宋体" w:hAnsi="宋体" w:cs="宋体"/>
          <w:color w:val="auto"/>
          <w:sz w:val="24"/>
          <w:szCs w:val="24"/>
          <w:lang w:val="en-US" w:eastAsia="zh-CN"/>
        </w:rPr>
        <w:t>6</w:t>
      </w:r>
      <w:r>
        <w:rPr>
          <w:rFonts w:hint="eastAsia" w:ascii="宋体" w:hAnsi="宋体" w:cs="宋体"/>
          <w:color w:val="auto"/>
          <w:sz w:val="24"/>
          <w:szCs w:val="24"/>
        </w:rPr>
        <w:t>项按《采购需求》中的相应要求（如有）进行提供。</w:t>
      </w:r>
    </w:p>
    <w:p>
      <w:pPr>
        <w:pStyle w:val="17"/>
        <w:keepNext w:val="0"/>
        <w:keepLines w:val="0"/>
        <w:pageBreakBefore w:val="0"/>
        <w:widowControl w:val="0"/>
        <w:kinsoku/>
        <w:wordWrap w:val="0"/>
        <w:overflowPunct/>
        <w:topLinePunct w:val="0"/>
        <w:autoSpaceDE/>
        <w:autoSpaceDN/>
        <w:bidi w:val="0"/>
        <w:adjustRightInd/>
        <w:snapToGrid/>
        <w:spacing w:line="500" w:lineRule="exact"/>
        <w:ind w:firstLine="0"/>
        <w:textAlignment w:val="auto"/>
        <w:rPr>
          <w:rFonts w:hint="eastAsia" w:eastAsia="宋体" w:cs="Times New Roman"/>
          <w:b/>
          <w:color w:val="auto"/>
          <w:sz w:val="28"/>
          <w:szCs w:val="28"/>
        </w:rPr>
      </w:pPr>
      <w:r>
        <w:rPr>
          <w:rFonts w:hint="eastAsia" w:eastAsia="宋体" w:cs="Times New Roman"/>
          <w:b/>
          <w:color w:val="auto"/>
          <w:sz w:val="28"/>
          <w:szCs w:val="28"/>
        </w:rPr>
        <w:t>（二）评审因素</w:t>
      </w:r>
    </w:p>
    <w:p>
      <w:pPr>
        <w:keepNext w:val="0"/>
        <w:keepLines w:val="0"/>
        <w:pageBreakBefore w:val="0"/>
        <w:widowControl w:val="0"/>
        <w:numPr>
          <w:ilvl w:val="0"/>
          <w:numId w:val="0"/>
        </w:numPr>
        <w:kinsoku/>
        <w:wordWrap w:val="0"/>
        <w:overflowPunct/>
        <w:topLinePunct w:val="0"/>
        <w:autoSpaceDE/>
        <w:autoSpaceDN/>
        <w:bidi w:val="0"/>
        <w:adjustRightInd/>
        <w:snapToGrid/>
        <w:spacing w:line="500" w:lineRule="exact"/>
        <w:ind w:firstLine="480" w:firstLineChars="200"/>
        <w:textAlignment w:val="auto"/>
        <w:rPr>
          <w:rFonts w:hint="eastAsia" w:cs="Arial"/>
          <w:color w:val="auto"/>
          <w:sz w:val="24"/>
          <w:szCs w:val="24"/>
        </w:rPr>
      </w:pPr>
      <w:r>
        <w:rPr>
          <w:rFonts w:hint="eastAsia" w:cs="Arial"/>
          <w:color w:val="auto"/>
          <w:sz w:val="24"/>
          <w:szCs w:val="24"/>
        </w:rPr>
        <w:t>1、《评审方法和标准》中涉及的证明文件</w:t>
      </w:r>
    </w:p>
    <w:p>
      <w:pPr>
        <w:pStyle w:val="17"/>
        <w:keepNext w:val="0"/>
        <w:keepLines w:val="0"/>
        <w:pageBreakBefore w:val="0"/>
        <w:widowControl w:val="0"/>
        <w:kinsoku/>
        <w:wordWrap/>
        <w:overflowPunct/>
        <w:topLinePunct w:val="0"/>
        <w:autoSpaceDE/>
        <w:autoSpaceDN/>
        <w:bidi w:val="0"/>
        <w:adjustRightInd/>
        <w:snapToGrid/>
        <w:spacing w:line="400" w:lineRule="exact"/>
        <w:ind w:firstLine="0"/>
        <w:textAlignment w:val="auto"/>
        <w:rPr>
          <w:rFonts w:hint="eastAsia" w:eastAsia="宋体" w:cs="Arial"/>
          <w:b/>
          <w:color w:val="auto"/>
          <w:sz w:val="30"/>
          <w:szCs w:val="30"/>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pPr>
        <w:pStyle w:val="17"/>
        <w:spacing w:line="500" w:lineRule="exact"/>
        <w:ind w:firstLine="0"/>
        <w:rPr>
          <w:rFonts w:hint="eastAsia" w:eastAsia="宋体" w:cs="Times New Roman"/>
          <w:b/>
          <w:color w:val="auto"/>
          <w:sz w:val="28"/>
          <w:szCs w:val="28"/>
        </w:rPr>
      </w:pPr>
      <w:r>
        <w:rPr>
          <w:rFonts w:hint="eastAsia" w:eastAsia="宋体" w:cs="Times New Roman"/>
          <w:b/>
          <w:color w:val="auto"/>
          <w:sz w:val="28"/>
          <w:szCs w:val="28"/>
        </w:rPr>
        <w:t>三、企业报价折扣证明</w:t>
      </w:r>
    </w:p>
    <w:tbl>
      <w:tblPr>
        <w:tblStyle w:val="6"/>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7"/>
        <w:gridCol w:w="2278"/>
        <w:gridCol w:w="3627"/>
        <w:gridCol w:w="25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1107" w:type="dxa"/>
            <w:noWrap w:val="0"/>
            <w:vAlign w:val="center"/>
          </w:tcPr>
          <w:p>
            <w:pPr>
              <w:pStyle w:val="17"/>
              <w:spacing w:before="0" w:after="0" w:line="240" w:lineRule="auto"/>
              <w:ind w:firstLine="0"/>
              <w:jc w:val="center"/>
              <w:rPr>
                <w:rFonts w:ascii="宋体" w:hAnsi="宋体" w:cs="宋体"/>
                <w:b/>
                <w:color w:val="auto"/>
              </w:rPr>
            </w:pPr>
            <w:r>
              <w:rPr>
                <w:rFonts w:hint="eastAsia" w:ascii="宋体" w:hAnsi="宋体" w:cs="宋体"/>
                <w:b/>
                <w:color w:val="auto"/>
              </w:rPr>
              <w:t>序号</w:t>
            </w:r>
          </w:p>
        </w:tc>
        <w:tc>
          <w:tcPr>
            <w:tcW w:w="2278" w:type="dxa"/>
            <w:noWrap w:val="0"/>
            <w:vAlign w:val="center"/>
          </w:tcPr>
          <w:p>
            <w:pPr>
              <w:pStyle w:val="17"/>
              <w:spacing w:before="0" w:after="0" w:line="240" w:lineRule="auto"/>
              <w:ind w:firstLine="0"/>
              <w:jc w:val="center"/>
              <w:rPr>
                <w:rFonts w:ascii="宋体" w:hAnsi="宋体" w:cs="宋体"/>
                <w:b/>
                <w:color w:val="auto"/>
              </w:rPr>
            </w:pPr>
            <w:r>
              <w:rPr>
                <w:rFonts w:hint="eastAsia" w:ascii="宋体" w:hAnsi="宋体" w:cs="宋体"/>
                <w:b/>
                <w:color w:val="auto"/>
              </w:rPr>
              <w:t>评审项目</w:t>
            </w:r>
          </w:p>
        </w:tc>
        <w:tc>
          <w:tcPr>
            <w:tcW w:w="3627" w:type="dxa"/>
            <w:noWrap w:val="0"/>
            <w:vAlign w:val="center"/>
          </w:tcPr>
          <w:p>
            <w:pPr>
              <w:pStyle w:val="17"/>
              <w:spacing w:before="0" w:after="0" w:line="240" w:lineRule="auto"/>
              <w:ind w:left="0" w:leftChars="0" w:firstLine="0" w:firstLineChars="0"/>
              <w:jc w:val="center"/>
              <w:rPr>
                <w:rFonts w:ascii="宋体" w:hAnsi="宋体" w:cs="宋体"/>
                <w:b/>
                <w:color w:val="auto"/>
              </w:rPr>
            </w:pPr>
            <w:r>
              <w:rPr>
                <w:rFonts w:hint="eastAsia" w:ascii="宋体" w:hAnsi="宋体" w:cs="宋体"/>
                <w:b/>
                <w:color w:val="auto"/>
              </w:rPr>
              <w:t>评审要求</w:t>
            </w:r>
          </w:p>
        </w:tc>
        <w:tc>
          <w:tcPr>
            <w:tcW w:w="2594" w:type="dxa"/>
            <w:noWrap w:val="0"/>
            <w:vAlign w:val="center"/>
          </w:tcPr>
          <w:p>
            <w:pPr>
              <w:pStyle w:val="17"/>
              <w:spacing w:before="0" w:after="0" w:line="240" w:lineRule="auto"/>
              <w:ind w:firstLine="0"/>
              <w:jc w:val="center"/>
              <w:rPr>
                <w:rFonts w:ascii="宋体" w:hAnsi="宋体" w:cs="宋体"/>
                <w:b/>
                <w:color w:val="auto"/>
              </w:rPr>
            </w:pPr>
            <w:r>
              <w:rPr>
                <w:rFonts w:hint="eastAsia" w:ascii="宋体" w:hAnsi="宋体" w:cs="宋体"/>
                <w:b/>
                <w:color w:val="auto"/>
              </w:rPr>
              <w:t>审查因素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1107"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00" w:lineRule="exact"/>
              <w:ind w:firstLine="0"/>
              <w:jc w:val="center"/>
              <w:textAlignment w:val="auto"/>
              <w:rPr>
                <w:rFonts w:ascii="宋体" w:hAnsi="宋体" w:cs="宋体"/>
                <w:color w:val="auto"/>
              </w:rPr>
            </w:pPr>
            <w:r>
              <w:rPr>
                <w:rFonts w:hint="eastAsia" w:ascii="宋体" w:hAnsi="宋体" w:cs="宋体"/>
                <w:color w:val="auto"/>
              </w:rPr>
              <w:t>1</w:t>
            </w:r>
          </w:p>
        </w:tc>
        <w:tc>
          <w:tcPr>
            <w:tcW w:w="2278"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00" w:lineRule="exact"/>
              <w:ind w:firstLine="0"/>
              <w:jc w:val="center"/>
              <w:textAlignment w:val="auto"/>
              <w:rPr>
                <w:rFonts w:ascii="宋体" w:hAnsi="宋体"/>
                <w:bCs/>
                <w:color w:val="auto"/>
              </w:rPr>
            </w:pPr>
            <w:r>
              <w:rPr>
                <w:rFonts w:hint="eastAsia" w:ascii="宋体" w:hAnsi="宋体"/>
                <w:bCs/>
                <w:color w:val="auto"/>
                <w:lang w:val="zh-CN"/>
              </w:rPr>
              <w:t>政府采购支持中小企业发展</w:t>
            </w:r>
          </w:p>
        </w:tc>
        <w:tc>
          <w:tcPr>
            <w:tcW w:w="3627"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00" w:lineRule="exact"/>
              <w:ind w:firstLine="0"/>
              <w:jc w:val="center"/>
              <w:textAlignment w:val="auto"/>
              <w:rPr>
                <w:rFonts w:ascii="宋体" w:hAnsi="宋体" w:cs="宋体"/>
                <w:color w:val="auto"/>
              </w:rPr>
            </w:pPr>
            <w:r>
              <w:rPr>
                <w:rFonts w:hint="eastAsia" w:ascii="宋体" w:hAnsi="宋体"/>
                <w:b/>
                <w:bCs w:val="0"/>
                <w:color w:val="auto"/>
              </w:rPr>
              <w:t>本项目</w:t>
            </w:r>
            <w:r>
              <w:rPr>
                <w:rFonts w:hint="eastAsia" w:ascii="宋体" w:hAnsi="宋体"/>
                <w:b/>
                <w:bCs/>
                <w:color w:val="auto"/>
              </w:rPr>
              <w:t>专门面向中小企业采购，不做价格扣除。</w:t>
            </w:r>
          </w:p>
        </w:tc>
        <w:tc>
          <w:tcPr>
            <w:tcW w:w="2594" w:type="dxa"/>
            <w:noWrap w:val="0"/>
            <w:vAlign w:val="center"/>
          </w:tcPr>
          <w:p>
            <w:pPr>
              <w:pStyle w:val="17"/>
              <w:keepNext w:val="0"/>
              <w:keepLines w:val="0"/>
              <w:pageBreakBefore w:val="0"/>
              <w:widowControl w:val="0"/>
              <w:kinsoku/>
              <w:wordWrap/>
              <w:overflowPunct/>
              <w:topLinePunct w:val="0"/>
              <w:autoSpaceDE/>
              <w:autoSpaceDN/>
              <w:bidi w:val="0"/>
              <w:adjustRightInd/>
              <w:snapToGrid/>
              <w:spacing w:before="0" w:after="0" w:line="400" w:lineRule="exact"/>
              <w:ind w:firstLine="0"/>
              <w:jc w:val="center"/>
              <w:textAlignment w:val="auto"/>
              <w:rPr>
                <w:rFonts w:ascii="宋体" w:hAnsi="宋体" w:cs="宋体"/>
                <w:color w:val="auto"/>
              </w:rPr>
            </w:pPr>
            <w:r>
              <w:rPr>
                <w:rFonts w:hint="eastAsia" w:ascii="宋体" w:hAnsi="宋体" w:cs="宋体"/>
                <w:color w:val="auto"/>
                <w:sz w:val="36"/>
                <w:szCs w:val="36"/>
              </w:rPr>
              <w:t>/</w:t>
            </w:r>
          </w:p>
        </w:tc>
      </w:tr>
    </w:tbl>
    <w:p>
      <w:pPr>
        <w:pStyle w:val="17"/>
        <w:keepNext w:val="0"/>
        <w:keepLines w:val="0"/>
        <w:pageBreakBefore w:val="0"/>
        <w:widowControl w:val="0"/>
        <w:kinsoku/>
        <w:wordWrap/>
        <w:overflowPunct/>
        <w:topLinePunct w:val="0"/>
        <w:autoSpaceDE/>
        <w:autoSpaceDN/>
        <w:bidi w:val="0"/>
        <w:adjustRightInd/>
        <w:snapToGrid/>
        <w:spacing w:line="400" w:lineRule="exact"/>
        <w:ind w:firstLine="0"/>
        <w:textAlignment w:val="auto"/>
        <w:rPr>
          <w:rFonts w:hint="eastAsia" w:eastAsia="宋体" w:cs="Arial"/>
          <w:b/>
          <w:color w:val="auto"/>
          <w:sz w:val="30"/>
          <w:szCs w:val="30"/>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pPr>
        <w:pStyle w:val="17"/>
        <w:spacing w:line="500" w:lineRule="exact"/>
        <w:ind w:firstLine="0"/>
        <w:rPr>
          <w:rFonts w:hint="eastAsia" w:eastAsia="宋体" w:cs="Times New Roman"/>
          <w:b/>
          <w:color w:val="auto"/>
          <w:sz w:val="28"/>
          <w:szCs w:val="28"/>
        </w:rPr>
      </w:pPr>
      <w:r>
        <w:rPr>
          <w:rFonts w:hint="eastAsia" w:eastAsia="宋体" w:cs="Times New Roman"/>
          <w:b/>
          <w:color w:val="auto"/>
          <w:sz w:val="28"/>
          <w:szCs w:val="28"/>
        </w:rPr>
        <w:t>第二部分  响应文件格式</w:t>
      </w:r>
    </w:p>
    <w:p>
      <w:pPr>
        <w:pStyle w:val="17"/>
        <w:spacing w:line="500" w:lineRule="exact"/>
        <w:ind w:firstLine="0"/>
        <w:rPr>
          <w:rFonts w:hint="eastAsia" w:eastAsia="宋体" w:cs="Times New Roman"/>
          <w:b/>
          <w:color w:val="auto"/>
          <w:sz w:val="28"/>
          <w:szCs w:val="28"/>
        </w:rPr>
      </w:pPr>
      <w:r>
        <w:rPr>
          <w:rFonts w:hint="eastAsia" w:eastAsia="宋体" w:cs="Times New Roman"/>
          <w:b/>
          <w:color w:val="auto"/>
          <w:sz w:val="28"/>
          <w:szCs w:val="28"/>
        </w:rPr>
        <w:t>一、封面格式（参考格式）：</w:t>
      </w:r>
    </w:p>
    <w:p>
      <w:pPr>
        <w:rPr>
          <w:rFonts w:hint="eastAsia"/>
          <w:color w:val="auto"/>
        </w:rPr>
      </w:pPr>
    </w:p>
    <w:p>
      <w:pPr>
        <w:spacing w:line="360" w:lineRule="auto"/>
        <w:outlineLvl w:val="0"/>
        <w:rPr>
          <w:rFonts w:hint="eastAsia" w:ascii="黑体" w:hAnsi="黑体" w:eastAsia="黑体"/>
          <w:color w:val="auto"/>
          <w:sz w:val="28"/>
          <w:highlight w:val="none"/>
        </w:rPr>
      </w:pP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响应文件</w:t>
      </w:r>
    </w:p>
    <w:p>
      <w:pPr>
        <w:jc w:val="center"/>
        <w:rPr>
          <w:rFonts w:hint="eastAsia" w:ascii="宋体" w:hAnsi="宋体"/>
          <w:b/>
          <w:color w:val="auto"/>
          <w:sz w:val="32"/>
          <w:szCs w:val="32"/>
          <w:highlight w:val="none"/>
        </w:rPr>
      </w:pPr>
    </w:p>
    <w:p>
      <w:pPr>
        <w:rPr>
          <w:rFonts w:hint="eastAsia" w:ascii="宋体" w:hAnsi="宋体"/>
          <w:b/>
          <w:color w:val="auto"/>
          <w:sz w:val="32"/>
          <w:szCs w:val="32"/>
          <w:highlight w:val="none"/>
        </w:rPr>
      </w:pPr>
    </w:p>
    <w:p>
      <w:pPr>
        <w:ind w:firstLine="1807" w:firstLineChars="600"/>
        <w:rPr>
          <w:rFonts w:hint="eastAsia" w:ascii="宋体" w:hAnsi="宋体"/>
          <w:b/>
          <w:color w:val="auto"/>
          <w:sz w:val="30"/>
          <w:szCs w:val="30"/>
          <w:highlight w:val="none"/>
        </w:rPr>
      </w:pPr>
      <w:bookmarkStart w:id="199" w:name="_Toc24371"/>
    </w:p>
    <w:p>
      <w:pPr>
        <w:ind w:firstLine="2711" w:firstLineChars="900"/>
        <w:rPr>
          <w:rFonts w:hint="eastAsia" w:ascii="宋体" w:hAnsi="宋体"/>
          <w:b/>
          <w:color w:val="auto"/>
          <w:sz w:val="30"/>
          <w:szCs w:val="30"/>
          <w:highlight w:val="none"/>
          <w:u w:val="single"/>
        </w:rPr>
      </w:pPr>
      <w:r>
        <w:rPr>
          <w:rFonts w:hint="eastAsia" w:ascii="宋体" w:hAnsi="宋体"/>
          <w:b/>
          <w:color w:val="auto"/>
          <w:sz w:val="30"/>
          <w:szCs w:val="30"/>
          <w:highlight w:val="none"/>
        </w:rPr>
        <w:t>项目名称：</w:t>
      </w:r>
      <w:r>
        <w:rPr>
          <w:rFonts w:hint="eastAsia" w:ascii="宋体" w:hAnsi="宋体"/>
          <w:b/>
          <w:color w:val="auto"/>
          <w:sz w:val="30"/>
          <w:szCs w:val="30"/>
          <w:highlight w:val="none"/>
          <w:u w:val="single"/>
        </w:rPr>
        <w:t xml:space="preserve">                   </w:t>
      </w:r>
    </w:p>
    <w:p>
      <w:pPr>
        <w:ind w:firstLine="2711" w:firstLineChars="900"/>
        <w:rPr>
          <w:rFonts w:hint="eastAsia" w:ascii="宋体" w:hAnsi="宋体"/>
          <w:b/>
          <w:color w:val="auto"/>
          <w:sz w:val="30"/>
          <w:szCs w:val="30"/>
          <w:highlight w:val="none"/>
        </w:rPr>
      </w:pPr>
      <w:r>
        <w:rPr>
          <w:rFonts w:hint="eastAsia" w:ascii="宋体" w:hAnsi="宋体"/>
          <w:b/>
          <w:color w:val="auto"/>
          <w:sz w:val="30"/>
          <w:szCs w:val="30"/>
          <w:highlight w:val="none"/>
        </w:rPr>
        <w:t>项目编号：</w:t>
      </w:r>
      <w:r>
        <w:rPr>
          <w:rFonts w:hint="eastAsia" w:ascii="宋体" w:hAnsi="宋体"/>
          <w:b/>
          <w:color w:val="auto"/>
          <w:sz w:val="30"/>
          <w:szCs w:val="30"/>
          <w:highlight w:val="none"/>
          <w:u w:val="single"/>
        </w:rPr>
        <w:t xml:space="preserve">                   </w:t>
      </w:r>
      <w:r>
        <w:rPr>
          <w:rFonts w:hint="eastAsia" w:ascii="宋体" w:hAnsi="宋体"/>
          <w:b/>
          <w:color w:val="auto"/>
          <w:sz w:val="30"/>
          <w:szCs w:val="30"/>
          <w:highlight w:val="none"/>
        </w:rPr>
        <w:t xml:space="preserve">           </w:t>
      </w:r>
    </w:p>
    <w:p>
      <w:pPr>
        <w:ind w:firstLine="2711" w:firstLineChars="900"/>
        <w:rPr>
          <w:rFonts w:hint="eastAsia" w:ascii="宋体" w:hAnsi="宋体"/>
          <w:b/>
          <w:color w:val="auto"/>
          <w:sz w:val="30"/>
          <w:szCs w:val="30"/>
          <w:highlight w:val="none"/>
        </w:rPr>
      </w:pPr>
      <w:r>
        <w:rPr>
          <w:rFonts w:hint="eastAsia" w:ascii="宋体" w:hAnsi="宋体"/>
          <w:b/>
          <w:color w:val="auto"/>
          <w:sz w:val="30"/>
          <w:szCs w:val="30"/>
          <w:highlight w:val="none"/>
        </w:rPr>
        <w:t>供 应 商：</w:t>
      </w:r>
      <w:r>
        <w:rPr>
          <w:rFonts w:hint="eastAsia" w:ascii="宋体" w:hAnsi="宋体"/>
          <w:b/>
          <w:color w:val="auto"/>
          <w:sz w:val="30"/>
          <w:szCs w:val="30"/>
          <w:highlight w:val="none"/>
          <w:u w:val="single"/>
        </w:rPr>
        <w:t xml:space="preserve">                   </w:t>
      </w:r>
      <w:r>
        <w:rPr>
          <w:rFonts w:hint="eastAsia" w:ascii="宋体" w:hAnsi="宋体"/>
          <w:b/>
          <w:color w:val="auto"/>
          <w:sz w:val="30"/>
          <w:szCs w:val="30"/>
          <w:highlight w:val="none"/>
        </w:rPr>
        <w:t xml:space="preserve">                    </w:t>
      </w:r>
    </w:p>
    <w:p>
      <w:pPr>
        <w:ind w:firstLine="2711" w:firstLineChars="900"/>
        <w:rPr>
          <w:rFonts w:hint="eastAsia" w:ascii="宋体" w:hAnsi="宋体"/>
          <w:b/>
          <w:color w:val="auto"/>
          <w:sz w:val="30"/>
          <w:szCs w:val="30"/>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b/>
          <w:color w:val="auto"/>
          <w:sz w:val="30"/>
          <w:szCs w:val="30"/>
          <w:highlight w:val="none"/>
        </w:rPr>
        <w:t>日    期：</w:t>
      </w:r>
      <w:r>
        <w:rPr>
          <w:rFonts w:hint="eastAsia" w:ascii="宋体" w:hAnsi="宋体"/>
          <w:b/>
          <w:color w:val="auto"/>
          <w:sz w:val="30"/>
          <w:szCs w:val="30"/>
          <w:highlight w:val="none"/>
          <w:u w:val="single"/>
        </w:rPr>
        <w:t xml:space="preserve">                   </w:t>
      </w:r>
      <w:r>
        <w:rPr>
          <w:rFonts w:hint="eastAsia" w:ascii="宋体" w:hAnsi="宋体"/>
          <w:b/>
          <w:color w:val="auto"/>
          <w:sz w:val="30"/>
          <w:szCs w:val="30"/>
          <w:highlight w:val="none"/>
        </w:rPr>
        <w:t xml:space="preserve">  </w:t>
      </w:r>
    </w:p>
    <w:bookmarkEnd w:id="196"/>
    <w:bookmarkEnd w:id="199"/>
    <w:p>
      <w:pPr>
        <w:spacing w:line="360" w:lineRule="auto"/>
        <w:rPr>
          <w:rFonts w:hint="eastAsia" w:ascii="黑体" w:hAnsi="宋体" w:eastAsia="黑体" w:cs="Times New Roman"/>
          <w:bCs/>
          <w:color w:val="auto"/>
          <w:sz w:val="24"/>
          <w:szCs w:val="24"/>
          <w:highlight w:val="none"/>
        </w:rPr>
      </w:pPr>
      <w:r>
        <w:rPr>
          <w:rFonts w:hint="eastAsia" w:ascii="Arial" w:hAnsi="Arial" w:eastAsia="宋体" w:cs="Times New Roman"/>
          <w:b/>
          <w:color w:val="auto"/>
          <w:kern w:val="2"/>
          <w:sz w:val="28"/>
          <w:szCs w:val="28"/>
          <w:lang w:val="en-US" w:eastAsia="zh-CN" w:bidi="ar-SA"/>
        </w:rPr>
        <w:t>二、磋商报价表：</w:t>
      </w:r>
      <w:bookmarkEnd w:id="197"/>
    </w:p>
    <w:p>
      <w:pPr>
        <w:spacing w:before="156" w:beforeLines="50" w:after="156" w:afterLines="5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磋商报价表</w:t>
      </w:r>
    </w:p>
    <w:p>
      <w:pPr>
        <w:pStyle w:val="1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default"/>
          <w:color w:val="auto"/>
          <w:sz w:val="24"/>
          <w:szCs w:val="24"/>
          <w:highlight w:val="none"/>
          <w:lang w:val="en-US"/>
        </w:rPr>
      </w:pPr>
      <w:r>
        <w:rPr>
          <w:rFonts w:hint="eastAsia" w:ascii="宋体" w:hAnsi="宋体"/>
          <w:color w:val="auto"/>
          <w:sz w:val="24"/>
          <w:szCs w:val="24"/>
          <w:highlight w:val="none"/>
        </w:rPr>
        <w:t>本次为首次报价      </w:t>
      </w:r>
      <w:r>
        <w:rPr>
          <w:rFonts w:hint="default"/>
          <w:color w:val="auto"/>
          <w:sz w:val="24"/>
          <w:szCs w:val="24"/>
          <w:highlight w:val="none"/>
          <w:lang w:val="en-US"/>
        </w:rPr>
        <w:t xml:space="preserve">                                     </w:t>
      </w:r>
    </w:p>
    <w:p>
      <w:pPr>
        <w:pStyle w:val="1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项目</w:t>
      </w:r>
      <w:r>
        <w:rPr>
          <w:rFonts w:hint="eastAsia" w:ascii="宋体" w:hAnsi="宋体" w:eastAsia="宋体" w:cs="Times New Roman"/>
          <w:color w:val="auto"/>
          <w:sz w:val="24"/>
          <w:szCs w:val="24"/>
          <w:highlight w:val="none"/>
        </w:rPr>
        <w:t>编号：</w:t>
      </w:r>
      <w:r>
        <w:rPr>
          <w:rFonts w:hint="eastAsia" w:cs="Times New Roman"/>
          <w:color w:val="auto"/>
          <w:sz w:val="24"/>
          <w:szCs w:val="24"/>
          <w:highlight w:val="none"/>
          <w:lang w:eastAsia="zh-CN"/>
        </w:rPr>
        <w:t>JSZC-320282-JSXY-C2025-0012</w:t>
      </w:r>
    </w:p>
    <w:p>
      <w:pPr>
        <w:pStyle w:val="18"/>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货币单位：人民币元</w:t>
      </w:r>
    </w:p>
    <w:tbl>
      <w:tblPr>
        <w:tblStyle w:val="6"/>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3208"/>
        <w:gridCol w:w="3259"/>
        <w:gridCol w:w="32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50" w:hRule="atLeast"/>
        </w:trPr>
        <w:tc>
          <w:tcPr>
            <w:tcW w:w="3208" w:type="dxa"/>
            <w:noWrap w:val="0"/>
            <w:vAlign w:val="center"/>
          </w:tcPr>
          <w:p>
            <w:pPr>
              <w:autoSpaceDE w:val="0"/>
              <w:autoSpaceDN w:val="0"/>
              <w:adjustRightInd w:val="0"/>
              <w:jc w:val="center"/>
              <w:rPr>
                <w:rFonts w:hint="eastAsia" w:ascii="宋体" w:hAnsi="宋体"/>
                <w:b w:val="0"/>
                <w:bCs w:val="0"/>
                <w:color w:val="auto"/>
                <w:sz w:val="24"/>
                <w:szCs w:val="24"/>
              </w:rPr>
            </w:pPr>
            <w:r>
              <w:rPr>
                <w:rFonts w:hint="eastAsia" w:ascii="宋体" w:hAnsi="宋体"/>
                <w:b w:val="0"/>
                <w:bCs w:val="0"/>
                <w:color w:val="auto"/>
                <w:sz w:val="24"/>
                <w:szCs w:val="24"/>
              </w:rPr>
              <w:t>项目名称</w:t>
            </w:r>
          </w:p>
        </w:tc>
        <w:tc>
          <w:tcPr>
            <w:tcW w:w="3259" w:type="dxa"/>
            <w:noWrap w:val="0"/>
            <w:vAlign w:val="center"/>
          </w:tcPr>
          <w:p>
            <w:pPr>
              <w:autoSpaceDE w:val="0"/>
              <w:autoSpaceDN w:val="0"/>
              <w:adjustRightInd w:val="0"/>
              <w:jc w:val="center"/>
              <w:rPr>
                <w:rFonts w:hint="eastAsia" w:ascii="宋体" w:hAnsi="宋体"/>
                <w:b w:val="0"/>
                <w:bCs w:val="0"/>
                <w:color w:val="auto"/>
                <w:sz w:val="24"/>
                <w:szCs w:val="24"/>
              </w:rPr>
            </w:pPr>
            <w:r>
              <w:rPr>
                <w:rFonts w:hint="eastAsia" w:ascii="宋体" w:hAnsi="宋体"/>
                <w:b w:val="0"/>
                <w:bCs w:val="0"/>
                <w:color w:val="auto"/>
                <w:sz w:val="24"/>
                <w:szCs w:val="24"/>
              </w:rPr>
              <w:t>项目内容</w:t>
            </w:r>
          </w:p>
        </w:tc>
        <w:tc>
          <w:tcPr>
            <w:tcW w:w="3201" w:type="dxa"/>
            <w:noWrap w:val="0"/>
            <w:vAlign w:val="center"/>
          </w:tcPr>
          <w:p>
            <w:pPr>
              <w:autoSpaceDE w:val="0"/>
              <w:autoSpaceDN w:val="0"/>
              <w:adjustRightInd w:val="0"/>
              <w:jc w:val="center"/>
              <w:rPr>
                <w:rFonts w:hint="eastAsia" w:ascii="宋体" w:hAnsi="宋体"/>
                <w:b w:val="0"/>
                <w:bCs w:val="0"/>
                <w:color w:val="auto"/>
                <w:sz w:val="24"/>
                <w:szCs w:val="24"/>
              </w:rPr>
            </w:pPr>
            <w:r>
              <w:rPr>
                <w:rFonts w:hint="eastAsia" w:ascii="宋体" w:hAnsi="宋体"/>
                <w:b w:val="0"/>
                <w:bCs w:val="0"/>
                <w:color w:val="auto"/>
                <w:sz w:val="24"/>
                <w:szCs w:val="24"/>
              </w:rPr>
              <w:t>总价（小写）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50" w:hRule="atLeast"/>
        </w:trPr>
        <w:tc>
          <w:tcPr>
            <w:tcW w:w="3208" w:type="dxa"/>
            <w:noWrap w:val="0"/>
            <w:vAlign w:val="center"/>
          </w:tcPr>
          <w:p>
            <w:pPr>
              <w:pStyle w:val="19"/>
              <w:widowControl/>
              <w:jc w:val="center"/>
              <w:rPr>
                <w:rFonts w:hint="eastAsia" w:ascii="宋体" w:hAnsi="宋体" w:eastAsia="宋体" w:cs="Times New Roman"/>
                <w:bCs/>
                <w:color w:val="auto"/>
                <w:kern w:val="0"/>
                <w:sz w:val="24"/>
                <w:szCs w:val="24"/>
                <w:u w:val="none" w:color="000000"/>
                <w:lang w:val="en-US" w:eastAsia="zh-CN" w:bidi="ar-SA"/>
              </w:rPr>
            </w:pPr>
          </w:p>
        </w:tc>
        <w:tc>
          <w:tcPr>
            <w:tcW w:w="3259" w:type="dxa"/>
            <w:noWrap w:val="0"/>
            <w:vAlign w:val="center"/>
          </w:tcPr>
          <w:p>
            <w:pPr>
              <w:pStyle w:val="19"/>
              <w:widowControl/>
              <w:jc w:val="center"/>
              <w:rPr>
                <w:rFonts w:hint="eastAsia" w:ascii="宋体" w:hAnsi="宋体" w:eastAsia="宋体" w:cs="Times New Roman"/>
                <w:bCs/>
                <w:color w:val="auto"/>
                <w:kern w:val="0"/>
                <w:sz w:val="24"/>
                <w:szCs w:val="24"/>
                <w:u w:val="none" w:color="000000"/>
                <w:lang w:val="en-US" w:eastAsia="zh-CN" w:bidi="ar-SA"/>
              </w:rPr>
            </w:pPr>
            <w:r>
              <w:rPr>
                <w:rFonts w:hint="eastAsia" w:ascii="宋体" w:hAnsi="宋体" w:eastAsia="宋体" w:cs="Times New Roman"/>
                <w:bCs/>
                <w:color w:val="auto"/>
                <w:kern w:val="0"/>
                <w:sz w:val="24"/>
                <w:szCs w:val="24"/>
                <w:u w:val="none" w:color="000000"/>
                <w:lang w:val="en-US" w:eastAsia="zh-CN" w:bidi="ar-SA"/>
              </w:rPr>
              <w:t>详见响应文件</w:t>
            </w:r>
          </w:p>
        </w:tc>
        <w:tc>
          <w:tcPr>
            <w:tcW w:w="3201" w:type="dxa"/>
            <w:noWrap w:val="0"/>
            <w:vAlign w:val="center"/>
          </w:tcPr>
          <w:p>
            <w:pPr>
              <w:pStyle w:val="19"/>
              <w:widowControl/>
              <w:jc w:val="center"/>
              <w:rPr>
                <w:rFonts w:hint="eastAsia" w:ascii="宋体" w:hAnsi="宋体" w:eastAsia="宋体" w:cs="Times New Roman"/>
                <w:bCs/>
                <w:color w:val="auto"/>
                <w:kern w:val="0"/>
                <w:sz w:val="24"/>
                <w:szCs w:val="24"/>
                <w:u w:val="none" w:color="000000"/>
                <w:lang w:val="en-US" w:eastAsia="zh-CN" w:bidi="ar-SA"/>
              </w:rPr>
            </w:pPr>
            <w:r>
              <w:rPr>
                <w:rFonts w:hint="eastAsia" w:ascii="宋体" w:hAnsi="宋体" w:eastAsia="宋体" w:cs="Times New Roman"/>
                <w:bCs/>
                <w:color w:val="auto"/>
                <w:kern w:val="0"/>
                <w:sz w:val="24"/>
                <w:szCs w:val="24"/>
                <w:u w:val="none" w:color="000000"/>
                <w:lang w:val="en-US" w:eastAsia="zh-CN" w:bidi="ar-SA"/>
              </w:rPr>
              <w:t>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50" w:hRule="atLeast"/>
        </w:trPr>
        <w:tc>
          <w:tcPr>
            <w:tcW w:w="3208" w:type="dxa"/>
            <w:noWrap w:val="0"/>
            <w:vAlign w:val="center"/>
          </w:tcPr>
          <w:p>
            <w:pPr>
              <w:pStyle w:val="19"/>
              <w:widowControl/>
              <w:jc w:val="center"/>
              <w:rPr>
                <w:rFonts w:hint="eastAsia" w:ascii="宋体" w:hAnsi="宋体" w:eastAsia="宋体" w:cs="Times New Roman"/>
                <w:bCs/>
                <w:color w:val="auto"/>
                <w:kern w:val="0"/>
                <w:sz w:val="24"/>
                <w:szCs w:val="24"/>
                <w:u w:val="none" w:color="000000"/>
                <w:lang w:val="en-US" w:eastAsia="zh-CN" w:bidi="ar-SA"/>
              </w:rPr>
            </w:pPr>
            <w:r>
              <w:rPr>
                <w:rFonts w:hint="eastAsia" w:ascii="宋体" w:hAnsi="宋体" w:eastAsia="宋体" w:cs="Times New Roman"/>
                <w:bCs/>
                <w:color w:val="auto"/>
                <w:kern w:val="0"/>
                <w:sz w:val="24"/>
                <w:szCs w:val="24"/>
                <w:u w:val="none" w:color="000000"/>
                <w:lang w:val="en-US" w:eastAsia="zh-CN" w:bidi="ar-SA"/>
              </w:rPr>
              <w:t>总价（大写）：</w:t>
            </w:r>
          </w:p>
        </w:tc>
        <w:tc>
          <w:tcPr>
            <w:tcW w:w="6460" w:type="dxa"/>
            <w:gridSpan w:val="2"/>
            <w:noWrap w:val="0"/>
            <w:vAlign w:val="center"/>
          </w:tcPr>
          <w:p>
            <w:pPr>
              <w:pStyle w:val="19"/>
              <w:widowControl/>
              <w:jc w:val="both"/>
              <w:rPr>
                <w:rFonts w:hint="eastAsia" w:ascii="宋体" w:hAnsi="宋体" w:eastAsia="宋体" w:cs="Times New Roman"/>
                <w:bCs/>
                <w:color w:val="auto"/>
                <w:kern w:val="0"/>
                <w:sz w:val="24"/>
                <w:szCs w:val="24"/>
                <w:u w:val="none" w:color="000000"/>
                <w:lang w:val="en-US" w:eastAsia="zh-CN" w:bidi="ar-SA"/>
              </w:rPr>
            </w:pPr>
          </w:p>
        </w:tc>
      </w:tr>
    </w:tbl>
    <w:p>
      <w:pPr>
        <w:ind w:left="1"/>
        <w:jc w:val="right"/>
        <w:rPr>
          <w:rFonts w:hint="eastAsia" w:ascii="宋体" w:hAnsi="宋体"/>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firstLine="6000" w:firstLineChars="2500"/>
        <w:jc w:val="both"/>
        <w:textAlignment w:val="auto"/>
        <w:rPr>
          <w:rFonts w:hint="eastAsia" w:ascii="宋体" w:hAnsi="宋体"/>
          <w:bCs/>
          <w:color w:val="auto"/>
          <w:sz w:val="24"/>
          <w:highlight w:val="none"/>
        </w:rPr>
      </w:pPr>
      <w:r>
        <w:rPr>
          <w:rFonts w:hint="eastAsia" w:ascii="宋体" w:hAnsi="宋体"/>
          <w:bCs/>
          <w:color w:val="auto"/>
          <w:sz w:val="24"/>
          <w:highlight w:val="none"/>
          <w:lang w:val="zh-CN"/>
        </w:rPr>
        <w:t>供应商（电子签章）：</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color w:val="auto"/>
          <w:sz w:val="24"/>
          <w:highlight w:val="none"/>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bCs/>
          <w:color w:val="auto"/>
          <w:sz w:val="22"/>
          <w:szCs w:val="18"/>
          <w:highlight w:val="none"/>
        </w:rPr>
      </w:pPr>
      <w:r>
        <w:rPr>
          <w:rFonts w:hint="eastAsia" w:ascii="宋体" w:hAnsi="宋体"/>
          <w:bCs/>
          <w:color w:val="auto"/>
          <w:sz w:val="22"/>
          <w:szCs w:val="18"/>
          <w:highlight w:val="none"/>
        </w:rPr>
        <w:t>注：</w:t>
      </w:r>
    </w:p>
    <w:p>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jc w:val="both"/>
        <w:textAlignment w:val="auto"/>
        <w:rPr>
          <w:rFonts w:hint="eastAsia" w:ascii="宋体" w:hAnsi="宋体"/>
          <w:bCs/>
          <w:color w:val="auto"/>
          <w:sz w:val="22"/>
          <w:szCs w:val="18"/>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bCs/>
          <w:color w:val="auto"/>
          <w:sz w:val="22"/>
          <w:szCs w:val="18"/>
          <w:highlight w:val="none"/>
        </w:rPr>
        <w:t>因“苏采云”系统自带“磋商报价表”模块供应商须按“苏采云”系统中给定的模块格式，完整、正确地进行填报（具体位置为“基本目录”——“磋商报价表”），此处可不用再重复填报。供应商的“磋商报价表”及表中所填的报价均将以供应商在“苏采云”系统自带的模块格式中填报的为准。</w:t>
      </w:r>
    </w:p>
    <w:p>
      <w:pPr>
        <w:spacing w:line="360" w:lineRule="auto"/>
        <w:rPr>
          <w:rFonts w:hint="eastAsia" w:ascii="Arial" w:hAnsi="Arial" w:eastAsia="宋体" w:cs="Times New Roman"/>
          <w:b/>
          <w:color w:val="auto"/>
          <w:kern w:val="2"/>
          <w:sz w:val="28"/>
          <w:szCs w:val="28"/>
          <w:lang w:val="en-US" w:eastAsia="zh-CN" w:bidi="ar-SA"/>
        </w:rPr>
      </w:pPr>
      <w:r>
        <w:rPr>
          <w:rFonts w:hint="eastAsia" w:ascii="Arial" w:hAnsi="Arial" w:eastAsia="宋体" w:cs="Times New Roman"/>
          <w:b/>
          <w:color w:val="auto"/>
          <w:kern w:val="2"/>
          <w:sz w:val="28"/>
          <w:szCs w:val="28"/>
          <w:lang w:val="en-US" w:eastAsia="zh-CN" w:bidi="ar-SA"/>
        </w:rPr>
        <w:t>三、关于资格的声明函（给定格式）：</w:t>
      </w:r>
    </w:p>
    <w:p>
      <w:pPr>
        <w:spacing w:before="156" w:beforeLines="50" w:after="156" w:afterLines="5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关于资格的声明函</w:t>
      </w:r>
    </w:p>
    <w:p>
      <w:pPr>
        <w:pStyle w:val="18"/>
        <w:ind w:left="0" w:leftChars="0" w:firstLine="0" w:firstLineChars="0"/>
        <w:rPr>
          <w:rFonts w:hint="eastAsia"/>
          <w:color w:val="auto"/>
          <w:lang w:val="zh-CN"/>
        </w:rPr>
      </w:pPr>
    </w:p>
    <w:p>
      <w:pPr>
        <w:keepNext w:val="0"/>
        <w:keepLines w:val="0"/>
        <w:pageBreakBefore w:val="0"/>
        <w:widowControl w:val="0"/>
        <w:kinsoku/>
        <w:wordWrap w:val="0"/>
        <w:overflowPunct/>
        <w:topLinePunct w:val="0"/>
        <w:autoSpaceDE/>
        <w:autoSpaceDN/>
        <w:bidi w:val="0"/>
        <w:adjustRightInd/>
        <w:snapToGrid/>
        <w:spacing w:line="480" w:lineRule="auto"/>
        <w:textAlignment w:val="auto"/>
        <w:rPr>
          <w:rFonts w:ascii="宋体"/>
          <w:bCs/>
          <w:color w:val="auto"/>
          <w:sz w:val="24"/>
          <w:szCs w:val="24"/>
          <w:highlight w:val="none"/>
        </w:rPr>
      </w:pPr>
      <w:r>
        <w:rPr>
          <w:rFonts w:hint="eastAsia" w:ascii="宋体" w:hAnsi="宋体"/>
          <w:bCs/>
          <w:color w:val="auto"/>
          <w:sz w:val="24"/>
          <w:szCs w:val="24"/>
          <w:highlight w:val="none"/>
          <w:lang w:eastAsia="zh-CN"/>
        </w:rPr>
        <w:t>宜兴市人民法院</w:t>
      </w:r>
      <w:r>
        <w:rPr>
          <w:rFonts w:hint="eastAsia" w:ascii="宋体" w:hAnsi="宋体"/>
          <w:bCs/>
          <w:color w:val="auto"/>
          <w:sz w:val="24"/>
          <w:szCs w:val="24"/>
          <w:highlight w:val="none"/>
        </w:rPr>
        <w:t>：</w:t>
      </w: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textAlignment w:val="auto"/>
        <w:rPr>
          <w:rFonts w:ascii="宋体"/>
          <w:bCs/>
          <w:color w:val="auto"/>
          <w:sz w:val="24"/>
          <w:szCs w:val="24"/>
          <w:highlight w:val="none"/>
        </w:rPr>
      </w:pPr>
      <w:r>
        <w:rPr>
          <w:rFonts w:hint="eastAsia" w:ascii="宋体" w:hAnsi="宋体"/>
          <w:bCs/>
          <w:color w:val="auto"/>
          <w:sz w:val="24"/>
          <w:szCs w:val="24"/>
          <w:highlight w:val="none"/>
        </w:rPr>
        <w:t>我公司参加贵单位本项目（项目编号：</w:t>
      </w:r>
      <w:r>
        <w:rPr>
          <w:rFonts w:hint="eastAsia" w:ascii="宋体" w:hAnsi="宋体"/>
          <w:bCs/>
          <w:color w:val="auto"/>
          <w:sz w:val="24"/>
          <w:szCs w:val="24"/>
          <w:highlight w:val="none"/>
          <w:lang w:val="en-US" w:eastAsia="zh-CN"/>
        </w:rPr>
        <w:t>JSZC-320282-JSXY-C2025-0012</w:t>
      </w:r>
      <w:r>
        <w:rPr>
          <w:rFonts w:hint="eastAsia" w:ascii="宋体" w:hAnsi="宋体"/>
          <w:bCs/>
          <w:color w:val="auto"/>
          <w:sz w:val="24"/>
          <w:szCs w:val="24"/>
          <w:highlight w:val="none"/>
        </w:rPr>
        <w:t>）政府采购活动前三年内在经营活动中没有重大违法记录；同时，提交响应文件时不存在有效期限内的政府采购严重违法失信行为的处罚记录，未被列入失信名单或重大税收违法失信主体；且具备履行合同所必需的设备和专业技术能力。我公司（单位）愿针对本次项目进行报价，响应文件中所有关于报价资格的文件、证明、陈述均是真实的、准确的。若有违背，我公司（单位）同意监管部门做出的相关决定并承担由此而产生的一切后果</w:t>
      </w:r>
      <w:r>
        <w:rPr>
          <w:rFonts w:hint="eastAsia" w:ascii="宋体"/>
          <w:bCs/>
          <w:color w:val="auto"/>
          <w:sz w:val="24"/>
          <w:szCs w:val="24"/>
          <w:highlight w:val="none"/>
        </w:rPr>
        <w:t>。</w:t>
      </w:r>
    </w:p>
    <w:p>
      <w:pPr>
        <w:pStyle w:val="18"/>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rPr>
          <w:rFonts w:hint="eastAsia"/>
          <w:color w:val="auto"/>
          <w:lang w:val="zh-CN"/>
        </w:rPr>
      </w:pPr>
    </w:p>
    <w:p>
      <w:pPr>
        <w:pStyle w:val="18"/>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rPr>
          <w:rFonts w:hint="eastAsia"/>
          <w:color w:val="auto"/>
          <w:lang w:val="zh-CN"/>
        </w:rPr>
      </w:pPr>
    </w:p>
    <w:p>
      <w:pPr>
        <w:keepNext w:val="0"/>
        <w:keepLines w:val="0"/>
        <w:pageBreakBefore w:val="0"/>
        <w:widowControl w:val="0"/>
        <w:kinsoku/>
        <w:wordWrap w:val="0"/>
        <w:overflowPunct/>
        <w:topLinePunct w:val="0"/>
        <w:autoSpaceDE/>
        <w:autoSpaceDN/>
        <w:bidi w:val="0"/>
        <w:adjustRightInd/>
        <w:snapToGrid/>
        <w:spacing w:line="360" w:lineRule="auto"/>
        <w:ind w:left="0" w:firstLine="5280" w:firstLineChars="2200"/>
        <w:jc w:val="center"/>
        <w:textAlignment w:val="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供应商（电子签章）：</w:t>
      </w:r>
    </w:p>
    <w:p>
      <w:pPr>
        <w:pStyle w:val="18"/>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rPr>
          <w:rFonts w:hint="eastAsia" w:ascii="宋体" w:hAnsi="宋体"/>
          <w:bCs/>
          <w:color w:val="auto"/>
          <w:sz w:val="24"/>
          <w:highlight w:val="none"/>
          <w:lang w:val="zh-CN"/>
        </w:rPr>
      </w:pPr>
    </w:p>
    <w:p>
      <w:pPr>
        <w:pStyle w:val="18"/>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rPr>
          <w:rFonts w:hint="eastAsia" w:ascii="宋体" w:hAnsi="宋体"/>
          <w:bCs/>
          <w:color w:val="auto"/>
          <w:sz w:val="24"/>
          <w:highlight w:val="none"/>
          <w:lang w:val="zh-CN"/>
        </w:rPr>
      </w:pPr>
    </w:p>
    <w:p>
      <w:pPr>
        <w:pStyle w:val="18"/>
        <w:keepNext w:val="0"/>
        <w:keepLines w:val="0"/>
        <w:pageBreakBefore w:val="0"/>
        <w:widowControl w:val="0"/>
        <w:kinsoku/>
        <w:wordWrap w:val="0"/>
        <w:overflowPunct/>
        <w:topLinePunct w:val="0"/>
        <w:autoSpaceDE/>
        <w:autoSpaceDN/>
        <w:bidi w:val="0"/>
        <w:adjustRightInd/>
        <w:snapToGrid/>
        <w:ind w:left="0" w:leftChars="0" w:firstLine="440" w:firstLineChars="200"/>
        <w:textAlignment w:val="auto"/>
        <w:rPr>
          <w:rFonts w:hint="eastAsia" w:ascii="宋体" w:hAnsi="宋体"/>
          <w:bCs/>
          <w:color w:val="auto"/>
          <w:sz w:val="22"/>
          <w:szCs w:val="22"/>
          <w:highlight w:val="none"/>
          <w:lang w:val="zh-CN"/>
        </w:rPr>
      </w:pPr>
      <w:r>
        <w:rPr>
          <w:rFonts w:hint="eastAsia" w:ascii="宋体" w:hAnsi="宋体"/>
          <w:bCs/>
          <w:color w:val="auto"/>
          <w:sz w:val="22"/>
          <w:szCs w:val="22"/>
          <w:highlight w:val="none"/>
          <w:lang w:val="zh-CN"/>
        </w:rPr>
        <w:t>注：上述所称“重大违法记录”是指供应商因违法经营受到刑事处罚或者责令停产停业、吊销许可证或者执照、较大数额罚款等行政处罚。</w:t>
      </w:r>
    </w:p>
    <w:p>
      <w:pPr>
        <w:pStyle w:val="18"/>
        <w:ind w:left="0" w:leftChars="0" w:firstLine="0" w:firstLineChars="0"/>
        <w:rPr>
          <w:rFonts w:hint="eastAsia" w:ascii="宋体" w:hAnsi="宋体"/>
          <w:bCs/>
          <w:color w:val="auto"/>
          <w:sz w:val="24"/>
          <w:highlight w:val="none"/>
          <w:lang w:val="zh-CN"/>
        </w:rPr>
        <w:sectPr>
          <w:footerReference r:id="rId6" w:type="default"/>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pPr>
        <w:spacing w:line="360" w:lineRule="auto"/>
        <w:rPr>
          <w:rFonts w:hint="eastAsia" w:ascii="Arial" w:hAnsi="Arial" w:eastAsia="宋体" w:cs="Times New Roman"/>
          <w:b/>
          <w:color w:val="auto"/>
          <w:kern w:val="2"/>
          <w:sz w:val="28"/>
          <w:szCs w:val="28"/>
          <w:lang w:val="en-US" w:eastAsia="zh-CN" w:bidi="ar-SA"/>
        </w:rPr>
      </w:pPr>
      <w:r>
        <w:rPr>
          <w:rFonts w:hint="eastAsia" w:ascii="Arial" w:hAnsi="Arial" w:eastAsia="宋体" w:cs="Times New Roman"/>
          <w:b/>
          <w:color w:val="auto"/>
          <w:kern w:val="2"/>
          <w:sz w:val="28"/>
          <w:szCs w:val="28"/>
          <w:lang w:val="en-US" w:eastAsia="zh-CN" w:bidi="ar-SA"/>
        </w:rPr>
        <w:t>四、法定代表人授权委托书（给定格式）：</w:t>
      </w:r>
    </w:p>
    <w:p>
      <w:pPr>
        <w:spacing w:before="156" w:beforeLines="50" w:after="156" w:afterLines="50"/>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法定代表人授权委托书</w:t>
      </w:r>
    </w:p>
    <w:p>
      <w:pPr>
        <w:tabs>
          <w:tab w:val="left" w:pos="255"/>
        </w:tabs>
        <w:spacing w:line="360" w:lineRule="auto"/>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textAlignment w:val="auto"/>
        <w:rPr>
          <w:rFonts w:hint="eastAsia" w:ascii="宋体" w:hAnsi="宋体"/>
          <w:color w:val="auto"/>
          <w:sz w:val="24"/>
          <w:szCs w:val="21"/>
          <w:highlight w:val="none"/>
          <w:lang w:val="zh-CN"/>
        </w:rPr>
      </w:pPr>
      <w:r>
        <w:rPr>
          <w:rFonts w:hint="eastAsia" w:ascii="宋体" w:hAnsi="宋体"/>
          <w:bCs/>
          <w:color w:val="auto"/>
          <w:sz w:val="24"/>
          <w:szCs w:val="24"/>
          <w:highlight w:val="none"/>
          <w:lang w:eastAsia="zh-CN"/>
        </w:rPr>
        <w:t>宜兴市人民法院</w:t>
      </w:r>
      <w:r>
        <w:rPr>
          <w:rFonts w:hint="eastAsia" w:ascii="宋体" w:hAnsi="宋体"/>
          <w:bCs/>
          <w:color w:val="auto"/>
          <w:sz w:val="24"/>
          <w:szCs w:val="24"/>
          <w:highlight w:val="none"/>
        </w:rPr>
        <w:t>、</w:t>
      </w:r>
      <w:r>
        <w:rPr>
          <w:rFonts w:hint="eastAsia" w:ascii="宋体" w:hAnsi="宋体"/>
          <w:color w:val="auto"/>
          <w:sz w:val="24"/>
          <w:szCs w:val="21"/>
          <w:highlight w:val="none"/>
          <w:lang w:val="zh-CN"/>
        </w:rPr>
        <w:t>国正工程咨询（江苏）有限责任公司：</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系中华人民共和国合法企业。法定地址：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特授权</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代表我公司（单位）全权办理针对本项目（项目编号：</w:t>
      </w:r>
      <w:r>
        <w:rPr>
          <w:rFonts w:hint="eastAsia" w:ascii="宋体" w:hAnsi="宋体"/>
          <w:color w:val="auto"/>
          <w:sz w:val="24"/>
          <w:szCs w:val="21"/>
          <w:highlight w:val="none"/>
          <w:lang w:eastAsia="zh-CN"/>
        </w:rPr>
        <w:t>JSZC-320282-JSXY-C2025-0012</w:t>
      </w:r>
      <w:r>
        <w:rPr>
          <w:rFonts w:hint="eastAsia" w:ascii="宋体" w:hAnsi="宋体"/>
          <w:color w:val="auto"/>
          <w:sz w:val="24"/>
          <w:szCs w:val="21"/>
          <w:highlight w:val="none"/>
          <w:lang w:val="zh-CN"/>
        </w:rPr>
        <w:t>）的响应报价，以我方名义签署、确认、澄清、提交、撤回、修改相关文件和处理有关事宜，其法律后果由我方承担。</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被授权代表已知晓并接受委托事项。</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在撤销授权的书面通知送达你处以前，本授权书一直有效，被授权代表签署的所有文件和办理的事项（在委托期限内）不因授权的撤销而失效。</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委托期限：自本授权委托书签署之日起至响应有效期届满之日止。</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1"/>
          <w:highlight w:val="none"/>
          <w:lang w:val="zh-CN" w:eastAsia="zh-CN"/>
        </w:rPr>
      </w:pPr>
      <w:r>
        <w:rPr>
          <w:rFonts w:hint="eastAsia" w:ascii="宋体" w:hAnsi="宋体"/>
          <w:color w:val="auto"/>
          <w:sz w:val="24"/>
          <w:szCs w:val="21"/>
          <w:highlight w:val="none"/>
          <w:lang w:val="zh-CN"/>
        </w:rPr>
        <w:t>被授权代表无转委托权。</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left="420" w:leftChars="200" w:firstLine="480" w:firstLineChars="200"/>
        <w:textAlignment w:val="auto"/>
        <w:rPr>
          <w:rFonts w:hint="eastAsia" w:ascii="宋体" w:hAnsi="宋体"/>
          <w:color w:val="auto"/>
          <w:sz w:val="24"/>
          <w:szCs w:val="21"/>
          <w:highlight w:val="none"/>
          <w:lang w:val="zh-CN"/>
        </w:rPr>
      </w:pP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被授权代表情况：</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color w:val="auto"/>
          <w:sz w:val="24"/>
          <w:szCs w:val="21"/>
          <w:highlight w:val="none"/>
          <w:lang w:val="zh-CN"/>
        </w:rPr>
        <w:t>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en-US" w:eastAsia="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              </w:t>
      </w:r>
    </w:p>
    <w:p>
      <w:pPr>
        <w:pStyle w:val="18"/>
        <w:keepNext w:val="0"/>
        <w:keepLines w:val="0"/>
        <w:pageBreakBefore w:val="0"/>
        <w:widowControl w:val="0"/>
        <w:kinsoku/>
        <w:wordWrap w:val="0"/>
        <w:overflowPunct/>
        <w:topLinePunct w:val="0"/>
        <w:autoSpaceDE/>
        <w:autoSpaceDN/>
        <w:bidi w:val="0"/>
        <w:adjustRightInd/>
        <w:snapToGrid/>
        <w:textAlignment w:val="auto"/>
        <w:rPr>
          <w:rFonts w:hint="eastAsia" w:ascii="黑体" w:eastAsia="黑体"/>
          <w:bCs/>
          <w:color w:val="auto"/>
          <w:sz w:val="28"/>
          <w:szCs w:val="28"/>
          <w:highlight w:val="none"/>
        </w:rPr>
      </w:pPr>
    </w:p>
    <w:p>
      <w:pPr>
        <w:keepNext w:val="0"/>
        <w:keepLines w:val="0"/>
        <w:pageBreakBefore w:val="0"/>
        <w:widowControl w:val="0"/>
        <w:kinsoku/>
        <w:wordWrap w:val="0"/>
        <w:overflowPunct/>
        <w:topLinePunct w:val="0"/>
        <w:autoSpaceDE/>
        <w:autoSpaceDN/>
        <w:bidi w:val="0"/>
        <w:adjustRightInd/>
        <w:snapToGrid/>
        <w:spacing w:line="360" w:lineRule="auto"/>
        <w:ind w:left="0" w:firstLine="6240" w:firstLineChars="2600"/>
        <w:jc w:val="both"/>
        <w:textAlignment w:val="auto"/>
        <w:rPr>
          <w:rFonts w:hint="eastAsia" w:ascii="宋体" w:hAnsi="宋体"/>
          <w:bCs/>
          <w:color w:val="auto"/>
          <w:sz w:val="24"/>
          <w:highlight w:val="none"/>
          <w:lang w:val="zh-CN"/>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bCs/>
          <w:color w:val="auto"/>
          <w:sz w:val="24"/>
          <w:highlight w:val="none"/>
          <w:lang w:val="zh-CN"/>
        </w:rPr>
        <w:t>供应商（电子签章）：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宋体" w:cs="Times New Roman"/>
          <w:b/>
          <w:color w:val="auto"/>
          <w:kern w:val="2"/>
          <w:sz w:val="28"/>
          <w:szCs w:val="28"/>
          <w:lang w:val="en-US" w:eastAsia="zh-CN" w:bidi="ar-SA"/>
        </w:rPr>
      </w:pPr>
      <w:r>
        <w:rPr>
          <w:rFonts w:hint="eastAsia" w:ascii="Arial" w:hAnsi="Arial" w:eastAsia="宋体" w:cs="Times New Roman"/>
          <w:b/>
          <w:color w:val="auto"/>
          <w:kern w:val="2"/>
          <w:sz w:val="28"/>
          <w:szCs w:val="28"/>
          <w:lang w:val="en-US" w:eastAsia="zh-CN" w:bidi="ar-SA"/>
        </w:rPr>
        <w:t>五、中小企业声明函（给定格式）：</w:t>
      </w:r>
    </w:p>
    <w:p>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1、中小企业声明函（服务）</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中小企业声明函（服务）</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bCs/>
          <w:color w:val="auto"/>
          <w:kern w:val="2"/>
          <w:sz w:val="24"/>
          <w:szCs w:val="24"/>
          <w:highlight w:val="none"/>
          <w:lang w:val="zh-CN" w:eastAsia="zh-CN" w:bidi="ar-SA"/>
        </w:rPr>
        <w:t>本公司（联合体）郑重声明，根据《政府采购促进中小企业发展管理办法》（财库﹝2020﹞46号）的规定，本公司（联合体）参加</w:t>
      </w:r>
      <w:r>
        <w:rPr>
          <w:rFonts w:hint="eastAsia" w:ascii="宋体" w:hAnsi="宋体" w:cs="宋体"/>
          <w:bCs/>
          <w:color w:val="auto"/>
          <w:kern w:val="2"/>
          <w:sz w:val="24"/>
          <w:szCs w:val="24"/>
          <w:highlight w:val="none"/>
          <w:u w:val="single"/>
          <w:lang w:val="en-US" w:eastAsia="zh-CN" w:bidi="ar-SA"/>
        </w:rPr>
        <w:t xml:space="preserve"> </w:t>
      </w:r>
      <w:r>
        <w:rPr>
          <w:rFonts w:hint="eastAsia" w:ascii="宋体" w:hAnsi="宋体" w:cs="宋体"/>
          <w:bCs/>
          <w:color w:val="auto"/>
          <w:kern w:val="2"/>
          <w:sz w:val="24"/>
          <w:szCs w:val="24"/>
          <w:highlight w:val="none"/>
          <w:u w:val="single"/>
          <w:lang w:val="zh-CN" w:eastAsia="zh-CN" w:bidi="ar-SA"/>
        </w:rPr>
        <w:t>宜兴法院2026年度食堂管理服务</w:t>
      </w:r>
      <w:r>
        <w:rPr>
          <w:rFonts w:hint="eastAsia" w:ascii="宋体" w:hAnsi="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zh-CN" w:eastAsia="zh-CN" w:bidi="ar-SA"/>
        </w:rPr>
        <w:t>采购活动，服务全部由符合政策要求的中小企业承接。相关企业（含联合体中的中小企业、签订分包意向协议的中小企业）的具体情况如下：</w:t>
      </w:r>
    </w:p>
    <w:tbl>
      <w:tblPr>
        <w:tblStyle w:val="7"/>
        <w:tblW w:w="96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1"/>
        <w:gridCol w:w="1568"/>
        <w:gridCol w:w="1036"/>
        <w:gridCol w:w="1691"/>
        <w:gridCol w:w="914"/>
        <w:gridCol w:w="1105"/>
        <w:gridCol w:w="1121"/>
        <w:gridCol w:w="13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2" w:hRule="atLeast"/>
          <w:jc w:val="center"/>
        </w:trPr>
        <w:tc>
          <w:tcPr>
            <w:tcW w:w="801"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568"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标的名称</w:t>
            </w:r>
          </w:p>
        </w:tc>
        <w:tc>
          <w:tcPr>
            <w:tcW w:w="1036"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所属</w:t>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行业</w:t>
            </w:r>
          </w:p>
        </w:tc>
        <w:tc>
          <w:tcPr>
            <w:tcW w:w="1691"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承接商</w:t>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（企业名称）</w:t>
            </w:r>
          </w:p>
        </w:tc>
        <w:tc>
          <w:tcPr>
            <w:tcW w:w="914"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从业</w:t>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人员（人）</w:t>
            </w:r>
          </w:p>
        </w:tc>
        <w:tc>
          <w:tcPr>
            <w:tcW w:w="1105"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营业</w:t>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收入</w:t>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（万元）</w:t>
            </w:r>
          </w:p>
        </w:tc>
        <w:tc>
          <w:tcPr>
            <w:tcW w:w="1121"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资产</w:t>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总额</w:t>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（万元）</w:t>
            </w:r>
          </w:p>
        </w:tc>
        <w:tc>
          <w:tcPr>
            <w:tcW w:w="1383" w:type="dxa"/>
            <w:noWrap w:val="0"/>
            <w:vAlign w:val="center"/>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企业类型（中型企业、小型企业、微型企业）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5" w:hRule="atLeast"/>
          <w:jc w:val="center"/>
        </w:trPr>
        <w:tc>
          <w:tcPr>
            <w:tcW w:w="80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w:t>
            </w:r>
          </w:p>
        </w:tc>
        <w:tc>
          <w:tcPr>
            <w:tcW w:w="1568"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lang w:eastAsia="zh-CN"/>
              </w:rPr>
            </w:pPr>
            <w:r>
              <w:rPr>
                <w:rFonts w:hint="eastAsia" w:ascii="宋体" w:hAnsi="宋体" w:cs="宋体"/>
                <w:color w:val="auto"/>
                <w:sz w:val="24"/>
                <w:szCs w:val="24"/>
                <w:lang w:eastAsia="zh-CN"/>
              </w:rPr>
              <w:t>宜兴法院2026年度食堂管理服务</w:t>
            </w:r>
          </w:p>
        </w:tc>
        <w:tc>
          <w:tcPr>
            <w:tcW w:w="1036"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rPr>
            </w:pPr>
            <w:r>
              <w:rPr>
                <w:rFonts w:hint="eastAsia" w:ascii="宋体" w:hAnsi="宋体" w:eastAsia="宋体" w:cs="宋体"/>
                <w:color w:val="auto"/>
                <w:sz w:val="24"/>
                <w:szCs w:val="24"/>
              </w:rPr>
              <w:t>餐饮服务业</w:t>
            </w:r>
          </w:p>
        </w:tc>
        <w:tc>
          <w:tcPr>
            <w:tcW w:w="169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rPr>
            </w:pPr>
          </w:p>
        </w:tc>
        <w:tc>
          <w:tcPr>
            <w:tcW w:w="914"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rPr>
            </w:pPr>
          </w:p>
        </w:tc>
        <w:tc>
          <w:tcPr>
            <w:tcW w:w="1105"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rPr>
            </w:pPr>
          </w:p>
        </w:tc>
        <w:tc>
          <w:tcPr>
            <w:tcW w:w="1121"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rPr>
            </w:pPr>
          </w:p>
        </w:tc>
        <w:tc>
          <w:tcPr>
            <w:tcW w:w="1383" w:type="dxa"/>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rPr>
            </w:pPr>
          </w:p>
        </w:tc>
      </w:tr>
    </w:tbl>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bCs/>
          <w:color w:val="auto"/>
          <w:kern w:val="2"/>
          <w:sz w:val="24"/>
          <w:szCs w:val="24"/>
          <w:highlight w:val="none"/>
          <w:lang w:val="zh-CN" w:eastAsia="zh-CN" w:bidi="ar-SA"/>
        </w:rPr>
        <w:t>以上企业，不属于大企业的分支机构，不存在控股股东为大企业的情形，也不存在与大企业的负责人为同一人的情形。</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kern w:val="2"/>
          <w:sz w:val="24"/>
          <w:szCs w:val="24"/>
          <w:highlight w:val="none"/>
          <w:lang w:val="zh-CN" w:eastAsia="zh-CN" w:bidi="ar-SA"/>
        </w:rPr>
      </w:pPr>
      <w:r>
        <w:rPr>
          <w:rFonts w:hint="eastAsia" w:ascii="宋体" w:hAnsi="宋体" w:eastAsia="宋体" w:cs="宋体"/>
          <w:bCs/>
          <w:color w:val="auto"/>
          <w:kern w:val="2"/>
          <w:sz w:val="24"/>
          <w:szCs w:val="24"/>
          <w:highlight w:val="none"/>
          <w:lang w:val="zh-CN" w:eastAsia="zh-CN" w:bidi="ar-SA"/>
        </w:rPr>
        <w:t>本企业对上述声明内容的真实性负责。如有虚假，将依法承担相应责任。</w:t>
      </w:r>
    </w:p>
    <w:p>
      <w:pPr>
        <w:keepNext w:val="0"/>
        <w:keepLines w:val="0"/>
        <w:pageBreakBefore w:val="0"/>
        <w:widowControl w:val="0"/>
        <w:kinsoku/>
        <w:wordWrap w:val="0"/>
        <w:overflowPunct/>
        <w:topLinePunct w:val="0"/>
        <w:autoSpaceDE/>
        <w:autoSpaceDN/>
        <w:bidi w:val="0"/>
        <w:adjustRightInd/>
        <w:snapToGrid/>
        <w:spacing w:line="400" w:lineRule="exact"/>
        <w:ind w:left="0" w:firstLine="6240" w:firstLineChars="2600"/>
        <w:jc w:val="both"/>
        <w:textAlignment w:val="auto"/>
        <w:rPr>
          <w:rFonts w:hint="eastAsia" w:ascii="宋体" w:hAnsi="宋体"/>
          <w:bCs/>
          <w:color w:val="auto"/>
          <w:sz w:val="24"/>
          <w:highlight w:val="none"/>
          <w:lang w:val="zh-CN"/>
        </w:rPr>
      </w:pPr>
    </w:p>
    <w:p>
      <w:pPr>
        <w:keepNext w:val="0"/>
        <w:keepLines w:val="0"/>
        <w:pageBreakBefore w:val="0"/>
        <w:widowControl w:val="0"/>
        <w:kinsoku/>
        <w:wordWrap w:val="0"/>
        <w:overflowPunct/>
        <w:topLinePunct w:val="0"/>
        <w:autoSpaceDE/>
        <w:autoSpaceDN/>
        <w:bidi w:val="0"/>
        <w:adjustRightInd/>
        <w:snapToGrid/>
        <w:spacing w:line="400" w:lineRule="exact"/>
        <w:ind w:left="0" w:firstLine="6240" w:firstLineChars="2600"/>
        <w:jc w:val="both"/>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供应商（电子签章）：</w:t>
      </w:r>
    </w:p>
    <w:p>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Cs/>
          <w:color w:val="auto"/>
          <w:kern w:val="2"/>
          <w:sz w:val="20"/>
          <w:szCs w:val="20"/>
          <w:highlight w:val="none"/>
          <w:lang w:val="zh-CN" w:eastAsia="zh-CN" w:bidi="ar-SA"/>
        </w:rPr>
      </w:pP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注：</w:t>
      </w:r>
    </w:p>
    <w:p>
      <w:pPr>
        <w:keepNext w:val="0"/>
        <w:keepLines w:val="0"/>
        <w:pageBreakBefore w:val="0"/>
        <w:widowControl w:val="0"/>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（1）本项目所属行业为</w:t>
      </w:r>
      <w:r>
        <w:rPr>
          <w:rFonts w:hint="eastAsia" w:ascii="宋体" w:hAnsi="宋体" w:eastAsia="宋体" w:cs="宋体"/>
          <w:b/>
          <w:bCs w:val="0"/>
          <w:color w:val="auto"/>
          <w:kern w:val="2"/>
          <w:sz w:val="22"/>
          <w:szCs w:val="22"/>
          <w:highlight w:val="none"/>
          <w:lang w:val="zh-CN" w:eastAsia="zh-CN" w:bidi="ar-SA"/>
        </w:rPr>
        <w:t>餐饮服务业</w:t>
      </w:r>
      <w:r>
        <w:rPr>
          <w:rFonts w:hint="eastAsia" w:ascii="宋体" w:hAnsi="宋体" w:eastAsia="宋体" w:cs="宋体"/>
          <w:bCs/>
          <w:color w:val="auto"/>
          <w:kern w:val="2"/>
          <w:sz w:val="22"/>
          <w:szCs w:val="22"/>
          <w:highlight w:val="none"/>
          <w:lang w:val="zh-CN" w:eastAsia="zh-CN" w:bidi="ar-SA"/>
        </w:rPr>
        <w:t>，供应商应根据实际情况完整准确填写上表相关内容，其中“</w:t>
      </w:r>
      <w:r>
        <w:rPr>
          <w:rFonts w:hint="eastAsia" w:ascii="宋体" w:hAnsi="宋体" w:eastAsia="宋体" w:cs="宋体"/>
          <w:b/>
          <w:bCs w:val="0"/>
          <w:color w:val="auto"/>
          <w:kern w:val="2"/>
          <w:sz w:val="22"/>
          <w:szCs w:val="22"/>
          <w:highlight w:val="none"/>
          <w:lang w:val="zh-CN" w:eastAsia="zh-CN" w:bidi="ar-SA"/>
        </w:rPr>
        <w:t>企业类型</w:t>
      </w:r>
      <w:r>
        <w:rPr>
          <w:rFonts w:hint="eastAsia" w:ascii="宋体" w:hAnsi="宋体" w:eastAsia="宋体" w:cs="宋体"/>
          <w:bCs/>
          <w:color w:val="auto"/>
          <w:kern w:val="2"/>
          <w:sz w:val="22"/>
          <w:szCs w:val="22"/>
          <w:highlight w:val="none"/>
          <w:lang w:val="zh-CN" w:eastAsia="zh-CN" w:bidi="ar-SA"/>
        </w:rPr>
        <w:t>”一栏，根据自身实际情况，从中型企业、 小型企业、微型企业中选择其一进行填报，具体要求详见“第二章 供应商须知”中“3.6 政府采购支持中小企业发展”。</w:t>
      </w:r>
    </w:p>
    <w:p>
      <w:pPr>
        <w:keepNext w:val="0"/>
        <w:keepLines w:val="0"/>
        <w:pageBreakBefore w:val="0"/>
        <w:widowControl w:val="0"/>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（2）从业人员、营业收入、资产总额填报上一年度数据，无上一年度数据的新成立企业可不填报。</w:t>
      </w:r>
    </w:p>
    <w:p>
      <w:pPr>
        <w:keepNext w:val="0"/>
        <w:keepLines w:val="0"/>
        <w:pageBreakBefore w:val="0"/>
        <w:widowControl w:val="0"/>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olor w:val="auto"/>
          <w:kern w:val="2"/>
          <w:sz w:val="22"/>
          <w:szCs w:val="22"/>
          <w:highlight w:val="none"/>
          <w:lang w:val="zh-CN" w:eastAsia="zh-CN" w:bidi="ar-SA"/>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eastAsia="宋体" w:cs="宋体"/>
          <w:bCs/>
          <w:color w:val="auto"/>
          <w:kern w:val="2"/>
          <w:sz w:val="22"/>
          <w:szCs w:val="22"/>
          <w:highlight w:val="none"/>
          <w:lang w:val="zh-CN" w:eastAsia="zh-CN" w:bidi="ar-SA"/>
        </w:rPr>
        <w:t>（3）成交供应商的《中小企业声明函》将随成交公告进行公示。供应商按照本办法规定提供声明函内容不实的，属于提供虚假材料谋取中标、成交，依照《中华人民共和国政府采购法》等国家有关规定追究相应责任。</w:t>
      </w:r>
    </w:p>
    <w:p>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2、残疾人福利性单位声明函（格式）：</w:t>
      </w:r>
    </w:p>
    <w:p>
      <w:pPr>
        <w:spacing w:line="360" w:lineRule="auto"/>
        <w:rPr>
          <w:rFonts w:hint="eastAsia" w:ascii="宋体" w:hAnsi="宋体" w:eastAsia="宋体" w:cs="宋体"/>
          <w:b/>
          <w:bCs/>
          <w:color w:val="auto"/>
          <w:sz w:val="28"/>
          <w:highlight w:val="none"/>
        </w:rPr>
      </w:pPr>
    </w:p>
    <w:p>
      <w:pPr>
        <w:jc w:val="center"/>
        <w:rPr>
          <w:rFonts w:hint="eastAsia" w:ascii="宋体" w:hAnsi="宋体" w:eastAsia="宋体" w:cs="宋体"/>
          <w:b/>
          <w:bCs/>
          <w:color w:val="auto"/>
          <w:sz w:val="28"/>
          <w:szCs w:val="28"/>
          <w:highlight w:val="none"/>
        </w:rPr>
      </w:pPr>
      <w:bookmarkStart w:id="200" w:name="OLE_LINK64"/>
      <w:bookmarkStart w:id="201" w:name="OLE_LINK33"/>
      <w:r>
        <w:rPr>
          <w:rFonts w:hint="eastAsia" w:ascii="宋体" w:hAnsi="宋体" w:eastAsia="宋体" w:cs="宋体"/>
          <w:b/>
          <w:bCs/>
          <w:color w:val="auto"/>
          <w:sz w:val="28"/>
          <w:szCs w:val="28"/>
          <w:highlight w:val="none"/>
        </w:rPr>
        <w:t>残疾人福利性单位</w:t>
      </w:r>
      <w:bookmarkEnd w:id="200"/>
      <w:r>
        <w:rPr>
          <w:rFonts w:hint="eastAsia" w:ascii="宋体" w:hAnsi="宋体" w:eastAsia="宋体" w:cs="宋体"/>
          <w:b/>
          <w:bCs/>
          <w:color w:val="auto"/>
          <w:sz w:val="28"/>
          <w:szCs w:val="28"/>
          <w:highlight w:val="none"/>
        </w:rPr>
        <w:t>声明函</w:t>
      </w:r>
      <w:bookmarkEnd w:id="201"/>
    </w:p>
    <w:p>
      <w:pPr>
        <w:spacing w:line="588" w:lineRule="exact"/>
        <w:rPr>
          <w:rFonts w:ascii="仿宋_GB2312" w:eastAsia="仿宋_GB2312"/>
          <w:b/>
          <w:color w:val="auto"/>
          <w:spacing w:val="6"/>
          <w:sz w:val="30"/>
          <w:szCs w:val="30"/>
          <w:highlight w:val="none"/>
        </w:rPr>
      </w:pPr>
    </w:p>
    <w:p>
      <w:pPr>
        <w:keepNext w:val="0"/>
        <w:keepLines w:val="0"/>
        <w:pageBreakBefore w:val="0"/>
        <w:kinsoku/>
        <w:wordWrap w:val="0"/>
        <w:overflowPunct/>
        <w:topLinePunct w:val="0"/>
        <w:bidi w:val="0"/>
        <w:adjustRightInd/>
        <w:snapToGrid/>
        <w:spacing w:line="58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w:t>
      </w:r>
      <w:r>
        <w:rPr>
          <w:rFonts w:hint="eastAsia" w:ascii="宋体" w:hAnsi="宋体"/>
          <w:bCs/>
          <w:color w:val="auto"/>
          <w:sz w:val="24"/>
          <w:szCs w:val="24"/>
        </w:rPr>
        <w:t>采购活动</w:t>
      </w:r>
      <w:r>
        <w:rPr>
          <w:rFonts w:ascii="宋体" w:hAnsi="宋体"/>
          <w:bCs/>
          <w:color w:val="auto"/>
          <w:sz w:val="24"/>
          <w:szCs w:val="24"/>
        </w:rPr>
        <w:t>由本单位提供服务</w:t>
      </w:r>
      <w:r>
        <w:rPr>
          <w:rFonts w:hint="eastAsia" w:ascii="宋体" w:hAnsi="宋体"/>
          <w:bCs/>
          <w:color w:val="auto"/>
          <w:sz w:val="24"/>
          <w:szCs w:val="24"/>
          <w:highlight w:val="none"/>
        </w:rPr>
        <w:t>。</w:t>
      </w:r>
    </w:p>
    <w:p>
      <w:pPr>
        <w:keepNext w:val="0"/>
        <w:keepLines w:val="0"/>
        <w:pageBreakBefore w:val="0"/>
        <w:kinsoku/>
        <w:wordWrap w:val="0"/>
        <w:overflowPunct/>
        <w:topLinePunct w:val="0"/>
        <w:bidi w:val="0"/>
        <w:adjustRightInd/>
        <w:snapToGrid/>
        <w:spacing w:line="580" w:lineRule="exact"/>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rPr>
        <w:t>本单位对上述声明的真实性负责。如有虚假，将依法承担相应责任</w:t>
      </w:r>
      <w:r>
        <w:rPr>
          <w:rFonts w:hint="eastAsia" w:ascii="宋体" w:hAnsi="宋体"/>
          <w:bCs/>
          <w:color w:val="auto"/>
          <w:sz w:val="24"/>
          <w:szCs w:val="24"/>
          <w:highlight w:val="none"/>
        </w:rPr>
        <w:t>。</w:t>
      </w:r>
    </w:p>
    <w:p>
      <w:pPr>
        <w:keepNext w:val="0"/>
        <w:keepLines w:val="0"/>
        <w:pageBreakBefore w:val="0"/>
        <w:kinsoku/>
        <w:wordWrap w:val="0"/>
        <w:overflowPunct/>
        <w:topLinePunct w:val="0"/>
        <w:bidi w:val="0"/>
        <w:adjustRightInd/>
        <w:snapToGrid/>
        <w:spacing w:line="580" w:lineRule="exact"/>
        <w:ind w:firstLine="480" w:firstLineChars="200"/>
        <w:textAlignment w:val="auto"/>
        <w:rPr>
          <w:rFonts w:hint="eastAsia" w:ascii="宋体" w:hAnsi="宋体"/>
          <w:bCs/>
          <w:color w:val="auto"/>
          <w:sz w:val="24"/>
          <w:szCs w:val="24"/>
          <w:highlight w:val="none"/>
        </w:rPr>
      </w:pPr>
    </w:p>
    <w:p>
      <w:pPr>
        <w:pStyle w:val="18"/>
        <w:keepNext w:val="0"/>
        <w:keepLines w:val="0"/>
        <w:pageBreakBefore w:val="0"/>
        <w:kinsoku/>
        <w:wordWrap w:val="0"/>
        <w:overflowPunct/>
        <w:topLinePunct w:val="0"/>
        <w:bidi w:val="0"/>
        <w:adjustRightInd/>
        <w:snapToGrid/>
        <w:ind w:left="0" w:leftChars="0" w:firstLine="0" w:firstLineChars="0"/>
        <w:textAlignment w:val="auto"/>
        <w:rPr>
          <w:rFonts w:hint="eastAsia"/>
          <w:color w:val="auto"/>
          <w:lang w:val="zh-CN"/>
        </w:rPr>
      </w:pPr>
      <w:r>
        <w:rPr>
          <w:rFonts w:hint="eastAsia" w:ascii="宋体" w:hAnsi="宋体"/>
          <w:bCs/>
          <w:color w:val="auto"/>
          <w:sz w:val="24"/>
          <w:highlight w:val="none"/>
        </w:rPr>
        <w:t xml:space="preserve">                            </w:t>
      </w:r>
    </w:p>
    <w:p>
      <w:pPr>
        <w:keepNext w:val="0"/>
        <w:keepLines w:val="0"/>
        <w:pageBreakBefore w:val="0"/>
        <w:widowControl w:val="0"/>
        <w:kinsoku/>
        <w:wordWrap w:val="0"/>
        <w:overflowPunct/>
        <w:topLinePunct w:val="0"/>
        <w:autoSpaceDE/>
        <w:autoSpaceDN/>
        <w:bidi w:val="0"/>
        <w:adjustRightInd/>
        <w:snapToGrid/>
        <w:spacing w:line="360" w:lineRule="auto"/>
        <w:ind w:left="0" w:firstLine="5280" w:firstLineChars="2200"/>
        <w:jc w:val="center"/>
        <w:textAlignment w:val="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供应商（电子签章）：</w:t>
      </w:r>
    </w:p>
    <w:p>
      <w:pPr>
        <w:pStyle w:val="14"/>
        <w:keepNext w:val="0"/>
        <w:keepLines w:val="0"/>
        <w:pageBreakBefore w:val="0"/>
        <w:kinsoku/>
        <w:wordWrap w:val="0"/>
        <w:overflowPunct/>
        <w:topLinePunct w:val="0"/>
        <w:bidi w:val="0"/>
        <w:adjustRightInd/>
        <w:snapToGrid/>
        <w:textAlignment w:val="auto"/>
        <w:rPr>
          <w:rFonts w:hint="eastAsia" w:ascii="宋体" w:hAnsi="宋体"/>
          <w:bCs/>
          <w:color w:val="auto"/>
          <w:sz w:val="24"/>
          <w:highlight w:val="none"/>
          <w:lang w:val="zh-CN"/>
        </w:rPr>
      </w:pP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Cs/>
          <w:color w:val="auto"/>
          <w:kern w:val="2"/>
          <w:sz w:val="22"/>
          <w:szCs w:val="22"/>
          <w:highlight w:val="none"/>
          <w:lang w:val="zh-CN" w:eastAsia="zh-CN" w:bidi="ar-SA"/>
        </w:rPr>
      </w:pP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Cs/>
          <w:color w:val="auto"/>
          <w:kern w:val="2"/>
          <w:sz w:val="22"/>
          <w:szCs w:val="22"/>
          <w:highlight w:val="none"/>
          <w:lang w:val="zh-CN" w:eastAsia="zh-CN" w:bidi="ar-SA"/>
        </w:rPr>
      </w:pPr>
      <w:r>
        <w:rPr>
          <w:rFonts w:hint="eastAsia" w:ascii="宋体" w:hAnsi="宋体" w:eastAsia="宋体" w:cs="宋体"/>
          <w:bCs/>
          <w:color w:val="auto"/>
          <w:kern w:val="2"/>
          <w:sz w:val="22"/>
          <w:szCs w:val="22"/>
          <w:highlight w:val="none"/>
          <w:lang w:val="zh-CN" w:eastAsia="zh-CN" w:bidi="ar-SA"/>
        </w:rPr>
        <w:t>注：</w:t>
      </w:r>
    </w:p>
    <w:p>
      <w:pPr>
        <w:keepNext w:val="0"/>
        <w:keepLines w:val="0"/>
        <w:pageBreakBefore w:val="0"/>
        <w:widowControl w:val="0"/>
        <w:kinsoku/>
        <w:wordWrap w:val="0"/>
        <w:overflowPunct/>
        <w:topLinePunct w:val="0"/>
        <w:autoSpaceDE/>
        <w:autoSpaceDN/>
        <w:bidi w:val="0"/>
        <w:adjustRightInd/>
        <w:snapToGrid/>
        <w:spacing w:line="360" w:lineRule="auto"/>
        <w:ind w:firstLine="440" w:firstLineChars="200"/>
        <w:textAlignment w:val="auto"/>
        <w:rPr>
          <w:rFonts w:hint="eastAsia" w:ascii="宋体" w:hAnsi="宋体" w:eastAsia="宋体" w:cs="宋体"/>
          <w:bCs/>
          <w:color w:val="auto"/>
          <w:kern w:val="2"/>
          <w:sz w:val="22"/>
          <w:szCs w:val="22"/>
          <w:highlight w:val="none"/>
          <w:lang w:val="zh-CN" w:eastAsia="zh-CN" w:bidi="ar-SA"/>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eastAsia="宋体" w:cs="宋体"/>
          <w:bCs/>
          <w:color w:val="auto"/>
          <w:kern w:val="2"/>
          <w:sz w:val="22"/>
          <w:szCs w:val="22"/>
          <w:highlight w:val="none"/>
          <w:lang w:val="zh-CN" w:eastAsia="zh-CN" w:bidi="ar-SA"/>
        </w:rPr>
        <w:t>成交供应商的《残疾人福利性单位声明函》将随成交公告进行公示。供应商按照本办法规定提供声明函内容不实的，属于提供虚假材料谋取中标、成交，依照《中华人民共和国政府采购法》等国家有关规定追究相应责任。</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宋体" w:cs="Times New Roman"/>
          <w:b/>
          <w:color w:val="auto"/>
          <w:kern w:val="2"/>
          <w:sz w:val="28"/>
          <w:szCs w:val="28"/>
          <w:lang w:val="en-US" w:eastAsia="zh-CN" w:bidi="ar-SA"/>
        </w:rPr>
      </w:pPr>
      <w:r>
        <w:rPr>
          <w:rFonts w:hint="eastAsia" w:ascii="Arial" w:hAnsi="Arial" w:eastAsia="宋体" w:cs="Times New Roman"/>
          <w:b/>
          <w:color w:val="auto"/>
          <w:kern w:val="2"/>
          <w:sz w:val="28"/>
          <w:szCs w:val="28"/>
          <w:lang w:val="en-US" w:eastAsia="zh-CN" w:bidi="ar-SA"/>
        </w:rPr>
        <w:t>六、联合体协议书（给定格式）：</w:t>
      </w:r>
    </w:p>
    <w:p>
      <w:pPr>
        <w:spacing w:before="156" w:beforeLines="50" w:after="156" w:afterLines="50"/>
        <w:jc w:val="center"/>
        <w:rPr>
          <w:rFonts w:hint="eastAsia" w:ascii="黑体" w:eastAsia="黑体"/>
          <w:bCs/>
          <w:color w:val="auto"/>
          <w:sz w:val="28"/>
          <w:szCs w:val="28"/>
          <w:highlight w:val="none"/>
          <w:lang w:val="zh-CN"/>
        </w:rPr>
      </w:pPr>
      <w:r>
        <w:rPr>
          <w:rFonts w:hint="eastAsia" w:ascii="宋体" w:hAnsi="宋体" w:eastAsia="宋体" w:cs="宋体"/>
          <w:b/>
          <w:bCs/>
          <w:color w:val="auto"/>
          <w:sz w:val="28"/>
          <w:szCs w:val="28"/>
        </w:rPr>
        <w:t>联合体协议书</w:t>
      </w:r>
    </w:p>
    <w:p>
      <w:pPr>
        <w:tabs>
          <w:tab w:val="left" w:pos="255"/>
        </w:tabs>
        <w:spacing w:line="360" w:lineRule="auto"/>
        <w:jc w:val="left"/>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lang w:val="zh-CN"/>
        </w:rPr>
      </w:pPr>
      <w:bookmarkStart w:id="202" w:name="_Hlk144983351"/>
      <w:r>
        <w:rPr>
          <w:rFonts w:hint="eastAsia" w:ascii="宋体" w:hAnsi="宋体"/>
          <w:color w:val="auto"/>
          <w:sz w:val="24"/>
          <w:szCs w:val="21"/>
          <w:highlight w:val="none"/>
          <w:u w:val="single"/>
          <w:lang w:val="zh-CN"/>
        </w:rPr>
        <w:t xml:space="preserve">   （所有成员单位名称）    </w:t>
      </w:r>
      <w:r>
        <w:rPr>
          <w:rFonts w:hint="eastAsia" w:ascii="宋体" w:hAnsi="宋体"/>
          <w:color w:val="auto"/>
          <w:sz w:val="24"/>
          <w:szCs w:val="21"/>
          <w:highlight w:val="none"/>
          <w:lang w:val="zh-CN"/>
        </w:rPr>
        <w:t>自愿组成联合体，共同参加本项目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JSZC-320282-JSXY-C2025-0012</w:t>
      </w:r>
      <w:r>
        <w:rPr>
          <w:rFonts w:hint="eastAsia" w:ascii="宋体" w:hAnsi="宋体"/>
          <w:bCs/>
          <w:color w:val="auto"/>
          <w:sz w:val="24"/>
          <w:szCs w:val="24"/>
          <w:highlight w:val="none"/>
        </w:rPr>
        <w:t>）</w:t>
      </w:r>
      <w:r>
        <w:rPr>
          <w:rFonts w:hint="eastAsia" w:ascii="宋体" w:hAnsi="宋体"/>
          <w:color w:val="auto"/>
          <w:sz w:val="24"/>
          <w:szCs w:val="21"/>
          <w:highlight w:val="none"/>
          <w:lang w:val="zh-CN"/>
        </w:rPr>
        <w:t>的报价。现就联合体报价事宜订立如下协议。</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1、</w:t>
      </w:r>
      <w:r>
        <w:rPr>
          <w:rFonts w:hint="eastAsia" w:ascii="宋体" w:hAnsi="宋体"/>
          <w:color w:val="auto"/>
          <w:sz w:val="24"/>
          <w:szCs w:val="21"/>
          <w:highlight w:val="none"/>
          <w:u w:val="single"/>
          <w:lang w:val="zh-CN"/>
        </w:rPr>
        <w:t xml:space="preserve">   （联合体主体单位名称）   </w:t>
      </w:r>
      <w:r>
        <w:rPr>
          <w:rFonts w:hint="eastAsia" w:ascii="宋体" w:hAnsi="宋体"/>
          <w:color w:val="auto"/>
          <w:sz w:val="24"/>
          <w:szCs w:val="21"/>
          <w:highlight w:val="none"/>
          <w:lang w:val="zh-CN"/>
        </w:rPr>
        <w:t>为本次报价的主体单位，联合体以主体单位的名义参加报价。</w:t>
      </w:r>
    </w:p>
    <w:bookmarkEnd w:id="202"/>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lang w:val="zh-CN"/>
        </w:rPr>
      </w:pPr>
      <w:bookmarkStart w:id="203" w:name="_Hlk144982230"/>
      <w:r>
        <w:rPr>
          <w:rFonts w:hint="eastAsia" w:ascii="宋体" w:hAnsi="宋体"/>
          <w:color w:val="auto"/>
          <w:sz w:val="24"/>
          <w:szCs w:val="21"/>
          <w:highlight w:val="none"/>
          <w:lang w:val="zh-CN"/>
        </w:rPr>
        <w:t>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3、联合体将严格按照采购文件的各项要求，提交响应文件，履行合同，并对外承担连带责任。</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4、联合体各成员单位内部的职责分工如下：</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u w:val="single"/>
          <w:lang w:val="zh-CN"/>
        </w:rPr>
      </w:pPr>
      <w:r>
        <w:rPr>
          <w:rFonts w:hint="eastAsia" w:ascii="宋体" w:hAnsi="宋体"/>
          <w:color w:val="auto"/>
          <w:sz w:val="24"/>
          <w:szCs w:val="21"/>
          <w:highlight w:val="none"/>
          <w:u w:val="none"/>
          <w:lang w:val="en-US" w:eastAsia="zh-CN"/>
        </w:rPr>
        <w:t>5、</w:t>
      </w:r>
      <w:r>
        <w:rPr>
          <w:rFonts w:hint="eastAsia" w:ascii="宋体" w:hAnsi="宋体"/>
          <w:color w:val="auto"/>
          <w:sz w:val="24"/>
          <w:szCs w:val="21"/>
          <w:highlight w:val="none"/>
          <w:lang w:val="zh-CN"/>
        </w:rPr>
        <w:t>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color w:val="auto"/>
          <w:sz w:val="24"/>
          <w:szCs w:val="21"/>
          <w:highlight w:val="none"/>
          <w:lang w:val="zh-CN"/>
        </w:rPr>
      </w:pPr>
      <w:r>
        <w:rPr>
          <w:rFonts w:hint="eastAsia" w:ascii="宋体" w:hAnsi="宋体"/>
          <w:color w:val="auto"/>
          <w:sz w:val="24"/>
          <w:szCs w:val="21"/>
          <w:highlight w:val="none"/>
        </w:rPr>
        <w:t>6</w:t>
      </w:r>
      <w:r>
        <w:rPr>
          <w:rFonts w:hint="eastAsia" w:ascii="宋体" w:hAnsi="宋体"/>
          <w:color w:val="auto"/>
          <w:sz w:val="24"/>
          <w:szCs w:val="21"/>
          <w:highlight w:val="none"/>
          <w:lang w:val="zh-CN"/>
        </w:rPr>
        <w:t>、本协议书自签署之日起生效，至本次竞争性磋商有关事务结束且合同履行完毕后自动失效。</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left="420" w:firstLine="480"/>
        <w:jc w:val="right"/>
        <w:textAlignment w:val="auto"/>
        <w:rPr>
          <w:rFonts w:ascii="宋体" w:hAnsi="宋体"/>
          <w:color w:val="auto"/>
          <w:sz w:val="24"/>
          <w:szCs w:val="21"/>
          <w:highlight w:val="none"/>
          <w:lang w:val="zh-CN"/>
        </w:rPr>
      </w:pPr>
    </w:p>
    <w:bookmarkEnd w:id="203"/>
    <w:p>
      <w:pPr>
        <w:keepNext w:val="0"/>
        <w:keepLines w:val="0"/>
        <w:pageBreakBefore w:val="0"/>
        <w:widowControl w:val="0"/>
        <w:kinsoku/>
        <w:wordWrap w:val="0"/>
        <w:overflowPunct/>
        <w:topLinePunct w:val="0"/>
        <w:autoSpaceDE/>
        <w:autoSpaceDN/>
        <w:bidi w:val="0"/>
        <w:adjustRightInd/>
        <w:snapToGrid/>
        <w:spacing w:line="480" w:lineRule="auto"/>
        <w:ind w:right="240"/>
        <w:jc w:val="right"/>
        <w:textAlignment w:val="auto"/>
        <w:rPr>
          <w:rFonts w:ascii="宋体" w:hAnsi="宋体"/>
          <w:color w:val="auto"/>
          <w:sz w:val="24"/>
          <w:szCs w:val="21"/>
          <w:highlight w:val="none"/>
          <w:lang w:val="zh-CN"/>
        </w:rPr>
      </w:pPr>
    </w:p>
    <w:p>
      <w:pPr>
        <w:keepNext w:val="0"/>
        <w:keepLines w:val="0"/>
        <w:pageBreakBefore w:val="0"/>
        <w:widowControl w:val="0"/>
        <w:kinsoku/>
        <w:wordWrap w:val="0"/>
        <w:overflowPunct/>
        <w:topLinePunct w:val="0"/>
        <w:autoSpaceDE/>
        <w:autoSpaceDN/>
        <w:bidi w:val="0"/>
        <w:adjustRightInd/>
        <w:snapToGrid/>
        <w:spacing w:line="480" w:lineRule="auto"/>
        <w:ind w:right="240" w:firstLine="4800" w:firstLineChars="2000"/>
        <w:jc w:val="both"/>
        <w:textAlignment w:val="auto"/>
        <w:rPr>
          <w:rFonts w:hint="eastAsia" w:ascii="宋体" w:hAnsi="宋体"/>
          <w:bCs/>
          <w:color w:val="auto"/>
          <w:sz w:val="24"/>
          <w:highlight w:val="none"/>
          <w:lang w:val="zh-CN"/>
        </w:rPr>
      </w:pPr>
      <w:r>
        <w:rPr>
          <w:rFonts w:hint="eastAsia" w:ascii="宋体" w:hAnsi="宋体"/>
          <w:bCs/>
          <w:color w:val="auto"/>
          <w:sz w:val="24"/>
          <w:highlight w:val="none"/>
        </w:rPr>
        <w:t>联合体主体单位</w:t>
      </w:r>
      <w:r>
        <w:rPr>
          <w:rFonts w:hint="eastAsia" w:ascii="宋体" w:hAnsi="宋体"/>
          <w:bCs/>
          <w:color w:val="auto"/>
          <w:sz w:val="24"/>
          <w:highlight w:val="none"/>
          <w:lang w:val="zh-CN"/>
        </w:rPr>
        <w:t>（盖章）：</w:t>
      </w:r>
    </w:p>
    <w:p>
      <w:pPr>
        <w:keepNext w:val="0"/>
        <w:keepLines w:val="0"/>
        <w:pageBreakBefore w:val="0"/>
        <w:widowControl w:val="0"/>
        <w:kinsoku/>
        <w:wordWrap w:val="0"/>
        <w:overflowPunct/>
        <w:topLinePunct w:val="0"/>
        <w:autoSpaceDE/>
        <w:autoSpaceDN/>
        <w:bidi w:val="0"/>
        <w:adjustRightInd/>
        <w:snapToGrid/>
        <w:spacing w:line="480" w:lineRule="auto"/>
        <w:ind w:right="240" w:firstLine="4800" w:firstLineChars="2000"/>
        <w:jc w:val="both"/>
        <w:textAlignment w:val="auto"/>
        <w:rPr>
          <w:rFonts w:ascii="宋体" w:hAnsi="宋体"/>
          <w:bCs/>
          <w:color w:val="auto"/>
          <w:sz w:val="24"/>
          <w:highlight w:val="none"/>
        </w:rPr>
      </w:pPr>
      <w:r>
        <w:rPr>
          <w:rFonts w:hint="eastAsia" w:ascii="宋体" w:hAnsi="宋体"/>
          <w:bCs/>
          <w:color w:val="auto"/>
          <w:sz w:val="24"/>
          <w:highlight w:val="none"/>
        </w:rPr>
        <w:t>成员单位（</w:t>
      </w:r>
      <w:r>
        <w:rPr>
          <w:rFonts w:hint="eastAsia" w:ascii="宋体" w:hAnsi="宋体"/>
          <w:bCs/>
          <w:color w:val="auto"/>
          <w:sz w:val="24"/>
          <w:highlight w:val="none"/>
          <w:lang w:val="zh-CN"/>
        </w:rPr>
        <w:t>盖章</w:t>
      </w:r>
      <w:r>
        <w:rPr>
          <w:rFonts w:hint="eastAsia" w:ascii="宋体" w:hAnsi="宋体"/>
          <w:bCs/>
          <w:color w:val="auto"/>
          <w:sz w:val="24"/>
          <w:highlight w:val="none"/>
        </w:rPr>
        <w:t>）：</w:t>
      </w:r>
    </w:p>
    <w:p>
      <w:pPr>
        <w:keepNext w:val="0"/>
        <w:keepLines w:val="0"/>
        <w:pageBreakBefore w:val="0"/>
        <w:widowControl w:val="0"/>
        <w:kinsoku/>
        <w:wordWrap w:val="0"/>
        <w:overflowPunct/>
        <w:topLinePunct w:val="0"/>
        <w:autoSpaceDE/>
        <w:autoSpaceDN/>
        <w:bidi w:val="0"/>
        <w:adjustRightInd/>
        <w:snapToGrid/>
        <w:ind w:firstLine="480"/>
        <w:textAlignment w:val="auto"/>
        <w:rPr>
          <w:rFonts w:hint="eastAsia" w:ascii="宋体" w:hAnsi="宋体"/>
          <w:color w:val="auto"/>
          <w:sz w:val="24"/>
          <w:szCs w:val="21"/>
          <w:highlight w:val="none"/>
        </w:rPr>
      </w:pPr>
    </w:p>
    <w:p>
      <w:pPr>
        <w:pStyle w:val="18"/>
        <w:keepNext w:val="0"/>
        <w:keepLines w:val="0"/>
        <w:pageBreakBefore w:val="0"/>
        <w:widowControl w:val="0"/>
        <w:kinsoku/>
        <w:wordWrap w:val="0"/>
        <w:overflowPunct/>
        <w:topLinePunct w:val="0"/>
        <w:autoSpaceDE/>
        <w:autoSpaceDN/>
        <w:bidi w:val="0"/>
        <w:adjustRightInd/>
        <w:snapToGrid/>
        <w:ind w:left="0" w:leftChars="0" w:firstLine="440" w:firstLineChars="200"/>
        <w:textAlignment w:val="auto"/>
        <w:rPr>
          <w:rFonts w:hint="eastAsia" w:ascii="宋体" w:hAnsi="宋体"/>
          <w:bCs/>
          <w:color w:val="auto"/>
          <w:sz w:val="22"/>
          <w:szCs w:val="22"/>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bCs/>
          <w:color w:val="auto"/>
          <w:sz w:val="22"/>
          <w:szCs w:val="22"/>
          <w:highlight w:val="none"/>
        </w:rPr>
        <w:t>注：如采购人接受联合体且供应商组成联合体的，应提供有效的联合体协议书，否则无需提供。</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宋体" w:cs="Times New Roman"/>
          <w:b/>
          <w:color w:val="auto"/>
          <w:kern w:val="2"/>
          <w:sz w:val="28"/>
          <w:szCs w:val="28"/>
          <w:lang w:val="en-US" w:eastAsia="zh-CN" w:bidi="ar-SA"/>
        </w:rPr>
      </w:pPr>
      <w:r>
        <w:rPr>
          <w:rFonts w:hint="eastAsia" w:ascii="Arial" w:hAnsi="Arial" w:eastAsia="宋体" w:cs="Times New Roman"/>
          <w:b/>
          <w:color w:val="auto"/>
          <w:kern w:val="2"/>
          <w:sz w:val="28"/>
          <w:szCs w:val="28"/>
          <w:lang w:val="en-US" w:eastAsia="zh-CN" w:bidi="ar-SA"/>
        </w:rPr>
        <w:t>七、分包情况说明（给定格式）</w:t>
      </w:r>
    </w:p>
    <w:p>
      <w:pPr>
        <w:spacing w:before="156" w:beforeLines="50" w:after="156" w:afterLines="50"/>
        <w:jc w:val="center"/>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分包情况说明</w:t>
      </w:r>
    </w:p>
    <w:p>
      <w:pPr>
        <w:spacing w:line="480" w:lineRule="auto"/>
        <w:jc w:val="both"/>
        <w:rPr>
          <w:rFonts w:hint="eastAsia" w:ascii="宋体" w:hAnsi="宋体" w:cs="宋体"/>
          <w:color w:val="auto"/>
          <w:sz w:val="24"/>
          <w:szCs w:val="24"/>
          <w:highlight w:val="none"/>
        </w:rPr>
      </w:pPr>
    </w:p>
    <w:p>
      <w:pPr>
        <w:keepNext w:val="0"/>
        <w:keepLines w:val="0"/>
        <w:pageBreakBefore w:val="0"/>
        <w:widowControl w:val="0"/>
        <w:kinsoku/>
        <w:wordWrap w:val="0"/>
        <w:overflowPunct/>
        <w:topLinePunct w:val="0"/>
        <w:autoSpaceDE/>
        <w:autoSpaceDN/>
        <w:bidi w:val="0"/>
        <w:adjustRightInd/>
        <w:snapToGrid/>
        <w:spacing w:line="480" w:lineRule="auto"/>
        <w:ind w:firstLine="480" w:firstLineChars="200"/>
        <w:jc w:val="both"/>
        <w:textAlignment w:val="auto"/>
        <w:rPr>
          <w:rFonts w:hint="eastAsia" w:ascii="宋体" w:hAnsi="宋体"/>
          <w:color w:val="auto"/>
          <w:sz w:val="24"/>
          <w:szCs w:val="21"/>
          <w:highlight w:val="none"/>
        </w:rPr>
      </w:pPr>
      <w:r>
        <w:rPr>
          <w:rFonts w:hint="eastAsia" w:ascii="宋体" w:hAnsi="宋体" w:cs="宋体"/>
          <w:color w:val="auto"/>
          <w:sz w:val="24"/>
          <w:szCs w:val="24"/>
          <w:highlight w:val="none"/>
        </w:rPr>
        <w:t>我公司根据本项目</w:t>
      </w:r>
      <w:r>
        <w:rPr>
          <w:rFonts w:hint="eastAsia" w:ascii="宋体" w:hAnsi="宋体"/>
          <w:bCs/>
          <w:color w:val="auto"/>
          <w:sz w:val="24"/>
          <w:szCs w:val="24"/>
          <w:highlight w:val="none"/>
        </w:rPr>
        <w:t>（项目编号：</w:t>
      </w:r>
      <w:r>
        <w:rPr>
          <w:rFonts w:hint="eastAsia" w:ascii="宋体" w:hAnsi="宋体"/>
          <w:bCs/>
          <w:color w:val="auto"/>
          <w:sz w:val="24"/>
          <w:szCs w:val="24"/>
          <w:highlight w:val="none"/>
          <w:lang w:eastAsia="zh-CN"/>
        </w:rPr>
        <w:t>JSZC-320282-JSXY-C2025-0012</w:t>
      </w:r>
      <w:r>
        <w:rPr>
          <w:rFonts w:hint="eastAsia" w:ascii="宋体" w:hAnsi="宋体"/>
          <w:bCs/>
          <w:color w:val="auto"/>
          <w:sz w:val="24"/>
          <w:szCs w:val="24"/>
          <w:highlight w:val="none"/>
        </w:rPr>
        <w:t>）</w:t>
      </w:r>
      <w:r>
        <w:rPr>
          <w:rFonts w:hint="eastAsia" w:ascii="宋体" w:hAnsi="宋体" w:cs="宋体"/>
          <w:color w:val="auto"/>
          <w:sz w:val="24"/>
          <w:szCs w:val="24"/>
          <w:highlight w:val="none"/>
        </w:rPr>
        <w:t>磋商文件的规定和采购项目的实际情况，拟在成交后将成交项目的非主体、非关键性工作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进行分包，分包承担主体为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元，占报价比例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ascii="宋体" w:hAnsi="宋体" w:cs="宋体"/>
          <w:color w:val="auto"/>
          <w:sz w:val="24"/>
          <w:szCs w:val="24"/>
          <w:highlight w:val="none"/>
          <w:u w:val="none"/>
        </w:rPr>
        <w:t>%</w:t>
      </w:r>
      <w:r>
        <w:rPr>
          <w:rFonts w:hint="eastAsia" w:ascii="宋体" w:hAnsi="宋体" w:cs="宋体"/>
          <w:color w:val="auto"/>
          <w:sz w:val="24"/>
          <w:szCs w:val="24"/>
          <w:highlight w:val="none"/>
        </w:rPr>
        <w:t>，且我公司承诺分包承担人具备相应资质条件且不得再次分包。</w:t>
      </w:r>
    </w:p>
    <w:p>
      <w:pPr>
        <w:pStyle w:val="18"/>
        <w:keepNext w:val="0"/>
        <w:keepLines w:val="0"/>
        <w:pageBreakBefore w:val="0"/>
        <w:widowControl w:val="0"/>
        <w:kinsoku/>
        <w:wordWrap w:val="0"/>
        <w:overflowPunct/>
        <w:topLinePunct w:val="0"/>
        <w:autoSpaceDE/>
        <w:autoSpaceDN/>
        <w:bidi w:val="0"/>
        <w:adjustRightInd/>
        <w:snapToGrid/>
        <w:ind w:left="0" w:leftChars="0" w:firstLine="0" w:firstLineChars="0"/>
        <w:textAlignment w:val="auto"/>
        <w:rPr>
          <w:rFonts w:hint="eastAsia"/>
          <w:color w:val="auto"/>
          <w:lang w:val="zh-CN"/>
        </w:rPr>
      </w:pPr>
    </w:p>
    <w:p>
      <w:pPr>
        <w:keepNext w:val="0"/>
        <w:keepLines w:val="0"/>
        <w:pageBreakBefore w:val="0"/>
        <w:widowControl w:val="0"/>
        <w:kinsoku/>
        <w:wordWrap w:val="0"/>
        <w:overflowPunct/>
        <w:topLinePunct w:val="0"/>
        <w:autoSpaceDE/>
        <w:autoSpaceDN/>
        <w:bidi w:val="0"/>
        <w:adjustRightInd/>
        <w:snapToGrid/>
        <w:spacing w:line="360" w:lineRule="auto"/>
        <w:ind w:left="0" w:firstLine="5280" w:firstLineChars="2200"/>
        <w:jc w:val="center"/>
        <w:textAlignment w:val="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供应商（电子签章）：</w:t>
      </w:r>
    </w:p>
    <w:p>
      <w:pPr>
        <w:pStyle w:val="18"/>
        <w:keepNext w:val="0"/>
        <w:keepLines w:val="0"/>
        <w:pageBreakBefore w:val="0"/>
        <w:widowControl w:val="0"/>
        <w:kinsoku/>
        <w:wordWrap w:val="0"/>
        <w:overflowPunct/>
        <w:topLinePunct w:val="0"/>
        <w:autoSpaceDE/>
        <w:autoSpaceDN/>
        <w:bidi w:val="0"/>
        <w:adjustRightInd/>
        <w:snapToGrid/>
        <w:textAlignment w:val="auto"/>
        <w:rPr>
          <w:rFonts w:hint="eastAsia"/>
          <w:color w:val="auto"/>
          <w:lang w:val="zh-CN"/>
        </w:rPr>
      </w:pPr>
    </w:p>
    <w:p>
      <w:pPr>
        <w:pStyle w:val="18"/>
        <w:keepNext w:val="0"/>
        <w:keepLines w:val="0"/>
        <w:pageBreakBefore w:val="0"/>
        <w:widowControl w:val="0"/>
        <w:kinsoku/>
        <w:wordWrap w:val="0"/>
        <w:overflowPunct/>
        <w:topLinePunct w:val="0"/>
        <w:autoSpaceDE/>
        <w:autoSpaceDN/>
        <w:bidi w:val="0"/>
        <w:adjustRightInd/>
        <w:snapToGrid/>
        <w:textAlignment w:val="auto"/>
        <w:rPr>
          <w:rFonts w:hint="eastAsia"/>
          <w:color w:val="auto"/>
          <w:lang w:val="zh-CN"/>
        </w:rPr>
      </w:pPr>
    </w:p>
    <w:p>
      <w:pPr>
        <w:keepNext w:val="0"/>
        <w:keepLines w:val="0"/>
        <w:pageBreakBefore w:val="0"/>
        <w:widowControl w:val="0"/>
        <w:tabs>
          <w:tab w:val="left" w:pos="0"/>
          <w:tab w:val="left" w:pos="255"/>
        </w:tabs>
        <w:kinsoku/>
        <w:wordWrap w:val="0"/>
        <w:overflowPunct/>
        <w:topLinePunct w:val="0"/>
        <w:autoSpaceDE/>
        <w:autoSpaceDN/>
        <w:bidi w:val="0"/>
        <w:adjustRightInd/>
        <w:snapToGrid/>
        <w:spacing w:line="360" w:lineRule="auto"/>
        <w:ind w:firstLine="480"/>
        <w:textAlignment w:val="auto"/>
        <w:rPr>
          <w:rFonts w:hint="eastAsia" w:ascii="宋体" w:hAnsi="宋体"/>
          <w:bCs/>
          <w:color w:val="auto"/>
          <w:sz w:val="22"/>
          <w:szCs w:val="22"/>
          <w:highlight w:val="none"/>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bCs/>
          <w:color w:val="auto"/>
          <w:sz w:val="22"/>
          <w:szCs w:val="22"/>
          <w:highlight w:val="none"/>
        </w:rPr>
        <w:t>注：如采购人接受分包且供应商有分包意向的，应提供有效的分包情况说明，否则无需提供。</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宋体" w:cs="Times New Roman"/>
          <w:b/>
          <w:color w:val="auto"/>
          <w:kern w:val="2"/>
          <w:sz w:val="28"/>
          <w:szCs w:val="28"/>
          <w:lang w:val="en-US" w:eastAsia="zh-CN" w:bidi="ar-SA"/>
        </w:rPr>
      </w:pPr>
      <w:r>
        <w:rPr>
          <w:rFonts w:hint="eastAsia" w:ascii="Arial" w:hAnsi="Arial" w:eastAsia="宋体" w:cs="Times New Roman"/>
          <w:b/>
          <w:color w:val="auto"/>
          <w:kern w:val="2"/>
          <w:sz w:val="28"/>
          <w:szCs w:val="28"/>
          <w:lang w:val="en-US" w:eastAsia="zh-CN" w:bidi="ar-SA"/>
        </w:rPr>
        <w:t>八、明细报价表（给定格式）：</w:t>
      </w:r>
    </w:p>
    <w:p>
      <w:pPr>
        <w:spacing w:before="156" w:beforeLines="50" w:after="156" w:afterLines="50"/>
        <w:jc w:val="center"/>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明细报价表</w:t>
      </w:r>
    </w:p>
    <w:p>
      <w:pPr>
        <w:keepNext w:val="0"/>
        <w:keepLines w:val="0"/>
        <w:pageBreakBefore w:val="0"/>
        <w:widowControl w:val="0"/>
        <w:kinsoku/>
        <w:wordWrap/>
        <w:overflowPunct/>
        <w:topLinePunct w:val="0"/>
        <w:autoSpaceDE/>
        <w:autoSpaceDN/>
        <w:bidi w:val="0"/>
        <w:adjustRightInd/>
        <w:snapToGrid/>
        <w:spacing w:before="156" w:beforeLines="50" w:after="156" w:afterLines="50" w:line="360" w:lineRule="auto"/>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宜兴法院2026年度食堂管理服务</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color w:val="auto"/>
          <w:sz w:val="28"/>
          <w:szCs w:val="28"/>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JSZC-320282-JSXY-C2025-0012</w:t>
      </w:r>
      <w:r>
        <w:rPr>
          <w:rFonts w:hint="eastAsia" w:ascii="宋体" w:hAnsi="宋体"/>
          <w:color w:val="auto"/>
          <w:sz w:val="24"/>
          <w:szCs w:val="21"/>
          <w:highlight w:val="none"/>
          <w:lang w:val="zh-CN"/>
        </w:rPr>
        <w:t xml:space="preserve">  </w:t>
      </w:r>
      <w:r>
        <w:rPr>
          <w:rFonts w:hint="eastAsia" w:ascii="宋体" w:hAnsi="宋体"/>
          <w:color w:val="auto"/>
          <w:sz w:val="24"/>
          <w:szCs w:val="24"/>
        </w:rPr>
        <w:t xml:space="preserve">                         </w:t>
      </w:r>
    </w:p>
    <w:tbl>
      <w:tblPr>
        <w:tblStyle w:val="6"/>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27"/>
        <w:gridCol w:w="18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pPr>
              <w:jc w:val="center"/>
              <w:rPr>
                <w:rFonts w:hint="eastAsia" w:ascii="宋体" w:hAnsi="宋体"/>
                <w:b/>
                <w:color w:val="auto"/>
                <w:sz w:val="24"/>
                <w:highlight w:val="none"/>
                <w:lang w:val="zh-CN"/>
              </w:rPr>
            </w:pPr>
            <w:bookmarkStart w:id="204" w:name="_Toc14859"/>
            <w:r>
              <w:rPr>
                <w:rFonts w:hint="eastAsia" w:ascii="宋体" w:hAnsi="宋体"/>
                <w:b/>
                <w:color w:val="auto"/>
                <w:sz w:val="24"/>
                <w:highlight w:val="none"/>
                <w:lang w:val="zh-CN"/>
              </w:rPr>
              <w:t>序号</w:t>
            </w:r>
          </w:p>
        </w:tc>
        <w:tc>
          <w:tcPr>
            <w:tcW w:w="3060" w:type="dxa"/>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服务名称</w:t>
            </w:r>
          </w:p>
        </w:tc>
        <w:tc>
          <w:tcPr>
            <w:tcW w:w="1989" w:type="dxa"/>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数量</w:t>
            </w:r>
          </w:p>
        </w:tc>
        <w:tc>
          <w:tcPr>
            <w:tcW w:w="1927" w:type="dxa"/>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单价</w:t>
            </w:r>
          </w:p>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(元)</w:t>
            </w:r>
          </w:p>
        </w:tc>
        <w:tc>
          <w:tcPr>
            <w:tcW w:w="1823" w:type="dxa"/>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合计报价</w:t>
            </w:r>
          </w:p>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ascii="宋体" w:hAnsi="宋体"/>
                <w:color w:val="auto"/>
                <w:szCs w:val="21"/>
              </w:rPr>
            </w:pPr>
          </w:p>
        </w:tc>
        <w:tc>
          <w:tcPr>
            <w:tcW w:w="3060" w:type="dxa"/>
            <w:vAlign w:val="center"/>
          </w:tcPr>
          <w:p>
            <w:pPr>
              <w:jc w:val="center"/>
              <w:rPr>
                <w:rFonts w:ascii="宋体" w:hAnsi="宋体"/>
                <w:color w:val="auto"/>
                <w:szCs w:val="21"/>
              </w:rPr>
            </w:pPr>
          </w:p>
        </w:tc>
        <w:tc>
          <w:tcPr>
            <w:tcW w:w="1989" w:type="dxa"/>
            <w:vAlign w:val="center"/>
          </w:tcPr>
          <w:p>
            <w:pPr>
              <w:jc w:val="center"/>
              <w:rPr>
                <w:rFonts w:ascii="宋体" w:hAnsi="宋体"/>
                <w:color w:val="auto"/>
                <w:szCs w:val="21"/>
              </w:rPr>
            </w:pPr>
          </w:p>
        </w:tc>
        <w:tc>
          <w:tcPr>
            <w:tcW w:w="1927" w:type="dxa"/>
            <w:vAlign w:val="center"/>
          </w:tcPr>
          <w:p>
            <w:pPr>
              <w:jc w:val="center"/>
              <w:rPr>
                <w:rFonts w:ascii="宋体" w:hAnsi="宋体"/>
                <w:color w:val="auto"/>
                <w:szCs w:val="21"/>
              </w:rPr>
            </w:pPr>
          </w:p>
        </w:tc>
        <w:tc>
          <w:tcPr>
            <w:tcW w:w="1823" w:type="dxa"/>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ascii="宋体" w:hAnsi="宋体"/>
                <w:color w:val="auto"/>
                <w:szCs w:val="21"/>
              </w:rPr>
            </w:pPr>
          </w:p>
        </w:tc>
        <w:tc>
          <w:tcPr>
            <w:tcW w:w="3060" w:type="dxa"/>
            <w:vAlign w:val="center"/>
          </w:tcPr>
          <w:p>
            <w:pPr>
              <w:jc w:val="center"/>
              <w:rPr>
                <w:rFonts w:ascii="宋体" w:hAnsi="宋体"/>
                <w:color w:val="auto"/>
                <w:szCs w:val="21"/>
              </w:rPr>
            </w:pPr>
          </w:p>
        </w:tc>
        <w:tc>
          <w:tcPr>
            <w:tcW w:w="1989" w:type="dxa"/>
            <w:vAlign w:val="center"/>
          </w:tcPr>
          <w:p>
            <w:pPr>
              <w:jc w:val="center"/>
              <w:rPr>
                <w:rFonts w:ascii="宋体" w:hAnsi="宋体"/>
                <w:color w:val="auto"/>
                <w:szCs w:val="21"/>
              </w:rPr>
            </w:pPr>
          </w:p>
        </w:tc>
        <w:tc>
          <w:tcPr>
            <w:tcW w:w="1927" w:type="dxa"/>
            <w:vAlign w:val="center"/>
          </w:tcPr>
          <w:p>
            <w:pPr>
              <w:jc w:val="center"/>
              <w:rPr>
                <w:rFonts w:ascii="宋体" w:hAnsi="宋体"/>
                <w:color w:val="auto"/>
                <w:szCs w:val="21"/>
              </w:rPr>
            </w:pPr>
          </w:p>
        </w:tc>
        <w:tc>
          <w:tcPr>
            <w:tcW w:w="1823" w:type="dxa"/>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ascii="宋体" w:hAnsi="宋体"/>
                <w:color w:val="auto"/>
                <w:szCs w:val="21"/>
              </w:rPr>
            </w:pPr>
          </w:p>
        </w:tc>
        <w:tc>
          <w:tcPr>
            <w:tcW w:w="3060" w:type="dxa"/>
            <w:vAlign w:val="center"/>
          </w:tcPr>
          <w:p>
            <w:pPr>
              <w:jc w:val="center"/>
              <w:rPr>
                <w:rFonts w:ascii="宋体" w:hAnsi="宋体"/>
                <w:color w:val="auto"/>
                <w:szCs w:val="21"/>
              </w:rPr>
            </w:pPr>
          </w:p>
        </w:tc>
        <w:tc>
          <w:tcPr>
            <w:tcW w:w="1989" w:type="dxa"/>
            <w:vAlign w:val="center"/>
          </w:tcPr>
          <w:p>
            <w:pPr>
              <w:jc w:val="center"/>
              <w:rPr>
                <w:rFonts w:ascii="宋体" w:hAnsi="宋体"/>
                <w:color w:val="auto"/>
                <w:szCs w:val="21"/>
              </w:rPr>
            </w:pPr>
          </w:p>
        </w:tc>
        <w:tc>
          <w:tcPr>
            <w:tcW w:w="1927" w:type="dxa"/>
            <w:vAlign w:val="center"/>
          </w:tcPr>
          <w:p>
            <w:pPr>
              <w:jc w:val="center"/>
              <w:rPr>
                <w:rFonts w:ascii="宋体" w:hAnsi="宋体"/>
                <w:color w:val="auto"/>
                <w:szCs w:val="21"/>
              </w:rPr>
            </w:pPr>
          </w:p>
        </w:tc>
        <w:tc>
          <w:tcPr>
            <w:tcW w:w="1823" w:type="dxa"/>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ascii="宋体" w:hAnsi="宋体"/>
                <w:color w:val="auto"/>
                <w:szCs w:val="21"/>
              </w:rPr>
            </w:pPr>
          </w:p>
        </w:tc>
        <w:tc>
          <w:tcPr>
            <w:tcW w:w="3060" w:type="dxa"/>
            <w:vAlign w:val="center"/>
          </w:tcPr>
          <w:p>
            <w:pPr>
              <w:jc w:val="center"/>
              <w:rPr>
                <w:rFonts w:ascii="宋体" w:hAnsi="宋体"/>
                <w:color w:val="auto"/>
                <w:szCs w:val="21"/>
              </w:rPr>
            </w:pPr>
          </w:p>
        </w:tc>
        <w:tc>
          <w:tcPr>
            <w:tcW w:w="1989" w:type="dxa"/>
            <w:vAlign w:val="center"/>
          </w:tcPr>
          <w:p>
            <w:pPr>
              <w:jc w:val="center"/>
              <w:rPr>
                <w:rFonts w:ascii="宋体" w:hAnsi="宋体"/>
                <w:color w:val="auto"/>
                <w:szCs w:val="21"/>
              </w:rPr>
            </w:pPr>
          </w:p>
        </w:tc>
        <w:tc>
          <w:tcPr>
            <w:tcW w:w="1927" w:type="dxa"/>
            <w:vAlign w:val="center"/>
          </w:tcPr>
          <w:p>
            <w:pPr>
              <w:jc w:val="center"/>
              <w:rPr>
                <w:rFonts w:ascii="宋体" w:hAnsi="宋体"/>
                <w:color w:val="auto"/>
                <w:szCs w:val="21"/>
              </w:rPr>
            </w:pPr>
          </w:p>
        </w:tc>
        <w:tc>
          <w:tcPr>
            <w:tcW w:w="1823" w:type="dxa"/>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pPr>
              <w:ind w:left="-111" w:leftChars="-53" w:firstLine="54" w:firstLineChars="26"/>
              <w:jc w:val="center"/>
              <w:rPr>
                <w:rFonts w:ascii="宋体" w:hAnsi="宋体"/>
                <w:color w:val="auto"/>
                <w:szCs w:val="21"/>
              </w:rPr>
            </w:pPr>
          </w:p>
        </w:tc>
        <w:tc>
          <w:tcPr>
            <w:tcW w:w="3060" w:type="dxa"/>
            <w:vAlign w:val="center"/>
          </w:tcPr>
          <w:p>
            <w:pPr>
              <w:jc w:val="center"/>
              <w:rPr>
                <w:rFonts w:ascii="宋体" w:hAnsi="宋体"/>
                <w:color w:val="auto"/>
                <w:szCs w:val="21"/>
              </w:rPr>
            </w:pPr>
          </w:p>
        </w:tc>
        <w:tc>
          <w:tcPr>
            <w:tcW w:w="1989" w:type="dxa"/>
            <w:vAlign w:val="center"/>
          </w:tcPr>
          <w:p>
            <w:pPr>
              <w:jc w:val="center"/>
              <w:rPr>
                <w:rFonts w:ascii="宋体" w:hAnsi="宋体"/>
                <w:color w:val="auto"/>
                <w:szCs w:val="21"/>
              </w:rPr>
            </w:pPr>
          </w:p>
        </w:tc>
        <w:tc>
          <w:tcPr>
            <w:tcW w:w="1927" w:type="dxa"/>
            <w:vAlign w:val="center"/>
          </w:tcPr>
          <w:p>
            <w:pPr>
              <w:jc w:val="center"/>
              <w:rPr>
                <w:rFonts w:ascii="宋体" w:hAnsi="宋体"/>
                <w:color w:val="auto"/>
                <w:szCs w:val="21"/>
              </w:rPr>
            </w:pPr>
          </w:p>
        </w:tc>
        <w:tc>
          <w:tcPr>
            <w:tcW w:w="1823" w:type="dxa"/>
            <w:vAlign w:val="center"/>
          </w:tcPr>
          <w:p>
            <w:pPr>
              <w:jc w:val="center"/>
              <w:rPr>
                <w:rFonts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pPr>
              <w:jc w:val="center"/>
              <w:rPr>
                <w:rFonts w:ascii="宋体" w:hAnsi="宋体"/>
                <w:b/>
                <w:bCs/>
                <w:color w:val="auto"/>
                <w:szCs w:val="21"/>
              </w:rPr>
            </w:pPr>
            <w:r>
              <w:rPr>
                <w:rFonts w:hint="eastAsia" w:ascii="宋体" w:hAnsi="宋体"/>
                <w:b/>
                <w:color w:val="auto"/>
                <w:sz w:val="24"/>
                <w:highlight w:val="none"/>
                <w:lang w:val="zh-CN"/>
              </w:rPr>
              <w:t>合计总价(元)</w:t>
            </w:r>
          </w:p>
        </w:tc>
        <w:tc>
          <w:tcPr>
            <w:tcW w:w="5739" w:type="dxa"/>
            <w:gridSpan w:val="3"/>
            <w:vAlign w:val="center"/>
          </w:tcPr>
          <w:p>
            <w:pPr>
              <w:jc w:val="left"/>
              <w:rPr>
                <w:rFonts w:ascii="宋体" w:hAnsi="宋体"/>
                <w:color w:val="auto"/>
                <w:szCs w:val="21"/>
              </w:rPr>
            </w:pPr>
          </w:p>
        </w:tc>
      </w:tr>
    </w:tbl>
    <w:p>
      <w:pPr>
        <w:spacing w:line="360" w:lineRule="auto"/>
        <w:ind w:left="5460" w:hanging="5460" w:hangingChars="2275"/>
        <w:jc w:val="center"/>
        <w:rPr>
          <w:rFonts w:ascii="宋体" w:hAnsi="宋体"/>
          <w:bCs/>
          <w:color w:val="auto"/>
          <w:sz w:val="24"/>
        </w:rPr>
      </w:pPr>
      <w:r>
        <w:rPr>
          <w:rFonts w:hint="eastAsia" w:ascii="宋体" w:hAnsi="宋体"/>
          <w:bCs/>
          <w:color w:val="auto"/>
          <w:sz w:val="24"/>
        </w:rPr>
        <w:t xml:space="preserve">                               </w:t>
      </w:r>
    </w:p>
    <w:p>
      <w:pPr>
        <w:spacing w:line="360" w:lineRule="auto"/>
        <w:rPr>
          <w:rFonts w:ascii="宋体" w:hAnsi="宋体"/>
          <w:bCs/>
          <w:color w:val="auto"/>
          <w:sz w:val="24"/>
        </w:rPr>
      </w:pPr>
      <w:r>
        <w:rPr>
          <w:rFonts w:hint="eastAsia" w:ascii="宋体" w:hAnsi="宋体"/>
          <w:bCs/>
          <w:color w:val="auto"/>
          <w:sz w:val="24"/>
        </w:rPr>
        <w:t xml:space="preserve">                              </w:t>
      </w:r>
      <w:bookmarkEnd w:id="204"/>
      <w:r>
        <w:rPr>
          <w:rFonts w:hint="eastAsia" w:ascii="宋体" w:hAnsi="宋体"/>
          <w:bCs/>
          <w:color w:val="auto"/>
          <w:sz w:val="24"/>
        </w:rPr>
        <w:t xml:space="preserve">                      </w:t>
      </w:r>
      <w:r>
        <w:rPr>
          <w:rFonts w:hint="eastAsia" w:ascii="宋体" w:hAnsi="宋体"/>
          <w:bCs/>
          <w:color w:val="auto"/>
          <w:sz w:val="24"/>
          <w:highlight w:val="none"/>
          <w:lang w:val="zh-CN"/>
        </w:rPr>
        <w:t>供应商</w:t>
      </w:r>
      <w:r>
        <w:rPr>
          <w:rFonts w:hint="eastAsia" w:ascii="宋体" w:hAnsi="宋体"/>
          <w:bCs/>
          <w:color w:val="auto"/>
          <w:sz w:val="24"/>
        </w:rPr>
        <w:t>（电子签章）：</w:t>
      </w:r>
    </w:p>
    <w:p>
      <w:pPr>
        <w:spacing w:line="360" w:lineRule="auto"/>
        <w:rPr>
          <w:rFonts w:ascii="宋体" w:hAnsi="宋体"/>
          <w:bCs/>
          <w:color w:val="auto"/>
          <w:sz w:val="24"/>
        </w:rPr>
      </w:pPr>
    </w:p>
    <w:p>
      <w:pPr>
        <w:spacing w:line="360" w:lineRule="auto"/>
        <w:rPr>
          <w:rFonts w:ascii="宋体" w:hAnsi="宋体"/>
          <w:bCs/>
          <w:color w:val="auto"/>
          <w:sz w:val="24"/>
        </w:rPr>
      </w:pPr>
    </w:p>
    <w:p>
      <w:pPr>
        <w:spacing w:line="360" w:lineRule="auto"/>
        <w:ind w:firstLine="420" w:firstLineChars="200"/>
        <w:rPr>
          <w:rFonts w:ascii="宋体" w:hAnsi="宋体"/>
          <w:bCs/>
          <w:color w:val="auto"/>
          <w:szCs w:val="21"/>
        </w:rPr>
      </w:pPr>
      <w:r>
        <w:rPr>
          <w:rFonts w:hint="eastAsia" w:ascii="宋体" w:hAnsi="宋体"/>
          <w:bCs/>
          <w:color w:val="auto"/>
          <w:szCs w:val="21"/>
        </w:rPr>
        <w:t>注：供应商应当根据“第三章 项目技术要求和有关说明”的内容详细填写明细报价表，须包括本次采购的所有细项及提供服务的一切费用，表格不够可自行延长</w:t>
      </w:r>
      <w:bookmarkStart w:id="205" w:name="_Hlk160008571"/>
      <w:bookmarkStart w:id="206" w:name="_Hlk160009870"/>
      <w:r>
        <w:rPr>
          <w:rFonts w:hint="eastAsia" w:ascii="宋体" w:hAnsi="宋体"/>
          <w:bCs/>
          <w:color w:val="auto"/>
          <w:szCs w:val="21"/>
        </w:rPr>
        <w:t>；</w:t>
      </w:r>
      <w:bookmarkEnd w:id="205"/>
      <w:r>
        <w:rPr>
          <w:rFonts w:hint="eastAsia" w:ascii="宋体" w:hAnsi="宋体"/>
          <w:bCs/>
          <w:color w:val="auto"/>
          <w:szCs w:val="21"/>
        </w:rPr>
        <w:t>如本表单价计算的结果与总价不一致，以单价为准修正总价。</w:t>
      </w:r>
      <w:bookmarkEnd w:id="206"/>
    </w:p>
    <w:p>
      <w:pPr>
        <w:pStyle w:val="10"/>
        <w:rPr>
          <w:rFonts w:hint="eastAsia"/>
          <w:color w:val="auto"/>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pPr>
        <w:spacing w:line="360" w:lineRule="auto"/>
        <w:jc w:val="left"/>
        <w:rPr>
          <w:rFonts w:hint="eastAsia" w:ascii="Arial" w:hAnsi="Arial" w:eastAsia="宋体" w:cs="Times New Roman"/>
          <w:b/>
          <w:color w:val="auto"/>
          <w:kern w:val="2"/>
          <w:sz w:val="28"/>
          <w:szCs w:val="28"/>
          <w:lang w:val="en-US" w:eastAsia="zh-CN" w:bidi="ar-SA"/>
        </w:rPr>
      </w:pPr>
      <w:bookmarkStart w:id="207" w:name="_Hlk131843680"/>
      <w:bookmarkStart w:id="208" w:name="_Hlk130922293"/>
      <w:r>
        <w:rPr>
          <w:rFonts w:hint="eastAsia" w:ascii="Arial" w:hAnsi="Arial" w:cs="Times New Roman"/>
          <w:b/>
          <w:color w:val="auto"/>
          <w:kern w:val="2"/>
          <w:sz w:val="28"/>
          <w:szCs w:val="28"/>
          <w:lang w:val="en-US" w:eastAsia="zh-CN" w:bidi="ar-SA"/>
        </w:rPr>
        <w:t>九</w:t>
      </w:r>
      <w:r>
        <w:rPr>
          <w:rFonts w:hint="eastAsia" w:ascii="Arial" w:hAnsi="Arial" w:eastAsia="宋体" w:cs="Times New Roman"/>
          <w:b/>
          <w:color w:val="auto"/>
          <w:kern w:val="2"/>
          <w:sz w:val="28"/>
          <w:szCs w:val="28"/>
          <w:lang w:val="en-US" w:eastAsia="zh-CN" w:bidi="ar-SA"/>
        </w:rPr>
        <w:t>、</w:t>
      </w:r>
      <w:bookmarkEnd w:id="207"/>
      <w:bookmarkEnd w:id="208"/>
      <w:r>
        <w:rPr>
          <w:rFonts w:hint="eastAsia" w:ascii="Arial" w:hAnsi="Arial" w:eastAsia="宋体" w:cs="Times New Roman"/>
          <w:b/>
          <w:color w:val="auto"/>
          <w:kern w:val="2"/>
          <w:sz w:val="28"/>
          <w:szCs w:val="28"/>
          <w:lang w:val="en-US" w:eastAsia="zh-CN" w:bidi="ar-SA"/>
        </w:rPr>
        <w:t>响应函（给定格式）：</w:t>
      </w:r>
    </w:p>
    <w:p>
      <w:pPr>
        <w:spacing w:before="156" w:beforeLines="50" w:after="156" w:afterLines="50"/>
        <w:jc w:val="center"/>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响应函</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致</w:t>
      </w:r>
      <w:r>
        <w:rPr>
          <w:rFonts w:hint="eastAsia" w:ascii="宋体" w:hAnsi="宋体"/>
          <w:bCs/>
          <w:color w:val="auto"/>
          <w:sz w:val="24"/>
          <w:highlight w:val="none"/>
          <w:lang w:eastAsia="zh-CN"/>
        </w:rPr>
        <w:t>宜兴市人民法院</w:t>
      </w:r>
      <w:r>
        <w:rPr>
          <w:rFonts w:hint="eastAsia" w:ascii="宋体" w:hAnsi="宋体"/>
          <w:bCs/>
          <w:color w:val="auto"/>
          <w:sz w:val="24"/>
          <w:highlight w:val="none"/>
          <w:lang w:val="zh-CN"/>
        </w:rPr>
        <w:t>、国正工程咨询（江苏）有限责任公司：</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我方收到你们</w:t>
      </w:r>
      <w:r>
        <w:rPr>
          <w:rFonts w:hint="eastAsia" w:ascii="宋体" w:hAnsi="宋体"/>
          <w:bCs/>
          <w:color w:val="auto"/>
          <w:sz w:val="24"/>
          <w:lang w:val="zh-CN"/>
        </w:rPr>
        <w:t>本项目</w:t>
      </w:r>
      <w:r>
        <w:rPr>
          <w:rFonts w:hint="eastAsia" w:ascii="宋体" w:hAnsi="宋体"/>
          <w:bCs/>
          <w:color w:val="auto"/>
          <w:sz w:val="24"/>
          <w:szCs w:val="24"/>
        </w:rPr>
        <w:t>（项目编号：</w:t>
      </w:r>
      <w:r>
        <w:rPr>
          <w:rFonts w:hint="eastAsia" w:ascii="宋体" w:hAnsi="宋体"/>
          <w:bCs/>
          <w:color w:val="auto"/>
          <w:sz w:val="24"/>
          <w:highlight w:val="none"/>
          <w:lang w:eastAsia="zh-CN"/>
        </w:rPr>
        <w:t>JSZC-320282-JSXY-C2025-0012</w:t>
      </w:r>
      <w:r>
        <w:rPr>
          <w:rFonts w:hint="eastAsia" w:ascii="宋体" w:hAnsi="宋体"/>
          <w:bCs/>
          <w:color w:val="auto"/>
          <w:sz w:val="24"/>
          <w:szCs w:val="24"/>
        </w:rPr>
        <w:t>）</w:t>
      </w:r>
      <w:r>
        <w:rPr>
          <w:rFonts w:hint="eastAsia" w:ascii="宋体" w:hAnsi="宋体"/>
          <w:bCs/>
          <w:color w:val="auto"/>
          <w:sz w:val="24"/>
          <w:highlight w:val="none"/>
          <w:lang w:val="zh-CN"/>
        </w:rPr>
        <w:t>磋商文件，经仔细阅读和研究，我方决定参加报价。</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bookmarkStart w:id="209" w:name="OLE_LINK115"/>
      <w:bookmarkStart w:id="210" w:name="OLE_LINK233"/>
      <w:r>
        <w:rPr>
          <w:rFonts w:hint="eastAsia" w:ascii="宋体" w:hAnsi="宋体"/>
          <w:bCs/>
          <w:color w:val="auto"/>
          <w:sz w:val="24"/>
          <w:highlight w:val="none"/>
          <w:lang w:val="zh-CN"/>
        </w:rPr>
        <w:t>我方愿意按照磋商文件的一切要求，提供服务，总报价详见《磋商报价表》。</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我方已对照采购要求，填写了报价服务的偏离情况，详见《项目技术要求偏离表》。</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参与报价即表示认可并遵守本磋商文件的所有规定，不再对磋商文件及相关补充更正文件提出质疑和投诉。我方响应文件的有效期为响应文件提交截止之日起的60天（含提交截止当日），在特殊情况下，可与贵方协商延长响应文件的有效期。</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如果我方的响应文件被接受，我方将履行磋商文件、响应文件中规定的每一项要求，按期、按质、按量、按地点，完成服务任务。</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我方愿意根据贵方及磋商小组的要求，提供响应文件中所有材料的原件及相关证明性资料，并保证我方已提供和将要提供的资料是真实的、准确的。</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我方认为采购人有权确定成交供应商。除因不可抗力或磋商文件认可的情形以外，我方绝不放弃成交资格。</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我方愿意按《中华人民共和国民法典》和合同条款履行自己的全部责任。</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如果我方成交，我方愿意遵守磋商文件和成交通知书的规定，在指定时间和地点与采购人签订合同。</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我方不是为本项目提供整体设计、规范编制或者项目管理、监理、检测等服务的供应商。</w:t>
      </w:r>
    </w:p>
    <w:p>
      <w:pPr>
        <w:keepNext w:val="0"/>
        <w:keepLines w:val="0"/>
        <w:pageBreakBefore w:val="0"/>
        <w:widowControl w:val="0"/>
        <w:numPr>
          <w:ilvl w:val="0"/>
          <w:numId w:val="9"/>
        </w:numPr>
        <w:kinsoku/>
        <w:wordWrap w:val="0"/>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highlight w:val="none"/>
          <w:lang w:val="zh-CN"/>
        </w:rPr>
      </w:pPr>
      <w:r>
        <w:rPr>
          <w:rFonts w:hint="eastAsia" w:ascii="宋体" w:hAnsi="宋体"/>
          <w:bCs/>
          <w:color w:val="auto"/>
          <w:sz w:val="24"/>
          <w:highlight w:val="none"/>
          <w:lang w:val="zh-CN"/>
        </w:rPr>
        <w:t>关联单位情况说明：</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7"/>
        <w:gridCol w:w="4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707" w:type="dxa"/>
            <w:noWrap w:val="0"/>
            <w:vAlign w:val="center"/>
          </w:tcPr>
          <w:p>
            <w:pPr>
              <w:jc w:val="left"/>
              <w:rPr>
                <w:rFonts w:hint="eastAsia" w:ascii="宋体" w:hAnsi="宋体"/>
                <w:color w:val="auto"/>
                <w:sz w:val="24"/>
                <w:szCs w:val="24"/>
                <w:lang w:val="zh-CN"/>
              </w:rPr>
            </w:pPr>
            <w:r>
              <w:rPr>
                <w:rFonts w:hint="eastAsia" w:ascii="宋体" w:hAnsi="宋体"/>
                <w:color w:val="auto"/>
                <w:sz w:val="24"/>
                <w:szCs w:val="24"/>
                <w:lang w:val="zh-CN"/>
              </w:rPr>
              <w:t>与我方</w:t>
            </w:r>
            <w:r>
              <w:rPr>
                <w:rFonts w:hint="eastAsia" w:ascii="宋体" w:hAnsi="宋体"/>
                <w:color w:val="auto"/>
                <w:sz w:val="24"/>
                <w:szCs w:val="24"/>
              </w:rPr>
              <w:t>单位负责人为同一人的其他单位</w:t>
            </w:r>
          </w:p>
        </w:tc>
        <w:tc>
          <w:tcPr>
            <w:tcW w:w="4680" w:type="dxa"/>
            <w:noWrap w:val="0"/>
            <w:vAlign w:val="center"/>
          </w:tcPr>
          <w:p>
            <w:pPr>
              <w:jc w:val="center"/>
              <w:rPr>
                <w:rFonts w:hint="eastAsia" w:ascii="宋体" w:hAnsi="宋体"/>
                <w:color w:val="auto"/>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707" w:type="dxa"/>
            <w:noWrap w:val="0"/>
            <w:vAlign w:val="center"/>
          </w:tcPr>
          <w:p>
            <w:pPr>
              <w:jc w:val="left"/>
              <w:rPr>
                <w:rFonts w:hint="eastAsia" w:ascii="宋体" w:hAnsi="宋体"/>
                <w:color w:val="auto"/>
                <w:sz w:val="24"/>
                <w:szCs w:val="24"/>
                <w:lang w:val="zh-CN"/>
              </w:rPr>
            </w:pPr>
            <w:r>
              <w:rPr>
                <w:rFonts w:hint="eastAsia" w:ascii="宋体" w:hAnsi="宋体"/>
                <w:color w:val="auto"/>
                <w:sz w:val="24"/>
                <w:szCs w:val="24"/>
                <w:lang w:val="zh-CN"/>
              </w:rPr>
              <w:t>与我方</w:t>
            </w:r>
            <w:r>
              <w:rPr>
                <w:rFonts w:hint="eastAsia" w:ascii="宋体" w:hAnsi="宋体"/>
                <w:color w:val="auto"/>
                <w:sz w:val="24"/>
                <w:szCs w:val="24"/>
              </w:rPr>
              <w:t>存在直接控股、管理关系的其他单位</w:t>
            </w:r>
          </w:p>
        </w:tc>
        <w:tc>
          <w:tcPr>
            <w:tcW w:w="4680" w:type="dxa"/>
            <w:noWrap w:val="0"/>
            <w:vAlign w:val="center"/>
          </w:tcPr>
          <w:p>
            <w:pPr>
              <w:jc w:val="center"/>
              <w:rPr>
                <w:rFonts w:hint="eastAsia" w:ascii="宋体" w:hAnsi="宋体"/>
                <w:color w:val="auto"/>
                <w:sz w:val="24"/>
                <w:szCs w:val="24"/>
                <w:lang w:val="zh-CN"/>
              </w:rPr>
            </w:pPr>
          </w:p>
        </w:tc>
      </w:tr>
    </w:tbl>
    <w:p>
      <w:pPr>
        <w:spacing w:line="360" w:lineRule="auto"/>
        <w:ind w:left="480"/>
        <w:rPr>
          <w:rFonts w:hint="eastAsia" w:ascii="宋体" w:hAnsi="宋体"/>
          <w:bCs/>
          <w:color w:val="auto"/>
          <w:sz w:val="24"/>
          <w:highlight w:val="none"/>
          <w:lang w:val="zh-CN"/>
        </w:rPr>
      </w:pPr>
      <w:r>
        <w:rPr>
          <w:rFonts w:hint="eastAsia" w:ascii="宋体" w:hAnsi="宋体"/>
          <w:bCs/>
          <w:color w:val="auto"/>
          <w:sz w:val="24"/>
          <w:highlight w:val="none"/>
          <w:lang w:val="zh-CN"/>
        </w:rPr>
        <w:t>注：没有请填无。</w:t>
      </w:r>
    </w:p>
    <w:p>
      <w:pPr>
        <w:numPr>
          <w:ilvl w:val="0"/>
          <w:numId w:val="9"/>
        </w:numPr>
        <w:spacing w:line="360" w:lineRule="auto"/>
        <w:ind w:firstLine="480" w:firstLineChars="200"/>
        <w:rPr>
          <w:rFonts w:hint="eastAsia" w:ascii="宋体" w:hAnsi="宋体"/>
          <w:bCs/>
          <w:color w:val="auto"/>
          <w:sz w:val="24"/>
          <w:highlight w:val="none"/>
          <w:lang w:val="zh-CN"/>
        </w:rPr>
      </w:pPr>
      <w:r>
        <w:rPr>
          <w:rFonts w:hint="eastAsia" w:ascii="宋体" w:hAnsi="宋体"/>
          <w:bCs/>
          <w:color w:val="auto"/>
          <w:sz w:val="24"/>
          <w:highlight w:val="none"/>
          <w:lang w:val="zh-CN"/>
        </w:rPr>
        <w:t>与本报价有关的一切正式往来函电，请联系：</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913"/>
        <w:gridCol w:w="1252"/>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7" w:type="dxa"/>
            <w:noWrap w:val="0"/>
            <w:vAlign w:val="center"/>
          </w:tcPr>
          <w:p>
            <w:pPr>
              <w:jc w:val="center"/>
              <w:rPr>
                <w:rFonts w:hint="eastAsia" w:ascii="宋体" w:hAnsi="宋体"/>
                <w:color w:val="auto"/>
                <w:sz w:val="24"/>
                <w:szCs w:val="24"/>
                <w:lang w:val="zh-CN"/>
              </w:rPr>
            </w:pPr>
            <w:bookmarkStart w:id="211" w:name="OLE_LINK249"/>
            <w:r>
              <w:rPr>
                <w:rFonts w:hint="eastAsia" w:ascii="宋体" w:hAnsi="宋体"/>
                <w:color w:val="auto"/>
                <w:sz w:val="24"/>
                <w:szCs w:val="24"/>
                <w:lang w:val="zh-CN"/>
              </w:rPr>
              <w:t>地址</w:t>
            </w:r>
          </w:p>
        </w:tc>
        <w:tc>
          <w:tcPr>
            <w:tcW w:w="2913" w:type="dxa"/>
            <w:noWrap w:val="0"/>
            <w:vAlign w:val="center"/>
          </w:tcPr>
          <w:p>
            <w:pPr>
              <w:jc w:val="center"/>
              <w:rPr>
                <w:rFonts w:hint="eastAsia" w:ascii="宋体" w:hAnsi="宋体"/>
                <w:color w:val="auto"/>
                <w:sz w:val="24"/>
                <w:szCs w:val="24"/>
                <w:lang w:val="zh-CN"/>
              </w:rPr>
            </w:pPr>
          </w:p>
        </w:tc>
        <w:tc>
          <w:tcPr>
            <w:tcW w:w="1252"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邮编</w:t>
            </w:r>
          </w:p>
        </w:tc>
        <w:tc>
          <w:tcPr>
            <w:tcW w:w="3675" w:type="dxa"/>
            <w:noWrap w:val="0"/>
            <w:vAlign w:val="center"/>
          </w:tcPr>
          <w:p>
            <w:pPr>
              <w:jc w:val="center"/>
              <w:rPr>
                <w:rFonts w:hint="eastAsia" w:ascii="宋体" w:hAnsi="宋体"/>
                <w:color w:val="auto"/>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7"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传真</w:t>
            </w:r>
          </w:p>
        </w:tc>
        <w:tc>
          <w:tcPr>
            <w:tcW w:w="2913" w:type="dxa"/>
            <w:noWrap w:val="0"/>
            <w:vAlign w:val="center"/>
          </w:tcPr>
          <w:p>
            <w:pPr>
              <w:jc w:val="center"/>
              <w:rPr>
                <w:rFonts w:hint="eastAsia" w:ascii="宋体" w:hAnsi="宋体"/>
                <w:color w:val="auto"/>
                <w:sz w:val="24"/>
                <w:szCs w:val="24"/>
                <w:lang w:val="zh-CN"/>
              </w:rPr>
            </w:pPr>
          </w:p>
        </w:tc>
        <w:tc>
          <w:tcPr>
            <w:tcW w:w="1252"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办公电话</w:t>
            </w:r>
          </w:p>
        </w:tc>
        <w:tc>
          <w:tcPr>
            <w:tcW w:w="3675" w:type="dxa"/>
            <w:noWrap w:val="0"/>
            <w:vAlign w:val="center"/>
          </w:tcPr>
          <w:p>
            <w:pPr>
              <w:jc w:val="center"/>
              <w:rPr>
                <w:rFonts w:hint="eastAsia" w:ascii="宋体" w:hAnsi="宋体"/>
                <w:color w:val="auto"/>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7"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rPr>
              <w:t>法定代表人</w:t>
            </w:r>
          </w:p>
        </w:tc>
        <w:tc>
          <w:tcPr>
            <w:tcW w:w="2913" w:type="dxa"/>
            <w:noWrap w:val="0"/>
            <w:vAlign w:val="center"/>
          </w:tcPr>
          <w:p>
            <w:pPr>
              <w:jc w:val="center"/>
              <w:rPr>
                <w:rFonts w:hint="eastAsia" w:ascii="宋体" w:hAnsi="宋体"/>
                <w:color w:val="auto"/>
                <w:sz w:val="24"/>
                <w:szCs w:val="24"/>
                <w:lang w:val="zh-CN"/>
              </w:rPr>
            </w:pPr>
          </w:p>
        </w:tc>
        <w:tc>
          <w:tcPr>
            <w:tcW w:w="1252"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手机号码</w:t>
            </w:r>
          </w:p>
        </w:tc>
        <w:tc>
          <w:tcPr>
            <w:tcW w:w="3675" w:type="dxa"/>
            <w:noWrap w:val="0"/>
            <w:vAlign w:val="center"/>
          </w:tcPr>
          <w:p>
            <w:pPr>
              <w:jc w:val="center"/>
              <w:rPr>
                <w:rFonts w:hint="eastAsia" w:ascii="宋体" w:hAnsi="宋体"/>
                <w:color w:val="auto"/>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7"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联系人</w:t>
            </w:r>
          </w:p>
        </w:tc>
        <w:tc>
          <w:tcPr>
            <w:tcW w:w="2913" w:type="dxa"/>
            <w:noWrap w:val="0"/>
            <w:vAlign w:val="center"/>
          </w:tcPr>
          <w:p>
            <w:pPr>
              <w:jc w:val="center"/>
              <w:rPr>
                <w:rFonts w:hint="eastAsia" w:ascii="宋体" w:hAnsi="宋体"/>
                <w:color w:val="auto"/>
                <w:sz w:val="24"/>
                <w:szCs w:val="24"/>
                <w:lang w:val="zh-CN"/>
              </w:rPr>
            </w:pPr>
          </w:p>
        </w:tc>
        <w:tc>
          <w:tcPr>
            <w:tcW w:w="1252"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手机号码</w:t>
            </w:r>
          </w:p>
        </w:tc>
        <w:tc>
          <w:tcPr>
            <w:tcW w:w="3675" w:type="dxa"/>
            <w:noWrap w:val="0"/>
            <w:vAlign w:val="center"/>
          </w:tcPr>
          <w:p>
            <w:pPr>
              <w:jc w:val="center"/>
              <w:rPr>
                <w:rFonts w:hint="eastAsia" w:ascii="宋体" w:hAnsi="宋体"/>
                <w:color w:val="auto"/>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7"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开户名称</w:t>
            </w:r>
          </w:p>
        </w:tc>
        <w:tc>
          <w:tcPr>
            <w:tcW w:w="7840" w:type="dxa"/>
            <w:gridSpan w:val="3"/>
            <w:noWrap w:val="0"/>
            <w:vAlign w:val="center"/>
          </w:tcPr>
          <w:p>
            <w:pPr>
              <w:jc w:val="center"/>
              <w:rPr>
                <w:rFonts w:hint="eastAsia" w:ascii="宋体" w:hAnsi="宋体"/>
                <w:color w:val="auto"/>
                <w:sz w:val="24"/>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97"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开户银行</w:t>
            </w:r>
          </w:p>
        </w:tc>
        <w:tc>
          <w:tcPr>
            <w:tcW w:w="2913" w:type="dxa"/>
            <w:noWrap w:val="0"/>
            <w:vAlign w:val="center"/>
          </w:tcPr>
          <w:p>
            <w:pPr>
              <w:jc w:val="center"/>
              <w:rPr>
                <w:rFonts w:hint="eastAsia" w:ascii="宋体" w:hAnsi="宋体"/>
                <w:color w:val="auto"/>
                <w:sz w:val="24"/>
                <w:szCs w:val="24"/>
                <w:lang w:val="zh-CN"/>
              </w:rPr>
            </w:pPr>
          </w:p>
        </w:tc>
        <w:tc>
          <w:tcPr>
            <w:tcW w:w="1252" w:type="dxa"/>
            <w:noWrap w:val="0"/>
            <w:vAlign w:val="center"/>
          </w:tcPr>
          <w:p>
            <w:pPr>
              <w:jc w:val="center"/>
              <w:rPr>
                <w:rFonts w:hint="eastAsia" w:ascii="宋体" w:hAnsi="宋体"/>
                <w:color w:val="auto"/>
                <w:sz w:val="24"/>
                <w:szCs w:val="24"/>
                <w:lang w:val="zh-CN"/>
              </w:rPr>
            </w:pPr>
            <w:r>
              <w:rPr>
                <w:rFonts w:hint="eastAsia" w:ascii="宋体" w:hAnsi="宋体"/>
                <w:color w:val="auto"/>
                <w:sz w:val="24"/>
                <w:szCs w:val="24"/>
                <w:lang w:val="zh-CN"/>
              </w:rPr>
              <w:t>开户账号</w:t>
            </w:r>
          </w:p>
        </w:tc>
        <w:tc>
          <w:tcPr>
            <w:tcW w:w="3675" w:type="dxa"/>
            <w:noWrap w:val="0"/>
            <w:vAlign w:val="center"/>
          </w:tcPr>
          <w:p>
            <w:pPr>
              <w:jc w:val="center"/>
              <w:rPr>
                <w:rFonts w:hint="eastAsia" w:ascii="宋体" w:hAnsi="宋体"/>
                <w:color w:val="auto"/>
                <w:sz w:val="24"/>
                <w:szCs w:val="24"/>
                <w:lang w:val="zh-CN"/>
              </w:rPr>
            </w:pPr>
          </w:p>
        </w:tc>
      </w:tr>
      <w:bookmarkEnd w:id="209"/>
      <w:bookmarkEnd w:id="210"/>
      <w:bookmarkEnd w:id="211"/>
    </w:tbl>
    <w:p>
      <w:pPr>
        <w:pStyle w:val="18"/>
        <w:ind w:left="0" w:leftChars="0" w:firstLine="0" w:firstLineChars="0"/>
        <w:rPr>
          <w:rFonts w:hint="eastAsia"/>
          <w:color w:val="auto"/>
          <w:lang w:val="zh-CN"/>
        </w:rPr>
      </w:pPr>
    </w:p>
    <w:p>
      <w:pPr>
        <w:pStyle w:val="18"/>
        <w:ind w:left="0" w:leftChars="0" w:firstLine="0" w:firstLineChars="0"/>
        <w:rPr>
          <w:rFonts w:hint="eastAsia"/>
          <w:color w:val="auto"/>
          <w:lang w:val="zh-CN"/>
        </w:rPr>
      </w:pPr>
    </w:p>
    <w:p>
      <w:pPr>
        <w:keepNext w:val="0"/>
        <w:keepLines w:val="0"/>
        <w:pageBreakBefore w:val="0"/>
        <w:widowControl w:val="0"/>
        <w:kinsoku/>
        <w:wordWrap/>
        <w:overflowPunct/>
        <w:topLinePunct w:val="0"/>
        <w:autoSpaceDE/>
        <w:autoSpaceDN/>
        <w:bidi w:val="0"/>
        <w:adjustRightInd/>
        <w:snapToGrid/>
        <w:spacing w:line="360" w:lineRule="auto"/>
        <w:ind w:left="0" w:firstLine="5280" w:firstLineChars="2200"/>
        <w:jc w:val="center"/>
        <w:textAlignment w:val="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供应商（电子签章）：</w:t>
      </w:r>
    </w:p>
    <w:p>
      <w:pPr>
        <w:pStyle w:val="18"/>
        <w:rPr>
          <w:rFonts w:hint="eastAsia"/>
          <w:color w:val="auto"/>
          <w:lang w:val="zh-CN"/>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宋体" w:cs="Times New Roman"/>
          <w:b/>
          <w:color w:val="auto"/>
          <w:kern w:val="2"/>
          <w:sz w:val="28"/>
          <w:szCs w:val="28"/>
          <w:lang w:val="en-US" w:eastAsia="zh-CN" w:bidi="ar-SA"/>
        </w:rPr>
      </w:pPr>
      <w:r>
        <w:rPr>
          <w:rFonts w:hint="eastAsia" w:ascii="Arial" w:hAnsi="Arial" w:cs="Times New Roman"/>
          <w:b/>
          <w:color w:val="auto"/>
          <w:kern w:val="2"/>
          <w:sz w:val="28"/>
          <w:szCs w:val="28"/>
          <w:lang w:val="en-US" w:eastAsia="zh-CN" w:bidi="ar-SA"/>
        </w:rPr>
        <w:t>十</w:t>
      </w:r>
      <w:r>
        <w:rPr>
          <w:rFonts w:hint="eastAsia" w:ascii="Arial" w:hAnsi="Arial" w:eastAsia="宋体" w:cs="Times New Roman"/>
          <w:b/>
          <w:color w:val="auto"/>
          <w:kern w:val="2"/>
          <w:sz w:val="28"/>
          <w:szCs w:val="28"/>
          <w:lang w:val="en-US" w:eastAsia="zh-CN" w:bidi="ar-SA"/>
        </w:rPr>
        <w:t>、承诺书（给定格式）：</w:t>
      </w:r>
    </w:p>
    <w:p>
      <w:pPr>
        <w:spacing w:before="156" w:beforeLines="50" w:after="156" w:afterLines="50"/>
        <w:jc w:val="center"/>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承诺书</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zh-CN"/>
        </w:rPr>
        <w:t>（供应商名称）针对本项目</w:t>
      </w:r>
      <w:r>
        <w:rPr>
          <w:rFonts w:hint="eastAsia" w:ascii="宋体" w:hAnsi="宋体" w:cs="宋体"/>
          <w:color w:val="auto"/>
          <w:sz w:val="24"/>
          <w:szCs w:val="22"/>
          <w:lang w:val="en-US" w:eastAsia="zh-CN"/>
        </w:rPr>
        <w:t>JSZC-320282-JSXY-C2025-0012</w:t>
      </w:r>
      <w:r>
        <w:rPr>
          <w:rFonts w:hint="eastAsia" w:ascii="宋体" w:hAnsi="宋体" w:eastAsia="宋体" w:cs="宋体"/>
          <w:color w:val="auto"/>
          <w:sz w:val="24"/>
          <w:szCs w:val="22"/>
          <w:lang w:val="zh-CN"/>
        </w:rPr>
        <w:t>在此承诺：</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1.本公司（单位、联合体）对本项目所提供的货物均为原厂全新合格品，提供的服务符合磋商文件要求。</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2.本项目中如有涉及商品包装、快递包装要求的，本公司（单位、联合体）对于成交产品的包装将严格按《关于印发〈商品包装政府采购需求标准（试行）〉、〈快递包装政府采购需求标准（试行）〉的通知》（财办库〔2020〕123号）文件执行。</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5.根据财库〔2023〕29号、30号、31号、32号、33号、34号、35号（简称《需求标准》）规定，本项目中如有涉及数据库、操作系统、通用服务器、工作站、一体式计算机、便携式计算机、台式计算机等七种软硬件的，本公司（单位、联合体）将所报产品符合相关要求和标准。在满足《需求标准》的前提下，如磋商文件中对七种软硬件有其他要求的，本公司（单位、联合体）所投产品将满足磋商文件要求。如采购人在合同中约定，在履约验收管理时，对所提供的七种软硬件进行验收，且必要时将委托依法取得检测、认证资质的机构进行检测、认证的，本公司（单位、联合体）将予以配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……（供应商如有其他承诺的可在此处添加）</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r>
        <w:rPr>
          <w:rFonts w:hint="eastAsia" w:ascii="宋体" w:hAnsi="宋体" w:eastAsia="宋体" w:cs="宋体"/>
          <w:color w:val="auto"/>
          <w:sz w:val="24"/>
          <w:szCs w:val="22"/>
          <w:lang w:val="zh-CN"/>
        </w:rPr>
        <w:t>如违背上述承诺，本公司（单位、联合体）将承担一切法律责任。</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pP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val="zh-CN"/>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hAnsi="宋体" w:eastAsia="宋体" w:cs="宋体"/>
          <w:color w:val="auto"/>
          <w:sz w:val="24"/>
          <w:szCs w:val="22"/>
          <w:lang w:val="zh-CN"/>
        </w:rPr>
        <w:t xml:space="preserve">                           </w:t>
      </w:r>
      <w:r>
        <w:rPr>
          <w:rFonts w:hint="eastAsia" w:ascii="宋体" w:hAnsi="宋体" w:eastAsia="宋体" w:cs="宋体"/>
          <w:color w:val="auto"/>
          <w:sz w:val="24"/>
          <w:szCs w:val="22"/>
          <w:lang w:val="en-US" w:eastAsia="zh-CN"/>
        </w:rPr>
        <w:t xml:space="preserve">                </w:t>
      </w:r>
      <w:r>
        <w:rPr>
          <w:rFonts w:hint="eastAsia" w:ascii="宋体" w:hAnsi="宋体" w:eastAsia="宋体" w:cs="宋体"/>
          <w:color w:val="auto"/>
          <w:sz w:val="24"/>
          <w:szCs w:val="22"/>
          <w:lang w:val="zh-CN"/>
        </w:rPr>
        <w:t xml:space="preserve"> 供应商（电子签章）：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宋体" w:cs="Times New Roman"/>
          <w:b/>
          <w:color w:val="auto"/>
          <w:kern w:val="2"/>
          <w:sz w:val="28"/>
          <w:szCs w:val="28"/>
          <w:lang w:val="zh-CN" w:eastAsia="zh-CN" w:bidi="ar-SA"/>
        </w:rPr>
      </w:pPr>
      <w:r>
        <w:rPr>
          <w:rFonts w:hint="eastAsia" w:ascii="Arial" w:hAnsi="Arial" w:eastAsia="宋体" w:cs="Times New Roman"/>
          <w:b/>
          <w:color w:val="auto"/>
          <w:kern w:val="2"/>
          <w:sz w:val="28"/>
          <w:szCs w:val="28"/>
          <w:lang w:val="en-US" w:eastAsia="zh-CN" w:bidi="ar-SA"/>
        </w:rPr>
        <w:t>十</w:t>
      </w:r>
      <w:r>
        <w:rPr>
          <w:rFonts w:hint="eastAsia" w:ascii="Arial" w:hAnsi="Arial" w:cs="Times New Roman"/>
          <w:b/>
          <w:color w:val="auto"/>
          <w:kern w:val="2"/>
          <w:sz w:val="28"/>
          <w:szCs w:val="28"/>
          <w:lang w:val="en-US" w:eastAsia="zh-CN" w:bidi="ar-SA"/>
        </w:rPr>
        <w:t>一</w:t>
      </w:r>
      <w:r>
        <w:rPr>
          <w:rFonts w:hint="eastAsia" w:ascii="Arial" w:hAnsi="Arial" w:eastAsia="宋体" w:cs="Times New Roman"/>
          <w:b/>
          <w:color w:val="auto"/>
          <w:kern w:val="2"/>
          <w:sz w:val="28"/>
          <w:szCs w:val="28"/>
          <w:lang w:val="en-US" w:eastAsia="zh-CN" w:bidi="ar-SA"/>
        </w:rPr>
        <w:t>、</w:t>
      </w:r>
      <w:r>
        <w:rPr>
          <w:rFonts w:hint="eastAsia" w:ascii="Arial" w:hAnsi="Arial" w:eastAsia="宋体" w:cs="Times New Roman"/>
          <w:b/>
          <w:color w:val="auto"/>
          <w:kern w:val="2"/>
          <w:sz w:val="28"/>
          <w:szCs w:val="28"/>
          <w:lang w:val="zh-CN" w:eastAsia="zh-CN" w:bidi="ar-SA"/>
        </w:rPr>
        <w:t>项目技术要求偏离表</w:t>
      </w:r>
      <w:r>
        <w:rPr>
          <w:rFonts w:hint="eastAsia" w:ascii="Arial" w:hAnsi="Arial" w:eastAsia="宋体" w:cs="Times New Roman"/>
          <w:b/>
          <w:color w:val="auto"/>
          <w:kern w:val="2"/>
          <w:sz w:val="28"/>
          <w:szCs w:val="28"/>
          <w:lang w:val="en-US" w:eastAsia="zh-CN" w:bidi="ar-SA"/>
        </w:rPr>
        <w:t>（给定格式）：</w:t>
      </w:r>
    </w:p>
    <w:p>
      <w:pPr>
        <w:spacing w:before="156" w:beforeLines="50" w:after="156" w:afterLines="50"/>
        <w:jc w:val="center"/>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项目技术要求偏离表</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宜兴法院2026年度食堂管理服务</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color w:val="auto"/>
          <w:sz w:val="24"/>
          <w:szCs w:val="24"/>
          <w:highlight w:val="none"/>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JSZC-320282-JSXY-C2025-0012</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9"/>
        <w:gridCol w:w="1973"/>
        <w:gridCol w:w="2315"/>
        <w:gridCol w:w="2327"/>
        <w:gridCol w:w="19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9" w:type="dxa"/>
            <w:noWrap w:val="0"/>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序号</w:t>
            </w:r>
          </w:p>
        </w:tc>
        <w:tc>
          <w:tcPr>
            <w:tcW w:w="1973" w:type="dxa"/>
            <w:noWrap w:val="0"/>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项目名称</w:t>
            </w:r>
          </w:p>
        </w:tc>
        <w:tc>
          <w:tcPr>
            <w:tcW w:w="2315" w:type="dxa"/>
            <w:noWrap w:val="0"/>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采购要求</w:t>
            </w:r>
          </w:p>
        </w:tc>
        <w:tc>
          <w:tcPr>
            <w:tcW w:w="2327" w:type="dxa"/>
            <w:noWrap w:val="0"/>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报价响应</w:t>
            </w:r>
          </w:p>
        </w:tc>
        <w:tc>
          <w:tcPr>
            <w:tcW w:w="1969" w:type="dxa"/>
            <w:noWrap w:val="0"/>
            <w:vAlign w:val="center"/>
          </w:tcPr>
          <w:p>
            <w:pPr>
              <w:jc w:val="center"/>
              <w:rPr>
                <w:rFonts w:hint="eastAsia" w:ascii="宋体" w:hAnsi="宋体"/>
                <w:b/>
                <w:color w:val="auto"/>
                <w:sz w:val="24"/>
                <w:highlight w:val="none"/>
                <w:lang w:val="zh-CN"/>
              </w:rPr>
            </w:pPr>
            <w:r>
              <w:rPr>
                <w:rFonts w:hint="eastAsia" w:ascii="宋体" w:hAnsi="宋体"/>
                <w:b/>
                <w:color w:val="auto"/>
                <w:sz w:val="24"/>
                <w:highlight w:val="none"/>
                <w:lang w:val="zh-CN"/>
              </w:rPr>
              <w:t>正偏离/负偏离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9"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73"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15"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27"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69" w:type="dxa"/>
            <w:noWrap w:val="0"/>
            <w:vAlign w:val="center"/>
          </w:tcPr>
          <w:p>
            <w:pPr>
              <w:tabs>
                <w:tab w:val="left" w:pos="255"/>
              </w:tabs>
              <w:spacing w:line="360" w:lineRule="auto"/>
              <w:ind w:left="420" w:firstLine="480"/>
              <w:rPr>
                <w:rFonts w:hint="eastAsia" w:ascii="宋体"/>
                <w:color w:val="auto"/>
                <w:sz w:val="24"/>
                <w:szCs w:val="21"/>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9"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73"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15"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27"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69" w:type="dxa"/>
            <w:noWrap w:val="0"/>
            <w:vAlign w:val="center"/>
          </w:tcPr>
          <w:p>
            <w:pPr>
              <w:tabs>
                <w:tab w:val="left" w:pos="255"/>
              </w:tabs>
              <w:spacing w:line="360" w:lineRule="auto"/>
              <w:ind w:left="420" w:firstLine="480"/>
              <w:rPr>
                <w:rFonts w:hint="eastAsia" w:ascii="宋体"/>
                <w:color w:val="auto"/>
                <w:sz w:val="24"/>
                <w:szCs w:val="21"/>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9"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73"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15"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27"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69" w:type="dxa"/>
            <w:noWrap w:val="0"/>
            <w:vAlign w:val="center"/>
          </w:tcPr>
          <w:p>
            <w:pPr>
              <w:tabs>
                <w:tab w:val="left" w:pos="255"/>
              </w:tabs>
              <w:spacing w:line="360" w:lineRule="auto"/>
              <w:ind w:left="420" w:firstLine="480"/>
              <w:rPr>
                <w:rFonts w:hint="eastAsia" w:ascii="宋体"/>
                <w:color w:val="auto"/>
                <w:sz w:val="24"/>
                <w:szCs w:val="21"/>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9"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73"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15"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27"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69" w:type="dxa"/>
            <w:noWrap w:val="0"/>
            <w:vAlign w:val="center"/>
          </w:tcPr>
          <w:p>
            <w:pPr>
              <w:tabs>
                <w:tab w:val="left" w:pos="255"/>
              </w:tabs>
              <w:spacing w:line="360" w:lineRule="auto"/>
              <w:ind w:left="420" w:firstLine="480"/>
              <w:rPr>
                <w:rFonts w:hint="eastAsia" w:ascii="宋体"/>
                <w:color w:val="auto"/>
                <w:sz w:val="24"/>
                <w:szCs w:val="21"/>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9"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73"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15"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27"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69" w:type="dxa"/>
            <w:noWrap w:val="0"/>
            <w:vAlign w:val="center"/>
          </w:tcPr>
          <w:p>
            <w:pPr>
              <w:tabs>
                <w:tab w:val="left" w:pos="255"/>
              </w:tabs>
              <w:spacing w:line="360" w:lineRule="auto"/>
              <w:ind w:left="420" w:firstLine="480"/>
              <w:rPr>
                <w:rFonts w:hint="eastAsia" w:ascii="宋体"/>
                <w:color w:val="auto"/>
                <w:sz w:val="24"/>
                <w:szCs w:val="21"/>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9"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73"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15"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2327" w:type="dxa"/>
            <w:noWrap w:val="0"/>
            <w:vAlign w:val="center"/>
          </w:tcPr>
          <w:p>
            <w:pPr>
              <w:tabs>
                <w:tab w:val="left" w:pos="255"/>
              </w:tabs>
              <w:spacing w:line="360" w:lineRule="auto"/>
              <w:ind w:left="420" w:firstLine="480"/>
              <w:rPr>
                <w:rFonts w:hint="eastAsia" w:ascii="宋体"/>
                <w:color w:val="auto"/>
                <w:sz w:val="24"/>
                <w:szCs w:val="21"/>
                <w:lang w:val="zh-CN"/>
              </w:rPr>
            </w:pPr>
          </w:p>
        </w:tc>
        <w:tc>
          <w:tcPr>
            <w:tcW w:w="1969" w:type="dxa"/>
            <w:noWrap w:val="0"/>
            <w:vAlign w:val="center"/>
          </w:tcPr>
          <w:p>
            <w:pPr>
              <w:tabs>
                <w:tab w:val="left" w:pos="255"/>
              </w:tabs>
              <w:spacing w:line="360" w:lineRule="auto"/>
              <w:ind w:left="420" w:firstLine="480"/>
              <w:rPr>
                <w:rFonts w:hint="eastAsia" w:ascii="宋体"/>
                <w:color w:val="auto"/>
                <w:sz w:val="24"/>
                <w:szCs w:val="21"/>
                <w:lang w:val="zh-CN"/>
              </w:rPr>
            </w:pPr>
          </w:p>
        </w:tc>
      </w:tr>
    </w:tbl>
    <w:p>
      <w:pPr>
        <w:pStyle w:val="18"/>
        <w:ind w:left="0" w:leftChars="0" w:firstLine="0" w:firstLineChars="0"/>
        <w:rPr>
          <w:rFonts w:hint="eastAsia"/>
          <w:color w:val="auto"/>
          <w:lang w:val="zh-CN"/>
        </w:rPr>
      </w:pPr>
    </w:p>
    <w:p>
      <w:pPr>
        <w:keepNext w:val="0"/>
        <w:keepLines w:val="0"/>
        <w:pageBreakBefore w:val="0"/>
        <w:widowControl w:val="0"/>
        <w:kinsoku/>
        <w:wordWrap/>
        <w:overflowPunct/>
        <w:topLinePunct w:val="0"/>
        <w:autoSpaceDE/>
        <w:autoSpaceDN/>
        <w:bidi w:val="0"/>
        <w:adjustRightInd/>
        <w:snapToGrid/>
        <w:spacing w:line="360" w:lineRule="auto"/>
        <w:ind w:left="0" w:firstLine="5280" w:firstLineChars="2200"/>
        <w:jc w:val="center"/>
        <w:textAlignment w:val="auto"/>
        <w:rPr>
          <w:rFonts w:hint="eastAsia" w:ascii="宋体" w:hAnsi="宋体"/>
          <w:bCs/>
          <w:color w:val="auto"/>
          <w:sz w:val="24"/>
          <w:highlight w:val="none"/>
          <w:lang w:val="zh-CN"/>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供应商（电子签章）：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bCs/>
          <w:color w:val="auto"/>
          <w:sz w:val="24"/>
          <w:szCs w:val="24"/>
          <w:lang w:val="zh-CN"/>
        </w:rPr>
      </w:pP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jc w:val="left"/>
        <w:textAlignment w:val="auto"/>
        <w:rPr>
          <w:rFonts w:hint="eastAsia" w:ascii="宋体"/>
          <w:bCs/>
          <w:color w:val="auto"/>
          <w:sz w:val="22"/>
          <w:szCs w:val="22"/>
          <w:lang w:val="zh-CN"/>
        </w:rPr>
      </w:pPr>
      <w:r>
        <w:rPr>
          <w:rFonts w:hint="eastAsia" w:ascii="宋体"/>
          <w:bCs/>
          <w:color w:val="auto"/>
          <w:sz w:val="22"/>
          <w:szCs w:val="22"/>
          <w:lang w:val="zh-CN"/>
        </w:rPr>
        <w:t>注：</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40" w:firstLineChars="200"/>
        <w:jc w:val="left"/>
        <w:textAlignment w:val="auto"/>
        <w:rPr>
          <w:rFonts w:hint="eastAsia" w:ascii="宋体"/>
          <w:bCs/>
          <w:color w:val="auto"/>
          <w:sz w:val="22"/>
          <w:szCs w:val="22"/>
          <w:lang w:val="zh-CN"/>
        </w:rPr>
      </w:pPr>
      <w:r>
        <w:rPr>
          <w:rFonts w:hint="eastAsia" w:ascii="宋体"/>
          <w:bCs/>
          <w:color w:val="auto"/>
          <w:sz w:val="22"/>
          <w:szCs w:val="22"/>
          <w:lang w:val="zh-CN"/>
        </w:rPr>
        <w:t>（1）供应商应对照磋商文件第三章“项目技术要求和有关说明”的相关要求，将自身响应的偏离情况（与磋商文件要求不一致的地方）详细填入上表，并注明“正偏离/负偏离”；若未填写上表，视为完全响应。</w:t>
      </w:r>
    </w:p>
    <w:p>
      <w:pPr>
        <w:keepNext w:val="0"/>
        <w:keepLines w:val="0"/>
        <w:pageBreakBefore w:val="0"/>
        <w:widowControl w:val="0"/>
        <w:tabs>
          <w:tab w:val="left" w:pos="255"/>
        </w:tabs>
        <w:kinsoku/>
        <w:wordWrap w:val="0"/>
        <w:overflowPunct/>
        <w:topLinePunct w:val="0"/>
        <w:autoSpaceDE/>
        <w:autoSpaceDN/>
        <w:bidi w:val="0"/>
        <w:adjustRightInd/>
        <w:snapToGrid/>
        <w:spacing w:line="360" w:lineRule="auto"/>
        <w:ind w:firstLine="440" w:firstLineChars="200"/>
        <w:jc w:val="left"/>
        <w:textAlignment w:val="auto"/>
        <w:rPr>
          <w:rFonts w:hint="eastAsia" w:ascii="宋体" w:hAnsi="宋体"/>
          <w:bCs/>
          <w:color w:val="auto"/>
          <w:sz w:val="22"/>
          <w:szCs w:val="22"/>
        </w:rPr>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pPr>
      <w:r>
        <w:rPr>
          <w:rFonts w:hint="eastAsia" w:ascii="宋体"/>
          <w:bCs/>
          <w:color w:val="auto"/>
          <w:sz w:val="22"/>
          <w:szCs w:val="22"/>
          <w:lang w:val="zh-CN"/>
        </w:rPr>
        <w:t>（2）“正偏离”指供应商提供的服务（货物）响应情况优于磋商文件要求；“负偏离”指供应商提供的服务（货物）响应情况劣于磋商文件要求</w:t>
      </w:r>
      <w:r>
        <w:rPr>
          <w:rFonts w:hint="eastAsia" w:ascii="宋体" w:hAnsi="宋体"/>
          <w:bCs/>
          <w:color w:val="auto"/>
          <w:sz w:val="22"/>
          <w:szCs w:val="22"/>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Arial" w:hAnsi="Arial" w:eastAsia="宋体" w:cs="Times New Roman"/>
          <w:b/>
          <w:color w:val="auto"/>
          <w:kern w:val="2"/>
          <w:sz w:val="28"/>
          <w:szCs w:val="28"/>
          <w:lang w:val="zh-CN" w:eastAsia="zh-CN" w:bidi="ar-SA"/>
        </w:rPr>
      </w:pPr>
      <w:r>
        <w:rPr>
          <w:rFonts w:hint="eastAsia" w:ascii="Arial" w:hAnsi="Arial" w:eastAsia="宋体" w:cs="Times New Roman"/>
          <w:b/>
          <w:color w:val="auto"/>
          <w:kern w:val="2"/>
          <w:sz w:val="28"/>
          <w:szCs w:val="28"/>
          <w:lang w:val="zh-CN" w:eastAsia="zh-CN" w:bidi="ar-SA"/>
        </w:rPr>
        <w:t>十</w:t>
      </w:r>
      <w:r>
        <w:rPr>
          <w:rFonts w:hint="eastAsia" w:ascii="Arial" w:hAnsi="Arial" w:cs="Times New Roman"/>
          <w:b/>
          <w:color w:val="auto"/>
          <w:kern w:val="2"/>
          <w:sz w:val="28"/>
          <w:szCs w:val="28"/>
          <w:lang w:val="zh-CN" w:eastAsia="zh-CN" w:bidi="ar-SA"/>
        </w:rPr>
        <w:t>二</w:t>
      </w:r>
      <w:r>
        <w:rPr>
          <w:rFonts w:hint="eastAsia" w:ascii="Arial" w:hAnsi="Arial" w:eastAsia="宋体" w:cs="Times New Roman"/>
          <w:b/>
          <w:color w:val="auto"/>
          <w:kern w:val="2"/>
          <w:sz w:val="28"/>
          <w:szCs w:val="28"/>
          <w:lang w:val="zh-CN" w:eastAsia="zh-CN" w:bidi="ar-SA"/>
        </w:rPr>
        <w:t>、项目人员配置清单（参考格式）:</w:t>
      </w:r>
    </w:p>
    <w:p>
      <w:pPr>
        <w:spacing w:before="156" w:beforeLines="50" w:after="156" w:afterLines="50"/>
        <w:jc w:val="center"/>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项目人员配置清单</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lang w:eastAsia="zh-CN"/>
        </w:rPr>
        <w:t>宜兴法院2026年度食堂管理服务</w:t>
      </w:r>
      <w:r>
        <w:rPr>
          <w:rFonts w:hint="default" w:ascii="宋体" w:hAnsi="宋体"/>
          <w:color w:val="auto"/>
          <w:sz w:val="24"/>
          <w:szCs w:val="24"/>
          <w:highlight w:val="none"/>
          <w:lang w:eastAsia="zh-CN"/>
        </w:rPr>
        <w:t xml:space="preserve"> </w:t>
      </w: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color w:val="auto"/>
          <w:highlight w:val="none"/>
        </w:rPr>
      </w:pPr>
      <w:r>
        <w:rPr>
          <w:rFonts w:hint="eastAsia" w:ascii="宋体" w:hAnsi="宋体"/>
          <w:color w:val="auto"/>
          <w:sz w:val="24"/>
          <w:szCs w:val="24"/>
          <w:highlight w:val="none"/>
        </w:rPr>
        <w:t>项目编号：</w:t>
      </w:r>
      <w:r>
        <w:rPr>
          <w:rFonts w:hint="eastAsia" w:ascii="宋体" w:hAnsi="宋体"/>
          <w:color w:val="auto"/>
          <w:sz w:val="24"/>
          <w:szCs w:val="24"/>
          <w:highlight w:val="none"/>
          <w:lang w:eastAsia="zh-CN"/>
        </w:rPr>
        <w:t>JSZC-320282-JSXY-C2025-0012</w:t>
      </w:r>
      <w:r>
        <w:rPr>
          <w:rFonts w:hint="eastAsia" w:ascii="宋体" w:hAnsi="宋体"/>
          <w:color w:val="auto"/>
          <w:sz w:val="24"/>
          <w:szCs w:val="24"/>
          <w:highlight w:val="none"/>
          <w:lang w:val="zh-CN"/>
        </w:rPr>
        <w:t xml:space="preserve">   </w:t>
      </w:r>
      <w:r>
        <w:rPr>
          <w:rFonts w:hint="eastAsia" w:ascii="宋体" w:hAnsi="宋体"/>
          <w:color w:val="auto"/>
          <w:sz w:val="24"/>
          <w:szCs w:val="21"/>
          <w:highlight w:val="none"/>
          <w:lang w:val="zh-CN"/>
        </w:rPr>
        <w:t xml:space="preserve">    </w:t>
      </w:r>
    </w:p>
    <w:tbl>
      <w:tblPr>
        <w:tblStyle w:val="6"/>
        <w:tblW w:w="96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1425"/>
        <w:gridCol w:w="1650"/>
        <w:gridCol w:w="1632"/>
        <w:gridCol w:w="1631"/>
        <w:gridCol w:w="2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sz w:val="24"/>
                <w:highlight w:val="none"/>
              </w:rPr>
            </w:pPr>
            <w:r>
              <w:rPr>
                <w:rFonts w:hint="eastAsia" w:ascii="宋体" w:hAnsi="宋体"/>
                <w:b/>
                <w:sz w:val="24"/>
                <w:highlight w:val="none"/>
              </w:rPr>
              <w:t>序号</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sz w:val="24"/>
                <w:highlight w:val="none"/>
              </w:rPr>
            </w:pPr>
            <w:r>
              <w:rPr>
                <w:rFonts w:hint="eastAsia" w:ascii="宋体" w:hAnsi="宋体"/>
                <w:b/>
                <w:sz w:val="24"/>
                <w:highlight w:val="none"/>
              </w:rPr>
              <w:t>姓名</w:t>
            </w: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sz w:val="24"/>
                <w:highlight w:val="none"/>
              </w:rPr>
            </w:pPr>
            <w:r>
              <w:rPr>
                <w:rFonts w:hint="eastAsia" w:ascii="宋体" w:hAnsi="宋体"/>
                <w:b/>
                <w:sz w:val="24"/>
                <w:highlight w:val="none"/>
              </w:rPr>
              <w:t>性别</w:t>
            </w: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sz w:val="24"/>
                <w:highlight w:val="none"/>
              </w:rPr>
            </w:pPr>
            <w:r>
              <w:rPr>
                <w:rFonts w:hint="eastAsia" w:ascii="宋体" w:hAnsi="宋体"/>
                <w:b/>
                <w:sz w:val="24"/>
                <w:highlight w:val="none"/>
              </w:rPr>
              <w:t>年龄</w:t>
            </w: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sz w:val="24"/>
                <w:highlight w:val="none"/>
              </w:rPr>
            </w:pPr>
            <w:r>
              <w:rPr>
                <w:rFonts w:hint="eastAsia" w:ascii="宋体" w:hAnsi="宋体"/>
                <w:b/>
                <w:sz w:val="24"/>
                <w:highlight w:val="none"/>
              </w:rPr>
              <w:t>岗位名称</w:t>
            </w: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b/>
                <w:sz w:val="24"/>
                <w:highlight w:val="none"/>
              </w:rPr>
            </w:pPr>
            <w:r>
              <w:rPr>
                <w:rFonts w:hint="eastAsia" w:ascii="宋体" w:hAnsi="宋体"/>
                <w:b/>
                <w:sz w:val="24"/>
                <w:highlight w:val="none"/>
              </w:rPr>
              <w:t>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2</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3</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4</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5</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6</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7</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8</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9</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10</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1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r>
              <w:rPr>
                <w:rFonts w:hint="eastAsia" w:ascii="宋体" w:hAnsi="宋体"/>
                <w:sz w:val="24"/>
                <w:highlight w:val="none"/>
              </w:rPr>
              <w:t>… …</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163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c>
          <w:tcPr>
            <w:tcW w:w="21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sz w:val="24"/>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表格不够可自行延长。</w:t>
      </w:r>
    </w:p>
    <w:p>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2.应按磋商文件要求配备项目人员及提供相关证明材料，以满足项目的基准要求，否则报价无效。</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3.上述人员如在项目执行过程中需要更换，须经采购人同意。擅自更换或不到位属违约行为。</w:t>
      </w:r>
    </w:p>
    <w:p>
      <w:pPr>
        <w:tabs>
          <w:tab w:val="left" w:pos="255"/>
        </w:tabs>
        <w:spacing w:line="360" w:lineRule="auto"/>
        <w:ind w:left="840" w:leftChars="400"/>
        <w:rPr>
          <w:rFonts w:hint="eastAsia" w:ascii="宋体" w:hAnsi="宋体"/>
          <w:bCs/>
          <w:color w:val="auto"/>
          <w:sz w:val="24"/>
          <w:szCs w:val="24"/>
          <w:highlight w:val="none"/>
          <w:lang w:val="zh-CN"/>
        </w:rPr>
      </w:pPr>
    </w:p>
    <w:p>
      <w:pPr>
        <w:pStyle w:val="18"/>
        <w:ind w:left="0" w:leftChars="0" w:firstLine="0" w:firstLineChars="0"/>
        <w:rPr>
          <w:rFonts w:hint="eastAsia"/>
          <w:color w:val="auto"/>
          <w:lang w:val="zh-CN"/>
        </w:rPr>
      </w:pPr>
    </w:p>
    <w:p>
      <w:pPr>
        <w:keepNext w:val="0"/>
        <w:keepLines w:val="0"/>
        <w:pageBreakBefore w:val="0"/>
        <w:widowControl w:val="0"/>
        <w:kinsoku/>
        <w:wordWrap/>
        <w:overflowPunct/>
        <w:topLinePunct w:val="0"/>
        <w:autoSpaceDE/>
        <w:autoSpaceDN/>
        <w:bidi w:val="0"/>
        <w:adjustRightInd/>
        <w:snapToGrid/>
        <w:spacing w:line="360" w:lineRule="auto"/>
        <w:ind w:left="0" w:firstLine="5280" w:firstLineChars="2200"/>
        <w:jc w:val="center"/>
        <w:textAlignment w:val="auto"/>
        <w:rPr>
          <w:color w:val="auto"/>
        </w:rPr>
      </w:pPr>
      <w:r>
        <w:rPr>
          <w:rFonts w:hint="eastAsia" w:ascii="宋体" w:hAnsi="宋体"/>
          <w:bCs/>
          <w:color w:val="auto"/>
          <w:sz w:val="24"/>
          <w:highlight w:val="none"/>
        </w:rPr>
        <w:t xml:space="preserve"> </w:t>
      </w:r>
      <w:r>
        <w:rPr>
          <w:rFonts w:hint="eastAsia" w:ascii="宋体" w:hAnsi="宋体"/>
          <w:bCs/>
          <w:color w:val="auto"/>
          <w:sz w:val="24"/>
          <w:highlight w:val="none"/>
          <w:lang w:val="zh-CN"/>
        </w:rPr>
        <w:t>供应商（电子签章）：</w:t>
      </w:r>
    </w:p>
    <w:p/>
    <w:p/>
    <w:p/>
    <w:sectPr>
      <w:pgSz w:w="11906" w:h="16838"/>
      <w:pgMar w:top="1134" w:right="1134" w:bottom="1134" w:left="1134"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lear" w:pos="4153"/>
      </w:tabs>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- 34 -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- 34 -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- 40 -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- 40 -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1D12A9"/>
    <w:multiLevelType w:val="multilevel"/>
    <w:tmpl w:val="941D12A9"/>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8EBE7DD"/>
    <w:multiLevelType w:val="singleLevel"/>
    <w:tmpl w:val="B8EBE7DD"/>
    <w:lvl w:ilvl="0" w:tentative="0">
      <w:start w:val="1"/>
      <w:numFmt w:val="decimal"/>
      <w:suff w:val="nothing"/>
      <w:lvlText w:val="（%1）"/>
      <w:lvlJc w:val="left"/>
    </w:lvl>
  </w:abstractNum>
  <w:abstractNum w:abstractNumId="2">
    <w:nsid w:val="00000006"/>
    <w:multiLevelType w:val="singleLevel"/>
    <w:tmpl w:val="00000006"/>
    <w:lvl w:ilvl="0" w:tentative="0">
      <w:start w:val="1"/>
      <w:numFmt w:val="decimal"/>
      <w:suff w:val="nothing"/>
      <w:lvlText w:val="%1．"/>
      <w:lvlJc w:val="left"/>
      <w:pPr>
        <w:ind w:left="0" w:firstLine="400"/>
      </w:pPr>
      <w:rPr>
        <w:rFonts w:hint="default"/>
      </w:rPr>
    </w:lvl>
  </w:abstractNum>
  <w:abstractNum w:abstractNumId="3">
    <w:nsid w:val="3AE33B7C"/>
    <w:multiLevelType w:val="multilevel"/>
    <w:tmpl w:val="3AE33B7C"/>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5">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6">
    <w:nsid w:val="63B12E74"/>
    <w:multiLevelType w:val="multilevel"/>
    <w:tmpl w:val="63B12E7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659EB354"/>
    <w:multiLevelType w:val="multilevel"/>
    <w:tmpl w:val="659EB354"/>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44F3566"/>
    <w:multiLevelType w:val="multilevel"/>
    <w:tmpl w:val="744F356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0"/>
  </w:num>
  <w:num w:numId="4">
    <w:abstractNumId w:val="3"/>
  </w:num>
  <w:num w:numId="5">
    <w:abstractNumId w:val="7"/>
  </w:num>
  <w:num w:numId="6">
    <w:abstractNumId w:val="1"/>
  </w:num>
  <w:num w:numId="7">
    <w:abstractNumId w:val="6"/>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A16317"/>
    <w:rsid w:val="029F3D0F"/>
    <w:rsid w:val="05A35F75"/>
    <w:rsid w:val="0FB01B0A"/>
    <w:rsid w:val="1AAF17A5"/>
    <w:rsid w:val="28352A73"/>
    <w:rsid w:val="29A16317"/>
    <w:rsid w:val="2ABA12D6"/>
    <w:rsid w:val="2BE34392"/>
    <w:rsid w:val="301307FF"/>
    <w:rsid w:val="36971C9C"/>
    <w:rsid w:val="3F5465F5"/>
    <w:rsid w:val="4BEE4070"/>
    <w:rsid w:val="4D842436"/>
    <w:rsid w:val="4E2105ED"/>
    <w:rsid w:val="51D442CE"/>
    <w:rsid w:val="55553A86"/>
    <w:rsid w:val="59E66675"/>
    <w:rsid w:val="69767043"/>
    <w:rsid w:val="6B7F1EE5"/>
    <w:rsid w:val="6F4F3F62"/>
    <w:rsid w:val="795F2DDB"/>
    <w:rsid w:val="7CB378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cs="Times New Roman"/>
      <w:sz w:val="20"/>
      <w:szCs w:val="20"/>
    </w:rPr>
  </w:style>
  <w:style w:type="paragraph" w:styleId="3">
    <w:name w:val="footer"/>
    <w:basedOn w:val="1"/>
    <w:qFormat/>
    <w:uiPriority w:val="99"/>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table" w:styleId="7">
    <w:name w:val="Table Grid"/>
    <w:basedOn w:val="6"/>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FollowedHyperlink"/>
    <w:qFormat/>
    <w:uiPriority w:val="0"/>
    <w:rPr>
      <w:color w:val="auto"/>
      <w:u w:val="none"/>
    </w:rPr>
  </w:style>
  <w:style w:type="paragraph" w:customStyle="1" w:styleId="10">
    <w:name w:val="正文文本缩进1"/>
    <w:basedOn w:val="1"/>
    <w:qFormat/>
    <w:uiPriority w:val="0"/>
    <w:pPr>
      <w:spacing w:after="120" w:line="360" w:lineRule="auto"/>
      <w:ind w:left="420" w:firstLine="1124"/>
    </w:pPr>
    <w:rPr>
      <w:rFonts w:ascii="Calibri" w:hAnsi="Calibri"/>
      <w:sz w:val="24"/>
      <w:szCs w:val="24"/>
    </w:rPr>
  </w:style>
  <w:style w:type="paragraph" w:customStyle="1" w:styleId="11">
    <w:name w:val="普通文字"/>
    <w:basedOn w:val="1"/>
    <w:next w:val="1"/>
    <w:qFormat/>
    <w:uiPriority w:val="99"/>
    <w:rPr>
      <w:rFonts w:ascii="宋体"/>
      <w:kern w:val="0"/>
      <w:sz w:val="24"/>
      <w:u w:val="none" w:color="000000"/>
    </w:rPr>
  </w:style>
  <w:style w:type="paragraph" w:customStyle="1" w:styleId="12">
    <w:name w:val="02 表格名称"/>
    <w:qFormat/>
    <w:uiPriority w:val="0"/>
    <w:pPr>
      <w:spacing w:beforeLines="50" w:line="360" w:lineRule="auto"/>
      <w:jc w:val="center"/>
    </w:pPr>
    <w:rPr>
      <w:rFonts w:ascii="Times New Roman" w:hAnsi="Times New Roman" w:eastAsia="宋体" w:cstheme="minorBidi"/>
      <w:b/>
      <w:kern w:val="2"/>
      <w:sz w:val="21"/>
      <w:szCs w:val="22"/>
      <w:lang w:val="en-US" w:eastAsia="zh-CN" w:bidi="ar-SA"/>
    </w:rPr>
  </w:style>
  <w:style w:type="paragraph" w:customStyle="1" w:styleId="13">
    <w:name w:val="Table Text"/>
    <w:basedOn w:val="1"/>
    <w:semiHidden/>
    <w:qFormat/>
    <w:uiPriority w:val="0"/>
    <w:rPr>
      <w:rFonts w:ascii="宋体" w:hAnsi="宋体" w:eastAsia="宋体" w:cs="宋体"/>
      <w:sz w:val="24"/>
      <w:szCs w:val="24"/>
      <w:lang w:val="en-US" w:eastAsia="en-US" w:bidi="ar-SA"/>
    </w:rPr>
  </w:style>
  <w:style w:type="paragraph" w:customStyle="1" w:styleId="14">
    <w:name w:val="段"/>
    <w:next w:val="1"/>
    <w:qFormat/>
    <w:uiPriority w:val="0"/>
    <w:pPr>
      <w:autoSpaceDE w:val="0"/>
      <w:autoSpaceDN w:val="0"/>
      <w:ind w:firstLine="200" w:firstLineChars="200"/>
      <w:jc w:val="both"/>
    </w:pPr>
    <w:rPr>
      <w:rFonts w:ascii="宋体" w:hAnsi="Times New Roman" w:eastAsia="Times New Roman" w:cs="Times New Roman"/>
      <w:sz w:val="21"/>
      <w:szCs w:val="22"/>
      <w:lang w:val="en-US" w:eastAsia="zh-CN" w:bidi="ar-SA"/>
    </w:rPr>
  </w:style>
  <w:style w:type="paragraph" w:customStyle="1" w:styleId="15">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16">
    <w:name w:val="索引 11"/>
    <w:basedOn w:val="1"/>
    <w:next w:val="1"/>
    <w:qFormat/>
    <w:uiPriority w:val="0"/>
    <w:pPr>
      <w:spacing w:line="360" w:lineRule="auto"/>
    </w:pPr>
    <w:rPr>
      <w:rFonts w:ascii="仿宋_GB2312" w:eastAsia="仿宋_GB2312"/>
      <w:sz w:val="24"/>
      <w:szCs w:val="20"/>
    </w:rPr>
  </w:style>
  <w:style w:type="paragraph" w:customStyle="1" w:styleId="17">
    <w:name w:val="普通正文"/>
    <w:basedOn w:val="1"/>
    <w:qFormat/>
    <w:uiPriority w:val="0"/>
    <w:pPr>
      <w:spacing w:before="120" w:after="120" w:line="360" w:lineRule="auto"/>
      <w:ind w:firstLine="480"/>
      <w:jc w:val="left"/>
    </w:pPr>
    <w:rPr>
      <w:rFonts w:ascii="Arial" w:hAnsi="Arial"/>
      <w:sz w:val="24"/>
      <w:szCs w:val="24"/>
    </w:rPr>
  </w:style>
  <w:style w:type="paragraph" w:customStyle="1" w:styleId="18">
    <w:name w:val="首行缩进"/>
    <w:basedOn w:val="1"/>
    <w:qFormat/>
    <w:uiPriority w:val="0"/>
    <w:pPr>
      <w:spacing w:line="360" w:lineRule="auto"/>
      <w:ind w:firstLine="480"/>
      <w:jc w:val="left"/>
    </w:pPr>
    <w:rPr>
      <w:rFonts w:ascii="宋体" w:hAnsi="宋体"/>
      <w:sz w:val="24"/>
    </w:rPr>
  </w:style>
  <w:style w:type="paragraph" w:customStyle="1" w:styleId="19">
    <w:name w:val="普通(网站)1"/>
    <w:basedOn w:val="1"/>
    <w:unhideWhenUsed/>
    <w:qFormat/>
    <w:uiPriority w:val="99"/>
    <w:pPr>
      <w:spacing w:before="100" w:beforeAutospacing="1" w:after="100" w:afterAutospacing="1"/>
      <w:jc w:val="left"/>
    </w:pPr>
    <w:rPr>
      <w:rFonts w:ascii="Times New Roman" w:hAnsi="Times New Roman"/>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11272</Words>
  <Characters>11894</Characters>
  <Lines>0</Lines>
  <Paragraphs>0</Paragraphs>
  <TotalTime>74</TotalTime>
  <ScaleCrop>false</ScaleCrop>
  <LinksUpToDate>false</LinksUpToDate>
  <CharactersWithSpaces>12060</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2025-11-24T01:34:00Z</dcterms:created>
  <dc:creator>LiJiaQing</dc:creator>
  <cp:lastModifiedBy>LiJiaQing</cp:lastModifiedBy>
  <dcterms:modified xsi:type="dcterms:W3CDTF">2025-12-10T02:03:43Z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F8F9E9A3DF3A40ECB6B004DD01E0C1B7</vt:lpwstr>
  </property>
  <property fmtid="{D5CDD505-2E9C-101B-9397-08002B2CF9AE}" pid="4" name="KSOTemplateDocerSaveRecord">
    <vt:lpwstr>eyJoZGlkIjoiMmZiYTNhNmI4NGQ4NTg0OWYxNzZkYWRiZWRkZjRiYTYiLCJ1c2VySWQiOiIyNDk2MTM0NTIifQ==</vt:lpwstr>
  </property>
</Properties>
</file>