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jc w:val="right"/>
        <w:rPr>
          <w:rFonts w:hint="eastAsia" w:ascii="宋体" w:hAnsi="宋体"/>
          <w:b/>
          <w:bCs/>
          <w:color w:val="000000"/>
          <w:sz w:val="36"/>
          <w:szCs w:val="36"/>
          <w:highlight w:val="none"/>
        </w:rPr>
      </w:pPr>
      <w:r>
        <w:rPr>
          <w:rFonts w:hint="eastAsia" w:ascii="宋体" w:hAnsi="宋体"/>
          <w:b/>
          <w:bCs/>
          <w:color w:val="000000"/>
          <w:sz w:val="36"/>
          <w:szCs w:val="36"/>
          <w:highlight w:val="none"/>
          <w:lang w:val="en-US" w:eastAsia="zh-CN"/>
        </w:rPr>
        <w:t xml:space="preserve">JSZC-321000-DJZX-G2025-0003号</w:t>
      </w:r>
      <w:r>
        <w:rPr>
          <w:rFonts w:hint="eastAsia" w:ascii="宋体" w:hAnsi="宋体"/>
          <w:b/>
          <w:bCs/>
          <w:color w:val="000000"/>
          <w:sz w:val="36"/>
          <w:szCs w:val="36"/>
          <w:highlight w:val="none"/>
        </w:rPr>
      </w:r>
      <w:r/>
    </w:p>
    <w:p>
      <w:pPr>
        <w:pStyle w:val="1014"/>
        <w:jc w:val="center"/>
        <w:rPr>
          <w:rFonts w:hint="eastAsia" w:ascii="宋体" w:hAnsi="宋体"/>
          <w:b/>
          <w:bCs/>
          <w:color w:val="000000"/>
          <w:sz w:val="40"/>
          <w:szCs w:val="40"/>
          <w:highlight w:val="none"/>
          <w:lang w:eastAsia="zh-CN"/>
        </w:rPr>
      </w:pPr>
      <w:r>
        <w:rPr>
          <w:rFonts w:hint="eastAsia" w:ascii="宋体" w:hAnsi="宋体"/>
          <w:b/>
          <w:bCs/>
          <w:color w:val="000000"/>
          <w:sz w:val="40"/>
          <w:szCs w:val="40"/>
          <w:highlight w:val="none"/>
          <w:lang w:eastAsia="zh-CN"/>
        </w:rPr>
      </w:r>
      <w:r/>
    </w:p>
    <w:p>
      <w:pPr>
        <w:pStyle w:val="1014"/>
        <w:jc w:val="center"/>
        <w:rPr>
          <w:rFonts w:hint="eastAsia" w:ascii="宋体" w:hAnsi="宋体"/>
          <w:b/>
          <w:bCs/>
          <w:color w:val="000000"/>
          <w:sz w:val="40"/>
          <w:szCs w:val="40"/>
          <w:highlight w:val="none"/>
        </w:rPr>
      </w:pPr>
      <w:r>
        <w:rPr>
          <w:rFonts w:hint="eastAsia" w:ascii="宋体" w:hAnsi="宋体"/>
          <w:b/>
          <w:bCs/>
          <w:color w:val="000000"/>
          <w:sz w:val="40"/>
          <w:szCs w:val="40"/>
          <w:highlight w:val="none"/>
          <w:lang w:eastAsia="zh-CN"/>
        </w:rPr>
        <w:t xml:space="preserve">食品中非法添加物、未知物筛查及农兽药残留检测能力提升项目</w:t>
      </w:r>
      <w:r>
        <w:rPr>
          <w:rFonts w:hint="eastAsia" w:ascii="宋体" w:hAnsi="宋体"/>
          <w:b/>
          <w:bCs/>
          <w:color w:val="000000"/>
          <w:sz w:val="40"/>
          <w:szCs w:val="40"/>
          <w:highlight w:val="none"/>
        </w:rPr>
        <w:t xml:space="preserve">公开招标文件</w:t>
      </w:r>
      <w:r>
        <w:rPr>
          <w:rFonts w:hint="eastAsia" w:ascii="宋体" w:hAnsi="宋体"/>
          <w:b/>
          <w:bCs/>
          <w:color w:val="000000"/>
          <w:sz w:val="40"/>
          <w:szCs w:val="40"/>
          <w:highlight w:val="none"/>
        </w:rPr>
      </w:r>
      <w:r/>
    </w:p>
    <w:p>
      <w:pPr>
        <w:pStyle w:val="1095"/>
        <w:ind w:left="0" w:firstLine="0"/>
        <w:rPr>
          <w:rFonts w:hint="eastAsia"/>
          <w:color w:val="000000"/>
          <w:highlight w:val="none"/>
        </w:rPr>
      </w:pPr>
      <w:r>
        <w:rPr>
          <w:rFonts w:hint="eastAsia"/>
          <w:color w:val="000000"/>
          <w:highlight w:val="none"/>
        </w:rPr>
      </w:r>
      <w:r/>
    </w:p>
    <w:p>
      <w:pPr>
        <w:pStyle w:val="1014"/>
        <w:jc w:val="center"/>
        <w:rPr>
          <w:rFonts w:hint="eastAsia" w:ascii="宋体" w:hAnsi="宋体"/>
          <w:color w:val="000000"/>
          <w:szCs w:val="21"/>
          <w:highlight w:val="none"/>
        </w:rPr>
      </w:pPr>
      <w:r>
        <w:rPr>
          <w:rFonts w:hint="eastAsia" w:ascii="宋体" w:hAnsi="宋体"/>
          <w:color w:val="000000"/>
          <w:szCs w:val="21"/>
          <w:highlight w:val="none"/>
        </w:rPr>
        <mc:AlternateContent>
          <mc:Choice Requires="wpg">
            <w:drawing>
              <wp:inline xmlns:wp="http://schemas.openxmlformats.org/drawingml/2006/wordprocessingDrawing" distT="0" distB="0" distL="0" distR="0">
                <wp:extent cx="5271173" cy="27948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173" cy="2794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220.1pt;mso-wrap-distance-left:0.0pt;mso-wrap-distance-top:0.0pt;mso-wrap-distance-right:0.0pt;mso-wrap-distance-bottom:0.0pt;" stroked="f">
                <v:path textboxrect="0,0,0,0"/>
                <v:imagedata r:id="rId16" o:title=""/>
              </v:shape>
            </w:pict>
          </mc:Fallback>
        </mc:AlternateContent>
      </w:r>
      <w:r>
        <w:rPr>
          <w:rFonts w:hint="eastAsia" w:ascii="宋体" w:hAnsi="宋体"/>
          <w:color w:val="000000"/>
          <w:szCs w:val="21"/>
          <w:highlight w:val="none"/>
        </w:rPr>
      </w:r>
      <w:r/>
    </w:p>
    <w:p>
      <w:pPr>
        <w:pStyle w:val="1102"/>
        <w:numPr>
          <w:ilvl w:val="0"/>
          <w:numId w:val="0"/>
        </w:numPr>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4"/>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采购人：</w:t>
      </w:r>
      <w:r>
        <w:rPr>
          <w:rFonts w:hint="eastAsia" w:ascii="宋体" w:hAnsi="宋体"/>
          <w:b/>
          <w:bCs/>
          <w:color w:val="000000"/>
          <w:sz w:val="28"/>
          <w:szCs w:val="28"/>
          <w:highlight w:val="none"/>
          <w:lang w:eastAsia="zh-CN"/>
        </w:rPr>
        <w:t xml:space="preserve">扬州市检验检测中心</w:t>
      </w:r>
      <w:r>
        <w:rPr>
          <w:rFonts w:hint="eastAsia" w:ascii="宋体" w:hAnsi="宋体" w:eastAsia="宋体"/>
          <w:b/>
          <w:bCs/>
          <w:color w:val="000000"/>
          <w:sz w:val="28"/>
          <w:szCs w:val="28"/>
          <w:highlight w:val="none"/>
          <w:lang w:eastAsia="zh-CN"/>
        </w:rPr>
      </w:r>
      <w:r/>
    </w:p>
    <w:p>
      <w:pPr>
        <w:pStyle w:val="1014"/>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采购代理机构（章）：</w:t>
      </w:r>
      <w:r>
        <w:rPr>
          <w:rFonts w:hint="eastAsia" w:ascii="宋体" w:hAnsi="宋体"/>
          <w:b/>
          <w:bCs/>
          <w:color w:val="000000"/>
          <w:sz w:val="28"/>
          <w:szCs w:val="28"/>
          <w:highlight w:val="none"/>
          <w:lang w:eastAsia="zh-CN"/>
        </w:rPr>
        <w:t xml:space="preserve">江苏鼎坚工程咨询有限公司扬州分公司</w:t>
      </w:r>
      <w:r>
        <w:rPr>
          <w:rFonts w:hint="eastAsia" w:ascii="宋体" w:hAnsi="宋体" w:eastAsia="宋体"/>
          <w:b/>
          <w:bCs/>
          <w:color w:val="000000"/>
          <w:sz w:val="28"/>
          <w:szCs w:val="28"/>
          <w:highlight w:val="none"/>
          <w:lang w:eastAsia="zh-CN"/>
        </w:rPr>
      </w:r>
      <w:r/>
    </w:p>
    <w:p>
      <w:pPr>
        <w:pStyle w:val="1014"/>
        <w:jc w:val="left"/>
        <w:rPr>
          <w:rFonts w:hint="eastAsia" w:ascii="宋体" w:hAnsi="宋体"/>
          <w:b/>
          <w:bCs/>
          <w:color w:val="000000"/>
          <w:sz w:val="28"/>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8"/>
          <w:szCs w:val="28"/>
          <w:highlight w:val="none"/>
        </w:rPr>
        <w:t xml:space="preserve">发放日期：</w:t>
      </w:r>
      <w:r>
        <w:rPr>
          <w:rFonts w:hint="eastAsia" w:ascii="宋体" w:hAnsi="宋体"/>
          <w:b/>
          <w:bCs/>
          <w:color w:val="000000"/>
          <w:sz w:val="28"/>
          <w:szCs w:val="28"/>
          <w:highlight w:val="none"/>
          <w:lang w:eastAsia="zh-CN"/>
        </w:rPr>
        <w:t xml:space="preserve">2025年</w:t>
      </w:r>
      <w:r>
        <w:rPr>
          <w:rFonts w:hint="eastAsia" w:ascii="宋体" w:hAnsi="宋体"/>
          <w:b/>
          <w:bCs/>
          <w:color w:val="000000"/>
          <w:sz w:val="28"/>
          <w:szCs w:val="28"/>
          <w:highlight w:val="none"/>
          <w:lang w:val="en-US" w:eastAsia="zh-CN"/>
        </w:rPr>
        <w:t xml:space="preserve">3</w:t>
      </w:r>
      <w:r>
        <w:rPr>
          <w:rFonts w:hint="eastAsia" w:ascii="宋体" w:hAnsi="宋体"/>
          <w:b/>
          <w:bCs/>
          <w:color w:val="000000"/>
          <w:sz w:val="28"/>
          <w:szCs w:val="28"/>
          <w:highlight w:val="none"/>
        </w:rPr>
        <w:t xml:space="preserve">月</w:t>
      </w:r>
      <w:r>
        <w:rPr>
          <w:rFonts w:hint="eastAsia" w:ascii="宋体" w:hAnsi="宋体"/>
          <w:b/>
          <w:bCs/>
          <w:color w:val="000000"/>
          <w:sz w:val="28"/>
          <w:szCs w:val="28"/>
          <w:highlight w:val="none"/>
          <w:lang w:val="en-US" w:eastAsia="zh-CN"/>
        </w:rPr>
        <w:t xml:space="preserve">1</w:t>
      </w:r>
      <w:r>
        <w:rPr>
          <w:rFonts w:hint="eastAsia" w:ascii="宋体" w:hAnsi="宋体"/>
          <w:b/>
          <w:bCs/>
          <w:color w:val="000000"/>
          <w:sz w:val="28"/>
          <w:szCs w:val="28"/>
          <w:highlight w:val="none"/>
          <w:lang w:val="en-US" w:eastAsia="zh-CN"/>
        </w:rPr>
        <w:t xml:space="preserve">4</w:t>
      </w:r>
      <w:r>
        <w:rPr>
          <w:rFonts w:hint="eastAsia" w:ascii="宋体" w:hAnsi="宋体"/>
          <w:b/>
          <w:bCs/>
          <w:color w:val="000000"/>
          <w:sz w:val="28"/>
          <w:szCs w:val="28"/>
          <w:highlight w:val="none"/>
        </w:rPr>
        <w:t xml:space="preserve">日</w:t>
      </w:r>
      <w:r>
        <w:rPr>
          <w:rFonts w:hint="eastAsia" w:ascii="宋体" w:hAnsi="宋体"/>
          <w:b/>
          <w:bCs/>
          <w:color w:val="000000"/>
          <w:sz w:val="28"/>
          <w:szCs w:val="28"/>
          <w:highlight w:val="none"/>
        </w:rPr>
      </w:r>
      <w:r/>
    </w:p>
    <w:p>
      <w:pPr>
        <w:pStyle w:val="1014"/>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t xml:space="preserve">目  录</w:t>
      </w:r>
      <w:r>
        <w:rPr>
          <w:rFonts w:hint="eastAsia" w:ascii="宋体" w:hAnsi="宋体"/>
          <w:b/>
          <w:color w:val="000000"/>
          <w:sz w:val="44"/>
          <w:szCs w:val="44"/>
          <w:highlight w:val="none"/>
        </w:rPr>
      </w:r>
      <w:r/>
    </w:p>
    <w:p>
      <w:pPr>
        <w:pStyle w:val="101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TOC \o "1-3" \f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第一章 招标公告</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_Toc2260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2</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第二章 投标须知</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_Toc28449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6</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第三章 合同条款及格式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_Toc25801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17</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四</w:t>
      </w:r>
      <w:r>
        <w:rPr>
          <w:rFonts w:hint="eastAsia" w:ascii="宋体" w:hAnsi="宋体" w:eastAsia="宋体" w:cs="Times New Roman"/>
          <w:b/>
          <w:bCs/>
          <w:color w:val="000000"/>
          <w:sz w:val="28"/>
          <w:szCs w:val="44"/>
          <w:highlight w:val="none"/>
        </w:rPr>
        <w:t xml:space="preserve">章 项目需求</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22</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五</w:t>
      </w:r>
      <w:r>
        <w:rPr>
          <w:rFonts w:hint="eastAsia" w:ascii="宋体" w:hAnsi="宋体" w:eastAsia="宋体" w:cs="Times New Roman"/>
          <w:b/>
          <w:bCs/>
          <w:color w:val="000000"/>
          <w:sz w:val="28"/>
          <w:szCs w:val="44"/>
          <w:highlight w:val="none"/>
        </w:rPr>
        <w:t xml:space="preserve">章 评标方法及评标标准</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41</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六</w:t>
      </w:r>
      <w:r>
        <w:rPr>
          <w:rFonts w:hint="eastAsia" w:ascii="宋体" w:hAnsi="宋体" w:eastAsia="宋体" w:cs="Times New Roman"/>
          <w:b/>
          <w:bCs/>
          <w:color w:val="000000"/>
          <w:sz w:val="28"/>
          <w:szCs w:val="44"/>
          <w:highlight w:val="none"/>
        </w:rPr>
        <w:t xml:space="preserve">章 投标文件格式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44</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hint="eastAsia" w:ascii="宋体" w:hAnsi="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Times New Roman"/>
          <w:b/>
          <w:bCs/>
          <w:color w:val="000000"/>
          <w:sz w:val="28"/>
          <w:szCs w:val="44"/>
          <w:highlight w:val="none"/>
        </w:rPr>
        <w:fldChar w:fldCharType="end"/>
      </w:r>
      <w:r>
        <w:rPr>
          <w:rFonts w:hint="eastAsia" w:ascii="宋体" w:hAnsi="宋体"/>
          <w:color w:val="000000"/>
          <w:sz w:val="24"/>
          <w:szCs w:val="24"/>
          <w:highlight w:val="none"/>
        </w:rPr>
      </w:r>
      <w:r/>
    </w:p>
    <w:p>
      <w:pPr>
        <w:pStyle w:val="1057"/>
        <w:jc w:val="center"/>
        <w:spacing w:before="0" w:after="0" w:line="348" w:lineRule="auto"/>
        <w:rPr>
          <w:rFonts w:hint="eastAsia" w:ascii="宋体" w:hAnsi="宋体"/>
          <w:color w:val="000000"/>
          <w:sz w:val="32"/>
          <w:szCs w:val="32"/>
          <w:highlight w:val="none"/>
        </w:rPr>
      </w:pPr>
      <w:r/>
      <w:bookmarkStart w:id="0" w:name="_Toc497145839"/>
      <w:r/>
      <w:bookmarkEnd w:id="0"/>
      <w:r/>
      <w:bookmarkStart w:id="1" w:name="_Toc2260"/>
      <w:r>
        <w:rPr>
          <w:rFonts w:hint="eastAsia" w:ascii="宋体" w:hAnsi="宋体"/>
          <w:color w:val="000000"/>
          <w:sz w:val="32"/>
          <w:szCs w:val="32"/>
          <w:highlight w:val="none"/>
        </w:rPr>
        <w:t xml:space="preserve">第一章 招标公告</w:t>
      </w:r>
      <w:bookmarkEnd w:id="1"/>
      <w:r>
        <w:rPr>
          <w:rFonts w:hint="eastAsia" w:ascii="宋体" w:hAnsi="宋体"/>
          <w:color w:val="000000"/>
          <w:sz w:val="32"/>
          <w:szCs w:val="32"/>
          <w:highlight w:val="none"/>
        </w:rPr>
      </w:r>
      <w:r/>
    </w:p>
    <w:p>
      <w:pPr>
        <w:pStyle w:val="1014"/>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食品中非法添加物、未知物筛查及农兽药残留检测能力提升项目</w:t>
      </w:r>
      <w:r>
        <w:rPr>
          <w:rFonts w:hint="eastAsia" w:ascii="宋体" w:hAnsi="宋体"/>
          <w:color w:val="000000"/>
          <w:szCs w:val="21"/>
          <w:highlight w:val="none"/>
        </w:rPr>
        <w:t xml:space="preserve">的潜在投标人应在</w:t>
      </w:r>
      <w:r>
        <w:rPr>
          <w:rFonts w:hint="eastAsia" w:ascii="宋体" w:hAnsi="宋体"/>
          <w:color w:val="000000"/>
          <w:szCs w:val="21"/>
          <w:highlight w:val="none"/>
          <w:u w:val="single"/>
        </w:rPr>
        <w:t xml:space="preserve">“江苏省政府采购网”、“扬州市政府采购网”</w:t>
      </w:r>
      <w:r>
        <w:rPr>
          <w:rFonts w:hint="eastAsia" w:ascii="宋体" w:hAnsi="宋体"/>
          <w:color w:val="000000"/>
          <w:szCs w:val="21"/>
          <w:highlight w:val="none"/>
          <w:u w:val="single"/>
          <w:lang w:eastAsia="zh-CN"/>
        </w:rPr>
        <w:t xml:space="preserve">、“中国政府采购网”</w:t>
      </w:r>
      <w:r>
        <w:rPr>
          <w:rFonts w:hint="eastAsia" w:ascii="宋体" w:hAnsi="宋体"/>
          <w:color w:val="000000"/>
          <w:szCs w:val="21"/>
          <w:highlight w:val="none"/>
        </w:rPr>
        <w:t xml:space="preserve">获取采购文件，并于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7</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rPr>
        <w:t xml:space="preserve">下</w:t>
      </w:r>
      <w:r>
        <w:rPr>
          <w:rFonts w:hint="eastAsia" w:ascii="宋体" w:hAnsi="宋体"/>
          <w:color w:val="000000"/>
          <w:szCs w:val="21"/>
          <w:highlight w:val="none"/>
          <w:u w:val="single"/>
        </w:rPr>
        <w:t xml:space="preserve">午14点30分</w:t>
      </w:r>
      <w:r>
        <w:rPr>
          <w:rFonts w:hint="eastAsia" w:ascii="宋体" w:hAnsi="宋体"/>
          <w:bCs/>
          <w:color w:val="000000"/>
          <w:szCs w:val="21"/>
          <w:highlight w:val="none"/>
        </w:rPr>
        <w:t xml:space="preserve">（北京时间）前提交投标文件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color w:val="000000"/>
          <w:sz w:val="21"/>
          <w:szCs w:val="21"/>
          <w:highlight w:val="none"/>
        </w:rPr>
        <w:outlineLvl w:val="9"/>
      </w:pPr>
      <w:r/>
      <w:bookmarkStart w:id="2" w:name="_Toc35393798"/>
      <w:r/>
      <w:bookmarkEnd w:id="2"/>
      <w:r/>
      <w:bookmarkStart w:id="3" w:name="_Toc35393629"/>
      <w:r/>
      <w:bookmarkEnd w:id="3"/>
      <w:r/>
      <w:bookmarkStart w:id="4" w:name="_Toc28359012"/>
      <w:r/>
      <w:bookmarkEnd w:id="4"/>
      <w:r/>
      <w:bookmarkStart w:id="5" w:name="_Toc28359089"/>
      <w:r/>
      <w:bookmarkEnd w:id="5"/>
      <w:r/>
      <w:bookmarkStart w:id="6" w:name="_Toc23345"/>
      <w:r/>
      <w:bookmarkStart w:id="7" w:name="_Toc22908"/>
      <w:r>
        <w:rPr>
          <w:rFonts w:hint="eastAsia" w:ascii="宋体" w:hAnsi="宋体" w:eastAsia="宋体"/>
          <w:color w:val="000000"/>
          <w:sz w:val="21"/>
          <w:szCs w:val="21"/>
          <w:highlight w:val="none"/>
        </w:rPr>
        <w:t xml:space="preserve">一、项目基本情况</w:t>
      </w:r>
      <w:bookmarkEnd w:id="6"/>
      <w:r/>
      <w:bookmarkEnd w:id="7"/>
      <w:r>
        <w:rPr>
          <w:rFonts w:hint="eastAsia" w:ascii="宋体" w:hAnsi="宋体" w:eastAsia="宋体"/>
          <w:color w:val="000000"/>
          <w:sz w:val="21"/>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JSZC-321000-DJZX-G2025-0003号</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食品中非法添加物、未知物筛查及农兽药残留检测能力提升项目</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采购方式：公开招标 </w:t>
      </w:r>
      <w:r>
        <w:rPr>
          <w:rFonts w:hint="eastAsia" w:ascii="宋体" w:hAnsi="宋体"/>
          <w:color w:val="000000"/>
          <w:szCs w:val="21"/>
          <w:highlight w:val="none"/>
        </w:rPr>
      </w:r>
      <w:r/>
    </w:p>
    <w:p>
      <w:pPr>
        <w:pStyle w:val="1014"/>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w:t>
      </w:r>
      <w:r>
        <w:rPr>
          <w:rFonts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。（最后报价超过最高限价的为无效报价，按照无效投标处理）</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采购需求：详见项目需求。 </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合同期限：</w:t>
      </w:r>
      <w:r>
        <w:rPr>
          <w:rFonts w:hint="eastAsia" w:ascii="宋体" w:hAnsi="宋体"/>
          <w:color w:val="000000"/>
          <w:szCs w:val="21"/>
          <w:highlight w:val="none"/>
          <w:lang w:val="en-US" w:eastAsia="zh-CN"/>
        </w:rPr>
        <w:t xml:space="preserve">详见第四章项目需求</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是否</w:t>
      </w:r>
      <w:r>
        <w:rPr>
          <w:rFonts w:hint="eastAsia" w:ascii="宋体" w:hAnsi="宋体"/>
          <w:color w:val="000000"/>
          <w:szCs w:val="21"/>
          <w:highlight w:val="none"/>
        </w:rPr>
        <w:t xml:space="preserve">接受联合体：</w:t>
      </w:r>
      <w:r>
        <w:rPr>
          <w:rFonts w:hint="eastAsia" w:ascii="宋体" w:hAnsi="宋体"/>
          <w:color w:val="000000"/>
          <w:szCs w:val="21"/>
          <w:highlight w:val="none"/>
          <w:lang w:val="en-US" w:eastAsia="zh-CN"/>
        </w:rPr>
        <w:t xml:space="preserve">否</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cs="Times New Roman"/>
          <w:color w:val="000000"/>
          <w:sz w:val="21"/>
          <w:szCs w:val="21"/>
          <w:highlight w:val="none"/>
        </w:rPr>
        <w:outlineLvl w:val="9"/>
      </w:pPr>
      <w:r/>
      <w:bookmarkStart w:id="8" w:name="_Toc28359090"/>
      <w:r/>
      <w:bookmarkEnd w:id="8"/>
      <w:r/>
      <w:bookmarkStart w:id="9" w:name="_Toc28359013"/>
      <w:r/>
      <w:bookmarkEnd w:id="9"/>
      <w:r/>
      <w:bookmarkStart w:id="10" w:name="_Toc35393630"/>
      <w:r/>
      <w:bookmarkEnd w:id="10"/>
      <w:r/>
      <w:bookmarkStart w:id="11" w:name="_Toc35393799"/>
      <w:r/>
      <w:bookmarkEnd w:id="11"/>
      <w:r/>
      <w:bookmarkStart w:id="12" w:name="_Toc4175"/>
      <w:r/>
      <w:bookmarkStart w:id="13" w:name="_Toc8118"/>
      <w:r>
        <w:rPr>
          <w:rFonts w:hint="eastAsia" w:ascii="宋体" w:hAnsi="宋体" w:eastAsia="宋体" w:cs="Times New Roman"/>
          <w:color w:val="000000"/>
          <w:sz w:val="21"/>
          <w:szCs w:val="21"/>
          <w:highlight w:val="none"/>
        </w:rPr>
        <w:t xml:space="preserve">二、申请人的资格要求：</w:t>
      </w:r>
      <w:bookmarkEnd w:id="12"/>
      <w:r/>
      <w:bookmarkEnd w:id="13"/>
      <w:r>
        <w:rPr>
          <w:rFonts w:hint="eastAsia" w:ascii="宋体" w:hAnsi="宋体" w:eastAsia="宋体" w:cs="Times New Roman"/>
          <w:color w:val="000000"/>
          <w:sz w:val="21"/>
          <w:szCs w:val="21"/>
          <w:highlight w:val="none"/>
        </w:rPr>
      </w:r>
      <w:r/>
    </w:p>
    <w:p>
      <w:pPr>
        <w:pStyle w:val="1014"/>
        <w:ind w:firstLine="396"/>
        <w:pageBreakBefore w:val="0"/>
        <w:spacing w:line="360" w:lineRule="auto"/>
        <w:rPr>
          <w:rFonts w:hint="eastAsia" w:ascii="宋体" w:hAnsi="宋体"/>
          <w:color w:val="000000"/>
          <w:spacing w:val="-6"/>
          <w:szCs w:val="21"/>
          <w:highlight w:val="none"/>
        </w:rPr>
      </w:pPr>
      <w:r/>
      <w:bookmarkStart w:id="14" w:name="_Toc28359014"/>
      <w:r/>
      <w:bookmarkStart w:id="15" w:name="_Toc28359091"/>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bookmarkStart w:id="16" w:name="_Toc35393800"/>
      <w:r/>
      <w:bookmarkStart w:id="17" w:name="_Toc35393631"/>
      <w:r>
        <w:rPr>
          <w:rFonts w:hint="eastAsia" w:ascii="宋体" w:hAnsi="宋体" w:eastAsia="宋体" w:cs="Times New Roman"/>
          <w:i/>
          <w:iCs/>
          <w:color w:val="000000"/>
          <w:szCs w:val="21"/>
          <w:highlight w:val="none"/>
          <w:u w:val="single"/>
        </w:rPr>
        <w:t xml:space="preserve">1</w:t>
      </w:r>
      <w:r>
        <w:rPr>
          <w:rFonts w:hint="eastAsia" w:ascii="宋体" w:hAnsi="宋体" w:eastAsia="宋体" w:cs="Times New Roman"/>
          <w:i/>
          <w:iCs/>
          <w:color w:val="000000"/>
          <w:szCs w:val="21"/>
          <w:highlight w:val="none"/>
          <w:u w:val="single"/>
          <w:lang w:val="en-US" w:eastAsia="zh-CN"/>
        </w:rPr>
        <w:t xml:space="preserve">.</w:t>
      </w:r>
      <w:r>
        <w:rPr>
          <w:rFonts w:hint="eastAsia" w:ascii="宋体" w:hAnsi="宋体" w:eastAsia="宋体" w:cs="Times New Roman"/>
          <w:i/>
          <w:iCs/>
          <w:color w:val="000000"/>
          <w:szCs w:val="21"/>
          <w:highlight w:val="none"/>
          <w:u w:val="single"/>
        </w:rPr>
        <w:t xml:space="preserve">法人或者其他组织的营业执照等证明文件，自然人的身份证明</w:t>
      </w:r>
      <w:r>
        <w:rPr>
          <w:rFonts w:hint="eastAsia" w:ascii="宋体" w:hAnsi="宋体"/>
          <w:i/>
          <w:iCs/>
          <w:color w:val="000000"/>
          <w:szCs w:val="21"/>
          <w:highlight w:val="none"/>
          <w:u w:val="single"/>
        </w:rPr>
        <w:t xml:space="preserve">(</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2.</w:t>
      </w:r>
      <w:r>
        <w:rPr>
          <w:rFonts w:hint="eastAsia" w:ascii="宋体" w:hAnsi="宋体" w:eastAsia="宋体" w:cs="Times New Roman"/>
          <w:i/>
          <w:iCs/>
          <w:color w:val="000000"/>
          <w:szCs w:val="21"/>
          <w:highlight w:val="none"/>
          <w:u w:val="single"/>
          <w:lang w:eastAsia="zh-CN"/>
        </w:rPr>
        <w:t xml:space="preserve">2023年度或2024年度的财务报告情况</w:t>
      </w:r>
      <w:r>
        <w:rPr>
          <w:rFonts w:hint="eastAsia" w:ascii="宋体" w:hAnsi="宋体" w:eastAsia="宋体" w:cs="Times New Roman"/>
          <w:b/>
          <w:bCs/>
          <w:i/>
          <w:iCs/>
          <w:color w:val="000000"/>
          <w:szCs w:val="21"/>
          <w:highlight w:val="none"/>
          <w:u w:val="single"/>
        </w:rPr>
        <w:t xml:space="preserve">（成立不满一年无需提供）</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b/>
          <w:bCs/>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3.</w:t>
      </w:r>
      <w:r>
        <w:rPr>
          <w:rFonts w:hint="eastAsia" w:ascii="宋体" w:hAnsi="宋体" w:eastAsia="宋体" w:cs="Times New Roman"/>
          <w:i/>
          <w:iCs/>
          <w:color w:val="000000"/>
          <w:szCs w:val="21"/>
          <w:highlight w:val="none"/>
          <w:u w:val="single"/>
        </w:rPr>
        <w:t xml:space="preserve">依法缴纳税收和社会保障资金的相关材料</w:t>
      </w:r>
      <w:r>
        <w:rPr>
          <w:rFonts w:hint="eastAsia" w:ascii="宋体" w:hAnsi="宋体" w:eastAsia="宋体" w:cs="Times New Roman"/>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b/>
          <w:bCs/>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4.</w:t>
      </w:r>
      <w:r>
        <w:rPr>
          <w:rFonts w:hint="eastAsia" w:ascii="宋体" w:hAnsi="宋体" w:eastAsia="宋体" w:cs="Times New Roman"/>
          <w:i/>
          <w:iCs/>
          <w:color w:val="000000"/>
          <w:szCs w:val="21"/>
          <w:highlight w:val="none"/>
          <w:u w:val="single"/>
        </w:rPr>
        <w:t xml:space="preserve">具备履行合同所必需的设备和专业技术能力的书面声明；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5.</w:t>
      </w:r>
      <w:r>
        <w:rPr>
          <w:rFonts w:hint="eastAsia" w:ascii="宋体" w:hAnsi="宋体" w:eastAsia="宋体" w:cs="Times New Roman"/>
          <w:i/>
          <w:iCs/>
          <w:color w:val="000000"/>
          <w:szCs w:val="21"/>
          <w:highlight w:val="none"/>
          <w:u w:val="single"/>
        </w:rPr>
        <w:t xml:space="preserve">参加政府采购活动前3年内在经营活动中没有重大违法记录的书面声明。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b/>
          <w:bCs/>
          <w:color w:val="000000"/>
          <w:szCs w:val="21"/>
          <w:highlight w:val="none"/>
        </w:rPr>
      </w:pPr>
      <w:r>
        <w:rPr>
          <w:rFonts w:hint="eastAsia" w:ascii="宋体" w:hAnsi="宋体" w:eastAsia="宋体" w:cs="Times New Roman"/>
          <w:i/>
          <w:iCs/>
          <w:color w:val="000000"/>
          <w:szCs w:val="21"/>
          <w:highlight w:val="none"/>
          <w:u w:val="single"/>
          <w:lang w:val="en-US" w:eastAsia="zh-CN"/>
        </w:rPr>
        <w:t xml:space="preserve">6.</w:t>
      </w:r>
      <w:r>
        <w:rPr>
          <w:rFonts w:hint="eastAsia" w:ascii="宋体" w:hAnsi="宋体" w:eastAsia="宋体" w:cs="Times New Roman"/>
          <w:i/>
          <w:iCs/>
          <w:color w:val="000000"/>
          <w:szCs w:val="21"/>
          <w:highlight w:val="none"/>
          <w:u w:val="single"/>
          <w:lang w:eastAsia="zh-CN"/>
        </w:rPr>
        <w:t xml:space="preserve">投标人信用承诺函</w:t>
      </w:r>
      <w:r>
        <w:rPr>
          <w:rFonts w:hint="eastAsia" w:ascii="宋体" w:hAnsi="宋体"/>
          <w:b/>
          <w:bCs/>
          <w:i/>
          <w:iCs/>
          <w:color w:val="000000"/>
          <w:szCs w:val="21"/>
          <w:highlight w:val="none"/>
          <w:u w:val="single"/>
        </w:rPr>
        <w:t xml:space="preserve">（原件扫描上传）</w:t>
      </w:r>
      <w:r>
        <w:rPr>
          <w:rFonts w:hint="eastAsia" w:ascii="宋体" w:hAnsi="宋体"/>
          <w:b/>
          <w:bCs/>
          <w:color w:val="000000"/>
          <w:szCs w:val="21"/>
          <w:highlight w:val="none"/>
        </w:rPr>
      </w:r>
      <w:r/>
    </w:p>
    <w:p>
      <w:pPr>
        <w:pStyle w:val="1014"/>
        <w:numPr>
          <w:ilvl w:val="0"/>
          <w:numId w:val="0"/>
        </w:numPr>
        <w:jc w:val="left"/>
        <w:pageBreakBefore w:val="0"/>
        <w:spacing w:line="360"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 w:val="21"/>
          <w:szCs w:val="21"/>
          <w:highlight w:val="none"/>
          <w:lang w:val="en-US" w:eastAsia="zh-CN" w:bidi="ar-SA"/>
        </w:rPr>
        <w:t xml:space="preserve">（二）</w:t>
      </w:r>
      <w:r>
        <w:rPr>
          <w:rFonts w:hint="eastAsia" w:ascii="宋体" w:hAnsi="宋体"/>
          <w:color w:val="000000"/>
          <w:szCs w:val="21"/>
          <w:highlight w:val="none"/>
        </w:rPr>
        <w:t xml:space="preserve">采购人根据本项目要求规定的特定条件：</w:t>
      </w:r>
      <w:r>
        <w:rPr>
          <w:rFonts w:hint="eastAsia" w:ascii="宋体" w:hAnsi="宋体" w:cs="宋体"/>
          <w:i/>
          <w:iCs/>
          <w:color w:val="000000"/>
          <w:szCs w:val="21"/>
          <w:highlight w:val="none"/>
          <w:u w:val="none"/>
          <w:lang w:val="en-US" w:eastAsia="zh-CN"/>
        </w:rPr>
        <w:t xml:space="preserve">无</w:t>
      </w:r>
      <w:r>
        <w:rPr>
          <w:rFonts w:hint="eastAsia" w:ascii="宋体" w:hAnsi="宋体" w:cs="宋体"/>
          <w:i/>
          <w:iCs/>
          <w:color w:val="000000"/>
          <w:szCs w:val="21"/>
          <w:highlight w:val="none"/>
          <w:u w:val="single"/>
          <w:lang w:val="en-US" w:eastAsia="zh-CN"/>
        </w:rPr>
      </w:r>
      <w:r/>
    </w:p>
    <w:p>
      <w:pPr>
        <w:pStyle w:val="1014"/>
        <w:numPr>
          <w:ilvl w:val="0"/>
          <w:numId w:val="0"/>
        </w:numPr>
        <w:ind w:left="0" w:firstLine="0"/>
        <w:jc w:val="left"/>
        <w:spacing w:line="360" w:lineRule="auto"/>
        <w:rPr>
          <w:rFonts w:hint="eastAsia" w:ascii="宋体" w:hAnsi="宋体" w:eastAsia="宋体"/>
          <w:color w:val="000000"/>
          <w:szCs w:val="21"/>
          <w:highlight w:val="none"/>
          <w:lang w:val="en-US" w:eastAsia="zh-CN"/>
        </w:rPr>
      </w:pPr>
      <w:r>
        <w:rPr>
          <w:rFonts w:hint="eastAsia" w:ascii="宋体" w:hAnsi="宋体" w:eastAsia="宋体"/>
          <w:i/>
          <w:iCs/>
          <w:color w:val="000000"/>
          <w:sz w:val="21"/>
          <w:szCs w:val="21"/>
          <w:highlight w:val="none"/>
          <w:lang w:val="en-US" w:eastAsia="zh-CN" w:bidi="ar-SA"/>
        </w:rPr>
        <w:t xml:space="preserve">（三）</w:t>
      </w:r>
      <w:r>
        <w:rPr>
          <w:rFonts w:hint="eastAsia" w:ascii="宋体" w:hAnsi="宋体"/>
          <w:color w:val="000000"/>
          <w:szCs w:val="21"/>
          <w:highlight w:val="none"/>
        </w:rPr>
        <w:t xml:space="preserve">落实政府采购政策需满足的资格要求：</w:t>
      </w:r>
      <w:r>
        <w:rPr>
          <w:rFonts w:hint="eastAsia" w:ascii="宋体" w:hAnsi="宋体"/>
          <w:color w:val="000000"/>
          <w:szCs w:val="21"/>
          <w:highlight w:val="none"/>
          <w:lang w:val="en-US" w:eastAsia="zh-CN"/>
        </w:rPr>
        <w:t xml:space="preserve">无</w:t>
      </w:r>
      <w:r>
        <w:rPr>
          <w:rFonts w:hint="eastAsia" w:ascii="宋体" w:hAnsi="宋体" w:eastAsia="宋体"/>
          <w:color w:val="000000"/>
          <w:szCs w:val="21"/>
          <w:highlight w:val="none"/>
          <w:lang w:val="en-US" w:eastAsia="zh-CN"/>
        </w:rPr>
      </w:r>
      <w:r/>
    </w:p>
    <w:p>
      <w:pPr>
        <w:pStyle w:val="1014"/>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（四）拒绝下述投标人参加本次采购活动：</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1投标人单位负责人为同一人或者存在直接控股、管理关系的不同投标人，不得参加同一合同项下的政府采购活动。</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2投标人被“信用中国”网站（www.creditchina.gov.cn）、“中国政府采购网"(www.ccgp.gov.cn)列入失信被执行人、重大税收违法案件当事人名单、政府采购严重违法失信行为记录名单。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1014"/>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（五）集中考察或召开答疑会：无</w:t>
      </w:r>
      <w:r>
        <w:rPr>
          <w:rFonts w:hint="eastAsia" w:ascii="宋体" w:hAnsi="宋体"/>
          <w:color w:val="000000"/>
          <w:szCs w:val="21"/>
          <w:highlight w:val="none"/>
        </w:rPr>
      </w:r>
      <w:r/>
    </w:p>
    <w:p>
      <w:pPr>
        <w:pStyle w:val="1014"/>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（六）本项目</w:t>
      </w:r>
      <w:r>
        <w:rPr>
          <w:rFonts w:hint="eastAsia" w:ascii="宋体" w:hAnsi="宋体"/>
          <w:color w:val="000000"/>
          <w:szCs w:val="21"/>
          <w:highlight w:val="none"/>
          <w:lang w:val="en-US" w:eastAsia="zh-CN"/>
        </w:rPr>
        <w:t xml:space="preserve">不</w:t>
      </w:r>
      <w:r>
        <w:rPr>
          <w:rFonts w:hint="eastAsia" w:ascii="宋体" w:hAnsi="宋体"/>
          <w:color w:val="000000"/>
          <w:szCs w:val="21"/>
          <w:highlight w:val="none"/>
        </w:rPr>
        <w:t xml:space="preserve">接受联合体参加投标。</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bCs w:val="0"/>
          <w:color w:val="000000"/>
          <w:sz w:val="21"/>
          <w:szCs w:val="21"/>
          <w:highlight w:val="none"/>
        </w:rPr>
        <w:outlineLvl w:val="9"/>
      </w:pPr>
      <w:r/>
      <w:bookmarkStart w:id="18" w:name="_Toc109304965"/>
      <w:r/>
      <w:bookmarkEnd w:id="18"/>
      <w:r/>
      <w:bookmarkStart w:id="19" w:name="_Toc18178"/>
      <w:r/>
      <w:bookmarkStart w:id="20" w:name="_Toc27365"/>
      <w:r>
        <w:rPr>
          <w:rFonts w:hint="eastAsia" w:ascii="宋体" w:hAnsi="宋体" w:eastAsia="宋体"/>
          <w:bCs w:val="0"/>
          <w:color w:val="000000"/>
          <w:sz w:val="21"/>
          <w:szCs w:val="21"/>
          <w:highlight w:val="none"/>
        </w:rPr>
        <w:t xml:space="preserve">三、获取采购文件</w:t>
      </w:r>
      <w:bookmarkEnd w:id="19"/>
      <w:r/>
      <w:bookmarkEnd w:id="20"/>
      <w:r>
        <w:rPr>
          <w:rFonts w:hint="eastAsia" w:ascii="宋体" w:hAnsi="宋体" w:eastAsia="宋体"/>
          <w:bCs w:val="0"/>
          <w:color w:val="000000"/>
          <w:sz w:val="21"/>
          <w:szCs w:val="21"/>
          <w:highlight w:val="none"/>
        </w:rPr>
      </w:r>
      <w:r/>
    </w:p>
    <w:p>
      <w:pPr>
        <w:pStyle w:val="1014"/>
        <w:ind w:firstLine="54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1.时间：自招标公告发布之日起5个工作日。5个工作日后仍可下载采购文件，但不作为投标人权益受到损害的证明材料和依据。</w:t>
      </w:r>
      <w:r>
        <w:rPr>
          <w:rFonts w:hint="eastAsia" w:ascii="宋体" w:hAnsi="宋体"/>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2.获取方式：本项目采用网上注册登记方式。</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3.潜在投标人访问政府采购管理交易系统（苏采云）的网络地址和方法：</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（2）“CA数字证书”的获取：投标人需办理CA锁，“苏采云”系统目前仅支持“苏采云”系统下的政务CA，省内各地区办理的“苏采云”系统下的政务CA全省通用。</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（3）“CA数字证书”的办理材料以及投标人操作手册详见：</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（4）潜在投标人访问“苏采云”系统的网络地址和方法：“苏采云”系统的网址：http://jszfcg.jsczt.cn/。</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（5）采购文件（后缀名为“.kedt”）、投标人操作手册及政府采购客户端工具也可通过“苏采云”系统--已报名项目--报名详情页面内相应链接进行下载。</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代理机构（采购代理机构）将数据电文形式的采购文件加载至“苏采云”系统，供潜在投标人下载或者查阅。     </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1" w:name="_Toc109304966"/>
      <w:r/>
      <w:bookmarkEnd w:id="21"/>
      <w:r/>
      <w:bookmarkStart w:id="22" w:name="_Toc23538"/>
      <w:r/>
      <w:bookmarkStart w:id="23" w:name="_Toc20662"/>
      <w:r>
        <w:rPr>
          <w:rFonts w:hint="eastAsia" w:ascii="宋体" w:hAnsi="宋体" w:eastAsia="宋体" w:cs="Times New Roman"/>
          <w:bCs/>
          <w:color w:val="000000"/>
          <w:sz w:val="21"/>
          <w:szCs w:val="21"/>
          <w:highlight w:val="none"/>
        </w:rPr>
        <w:t xml:space="preserve">四、投标文件提交</w:t>
      </w:r>
      <w:bookmarkEnd w:id="22"/>
      <w:r/>
      <w:bookmarkEnd w:id="23"/>
      <w:r>
        <w:rPr>
          <w:rFonts w:hint="eastAsia" w:ascii="宋体" w:hAnsi="宋体" w:eastAsia="宋体" w:cs="Times New Roman"/>
          <w:bCs/>
          <w:color w:val="000000"/>
          <w:sz w:val="21"/>
          <w:szCs w:val="21"/>
          <w:highlight w:val="none"/>
        </w:rPr>
      </w:r>
      <w:r/>
    </w:p>
    <w:p>
      <w:pPr>
        <w:pStyle w:val="1014"/>
        <w:ind w:firstLine="420"/>
        <w:pageBreakBefore w:val="0"/>
        <w:spacing w:line="360" w:lineRule="auto"/>
        <w:rPr>
          <w:rFonts w:hint="eastAsia" w:ascii="宋体" w:hAnsi="宋体"/>
          <w:color w:val="000000"/>
          <w:szCs w:val="21"/>
          <w:highlight w:val="none"/>
        </w:rPr>
      </w:pPr>
      <w:r/>
      <w:bookmarkStart w:id="24" w:name="XMTBJSR_2"/>
      <w:r/>
      <w:bookmarkEnd w:id="24"/>
      <w:r>
        <w:rPr>
          <w:rFonts w:hint="eastAsia" w:ascii="宋体" w:hAnsi="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7</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rPr>
        <w:t xml:space="preserve">下</w:t>
      </w:r>
      <w:r>
        <w:rPr>
          <w:rFonts w:hint="eastAsia" w:ascii="宋体" w:hAnsi="宋体"/>
          <w:color w:val="000000"/>
          <w:szCs w:val="21"/>
          <w:highlight w:val="none"/>
          <w:u w:val="single"/>
        </w:rPr>
        <w:t xml:space="preserve">午14点30分</w:t>
      </w:r>
      <w:r>
        <w:rPr>
          <w:rFonts w:hint="eastAsia" w:ascii="宋体" w:hAnsi="宋体"/>
          <w:bCs/>
          <w:color w:val="000000"/>
          <w:szCs w:val="21"/>
          <w:highlight w:val="none"/>
        </w:rPr>
        <w:t xml:space="preserve">（北京时间）</w:t>
      </w:r>
      <w:r>
        <w:rPr>
          <w:rFonts w:hint="eastAsia" w:ascii="宋体" w:hAnsi="宋体"/>
          <w:color w:val="000000"/>
          <w:szCs w:val="21"/>
          <w:highlight w:val="none"/>
        </w:rPr>
      </w:r>
      <w:r/>
    </w:p>
    <w:p>
      <w:pPr>
        <w:pStyle w:val="1014"/>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2.投标地点：“苏采云”系统（网址： http://jszfcg.jsczt.cn/）“报名详情”</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5" w:name="_Toc109304967"/>
      <w:r/>
      <w:bookmarkEnd w:id="25"/>
      <w:r/>
      <w:bookmarkStart w:id="26" w:name="_Toc19569"/>
      <w:r/>
      <w:bookmarkStart w:id="27" w:name="_Toc23137"/>
      <w:r>
        <w:rPr>
          <w:rFonts w:hint="eastAsia" w:ascii="宋体" w:hAnsi="宋体" w:eastAsia="宋体" w:cs="Times New Roman"/>
          <w:bCs/>
          <w:color w:val="000000"/>
          <w:sz w:val="21"/>
          <w:szCs w:val="21"/>
          <w:highlight w:val="none"/>
        </w:rPr>
        <w:t xml:space="preserve">五、开启</w:t>
      </w:r>
      <w:bookmarkEnd w:id="26"/>
      <w:r/>
      <w:bookmarkEnd w:id="27"/>
      <w:r>
        <w:rPr>
          <w:rFonts w:hint="eastAsia" w:ascii="宋体" w:hAnsi="宋体" w:eastAsia="宋体" w:cs="Times New Roman"/>
          <w:bCs/>
          <w:color w:val="000000"/>
          <w:sz w:val="21"/>
          <w:szCs w:val="21"/>
          <w:highlight w:val="none"/>
        </w:rPr>
      </w:r>
      <w:r/>
    </w:p>
    <w:p>
      <w:pPr>
        <w:pStyle w:val="1053"/>
        <w:pageBreakBefore w:val="0"/>
        <w:spacing w:line="360" w:lineRule="auto"/>
        <w:rPr>
          <w:rFonts w:hint="eastAsia" w:ascii="宋体" w:hAnsi="宋体"/>
          <w:color w:val="000000"/>
          <w:sz w:val="21"/>
          <w:highlight w:val="none"/>
        </w:rPr>
      </w:pPr>
      <w:r/>
      <w:bookmarkStart w:id="28" w:name="XMTBJSR_3"/>
      <w:r/>
      <w:bookmarkEnd w:id="28"/>
      <w:r>
        <w:rPr>
          <w:rFonts w:hint="eastAsia" w:ascii="宋体" w:hAnsi="宋体"/>
          <w:color w:val="000000"/>
          <w:sz w:val="21"/>
          <w:highlight w:val="none"/>
        </w:rPr>
        <w:t xml:space="preserve">1时间: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7</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rPr>
        <w:t xml:space="preserve">下</w:t>
      </w:r>
      <w:r>
        <w:rPr>
          <w:rFonts w:hint="eastAsia" w:ascii="宋体" w:hAnsi="宋体"/>
          <w:color w:val="000000"/>
          <w:szCs w:val="21"/>
          <w:highlight w:val="none"/>
          <w:u w:val="single"/>
        </w:rPr>
        <w:t xml:space="preserve">午14点30分</w:t>
      </w:r>
      <w:r>
        <w:rPr>
          <w:rFonts w:hint="eastAsia" w:ascii="宋体" w:hAnsi="宋体"/>
          <w:bCs/>
          <w:color w:val="000000"/>
          <w:sz w:val="21"/>
          <w:highlight w:val="none"/>
        </w:rPr>
        <w:t xml:space="preserve">（北京时间）</w:t>
      </w:r>
      <w:r>
        <w:rPr>
          <w:rFonts w:hint="eastAsia" w:ascii="宋体" w:hAnsi="宋体"/>
          <w:color w:val="000000"/>
          <w:sz w:val="21"/>
          <w:highlight w:val="none"/>
        </w:rPr>
      </w:r>
      <w:r/>
    </w:p>
    <w:p>
      <w:pPr>
        <w:pStyle w:val="1014"/>
        <w:ind w:firstLine="422"/>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2.开启地点：“苏采云”系统（网址： http://jszfcg.jsczt.cn/）“开标大厅”</w:t>
      </w:r>
      <w:r>
        <w:rPr>
          <w:rFonts w:hint="eastAsia" w:ascii="宋体" w:hAnsi="宋体"/>
          <w:b/>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9" w:name="_Toc109304968"/>
      <w:r/>
      <w:bookmarkEnd w:id="29"/>
      <w:r/>
      <w:bookmarkStart w:id="30" w:name="_Toc30848"/>
      <w:r/>
      <w:bookmarkStart w:id="31" w:name="_Toc15789"/>
      <w:r>
        <w:rPr>
          <w:rFonts w:hint="eastAsia" w:ascii="宋体" w:hAnsi="宋体" w:eastAsia="宋体" w:cs="Times New Roman"/>
          <w:bCs/>
          <w:color w:val="000000"/>
          <w:sz w:val="21"/>
          <w:szCs w:val="21"/>
          <w:highlight w:val="none"/>
        </w:rPr>
        <w:t xml:space="preserve">六、公告期限</w:t>
      </w:r>
      <w:bookmarkEnd w:id="30"/>
      <w:r/>
      <w:bookmarkEnd w:id="31"/>
      <w:r>
        <w:rPr>
          <w:rFonts w:hint="eastAsia" w:ascii="宋体" w:hAnsi="宋体" w:eastAsia="宋体" w:cs="Times New Roman"/>
          <w:bCs/>
          <w:color w:val="000000"/>
          <w:sz w:val="21"/>
          <w:szCs w:val="21"/>
          <w:highlight w:val="none"/>
        </w:rPr>
      </w:r>
      <w:r/>
    </w:p>
    <w:p>
      <w:pPr>
        <w:pStyle w:val="1014"/>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自本公告发布之日起5个工作日。</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End w:id="14"/>
      <w:r/>
      <w:bookmarkEnd w:id="15"/>
      <w:r/>
      <w:bookmarkEnd w:id="16"/>
      <w:r/>
      <w:bookmarkEnd w:id="17"/>
      <w:r/>
      <w:bookmarkStart w:id="32" w:name="_Toc14526"/>
      <w:r/>
      <w:bookmarkStart w:id="33" w:name="_Toc7792"/>
      <w:r/>
      <w:bookmarkStart w:id="34" w:name="_Toc497145840"/>
      <w:r>
        <w:rPr>
          <w:rFonts w:hint="eastAsia" w:ascii="宋体" w:hAnsi="宋体" w:eastAsia="宋体" w:cs="Times New Roman"/>
          <w:bCs/>
          <w:color w:val="000000"/>
          <w:sz w:val="21"/>
          <w:szCs w:val="21"/>
          <w:highlight w:val="none"/>
        </w:rPr>
        <w:t xml:space="preserve">七、本次招标采购联系事项</w:t>
      </w:r>
      <w:bookmarkEnd w:id="32"/>
      <w:r/>
      <w:bookmarkEnd w:id="33"/>
      <w:r>
        <w:rPr>
          <w:rFonts w:hint="eastAsia" w:ascii="宋体" w:hAnsi="宋体" w:eastAsia="宋体" w:cs="Times New Roman"/>
          <w:bCs/>
          <w:color w:val="000000"/>
          <w:sz w:val="21"/>
          <w:szCs w:val="21"/>
          <w:highlight w:val="none"/>
        </w:rPr>
      </w:r>
      <w:r/>
    </w:p>
    <w:p>
      <w:pPr>
        <w:pStyle w:val="1014"/>
        <w:ind w:firstLine="420"/>
        <w:jc w:val="left"/>
        <w:pageBreakBefore w:val="0"/>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1014"/>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扬州市检验检测中心</w:t>
      </w:r>
      <w:r>
        <w:rPr>
          <w:rFonts w:hint="eastAsia" w:ascii="宋体" w:hAnsi="宋体" w:eastAsia="宋体" w:cs="宋体"/>
          <w:color w:val="000000"/>
          <w:highlight w:val="none"/>
          <w:lang w:eastAsia="zh-CN"/>
        </w:rPr>
      </w:r>
      <w:r/>
    </w:p>
    <w:p>
      <w:pPr>
        <w:pStyle w:val="1014"/>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地 址：</w:t>
      </w:r>
      <w:r>
        <w:rPr>
          <w:rFonts w:hint="eastAsia" w:ascii="宋体" w:hAnsi="宋体" w:cs="宋体"/>
          <w:color w:val="000000"/>
          <w:highlight w:val="none"/>
          <w:lang w:eastAsia="zh-CN"/>
        </w:rPr>
        <w:t xml:space="preserve">江苏省扬州市杭集镇龙王路6号</w:t>
      </w:r>
      <w:r>
        <w:rPr>
          <w:rFonts w:hint="eastAsia" w:ascii="宋体" w:hAnsi="宋体" w:eastAsia="宋体" w:cs="宋体"/>
          <w:color w:val="000000"/>
          <w:highlight w:val="none"/>
          <w:lang w:eastAsia="zh-CN"/>
        </w:rPr>
      </w:r>
      <w:r/>
    </w:p>
    <w:p>
      <w:pPr>
        <w:pStyle w:val="1014"/>
        <w:ind w:firstLine="420"/>
        <w:jc w:val="left"/>
        <w:pageBreakBefore w:val="0"/>
        <w:spacing w:line="360" w:lineRule="auto"/>
        <w:rPr>
          <w:rFonts w:ascii="宋体" w:hAnsi="宋体" w:cs="宋体"/>
          <w:color w:val="000000"/>
          <w:highlight w:val="none"/>
        </w:rPr>
      </w:pPr>
      <w:r/>
      <w:bookmarkStart w:id="35" w:name="_Toc28359009"/>
      <w:r/>
      <w:bookmarkStart w:id="36" w:name="_Toc28359086"/>
      <w:r>
        <w:rPr>
          <w:rFonts w:hint="eastAsia" w:ascii="宋体" w:hAnsi="宋体" w:cs="宋体"/>
          <w:color w:val="000000"/>
          <w:highlight w:val="none"/>
        </w:rPr>
        <w:t xml:space="preserve">2.代理机构信息</w:t>
      </w:r>
      <w:bookmarkEnd w:id="35"/>
      <w:r/>
      <w:bookmarkEnd w:id="36"/>
      <w:r>
        <w:rPr>
          <w:rFonts w:ascii="宋体" w:hAnsi="宋体" w:cs="宋体"/>
          <w:color w:val="000000"/>
          <w:highlight w:val="none"/>
        </w:rPr>
      </w:r>
      <w:r/>
    </w:p>
    <w:p>
      <w:pPr>
        <w:pStyle w:val="1014"/>
        <w:ind w:firstLine="420"/>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江苏鼎坚工程咨询有限公司扬州分公司</w:t>
      </w:r>
      <w:r>
        <w:rPr>
          <w:rFonts w:hint="eastAsia" w:ascii="宋体" w:hAnsi="宋体" w:eastAsia="宋体" w:cs="宋体"/>
          <w:color w:val="000000"/>
          <w:highlight w:val="none"/>
          <w:lang w:eastAsia="zh-CN"/>
        </w:rPr>
      </w:r>
      <w:r/>
    </w:p>
    <w:p>
      <w:pPr>
        <w:pStyle w:val="1014"/>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lang w:val="en-US" w:eastAsia="zh-CN"/>
        </w:rPr>
        <w:t xml:space="preserve">扬州市邗江中路371号邗粮农发五楼南侧</w:t>
      </w:r>
      <w:r>
        <w:rPr>
          <w:rFonts w:ascii="宋体" w:hAnsi="宋体" w:cs="宋体"/>
          <w:color w:val="000000"/>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张工  </w:t>
      </w:r>
      <w:r>
        <w:rPr>
          <w:rFonts w:hint="eastAsia" w:ascii="宋体" w:hAnsi="宋体" w:cs="宋体"/>
          <w:color w:val="000000"/>
          <w:highlight w:val="none"/>
        </w:rPr>
        <w:t xml:space="preserve">联系方式：</w:t>
      </w:r>
      <w:r>
        <w:rPr>
          <w:rFonts w:hint="eastAsia" w:ascii="宋体" w:hAnsi="宋体" w:cs="宋体"/>
          <w:color w:val="000000"/>
          <w:szCs w:val="21"/>
          <w:highlight w:val="none"/>
          <w:lang w:val="en-US" w:eastAsia="zh-CN"/>
        </w:rPr>
        <w:t xml:space="preserve">0514-82803560</w:t>
      </w:r>
      <w:r>
        <w:rPr>
          <w:rFonts w:hint="eastAsia" w:ascii="宋体" w:hAnsi="宋体"/>
          <w:color w:val="000000"/>
          <w:szCs w:val="21"/>
          <w:highlight w:val="none"/>
        </w:rPr>
      </w:r>
      <w:r/>
    </w:p>
    <w:p>
      <w:pPr>
        <w:pStyle w:val="1014"/>
        <w:numPr>
          <w:ilvl w:val="0"/>
          <w:numId w:val="4"/>
        </w:numPr>
        <w:pageBreakBefore w:val="0"/>
        <w:spacing w:line="360" w:lineRule="auto"/>
        <w:tabs>
          <w:tab w:val="left" w:pos="266" w:leader="none"/>
        </w:tabs>
        <w:rPr>
          <w:rFonts w:hint="eastAsia" w:ascii="宋体" w:hAnsi="宋体"/>
          <w:b/>
          <w:bCs/>
          <w:color w:val="000000"/>
          <w:highlight w:val="none"/>
        </w:rPr>
      </w:pPr>
      <w:r>
        <w:rPr>
          <w:rFonts w:hint="eastAsia" w:ascii="宋体" w:hAnsi="宋体"/>
          <w:b/>
          <w:bCs/>
          <w:color w:val="000000"/>
          <w:highlight w:val="none"/>
        </w:rPr>
        <w:t xml:space="preserve">落实好政府采购履约资金扶持政策</w:t>
      </w:r>
      <w:r>
        <w:rPr>
          <w:rFonts w:hint="eastAsia" w:ascii="宋体" w:hAnsi="宋体"/>
          <w:b/>
          <w:bCs/>
          <w:color w:val="000000"/>
          <w:highlight w:val="none"/>
        </w:rPr>
      </w:r>
      <w:r/>
    </w:p>
    <w:p>
      <w:pPr>
        <w:pStyle w:val="1071"/>
        <w:ind w:firstLine="422"/>
        <w:pageBreakBefore w:val="0"/>
        <w:spacing w:line="360" w:lineRule="auto"/>
        <w:rPr>
          <w:rFonts w:hint="eastAsia" w:hAnsi="宋体"/>
          <w:b/>
          <w:color w:val="000000"/>
          <w:sz w:val="21"/>
          <w:highlight w:val="none"/>
        </w:rPr>
      </w:pPr>
      <w:r>
        <w:rPr>
          <w:rFonts w:hint="eastAsia" w:hAnsi="宋体"/>
          <w:b/>
          <w:color w:val="000000"/>
          <w:sz w:val="21"/>
          <w:highlight w:val="none"/>
        </w:rPr>
        <w:t xml:space="preserve">1、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b/>
          <w:color w:val="000000"/>
          <w:sz w:val="21"/>
          <w:highlight w:val="none"/>
        </w:rPr>
      </w:r>
      <w:r/>
    </w:p>
    <w:p>
      <w:pPr>
        <w:pStyle w:val="1014"/>
        <w:ind w:firstLine="422"/>
        <w:pageBreakBefore w:val="0"/>
        <w:spacing w:line="360" w:lineRule="auto"/>
        <w:tabs>
          <w:tab w:val="left" w:pos="266" w:leader="none"/>
        </w:tabs>
        <w:rPr>
          <w:rFonts w:hint="eastAsia" w:hAnsi="宋体"/>
          <w:b/>
          <w:color w:val="000000"/>
          <w:szCs w:val="21"/>
          <w:highlight w:val="none"/>
        </w:rPr>
      </w:pPr>
      <w:r>
        <w:rPr>
          <w:rFonts w:hint="eastAsia" w:hAnsi="宋体"/>
          <w:b/>
          <w:color w:val="000000"/>
          <w:szCs w:val="21"/>
          <w:highlight w:val="none"/>
        </w:rPr>
        <w:t xml:space="preserve">2、</w:t>
      </w:r>
      <w:r>
        <w:rPr>
          <w:rFonts w:hint="eastAsia" w:ascii="宋体" w:hAnsi="宋体"/>
          <w:b/>
          <w:bCs/>
          <w:color w:val="000000"/>
          <w:highlight w:val="none"/>
        </w:rPr>
        <w:t xml:space="preserve">严格执行政府采购关于支持</w:t>
      </w:r>
      <w:r>
        <w:rPr>
          <w:rFonts w:hint="eastAsia" w:ascii="宋体" w:hAnsi="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highlight w:val="none"/>
        </w:rPr>
      </w:r>
      <w:r/>
    </w:p>
    <w:p>
      <w:pPr>
        <w:pStyle w:val="1127"/>
        <w:ind w:firstLine="422"/>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t xml:space="preserve">3.落实好政府采购履约资金扶持政策。中标/中标人可凭政府采购合同办理融资贷款，详见江苏政府采购网“政采贷”专栏。”</w:t>
      </w:r>
      <w:r>
        <w:rPr>
          <w:rFonts w:hint="eastAsia" w:hAnsi="宋体"/>
          <w:b/>
          <w:color w:val="000000"/>
          <w:sz w:val="21"/>
          <w:szCs w:val="21"/>
          <w:highlight w:val="none"/>
        </w:rPr>
      </w:r>
      <w:r/>
    </w:p>
    <w:p>
      <w:pPr>
        <w:pStyle w:val="1071"/>
        <w:ind w:firstLine="422"/>
        <w:pageBreakBefore w:val="0"/>
        <w:spacing w:line="360" w:lineRule="auto"/>
        <w:rPr>
          <w:rFonts w:hint="eastAsia" w:hAnsi="宋体"/>
          <w:b/>
          <w:bCs/>
          <w:color w:val="000000"/>
          <w:sz w:val="21"/>
          <w:highlight w:val="none"/>
        </w:rPr>
      </w:pPr>
      <w:r>
        <w:rPr>
          <w:rFonts w:hint="eastAsia" w:hAnsi="宋体"/>
          <w:b/>
          <w:bCs/>
          <w:color w:val="000000"/>
          <w:sz w:val="21"/>
          <w:highlight w:val="none"/>
        </w:rPr>
        <w:t xml:space="preserve">4.投标人</w:t>
      </w:r>
      <w:r>
        <w:rPr>
          <w:rFonts w:hAnsi="宋体"/>
          <w:b/>
          <w:bCs/>
          <w:color w:val="000000"/>
          <w:sz w:val="21"/>
          <w:highlight w:val="none"/>
        </w:rPr>
        <w:t xml:space="preserve">对于投标产品的包装应按照“财办库〔2020〕123号《关于印发《商品包装政府采购需求标准（试行）》、《快递包装政府采购需求标准（试行）》的通知》”执行。</w:t>
      </w:r>
      <w:r>
        <w:rPr>
          <w:rFonts w:hint="eastAsia" w:hAnsi="宋体"/>
          <w:b/>
          <w:bCs/>
          <w:color w:val="000000"/>
          <w:sz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37" w:name="_Toc109304971"/>
      <w:r/>
      <w:bookmarkEnd w:id="37"/>
      <w:r/>
      <w:bookmarkStart w:id="38" w:name="_Toc22183"/>
      <w:r/>
      <w:bookmarkStart w:id="39" w:name="_Toc22124"/>
      <w:r>
        <w:rPr>
          <w:rFonts w:hint="eastAsia" w:ascii="宋体" w:hAnsi="宋体" w:eastAsia="宋体" w:cs="Times New Roman"/>
          <w:bCs/>
          <w:color w:val="000000"/>
          <w:sz w:val="21"/>
          <w:szCs w:val="21"/>
          <w:highlight w:val="none"/>
        </w:rPr>
        <w:t xml:space="preserve">九、其他</w:t>
      </w:r>
      <w:bookmarkEnd w:id="38"/>
      <w:r/>
      <w:bookmarkEnd w:id="39"/>
      <w:r>
        <w:rPr>
          <w:rFonts w:hint="eastAsia" w:ascii="宋体" w:hAnsi="宋体" w:eastAsia="宋体" w:cs="Times New Roman"/>
          <w:bCs/>
          <w:color w:val="000000"/>
          <w:sz w:val="21"/>
          <w:szCs w:val="21"/>
          <w:highlight w:val="none"/>
        </w:rPr>
      </w:r>
      <w:r/>
    </w:p>
    <w:p>
      <w:pPr>
        <w:pStyle w:val="1014"/>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1.本次采购采用“政府采购管理交易系统（苏采云）”，</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、投标、评标和中标结果发布全程电子化，开标方式为不见面开标。投标人应当按照《“苏采云”系统投标人操作手册》参加投标活动。如投标人未按要求操作，由此所产生的风险由投标人自行承担。</w:t>
      </w:r>
      <w:r>
        <w:rPr>
          <w:rFonts w:hint="eastAsia" w:ascii="宋体" w:hAnsi="宋体"/>
          <w:b/>
          <w:bCs/>
          <w:color w:val="000000"/>
          <w:szCs w:val="21"/>
          <w:highlight w:val="none"/>
        </w:rPr>
      </w:r>
      <w:r/>
    </w:p>
    <w:p>
      <w:pPr>
        <w:pStyle w:val="1014"/>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1014"/>
        <w:ind w:firstLine="422"/>
        <w:pageBreakBefore w:val="0"/>
        <w:spacing w:line="360" w:lineRule="auto"/>
        <w:rPr>
          <w:rFonts w:hint="eastAsia" w:ascii="宋体" w:hAnsi="宋体"/>
          <w:b/>
          <w:i/>
          <w:iCs/>
          <w:color w:val="000000"/>
          <w:szCs w:val="21"/>
          <w:highlight w:val="none"/>
          <w:u w:val="single"/>
        </w:rPr>
      </w:pPr>
      <w:r>
        <w:rPr>
          <w:rFonts w:hint="eastAsia" w:ascii="宋体" w:hAnsi="宋体"/>
          <w:b/>
          <w:i/>
          <w:iCs/>
          <w:color w:val="000000"/>
          <w:szCs w:val="21"/>
          <w:highlight w:val="none"/>
          <w:u w:val="single"/>
          <w:lang w:val="en-US" w:eastAsia="zh-CN"/>
        </w:rPr>
        <w:t xml:space="preserve">3</w:t>
      </w:r>
      <w:r>
        <w:rPr>
          <w:rFonts w:hint="eastAsia" w:ascii="宋体" w:hAnsi="宋体"/>
          <w:b/>
          <w:i/>
          <w:iCs/>
          <w:color w:val="000000"/>
          <w:szCs w:val="21"/>
          <w:highlight w:val="none"/>
          <w:u w:val="single"/>
        </w:rPr>
        <w:t xml:space="preserve">本项目采购文件中所有斜体下划线部分为实质性条款，如不满足，则为无效投标。</w:t>
      </w:r>
      <w:r>
        <w:rPr>
          <w:rFonts w:hint="eastAsia" w:ascii="宋体" w:hAnsi="宋体"/>
          <w:b/>
          <w:i/>
          <w:iCs/>
          <w:color w:val="000000"/>
          <w:szCs w:val="21"/>
          <w:highlight w:val="none"/>
          <w:u w:val="singl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（三）1.投标保证金：根据江苏省财政厅《关于做好政府采购支持企业发展有关事项的通知》（苏财购【2020】52号）文件的要求，本项目免收投标保证金。</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2、潜在投标人对招标文件项目需求部分的询问、质疑请向采购人提出，由采购人负责答复。</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3.有关本次招标的事项若存在变动或修改，敬请及时关注“江苏省政府采购网”、“扬州市政府采购网”</w:t>
      </w:r>
      <w:r>
        <w:rPr>
          <w:rFonts w:hint="eastAsia" w:ascii="宋体" w:hAnsi="宋体"/>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color w:val="000000"/>
          <w:szCs w:val="21"/>
          <w:highlight w:val="none"/>
        </w:rPr>
        <w:t xml:space="preserve">发布的信息。</w:t>
      </w:r>
      <w:r>
        <w:rPr>
          <w:rFonts w:hint="eastAsia" w:ascii="宋体" w:hAnsi="宋体"/>
          <w:color w:val="000000"/>
          <w:szCs w:val="21"/>
          <w:highlight w:val="none"/>
        </w:rPr>
      </w:r>
      <w:r/>
    </w:p>
    <w:p>
      <w:pPr>
        <w:pStyle w:val="1014"/>
        <w:jc w:val="right"/>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江苏鼎坚工程咨询有限公司扬州分公司</w:t>
      </w:r>
      <w:r>
        <w:rPr>
          <w:rFonts w:hint="eastAsia" w:ascii="宋体" w:hAnsi="宋体" w:eastAsia="宋体"/>
          <w:color w:val="000000"/>
          <w:szCs w:val="21"/>
          <w:highlight w:val="none"/>
          <w:lang w:eastAsia="zh-CN"/>
        </w:rPr>
      </w:r>
      <w:r/>
    </w:p>
    <w:p>
      <w:pPr>
        <w:pStyle w:val="1014"/>
        <w:ind w:firstLine="420"/>
        <w:jc w:val="right"/>
        <w:pageBreakBefore w:val="0"/>
        <w:spacing w:line="360" w:lineRule="auto"/>
        <w:rPr>
          <w:rFonts w:ascii="宋体" w:hAnsi="宋体"/>
          <w:color w:val="000000"/>
          <w:szCs w:val="21"/>
          <w:highlight w:val="none"/>
        </w:rPr>
      </w:pPr>
      <w:r/>
      <w:bookmarkEnd w:id="34"/>
      <w:r/>
      <w:bookmarkStart w:id="40" w:name="_Toc109304972"/>
      <w:r/>
      <w:bookmarkStart w:id="41" w:name="_Toc458694821"/>
      <w:r/>
      <w:bookmarkStart w:id="42" w:name="_Toc16938520"/>
      <w:r/>
      <w:bookmarkStart w:id="43" w:name="_Toc513029204"/>
      <w:r/>
      <w:bookmarkStart w:id="44" w:name="_Toc20823276"/>
      <w:r>
        <w:rPr>
          <w:rFonts w:hint="eastAsia" w:ascii="宋体" w:hAnsi="宋体"/>
          <w:color w:val="000000"/>
          <w:szCs w:val="21"/>
          <w:highlight w:val="none"/>
          <w:lang w:eastAsia="zh-CN"/>
        </w:rPr>
        <w:t xml:space="preserve">2025年</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月</w:t>
      </w:r>
      <w:bookmarkEnd w:id="40"/>
      <w:r>
        <w:rPr>
          <w:rFonts w:hint="eastAsia" w:ascii="宋体" w:hAnsi="宋体"/>
          <w:color w:val="000000"/>
          <w:szCs w:val="21"/>
          <w:highlight w:val="none"/>
          <w:lang w:val="en-US" w:eastAsia="zh-CN"/>
        </w:rPr>
        <w:t xml:space="preserve">14</w:t>
      </w:r>
      <w:r>
        <w:rPr>
          <w:rFonts w:hint="eastAsia" w:ascii="宋体" w:hAnsi="宋体"/>
          <w:color w:val="000000"/>
          <w:szCs w:val="21"/>
          <w:highlight w:val="none"/>
        </w:rPr>
        <w:t xml:space="preserve">日</w:t>
      </w:r>
      <w:r>
        <w:rPr>
          <w:rFonts w:ascii="宋体" w:hAnsi="宋体"/>
          <w:color w:val="000000"/>
          <w:szCs w:val="21"/>
          <w:highlight w:val="none"/>
        </w:rPr>
      </w:r>
      <w:r/>
    </w:p>
    <w:p>
      <w:pPr>
        <w:pStyle w:val="1095"/>
        <w:ind w:firstLine="480"/>
        <w:rPr>
          <w:rFonts w:hint="eastAsia"/>
          <w:color w:val="000000"/>
          <w:highlight w:val="none"/>
        </w:rPr>
      </w:pPr>
      <w:r>
        <w:rPr>
          <w:rFonts w:hint="eastAsia"/>
          <w:color w:val="000000"/>
          <w:highlight w:val="none"/>
        </w:rPr>
      </w:r>
      <w:r/>
    </w:p>
    <w:p>
      <w:pPr>
        <w:pStyle w:val="1057"/>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bookmarkStart w:id="45" w:name="_Toc28449"/>
      <w:r>
        <w:rPr>
          <w:rFonts w:hint="eastAsia" w:ascii="宋体" w:hAnsi="宋体"/>
          <w:color w:val="000000"/>
          <w:sz w:val="40"/>
          <w:szCs w:val="40"/>
          <w:highlight w:val="none"/>
        </w:rPr>
        <w:t xml:space="preserve">第二章 投标须知</w:t>
      </w:r>
      <w:bookmarkEnd w:id="45"/>
      <w:r>
        <w:rPr>
          <w:rFonts w:hint="eastAsia" w:ascii="宋体" w:hAnsi="宋体"/>
          <w:color w:val="000000"/>
          <w:sz w:val="28"/>
          <w:szCs w:val="28"/>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1、采购方式</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1.1本次采购采取公开招标方式，本采购文件仅适用于</w:t>
      </w:r>
      <w:r>
        <w:rPr>
          <w:rFonts w:hint="eastAsia" w:ascii="宋体" w:hAnsi="宋体"/>
          <w:color w:val="000000"/>
          <w:szCs w:val="21"/>
          <w:highlight w:val="none"/>
          <w:lang w:eastAsia="zh-CN"/>
        </w:rPr>
        <w:t xml:space="preserve">JSZC-321000-DJZX-G2025-0003号</w:t>
      </w: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w:t>
      </w:r>
      <w:r>
        <w:rPr>
          <w:rFonts w:hint="eastAsia" w:ascii="宋体" w:hAnsi="宋体"/>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2.1 参加公开招标的投标人以下简称“投标人”，是指参加投标并符合采购文件规定资格条件的法人、其他组织或者自然人。</w:t>
      </w:r>
      <w:r>
        <w:rPr>
          <w:rFonts w:hint="eastAsia" w:ascii="宋体" w:hAnsi="宋体"/>
          <w:b/>
          <w:bCs/>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2.2合格的投标人</w:t>
      </w:r>
      <w:r>
        <w:rPr>
          <w:rFonts w:hint="eastAsia" w:ascii="宋体" w:hAnsi="宋体"/>
          <w:b/>
          <w:bCs/>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2.2.1 满足招标公告中投标人的资格条件要求的规定。</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3、适用法律</w:t>
      </w:r>
      <w:r>
        <w:rPr>
          <w:rFonts w:hint="eastAsia" w:ascii="宋体" w:hAnsi="宋体"/>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3.1 本次采购及由此产生的合同受中华人民共和国有关的法律法规制约和保护。</w:t>
      </w:r>
      <w:r>
        <w:rPr>
          <w:rFonts w:hint="eastAsia" w:ascii="宋体" w:hAnsi="宋体"/>
          <w:b/>
          <w:bCs/>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4、投标费用</w:t>
      </w:r>
      <w:r>
        <w:rPr>
          <w:rFonts w:hint="eastAsia" w:ascii="宋体" w:hAnsi="宋体"/>
          <w:b/>
          <w:bCs/>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 投标人应自行承担所有与参加投标有关的费用，无论招标过程中的做法和结果如何，</w:t>
      </w:r>
      <w:r>
        <w:rPr>
          <w:rFonts w:hint="eastAsia" w:ascii="宋体" w:hAnsi="宋体"/>
          <w:color w:val="000000"/>
          <w:szCs w:val="21"/>
          <w:highlight w:val="none"/>
          <w:lang w:eastAsia="zh-CN"/>
        </w:rPr>
        <w:t xml:space="preserve">江苏鼎坚工程咨询有限公司扬州分公司</w:t>
      </w:r>
      <w:r>
        <w:rPr>
          <w:rFonts w:hint="eastAsia" w:ascii="宋体" w:hAnsi="宋体"/>
          <w:color w:val="000000"/>
          <w:szCs w:val="21"/>
          <w:highlight w:val="none"/>
        </w:rPr>
        <w:t xml:space="preserve">(以下简称代理机构)在任何情况下均无义务和责任承担这些费用。</w:t>
      </w:r>
      <w:r>
        <w:rPr>
          <w:rFonts w:hint="eastAsia" w:ascii="宋体" w:hAnsi="宋体"/>
          <w:color w:val="000000"/>
          <w:szCs w:val="21"/>
          <w:highlight w:val="none"/>
        </w:rPr>
      </w:r>
      <w:r/>
    </w:p>
    <w:p>
      <w:pPr>
        <w:pStyle w:val="1014"/>
        <w:ind w:firstLine="422"/>
        <w:jc w:val="left"/>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eastAsia="宋体" w:cs="宋体"/>
          <w:b/>
          <w:bCs/>
          <w:color w:val="000000"/>
          <w:szCs w:val="21"/>
          <w:highlight w:val="none"/>
        </w:rPr>
        <w:t xml:space="preserve">本次采购由</w:t>
      </w:r>
      <w:r>
        <w:rPr>
          <w:rFonts w:hint="eastAsia" w:ascii="宋体" w:hAnsi="宋体" w:eastAsia="宋体" w:cs="宋体"/>
          <w:b/>
          <w:bCs/>
          <w:color w:val="000000"/>
          <w:szCs w:val="21"/>
          <w:highlight w:val="none"/>
          <w:lang w:val="en-US" w:eastAsia="zh-CN"/>
        </w:rPr>
        <w:t xml:space="preserve">中标人</w:t>
      </w:r>
      <w:r>
        <w:rPr>
          <w:rFonts w:hint="eastAsia" w:ascii="宋体" w:hAnsi="宋体" w:eastAsia="宋体" w:cs="宋体"/>
          <w:b/>
          <w:bCs/>
          <w:color w:val="000000"/>
          <w:szCs w:val="21"/>
          <w:highlight w:val="none"/>
        </w:rPr>
        <w:t xml:space="preserve">按照国家计委印发的《招标代理服务收费管理暂行办法》（计价格【2002】1980号文）的标准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不足伍仟元按照伍仟元计取</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一次性支付给招标代理机构代理服务费</w:t>
      </w:r>
      <w:r>
        <w:rPr>
          <w:rFonts w:hint="eastAsia" w:ascii="宋体" w:hAnsi="宋体" w:eastAsia="宋体" w:cs="宋体"/>
          <w:b/>
          <w:bCs/>
          <w:color w:val="000000"/>
          <w:szCs w:val="21"/>
          <w:highlight w:val="none"/>
          <w:lang w:eastAsia="zh-CN"/>
        </w:rPr>
        <w:t xml:space="preserve">。</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1104"/>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（1）代理服务费以人民币支付；</w:t>
      </w:r>
      <w:r>
        <w:rPr>
          <w:rFonts w:hint="eastAsia" w:ascii="宋体" w:hAnsi="宋体"/>
          <w:color w:val="000000"/>
          <w:highlight w:val="none"/>
        </w:rPr>
      </w:r>
      <w:r/>
    </w:p>
    <w:p>
      <w:pPr>
        <w:pStyle w:val="1104"/>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（2）代理服务费一次性以电汇、转账等非现金形式支付；</w:t>
      </w:r>
      <w:r>
        <w:rPr>
          <w:rFonts w:hint="eastAsia" w:ascii="宋体" w:hAnsi="宋体"/>
          <w:color w:val="000000"/>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代理服务费开户银行：</w:t>
      </w:r>
      <w:r>
        <w:rPr>
          <w:rFonts w:hint="eastAsia" w:ascii="宋体" w:hAnsi="宋体"/>
          <w:b/>
          <w:color w:val="000000"/>
          <w:szCs w:val="21"/>
          <w:highlight w:val="none"/>
        </w:rPr>
        <w:t xml:space="preserve">江苏常熟农村商业银行股份有限公司扬州分行</w:t>
      </w:r>
      <w:r>
        <w:rPr>
          <w:rFonts w:hint="eastAsia" w:ascii="宋体" w:hAnsi="宋体"/>
          <w:b/>
          <w:color w:val="000000"/>
          <w:szCs w:val="21"/>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开户名称：江苏鼎坚</w:t>
      </w:r>
      <w:r>
        <w:rPr>
          <w:rFonts w:hint="eastAsia" w:ascii="宋体" w:hAnsi="宋体"/>
          <w:b/>
          <w:color w:val="000000"/>
          <w:szCs w:val="21"/>
          <w:highlight w:val="none"/>
          <w:lang w:val="en-US" w:eastAsia="zh-CN"/>
        </w:rPr>
        <w:t xml:space="preserve">工程</w:t>
      </w:r>
      <w:r>
        <w:rPr>
          <w:rFonts w:hint="eastAsia" w:ascii="宋体" w:hAnsi="宋体"/>
          <w:b/>
          <w:color w:val="000000"/>
          <w:szCs w:val="21"/>
          <w:highlight w:val="none"/>
        </w:rPr>
        <w:t xml:space="preserve">咨询有限公司扬州分公司</w:t>
      </w:r>
      <w:r>
        <w:rPr>
          <w:rFonts w:hint="eastAsia" w:ascii="宋体" w:hAnsi="宋体"/>
          <w:b/>
          <w:color w:val="000000"/>
          <w:szCs w:val="21"/>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开户帐号：</w:t>
      </w:r>
      <w:r>
        <w:rPr>
          <w:rFonts w:hint="eastAsia" w:ascii="宋体" w:hAnsi="宋体"/>
          <w:b/>
          <w:color w:val="000000"/>
          <w:szCs w:val="21"/>
          <w:highlight w:val="none"/>
        </w:rPr>
        <w:t xml:space="preserve">105260001000186283</w:t>
      </w:r>
      <w:r>
        <w:rPr>
          <w:rFonts w:hint="eastAsia" w:ascii="宋体" w:hAnsi="宋体"/>
          <w:b/>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bookmarkStart w:id="46" w:name="_Hlk115095815"/>
      <w:r>
        <w:rPr>
          <w:rFonts w:hint="eastAsia" w:ascii="宋体" w:hAnsi="宋体"/>
          <w:color w:val="000000"/>
          <w:szCs w:val="21"/>
          <w:highlight w:val="none"/>
        </w:rPr>
        <w:t xml:space="preserve">4.3专家评审费</w:t>
      </w:r>
      <w:r>
        <w:rPr>
          <w:rFonts w:hint="eastAsia" w:ascii="宋体" w:hAnsi="宋体"/>
          <w:color w:val="000000"/>
          <w:szCs w:val="21"/>
          <w:highlight w:val="none"/>
          <w:lang w:val="en-US" w:eastAsia="zh-CN"/>
        </w:rPr>
        <w:t xml:space="preserve">参照</w:t>
      </w:r>
      <w:r>
        <w:rPr>
          <w:rFonts w:hint="eastAsia" w:ascii="宋体" w:hAnsi="宋体"/>
          <w:color w:val="000000"/>
          <w:szCs w:val="21"/>
          <w:highlight w:val="none"/>
        </w:rPr>
        <w:t xml:space="preserve">扬财购【2020】40 号文《关于进一步规范扬州市政府采购专家评审费标准的通知》执行。</w:t>
      </w:r>
      <w:r>
        <w:rPr>
          <w:rFonts w:hint="eastAsia" w:ascii="宋体" w:hAnsi="宋体"/>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6.2招标的最小单位是包。招标服务数量及技术要求中未分包的，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对要求提供的服务不得部分投标；招标服务数量及技术要求中已经分包的，应当以包为单位投标。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6.3招标文件如果要求</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提交备选投标方案的，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可以提交备选方案；否则，备选方案将被拒绝。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7.1任何要求对招标文件进行澄清的投标人，应在投标截止日期的十日前按招标公告中的通讯地址，以书面形式通知代理机构。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9.2除技术性能另有规定外，投标文件所使用的度量衡单位，均须采用国家法定计量单位。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11.4投标人应提交根据合同要求提供的证明服务质量合格以及符合招标文件规定的证明文件。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11.5证明投标人所提供服务与招标文件的要求相一致的文件可以是手册、图纸、文字资料和数据。</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12、分项报价表</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投标人应按照招标文件规定格式填报分项报价表，每项服务只允许有一个报价，任何有选择的报价将不予接受。</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12.3其它费用处理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12.4投标货币</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13、技术参数响应及偏离表、商务条款响应及偏离表及投标服务说明</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13.3 详细阐述所投服务的主要组成部分、功能设计、实现思路及关键技术；</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14.1投标人的服务承诺应按不低于招标文件中商务要求的标准。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47" w:name="_Toc513029225"/>
      <w:r/>
      <w:bookmarkStart w:id="48" w:name="_Toc20823297"/>
      <w:r/>
      <w:bookmarkStart w:id="49" w:name="_Toc462564084"/>
      <w:r/>
      <w:bookmarkStart w:id="50" w:name="_Toc16938541"/>
      <w:r>
        <w:rPr>
          <w:rFonts w:hint="eastAsia" w:ascii="宋体" w:hAnsi="宋体"/>
          <w:b/>
          <w:color w:val="000000"/>
          <w:szCs w:val="21"/>
          <w:highlight w:val="none"/>
        </w:rPr>
        <w:t xml:space="preserve">17、投标文件</w:t>
      </w:r>
      <w:bookmarkEnd w:id="47"/>
      <w:r/>
      <w:bookmarkEnd w:id="48"/>
      <w:r/>
      <w:bookmarkEnd w:id="49"/>
      <w:r/>
      <w:bookmarkEnd w:id="50"/>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51" w:name="_Toc513029226"/>
      <w:r/>
      <w:bookmarkStart w:id="52" w:name="_Toc20823298"/>
      <w:r/>
      <w:bookmarkStart w:id="53" w:name="_Toc16938542"/>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1014"/>
        <w:ind w:firstLine="422"/>
        <w:keepLines w:val="0"/>
        <w:keepNext w:val="0"/>
        <w:pageBreakBefore w:val="0"/>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51"/>
      <w:r/>
      <w:bookmarkEnd w:id="52"/>
      <w:r/>
      <w:bookmarkEnd w:id="53"/>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54" w:name="_Toc513029227"/>
      <w:r/>
      <w:bookmarkStart w:id="55" w:name="_Toc20823299"/>
      <w:r/>
      <w:bookmarkStart w:id="56" w:name="_Toc16938543"/>
      <w:r>
        <w:rPr>
          <w:rFonts w:hint="eastAsia" w:ascii="宋体" w:hAnsi="宋体"/>
          <w:b/>
          <w:color w:val="000000"/>
          <w:szCs w:val="21"/>
          <w:highlight w:val="none"/>
        </w:rPr>
        <w:t xml:space="preserve">19、投标文件</w:t>
      </w:r>
      <w:bookmarkEnd w:id="54"/>
      <w:r/>
      <w:bookmarkEnd w:id="55"/>
      <w:r/>
      <w:bookmarkEnd w:id="56"/>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57" w:name="_Toc20823300"/>
      <w:r/>
      <w:bookmarkStart w:id="58" w:name="_Toc16938544"/>
      <w:r/>
      <w:bookmarkStart w:id="59" w:name="_Toc513029228"/>
      <w:r>
        <w:rPr>
          <w:rFonts w:hint="eastAsia" w:ascii="宋体" w:hAnsi="宋体"/>
          <w:b/>
          <w:color w:val="000000"/>
          <w:szCs w:val="21"/>
          <w:highlight w:val="none"/>
        </w:rPr>
        <w:t xml:space="preserve">20、投标文件的撤回和修改</w:t>
      </w:r>
      <w:bookmarkEnd w:id="57"/>
      <w:r/>
      <w:bookmarkEnd w:id="58"/>
      <w:r/>
      <w:bookmarkEnd w:id="59"/>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1014"/>
        <w:ind w:firstLine="420"/>
        <w:jc w:val="left"/>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的身份共同参加政府采购活动的,联合体成员存在不良信用记录的，视同联合体存在不良信用记录。</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1014"/>
        <w:ind w:firstLine="420"/>
        <w:jc w:val="left"/>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hint="eastAsia" w:ascii="宋体" w:hAnsi="宋体"/>
          <w:color w:val="000000"/>
          <w:highlight w:val="none"/>
        </w:rPr>
      </w:r>
      <w:r/>
    </w:p>
    <w:p>
      <w:pPr>
        <w:pStyle w:val="1014"/>
        <w:ind w:firstLine="420"/>
        <w:jc w:val="left"/>
        <w:spacing w:line="360" w:lineRule="auto"/>
        <w:rPr>
          <w:rFonts w:hint="eastAsia" w:ascii="宋体" w:hAnsi="宋体" w:cs="宋体"/>
          <w:color w:val="000000"/>
          <w:szCs w:val="21"/>
          <w:highlight w:val="none"/>
        </w:rPr>
      </w:pPr>
      <w:r>
        <w:rPr>
          <w:rFonts w:hint="eastAsia" w:ascii="宋体" w:hAnsi="宋体"/>
          <w:color w:val="000000"/>
          <w:highlight w:val="none"/>
          <w:lang w:val="en-US" w:eastAsia="zh-CN"/>
        </w:rPr>
        <w:t xml:space="preserve">25.8</w:t>
      </w: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rPr>
          <w:rFonts w:hint="eastAsia" w:ascii="宋体" w:hAnsi="宋体" w:cs="宋体"/>
          <w:color w:val="000000"/>
          <w:szCs w:val="21"/>
          <w:highlight w:val="none"/>
        </w:rPr>
      </w:r>
      <w:r/>
    </w:p>
    <w:p>
      <w:pPr>
        <w:pStyle w:val="1014"/>
        <w:ind w:firstLine="420"/>
        <w:spacing w:line="360" w:lineRule="auto"/>
        <w:rPr>
          <w:rFonts w:ascii="宋体" w:hAnsi="宋体" w:eastAsia="宋体"/>
          <w:color w:val="000000"/>
          <w:highlight w:val="none"/>
          <w:lang w:val="en-US" w:eastAsia="zh-CN"/>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hAnsi="宋体"/>
          <w:b/>
          <w:bCs w:val="0"/>
          <w:color w:val="000000"/>
          <w:szCs w:val="21"/>
          <w:highlight w:val="none"/>
          <w:u w:val="single"/>
          <w:lang w:val="en-US" w:eastAsia="zh-CN"/>
        </w:rPr>
        <w:t xml:space="preserve">本项目核心产品为全自动固相萃取装置。</w:t>
      </w:r>
      <w:r>
        <w:rPr>
          <w:rFonts w:ascii="宋体" w:hAnsi="宋体" w:eastAsia="宋体"/>
          <w:color w:val="000000"/>
          <w:highlight w:val="none"/>
          <w:lang w:val="en-US" w:eastAsia="zh-CN"/>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的身份共同参加政府采购活动的，联合体成员存在不良信用记录的，视同联合体存在不良应用记录。</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1014"/>
        <w:ind w:left="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或者对招标文件作实质响应的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不足三家的。26.2.2出现影响采购公正的违法、违规行为的。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或者在评标期间对招标文件做出实质性响应的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不足三家情况，按政府采购相关规定执行。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应当是参与所质疑项目采购活动的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依法获取其可质疑的采购文件的，可以对采购文件提出质疑。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应向采购人提出，由采购人负责答复。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28.3</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应在法定质疑期内一次性提出针对同一采购程序环节的质疑。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如在法定期限内对同一采购程序环节提出多次质疑的，代理机构、采购人将只对</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第一次质疑作出答复。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或在投标活动中自身权益未受到损害的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所提出的质疑。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28.8.5</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组成联合体参加投标，联合体中任何一方或多方未按要求签字、盖章、加盖公章的质疑。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28.9 </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进行相应的行政处罚和记录该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的失信信息。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的书面质疑后7个工作日内作出答复，并以书面形式通知质疑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和其他有关</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，但答复的内容不得涉及商业秘密。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1014"/>
        <w:ind w:left="210" w:firstLine="315"/>
        <w:spacing w:line="360" w:lineRule="auto"/>
        <w:rPr>
          <w:color w:val="000000"/>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cs="宋体"/>
          <w:i/>
          <w:color w:val="000000"/>
          <w:szCs w:val="21"/>
          <w:highlight w:val="none"/>
          <w:u w:val="single"/>
        </w:rPr>
        <w:t xml:space="preserve">中标</w:t>
      </w:r>
      <w:r>
        <w:rPr>
          <w:rFonts w:hint="eastAsia" w:ascii="宋体" w:hAnsi="宋体" w:cs="宋体"/>
          <w:i/>
          <w:color w:val="000000"/>
          <w:szCs w:val="21"/>
          <w:highlight w:val="none"/>
          <w:u w:val="single"/>
          <w:lang w:val="en-US" w:eastAsia="zh-CN"/>
        </w:rPr>
        <w:t xml:space="preserve">人</w:t>
      </w:r>
      <w:r>
        <w:rPr>
          <w:rFonts w:hint="eastAsia" w:ascii="宋体" w:hAnsi="宋体" w:cs="宋体"/>
          <w:i/>
          <w:color w:val="000000"/>
          <w:szCs w:val="21"/>
          <w:highlight w:val="none"/>
          <w:u w:val="single"/>
        </w:rPr>
        <w:t xml:space="preserve">不得将货物及其他相关服务进行转包</w:t>
      </w:r>
      <w:r>
        <w:rPr>
          <w:rFonts w:hint="eastAsia" w:ascii="宋体" w:hAnsi="宋体" w:cs="宋体"/>
          <w:color w:val="000000"/>
          <w:szCs w:val="21"/>
          <w:highlight w:val="none"/>
        </w:rPr>
        <w:t xml:space="preserve">。未经采购人同意，中标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也不得采用分包的形式履行合同，否则采购人有权终止合同。转包或分包造成采购人损失或致使合同履行中发生违约现象的，中标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应承担赔偿责任。</w:t>
      </w:r>
      <w:r>
        <w:rPr>
          <w:color w:val="000000"/>
          <w:highlight w:val="none"/>
        </w:rPr>
      </w:r>
      <w:r/>
    </w:p>
    <w:p>
      <w:pPr>
        <w:pStyle w:val="1014"/>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s="宋体"/>
          <w:bCs/>
          <w:color w:val="000000"/>
          <w:szCs w:val="21"/>
          <w:highlight w:val="none"/>
        </w:rPr>
      </w:r>
      <w:r/>
    </w:p>
    <w:p>
      <w:pPr>
        <w:pStyle w:val="1014"/>
        <w:ind w:left="0" w:firstLine="422"/>
        <w:keepLines w:val="0"/>
        <w:keepNext w:val="0"/>
        <w:pageBreakBefore w:val="0"/>
        <w:spacing w:line="360" w:lineRule="auto"/>
        <w:widowControl w:val="off"/>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3</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、履约保证金</w:t>
      </w:r>
      <w:r>
        <w:rPr>
          <w:rFonts w:ascii="宋体" w:hAnsi="宋体" w:eastAsia="宋体"/>
          <w:b/>
          <w:bCs/>
          <w:color w:val="000000"/>
          <w:sz w:val="21"/>
          <w:szCs w:val="21"/>
          <w:highlight w:val="none"/>
        </w:rPr>
      </w:r>
      <w:r/>
    </w:p>
    <w:p>
      <w:pPr>
        <w:pStyle w:val="1014"/>
        <w:ind w:left="0" w:firstLine="422"/>
        <w:keepLines w:val="0"/>
        <w:keepNext w:val="0"/>
        <w:pageBreakBefore w:val="0"/>
        <w:spacing w:line="360" w:lineRule="auto"/>
        <w:widowControl w:val="off"/>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本项目不收取履约保证金</w:t>
      </w:r>
      <w:r>
        <w:rPr>
          <w:rFonts w:hint="eastAsia" w:ascii="宋体" w:hAnsi="宋体" w:eastAsia="宋体" w:cs="Times New Roman"/>
          <w:b/>
          <w:bCs w:val="0"/>
          <w:color w:val="000000"/>
          <w:szCs w:val="21"/>
          <w:highlight w:val="none"/>
        </w:rPr>
        <w:t xml:space="preserve">。</w:t>
      </w:r>
      <w:bookmarkStart w:id="60" w:name="_Toc200451963"/>
      <w:r>
        <w:rPr>
          <w:rFonts w:hint="eastAsia" w:ascii="宋体" w:hAnsi="宋体" w:eastAsia="宋体" w:cs="Times New Roman"/>
          <w:b/>
          <w:bCs w:val="0"/>
          <w:color w:val="000000"/>
          <w:szCs w:val="21"/>
          <w:highlight w:val="none"/>
        </w:rPr>
      </w:r>
      <w:r/>
    </w:p>
    <w:p>
      <w:pPr>
        <w:pStyle w:val="1014"/>
        <w:ind w:firstLine="422"/>
        <w:keepLines w:val="0"/>
        <w:keepNext w:val="0"/>
        <w:pageBreakBefore w:val="0"/>
        <w:spacing w:line="360" w:lineRule="auto"/>
        <w:rPr>
          <w:rFonts w:ascii="宋体" w:hAnsi="宋体" w:cs="宋体"/>
          <w:b/>
          <w:bCs/>
          <w:color w:val="000000"/>
          <w:highlight w:val="none"/>
        </w:rPr>
      </w:pPr>
      <w:r/>
      <w:bookmarkEnd w:id="60"/>
      <w:r>
        <w:rPr>
          <w:rFonts w:hint="eastAsia" w:ascii="宋体" w:hAnsi="宋体" w:cs="宋体"/>
          <w:b/>
          <w:bCs/>
          <w:color w:val="000000"/>
          <w:highlight w:val="none"/>
        </w:rPr>
        <w:t xml:space="preserve">3</w:t>
      </w:r>
      <w:r>
        <w:rPr>
          <w:rFonts w:hint="eastAsia" w:ascii="宋体" w:hAnsi="宋体" w:cs="宋体"/>
          <w:b/>
          <w:bCs/>
          <w:color w:val="000000"/>
          <w:highlight w:val="none"/>
          <w:lang w:val="en-US" w:eastAsia="zh-CN"/>
        </w:rPr>
        <w:t xml:space="preserve">2</w:t>
      </w:r>
      <w:r>
        <w:rPr>
          <w:rFonts w:hint="eastAsia" w:ascii="宋体" w:hAnsi="宋体" w:cs="宋体"/>
          <w:b/>
          <w:bCs/>
          <w:color w:val="000000"/>
          <w:highlight w:val="none"/>
        </w:rPr>
        <w:t xml:space="preserve">、其他</w:t>
      </w:r>
      <w:r>
        <w:rPr>
          <w:rFonts w:ascii="宋体" w:hAnsi="宋体" w:cs="宋体"/>
          <w:b/>
          <w:bCs/>
          <w:color w:val="000000"/>
          <w:highlight w:val="none"/>
        </w:rPr>
      </w:r>
      <w:r/>
    </w:p>
    <w:p>
      <w:pPr>
        <w:pStyle w:val="1014"/>
        <w:ind w:firstLine="420"/>
        <w:keepLines w:val="0"/>
        <w:keepNext w:val="0"/>
        <w:pageBreakBefore w:val="0"/>
        <w:spacing w:line="360" w:lineRule="auto"/>
        <w:rPr>
          <w:rFonts w:ascii="宋体" w:hAnsi="宋体" w:cs="宋体"/>
          <w:bCs/>
          <w:color w:val="000000"/>
          <w:szCs w:val="21"/>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.1依据《政府采购促进中小企业发展管理办法》享受扶持政策获得政府采购合同的，小微企业不得将合同分包给大中型企业，中型企业不得将合同分包给大型企业。</w:t>
      </w:r>
      <w:r>
        <w:rPr>
          <w:rFonts w:ascii="宋体" w:hAnsi="宋体" w:cs="宋体"/>
          <w:bCs/>
          <w:color w:val="000000"/>
          <w:szCs w:val="21"/>
          <w:highlight w:val="none"/>
        </w:rPr>
      </w:r>
      <w:r/>
    </w:p>
    <w:p>
      <w:pPr>
        <w:pStyle w:val="1021"/>
        <w:rPr>
          <w:rFonts w:hint="eastAsia"/>
          <w:color w:val="000000"/>
          <w:highlight w:val="none"/>
        </w:rPr>
      </w:pPr>
      <w:r>
        <w:rPr>
          <w:rFonts w:hint="eastAsia"/>
          <w:color w:val="000000"/>
          <w:highlight w:val="none"/>
        </w:rPr>
      </w:r>
      <w:r/>
    </w:p>
    <w:p>
      <w:pPr>
        <w:pStyle w:val="1114"/>
        <w:rPr>
          <w:rFonts w:hint="eastAsia" w:ascii="宋体" w:hAnsi="宋体"/>
          <w:color w:val="000000"/>
          <w:szCs w:val="21"/>
          <w:highlight w:val="none"/>
        </w:rPr>
      </w:pPr>
      <w:r/>
      <w:bookmarkEnd w:id="41"/>
      <w:r/>
      <w:bookmarkEnd w:id="42"/>
      <w:r/>
      <w:bookmarkEnd w:id="43"/>
      <w:r/>
      <w:bookmarkEnd w:id="44"/>
      <w:r/>
      <w:bookmarkEnd w:id="46"/>
      <w:r/>
      <w:bookmarkStart w:id="61" w:name="_Toc497145841"/>
      <w:r>
        <w:rPr>
          <w:rFonts w:hint="eastAsia" w:ascii="宋体" w:hAnsi="宋体"/>
          <w:color w:val="000000"/>
          <w:szCs w:val="21"/>
          <w:highlight w:val="none"/>
        </w:rPr>
      </w:r>
      <w:r/>
    </w:p>
    <w:p>
      <w:pPr>
        <w:pStyle w:val="1014"/>
        <w:rPr>
          <w:rFonts w:hint="eastAsia" w:ascii="宋体" w:hAnsi="宋体"/>
          <w:b/>
          <w:bCs/>
          <w:color w:val="000000"/>
          <w:sz w:val="36"/>
          <w:szCs w:val="36"/>
          <w:highlight w:val="none"/>
        </w:rPr>
      </w:pPr>
      <w:r/>
      <w:bookmarkEnd w:id="61"/>
      <w:r/>
      <w:bookmarkStart w:id="62" w:name="_Toc25801"/>
      <w:r/>
      <w:bookmarkStart w:id="63" w:name="_Toc497145842"/>
      <w:r>
        <w:rPr>
          <w:rFonts w:hint="eastAsia" w:ascii="宋体" w:hAnsi="宋体"/>
          <w:b/>
          <w:bCs/>
          <w:color w:val="000000"/>
          <w:sz w:val="36"/>
          <w:szCs w:val="36"/>
          <w:highlight w:val="none"/>
        </w:rPr>
      </w:r>
      <w:r/>
    </w:p>
    <w:p>
      <w:pPr>
        <w:pStyle w:val="1014"/>
        <w:ind w:left="0" w:right="0" w:firstLine="0"/>
        <w:jc w:val="center"/>
        <w:rPr>
          <w:rFonts w:hint="eastAsia" w:ascii="宋体" w:hAnsi="宋体"/>
          <w:b/>
          <w:bCs/>
          <w:color w:val="000000"/>
          <w:sz w:val="36"/>
          <w:szCs w:val="36"/>
          <w:highlight w:val="none"/>
        </w:rPr>
        <w:outlineLvl w:val="0"/>
      </w:pPr>
      <w:r>
        <w:rPr>
          <w:rFonts w:hint="eastAsia" w:ascii="宋体" w:hAnsi="宋体"/>
          <w:b/>
          <w:bCs/>
          <w:color w:val="000000"/>
          <w:sz w:val="36"/>
          <w:szCs w:val="36"/>
          <w:highlight w:val="none"/>
        </w:rPr>
        <w:br w:type="page" w:clear="all"/>
      </w:r>
      <w:bookmarkEnd w:id="62"/>
      <w:r>
        <w:rPr>
          <w:rFonts w:hint="eastAsia" w:ascii="宋体" w:hAnsi="宋体"/>
          <w:b/>
          <w:bCs/>
          <w:color w:val="000000"/>
          <w:sz w:val="36"/>
          <w:szCs w:val="36"/>
          <w:highlight w:val="none"/>
        </w:rPr>
        <w:t xml:space="preserve">第三章 合同条款及格式</w:t>
      </w:r>
      <w:r>
        <w:rPr>
          <w:rFonts w:hint="eastAsia" w:ascii="宋体" w:hAnsi="宋体"/>
          <w:b/>
          <w:bCs/>
          <w:color w:val="000000"/>
          <w:sz w:val="36"/>
          <w:szCs w:val="36"/>
          <w:highlight w:val="none"/>
        </w:rPr>
      </w:r>
      <w:r/>
    </w:p>
    <w:p>
      <w:pPr>
        <w:pStyle w:val="1014"/>
        <w:jc w:val="center"/>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以下为</w:t>
      </w:r>
      <w:r>
        <w:rPr>
          <w:rFonts w:hint="eastAsia" w:hAnsi="宋体"/>
          <w:color w:val="000000"/>
          <w:sz w:val="21"/>
          <w:highlight w:val="none"/>
          <w:lang w:val="en-US" w:eastAsia="zh-CN"/>
        </w:rPr>
        <w:t xml:space="preserve">中标</w:t>
      </w:r>
      <w:r>
        <w:rPr>
          <w:rFonts w:hint="eastAsia" w:hAnsi="宋体"/>
          <w:color w:val="000000"/>
          <w:sz w:val="21"/>
          <w:highlight w:val="none"/>
        </w:rPr>
        <w:t xml:space="preserve">后签定本项目合同的通用条款，中标人不得提出实质性的修改，关于专用条款将由采购人与中标人结合本项目具体情况协商后签订。</w:t>
      </w:r>
      <w:r>
        <w:rPr>
          <w:rFonts w:hint="eastAsia" w:hAnsi="宋体"/>
          <w:color w:val="000000"/>
          <w:sz w:val="21"/>
          <w:highlight w:val="none"/>
        </w:rPr>
      </w:r>
      <w:r/>
    </w:p>
    <w:p>
      <w:pPr>
        <w:pStyle w:val="1014"/>
        <w:ind w:left="0"/>
        <w:jc w:val="center"/>
        <w:keepLines w:val="0"/>
        <w:keepNext w:val="0"/>
        <w:pageBreakBefore w:val="0"/>
        <w:spacing w:line="360" w:lineRule="auto"/>
        <w:widowControl w:val="off"/>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政府采购合同</w:t>
      </w:r>
      <w:r>
        <w:rPr>
          <w:rFonts w:hint="eastAsia" w:ascii="宋体" w:hAnsi="宋体" w:eastAsia="宋体"/>
          <w:b/>
          <w:color w:val="000000"/>
          <w:szCs w:val="21"/>
          <w:highlight w:val="none"/>
          <w:lang w:eastAsia="zh-CN"/>
        </w:rPr>
      </w:r>
      <w:r/>
    </w:p>
    <w:p>
      <w:pPr>
        <w:pStyle w:val="1071"/>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食品中非法添加物、未知物筛查及农兽药残留检测能力提升项目</w:t>
      </w:r>
      <w:r>
        <w:rPr>
          <w:rFonts w:hint="eastAsia" w:hAnsi="宋体" w:eastAsia="宋体"/>
          <w:color w:val="000000"/>
          <w:sz w:val="21"/>
          <w:highlight w:val="none"/>
          <w:lang w:eastAsia="zh-CN"/>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u w:val="single"/>
          <w:lang w:eastAsia="zh-CN"/>
        </w:rPr>
        <w:t xml:space="preserve">JSZC-321000-DJZX-G2025-0003号</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扬州市检验检测中心</w:t>
      </w:r>
      <w:r>
        <w:rPr>
          <w:rFonts w:hint="eastAsia" w:hAnsi="宋体"/>
          <w:color w:val="000000"/>
          <w:sz w:val="21"/>
          <w:highlight w:val="none"/>
        </w:rPr>
        <w:t xml:space="preserve">       </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乙方（投标人/卖方）：</w:t>
      </w:r>
      <w:r>
        <w:rPr>
          <w:rFonts w:hint="eastAsia" w:hAnsi="宋体"/>
          <w:color w:val="000000"/>
          <w:sz w:val="21"/>
          <w:highlight w:val="none"/>
          <w:u w:val="single"/>
        </w:rPr>
        <w:t xml:space="preserve">                           </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根据《中华人民共和国政府采购法》、《中华人民共和国民法典》等法律法规的规定，甲乙双方按照</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关于本项目招标结果签订本合同。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一、产品内容</w:t>
      </w:r>
      <w:r>
        <w:rPr>
          <w:rFonts w:hint="eastAsia" w:hAnsi="宋体"/>
          <w:b/>
          <w:bCs/>
          <w:color w:val="000000"/>
          <w:sz w:val="21"/>
          <w:highlight w:val="none"/>
        </w:rPr>
      </w:r>
      <w:r/>
    </w:p>
    <w:p>
      <w:pPr>
        <w:pStyle w:val="1014"/>
        <w:ind w:left="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乙方根据甲方需求，提供下列货物：</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14"/>
        <w:ind w:left="0" w:firstLine="420"/>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货物名称、规格及数量等要求详见招投标文件。</w:t>
      </w:r>
      <w:r>
        <w:rPr>
          <w:rFonts w:ascii="宋体" w:hAnsi="宋体" w:cs="宋体"/>
          <w:b/>
          <w:color w:val="000000"/>
          <w:szCs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2.1 本合同金额为（大写）：_________圆（_______元）人民币。</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3.1乙方应按采购文件规定的时间向甲方提供使用服务或产品的有关技术资料。</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5.1乙方保证所交付的服务或产品的所有权完全属于乙方且无任何抵押、查封等产权瑕疵。</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071"/>
        <w:ind w:firstLine="1050"/>
        <w:keepLines w:val="0"/>
        <w:keepNext w:val="0"/>
        <w:pageBreakBefore w:val="0"/>
        <w:spacing w:line="360" w:lineRule="auto"/>
        <w:widowControl w:val="off"/>
        <w:rPr>
          <w:rFonts w:hint="eastAsia" w:hAnsi="宋体" w:eastAsia="宋体"/>
          <w:color w:val="000000"/>
          <w:sz w:val="21"/>
          <w:highlight w:val="none"/>
          <w:lang w:val="en-US" w:eastAsia="zh-CN"/>
        </w:rPr>
      </w:pPr>
      <w:r>
        <w:rPr>
          <w:rFonts w:hint="eastAsia" w:hAnsi="宋体" w:eastAsia="宋体"/>
          <w:color w:val="000000"/>
          <w:sz w:val="21"/>
          <w:highlight w:val="none"/>
          <w:lang w:val="en-US" w:eastAsia="zh-CN"/>
        </w:rPr>
        <w:t xml:space="preserve">无</w:t>
      </w:r>
      <w:r>
        <w:rPr>
          <w:rFonts w:hint="eastAsia" w:hAnsi="宋体" w:eastAsia="宋体"/>
          <w:color w:val="000000"/>
          <w:sz w:val="21"/>
          <w:highlight w:val="none"/>
          <w:lang w:val="en-US" w:eastAsia="zh-CN"/>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eastAsia="宋体"/>
          <w:b/>
          <w:bCs/>
          <w:color w:val="000000"/>
          <w:sz w:val="21"/>
          <w:highlight w:val="none"/>
          <w:lang w:val="en-US" w:eastAsia="zh-CN"/>
        </w:rPr>
      </w:pPr>
      <w:r>
        <w:rPr>
          <w:rFonts w:hint="eastAsia" w:hAnsi="宋体"/>
          <w:b/>
          <w:bCs/>
          <w:color w:val="000000"/>
          <w:sz w:val="21"/>
          <w:highlight w:val="none"/>
        </w:rPr>
        <w:t xml:space="preserve">八、</w:t>
      </w:r>
      <w:r>
        <w:rPr>
          <w:rFonts w:hint="eastAsia" w:hAnsi="宋体"/>
          <w:b/>
          <w:bCs/>
          <w:color w:val="000000"/>
          <w:sz w:val="21"/>
          <w:highlight w:val="none"/>
          <w:lang w:val="en-US" w:eastAsia="zh-CN"/>
        </w:rPr>
        <w:t xml:space="preserve">质保期</w:t>
      </w:r>
      <w:r>
        <w:rPr>
          <w:rFonts w:hint="eastAsia" w:hAnsi="宋体" w:eastAsia="宋体"/>
          <w:b/>
          <w:bCs/>
          <w:color w:val="000000"/>
          <w:sz w:val="21"/>
          <w:highlight w:val="none"/>
          <w:lang w:val="en-US" w:eastAsia="zh-CN"/>
        </w:rPr>
      </w:r>
      <w:r/>
    </w:p>
    <w:p>
      <w:pPr>
        <w:pStyle w:val="1071"/>
        <w:ind w:left="0" w:firstLine="420"/>
        <w:keepLines w:val="0"/>
        <w:keepNext w:val="0"/>
        <w:pageBreakBefore w:val="0"/>
        <w:spacing w:line="360" w:lineRule="auto"/>
        <w:widowControl w:val="off"/>
        <w:rPr>
          <w:rFonts w:hAnsi="宋体"/>
          <w:color w:val="000000"/>
          <w:sz w:val="21"/>
          <w:highlight w:val="none"/>
          <w:u w:val="none"/>
          <w:lang w:val="en-US"/>
        </w:rPr>
      </w:pPr>
      <w:r>
        <w:rPr>
          <w:rFonts w:hint="eastAsia" w:hAnsi="宋体"/>
          <w:color w:val="000000"/>
          <w:sz w:val="21"/>
          <w:highlight w:val="none"/>
        </w:rPr>
        <w:t xml:space="preserve">8.1 </w:t>
      </w:r>
      <w:r>
        <w:rPr>
          <w:rFonts w:hint="eastAsia" w:hAnsi="宋体"/>
          <w:color w:val="000000"/>
          <w:sz w:val="21"/>
          <w:highlight w:val="none"/>
          <w:lang w:val="en-US" w:eastAsia="zh-CN"/>
        </w:rPr>
        <w:t xml:space="preserve">质保期：</w:t>
      </w:r>
      <w:r>
        <w:rPr>
          <w:rFonts w:hint="eastAsia" w:hAnsi="宋体"/>
          <w:color w:val="000000"/>
          <w:sz w:val="21"/>
          <w:highlight w:val="none"/>
          <w:u w:val="single"/>
        </w:rPr>
        <w:t xml:space="preserve"> </w:t>
      </w:r>
      <w:r>
        <w:rPr>
          <w:rFonts w:hint="eastAsia" w:hAnsi="宋体"/>
          <w:color w:val="000000"/>
          <w:sz w:val="21"/>
          <w:highlight w:val="none"/>
          <w:u w:val="single"/>
          <w:lang w:val="en-US" w:eastAsia="zh-CN"/>
        </w:rPr>
        <w:t xml:space="preserve"> 2   </w:t>
      </w:r>
      <w:r>
        <w:rPr>
          <w:rFonts w:hint="eastAsia" w:hAnsi="宋体"/>
          <w:color w:val="000000"/>
          <w:sz w:val="21"/>
          <w:highlight w:val="none"/>
          <w:u w:val="none"/>
          <w:lang w:val="en-US" w:eastAsia="zh-CN"/>
        </w:rPr>
        <w:t xml:space="preserve">年</w:t>
      </w:r>
      <w:r>
        <w:rPr>
          <w:rFonts w:hAnsi="宋体"/>
          <w:color w:val="000000"/>
          <w:sz w:val="21"/>
          <w:highlight w:val="none"/>
          <w:u w:val="none"/>
          <w:lang w:val="en-US"/>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9.1 交付期：</w:t>
      </w:r>
      <w:r>
        <w:rPr>
          <w:rFonts w:hint="eastAsia" w:hAnsi="宋体"/>
          <w:color w:val="000000"/>
          <w:sz w:val="21"/>
          <w:highlight w:val="none"/>
          <w:u w:val="single"/>
          <w:lang w:eastAsia="zh-CN"/>
        </w:rPr>
        <w:t xml:space="preserve">合同签订后60天内完成合同范围内所有设备的供货、安装调试。</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014"/>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14"/>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10.3付款方式:</w:t>
      </w:r>
      <w:r>
        <w:rPr>
          <w:rFonts w:hint="eastAsia" w:hAnsi="宋体"/>
          <w:color w:val="000000"/>
          <w:sz w:val="21"/>
          <w:highlight w:val="none"/>
          <w:lang w:val="en-US" w:eastAsia="zh-CN"/>
        </w:rPr>
        <w:t xml:space="preserve">合同签订后，甲方自收到发票之日起10个工作日内，支付乙方合同总价70%的预付款；设备到位安装调试完毕并验收合格后，甲方自收到发票之日起10个工作日内，支付合同总价的20%；设备安装调试完毕并验收合格1年后付清尾款(无息）。  </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12.1 乙方应按采购文件规定的服务或产品性能、技术要求、质量标准向甲方提供。</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⑴更换：由乙方承担所发生的全部费用。</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⑵贬值处理：由甲乙双方合议定价。</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⑶退还处理：乙方应退还甲方支付的合同款，同时应承担该服务或产品的直接费用（运输、保险、检验、款项利息及银行手续费等）。</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12.3 如在使用过程中发生质量问题，乙方在接到甲方通知后在______小时内到达甲方现场。</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13.4 对技术复杂的服务或产品，甲方可请国家认可的专业检测机构参与初步验收及最终验收，并由其出具质量检测报告。</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13.5 验收时乙方必须在现场，验收完毕后作出验收结果报告；验收费用由甲乙双方协商解决。</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十四、服务或产品包装、发运及运输</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14.1 乙方应在服务或产品发运前对其进行满足运输距离、防潮、防震、防锈和防破损装卸等要求包装，以保证服务或产品安全运达甲方指定地点。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14.2 使用说明书、质量检验证明书、随配附件和工具以及清单一并交付甲方。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14.3 乙方在服务或产品发运手续办理完毕后24小时内或交付到甲方48小时前通知甲方，以准备接受交付。</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14.4 服务在交付甲方前发生的风险均由乙方负责。</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14.5 服务或产品在规定的交付期限内由乙方送达甲方指定的地点视为交付，乙方同时需通知甲方服务或产品已送达。</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十五、违约责任</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15.1 甲方无正当理由拒收服务或产品的，甲方向乙方偿付拒收款项总值的百分之五违约金。</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十六、不可抗力事件处理</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十七、诉讼</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十八、合同生效及其它</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.3 本合同正本一式四份，具有同等法律效力，甲方、乙方、见证方及财政监管部门各执一份。  </w:t>
      </w:r>
      <w:r>
        <w:rPr>
          <w:rFonts w:hint="eastAsia" w:hAnsi="宋体"/>
          <w:color w:val="000000"/>
          <w:sz w:val="21"/>
          <w:highlight w:val="none"/>
        </w:rPr>
      </w:r>
      <w:r/>
    </w:p>
    <w:tbl>
      <w:tblPr>
        <w:tblW w:w="0" w:type="auto"/>
        <w:tblInd w:w="-29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eastAsia="zh-CN"/>
              </w:rPr>
              <w:t xml:space="preserve">扬州市检验检测中心</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tc>
      </w:tr>
    </w:tbl>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ascii="宋体" w:hAnsi="宋体"/>
          <w:color w:val="000000"/>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color w:val="000000"/>
          <w:sz w:val="21"/>
          <w:highlight w:val="none"/>
        </w:rPr>
        <w:t xml:space="preserve">日期：     年   月   </w:t>
      </w:r>
      <w:r>
        <w:rPr>
          <w:rFonts w:hint="eastAsia" w:ascii="宋体" w:hAnsi="宋体"/>
          <w:color w:val="000000"/>
          <w:szCs w:val="21"/>
          <w:highlight w:val="none"/>
        </w:rPr>
      </w:r>
      <w:r/>
    </w:p>
    <w:p>
      <w:pPr>
        <w:pStyle w:val="1014"/>
        <w:jc w:val="center"/>
        <w:spacing w:line="360" w:lineRule="auto"/>
        <w:widowControl/>
        <w:rPr>
          <w:rFonts w:hint="eastAsia" w:ascii="宋体" w:hAnsi="宋体"/>
          <w:b/>
          <w:bCs/>
          <w:color w:val="000000"/>
          <w:sz w:val="36"/>
          <w:szCs w:val="36"/>
          <w:highlight w:val="none"/>
        </w:rPr>
        <w:outlineLvl w:val="0"/>
      </w:pPr>
      <w:r/>
      <w:bookmarkEnd w:id="63"/>
      <w:r>
        <w:rPr>
          <w:rFonts w:hint="eastAsia" w:ascii="宋体" w:hAnsi="宋体"/>
          <w:b/>
          <w:bCs/>
          <w:color w:val="000000"/>
          <w:sz w:val="36"/>
          <w:szCs w:val="36"/>
          <w:highlight w:val="none"/>
        </w:rPr>
        <w:t xml:space="preserve">第四章 项目需求</w:t>
      </w:r>
      <w:r>
        <w:rPr>
          <w:rFonts w:hint="eastAsia" w:ascii="宋体" w:hAnsi="宋体"/>
          <w:b/>
          <w:bCs/>
          <w:color w:val="000000"/>
          <w:sz w:val="36"/>
          <w:szCs w:val="36"/>
          <w:highlight w:val="none"/>
        </w:rPr>
      </w:r>
      <w:r/>
    </w:p>
    <w:p>
      <w:pPr>
        <w:pStyle w:val="1014"/>
        <w:ind w:firstLine="422"/>
        <w:pageBreakBefore w:val="0"/>
        <w:spacing w:line="360" w:lineRule="auto"/>
        <w:rPr>
          <w:rFonts w:ascii="宋体" w:hAnsi="宋体"/>
          <w:color w:val="000000"/>
          <w:szCs w:val="21"/>
          <w:highlight w:val="none"/>
        </w:rPr>
      </w:pPr>
      <w:r/>
      <w:bookmarkStart w:id="64" w:name="_Toc32573"/>
      <w:r/>
      <w:bookmarkStart w:id="65" w:name="_Toc26970"/>
      <w:r/>
      <w:bookmarkStart w:id="66" w:name="_Toc497145843"/>
      <w:r>
        <w:rPr>
          <w:rFonts w:hint="eastAsia" w:ascii="宋体" w:hAnsi="宋体"/>
          <w:b/>
          <w:bCs/>
          <w:color w:val="000000"/>
          <w:szCs w:val="21"/>
          <w:highlight w:val="none"/>
          <w:lang w:val="en-US" w:eastAsia="zh-CN"/>
        </w:rPr>
        <w:t xml:space="preserve">本项目</w:t>
      </w:r>
      <w:r>
        <w:rPr>
          <w:rFonts w:hint="eastAsia" w:ascii="宋体" w:hAnsi="宋体"/>
          <w:b/>
          <w:bCs/>
          <w:color w:val="000000"/>
          <w:szCs w:val="21"/>
          <w:highlight w:val="none"/>
        </w:rPr>
        <w:t xml:space="preserve">预算金额</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w:t>
      </w:r>
      <w:r>
        <w:rPr>
          <w:rFonts w:ascii="宋体" w:hAnsi="宋体"/>
          <w:color w:val="000000"/>
          <w:szCs w:val="21"/>
          <w:highlight w:val="none"/>
        </w:rPr>
      </w:r>
      <w:r/>
    </w:p>
    <w:p>
      <w:pPr>
        <w:pStyle w:val="1014"/>
        <w:ind w:firstLine="42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。（最后报价超过最高限价的为无效报价，按照无效投标处理）</w:t>
      </w:r>
      <w:r>
        <w:rPr>
          <w:rFonts w:hint="eastAsia" w:ascii="宋体" w:hAnsi="宋体" w:cs="宋体"/>
          <w:color w:val="000000"/>
          <w:sz w:val="21"/>
          <w:szCs w:val="21"/>
          <w:highlight w:val="none"/>
          <w:lang w:val="en-US" w:eastAsia="zh-CN"/>
        </w:rPr>
      </w:r>
      <w:r/>
    </w:p>
    <w:p>
      <w:pPr>
        <w:pStyle w:val="1122"/>
        <w:numPr>
          <w:ilvl w:val="0"/>
          <w:numId w:val="5"/>
        </w:numPr>
        <w:ind w:firstLine="422"/>
        <w:jc w:val="left"/>
        <w:pageBreakBefore w:val="0"/>
        <w:spacing w:after="0" w:line="360" w:lineRule="auto"/>
        <w:widowControl w:val="off"/>
        <w:rPr>
          <w:rFonts w:hint="eastAsia" w:ascii="宋体" w:hAnsi="宋体" w:eastAsia="宋体" w:cs="宋体"/>
          <w:color w:val="000000"/>
          <w:sz w:val="21"/>
          <w:szCs w:val="21"/>
          <w:highlight w:val="none"/>
          <w:lang w:eastAsia="zh-CN"/>
        </w:rPr>
        <w:outlineLvl w:val="2"/>
      </w:pPr>
      <w:r>
        <w:rPr>
          <w:rFonts w:hint="eastAsia" w:ascii="宋体" w:hAnsi="宋体" w:cs="宋体"/>
          <w:color w:val="000000"/>
          <w:sz w:val="21"/>
          <w:szCs w:val="21"/>
          <w:highlight w:val="none"/>
        </w:rPr>
        <w:t xml:space="preserve">项目</w:t>
      </w:r>
      <w:bookmarkEnd w:id="64"/>
      <w:r/>
      <w:bookmarkEnd w:id="65"/>
      <w:r>
        <w:rPr>
          <w:rFonts w:hint="eastAsia" w:ascii="宋体" w:hAnsi="宋体" w:cs="宋体"/>
          <w:color w:val="000000"/>
          <w:sz w:val="21"/>
          <w:szCs w:val="21"/>
          <w:highlight w:val="none"/>
          <w:lang w:val="en-US" w:eastAsia="zh-CN"/>
        </w:rPr>
        <w:t xml:space="preserve">清单</w:t>
      </w:r>
      <w:r>
        <w:rPr>
          <w:rFonts w:hint="eastAsia" w:ascii="宋体" w:hAnsi="宋体" w:eastAsia="宋体" w:cs="宋体"/>
          <w:color w:val="000000"/>
          <w:sz w:val="21"/>
          <w:szCs w:val="21"/>
          <w:highlight w:val="none"/>
          <w:lang w:eastAsia="zh-CN"/>
        </w:rPr>
      </w:r>
      <w:r/>
    </w:p>
    <w:tbl>
      <w:tblPr>
        <w:tblStyle w:val="1034"/>
        <w:tblpPr w:horzAnchor="page" w:tblpX="1917" w:vertAnchor="page" w:tblpY="3636" w:leftFromText="180" w:topFromText="0" w:rightFromText="180" w:bottomFromText="0"/>
        <w:tblW w:w="4669" w:type="pct"/>
        <w:jc w:val="center"/>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592"/>
        <w:gridCol w:w="1403"/>
        <w:gridCol w:w="1403"/>
      </w:tblGrid>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序号</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产品名称</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数量</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高速粉碎机</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高速</w:t>
            </w:r>
            <w:r>
              <w:rPr>
                <w:rFonts w:hint="eastAsia" w:ascii="宋体" w:hAnsi="宋体" w:eastAsia="宋体" w:cs="宋体"/>
                <w:color w:val="000000"/>
                <w:sz w:val="21"/>
                <w:szCs w:val="21"/>
                <w:highlight w:val="none"/>
                <w:vertAlign w:val="baseline"/>
              </w:rPr>
              <w:t xml:space="preserve">离心机</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电子天平</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纯水/超纯水处理系统</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rHeight w:val="285"/>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液相色谱仪(配荧光检测器、二极管阵列检测器)</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eastAsia="zh-CN"/>
              </w:rPr>
              <w:framePr w:vAnchor="text" w:hAnchor="margin" w:x="1917" w:y="3636"/>
            </w:pPr>
            <w:r>
              <w:rPr>
                <w:rFonts w:hint="eastAsia" w:ascii="宋体" w:hAnsi="宋体" w:eastAsia="宋体" w:cs="宋体"/>
                <w:color w:val="000000"/>
                <w:sz w:val="21"/>
                <w:szCs w:val="21"/>
                <w:highlight w:val="none"/>
                <w:vertAlign w:val="baseline"/>
                <w:lang w:eastAsia="zh-CN"/>
              </w:rPr>
              <w:t xml:space="preserve">全自动固相萃取装置</w:t>
            </w:r>
            <w:r>
              <w:rPr>
                <w:rFonts w:hint="eastAsia" w:ascii="宋体" w:hAnsi="宋体" w:eastAsia="宋体" w:cs="宋体"/>
                <w:color w:val="000000"/>
                <w:sz w:val="21"/>
                <w:szCs w:val="21"/>
                <w:highlight w:val="none"/>
                <w:vertAlign w:val="baseline"/>
                <w:lang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rPr>
              <w:t xml:space="preserve">氮吹</w:t>
            </w:r>
            <w:r>
              <w:rPr>
                <w:rFonts w:hint="eastAsia" w:ascii="宋体" w:hAnsi="宋体" w:eastAsia="宋体" w:cs="宋体"/>
                <w:color w:val="000000"/>
                <w:sz w:val="21"/>
                <w:szCs w:val="21"/>
                <w:highlight w:val="none"/>
                <w:vertAlign w:val="baseline"/>
                <w:lang w:val="en-US" w:eastAsia="zh-CN"/>
              </w:rPr>
              <w:t xml:space="preserve">仪</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全自动液体样品处理工作站</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全自动均质器</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平行</w:t>
            </w:r>
            <w:r>
              <w:rPr>
                <w:rFonts w:hint="eastAsia" w:ascii="宋体" w:hAnsi="宋体" w:eastAsia="宋体" w:cs="宋体"/>
                <w:color w:val="000000"/>
                <w:sz w:val="21"/>
                <w:szCs w:val="21"/>
                <w:highlight w:val="none"/>
                <w:vertAlign w:val="baseline"/>
              </w:rPr>
              <w:t xml:space="preserve">浓缩仪</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bl>
    <w:p>
      <w:pPr>
        <w:pStyle w:val="1014"/>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二、项目需求</w:t>
      </w:r>
      <w:r>
        <w:rPr>
          <w:rFonts w:hint="eastAsia" w:ascii="宋体" w:hAnsi="宋体" w:eastAsia="宋体" w:cs="宋体"/>
          <w:b/>
          <w:bCs/>
          <w:color w:val="000000"/>
          <w:sz w:val="21"/>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1、高速粉碎机</w:t>
      </w:r>
      <w:r>
        <w:rPr>
          <w:rFonts w:hint="eastAsia" w:ascii="宋体" w:hAnsi="宋体" w:eastAsia="宋体" w:cs="宋体"/>
          <w:b/>
          <w:bCs/>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技术指标：</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1、仪器系统：</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是一款专门进行粉碎和均质化处理的仪器，能在数十秒钟内将样品粉碎至分析细度，并且粉碎结果均质化程度高，可满足实验室操作和分析过程所提出的各种专业要求；</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2、应用范围：</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适用于对软性、中硬性、脆性及纤维性等样品的粉碎研磨，尤其适合对含水、含油、含脂肪及纤维性物料的研磨及均质化处理；</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3、进样尺寸:小于40mm，最终出样尺寸：小于300μm；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4、建议样品处理量:150-700ml，视样品种类而定，最大可到1L；</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5、常规转速：2000-10000rpm，(最高可达1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000转)数字显示，连续可调，另可定制更高转速； </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6、研磨时间设置:1秒-9分钟59秒，数字显示，连续可调；</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7、转刀：二叶或四叶刀头，刀片不在同一水平面，保持一定的间距高度，并且具有韧面和钝面之分，分别可用于大块样品的粗粉碎或者精细粉碎；(四叶全不锈钢转刀适合液氮冷冻研磨)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8、转刀直径：不小于119mm，刀头外围线速度：不小于62m/s；    </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研磨套件类型及材质：转刀—不锈钢制、钛制、不锈钢锯齿；研磨容器—耐压热(通明、防划)、聚丙烯制、玻璃制、不锈钢制，顶盖—标准顶盖、重力顶盖、带溢流渠的重力顶盖、减量顶盖；(不锈钢杯采用一次冲压成型，</w:t>
      </w:r>
      <w:r>
        <w:rPr>
          <w:rFonts w:hint="eastAsia" w:ascii="宋体" w:hAnsi="宋体" w:eastAsia="宋体" w:cs="宋体"/>
          <w:color w:val="000000"/>
          <w:sz w:val="21"/>
          <w:szCs w:val="21"/>
          <w:highlight w:val="none"/>
          <w:lang w:val="en-US" w:eastAsia="zh-CN"/>
        </w:rPr>
        <w:t xml:space="preserve">清洗无死角，无残留，</w:t>
      </w:r>
      <w:r>
        <w:rPr>
          <w:rFonts w:hint="eastAsia" w:ascii="宋体" w:hAnsi="宋体" w:eastAsia="宋体" w:cs="宋体"/>
          <w:color w:val="000000"/>
          <w:sz w:val="21"/>
          <w:szCs w:val="21"/>
          <w:highlight w:val="none"/>
        </w:rPr>
        <w:t xml:space="preserve">重量轻，操作方便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提供图片证明材料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★10、可干磨、湿磨及冷冻研磨，底座有防水保护设计并具有导流槽，有效阻止液体接触电机或电机轴，延长使用寿命</w:t>
      </w:r>
      <w:bookmarkStart w:id="67" w:name="OLE_LINK14"/>
      <w:r/>
      <w:bookmarkStart w:id="68" w:name="OLE_LINK13"/>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提供实物图片证明材料扫描上传）</w:t>
      </w:r>
      <w:r>
        <w:rPr>
          <w:rFonts w:hint="eastAsia" w:ascii="宋体" w:hAnsi="宋体" w:eastAsia="宋体" w:cs="宋体"/>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11、仪器具有电磁锁</w:t>
      </w:r>
      <w:bookmarkEnd w:id="67"/>
      <w:r/>
      <w:bookmarkEnd w:id="68"/>
      <w:r>
        <w:rPr>
          <w:rFonts w:hint="eastAsia" w:ascii="宋体" w:hAnsi="宋体" w:eastAsia="宋体" w:cs="宋体"/>
          <w:color w:val="000000"/>
          <w:sz w:val="21"/>
          <w:szCs w:val="21"/>
          <w:highlight w:val="none"/>
        </w:rPr>
        <w:t xml:space="preserve">，在研磨过程中机盖无法打开或者机盖正常锁紧前仪器无法开启，最大限度的保证了操作的安全性；</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★12、具有间歇、正转、反转及快速点击模式, 均可在控制面板上直接操作；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提供实物图片证明材料扫描上传）</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13、仪器配件均可进行高温高压灭菌，并可进行防重金属研磨；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14、钛制转刀需要提供具有资质的第三方检测机构出具的检测证明；</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15、电机功率1100W，工业级电机，强力高效；</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16、仪器具备欧盟CE认证证书； </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主机：1台；</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2、耐压热塑料容器：</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3、聚丙烯研磨</w:t>
      </w:r>
      <w:r>
        <w:rPr>
          <w:rFonts w:hint="eastAsia" w:ascii="宋体" w:hAnsi="宋体" w:eastAsia="宋体" w:cs="宋体"/>
          <w:color w:val="000000"/>
          <w:sz w:val="21"/>
          <w:szCs w:val="21"/>
          <w:highlight w:val="none"/>
        </w:rPr>
        <w:t xml:space="preserve">容器：</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、标准顶盖：</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、转刀：不锈钢制，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、转刀：钛制，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、转刀：不锈钢锯齿，2把；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PP</w:t>
      </w:r>
      <w:r>
        <w:rPr>
          <w:rFonts w:hint="eastAsia" w:ascii="宋体" w:hAnsi="宋体" w:eastAsia="宋体" w:cs="宋体"/>
          <w:color w:val="000000"/>
          <w:sz w:val="21"/>
          <w:szCs w:val="21"/>
          <w:highlight w:val="none"/>
        </w:rPr>
        <w:t xml:space="preserve">重力顶盖，带溢流渠：</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、PP重力顶盖： </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三、售后服务及资格能力</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1、叁年的保修期，仪器终生维护；</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2、免费安装调试至仪器可正常运行，仪器安装调试后进行现场免费培训；</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3、仪器生产厂家在国内外设有代理或直属机构，售后服务专业及时，并且可提供样机进行做样演示；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★4、生产厂商获得ISO9001质量管理体系认证且具有10年的生产、销售、研发能力；</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vertAlign w:val="baseline"/>
          <w:lang w:val="en-US" w:eastAsia="zh-CN"/>
        </w:rPr>
        <w:t xml:space="preserve">高速</w:t>
      </w:r>
      <w:r>
        <w:rPr>
          <w:rFonts w:hint="eastAsia" w:ascii="宋体" w:hAnsi="宋体" w:eastAsia="宋体" w:cs="宋体"/>
          <w:b/>
          <w:bCs/>
          <w:color w:val="000000"/>
          <w:sz w:val="21"/>
          <w:szCs w:val="21"/>
          <w:highlight w:val="none"/>
          <w:vertAlign w:val="baseline"/>
        </w:rPr>
        <w:t xml:space="preserve">离心机</w:t>
      </w:r>
      <w:r>
        <w:rPr>
          <w:rFonts w:hint="eastAsia" w:ascii="宋体" w:hAnsi="宋体" w:eastAsia="宋体" w:cs="宋体"/>
          <w:b/>
          <w:bCs/>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一、技术参数</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★1、最高转速：22,500rpm（12×1.5ml角转子）；最大离心力：34,020 </w:t>
      </w:r>
      <w:r>
        <w:rPr>
          <w:rFonts w:hint="eastAsia" w:ascii="宋体" w:hAnsi="宋体" w:eastAsia="宋体" w:cs="宋体"/>
          <w:i/>
          <w:iCs/>
          <w:color w:val="000000"/>
          <w:sz w:val="21"/>
          <w:szCs w:val="21"/>
          <w:highlight w:val="none"/>
        </w:rPr>
        <w:t xml:space="preserve">xg</w:t>
      </w:r>
      <w:r>
        <w:rPr>
          <w:rFonts w:hint="eastAsia" w:ascii="宋体" w:hAnsi="宋体" w:eastAsia="宋体" w:cs="宋体"/>
          <w:color w:val="000000"/>
          <w:sz w:val="21"/>
          <w:szCs w:val="21"/>
          <w:highlight w:val="none"/>
        </w:rPr>
        <w:t xml:space="preserve">（12×1.5ml角转子）；最大容量：6×100ml，且兼容酶标板转子和PCR八排管转子；</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2、转速精控制精度：≤±10rpm；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3、温度控制范围：-20~40℃；</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4、定时范围：1s 至 99h59min59s，具有瞬时离心功能；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5、程序组：≥1000组 + 收藏夹功能；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★6、升降速：≥12档升速、≥12档减速</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7、噪音：≤60db(A)；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8、制冷剂：R452A；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9、电源：198-242V，50Hz，10A；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10、尺寸 （D x W x H）：380 × 670× 335 mm；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11、驱动方式：变频电机驱动；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12、转子自动识别（转子使用次数计数功能，并具有寿命到期提醒功能）；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13、平衡监测功能；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14、屏幕显示：7寸LCD触摸屏显示，支持中、英两种语言；</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15、自动吸门锁，方便操作；</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16、制冷能力：所有转子最高转速下达4度（环境温度15-25℃）；</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17、快速预冷功能：15分钟内降低到4℃（环境温度15-25℃）；</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18、节能模式：每30分钟递增，最长8个小时后自动开盖并停止制冷；</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19、运行记录可以实时曲线显示；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★20、支持多段离心功能（最多5段）；</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21、提供两种计时方式选择：1）立即开始计时，2）到达95%最高速时开始计时；</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22、数据导出功能（可通过USB以PDF或CSV (UTF-8形式) 导出数据；</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23、用户管理（可配置100个独立用户名，登入采用密码保护，自定义用户权限）；</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24、三级访问权限设置（管理员、超级用户、操作员）；</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25、具有电子签名功能并在导出PDF文件时一同输出；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26、支持审计追踪 - 事件记录（记录运行期间所有设置变更、警报、错误事件，跟踪具体离心工作、操作人员登入和操作时间），有时间戳，支持最多10万条记录；</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27、支持审计追踪 - 运行记录1000条（记录运行条件、运行结果、开始及结束时间、设备信息（序列号，软件版本）、转子信息、当中发生的事件例如报警等）；</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28、离心腔体内具有排水口设计；</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29、提供1个USB接口，具备数据导出、软件更新等功能；</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二、配置要求：</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1、主机一台；</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2、生物安全定角转子1个，最大容量：6×50ml，最高转速：13,000rpm，最大离心力：17,035g，K因子≤1,107，搭配15mL锥底适配器。</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3、电子天平</w:t>
      </w:r>
      <w:r>
        <w:rPr>
          <w:rFonts w:hint="eastAsia" w:ascii="宋体" w:hAnsi="宋体" w:eastAsia="宋体" w:cs="宋体"/>
          <w:b/>
          <w:bCs/>
          <w:color w:val="000000"/>
          <w:sz w:val="21"/>
          <w:szCs w:val="21"/>
          <w:highlight w:val="none"/>
          <w:lang w:val="en-US"/>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1、称重量程： 102/220g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2、可读性:  </w:t>
      </w:r>
      <w:bookmarkStart w:id="69" w:name="OLE_LINK1"/>
      <w:r/>
      <w:bookmarkStart w:id="70" w:name="OLE_LINK2"/>
      <w:r>
        <w:rPr>
          <w:rFonts w:hint="eastAsia" w:ascii="宋体" w:hAnsi="宋体" w:eastAsia="宋体" w:cs="宋体"/>
          <w:color w:val="000000"/>
          <w:sz w:val="21"/>
          <w:szCs w:val="21"/>
          <w:highlight w:val="none"/>
          <w:lang w:val="de-CH" w:eastAsia="zh-CN"/>
        </w:rPr>
        <w:t xml:space="preserve">0.00001/0.0001g</w:t>
      </w:r>
      <w:bookmarkEnd w:id="69"/>
      <w:r/>
      <w:bookmarkEnd w:id="70"/>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3、重复性:  0.00002g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4、线性误差： ±0.00006g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5、校准方式：AutoCal全自动内部校准，根据环境温度或时间自动触发校准。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6、稳定时间：8/2s</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rPr>
        <w:t xml:space="preserve">7</w:t>
      </w:r>
      <w:r>
        <w:rPr>
          <w:rFonts w:hint="eastAsia" w:ascii="宋体" w:hAnsi="宋体" w:eastAsia="宋体" w:cs="宋体"/>
          <w:color w:val="000000"/>
          <w:sz w:val="21"/>
          <w:szCs w:val="21"/>
          <w:highlight w:val="none"/>
          <w:lang w:val="de-CH" w:eastAsia="zh-CN"/>
        </w:rPr>
        <w:t xml:space="preserve">、</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lang w:val="de-CH"/>
        </w:rPr>
        <w:t xml:space="preserve">4.3寸彩色触摸屏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de-CH"/>
        </w:rPr>
        <w:t xml:space="preserve">及U盘数据保存，锁定菜单功能，稳定指示符号，超载/欠载屏幕提示，环境参数设置，按键音，屏幕亮度设置，自动亮度休眠时间选择，触摸屏校准，自动去皮，</w:t>
      </w:r>
      <w:r>
        <w:rPr>
          <w:rFonts w:hint="eastAsia" w:ascii="宋体" w:hAnsi="宋体" w:eastAsia="宋体" w:cs="宋体"/>
          <w:color w:val="000000"/>
          <w:sz w:val="21"/>
          <w:szCs w:val="21"/>
          <w:highlight w:val="none"/>
          <w:lang w:val="en-US" w:eastAsia="zh-CN"/>
        </w:rPr>
        <w:t xml:space="preserve">多种</w:t>
      </w:r>
      <w:r>
        <w:rPr>
          <w:rFonts w:hint="eastAsia" w:ascii="宋体" w:hAnsi="宋体" w:eastAsia="宋体" w:cs="宋体"/>
          <w:color w:val="000000"/>
          <w:sz w:val="21"/>
          <w:szCs w:val="21"/>
          <w:highlight w:val="none"/>
          <w:lang w:val="de-CH"/>
        </w:rPr>
        <w:t xml:space="preserve">操作语言选择（9种）</w:t>
      </w:r>
      <w:r>
        <w:rPr>
          <w:rFonts w:hint="eastAsia" w:ascii="宋体" w:hAnsi="宋体" w:eastAsia="宋体" w:cs="宋体"/>
          <w:color w:val="000000"/>
          <w:sz w:val="21"/>
          <w:szCs w:val="21"/>
          <w:highlight w:val="none"/>
          <w:lang w:val="de-CH" w:eastAsia="zh-CN"/>
        </w:rPr>
        <w:t xml:space="preserve">，3级权限管理。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rPr>
        <w:t xml:space="preserve">8</w:t>
      </w:r>
      <w:r>
        <w:rPr>
          <w:rFonts w:hint="eastAsia" w:ascii="宋体" w:hAnsi="宋体" w:eastAsia="宋体" w:cs="宋体"/>
          <w:color w:val="000000"/>
          <w:sz w:val="21"/>
          <w:szCs w:val="21"/>
          <w:highlight w:val="none"/>
          <w:lang w:val="de-CH" w:eastAsia="zh-CN"/>
        </w:rPr>
        <w:t xml:space="preserve">、</w:t>
      </w:r>
      <w:r>
        <w:rPr>
          <w:rFonts w:hint="eastAsia" w:ascii="宋体" w:hAnsi="宋体" w:eastAsia="宋体" w:cs="宋体"/>
          <w:color w:val="000000"/>
          <w:sz w:val="21"/>
          <w:szCs w:val="21"/>
          <w:highlight w:val="none"/>
          <w:lang w:val="de-CH"/>
        </w:rPr>
        <w:t xml:space="preserve">2块玻璃组成的折叠风罩门节省实验空间，易于清理。</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9、前置水平调节脚，方便用户调节水平。</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10、标配RS232接口和2个USB接口，GLP/GMP实时时钟输出，可编辑项目ID和用户ID，超载/负载提示</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11、称量模式:基本称量、计件称量、百分比称量、检重称重、动物称量、配比称量、密度测定、累加称量、显示保持、量程指示条</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12、称盘尺寸: 直径</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lang w:val="de-CH" w:eastAsia="zh-CN"/>
        </w:rPr>
        <w:t xml:space="preserve"> 80mm</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13、多级可选环境滤波参数设置，保证称量要求，可选量程校准点，称量值稳定提示符。</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eastAsia="zh-CN"/>
        </w:rPr>
        <w:t xml:space="preserve">14、通讯兼容命令：天平称量信息输出格式兼容其他品牌</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vertAlign w:val="baseli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vertAlign w:val="baseline"/>
        </w:rPr>
        <w:t xml:space="preserve">纯水/超纯水处理系统</w:t>
      </w:r>
      <w:r>
        <w:rPr>
          <w:rFonts w:hint="eastAsia" w:ascii="宋体" w:hAnsi="宋体" w:eastAsia="宋体" w:cs="宋体"/>
          <w:b/>
          <w:bCs/>
          <w:color w:val="000000"/>
          <w:sz w:val="21"/>
          <w:szCs w:val="21"/>
          <w:highlight w:val="none"/>
          <w:vertAlign w:val="baseli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一、资质要求：</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1.生产企业同时获有全球权威认证机构TUV Nord颁发的ISO9001:2008质量管理体系认证和CE认证。</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2.生产厂家必须为高新技术企业，并能提供高新技术企业的证书。</w:t>
      </w:r>
      <w:r>
        <w:rPr>
          <w:rFonts w:hint="eastAsia" w:ascii="宋体" w:hAnsi="宋体" w:eastAsia="宋体" w:cs="宋体"/>
          <w:color w:val="000000"/>
          <w:sz w:val="21"/>
          <w:szCs w:val="21"/>
          <w:highlight w:val="none"/>
          <w:lang w:val="de-CH"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二、技术指标：</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1.该设备标配由超纯水仪、模具水箱和移动取水手柄组成，具有预处理柱，陶氏反渗透膜，EDI模块，超纯柱，超滤，紫外灯，TOC检测器，终端过滤器等模块，由自来水为进水，同时制备纯水和超纯水；</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2.纯水指标：RO制水量30L/h@25℃</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3.EDI制水量≥15L/h</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4.超纯水指标：</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4.1最高电阻率为18.2 MΩ.cm(@25℃)</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4.2 TOC含量1-10ppb，标配双波长（254/185nm）紫外灯</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4.3颗粒数（≥0.22μm）&lt;1 个/ml</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4.4微生物数量&lt;1 cfu/ml</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4.5内毒素&lt;0.001 Eu/ml，配置进口超滤组件</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4.功能特点</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5.1采用</w:t>
      </w:r>
      <w:r>
        <w:rPr>
          <w:rFonts w:hint="eastAsia" w:ascii="宋体" w:hAnsi="宋体" w:eastAsia="宋体" w:cs="宋体"/>
          <w:color w:val="000000"/>
          <w:sz w:val="21"/>
          <w:szCs w:val="21"/>
          <w:highlight w:val="none"/>
          <w:lang w:val="en-US" w:eastAsia="zh-CN"/>
        </w:rPr>
        <w:t xml:space="preserve">大尺寸</w:t>
      </w:r>
      <w:r>
        <w:rPr>
          <w:rFonts w:hint="eastAsia" w:ascii="宋体" w:hAnsi="宋体" w:eastAsia="宋体" w:cs="宋体"/>
          <w:color w:val="000000"/>
          <w:sz w:val="21"/>
          <w:szCs w:val="21"/>
          <w:highlight w:val="none"/>
          <w:lang w:val="de-CH" w:eastAsia="zh-CN"/>
        </w:rPr>
        <w:t xml:space="preserve">彩色触屏控制，</w:t>
      </w:r>
      <w:r>
        <w:rPr>
          <w:rFonts w:hint="eastAsia" w:ascii="宋体" w:hAnsi="宋体" w:eastAsia="宋体" w:cs="宋体"/>
          <w:color w:val="000000"/>
          <w:sz w:val="21"/>
          <w:szCs w:val="21"/>
          <w:highlight w:val="none"/>
          <w:lang w:val="en-US" w:eastAsia="zh-CN"/>
        </w:rPr>
        <w:t xml:space="preserve">便于</w:t>
      </w:r>
      <w:r>
        <w:rPr>
          <w:rFonts w:hint="eastAsia" w:ascii="宋体" w:hAnsi="宋体" w:eastAsia="宋体" w:cs="宋体"/>
          <w:color w:val="000000"/>
          <w:sz w:val="21"/>
          <w:szCs w:val="21"/>
          <w:highlight w:val="none"/>
          <w:lang w:val="de-CH" w:eastAsia="zh-CN"/>
        </w:rPr>
        <w:t xml:space="preserve">操作</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5.2标配TOC在线检测仪，实时掌握TOC动态，满足精密分析仪器用水需求</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5.3全塑模具结构，主机外壳和机架为非金属材料</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5.4模块化设计理念，可自行更换耗材</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5.5智能化的纯水器，具有自动判别和提示预处理柱，RO膜，EDI模块，超纯柱，超滤，紫外灯等失效报警功能，具有断水自动停机功能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5.6具有紫外灯联动控制，放水时开灯，停水时关闭，以延长紫外灯的使用寿命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5.7操作面板可显示多种参数，包含电导率／电阻率，温度，TOC值，工作状态，水箱液位，定量取水及相关提示信息</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5.8 0.01常数电阻率传感器，带温度自动补偿功能，精确真实测量超纯水水质，提供国家权威机构颁发的证明材料</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5.9具有一键消毒功能，能够一键实现水箱及主机的快速消毒功能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5.10标配与主机同一品牌的30L多功能纯水水箱，圆柱形锥底设计，标配紫外灯灭菌，含泵及低位液位仪，标配空气过滤器，防止微生物进入水箱影响水质</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5.11采用带参数显示的移动取水手柄，取水灵活方便，且实时掌握取水水质</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5.12具有水箱紫外灯，保证储水水质，主机具有水箱紫外灯控制系统，有效延长水箱紫外灯使用寿命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5.13具有定质.定量取水功能，0.1－25L定量取水及任意量取水；定质取水，水质不达标将循环处理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5.14可采用脚踏开关取水，使取水方式更加灵活方便</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5.15超滤具有反冲洗功能，有效延迟使用寿命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5.16具有密码设置功能，防止非相关人员的误操作</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5.17具有更换耗材时面板按键系统排空管路功能，内部不易形成气阻现象及更换耗材次数的记录功能，保持历次更换耗材的原始档案。</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5.18标配RS232标准接口，整机符合GLP标准，所有参数和数据均可自动储存或传输，实现实验室环境网络化</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6.加配过滤柱三套。</w:t>
      </w:r>
      <w:r>
        <w:rPr>
          <w:rFonts w:ascii="宋体" w:hAnsi="宋体" w:eastAsia="宋体" w:cs="宋体"/>
          <w:color w:val="000000"/>
          <w:sz w:val="21"/>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vertAlign w:val="baseline"/>
        </w:rPr>
        <w:t xml:space="preserve">液相色谱仪(配荧光检测器、二极管阵列检测器)</w:t>
      </w:r>
      <w:r>
        <w:rPr>
          <w:rFonts w:hint="eastAsia" w:ascii="宋体" w:hAnsi="宋体" w:eastAsia="宋体" w:cs="宋体"/>
          <w:b/>
          <w:bCs/>
          <w:color w:val="000000"/>
          <w:sz w:val="21"/>
          <w:szCs w:val="21"/>
          <w:highlight w:val="none"/>
          <w:lang w:val="en-US"/>
        </w:rPr>
      </w:r>
      <w:r/>
    </w:p>
    <w:p>
      <w:pPr>
        <w:pStyle w:val="1113"/>
        <w:ind w:left="0" w:firstLine="422"/>
        <w:jc w:val="both"/>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hAnsi="宋体" w:eastAsia="宋体"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de-CH" w:eastAsia="zh-CN" w:bidi="ar-SA"/>
        </w:rPr>
        <w:t xml:space="preserve">技术指标要求：</w:t>
      </w:r>
      <w:r>
        <w:rPr>
          <w:rFonts w:hint="eastAsia" w:ascii="宋体" w:hAnsi="宋体" w:eastAsia="宋体" w:cs="宋体"/>
          <w:b/>
          <w:bCs/>
          <w:color w:val="000000"/>
          <w:sz w:val="21"/>
          <w:szCs w:val="21"/>
          <w:highlight w:val="none"/>
          <w:lang w:val="de-CH" w:eastAsia="zh-CN" w:bidi="ar-SA"/>
        </w:rPr>
      </w:r>
      <w:r/>
    </w:p>
    <w:p>
      <w:pPr>
        <w:pStyle w:val="1014"/>
        <w:numPr>
          <w:ilvl w:val="0"/>
          <w:numId w:val="0"/>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de-CH" w:eastAsia="zh-CN" w:bidi="ar-SA"/>
        </w:rPr>
        <w:t xml:space="preserve">1.工作条件</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 电源：220V，50Hz电源</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1.2 环境温度：4-55˚C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1.3 环境湿度：&lt;95%</w:t>
      </w:r>
      <w:r>
        <w:rPr>
          <w:rFonts w:hint="eastAsia" w:ascii="宋体" w:hAnsi="宋体" w:eastAsia="宋体" w:cs="宋体"/>
          <w:color w:val="000000"/>
          <w:sz w:val="21"/>
          <w:szCs w:val="21"/>
          <w:highlight w:val="none"/>
          <w:lang w:val="de-CH" w:eastAsia="zh-CN" w:bidi="ar-SA"/>
        </w:rPr>
      </w:r>
      <w:r/>
    </w:p>
    <w:p>
      <w:pPr>
        <w:pStyle w:val="1014"/>
        <w:numPr>
          <w:ilvl w:val="0"/>
          <w:numId w:val="0"/>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de-CH" w:eastAsia="zh-CN" w:bidi="ar-SA"/>
        </w:rPr>
        <w:t xml:space="preserve">2.技术性能</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液相色谱仪采用积木组合结构，组合方便，配套性强，全套方案由四元梯度泵、自动进样器、二极管阵列检测器，荧光检测器和液相色谱工作站系统组成。</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四元梯度泵</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2.1.1 两个双活塞串联泵，具有独特的伺服控制可变冲程驱动、浮动活塞设计，传动装置采用齿轮和滚珠螺杆，设计可根据流速自动调节或手动调节</w:t>
      </w:r>
      <w:r>
        <w:rPr>
          <w:rFonts w:hint="eastAsia" w:ascii="宋体" w:hAnsi="宋体" w:eastAsia="宋体" w:cs="宋体"/>
          <w:b/>
          <w:bCs/>
          <w:color w:val="000000"/>
          <w:sz w:val="21"/>
          <w:szCs w:val="21"/>
          <w:highlight w:val="none"/>
          <w:lang w:val="de-CH" w:eastAsia="zh-CN" w:bidi="ar-SA"/>
        </w:rPr>
        <w:t xml:space="preserve">（提供软件截图技术文件证明材料</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b/>
          <w:bCs/>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 流量范围：0.001mL/min~10.0mL/min，递增率0.001mL/min</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2.1.3 流量精度：≤0.07%RSD</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 压力范围：0-5800psi</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2.1.5 压力脉动：在整个压力范围内，1mL/min流量时，&lt;1%</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2.1.6 可压缩性补偿：根据流动相自动调节或用户选择</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2.1.7 梯度洗脱：0-100%，最小递增率为0.15%</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2.1.8 混合精度：±0.20%SD</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2.1.9 滞后体积：610-900uL</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2.1.10 必须配备主动入口阀，对含盐流动相有较大的耐受性</w:t>
      </w:r>
      <w:r>
        <w:rPr>
          <w:rFonts w:hint="eastAsia" w:ascii="宋体" w:hAnsi="宋体" w:eastAsia="宋体" w:cs="宋体"/>
          <w:b/>
          <w:bCs/>
          <w:color w:val="000000"/>
          <w:sz w:val="21"/>
          <w:szCs w:val="21"/>
          <w:highlight w:val="none"/>
          <w:lang w:val="de-CH" w:eastAsia="zh-CN" w:bidi="ar-SA"/>
        </w:rPr>
        <w:t xml:space="preserve">（提供软件截图技术文件证明材料</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  智能化温控柱箱</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2.2.1 温度范围：室温以下10℃–80℃</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  温度稳定性：±0.1˚C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2.2.3  温度准确度： ±0.5℃</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△2.2.4 柱容量：30cm柱4根，提供官方网页截图和官网网址证明材料</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 在线真空脱气机</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2.3.1 流速：10mL/min每个流路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2.3.2 通道：四个独立通道</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2.3.3 PH 范围：1-14</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2.3.4 内部材料：PTFE</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 自动进样器：</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2.4.1 样品量：可容纳≥130 个 2 mL 样品瓶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2.4.2 进样量：0.1-100uL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2.4.3面积精度：一般&lt;0.25%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2.4.4 自动进样器可进行编程进样，用于进行柱前衍生，柱前样品自动稀释，自动混合等复杂进样方式。此外，用户可根据样品的粘度，调节取样及进样速度。</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2.4.5 重复进样次数：1~99次/样品</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2.4.6 最大操作压力：600bar</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2.4.7 自动进样器均采用深色避光盖板，便于光敏感样品的长时间放置；同时进样器内安装有照明装置，便于用户操作。</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2.4.8 包含用于清洗外部针头的针头冲洗口，有一路洗针溶液一直清洗进样针，可使日常工作中的交叉污染将至最低</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2.4.9自动进样器要求是流通式进样方式，减少交叉污染</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2.4.10自动进样器内的计量泵为高压进样，保证最佳的准确度和精密度</w:t>
      </w:r>
      <w:r>
        <w:rPr>
          <w:rFonts w:hint="eastAsia" w:ascii="宋体" w:hAnsi="宋体" w:eastAsia="宋体" w:cs="宋体"/>
          <w:b/>
          <w:bCs/>
          <w:color w:val="000000"/>
          <w:sz w:val="21"/>
          <w:szCs w:val="21"/>
          <w:highlight w:val="none"/>
          <w:lang w:val="de-CH" w:eastAsia="zh-CN" w:bidi="ar-SA"/>
        </w:rPr>
        <w:t xml:space="preserve">（提供官网或者彩页证明文件</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b/>
          <w:bCs/>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 二极管阵列检测器</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2.5.1 波长范围：190-950nm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2.5.2 波长精度：&lt;±0.1 nm</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2.5.3 灯源：氘灯</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2.5.4 </w:t>
      </w:r>
      <w:bookmarkStart w:id="71" w:name="_Hlk119265962"/>
      <w:r>
        <w:rPr>
          <w:rFonts w:hint="eastAsia" w:ascii="宋体" w:hAnsi="宋体" w:eastAsia="宋体" w:cs="宋体"/>
          <w:color w:val="000000"/>
          <w:sz w:val="21"/>
          <w:szCs w:val="21"/>
          <w:highlight w:val="none"/>
          <w:lang w:val="de-CH" w:eastAsia="zh-CN" w:bidi="ar-SA"/>
        </w:rPr>
        <w:t xml:space="preserve">噪音：&lt;±0.25·10-5 AU， 230 nm （单波长检测</w:t>
      </w:r>
      <w:bookmarkEnd w:id="71"/>
      <w:r>
        <w:rPr>
          <w:rFonts w:hint="eastAsia" w:ascii="宋体" w:hAnsi="宋体" w:eastAsia="宋体" w:cs="宋体"/>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2.5.7 最大采样速率：120 Hz，提供官方网页截图证明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  荧光检测器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2.6.1  性能：Raman (H2O) &gt; 2800，Ex=350 nm， Em=397 nm，暗值450 nm，标准流通池，必须提供官网或者彩页证明文件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2.6.2  光源：氙灯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2.6.3  激发波长：200-1100 nm，必须提供官网或者彩页证明文件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2.6.4  发射波长：200-1100 nm，必须提供官网或者彩页证明文件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2.6.5光谱存储范围：全光谱</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 数据处理系统</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tabs>
          <w:tab w:val="left" w:pos="426" w:leader="none"/>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2.7.1 软件：Windows 10操作环境，液相色谱软件， 工作站系统通过LAN接口控制泵系统和检测器并可进行快速采集数据，进行色谱定性、定量分析。</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426" w:leader="none"/>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2.7.2 GLP功能</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2.7.3 维护信息预报系统（EMF）</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2.7.4 电子记录维护和错误及故障信息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2.7.5 OQ/PV（操作合格/性能验证）功能</w:t>
      </w:r>
      <w:r>
        <w:rPr>
          <w:rFonts w:hint="eastAsia" w:ascii="宋体" w:hAnsi="宋体" w:eastAsia="宋体" w:cs="宋体"/>
          <w:color w:val="000000"/>
          <w:sz w:val="21"/>
          <w:szCs w:val="21"/>
          <w:highlight w:val="none"/>
          <w:lang w:val="de-CH" w:eastAsia="zh-CN" w:bidi="ar-SA"/>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lang w:val="de-CH" w:eastAsia="zh-CN" w:bidi="ar-SA"/>
        </w:rPr>
        <w:t xml:space="preserve">售后服务</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1.安装、验收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1.1仪器安装调试前，安排专业技术人员到用户现场了解配置基本情况并确认设备安装条件的落实。货到后一周内，安排1～2名专业技术人员到现场提供免费安装。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1.2安装、验收时提供完整的验收资料，包括但不限于货物清单、质量合格标识、说明书或操作规程、关键操作步骤视频等信息。并在贵司人员在场的情况下完成仪器设备验收指标的相关证明文件，达到招标文件技术参数要求或仪器出厂规定的参数要求。验收指标合格并获得贵司人员确认后，仪器的安装工作方为完成。</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2技术培训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2.1提供的负责培训的人员具备同类项目丰富的实施经验。</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2.2培训包括设备的原理、构成、功能和操作；常见故障的处理或排除；各部件（设备）的检查、调整和维护以及应用相关培训。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2.3无论是否在质保期内，如用户需要可免费为用户提供相关硬件/软件/应用培训。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3质量保证及售后服务</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3.1仪器具有2年的质保期，质保期内仪器配件损坏可免费更换。</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3.2按招标文件规定的货物性能、技术要求、质量标准向用户提供未经使用的全新产品。</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3.3无论是否在质保期内，当仪器出现故障时，维修人员在接到通知后1小时内响应，48小时内到现场维修（不可抗力除外）。</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3.4如用户需要我司可免费提供应用工程师至现场开发相关方法。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de-CH" w:eastAsia="zh-CN" w:bidi="ar-SA"/>
        </w:rPr>
        <w:t xml:space="preserve">配置清单</w:t>
      </w:r>
      <w:r>
        <w:rPr>
          <w:rFonts w:hint="eastAsia" w:ascii="宋体" w:hAnsi="宋体" w:eastAsia="宋体" w:cs="宋体"/>
          <w:color w:val="000000"/>
          <w:sz w:val="21"/>
          <w:szCs w:val="21"/>
          <w:highlight w:val="none"/>
          <w:lang w:val="de-CH" w:eastAsia="zh-CN" w:bidi="ar-SA"/>
        </w:rPr>
      </w:r>
      <w:r/>
    </w:p>
    <w:tbl>
      <w:tblPr>
        <w:tblW w:w="89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70" w:type="dxa"/>
          <w:top w:w="0" w:type="dxa"/>
          <w:right w:w="70" w:type="dxa"/>
          <w:bottom w:w="0" w:type="dxa"/>
        </w:tblCellMar>
        <w:tblLook w:val="04A0" w:firstRow="1" w:lastRow="0" w:firstColumn="1" w:lastColumn="0" w:noHBand="0" w:noVBand="1"/>
      </w:tblPr>
      <w:tblGrid>
        <w:gridCol w:w="1001"/>
        <w:gridCol w:w="7009"/>
        <w:gridCol w:w="890"/>
      </w:tblGrid>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四元泵</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工具包</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3</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柱塞清洗</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4</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主动阀工具包</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5</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样品瓶进样器，</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6</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标准抽屉</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7</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高容量柱温箱</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8</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二极管阵列检测器</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9</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流通池</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10</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工作站软件</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11</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液相色谱仪连接</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12</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螺纹口瓶盖和透明样品瓶套装， </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13</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过滤白头</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14</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色谱柱</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4</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15</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荧光灯</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16</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毛细管管线</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3</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17</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快速手拧接头</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bl>
    <w:p>
      <w:pPr>
        <w:pStyle w:val="101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vertAlign w:val="baseline"/>
          <w:lang w:eastAsia="zh-CN"/>
        </w:rPr>
        <w:t xml:space="preserve">全自动固相萃取装置</w:t>
      </w:r>
      <w:r>
        <w:rPr>
          <w:rFonts w:hint="eastAsia" w:ascii="宋体" w:hAnsi="宋体" w:eastAsia="宋体" w:cs="宋体"/>
          <w:b/>
          <w:bCs/>
          <w:color w:val="000000"/>
          <w:sz w:val="21"/>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1. 工作条件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1.1 工作温度: 10 – 40℃</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1.2 湿度: 20 - 80 %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1.3 电源: 单相200-240 V, 50/60 Hz</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 技术规格及要求</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2.1应用需求：主要用于食品、药品、饮料、血液、尿液、土壤、水样等样品提取液中痕量有机物的萃取、净化，适用于大体积液体样品中痕量有机物的富集净化，同时也适用于小体积液体样品净化，是气相、液相色谱或质谱仪器的样品前处理制备系统，能够代替整个前处理流程，提高批量样品前处理的效率。</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2.2可自动连续批量完成固相萃取的全过程（柱活化、上样、淋洗、吹干、洗脱、分步收集）。</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cs="Times New Roman"/>
          <w:bCs/>
          <w:color w:val="000000"/>
          <w:szCs w:val="21"/>
          <w:highlight w:val="none"/>
          <w:lang w:val="zh-CN"/>
        </w:rPr>
        <w:t xml:space="preserve">2.3 </w:t>
      </w:r>
      <w:r>
        <w:rPr>
          <w:rFonts w:hint="eastAsia" w:cs="Times New Roman"/>
          <w:bCs/>
          <w:color w:val="000000"/>
          <w:szCs w:val="21"/>
          <w:highlight w:val="none"/>
          <w:lang w:val="zh-CN"/>
        </w:rPr>
        <w:t xml:space="preserve">样品</w:t>
      </w:r>
      <w:r>
        <w:rPr>
          <w:rFonts w:cs="Times New Roman"/>
          <w:bCs/>
          <w:color w:val="000000"/>
          <w:szCs w:val="21"/>
          <w:highlight w:val="none"/>
          <w:lang w:val="zh-CN"/>
        </w:rPr>
        <w:t xml:space="preserve">通道</w:t>
      </w:r>
      <w:r>
        <w:rPr>
          <w:rFonts w:hint="eastAsia" w:cs="Times New Roman"/>
          <w:bCs/>
          <w:color w:val="000000"/>
          <w:szCs w:val="21"/>
          <w:highlight w:val="none"/>
          <w:lang w:val="zh-CN"/>
        </w:rPr>
        <w:t xml:space="preserve">数</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≥8个</w:t>
      </w:r>
      <w:r>
        <w:rPr>
          <w:rFonts w:cs="Times New Roman"/>
          <w:bCs/>
          <w:color w:val="000000"/>
          <w:szCs w:val="21"/>
          <w:highlight w:val="none"/>
          <w:lang w:val="zh-CN"/>
        </w:rPr>
        <w:t xml:space="preserve">，可同时自动处理</w:t>
      </w:r>
      <w:r>
        <w:rPr>
          <w:rFonts w:hint="eastAsia" w:cs="Times New Roman"/>
          <w:bCs/>
          <w:color w:val="000000"/>
          <w:szCs w:val="21"/>
          <w:highlight w:val="none"/>
          <w:lang w:val="zh-CN"/>
        </w:rPr>
        <w:t xml:space="preserve">8</w:t>
      </w:r>
      <w:r>
        <w:rPr>
          <w:rFonts w:cs="Times New Roman"/>
          <w:bCs/>
          <w:color w:val="000000"/>
          <w:szCs w:val="21"/>
          <w:highlight w:val="none"/>
          <w:lang w:val="zh-CN"/>
        </w:rPr>
        <w:t xml:space="preserve">个样品，实现</w:t>
      </w:r>
      <w:r>
        <w:rPr>
          <w:rFonts w:hint="eastAsia" w:cs="Times New Roman"/>
          <w:bCs/>
          <w:color w:val="000000"/>
          <w:szCs w:val="21"/>
          <w:highlight w:val="none"/>
          <w:lang w:val="zh-CN"/>
        </w:rPr>
        <w:t xml:space="preserve">8个样品</w:t>
      </w:r>
      <w:r>
        <w:rPr>
          <w:rFonts w:cs="Times New Roman"/>
          <w:bCs/>
          <w:color w:val="000000"/>
          <w:szCs w:val="21"/>
          <w:highlight w:val="none"/>
          <w:lang w:val="zh-CN"/>
        </w:rPr>
        <w:t xml:space="preserve">的同时活化、同时上样、同时洗脱</w:t>
      </w:r>
      <w:r>
        <w:rPr>
          <w:rFonts w:hint="eastAsia" w:cs="Times New Roman"/>
          <w:bCs/>
          <w:color w:val="000000"/>
          <w:szCs w:val="21"/>
          <w:highlight w:val="none"/>
          <w:lang w:val="zh-CN"/>
        </w:rPr>
        <w:t xml:space="preserve">；自动固相</w:t>
      </w:r>
      <w:r>
        <w:rPr>
          <w:rFonts w:cs="Times New Roman"/>
          <w:bCs/>
          <w:color w:val="000000"/>
          <w:szCs w:val="21"/>
          <w:highlight w:val="none"/>
          <w:lang w:val="zh-CN"/>
        </w:rPr>
        <w:t xml:space="preserve">处理</w:t>
      </w:r>
      <w:r>
        <w:rPr>
          <w:rFonts w:hint="eastAsia" w:cs="Times New Roman"/>
          <w:bCs/>
          <w:color w:val="000000"/>
          <w:szCs w:val="21"/>
          <w:highlight w:val="none"/>
          <w:lang w:val="zh-CN"/>
        </w:rPr>
        <w:t xml:space="preserve">样品数：</w:t>
      </w:r>
      <w:r>
        <w:rPr>
          <w:rFonts w:cs="Times New Roman"/>
          <w:bCs/>
          <w:color w:val="000000"/>
          <w:szCs w:val="21"/>
          <w:highlight w:val="none"/>
          <w:lang w:val="zh-CN"/>
        </w:rPr>
        <w:t xml:space="preserve">≥</w:t>
      </w:r>
      <w:r>
        <w:rPr>
          <w:rFonts w:hint="eastAsia" w:cs="Times New Roman"/>
          <w:bCs/>
          <w:color w:val="000000"/>
          <w:szCs w:val="21"/>
          <w:highlight w:val="none"/>
          <w:lang w:val="en-US" w:eastAsia="zh-CN"/>
        </w:rPr>
        <w:t xml:space="preserve">80</w:t>
      </w:r>
      <w:r>
        <w:rPr>
          <w:rFonts w:cs="Times New Roman"/>
          <w:bCs/>
          <w:color w:val="000000"/>
          <w:szCs w:val="21"/>
          <w:highlight w:val="none"/>
          <w:lang w:val="zh-CN"/>
        </w:rPr>
        <w:t xml:space="preserve">个</w:t>
      </w:r>
      <w:r>
        <w:rPr>
          <w:rFonts w:hint="eastAsia"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4</w:t>
      </w:r>
      <w:r>
        <w:rPr>
          <w:rFonts w:hint="eastAsia" w:cs="Times New Roman"/>
          <w:bCs/>
          <w:color w:val="000000"/>
          <w:szCs w:val="21"/>
          <w:highlight w:val="none"/>
          <w:lang w:val="zh-CN"/>
        </w:rPr>
        <w:t xml:space="preserve">同时具有大小体积样品模式、枪头模式、膜萃取模式、免疫亲和柱模式等多种模式可选。（提供软件操作截图技术证明）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5</w:t>
      </w:r>
      <w:r>
        <w:rPr>
          <w:rFonts w:hint="eastAsia" w:cs="Times New Roman"/>
          <w:bCs/>
          <w:color w:val="000000"/>
          <w:szCs w:val="21"/>
          <w:highlight w:val="none"/>
          <w:lang w:val="zh-CN"/>
        </w:rPr>
        <w:t xml:space="preserve">使用</w:t>
      </w:r>
      <w:r>
        <w:rPr>
          <w:rFonts w:cs="Times New Roman"/>
          <w:bCs/>
          <w:color w:val="000000"/>
          <w:szCs w:val="21"/>
          <w:highlight w:val="none"/>
          <w:lang w:val="zh-CN"/>
        </w:rPr>
        <w:t xml:space="preserve">免疫亲和柱可连续自动化处理，能够依靠自身机械动作自动移除免疫亲和柱下盖帽，完全达到全自动化要求。（</w:t>
      </w:r>
      <w:r>
        <w:rPr>
          <w:rFonts w:hint="eastAsia" w:cs="Times New Roman"/>
          <w:bCs/>
          <w:color w:val="000000"/>
          <w:szCs w:val="21"/>
          <w:highlight w:val="none"/>
          <w:lang w:val="zh-CN"/>
        </w:rPr>
        <w:t xml:space="preserve">需要提供自动脱离柱盖帽的过程实拍图片并说明</w:t>
      </w:r>
      <w:r>
        <w:rPr>
          <w:rFonts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w:t>
      </w:r>
      <w:r>
        <w:rPr>
          <w:rFonts w:hint="eastAsia" w:cs="Times New Roman"/>
          <w:bCs/>
          <w:color w:val="000000"/>
          <w:szCs w:val="21"/>
          <w:highlight w:val="none"/>
          <w:lang w:val="zh-CN"/>
        </w:rPr>
        <w:t xml:space="preserve">.</w:t>
      </w:r>
      <w:r>
        <w:rPr>
          <w:rFonts w:hint="eastAsia" w:cs="Times New Roman"/>
          <w:bCs/>
          <w:color w:val="000000"/>
          <w:szCs w:val="21"/>
          <w:highlight w:val="none"/>
          <w:lang w:val="en-US" w:eastAsia="zh-CN"/>
        </w:rPr>
        <w:t xml:space="preserve">6</w:t>
      </w:r>
      <w:r>
        <w:rPr>
          <w:rFonts w:hint="eastAsia" w:cs="Times New Roman"/>
          <w:bCs/>
          <w:color w:val="000000"/>
          <w:szCs w:val="21"/>
          <w:highlight w:val="none"/>
          <w:lang w:val="zh-CN"/>
        </w:rPr>
        <w:t xml:space="preserve"> 主机配备旋转</w:t>
      </w:r>
      <w:r>
        <w:rPr>
          <w:rFonts w:hint="eastAsia" w:cs="Times New Roman"/>
          <w:bCs/>
          <w:color w:val="000000"/>
          <w:szCs w:val="21"/>
          <w:highlight w:val="none"/>
        </w:rPr>
        <w:t xml:space="preserve">多通阀数量：≥8个。要求淋洗洗脱溶剂</w:t>
      </w:r>
      <w:r>
        <w:rPr>
          <w:rFonts w:hint="eastAsia" w:cs="Times New Roman"/>
          <w:bCs/>
          <w:color w:val="000000"/>
          <w:szCs w:val="21"/>
          <w:highlight w:val="none"/>
          <w:lang w:val="zh-CN"/>
        </w:rPr>
        <w:t xml:space="preserve">不经过取样针结构。</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7</w:t>
      </w:r>
      <w:r>
        <w:rPr>
          <w:rFonts w:hint="eastAsia" w:cs="Times New Roman"/>
          <w:bCs/>
          <w:color w:val="000000"/>
          <w:szCs w:val="21"/>
          <w:highlight w:val="none"/>
          <w:lang w:val="zh-CN"/>
        </w:rPr>
        <w:t xml:space="preserve"> </w:t>
      </w:r>
      <w:r>
        <w:rPr>
          <w:rFonts w:hint="eastAsia" w:cs="Times New Roman"/>
          <w:bCs/>
          <w:color w:val="000000"/>
          <w:szCs w:val="21"/>
          <w:highlight w:val="none"/>
        </w:rPr>
        <w:t xml:space="preserve">多通阀</w:t>
      </w:r>
      <w:r>
        <w:rPr>
          <w:rFonts w:hint="eastAsia" w:cs="Times New Roman"/>
          <w:bCs/>
          <w:color w:val="000000"/>
          <w:szCs w:val="21"/>
          <w:highlight w:val="none"/>
          <w:lang w:val="zh-CN"/>
        </w:rPr>
        <w:t xml:space="preserve">自动切换溶剂数量：≥6种。</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8</w:t>
      </w:r>
      <w:r>
        <w:rPr>
          <w:rFonts w:cs="Times New Roman"/>
          <w:bCs/>
          <w:color w:val="000000"/>
          <w:szCs w:val="21"/>
          <w:highlight w:val="none"/>
          <w:lang w:val="zh-CN"/>
        </w:rPr>
        <w:t xml:space="preserve">  </w:t>
      </w:r>
      <w:r>
        <w:rPr>
          <w:rFonts w:hint="eastAsia" w:cs="Times New Roman"/>
          <w:bCs/>
          <w:color w:val="000000"/>
          <w:szCs w:val="21"/>
          <w:highlight w:val="none"/>
          <w:lang w:val="zh-CN"/>
        </w:rPr>
        <w:t xml:space="preserve">SPE小柱采用柱插杆密封，柱插杆底部紧贴SPE柱填料的上方，排空S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柱内部空气，且无需使用任何配件进行密封。</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需要提供密封真实图片并说明</w:t>
      </w:r>
      <w:r>
        <w:rPr>
          <w:rFonts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9</w:t>
      </w:r>
      <w:r>
        <w:rPr>
          <w:rFonts w:hint="eastAsia" w:cs="Times New Roman"/>
          <w:bCs/>
          <w:color w:val="000000"/>
          <w:szCs w:val="21"/>
          <w:highlight w:val="none"/>
          <w:lang w:val="zh-CN"/>
        </w:rPr>
        <w:t xml:space="preserve">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柱密封位置可设定范围：2.0cm-5.0cm，软件可设定内壁密封圈的密封高度。（需要提供密封圈下降高度设置的软件界面截图及不同密封位置的实拍图片并说明）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2.1</w:t>
      </w:r>
      <w:r>
        <w:rPr>
          <w:rFonts w:hint="eastAsia" w:cs="Times New Roman"/>
          <w:bCs/>
          <w:color w:val="000000"/>
          <w:szCs w:val="21"/>
          <w:highlight w:val="none"/>
          <w:lang w:val="en-US" w:eastAsia="zh-CN"/>
        </w:rPr>
        <w:t xml:space="preserve">0</w:t>
      </w:r>
      <w:r>
        <w:rPr>
          <w:rFonts w:hint="eastAsia" w:cs="Times New Roman"/>
          <w:bCs/>
          <w:color w:val="000000"/>
          <w:szCs w:val="21"/>
          <w:highlight w:val="none"/>
          <w:lang w:val="zh-CN"/>
        </w:rPr>
        <w:t xml:space="preserve">样品架，收集架，SPE柱架都可以独立自动移动，具备自动定位的功能，并且具备样品架、</w:t>
      </w:r>
      <w:r>
        <w:rPr>
          <w:rFonts w:hint="eastAsia" w:cs="Times New Roman"/>
          <w:bCs/>
          <w:color w:val="000000"/>
          <w:szCs w:val="21"/>
          <w:highlight w:val="none"/>
        </w:rPr>
        <w:t xml:space="preserve">收集架和柱架</w:t>
      </w:r>
      <w:r>
        <w:rPr>
          <w:rFonts w:hint="eastAsia" w:cs="Times New Roman"/>
          <w:bCs/>
          <w:color w:val="000000"/>
          <w:szCs w:val="21"/>
          <w:highlight w:val="none"/>
          <w:lang w:val="zh-CN"/>
        </w:rPr>
        <w:t xml:space="preserve">自动识别功能（需要提供样品架，收集架，SPE柱架独立移动前后位置的实拍图片并说明）</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2.1</w:t>
      </w:r>
      <w:r>
        <w:rPr>
          <w:rFonts w:hint="eastAsia" w:cs="Times New Roman"/>
          <w:bCs/>
          <w:color w:val="000000"/>
          <w:szCs w:val="21"/>
          <w:highlight w:val="none"/>
          <w:lang w:val="en-US" w:eastAsia="zh-CN"/>
        </w:rPr>
        <w:t xml:space="preserve">1</w:t>
      </w:r>
      <w:r>
        <w:rPr>
          <w:rFonts w:hint="eastAsia" w:cs="Times New Roman"/>
          <w:bCs/>
          <w:color w:val="000000"/>
          <w:szCs w:val="21"/>
          <w:highlight w:val="none"/>
          <w:lang w:val="zh-CN"/>
        </w:rPr>
        <w:t xml:space="preserve">大体积样品批处理能力，可连续自动处理≥</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个的大体积水样富集净化。</w:t>
      </w:r>
      <w:r>
        <w:rPr>
          <w:rFonts w:hint="eastAsia" w:cs="Times New Roman"/>
          <w:bCs/>
          <w:color w:val="000000"/>
          <w:szCs w:val="21"/>
          <w:highlight w:val="none"/>
          <w:lang w:val="zh-CN"/>
        </w:rPr>
      </w:r>
      <w:r/>
    </w:p>
    <w:p>
      <w:pPr>
        <w:pStyle w:val="1014"/>
        <w:ind w:firstLine="420"/>
        <w:pageBreakBefore w:val="0"/>
        <w:spacing w:line="360" w:lineRule="auto"/>
        <w:rPr>
          <w:rFonts w:eastAsia="宋体" w:cs="Times New Roman"/>
          <w:bCs/>
          <w:color w:val="000000"/>
          <w:szCs w:val="21"/>
          <w:highlight w:val="none"/>
          <w:lang w:val="en-US" w:eastAsia="zh-CN"/>
        </w:rPr>
      </w:pPr>
      <w:r>
        <w:rPr>
          <w:rFonts w:hint="eastAsia" w:cs="Times New Roman"/>
          <w:bCs/>
          <w:color w:val="000000"/>
          <w:szCs w:val="21"/>
          <w:highlight w:val="none"/>
          <w:lang w:val="en-US" w:eastAsia="zh-CN"/>
        </w:rPr>
        <w:t xml:space="preserve">2.12具有大体积水样喷淋清洗样品瓶功能，可通过选配润洗模块实现大体积水样真正完全上样而没有任何样品损失。（提供≥40位大体积水样润洗模块实拍图）</w:t>
      </w:r>
      <w:r>
        <w:rPr>
          <w:rFonts w:eastAsia="宋体"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具备在线水样过滤模块，自动对水样进行在线过滤，通过≥</w:t>
      </w:r>
      <w:r>
        <w:rPr>
          <w:rFonts w:cs="Times New Roman"/>
          <w:bCs/>
          <w:color w:val="000000"/>
          <w:szCs w:val="21"/>
          <w:highlight w:val="none"/>
          <w:lang w:val="zh-CN"/>
        </w:rPr>
        <w:t xml:space="preserve">35</w:t>
      </w:r>
      <w:r>
        <w:rPr>
          <w:rFonts w:hint="eastAsia" w:cs="Times New Roman"/>
          <w:bCs/>
          <w:color w:val="000000"/>
          <w:szCs w:val="21"/>
          <w:highlight w:val="none"/>
          <w:lang w:val="zh-CN"/>
        </w:rPr>
        <w:t xml:space="preserve">mm的微孔滤膜将水样中的颗粒和悬浮物过滤，可连续完成≥24位样品的在线过滤，每个样品均可配置独立的微孔滤膜。（提供在线过滤模块运行过程的图片证明）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4</w:t>
      </w:r>
      <w:r>
        <w:rPr>
          <w:rFonts w:hint="eastAsia" w:cs="Times New Roman"/>
          <w:bCs/>
          <w:color w:val="000000"/>
          <w:szCs w:val="21"/>
          <w:highlight w:val="none"/>
          <w:lang w:val="zh-CN"/>
        </w:rPr>
        <w:t xml:space="preserve">枪头模式功能：具备</w:t>
      </w:r>
      <w:r>
        <w:rPr>
          <w:rFonts w:cs="Times New Roman"/>
          <w:bCs/>
          <w:color w:val="000000"/>
          <w:szCs w:val="21"/>
          <w:highlight w:val="none"/>
          <w:lang w:val="zh-CN"/>
        </w:rPr>
        <w:t xml:space="preserve">TIP</w:t>
      </w:r>
      <w:r>
        <w:rPr>
          <w:rFonts w:hint="eastAsia" w:cs="Times New Roman"/>
          <w:bCs/>
          <w:color w:val="000000"/>
          <w:szCs w:val="21"/>
          <w:highlight w:val="none"/>
          <w:lang w:val="zh-CN"/>
        </w:rPr>
        <w:t xml:space="preserve">枪头上样模式，自动使用1mlT</w:t>
      </w:r>
      <w:r>
        <w:rPr>
          <w:rFonts w:cs="Times New Roman"/>
          <w:bCs/>
          <w:color w:val="000000"/>
          <w:szCs w:val="21"/>
          <w:highlight w:val="none"/>
          <w:lang w:val="zh-CN"/>
        </w:rPr>
        <w:t xml:space="preserve">IP</w:t>
      </w:r>
      <w:r>
        <w:rPr>
          <w:rFonts w:hint="eastAsia" w:cs="Times New Roman"/>
          <w:bCs/>
          <w:color w:val="000000"/>
          <w:szCs w:val="21"/>
          <w:highlight w:val="none"/>
          <w:lang w:val="zh-CN"/>
        </w:rPr>
        <w:t xml:space="preserve">枪头完成无交叉污染上样。（需要提供设备装载和脱离T</w:t>
      </w:r>
      <w:r>
        <w:rPr>
          <w:rFonts w:cs="Times New Roman"/>
          <w:bCs/>
          <w:color w:val="000000"/>
          <w:szCs w:val="21"/>
          <w:highlight w:val="none"/>
          <w:lang w:val="zh-CN"/>
        </w:rPr>
        <w:t xml:space="preserve">IP</w:t>
      </w:r>
      <w:r>
        <w:rPr>
          <w:rFonts w:hint="eastAsia" w:cs="Times New Roman"/>
          <w:bCs/>
          <w:color w:val="000000"/>
          <w:szCs w:val="21"/>
          <w:highlight w:val="none"/>
          <w:lang w:val="zh-CN"/>
        </w:rPr>
        <w:t xml:space="preserve">枪头的实拍图片并说明）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5 </w:t>
      </w:r>
      <w:r>
        <w:rPr>
          <w:rFonts w:hint="eastAsia" w:cs="Times New Roman"/>
          <w:bCs/>
          <w:color w:val="000000"/>
          <w:szCs w:val="21"/>
          <w:highlight w:val="none"/>
          <w:lang w:val="zh-CN"/>
        </w:rPr>
        <w:t xml:space="preserve">枪头模式样品位数：≥</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位，可调用用溶剂数量≥8种不变。</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6</w:t>
      </w:r>
      <w:r>
        <w:rPr>
          <w:rFonts w:hint="eastAsia" w:cs="Times New Roman"/>
          <w:bCs/>
          <w:color w:val="000000"/>
          <w:szCs w:val="21"/>
          <w:highlight w:val="none"/>
          <w:lang w:val="zh-CN"/>
        </w:rPr>
        <w:t xml:space="preserve">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柱氮气干燥功能：压力设置范围0</w:t>
      </w:r>
      <w:r>
        <w:rPr>
          <w:rFonts w:cs="Times New Roman"/>
          <w:bCs/>
          <w:color w:val="000000"/>
          <w:szCs w:val="21"/>
          <w:highlight w:val="none"/>
          <w:lang w:val="zh-CN"/>
        </w:rPr>
        <w:t xml:space="preserve">-50</w:t>
      </w:r>
      <w:r>
        <w:rPr>
          <w:rFonts w:hint="eastAsia" w:cs="Times New Roman"/>
          <w:bCs/>
          <w:color w:val="000000"/>
          <w:szCs w:val="21"/>
          <w:highlight w:val="none"/>
          <w:lang w:val="zh-CN"/>
        </w:rPr>
        <w:t xml:space="preserve">psi，采用电子比例阀控制氮气吹干压力。</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rPr>
      </w:pPr>
      <w:r>
        <w:rPr>
          <w:rFonts w:hint="eastAsia" w:cs="Times New Roman"/>
          <w:bCs/>
          <w:color w:val="000000"/>
          <w:szCs w:val="21"/>
          <w:highlight w:val="none"/>
        </w:rPr>
        <w:t xml:space="preserve">2.17具有A</w:t>
      </w:r>
      <w:r>
        <w:rPr>
          <w:rFonts w:cs="Times New Roman"/>
          <w:bCs/>
          <w:color w:val="000000"/>
          <w:szCs w:val="21"/>
          <w:highlight w:val="none"/>
        </w:rPr>
        <w:t xml:space="preserve">/B/X</w:t>
      </w:r>
      <w:r>
        <w:rPr>
          <w:rFonts w:hint="eastAsia" w:cs="Times New Roman"/>
          <w:bCs/>
          <w:color w:val="000000"/>
          <w:szCs w:val="21"/>
          <w:highlight w:val="none"/>
        </w:rPr>
        <w:t xml:space="preserve">多柱萃取功能，运行完成一个完整S</w:t>
      </w:r>
      <w:r>
        <w:rPr>
          <w:rFonts w:cs="Times New Roman"/>
          <w:bCs/>
          <w:color w:val="000000"/>
          <w:szCs w:val="21"/>
          <w:highlight w:val="none"/>
        </w:rPr>
        <w:t xml:space="preserve">PE</w:t>
      </w:r>
      <w:r>
        <w:rPr>
          <w:rFonts w:hint="eastAsia" w:cs="Times New Roman"/>
          <w:bCs/>
          <w:color w:val="000000"/>
          <w:szCs w:val="21"/>
          <w:highlight w:val="none"/>
        </w:rPr>
        <w:t xml:space="preserve">方法后，可自动将洗脱液作为样品进行</w:t>
      </w:r>
      <w:r>
        <w:rPr>
          <w:rFonts w:hint="eastAsia" w:cs="Times New Roman"/>
          <w:bCs/>
          <w:color w:val="000000"/>
          <w:szCs w:val="21"/>
          <w:highlight w:val="none"/>
          <w:lang w:val="zh-CN"/>
        </w:rPr>
        <w:t xml:space="preserve">≥</w:t>
      </w:r>
      <w:r>
        <w:rPr>
          <w:rFonts w:hint="eastAsia" w:cs="Times New Roman"/>
          <w:bCs/>
          <w:color w:val="000000"/>
          <w:szCs w:val="21"/>
          <w:highlight w:val="none"/>
        </w:rPr>
        <w:t xml:space="preserve">2种柱子的净化，并可独立对</w:t>
      </w:r>
      <w:r>
        <w:rPr>
          <w:rFonts w:hint="eastAsia" w:cs="Times New Roman"/>
          <w:bCs/>
          <w:color w:val="000000"/>
          <w:szCs w:val="21"/>
          <w:highlight w:val="none"/>
          <w:lang w:val="zh-CN"/>
        </w:rPr>
        <w:t xml:space="preserve">≥</w:t>
      </w:r>
      <w:r>
        <w:rPr>
          <w:rFonts w:hint="eastAsia" w:cs="Times New Roman"/>
          <w:bCs/>
          <w:color w:val="000000"/>
          <w:szCs w:val="21"/>
          <w:highlight w:val="none"/>
        </w:rPr>
        <w:t xml:space="preserve">2种柱子进行活化、上样、洗脱、淋洗、干燥等步骤。(应用于食品中硝酸盐的测定</w:t>
      </w:r>
      <w:r>
        <w:rPr>
          <w:rFonts w:cs="Times New Roman"/>
          <w:bCs/>
          <w:color w:val="000000"/>
          <w:szCs w:val="21"/>
          <w:highlight w:val="none"/>
        </w:rPr>
        <w:t xml:space="preserve">)</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rPr>
      </w:pPr>
      <w:r>
        <w:rPr>
          <w:rFonts w:hint="eastAsia" w:cs="Times New Roman"/>
          <w:bCs/>
          <w:color w:val="000000"/>
          <w:szCs w:val="21"/>
          <w:highlight w:val="none"/>
        </w:rPr>
        <w:t xml:space="preserve">2</w:t>
      </w:r>
      <w:r>
        <w:rPr>
          <w:rFonts w:cs="Times New Roman"/>
          <w:bCs/>
          <w:color w:val="000000"/>
          <w:szCs w:val="21"/>
          <w:highlight w:val="none"/>
        </w:rPr>
        <w:t xml:space="preserve">.1</w:t>
      </w:r>
      <w:r>
        <w:rPr>
          <w:rFonts w:hint="eastAsia" w:cs="Times New Roman"/>
          <w:bCs/>
          <w:color w:val="000000"/>
          <w:szCs w:val="21"/>
          <w:highlight w:val="none"/>
        </w:rPr>
        <w:t xml:space="preserve">8</w:t>
      </w:r>
      <w:r>
        <w:rPr>
          <w:rFonts w:hint="eastAsia" w:cs="Times New Roman"/>
          <w:bCs/>
          <w:color w:val="000000"/>
          <w:szCs w:val="21"/>
          <w:highlight w:val="none"/>
        </w:rPr>
        <w:t xml:space="preserve">具备自动无水硫酸钠除水功能，可自动将洗脱完成的洗脱液通过无水硫酸钠进行除水，并可自动吹干无水硫酸钠小柱。</w:t>
      </w:r>
      <w:r>
        <w:rPr>
          <w:rFonts w:hint="eastAsia" w:cs="Times New Roman"/>
          <w:bCs/>
          <w:color w:val="000000"/>
          <w:szCs w:val="21"/>
          <w:highlight w:val="none"/>
          <w:lang w:val="zh-CN"/>
        </w:rPr>
        <w:t xml:space="preserve">（须提供密封装载6ml标准无水硫酸钠柱的实拍图片并说明）</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rPr>
      </w:pPr>
      <w:r>
        <w:rPr>
          <w:rFonts w:cs="Times New Roman"/>
          <w:bCs/>
          <w:color w:val="000000"/>
          <w:szCs w:val="21"/>
          <w:highlight w:val="none"/>
        </w:rPr>
        <w:t xml:space="preserve">2.</w:t>
      </w:r>
      <w:r>
        <w:rPr>
          <w:rFonts w:hint="eastAsia" w:cs="Times New Roman"/>
          <w:bCs/>
          <w:color w:val="000000"/>
          <w:szCs w:val="21"/>
          <w:highlight w:val="none"/>
        </w:rPr>
        <w:t xml:space="preserve">19</w:t>
      </w:r>
      <w:r>
        <w:rPr>
          <w:rFonts w:hint="eastAsia" w:cs="Times New Roman"/>
          <w:bCs/>
          <w:color w:val="000000"/>
          <w:szCs w:val="21"/>
          <w:highlight w:val="none"/>
        </w:rPr>
        <w:t xml:space="preserve">无水硫酸钠柱提前润洗功能，可自动提前润洗无水硫酸钠小柱，确保除水过程不吸附样品。</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20</w:t>
      </w:r>
      <w:r>
        <w:rPr>
          <w:rFonts w:hint="eastAsia" w:cs="Times New Roman"/>
          <w:bCs/>
          <w:color w:val="000000"/>
          <w:szCs w:val="21"/>
          <w:highlight w:val="none"/>
          <w:lang w:val="zh-CN"/>
        </w:rPr>
        <w:t xml:space="preserve"> 主动排废功能：≥3通道废液排放，主动式排废，不会产生液封现象。</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.22</w:t>
      </w:r>
      <w:r>
        <w:rPr>
          <w:rFonts w:hint="eastAsia" w:cs="Times New Roman"/>
          <w:bCs/>
          <w:color w:val="000000"/>
          <w:szCs w:val="21"/>
          <w:highlight w:val="none"/>
          <w:lang w:val="zh-CN"/>
        </w:rPr>
        <w:t xml:space="preserve">主动排废模组寿命，主动排废模组不产生任何耗材</w:t>
      </w:r>
      <w:r>
        <w:rPr>
          <w:rFonts w:cs="Times New Roman"/>
          <w:bCs/>
          <w:color w:val="000000"/>
          <w:szCs w:val="21"/>
          <w:highlight w:val="none"/>
          <w:lang w:val="zh-CN"/>
        </w:rPr>
        <w:t xml:space="preserve">2</w:t>
      </w:r>
      <w:r>
        <w:rPr>
          <w:rFonts w:hint="eastAsia" w:cs="Times New Roman"/>
          <w:bCs/>
          <w:color w:val="000000"/>
          <w:szCs w:val="21"/>
          <w:highlight w:val="none"/>
          <w:lang w:val="zh-CN"/>
        </w:rPr>
        <w:t xml:space="preserve">年免维护。（需要提供主动排废模组的实拍图片并说明）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2.2</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整机仪器密封，内置照明，独立的排风系统，防止溶剂挥发，紧凑化设计：整机可放入通风橱内，溶剂瓶架集合在主机，节约实验室空间。透明式外罩，可实时观察做样过程，随时调整运行方法</w:t>
      </w:r>
      <w:r>
        <w:rPr>
          <w:rFonts w:cs="Times New Roman"/>
          <w:bCs/>
          <w:color w:val="000000"/>
          <w:szCs w:val="21"/>
          <w:highlight w:val="none"/>
          <w:lang w:val="zh-CN"/>
        </w:rPr>
        <w:br w:type="textWrapping" w:clear="all"/>
      </w: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24</w:t>
      </w:r>
      <w:r>
        <w:rPr>
          <w:rFonts w:hint="eastAsia" w:cs="Times New Roman"/>
          <w:bCs/>
          <w:color w:val="000000"/>
          <w:szCs w:val="21"/>
          <w:highlight w:val="none"/>
          <w:lang w:val="zh-CN"/>
        </w:rPr>
        <w:t xml:space="preserve">主机集成自控，≥</w:t>
      </w:r>
      <w:r>
        <w:rPr>
          <w:rFonts w:cs="Times New Roman"/>
          <w:bCs/>
          <w:color w:val="000000"/>
          <w:szCs w:val="21"/>
          <w:highlight w:val="none"/>
          <w:lang w:val="zh-CN"/>
        </w:rPr>
        <w:t xml:space="preserve">10</w:t>
      </w:r>
      <w:r>
        <w:rPr>
          <w:rFonts w:hint="eastAsia" w:cs="Times New Roman"/>
          <w:bCs/>
          <w:color w:val="000000"/>
          <w:szCs w:val="21"/>
          <w:highlight w:val="none"/>
          <w:lang w:val="zh-CN"/>
        </w:rPr>
        <w:t xml:space="preserve">英寸大屏幕参数显示及控制，主屏幕进行参数设定，并可实时监测数据，保证实验流程数据的溯源。</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25</w:t>
      </w:r>
      <w:r>
        <w:rPr>
          <w:rFonts w:hint="eastAsia" w:cs="Times New Roman"/>
          <w:bCs/>
          <w:color w:val="000000"/>
          <w:szCs w:val="21"/>
          <w:highlight w:val="none"/>
          <w:lang w:val="zh-CN"/>
        </w:rPr>
        <w:t xml:space="preserve">具有溶剂判断预警，预防溶剂不足导致样品损失。</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3.配置</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3.1全自动固相萃取仪主机  </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1台</w:t>
      </w:r>
      <w:r>
        <w:rPr>
          <w:rFonts w:hint="eastAsia" w:cs="Times New Roman"/>
          <w:bCs/>
          <w:color w:val="000000"/>
          <w:szCs w:val="21"/>
          <w:highlight w:val="none"/>
          <w:lang w:val="zh-CN"/>
        </w:rPr>
      </w:r>
      <w:r/>
    </w:p>
    <w:p>
      <w:pPr>
        <w:pStyle w:val="1014"/>
        <w:ind w:firstLine="420"/>
        <w:pageBreakBefore w:val="0"/>
        <w:spacing w:line="360" w:lineRule="auto"/>
        <w:rPr>
          <w:rFonts w:eastAsia="宋体" w:cs="Times New Roman"/>
          <w:bCs/>
          <w:color w:val="000000"/>
          <w:szCs w:val="21"/>
          <w:highlight w:val="none"/>
          <w:lang w:val="en-US" w:eastAsia="zh-CN"/>
        </w:rPr>
      </w:pPr>
      <w:r>
        <w:rPr>
          <w:rFonts w:hint="eastAsia" w:cs="Times New Roman"/>
          <w:bCs/>
          <w:color w:val="000000"/>
          <w:szCs w:val="21"/>
          <w:highlight w:val="none"/>
          <w:lang w:val="en-US" w:eastAsia="zh-CN"/>
        </w:rPr>
        <w:t xml:space="preserve">3.3 3mL</w:t>
      </w:r>
      <w:r>
        <w:rPr>
          <w:rFonts w:hint="eastAsia" w:cs="Times New Roman"/>
          <w:bCs/>
          <w:color w:val="000000"/>
          <w:szCs w:val="21"/>
          <w:highlight w:val="none"/>
          <w:lang w:val="zh-CN"/>
        </w:rPr>
        <w:t xml:space="preserve">萃取柱模块</w:t>
      </w:r>
      <w:r>
        <w:rPr>
          <w:rFonts w:hint="eastAsia" w:cs="Times New Roman"/>
          <w:bCs/>
          <w:color w:val="000000"/>
          <w:szCs w:val="21"/>
          <w:highlight w:val="none"/>
          <w:lang w:val="en-US" w:eastAsia="zh-CN"/>
        </w:rPr>
        <w:t xml:space="preserve">                           1套</w:t>
      </w:r>
      <w:r>
        <w:rPr>
          <w:rFonts w:eastAsia="宋体"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3.2 6mL萃取柱模块</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en-US" w:eastAsia="zh-CN"/>
        </w:rPr>
        <w:t xml:space="preserve">            </w:t>
      </w:r>
      <w:r>
        <w:rPr>
          <w:rFonts w:hint="eastAsia" w:cs="Times New Roman"/>
          <w:bCs/>
          <w:color w:val="000000"/>
          <w:szCs w:val="21"/>
          <w:highlight w:val="none"/>
          <w:lang w:val="zh-CN"/>
        </w:rPr>
        <w:t xml:space="preserve">1套</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3.3 旋转多通道阀(已装入主机</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 </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8个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3.4 镀层取样针(已装入主机</w:t>
      </w:r>
      <w:r>
        <w:rPr>
          <w:rFonts w:cs="Times New Roman"/>
          <w:bCs/>
          <w:color w:val="000000"/>
          <w:szCs w:val="21"/>
          <w:highlight w:val="none"/>
          <w:lang w:val="zh-CN"/>
        </w:rPr>
        <w:t xml:space="preserve">)</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en-US" w:eastAsia="zh-CN"/>
        </w:rPr>
        <w:t xml:space="preserve">    </w:t>
      </w:r>
      <w:r>
        <w:rPr>
          <w:rFonts w:hint="eastAsia" w:cs="Times New Roman"/>
          <w:bCs/>
          <w:color w:val="000000"/>
          <w:szCs w:val="21"/>
          <w:highlight w:val="none"/>
          <w:lang w:val="zh-CN"/>
        </w:rPr>
        <w:t xml:space="preserve">8个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5</w:t>
      </w:r>
      <w:r>
        <w:rPr>
          <w:rFonts w:hint="eastAsia" w:cs="Times New Roman"/>
          <w:bCs/>
          <w:color w:val="000000"/>
          <w:szCs w:val="21"/>
          <w:highlight w:val="none"/>
          <w:lang w:val="zh-CN"/>
        </w:rPr>
        <w:t xml:space="preserve"> </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通道长寿命主动排废模块(已装入主机</w:t>
      </w:r>
      <w:r>
        <w:rPr>
          <w:rFonts w:cs="Times New Roman"/>
          <w:bCs/>
          <w:color w:val="000000"/>
          <w:szCs w:val="21"/>
          <w:highlight w:val="none"/>
          <w:lang w:val="zh-CN"/>
        </w:rPr>
        <w:t xml:space="preserve">)</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7</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15</w:t>
      </w:r>
      <w:r>
        <w:rPr>
          <w:rFonts w:hint="eastAsia" w:cs="Times New Roman"/>
          <w:bCs/>
          <w:color w:val="000000"/>
          <w:szCs w:val="21"/>
          <w:highlight w:val="none"/>
          <w:lang w:val="zh-CN"/>
        </w:rPr>
        <w:t xml:space="preserve">ml上样架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8</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1</w:t>
      </w:r>
      <w:r>
        <w:rPr>
          <w:rFonts w:cs="Times New Roman"/>
          <w:bCs/>
          <w:color w:val="000000"/>
          <w:szCs w:val="21"/>
          <w:highlight w:val="none"/>
          <w:lang w:val="zh-CN"/>
        </w:rPr>
        <w:t xml:space="preserve">5</w:t>
      </w:r>
      <w:r>
        <w:rPr>
          <w:rFonts w:hint="eastAsia" w:cs="Times New Roman"/>
          <w:bCs/>
          <w:color w:val="000000"/>
          <w:szCs w:val="21"/>
          <w:highlight w:val="none"/>
          <w:lang w:val="zh-CN"/>
        </w:rPr>
        <w:t xml:space="preserve">ml</w:t>
      </w:r>
      <w:r>
        <w:rPr>
          <w:rFonts w:hint="eastAsia" w:cs="Times New Roman"/>
          <w:bCs/>
          <w:color w:val="000000"/>
          <w:szCs w:val="21"/>
          <w:highlight w:val="none"/>
          <w:lang w:val="en-US" w:eastAsia="zh-CN"/>
        </w:rPr>
        <w:t xml:space="preserve">收集</w:t>
      </w:r>
      <w:r>
        <w:rPr>
          <w:rFonts w:hint="eastAsia" w:cs="Times New Roman"/>
          <w:bCs/>
          <w:color w:val="000000"/>
          <w:szCs w:val="21"/>
          <w:highlight w:val="none"/>
          <w:lang w:val="zh-CN"/>
        </w:rPr>
        <w:t xml:space="preserve">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9 </w:t>
      </w:r>
      <w:r>
        <w:rPr>
          <w:rFonts w:hint="eastAsia" w:cs="Times New Roman"/>
          <w:bCs/>
          <w:color w:val="000000"/>
          <w:szCs w:val="21"/>
          <w:highlight w:val="none"/>
          <w:lang w:val="en-US" w:eastAsia="zh-CN"/>
        </w:rPr>
        <w:t xml:space="preserve">48</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50</w:t>
      </w:r>
      <w:r>
        <w:rPr>
          <w:rFonts w:hint="eastAsia" w:cs="Times New Roman"/>
          <w:bCs/>
          <w:color w:val="000000"/>
          <w:szCs w:val="21"/>
          <w:highlight w:val="none"/>
          <w:lang w:val="zh-CN"/>
        </w:rPr>
        <w:t xml:space="preserve">m</w:t>
      </w:r>
      <w:r>
        <w:rPr>
          <w:rFonts w:hint="eastAsia" w:cs="Times New Roman"/>
          <w:bCs/>
          <w:color w:val="000000"/>
          <w:szCs w:val="21"/>
          <w:highlight w:val="none"/>
          <w:lang w:val="en-US" w:eastAsia="zh-CN"/>
        </w:rPr>
        <w:t xml:space="preserve">l上样</w:t>
      </w:r>
      <w:r>
        <w:rPr>
          <w:rFonts w:hint="eastAsia" w:cs="Times New Roman"/>
          <w:bCs/>
          <w:color w:val="000000"/>
          <w:szCs w:val="21"/>
          <w:highlight w:val="none"/>
          <w:lang w:val="zh-CN"/>
        </w:rPr>
        <w:t xml:space="preserve">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1个</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10</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48</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50</w:t>
      </w:r>
      <w:r>
        <w:rPr>
          <w:rFonts w:hint="eastAsia" w:cs="Times New Roman"/>
          <w:bCs/>
          <w:color w:val="000000"/>
          <w:szCs w:val="21"/>
          <w:highlight w:val="none"/>
          <w:lang w:val="zh-CN"/>
        </w:rPr>
        <w:t xml:space="preserve">ml收集架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hint="eastAsia"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en-US" w:eastAsia="zh-CN"/>
        </w:rPr>
      </w:pPr>
      <w:r>
        <w:rPr>
          <w:rFonts w:hint="eastAsia" w:cs="Times New Roman"/>
          <w:bCs/>
          <w:color w:val="000000"/>
          <w:szCs w:val="21"/>
          <w:highlight w:val="none"/>
          <w:lang w:val="en-US" w:eastAsia="zh-CN"/>
        </w:rPr>
        <w:t xml:space="preserve">3.11废液收集系统                            1套</w:t>
      </w:r>
      <w:r>
        <w:rPr>
          <w:rFonts w:hint="eastAsia"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en-US" w:eastAsia="zh-CN"/>
        </w:rPr>
      </w:pPr>
      <w:r>
        <w:rPr>
          <w:rFonts w:hint="eastAsia" w:cs="Times New Roman"/>
          <w:bCs/>
          <w:color w:val="000000"/>
          <w:szCs w:val="21"/>
          <w:highlight w:val="none"/>
          <w:lang w:val="en-US" w:eastAsia="zh-CN"/>
        </w:rPr>
        <w:t xml:space="preserve">3.12 自动振荡系统                           1套</w:t>
      </w:r>
      <w:r>
        <w:rPr>
          <w:rFonts w:cs="Times New Roman"/>
          <w:bCs/>
          <w:color w:val="000000"/>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7、氮吹仪</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 工作条件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1.1 工作环境温度: 10 - 40 </w:t>
      </w:r>
      <w:r>
        <w:rPr>
          <w:rFonts w:ascii="Symbol" w:hAnsi="Symbol" w:eastAsia="Symbol" w:cs="Symbol"/>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t xml:space="preserve">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1.2 湿度: 20 - 80 %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1.3 电源: 单相200-240 V, 50/60 Hz</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 技术规格及要求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利用水浴均匀加热和氮吹共同作用的方式对样品进行平行浓缩</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2.2批量处理能力：不少于80位20ml样品同时进行浓缩，也可以兼容各类试管类型。</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2.3浓缩管体积：10ml~100ml，可兼容多种不同规格浓缩管，并有多种试管支架可选。</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2.4浓缩过程中，氮吹针可随液面自动匀速下降，可通过软件对针位移速度进行直接的设定，垂直移动距离≥160mm，全程保持最佳距离，提高浓缩效率，节约氮气。2.5 下降高度提醒功能，具备直观的下降高度提醒功能，无需人为控制氮吹针下降即可有效提示氮吹针的下降高度，帮助客户快速设置方法。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2.6电子气流控制：仪器使用电气比例调节阀对氮吹流量进行自动控制，仪器软件可设置目标自动调节氮吹针气流大小，设置范围：0.0 – 3.0L/min，精确到0.1L/min。</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 模块化氮吹针设计：可安装≥8组氮吹针通道，每组氮气通道仪可单独控制，每个通道的气流由比例调节阀进行自动分配，气流大小不受开启通道数的影响。并且可安装不同间距氮吹针适配不同样品体积。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2.8氮吹针可在无任何工具的协助下手动整排快速拔除拆卸，无需拆卸任何螺母等固定结构，方便清洗和更换。</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2.9水浴槽集成高低液位传感器和自动给排水功能，具备加水和排水的管路接口，可在控制面板上一键自动进进行加水和排水操作，通过传感器自动判断加水和排水终点。</w:t>
      </w:r>
      <w:r>
        <w:rPr>
          <w:rFonts w:hint="eastAsia" w:ascii="宋体" w:hAnsi="宋体" w:eastAsia="宋体" w:cs="宋体"/>
          <w:b/>
          <w:bCs/>
          <w:color w:val="000000"/>
          <w:sz w:val="21"/>
          <w:szCs w:val="21"/>
          <w:highlight w:val="none"/>
          <w:lang w:val="de-CH" w:eastAsia="zh-CN" w:bidi="ar-SA"/>
        </w:rPr>
        <w:t xml:space="preserve">（需要提供主机上的高低液位传感器和主机面板加水排水的实拍图片并说明）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2.10</w:t>
      </w:r>
      <w:bookmarkStart w:id="72" w:name="_Hlk46309225"/>
      <w:r>
        <w:rPr>
          <w:rFonts w:hint="eastAsia" w:ascii="宋体" w:hAnsi="宋体" w:eastAsia="宋体" w:cs="宋体"/>
          <w:color w:val="000000"/>
          <w:sz w:val="21"/>
          <w:szCs w:val="21"/>
          <w:highlight w:val="none"/>
          <w:lang w:val="de-CH" w:eastAsia="zh-CN" w:bidi="ar-SA"/>
        </w:rPr>
        <w:t xml:space="preserve">可视性：三面环绕玻璃观察设计，正面、左右侧面均可观察样品浓缩状态,每个面可观察面积≥300平方厘米。</w:t>
      </w:r>
      <w:bookmarkEnd w:id="72"/>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 低遮挡样品架：样品架对样品试管的遮挡要尽可能少，要求样品架长边正面结构的遮挡≤15%，短边左右侧面结构的遮挡≤50%。</w:t>
      </w:r>
      <w:r>
        <w:rPr>
          <w:rFonts w:hint="eastAsia" w:ascii="宋体" w:hAnsi="宋体" w:eastAsia="宋体" w:cs="宋体"/>
          <w:b/>
          <w:bCs/>
          <w:color w:val="000000"/>
          <w:sz w:val="21"/>
          <w:szCs w:val="21"/>
          <w:highlight w:val="none"/>
          <w:lang w:val="de-CH" w:eastAsia="zh-CN" w:bidi="ar-SA"/>
        </w:rPr>
        <w:t xml:space="preserve">（需要提供装载满试管样品架的正面、左右侧面的实拍图片，并说明各面的遮挡面积）</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 浓缩腔体自动密封：开始浓缩后氮吹模块自动下降密封水浴模组；浓缩结束后，氮吹模块自动上升与水浴模组自动分离。</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2.13 浓缩过程可实时显示和调节氮吹针的当前高度，可通过实体按键精确控制氮吹针移动，精确到0.1mm。</w:t>
      </w:r>
      <w:r>
        <w:rPr>
          <w:rFonts w:hint="eastAsia" w:ascii="宋体" w:hAnsi="宋体" w:eastAsia="宋体" w:cs="宋体"/>
          <w:b/>
          <w:bCs/>
          <w:color w:val="000000"/>
          <w:sz w:val="21"/>
          <w:szCs w:val="21"/>
          <w:highlight w:val="none"/>
          <w:lang w:val="de-CH" w:eastAsia="zh-CN" w:bidi="ar-SA"/>
        </w:rPr>
        <w:t xml:space="preserve">（需要提供实体调节按键的实拍图片，进行连续至少5个递增0.1mm调节位置和主控屏的实拍图片并说明）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 具有单独的氮吹至近干模块，可外置独立的手持气路用于手动对样品进行近干的操作</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2.15 具有水位超限报警，压力超限报警等功能，并自动切断气流，方便安全。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2.16</w:t>
      </w:r>
      <w:r>
        <w:rPr>
          <w:rFonts w:hint="eastAsia" w:ascii="宋体" w:hAnsi="宋体" w:eastAsia="宋体" w:cs="宋体"/>
          <w:color w:val="000000"/>
          <w:sz w:val="21"/>
          <w:szCs w:val="21"/>
          <w:highlight w:val="none"/>
          <w:lang w:val="de-CH" w:eastAsia="zh-CN" w:bidi="ar-SA"/>
        </w:rPr>
        <w:t xml:space="preserve">采用高性能复合型常温低压中空纤维膜分离技术，具有分离效率高、选择性好、使用寿命长的优点。</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2.17</w:t>
      </w:r>
      <w:r>
        <w:rPr>
          <w:rFonts w:hint="eastAsia" w:ascii="宋体" w:hAnsi="宋体" w:eastAsia="宋体" w:cs="宋体"/>
          <w:color w:val="000000"/>
          <w:sz w:val="21"/>
          <w:szCs w:val="21"/>
          <w:highlight w:val="none"/>
          <w:lang w:val="de-CH" w:eastAsia="zh-CN" w:bidi="ar-SA"/>
        </w:rPr>
        <w:t xml:space="preserve"> 氮气流量≥</w:t>
      </w:r>
      <w:r>
        <w:rPr>
          <w:rFonts w:hint="eastAsia" w:ascii="宋体" w:hAnsi="宋体" w:eastAsia="宋体" w:cs="宋体"/>
          <w:color w:val="000000"/>
          <w:sz w:val="21"/>
          <w:szCs w:val="21"/>
          <w:highlight w:val="none"/>
          <w:lang w:val="en-US" w:eastAsia="zh-CN" w:bidi="ar-SA"/>
        </w:rPr>
        <w:t xml:space="preserve">70</w:t>
      </w:r>
      <w:r>
        <w:rPr>
          <w:rFonts w:hint="eastAsia" w:ascii="宋体" w:hAnsi="宋体" w:eastAsia="宋体" w:cs="宋体"/>
          <w:color w:val="000000"/>
          <w:sz w:val="21"/>
          <w:szCs w:val="21"/>
          <w:highlight w:val="none"/>
          <w:lang w:val="de-CH" w:eastAsia="zh-CN" w:bidi="ar-SA"/>
        </w:rPr>
        <w:t xml:space="preserve">L/min。</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w: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de-CH" w:eastAsia="zh-CN" w:bidi="ar-SA"/>
        </w:rPr>
        <w:t xml:space="preserve"> 水浴采用双层玻璃设计,避免在使用高温水浴时误触玻璃发生的烫伤。</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w: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de-CH" w:eastAsia="zh-CN" w:bidi="ar-SA"/>
        </w:rPr>
        <w:t xml:space="preserve"> 具备感应防夹手功能，下降运行过程中能够提前感应碰到障碍物，一旦遇到自动停止运行，确保使用安全。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de-CH" w:eastAsia="zh-CN" w:bidi="ar-SA"/>
        </w:rPr>
        <w:t xml:space="preserve"> 具备整体密封和自动排风管道功能，可外置于通风橱外，通过排风管道将氮吹产生的废气排放到通风橱内，节省通风橱空间，确保实验室的空气安全。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w:t>
      </w: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de-CH" w:eastAsia="zh-CN" w:bidi="ar-SA"/>
        </w:rPr>
        <w:t xml:space="preserve"> 可与同品牌全自动固相萃取仪共用样品架，实现样品前处理步骤的完美连接，大大提高前处理的效率</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de-CH" w:eastAsia="zh-CN" w:bidi="ar-SA"/>
        </w:rPr>
        <w:t xml:space="preserve"> 为防止技术指标虚假响应，中标合同签订之前需提供所投型号样机试用。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 仪器配置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 全自动</w:t>
      </w:r>
      <w:r>
        <w:rPr>
          <w:rFonts w:hint="eastAsia" w:ascii="宋体" w:hAnsi="宋体" w:eastAsia="宋体" w:cs="宋体"/>
          <w:color w:val="000000"/>
          <w:sz w:val="21"/>
          <w:szCs w:val="21"/>
          <w:highlight w:val="none"/>
          <w:lang w:val="en-US" w:eastAsia="zh-CN" w:bidi="ar-SA"/>
        </w:rPr>
        <w:t xml:space="preserve">氮吹</w:t>
      </w:r>
      <w:r>
        <w:rPr>
          <w:rFonts w:hint="eastAsia" w:ascii="宋体" w:hAnsi="宋体" w:eastAsia="宋体" w:cs="宋体"/>
          <w:color w:val="000000"/>
          <w:sz w:val="21"/>
          <w:szCs w:val="21"/>
          <w:highlight w:val="none"/>
          <w:lang w:val="de-CH" w:eastAsia="zh-CN" w:bidi="ar-SA"/>
        </w:rPr>
        <w:t xml:space="preserve">浓缩仪主机 1台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 三面观察水浴双层加热模组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 6位氮吹模组 8套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 48位20ml试管架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3.5 20ml试管100个/包 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3.6 48位80ml试管架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3.7 80ml试管100个/包 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3.8 近干模组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3.9 控制软件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3.10 氮气发生器 1套</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8、全自动液体样品处理工作站</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1.基本要求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 功能要求：主要用于实验中各种液体样品的处理，满足各种液态样品的稀释、转移、定容，具备分液功能，同时满足标准溶液的配制，标准曲线的制备、标液的的定量添加等制备需求，支持多级稀释的配制需求。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2.技术参数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基本参数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 硬件要求：具备3注射泵系统搭配3组三通阀，通过八通阀切换溶剂，通过三维机械臂及Z轴取样针在样品盘移取样品和稀释。</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2.1.2可兼容储备瓶规格： 2mL色谱瓶，20mL、30mL、40mL标液储备瓶，15mL、50mL、100mL离心管，10mL、25mL容量瓶，其他管型可定制。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2.1.3主机搭载高精度三注射泵系统：100μL、1000μL、10mL三组注射泵，均可独立驱动，确保仪器的移液范围。</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2.1.4最大可放置瓶位： 288位色谱瓶。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2.1.5外置稀释液：旋转8通阀进行切换，从500ml外置溶剂瓶直接吸取溶剂。（采用移动机械臂吸取溶剂的方式不视为有效溶剂通道）</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2.1.6取样终端材质可更换：不锈钢针，Peek针，穿刺针。</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2.1.7 单步液体移取体积： 5μL-1000μL。（同时要求泵量程不低于5%的泵总量程）</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2.1.8 独立清洗槽位：</w:t>
      </w:r>
      <w:bookmarkStart w:id="73" w:name="OLE_LINK3"/>
      <w:r>
        <w:rPr>
          <w:rFonts w:hint="eastAsia" w:ascii="宋体" w:hAnsi="宋体" w:eastAsia="宋体" w:cs="宋体"/>
          <w:color w:val="000000"/>
          <w:sz w:val="21"/>
          <w:szCs w:val="21"/>
          <w:highlight w:val="none"/>
          <w:lang w:val="de-CH" w:eastAsia="zh-CN" w:bidi="ar-SA"/>
        </w:rPr>
        <w:t xml:space="preserve">≥4个</w:t>
      </w:r>
      <w:bookmarkEnd w:id="73"/>
      <w:r>
        <w:rPr>
          <w:rFonts w:hint="eastAsia" w:ascii="宋体" w:hAnsi="宋体" w:eastAsia="宋体" w:cs="宋体"/>
          <w:color w:val="000000"/>
          <w:sz w:val="21"/>
          <w:szCs w:val="21"/>
          <w:highlight w:val="none"/>
          <w:lang w:val="de-CH" w:eastAsia="zh-CN" w:bidi="ar-SA"/>
        </w:rPr>
        <w:t xml:space="preserve">，具有样品针溢流清洗功能。（提供主机上安装4个独立清洗槽位的图片证明）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2.1.9外置独立夹管阀：≥4个。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2.1.10旋转三通切换阀：≥3个。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2.1.10半导体制冷控温位数：</w:t>
      </w:r>
      <w:bookmarkStart w:id="74" w:name="OLE_LINK4"/>
      <w:r>
        <w:rPr>
          <w:rFonts w:hint="eastAsia" w:ascii="宋体" w:hAnsi="宋体" w:eastAsia="宋体" w:cs="宋体"/>
          <w:color w:val="000000"/>
          <w:sz w:val="21"/>
          <w:szCs w:val="21"/>
          <w:highlight w:val="none"/>
          <w:lang w:val="de-CH" w:eastAsia="zh-CN" w:bidi="ar-SA"/>
        </w:rPr>
        <w:t xml:space="preserve">≥</w:t>
      </w:r>
      <w:bookmarkEnd w:id="74"/>
      <w:r>
        <w:rPr>
          <w:rFonts w:hint="eastAsia" w:ascii="宋体" w:hAnsi="宋体" w:eastAsia="宋体" w:cs="宋体"/>
          <w:color w:val="000000"/>
          <w:sz w:val="21"/>
          <w:szCs w:val="21"/>
          <w:highlight w:val="none"/>
          <w:lang w:val="de-CH" w:eastAsia="zh-CN" w:bidi="ar-SA"/>
        </w:rPr>
        <w:t xml:space="preserve">210个（最低可至室温下10℃）。</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2.1.11自动涡旋混匀位数：≥72位2ml色谱瓶。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2.1.12自动涡旋转速：0-300rpm，连续可调。</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2.1.13 采用独立双Z轴进行瓶盖位置定位，定位支持瓶底和瓶顶≥2个高度参数。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2.1.14 取样终端具备自动穿刺脱瓶功能。</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2.1.15 可视性：仪器具备四面密封，关门后，正面侧面三面全透明，方便观察运行情况和维护。</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2.1.16 整机避光：具备遮光面板，内置状态灯光指示系统。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2.2控制模块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2.2.1图形化操作软件，操作简易，支持方法设置导向功能。可自动生成多级中间液，根据配置精准度要求，自动选择合适中间液进行快速配置。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2.2.2控制软件功能需至少包含以下几个主要功能：</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2.2.2.1 固标稀释模式，自动计算稀释液体积并自动混匀。</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2.2.2.3 标曲稀释功能，支持≥10个点的标曲稀释，根据稀释浓度，可自动生成≥5点中间液，并且可设置内标。</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2.2.2.3 混标配置功能，支持多个点的单标混合的混标稀释，支持多个混标点位，可自动生成≥30点中间液，中间液支持≥10种不同单标，支持配置混标后自动混匀并自动稀释标曲。</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2.2.3报警功能：软件与灯光指示双重报警。</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2.2.4可内置配制方案，提供至少20种方法数据包，包括食品、水质、土壤等领域。</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2.2.5软件可支持Windows 7/8/10系统，支持笔记本电脑、台式电脑、平板电脑</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2.3数据安全模块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2.3.1 报告导出功能：数据可导出留存，方法具备追溯性。</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2.3.2 日志查询功能：配制过程实时记录，配制过程具备追溯性。</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2.3.3 配制过程实时监控功能：配制步骤实时显示，消耗体积实时显示，具备明确的原始记录。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 主机(包括1. XYZ三轴控制系统   2. 三泵控制系统(100μL、1000μL、10mL)  及3组旋转三通阀 3.旋转8通阀溶剂选择系统  4.四位清洗系统 5.溢流清洗系统 6.控制软件 )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3.2 210位2ml色谱瓶半导体控温模块1套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 72位2ml色谱瓶震荡混匀模块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3.4双Z轴不锈钢穿刺针模块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3.5 40mL×21位样品架  1个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eastAsia="zh-CN" w:bidi="ar-SA"/>
        </w:rPr>
        <w:t xml:space="preserve">3.6 计量院校验服务 1次</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9、全自动均质器</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de-CH" w:eastAsia="zh-CN" w:bidi="ar-SA"/>
        </w:rPr>
        <w:t xml:space="preserve">、仪器用途：广泛用于动物组织、生物样品、食品、药品、化妆品，如：肉、鱼、蔬菜、饼干、水果、烟草等的均质处理，特别适用于农兽残检测样品的提取，速度快、节约人力等。</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en-US" w:eastAsia="zh-CN" w:bidi="ar-SA"/>
        </w:rPr>
        <w:t xml:space="preserve">技术性能</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2.1最大样品批次处理量：36个。</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2.1样品管体积：10ml～200mL，可以满足客户各种均质需求。</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2.3电子控制转速，均质速度：3000-25000rpm/min，可在方法设置界面选择。</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 彩色触摸屏操作，图形化界面，操作简单，可编辑并储存几十条均质程序，包括加液通道、加液体积、均质速度、时间、清洗模式等。</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2.5自动注射泵加液功能，注射泵规格：≥25mL，三种溶剂可选。</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2.6仪器主要部件系统均质器为进口均质器，均质速度可以通过控制软件电子控制，而不是在均质器电机上去调节。</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2.7具备样品盘架自动识别功能，能够自动识别所安装的样品架类型，无需手工选择样品盘类型。</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2.8刀头残留液接收盘，接收盘在运行过程切换样品时电动推出，以防刀头在移动时刀头上有残留液滴到其他样品管，引起交叉污染。</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2.9配置样品液位自动监控系统，减少样品在均质过程中由于刀头高速旋转产生的样品溢出。</w:t>
      </w:r>
      <w:r>
        <w:rPr>
          <w:rFonts w:hint="eastAsia" w:ascii="宋体" w:hAnsi="宋体" w:eastAsia="宋体" w:cs="宋体"/>
          <w:color w:val="000000"/>
          <w:sz w:val="21"/>
          <w:szCs w:val="21"/>
          <w:highlight w:val="none"/>
          <w:lang w:val="en-US"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2.10可选管架规格：200mL*12孔、175mL*12孔、120mL*16孔、100mL*16孔、50mL*24孔、15mL*36孔、10mL*36孔</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2.11管架材质可选：铝合金、塑料</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2.12可选带冰浴样品架，使得样品可以在低温条件进行操作。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2.13机械刀头可选：10×108mm、19×204mm</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2.14专均质器刀头清洗装置，动态喷淋清洗以保证清洗效果。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12.15独立的刀头清洗槽，包括三种清洗方式，有机溶剂、水和超声波清洗；客户可以根据需要选择是用哪种清洗方式进行清洗及设定清洗时间等，有机和水分开排放及上液，水清洗及超声波清洗进水有两种选择，方便客户在超声波清洗时可以用纯水或者超纯水进行清洗以减少由于自来水引进的污染。</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2.16有机溶剂清洗，可实现清洗液重复使用，使用次数可以根据需要进行设定。</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2.17具备无盘保护功能，未安装样品架时，主界面明确提示并防止仪器空转运行。</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2.18均质过程中刀头上下移动以增强均质效果，刀头上下移动距离仪器会根据样品量和样品管规格自动进行调整。</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2.19增加叠机功能，可叠加的步骤，将会自动叠加运行。</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2.20具备清洗液回收功能，可合并刀头清洗液和萃取液，提高回收率。</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2.21仪器安全性：仪器有自动保护功能，如实际转速与设定转速相差太大时（过慢或者过快时）仪器会自动停机，并报警; 样品过载或马达过热致温度上升时，仪器会自动调整并报警，以提高实验的安全性。</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2.22运行过程中，显示面板可以显示均质速度、运行时间、工作位置等实时信息，并且可以随时暂停或者停止现有工作。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2.23所有的动作都是在一个密闭的系统里面，通过管连接仪器后部的排气扇可以把挥发的有机溶剂排到室外减少对实验室人员的身体毒害，并且可以节约实验室有限的通风橱空间。</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2.24全透明塑料前门，内置LED灯，使得客户可以一览无余的看到均质全过程。3、</w:t>
      </w:r>
      <w:r>
        <w:rPr>
          <w:rFonts w:hint="eastAsia" w:ascii="宋体" w:hAnsi="宋体" w:eastAsia="宋体" w:cs="宋体"/>
          <w:color w:val="000000"/>
          <w:sz w:val="21"/>
          <w:szCs w:val="21"/>
          <w:highlight w:val="none"/>
          <w:lang w:val="de-CH" w:eastAsia="zh-CN" w:bidi="ar-SA"/>
        </w:rPr>
        <w:t xml:space="preserve">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3.1</w:t>
      </w:r>
      <w:r>
        <w:rPr>
          <w:rFonts w:hint="eastAsia" w:ascii="宋体" w:hAnsi="宋体" w:eastAsia="宋体" w:cs="宋体"/>
          <w:color w:val="000000"/>
          <w:sz w:val="21"/>
          <w:szCs w:val="21"/>
          <w:highlight w:val="none"/>
          <w:lang w:val="de-CH" w:eastAsia="zh-CN" w:bidi="ar-SA"/>
        </w:rPr>
        <w:t xml:space="preserve">主机 （含控制操作系统、均质器电机等）1台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3.2</w:t>
      </w:r>
      <w:r>
        <w:rPr>
          <w:rFonts w:hint="eastAsia" w:ascii="宋体" w:hAnsi="宋体" w:eastAsia="宋体" w:cs="宋体"/>
          <w:color w:val="000000"/>
          <w:sz w:val="21"/>
          <w:szCs w:val="21"/>
          <w:highlight w:val="none"/>
          <w:lang w:val="de-CH" w:eastAsia="zh-CN" w:bidi="ar-SA"/>
        </w:rPr>
        <w:t xml:space="preserve">加液系统(已装仪器上）1套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3.3</w:t>
      </w:r>
      <w:r>
        <w:rPr>
          <w:rFonts w:hint="eastAsia" w:ascii="宋体" w:hAnsi="宋体" w:eastAsia="宋体" w:cs="宋体"/>
          <w:color w:val="000000"/>
          <w:sz w:val="21"/>
          <w:szCs w:val="21"/>
          <w:highlight w:val="none"/>
          <w:lang w:val="de-CH" w:eastAsia="zh-CN" w:bidi="ar-SA"/>
        </w:rPr>
        <w:t xml:space="preserve">通用型19mm平底机械刀头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3.4</w:t>
      </w:r>
      <w:r>
        <w:rPr>
          <w:rFonts w:hint="eastAsia" w:ascii="宋体" w:hAnsi="宋体" w:eastAsia="宋体" w:cs="宋体"/>
          <w:color w:val="000000"/>
          <w:sz w:val="21"/>
          <w:szCs w:val="21"/>
          <w:highlight w:val="none"/>
          <w:lang w:val="de-CH" w:eastAsia="zh-CN" w:bidi="ar-SA"/>
        </w:rPr>
        <w:t xml:space="preserve">维护工具包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val="de-CH" w:eastAsia="zh-CN" w:bidi="ar-SA"/>
        </w:rPr>
        <w:t xml:space="preserve">刀头轴承1个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3.6 </w:t>
      </w:r>
      <w:r>
        <w:rPr>
          <w:rFonts w:hint="eastAsia" w:ascii="宋体" w:hAnsi="宋体" w:eastAsia="宋体" w:cs="宋体"/>
          <w:color w:val="000000"/>
          <w:sz w:val="21"/>
          <w:szCs w:val="21"/>
          <w:highlight w:val="none"/>
          <w:lang w:val="de-CH" w:eastAsia="zh-CN" w:bidi="ar-SA"/>
        </w:rPr>
        <w:t xml:space="preserve">16位100ml样品管架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3.7 </w:t>
      </w:r>
      <w:r>
        <w:rPr>
          <w:rFonts w:hint="eastAsia" w:ascii="宋体" w:hAnsi="宋体" w:eastAsia="宋体" w:cs="宋体"/>
          <w:color w:val="000000"/>
          <w:sz w:val="21"/>
          <w:szCs w:val="21"/>
          <w:highlight w:val="none"/>
          <w:lang w:val="de-CH" w:eastAsia="zh-CN" w:bidi="ar-SA"/>
        </w:rPr>
        <w:t xml:space="preserve">100mL离心管一包（40支/包）1包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3.8 </w:t>
      </w:r>
      <w:r>
        <w:rPr>
          <w:rFonts w:hint="eastAsia" w:ascii="宋体" w:hAnsi="宋体" w:eastAsia="宋体" w:cs="宋体"/>
          <w:color w:val="000000"/>
          <w:sz w:val="21"/>
          <w:szCs w:val="21"/>
          <w:highlight w:val="none"/>
          <w:lang w:val="de-CH" w:eastAsia="zh-CN" w:bidi="ar-SA"/>
        </w:rPr>
        <w:t xml:space="preserve">电源线 1根</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3.9 </w:t>
      </w:r>
      <w:r>
        <w:rPr>
          <w:rFonts w:hint="eastAsia" w:ascii="宋体" w:hAnsi="宋体" w:eastAsia="宋体" w:cs="宋体"/>
          <w:color w:val="000000"/>
          <w:sz w:val="21"/>
          <w:szCs w:val="21"/>
          <w:highlight w:val="none"/>
          <w:lang w:val="de-CH" w:eastAsia="zh-CN" w:bidi="ar-SA"/>
        </w:rPr>
        <w:t xml:space="preserve">操作说明书 1份</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en-US" w:eastAsia="zh-CN"/>
        </w:rPr>
        <w:t xml:space="preserve">平行浓缩仪</w:t>
      </w:r>
      <w:r>
        <w:rPr>
          <w:rFonts w:hint="eastAsia" w:ascii="宋体" w:hAnsi="宋体" w:eastAsia="宋体" w:cs="宋体"/>
          <w:b/>
          <w:bCs/>
          <w:color w:val="000000"/>
          <w:sz w:val="21"/>
          <w:szCs w:val="21"/>
          <w:highlight w:val="none"/>
          <w:lang w:val="en-US" w:eastAsia="zh-CN"/>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1、仪器用途：可用食品、环境土壤、环境水、司法检材等各种样品残留测定的前处理，实现多样品在真空负压的状态下进行快速且平行的溶剂浓缩，挥发的有机试剂可进行回收。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2、技术参数：</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2.1</w:t>
      </w:r>
      <w:r>
        <w:rPr>
          <w:rFonts w:hint="eastAsia"/>
          <w:color w:val="000000"/>
          <w:highlight w:val="none"/>
        </w:rPr>
        <w:t xml:space="preserve">主机模块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1.1样品在真空负压、加热和振荡的多重作用下，进行样品浓缩，无需外接气源。</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1.2批处理能力：同时20个250ml带定容尾管的法兰杯进行浓缩，尾管具备0.5ml和1.0ml刻度。</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1.3 浓缩杯兼容：可兼容20个尾管底法兰杯、20个圆底法兰杯进行样品浓缩。</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1.4尾管冷却水保护功能：可对20个250ml带定容尾管的法兰杯，提供尾管冷却水低温保护功能，尾管冷却与冷凝回收塔共用一个循环冷却水机，冷却水温度可由真空平行浓缩仪主机进行设定。</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1.5加热模块：水浴加热，温度可设定（室温~80℃），加热模块不与样品管接触，水浴进行温度传递，腔体温度均一。</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1.6 仪器具备自动给排水功能：具备自动加水泵和高低液位传感器，软件界面一键操作，在加水泵的作用下进行自动加水操作；也可在排水泵的作用下进行快速排水操作，自动确定加水排水终点。</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1.7水浴模组为水平振荡状态，可以进行水平振荡，水平振荡转速范围：0-300 rpm。</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1.8 水平振荡梯度：≥10段时间梯度（提供真机软件的实现10段以上振荡速度梯度设置的照片）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1.9 水平振荡偏心率可调范围：0~5mm</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1.10每个浓缩杯位置均含有独立的真空管路密封，真空管路可拆卸清洗，所有管路汇集到一条主管路内，样品不经过其他样品位置，避免样品爆沸引起的串液问题。</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1.11标配可加热防腐蚀盖板，防止样品冷凝溶剂冷凝回流，加热电压24V，独立控温，盖板与水浴可设置不同温度，温控范围：室温-70℃。（提供盖板加热结构的图片说明以及软件界面上盖板温度设置界面的实拍图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1.12 盖板与浓缩杯接触材质：耐腐蚀PFA涂层，减少样品交叉污染。</w:t>
      </w:r>
      <w:r>
        <w:rPr>
          <w:rFonts w:hint="eastAsia"/>
          <w:color w:val="000000"/>
          <w:highlight w:val="none"/>
        </w:rPr>
      </w:r>
      <w:r/>
    </w:p>
    <w:p>
      <w:pPr>
        <w:pStyle w:val="1014"/>
        <w:ind w:firstLine="420"/>
        <w:pageBreakBefore w:val="0"/>
        <w:spacing w:line="360" w:lineRule="auto"/>
        <w:rPr>
          <w:rFonts w:hint="eastAsia"/>
          <w:color w:val="000000"/>
          <w:highlight w:val="none"/>
        </w:rPr>
      </w:pPr>
      <w:r/>
      <w:bookmarkStart w:id="75" w:name="_Hlk180761293"/>
      <w:r>
        <w:rPr>
          <w:rFonts w:hint="eastAsia"/>
          <w:color w:val="000000"/>
          <w:highlight w:val="none"/>
          <w:lang w:val="en-US" w:eastAsia="zh-CN"/>
        </w:rPr>
        <w:t xml:space="preserve">2.</w:t>
      </w:r>
      <w:r>
        <w:rPr>
          <w:rFonts w:hint="eastAsia"/>
          <w:color w:val="000000"/>
          <w:highlight w:val="none"/>
        </w:rPr>
        <w:t xml:space="preserve">1.13 盖板采用上翻盖开关：具备阻尼结构可实现悬停，具备圆柱形助力扶手。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1.14 盖板磁吸密封：≥2个磁吸块，可对20位样品瓶进行高效自动真空密封。（提供磁吸结构实机图片证明加以说明） </w:t>
      </w:r>
      <w:r>
        <w:rPr>
          <w:rFonts w:hint="eastAsia"/>
          <w:color w:val="000000"/>
          <w:highlight w:val="none"/>
        </w:rPr>
      </w:r>
      <w:r/>
    </w:p>
    <w:p>
      <w:pPr>
        <w:pStyle w:val="1014"/>
        <w:ind w:firstLine="420"/>
        <w:pageBreakBefore w:val="0"/>
        <w:spacing w:line="360" w:lineRule="auto"/>
        <w:rPr>
          <w:rFonts w:hint="eastAsia"/>
          <w:color w:val="000000"/>
          <w:highlight w:val="none"/>
        </w:rPr>
      </w:pPr>
      <w:r/>
      <w:bookmarkEnd w:id="75"/>
      <w:r>
        <w:rPr>
          <w:rFonts w:hint="eastAsia"/>
          <w:color w:val="000000"/>
          <w:highlight w:val="none"/>
          <w:lang w:val="en-US" w:eastAsia="zh-CN"/>
        </w:rPr>
        <w:t xml:space="preserve">2.</w:t>
      </w:r>
      <w:r>
        <w:rPr>
          <w:rFonts w:hint="eastAsia"/>
          <w:color w:val="000000"/>
          <w:highlight w:val="none"/>
        </w:rPr>
        <w:t xml:space="preserve">1.15 浓缩腔体设计为全透明模式，可视性强，配备LED灯可实时观察浓缩状态。</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1.16浓缩杯壁低温冷凝回流功能：可针对浓缩杯杯壁上端，提供行低温保护，针对低沸点样品提供浓缩冷凝回流场景，减少待测物质的挥发。</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2</w:t>
      </w: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rPr>
        <w:t xml:space="preserve">溶剂回收部分：</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2.1 仪器具备冷凝回收功能，可对蒸发过程产生的有机蒸汽在蛇形冷凝管进行冷凝后由收集瓶进行回收。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2.2 仪器可选配双级冷凝管，采用第一级冷凝管对废蒸汽进行高效冷凝，第二级可接在真空泵后，进一步降低蒸汽排放。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2.3 具有大体积重力排废功能，将放置于台面上仪器产生的回收溶剂通过大体积排废到地面的收集瓶中。</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2.4 可选配自动连续常压排放废液模块，收集的废液体积无限制，无需手动操作，运行过程中废液直接流入废液桶，对废液桶无耐真空要求。</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2.5 仪器可选配待废液报警功能的废液桶。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3真空控制模块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3.1 真空泵速：20 L/min- 30 L/min, 极限真空度≤8 mbar。真空泵后具有缓冲瓶，可实现溶剂的回收和消音功能，控制真空泵运行噪音在60 dB以下。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3.2 真空泵膜片为聚四氟乙烯隔膜，气体管道材料：PEEK，PTFE，玻璃，抗化学腐蚀，可自动干燥残留溶剂。</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3.3 真空度控制精度：1-10 mbar，真空度设置精度1 mbar；</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3.4可选配变频泵进行控制，压力控制采用PID控制，根据压力差自动调节泵功率，调整泵速，当到达目标压力后，可将真空泵彻底关闭，达到节能减排作用。</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3.5 </w:t>
      </w:r>
      <w:bookmarkStart w:id="76" w:name="_Hlk180761325"/>
      <w:r>
        <w:rPr>
          <w:rFonts w:hint="eastAsia"/>
          <w:color w:val="000000"/>
          <w:highlight w:val="none"/>
        </w:rPr>
        <w:t xml:space="preserve">真空程序阶梯式控制：≥10段真空梯度设置，方法运行过程中自动进行真空度变换，时间范围0- 99小时59分钟。</w:t>
      </w:r>
      <w:bookmarkEnd w:id="76"/>
      <w:r>
        <w:rPr>
          <w:rFonts w:hint="eastAsia"/>
          <w:color w:val="000000"/>
          <w:highlight w:val="none"/>
        </w:rPr>
        <w:t xml:space="preserve">（提供真机软件的实现10段以上真空梯度设置照片）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软件集成控制系统</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.1 外置</w:t>
      </w:r>
      <w:r>
        <w:rPr>
          <w:rFonts w:hint="eastAsia"/>
          <w:color w:val="000000"/>
          <w:highlight w:val="none"/>
          <w:lang w:val="en-US" w:eastAsia="zh-CN"/>
        </w:rPr>
        <w:t xml:space="preserve">大尺寸</w:t>
      </w:r>
      <w:r>
        <w:rPr>
          <w:rFonts w:hint="eastAsia"/>
          <w:color w:val="000000"/>
          <w:highlight w:val="none"/>
        </w:rPr>
        <w:t xml:space="preserve">触摸屏，可对温度、震荡、真空度，冷却水机和真空泵等实时通讯调节功能（提供真空泵和冷却循环机通讯接口和软件实时控制真空泵截图）。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2.4</w:t>
      </w:r>
      <w:r>
        <w:rPr>
          <w:rFonts w:hint="eastAsia"/>
          <w:color w:val="000000"/>
          <w:highlight w:val="none"/>
        </w:rPr>
        <w:t xml:space="preserve">.2 主机集成自控，主机中集成多种模块温度、震荡、真空度、冷却循环水机和真空泵的参数梯度曲线，可实时显示当前模块的参数情况。（提供仪器主机软件上各个模块运行梯度曲线的界面图）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.3 安全模块：内置放气阀和压力传感器，断电时可以自动放气，防止系统过压；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.4 低液位自动报警功能，水浴样品液位较低时，提示灯红色醒目提醒，并在主界面提升液位不足报警。（提供主机低液位报警触发后提醒的并提示的实拍图片并说明）</w:t>
      </w:r>
      <w:r>
        <w:rPr>
          <w:rFonts w:hint="eastAsia"/>
          <w:color w:val="000000"/>
          <w:highlight w:val="none"/>
        </w:rPr>
      </w:r>
      <w:r/>
    </w:p>
    <w:p>
      <w:pPr>
        <w:pStyle w:val="1014"/>
        <w:ind w:firstLine="420"/>
        <w:pageBreakBefore w:val="0"/>
        <w:spacing w:line="360" w:lineRule="auto"/>
        <w:rPr>
          <w:rFonts w:hint="eastAsia"/>
          <w:color w:val="000000"/>
          <w:highlight w:val="none"/>
        </w:rPr>
      </w:pPr>
      <w:r/>
      <w:bookmarkStart w:id="77" w:name="_Hlk53568218"/>
      <w:r>
        <w:rPr>
          <w:rFonts w:hint="eastAsia"/>
          <w:color w:val="000000"/>
          <w:highlight w:val="none"/>
          <w:lang w:val="en-US" w:eastAsia="zh-CN"/>
        </w:rPr>
        <w:t xml:space="preserve">2.4</w:t>
      </w:r>
      <w:r>
        <w:rPr>
          <w:rFonts w:hint="eastAsia"/>
          <w:color w:val="000000"/>
          <w:highlight w:val="none"/>
        </w:rPr>
        <w:t xml:space="preserve">.5 主面板内置浓缩数据库，出厂标配≥35种溶剂的挥发设定程序，客户可根据自身实验条件进行数据存储和调用；</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.6 智能浓缩数据库查询：所有的溶剂的温度和真空可互相查询，可任意设定浓缩温度（精确到1℃），数据库自动给出对应的真空真空度建议；也可设定真空度，数据库自动给出固定真空度下对应的溶剂温度建议。（提供主机控制面板上对溶剂不同温度进行查询的实拍图片并说明）</w:t>
      </w:r>
      <w:r>
        <w:rPr>
          <w:rFonts w:hint="eastAsia"/>
          <w:color w:val="000000"/>
          <w:highlight w:val="none"/>
        </w:rPr>
      </w:r>
      <w:r/>
    </w:p>
    <w:p>
      <w:pPr>
        <w:pStyle w:val="1014"/>
        <w:ind w:firstLine="420"/>
        <w:pageBreakBefore w:val="0"/>
        <w:spacing w:line="360" w:lineRule="auto"/>
        <w:rPr>
          <w:rFonts w:hint="eastAsia" w:eastAsia="宋体"/>
          <w:color w:val="000000"/>
          <w:highlight w:val="none"/>
          <w:lang w:eastAsia="zh-CN"/>
        </w:rPr>
      </w:pPr>
      <w:r>
        <w:rPr>
          <w:rFonts w:hint="eastAsia"/>
          <w:color w:val="000000"/>
          <w:highlight w:val="none"/>
          <w:lang w:val="en-US" w:eastAsia="zh-CN"/>
        </w:rPr>
        <w:t xml:space="preserve">2.4</w:t>
      </w:r>
      <w:r>
        <w:rPr>
          <w:rFonts w:hint="eastAsia"/>
          <w:color w:val="000000"/>
          <w:highlight w:val="none"/>
        </w:rPr>
        <w:t xml:space="preserve">.7 软件可实现中英文自动切换</w:t>
      </w:r>
      <w:r>
        <w:rPr>
          <w:rFonts w:hint="eastAsia"/>
          <w:color w:val="000000"/>
          <w:highlight w:val="none"/>
          <w:lang w:eastAsia="zh-CN"/>
        </w:rPr>
        <w:t xml:space="preserve">。</w:t>
      </w:r>
      <w:r>
        <w:rPr>
          <w:rFonts w:hint="eastAsia" w:eastAsia="宋体"/>
          <w:color w:val="000000"/>
          <w:highlight w:val="none"/>
          <w:lang w:eastAsia="zh-CN"/>
        </w:rPr>
      </w:r>
      <w:r/>
    </w:p>
    <w:p>
      <w:pPr>
        <w:pStyle w:val="1014"/>
        <w:ind w:firstLine="420"/>
        <w:pageBreakBefore w:val="0"/>
        <w:spacing w:line="360" w:lineRule="auto"/>
        <w:rPr>
          <w:rFonts w:hint="eastAsia"/>
          <w:color w:val="000000"/>
          <w:highlight w:val="none"/>
        </w:rPr>
      </w:pPr>
      <w:r/>
      <w:bookmarkEnd w:id="77"/>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3、配置清单</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3.1 真空平行浓缩仪主机，带三面观察水浴模块，加热模块，震荡模块、集成控制系统（20位独立气路）                           1台</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3.2  蛇形冷凝回收管</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3.3  真空泵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3.4  冷却循环系统</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3.5  20位</w:t>
      </w:r>
      <w:r>
        <w:rPr>
          <w:rFonts w:hint="eastAsia"/>
          <w:color w:val="000000"/>
          <w:highlight w:val="none"/>
          <w:lang w:val="en-US" w:eastAsia="zh-CN"/>
        </w:rPr>
        <w:t xml:space="preserve">380</w:t>
      </w:r>
      <w:r>
        <w:rPr>
          <w:rFonts w:hint="eastAsia"/>
          <w:color w:val="000000"/>
          <w:highlight w:val="none"/>
        </w:rPr>
        <w:t xml:space="preserve">ml样品架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3.6  20位加热真空旋转磁吸盖板   </w:t>
      </w:r>
      <w:r>
        <w:rPr>
          <w:rFonts w:hint="eastAsia"/>
          <w:color w:val="000000"/>
          <w:highlight w:val="none"/>
          <w:lang w:val="en-US" w:eastAsia="zh-CN"/>
        </w:rPr>
        <w:t xml:space="preserve">      </w:t>
      </w:r>
      <w:r>
        <w:rPr>
          <w:rFonts w:hint="eastAsia"/>
          <w:color w:val="000000"/>
          <w:highlight w:val="none"/>
        </w:rPr>
        <w:t xml:space="preserve"> 1件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3.7  </w:t>
      </w:r>
      <w:r>
        <w:rPr>
          <w:rFonts w:hint="eastAsia"/>
          <w:color w:val="000000"/>
          <w:highlight w:val="none"/>
          <w:lang w:val="en-US" w:eastAsia="zh-CN"/>
        </w:rPr>
        <w:t xml:space="preserve">38</w:t>
      </w:r>
      <w:r>
        <w:rPr>
          <w:rFonts w:hint="eastAsia"/>
          <w:color w:val="000000"/>
          <w:highlight w:val="none"/>
        </w:rPr>
        <w:t xml:space="preserve">0ml玻璃试管 </w:t>
      </w:r>
      <w:r>
        <w:rPr>
          <w:rFonts w:hint="eastAsia"/>
          <w:color w:val="000000"/>
          <w:highlight w:val="none"/>
          <w:lang w:val="en-US" w:eastAsia="zh-CN"/>
        </w:rPr>
        <w:t xml:space="preserve">                    60</w:t>
      </w:r>
      <w:r>
        <w:rPr>
          <w:rFonts w:hint="eastAsia"/>
          <w:color w:val="000000"/>
          <w:highlight w:val="none"/>
        </w:rPr>
        <w:t xml:space="preserve">支</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3.8 </w:t>
      </w:r>
      <w:r>
        <w:rPr>
          <w:rFonts w:hint="eastAsia"/>
          <w:color w:val="000000"/>
          <w:highlight w:val="none"/>
          <w:lang w:val="en-US" w:eastAsia="zh-CN"/>
        </w:rPr>
        <w:t xml:space="preserve"> </w:t>
      </w:r>
      <w:r>
        <w:rPr>
          <w:rFonts w:hint="eastAsia"/>
          <w:color w:val="000000"/>
          <w:highlight w:val="none"/>
        </w:rPr>
        <w:t xml:space="preserve">大体积重力排废≥5L      </w:t>
      </w:r>
      <w:r>
        <w:rPr>
          <w:rFonts w:hint="eastAsia"/>
          <w:color w:val="000000"/>
          <w:highlight w:val="none"/>
          <w:lang w:val="en-US" w:eastAsia="zh-CN"/>
        </w:rPr>
        <w:t xml:space="preserve">    </w:t>
      </w: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3.9 </w:t>
      </w:r>
      <w:r>
        <w:rPr>
          <w:rFonts w:hint="eastAsia"/>
          <w:color w:val="000000"/>
          <w:highlight w:val="none"/>
          <w:lang w:val="en-US" w:eastAsia="zh-CN"/>
        </w:rPr>
        <w:t xml:space="preserve"> 样品瓶搁置架                       2套</w:t>
      </w:r>
      <w:r>
        <w:rPr>
          <w:rFonts w:hint="eastAsia" w:ascii="宋体" w:hAnsi="宋体" w:eastAsia="宋体" w:cs="宋体"/>
          <w:color w:val="000000"/>
          <w:sz w:val="21"/>
          <w:szCs w:val="21"/>
          <w:highlight w:val="none"/>
          <w:lang w:val="en-US" w:eastAsia="zh-CN" w:bidi="ar-SA"/>
        </w:rPr>
      </w:r>
      <w:r/>
    </w:p>
    <w:p>
      <w:pPr>
        <w:pStyle w:val="1014"/>
        <w:ind w:firstLine="422"/>
        <w:keepLines w:val="0"/>
        <w:keepNext w:val="0"/>
        <w:pageBreakBefore w:val="0"/>
        <w:spacing w:line="360" w:lineRule="auto"/>
        <w:widowControl w:val="off"/>
        <w:rPr>
          <w:rFonts w:ascii="Times New Roman" w:hAnsi="Times New Roman" w:eastAsia="宋体" w:cs="Times New Roman"/>
          <w:b/>
          <w:bCs/>
          <w:color w:val="000000"/>
          <w:highlight w:val="none"/>
          <w:lang w:val="en-US" w:eastAsia="zh-CN"/>
        </w:rPr>
        <w:outlineLvl w:val="2"/>
      </w:pPr>
      <w:r>
        <w:rPr>
          <w:rFonts w:hint="eastAsia" w:ascii="Times New Roman" w:hAnsi="Times New Roman" w:eastAsia="宋体" w:cs="Times New Roman"/>
          <w:b/>
          <w:bCs/>
          <w:color w:val="000000"/>
          <w:highlight w:val="none"/>
          <w:lang w:val="en-US" w:eastAsia="zh-CN"/>
        </w:rPr>
        <w:t xml:space="preserve">三、报价及供货要求</w:t>
      </w:r>
      <w:r>
        <w:rPr>
          <w:rFonts w:ascii="Times New Roman" w:hAnsi="Times New Roman" w:eastAsia="宋体" w:cs="Times New Roman"/>
          <w:b/>
          <w:bCs/>
          <w:color w:val="000000"/>
          <w:highlight w:val="none"/>
          <w:lang w:val="en-US" w:eastAsia="zh-CN"/>
        </w:rPr>
      </w:r>
      <w:r/>
    </w:p>
    <w:p>
      <w:pPr>
        <w:pStyle w:val="1014"/>
        <w:ind w:firstLine="420"/>
        <w:keepLines w:val="0"/>
        <w:keepNext w:val="0"/>
        <w:pageBreakBefore w:val="0"/>
        <w:spacing w:line="360" w:lineRule="auto"/>
        <w:widowControl w:val="off"/>
        <w:rPr>
          <w:rFonts w:hint="eastAsia" w:ascii="宋体" w:hAnsi="宋体" w:cs="宋体"/>
          <w:color w:val="000000"/>
          <w:highlight w:val="none"/>
        </w:rPr>
      </w:pPr>
      <w:r>
        <w:rPr>
          <w:rFonts w:hint="eastAsia" w:ascii="Times New Roman" w:hAnsi="Times New Roman" w:eastAsia="宋体" w:cs="Times New Roman"/>
          <w:color w:val="000000"/>
          <w:highlight w:val="none"/>
          <w:lang w:val="en-US" w:eastAsia="zh-CN"/>
        </w:rPr>
        <w:t xml:space="preserve">1、</w:t>
      </w:r>
      <w:r>
        <w:rPr>
          <w:rFonts w:hint="eastAsia" w:ascii="宋体" w:hAnsi="宋体" w:cs="宋体"/>
          <w:color w:val="000000"/>
          <w:highlight w:val="none"/>
        </w:rPr>
        <w:t xml:space="preserve">本项目为交钥匙工程，</w:t>
      </w:r>
      <w:r>
        <w:rPr>
          <w:rFonts w:hint="eastAsia" w:ascii="Times New Roman" w:hAnsi="Times New Roman" w:eastAsia="宋体" w:cs="Times New Roman"/>
          <w:color w:val="000000"/>
          <w:highlight w:val="none"/>
          <w:lang w:val="en-US" w:eastAsia="zh-CN"/>
        </w:rPr>
        <w:t xml:space="preserve">单价和总价均应包括但不限于所有设备、材料、</w:t>
      </w:r>
      <w:r>
        <w:rPr>
          <w:rFonts w:hint="eastAsia" w:ascii="宋体" w:hAnsi="宋体" w:cs="宋体"/>
          <w:color w:val="000000"/>
          <w:highlight w:val="none"/>
        </w:rPr>
        <w:t xml:space="preserve">安装、运输、调试验收相关的技术指导</w:t>
      </w:r>
      <w:r>
        <w:rPr>
          <w:rFonts w:hint="eastAsia" w:ascii="宋体" w:hAnsi="宋体" w:cs="宋体"/>
          <w:color w:val="000000"/>
          <w:highlight w:val="none"/>
          <w:lang w:val="en-US" w:eastAsia="zh-CN"/>
        </w:rPr>
        <w:t xml:space="preserve">及</w:t>
      </w:r>
      <w:r>
        <w:rPr>
          <w:rFonts w:hint="eastAsia" w:ascii="宋体" w:hAnsi="宋体" w:cs="宋体"/>
          <w:b/>
          <w:bCs/>
          <w:color w:val="000000"/>
          <w:highlight w:val="none"/>
          <w:lang w:val="en-US" w:eastAsia="zh-CN"/>
        </w:rPr>
        <w:t xml:space="preserve">与采购设备相关的耗材、标准品</w:t>
      </w:r>
      <w:r>
        <w:rPr>
          <w:rFonts w:hint="eastAsia" w:ascii="宋体" w:hAnsi="宋体" w:cs="宋体"/>
          <w:color w:val="000000"/>
          <w:highlight w:val="none"/>
        </w:rPr>
        <w:t xml:space="preserve">和售后服务、利润、保险、税金、以及所包含的风险、责任等所有费用均包含在报价内，请各投标人认真考虑其各种风险。除合同另有规定之外，伴随服务的费用均已含在合同价款中，采购人不再另行支付。 </w:t>
      </w:r>
      <w:r>
        <w:rPr>
          <w:rFonts w:hint="eastAsia" w:ascii="宋体" w:hAnsi="宋体" w:cs="宋体"/>
          <w:color w:val="000000"/>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需积极主动地配合采购人进行</w:t>
      </w:r>
      <w:r>
        <w:rPr>
          <w:rFonts w:hint="eastAsia" w:ascii="宋体" w:hAnsi="宋体"/>
          <w:color w:val="000000"/>
          <w:szCs w:val="21"/>
          <w:highlight w:val="none"/>
          <w:lang w:val="en-US" w:eastAsia="zh-CN"/>
        </w:rPr>
        <w:t xml:space="preserve">项目安装供货</w:t>
      </w:r>
      <w:r>
        <w:rPr>
          <w:rFonts w:hint="eastAsia" w:ascii="宋体" w:hAnsi="宋体"/>
          <w:color w:val="000000"/>
          <w:szCs w:val="21"/>
          <w:highlight w:val="none"/>
        </w:rPr>
        <w:t xml:space="preserve">完毕后验收，确保通过检测和验收，若出现检测不合格或验收不合格的情况，</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需要重新返工直至检测通过并且验收合格，由此导致的返工费等相关其他费用，由</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自行承担，并且采购人有权从</w:t>
      </w:r>
      <w:r>
        <w:rPr>
          <w:rFonts w:hint="eastAsia" w:ascii="宋体" w:hAnsi="宋体"/>
          <w:color w:val="000000"/>
          <w:szCs w:val="21"/>
          <w:highlight w:val="none"/>
          <w:lang w:val="en-US" w:eastAsia="zh-CN"/>
        </w:rPr>
        <w:t xml:space="preserve">合同</w:t>
      </w:r>
      <w:r>
        <w:rPr>
          <w:rFonts w:hint="eastAsia" w:ascii="宋体" w:hAnsi="宋体"/>
          <w:color w:val="000000"/>
          <w:szCs w:val="21"/>
          <w:highlight w:val="none"/>
        </w:rPr>
        <w:t xml:space="preserve">款中扣除。</w:t>
      </w:r>
      <w:r>
        <w:rPr>
          <w:rFonts w:ascii="宋体" w:hAnsi="宋体"/>
          <w:color w:val="000000"/>
          <w:szCs w:val="21"/>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应综合考虑与本项目有关的所有因素与风险，若出现缺项、漏项等情况，由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自行承担。</w:t>
      </w:r>
      <w:r>
        <w:rPr>
          <w:rFonts w:hint="eastAsia" w:ascii="宋体" w:hAnsi="宋体" w:eastAsia="宋体" w:cs="Times New Roman"/>
          <w:color w:val="000000"/>
          <w:szCs w:val="21"/>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hint="eastAsia" w:ascii="宋体" w:hAnsi="宋体" w:cs="宋体"/>
          <w:b/>
          <w:bCs/>
          <w:color w:val="000000"/>
          <w:highlight w:val="none"/>
          <w:lang w:val="en-US"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供货安装</w:t>
      </w:r>
      <w:r>
        <w:rPr>
          <w:rFonts w:hint="eastAsia" w:ascii="宋体" w:hAnsi="宋体" w:eastAsia="宋体" w:cs="Times New Roman"/>
          <w:color w:val="000000"/>
          <w:szCs w:val="21"/>
          <w:highlight w:val="none"/>
        </w:rPr>
        <w:t xml:space="preserve">过程中，</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需采取措施保护现场及周边相关财务、物品、设施等，因</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的不规范操作、误操作等原因造成相关设施的损坏、设备的停用等后果均由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承担，由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原样修复并自行承担相关费用。</w:t>
      </w:r>
      <w:r>
        <w:rPr>
          <w:rFonts w:hint="eastAsia" w:ascii="宋体" w:hAnsi="宋体" w:cs="宋体"/>
          <w:b/>
          <w:bCs/>
          <w:color w:val="000000"/>
          <w:highlight w:val="none"/>
          <w:lang w:val="en-US" w:eastAsia="zh-CN"/>
        </w:rPr>
      </w:r>
      <w:r/>
    </w:p>
    <w:p>
      <w:pPr>
        <w:pStyle w:val="1014"/>
        <w:ind w:firstLine="420"/>
        <w:pageBreakBefore w:val="0"/>
        <w:spacing w:after="0" w:line="360" w:lineRule="auto"/>
        <w:rPr>
          <w:rFonts w:hint="eastAsia" w:ascii="宋体" w:hAnsi="宋体" w:eastAsia="宋体" w:cs="宋体"/>
          <w:color w:val="000000"/>
          <w:highlight w:val="none"/>
          <w:lang w:eastAsia="zh-CN"/>
        </w:rPr>
      </w:pPr>
      <w:r>
        <w:rPr>
          <w:rFonts w:hint="eastAsia" w:ascii="宋体" w:hAnsi="宋体" w:eastAsia="宋体" w:cs="Times New Roman"/>
          <w:b w:val="0"/>
          <w:bCs w:val="0"/>
          <w:color w:val="000000"/>
          <w:szCs w:val="21"/>
          <w:highlight w:val="none"/>
          <w:lang w:val="en-US" w:eastAsia="zh-CN"/>
        </w:rPr>
        <w:t xml:space="preserve">四</w:t>
      </w:r>
      <w:r>
        <w:rPr>
          <w:rFonts w:hint="eastAsia" w:ascii="宋体" w:hAnsi="宋体" w:eastAsia="宋体" w:cs="Times New Roman"/>
          <w:b/>
          <w:bCs/>
          <w:color w:val="000000"/>
          <w:szCs w:val="21"/>
          <w:highlight w:val="none"/>
          <w:lang w:val="en-US" w:eastAsia="zh-CN"/>
        </w:rPr>
        <w:t xml:space="preserve">、</w:t>
      </w:r>
      <w:r>
        <w:rPr>
          <w:rFonts w:hint="eastAsia" w:ascii="宋体" w:hAnsi="宋体" w:eastAsia="宋体" w:cs="宋体"/>
          <w:color w:val="000000"/>
          <w:highlight w:val="none"/>
          <w:lang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color w:val="000000"/>
          <w:highlight w:val="none"/>
          <w:lang w:eastAsia="zh-CN"/>
        </w:rPr>
        <w:t xml:space="preserve">，如属政府强制采购产品未提供认证证书的或认证证书提供不全的将视为未实质性响应采购要求。</w:t>
      </w:r>
      <w:r>
        <w:rPr>
          <w:rFonts w:hint="eastAsia" w:ascii="宋体" w:hAnsi="宋体" w:eastAsia="宋体" w:cs="宋体"/>
          <w:color w:val="000000"/>
          <w:highlight w:val="none"/>
          <w:lang w:eastAsia="zh-CN"/>
        </w:rPr>
        <w:t xml:space="preserve">其他条件相同情况下，应当优先采购节能产品、环境标志产品。</w:t>
      </w:r>
      <w:r>
        <w:rPr>
          <w:rFonts w:hint="eastAsia" w:ascii="宋体" w:hAnsi="宋体" w:eastAsia="宋体" w:cs="宋体"/>
          <w:color w:val="000000"/>
          <w:highlight w:val="none"/>
          <w:lang w:eastAsia="zh-CN"/>
        </w:rPr>
      </w:r>
      <w:r/>
    </w:p>
    <w:p>
      <w:pPr>
        <w:pStyle w:val="1014"/>
        <w:ind w:firstLine="420"/>
        <w:pageBreakBefore w:val="0"/>
        <w:spacing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highlight w:val="none"/>
          <w:lang w:eastAsia="zh-CN"/>
        </w:rPr>
      </w:r>
      <w:r/>
    </w:p>
    <w:p>
      <w:pPr>
        <w:pStyle w:val="1014"/>
        <w:keepLines w:val="0"/>
        <w:keepNext w:val="0"/>
        <w:pageBreakBefore w:val="0"/>
        <w:spacing w:line="360" w:lineRule="auto"/>
        <w:widowControl w:val="off"/>
        <w:rPr>
          <w:rFonts w:hint="eastAsia"/>
          <w:color w:val="000000"/>
          <w:highlight w:val="none"/>
        </w:rPr>
      </w:pPr>
      <w:r>
        <w:rPr>
          <w:rFonts w:hint="eastAsia"/>
          <w:color w:val="000000"/>
          <w:highlight w:val="none"/>
        </w:rPr>
      </w:r>
      <w:r/>
    </w:p>
    <w:p>
      <w:pPr>
        <w:pStyle w:val="1014"/>
        <w:jc w:val="center"/>
        <w:keepLines w:val="0"/>
        <w:keepNext w:val="0"/>
        <w:pageBreakBefore w:val="0"/>
        <w:spacing w:line="336" w:lineRule="auto"/>
        <w:widowControl w:val="off"/>
        <w:rPr>
          <w:rFonts w:hint="eastAsia" w:ascii="宋体" w:hAnsi="宋体"/>
          <w:b/>
          <w:bCs/>
          <w:color w:val="000000"/>
          <w:sz w:val="32"/>
          <w:szCs w:val="32"/>
          <w:highlight w:val="none"/>
        </w:rPr>
        <w:outlineLvl w:val="0"/>
      </w:pPr>
      <w:r/>
      <w:bookmarkEnd w:id="66"/>
      <w:r/>
      <w:bookmarkStart w:id="78" w:name="_Toc497145844"/>
      <w:r>
        <w:rPr>
          <w:rFonts w:hint="eastAsia" w:ascii="宋体" w:hAnsi="宋体"/>
          <w:b/>
          <w:bCs/>
          <w:color w:val="000000"/>
          <w:sz w:val="21"/>
          <w:szCs w:val="21"/>
          <w:highlight w:val="none"/>
        </w:rPr>
        <w:br w:type="page" w:clear="all"/>
      </w:r>
      <w:r>
        <w:rPr>
          <w:rFonts w:hint="eastAsia" w:ascii="宋体" w:hAnsi="宋体"/>
          <w:b/>
          <w:bCs/>
          <w:color w:val="000000"/>
          <w:sz w:val="36"/>
          <w:szCs w:val="36"/>
          <w:highlight w:val="none"/>
        </w:rPr>
        <w:t xml:space="preserve">第五章 评标方法及评标标准</w:t>
      </w:r>
      <w:r>
        <w:rPr>
          <w:rFonts w:hint="eastAsia" w:ascii="宋体" w:hAnsi="宋体"/>
          <w:b/>
          <w:bCs/>
          <w:color w:val="000000"/>
          <w:sz w:val="32"/>
          <w:szCs w:val="32"/>
          <w:highlight w:val="none"/>
        </w:rPr>
      </w:r>
      <w:r/>
    </w:p>
    <w:p>
      <w:pPr>
        <w:pStyle w:val="1103"/>
        <w:ind w:firstLine="422"/>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110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1014"/>
        <w:numPr>
          <w:ilvl w:val="0"/>
          <w:numId w:val="0"/>
        </w:numP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t xml:space="preserve">二、</w:t>
      </w:r>
      <w:r>
        <w:rPr>
          <w:rFonts w:hint="eastAsia" w:ascii="宋体" w:hAnsi="宋体"/>
          <w:b/>
          <w:color w:val="000000"/>
          <w:szCs w:val="21"/>
          <w:highlight w:val="none"/>
        </w:rPr>
        <w:t xml:space="preserve">政府采购政策功能落实</w:t>
      </w:r>
      <w:r>
        <w:rPr>
          <w:rFonts w:hint="eastAsia" w:ascii="宋体" w:hAnsi="宋体"/>
          <w:b/>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1、小微型企业价格扣除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（1）本项目对小型和微型企业产品给予20%的扣除价格，用扣除后的价格参与评审。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（2）投标人需按照采购文件的要求提供相应的《企业声明函》。</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2、残疾人福利单位价格扣除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（1）本项目对残疾人福利性单位视同小型、微型企业，给予20%的价格扣除，用扣除后的价格参与评审。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（3）残疾人福利单位标准请参照《关于促进残疾人就业政府采购政策的通知》（财库〔2017〕141号）。</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3、监狱和戒毒企业价格扣除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（1）本项目对监狱和戒毒企业（简称监狱企业）视同小型、微型企业，给予20%的价格扣除，用扣除后的价格参与评审。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4、残疾人福利单位、监狱企业属于小型、微型企业的，不重复享受政策。</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olor w:val="000000"/>
          <w:szCs w:val="21"/>
          <w:highlight w:val="none"/>
        </w:rPr>
      </w:r>
      <w:r/>
    </w:p>
    <w:p>
      <w:pPr>
        <w:pStyle w:val="1014"/>
        <w:ind w:firstLine="420"/>
        <w:spacing w:line="360" w:lineRule="auto"/>
        <w:rPr>
          <w:rFonts w:hint="eastAsia"/>
          <w:color w:val="000000"/>
          <w:highlight w:val="none"/>
        </w:rPr>
      </w:pPr>
      <w:r>
        <w:rPr>
          <w:rFonts w:hint="eastAsia" w:ascii="宋体" w:hAnsi="宋体"/>
          <w:color w:val="000000"/>
          <w:szCs w:val="21"/>
          <w:highlight w:val="none"/>
        </w:rPr>
        <w:t xml:space="preserve">6、联合体各方均为小型、微型企业（残疾人福利单位、监狱企业）的，联合体享受20%价格扣除，用扣除后的价格参与评审。</w:t>
      </w:r>
      <w:r>
        <w:rPr>
          <w:rFonts w:hint="eastAsia"/>
          <w:color w:val="000000"/>
          <w:highlight w:val="none"/>
        </w:rPr>
      </w:r>
      <w:r/>
    </w:p>
    <w:p>
      <w:pPr>
        <w:pStyle w:val="1014"/>
        <w:numPr>
          <w:ilvl w:val="0"/>
          <w:numId w:val="0"/>
        </w:numPr>
        <w:ind w:left="0" w:firstLine="422"/>
        <w:rPr>
          <w:rFonts w:hint="eastAsia" w:ascii="宋体" w:hAnsi="宋体"/>
          <w:b/>
          <w:color w:val="000000"/>
          <w:szCs w:val="21"/>
          <w:highlight w:val="none"/>
        </w:rPr>
        <w:outlineLvl w:val="1"/>
      </w:pPr>
      <w:r>
        <w:rPr>
          <w:rFonts w:hint="eastAsia" w:ascii="宋体" w:hAnsi="宋体"/>
          <w:b/>
          <w:color w:val="000000"/>
          <w:sz w:val="21"/>
          <w:szCs w:val="21"/>
          <w:highlight w:val="none"/>
          <w:lang w:val="en-US" w:eastAsia="zh-CN" w:bidi="ar-SA"/>
        </w:rPr>
        <w:t xml:space="preserve">三、</w:t>
      </w:r>
      <w:r>
        <w:rPr>
          <w:rFonts w:hint="eastAsia" w:ascii="宋体" w:hAnsi="宋体"/>
          <w:b/>
          <w:color w:val="000000"/>
          <w:szCs w:val="21"/>
          <w:highlight w:val="none"/>
        </w:rPr>
        <w:t xml:space="preserve">评分标准</w:t>
      </w:r>
      <w:r>
        <w:rPr>
          <w:rFonts w:hint="eastAsia" w:ascii="宋体" w:hAnsi="宋体"/>
          <w:b/>
          <w:color w:val="000000"/>
          <w:szCs w:val="21"/>
          <w:highlight w:val="none"/>
        </w:rPr>
      </w:r>
      <w:r/>
    </w:p>
    <w:tbl>
      <w:tblPr>
        <w:tblW w:w="92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7159"/>
      </w:tblGrid>
      <w:tr>
        <w:trPr>
          <w:trHeight w:val="23"/>
        </w:trPr>
        <w:tc>
          <w:tcPr>
            <w:tcW w:w="2048" w:type="dxa"/>
            <w:vAlign w:val="center"/>
            <w:textDirection w:val="lrTb"/>
            <w:noWrap w:val="false"/>
          </w:tcPr>
          <w:p>
            <w:pPr>
              <w:pStyle w:val="1014"/>
              <w:ind w:firstLine="0"/>
              <w:jc w:val="center"/>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项  目</w:t>
            </w:r>
            <w:r>
              <w:rPr>
                <w:rFonts w:ascii="宋体" w:hAnsi="宋体" w:cs="宋体"/>
                <w:color w:val="000000"/>
                <w:highlight w:val="none"/>
              </w:rPr>
            </w:r>
            <w:r/>
          </w:p>
        </w:tc>
        <w:tc>
          <w:tcPr>
            <w:tcW w:w="7159" w:type="dxa"/>
            <w:vAlign w:val="center"/>
            <w:textDirection w:val="lrTb"/>
            <w:noWrap w:val="false"/>
          </w:tcPr>
          <w:p>
            <w:pPr>
              <w:pStyle w:val="1014"/>
              <w:ind w:firstLine="0"/>
              <w:jc w:val="center"/>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评  分  标  准</w:t>
            </w:r>
            <w:r>
              <w:rPr>
                <w:rFonts w:ascii="宋体" w:hAnsi="宋体" w:cs="宋体"/>
                <w:color w:val="000000"/>
                <w:highlight w:val="none"/>
              </w:rPr>
            </w:r>
            <w:r/>
          </w:p>
        </w:tc>
      </w:tr>
      <w:tr>
        <w:trPr>
          <w:trHeight w:val="23"/>
        </w:trPr>
        <w:tc>
          <w:tcPr>
            <w:tcW w:w="2048" w:type="dxa"/>
            <w:vAlign w:val="center"/>
            <w:textDirection w:val="lrTb"/>
            <w:noWrap w:val="false"/>
          </w:tcPr>
          <w:p>
            <w:pPr>
              <w:pStyle w:val="1014"/>
              <w:ind w:firstLine="42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价 格</w:t>
            </w:r>
            <w:r>
              <w:rPr>
                <w:rFonts w:ascii="宋体" w:hAnsi="宋体" w:cs="宋体"/>
                <w:color w:val="000000"/>
                <w:highlight w:val="none"/>
              </w:rPr>
            </w:r>
            <w:r/>
          </w:p>
          <w:p>
            <w:pPr>
              <w:pStyle w:val="1014"/>
              <w:ind w:firstLine="42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（30分）</w:t>
            </w:r>
            <w:r>
              <w:rPr>
                <w:rFonts w:ascii="宋体" w:hAnsi="宋体" w:cs="宋体"/>
                <w:color w:val="000000"/>
                <w:highlight w:val="none"/>
              </w:rPr>
            </w:r>
            <w:r/>
          </w:p>
        </w:tc>
        <w:tc>
          <w:tcPr>
            <w:tcW w:w="7159" w:type="dxa"/>
            <w:vAlign w:val="center"/>
            <w:textDirection w:val="lrTb"/>
            <w:noWrap w:val="false"/>
          </w:tcPr>
          <w:p>
            <w:pPr>
              <w:pStyle w:val="1014"/>
              <w:ind w:firstLine="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sz w:val="21"/>
                <w:szCs w:val="21"/>
                <w:highlight w:val="none"/>
              </w:rPr>
              <w:t xml:space="preserve">以有效投标人报价中价格最低的投标报价为基准价，其基准价格分为</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0分。其他投标人的价格得分=（评标基准价/其他投标人报价）×</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w:t>
            </w:r>
            <w:r>
              <w:rPr>
                <w:rFonts w:hint="eastAsia" w:ascii="宋体" w:hAnsi="宋体" w:cs="宋体"/>
                <w:b/>
                <w:bCs/>
                <w:color w:val="000000"/>
                <w:sz w:val="21"/>
                <w:szCs w:val="21"/>
                <w:highlight w:val="none"/>
              </w:rPr>
              <w:t xml:space="preserve">（保留2位小数）</w:t>
            </w:r>
            <w:r>
              <w:rPr>
                <w:rFonts w:ascii="宋体" w:hAnsi="宋体" w:cs="宋体"/>
                <w:color w:val="000000"/>
                <w:highlight w:val="none"/>
              </w:rPr>
            </w:r>
            <w:r/>
          </w:p>
        </w:tc>
      </w:tr>
      <w:tr>
        <w:trPr>
          <w:cantSplit/>
          <w:trHeight w:val="736"/>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bookmarkEnd w:id="78"/>
            <w:r>
              <w:rPr>
                <w:rFonts w:hint="eastAsia" w:ascii="宋体" w:hAnsi="宋体" w:eastAsia="宋体" w:cs="宋体"/>
                <w:color w:val="000000"/>
                <w:highlight w:val="none"/>
                <w:lang w:eastAsia="zh-CN"/>
              </w:rPr>
              <w:t xml:space="preserve">技术要求</w:t>
            </w:r>
            <w:r>
              <w:rPr>
                <w:rFonts w:hint="eastAsia" w:ascii="宋体" w:hAnsi="宋体" w:eastAsia="宋体" w:cs="宋体"/>
                <w:color w:val="000000"/>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46</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设备技术参数全部满足招标要求的得满分</w:t>
            </w:r>
            <w:r>
              <w:rPr>
                <w:rFonts w:hint="eastAsia" w:ascii="宋体" w:hAnsi="宋体" w:eastAsia="宋体" w:cs="宋体"/>
                <w:color w:val="000000"/>
                <w:highlight w:val="none"/>
                <w:lang w:val="en-US" w:eastAsia="zh-CN"/>
              </w:rPr>
              <w:t xml:space="preserve">46</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highlight w:val="none"/>
                <w:lang w:eastAsia="zh-CN"/>
              </w:rPr>
              <w:t xml:space="preserve">号技术指标为重要技术条款，每有一项负偏离扣</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highlight w:val="none"/>
                <w:lang w:eastAsia="zh-CN"/>
              </w:rPr>
              <w:t xml:space="preserve">号技术指标有</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项及以上条款负偏离，本项得零分。</w:t>
            </w:r>
            <w:r>
              <w:rPr>
                <w:rFonts w:hint="eastAsia" w:ascii="宋体" w:hAnsi="宋体" w:eastAsia="宋体" w:cs="宋体"/>
                <w:color w:val="000000"/>
                <w:highlight w:val="none"/>
                <w:lang w:val="en-US" w:eastAsia="zh-CN"/>
              </w:rPr>
              <w:t xml:space="preserve">其他技术指标负偏离扣1分。</w:t>
            </w:r>
            <w:r>
              <w:rPr>
                <w:rFonts w:ascii="宋体" w:hAnsi="宋体" w:eastAsia="宋体" w:cs="宋体"/>
                <w:color w:val="000000"/>
                <w:highlight w:val="none"/>
                <w:lang w:val="en-US" w:eastAsia="zh-CN"/>
              </w:rPr>
            </w:r>
            <w:r/>
          </w:p>
          <w:p>
            <w:pPr>
              <w:pStyle w:val="1014"/>
              <w:ind w:firstLine="0"/>
              <w:jc w:val="both"/>
              <w:keepLines w:val="0"/>
              <w:keepNext w:val="0"/>
              <w:pageBreakBefore w:val="0"/>
              <w:spacing w:after="0" w:line="312"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lang w:eastAsia="zh-CN"/>
              </w:rPr>
              <w:t xml:space="preserve">（注：★号技术指标</w:t>
            </w:r>
            <w:r>
              <w:rPr>
                <w:rFonts w:hint="eastAsia" w:ascii="宋体" w:hAnsi="宋体" w:eastAsia="宋体" w:cs="宋体"/>
                <w:b/>
                <w:bCs/>
                <w:color w:val="000000"/>
                <w:highlight w:val="none"/>
                <w:lang w:val="en-US" w:eastAsia="zh-CN"/>
              </w:rPr>
              <w:t xml:space="preserve">必须</w:t>
            </w:r>
            <w:r>
              <w:rPr>
                <w:rFonts w:hint="eastAsia" w:ascii="宋体" w:hAnsi="宋体" w:eastAsia="宋体" w:cs="宋体"/>
                <w:b/>
                <w:bCs/>
                <w:color w:val="000000"/>
                <w:highlight w:val="none"/>
                <w:lang w:eastAsia="zh-CN"/>
              </w:rPr>
              <w:t xml:space="preserve">提供证明材料：生产厂家提供加盖公章的彩页或制造厂商性能参数响应，</w:t>
            </w:r>
            <w:r>
              <w:rPr>
                <w:rFonts w:hint="eastAsia" w:ascii="宋体" w:hAnsi="宋体" w:eastAsia="宋体" w:cs="宋体"/>
                <w:b/>
                <w:bCs/>
                <w:color w:val="000000"/>
                <w:highlight w:val="none"/>
                <w:lang w:val="en-US" w:eastAsia="zh-CN"/>
              </w:rPr>
              <w:t xml:space="preserve">不提供视为负偏离</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r>
            <w:r/>
          </w:p>
        </w:tc>
      </w:tr>
      <w:tr>
        <w:trPr>
          <w:cantSplit/>
          <w:trHeight w:val="627"/>
        </w:trPr>
        <w:tc>
          <w:tcPr>
            <w:tcW w:w="2048" w:type="dxa"/>
            <w:vAlign w:val="center"/>
            <w:vMerge w:val="restart"/>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服务方案（</w:t>
            </w:r>
            <w:r>
              <w:rPr>
                <w:rFonts w:hint="eastAsia" w:ascii="宋体" w:hAnsi="宋体" w:eastAsia="宋体" w:cs="Times New Roman"/>
                <w:color w:val="000000"/>
                <w:highlight w:val="none"/>
                <w:lang w:val="en-US" w:eastAsia="zh-CN"/>
              </w:rPr>
              <w:t xml:space="preserve">15</w:t>
            </w:r>
            <w:r>
              <w:rPr>
                <w:rFonts w:hint="eastAsia" w:ascii="宋体" w:hAnsi="宋体" w:eastAsia="宋体" w:cs="Times New Roman"/>
                <w:color w:val="000000"/>
                <w:highlight w:val="none"/>
                <w:lang w:eastAsia="zh-CN"/>
              </w:rPr>
              <w:t xml:space="preserve">分）</w:t>
            </w: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1、项目实施方案和验收计划：</w:t>
            </w:r>
            <w:r>
              <w:rPr>
                <w:rFonts w:hint="eastAsia" w:ascii="宋体" w:hAnsi="宋体" w:eastAsia="宋体" w:cs="宋体"/>
                <w:color w:val="000000"/>
                <w:sz w:val="21"/>
                <w:szCs w:val="21"/>
                <w:highlight w:val="none"/>
                <w:lang w:eastAsia="zh-CN"/>
              </w:rPr>
              <w:t xml:space="preserve">根据项目实施标准规范，流程管理协调管理体系好，验收标准项目交付措施严谨等方面进行评分。（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宋体"/>
                <w:color w:val="000000"/>
                <w:sz w:val="21"/>
                <w:szCs w:val="21"/>
                <w:highlight w:val="none"/>
                <w:lang w:eastAsia="zh-CN"/>
              </w:rPr>
              <w:t xml:space="preserve">方案结构内容完整，设想可操作性强，描述详细且具有针对性的得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分；具有不合理项、描述欠缺、存在实施难度得1分；不提供不得分。</w:t>
            </w:r>
            <w:r>
              <w:rPr>
                <w:rFonts w:hint="eastAsia" w:ascii="宋体" w:hAnsi="宋体" w:eastAsia="宋体" w:cs="Times New Roman"/>
                <w:color w:val="000000"/>
                <w:highlight w:val="none"/>
                <w:lang w:eastAsia="zh-CN"/>
              </w:rPr>
            </w:r>
            <w:r/>
          </w:p>
        </w:tc>
      </w:tr>
      <w:tr>
        <w:trPr>
          <w:cantSplit/>
          <w:trHeight w:val="1024"/>
        </w:trPr>
        <w:tc>
          <w:tcPr>
            <w:tcW w:w="2048" w:type="dxa"/>
            <w:vAlign w:val="center"/>
            <w:vMerge w:val="continue"/>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2、对操作、维护人员的培训方案及计划方案：</w:t>
            </w:r>
            <w:r>
              <w:rPr>
                <w:rFonts w:hint="eastAsia" w:ascii="宋体" w:hAnsi="宋体" w:eastAsia="宋体" w:cs="宋体"/>
                <w:color w:val="000000"/>
                <w:sz w:val="21"/>
                <w:szCs w:val="21"/>
                <w:highlight w:val="none"/>
                <w:lang w:eastAsia="zh-CN"/>
              </w:rPr>
              <w:t xml:space="preserve">针对本项目合理进行培训计划，明确给出培训目标、内容、时长，地点等方面进行评分。（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方案科学、严密、合理，描述详细且具有针对性的得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分；具有不合理项、描述欠缺、得1分；不提供不得分。</w:t>
            </w:r>
            <w:r>
              <w:rPr>
                <w:rFonts w:hint="eastAsia" w:ascii="宋体" w:hAnsi="宋体" w:eastAsia="宋体" w:cs="宋体"/>
                <w:color w:val="000000"/>
                <w:sz w:val="21"/>
                <w:szCs w:val="21"/>
                <w:highlight w:val="none"/>
                <w:lang w:eastAsia="zh-CN"/>
              </w:rPr>
            </w:r>
            <w:r/>
          </w:p>
        </w:tc>
      </w:tr>
      <w:tr>
        <w:trPr>
          <w:cantSplit/>
          <w:trHeight w:val="1024"/>
        </w:trPr>
        <w:tc>
          <w:tcPr>
            <w:tcW w:w="2048" w:type="dxa"/>
            <w:vAlign w:val="center"/>
            <w:vMerge w:val="continue"/>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3、售后服务方案：</w:t>
            </w:r>
            <w:r>
              <w:rPr>
                <w:rFonts w:hint="eastAsia" w:ascii="宋体" w:hAnsi="宋体" w:eastAsia="宋体" w:cs="宋体"/>
                <w:color w:val="000000"/>
                <w:sz w:val="21"/>
                <w:szCs w:val="21"/>
                <w:highlight w:val="none"/>
                <w:lang w:eastAsia="zh-CN"/>
              </w:rPr>
              <w:t xml:space="preserve">包括但不限于服务体系、服务内容、故障解决方案、专业技术人员保障及质保期外具体服务措施等方面进行评分。（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方案结构内容完整，设想可操作性强，描述详细且具有针对性的得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分；具有不合理项、描述欠缺、存在实施难度得1分；不提供不得分。</w:t>
            </w:r>
            <w:r>
              <w:rPr>
                <w:rFonts w:hint="eastAsia" w:ascii="宋体" w:hAnsi="宋体" w:eastAsia="宋体" w:cs="宋体"/>
                <w:color w:val="000000"/>
                <w:sz w:val="21"/>
                <w:szCs w:val="21"/>
                <w:highlight w:val="none"/>
                <w:lang w:eastAsia="zh-CN"/>
              </w:rPr>
            </w:r>
            <w:r/>
          </w:p>
        </w:tc>
      </w:tr>
      <w:tr>
        <w:trPr>
          <w:cantSplit/>
          <w:trHeight w:val="811"/>
        </w:trPr>
        <w:tc>
          <w:tcPr>
            <w:tcW w:w="2048" w:type="dxa"/>
            <w:vAlign w:val="center"/>
            <w:vMerge w:val="restart"/>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质保服务承诺</w:t>
            </w:r>
            <w:r>
              <w:rPr>
                <w:rFonts w:hint="eastAsia" w:ascii="宋体" w:hAnsi="宋体" w:eastAsia="宋体" w:cs="宋体"/>
                <w:color w:val="000000"/>
                <w:sz w:val="22"/>
                <w:szCs w:val="22"/>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cs="宋体"/>
                <w:color w:val="000000"/>
                <w:highlight w:val="none"/>
              </w:rPr>
              <w:t xml:space="preserve">质保期内售后服务保障能力：必须有专业的技术人员能够24小时提供应急保障服务，</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承诺</w:t>
            </w:r>
            <w:r>
              <w:rPr>
                <w:rFonts w:hint="eastAsia" w:ascii="宋体" w:hAnsi="宋体" w:cs="宋体"/>
                <w:color w:val="000000"/>
                <w:highlight w:val="none"/>
                <w:lang w:val="en-US" w:eastAsia="zh-CN"/>
              </w:rPr>
              <w:t xml:space="preserve">1小时响应，24小时赶到</w:t>
            </w:r>
            <w:r>
              <w:rPr>
                <w:rFonts w:hint="eastAsia" w:ascii="宋体" w:hAnsi="宋体" w:cs="宋体"/>
                <w:color w:val="000000"/>
                <w:highlight w:val="none"/>
              </w:rPr>
              <w:t xml:space="preserve">现场的得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分，未提供承诺不得分。</w:t>
            </w:r>
            <w:r>
              <w:rPr>
                <w:rFonts w:hint="eastAsia"/>
                <w:b/>
                <w:bCs/>
                <w:color w:val="000000"/>
                <w:highlight w:val="none"/>
              </w:rPr>
              <w:t xml:space="preserve">（提供承诺函原件，格式自拟，</w:t>
            </w:r>
            <w:r>
              <w:rPr>
                <w:rFonts w:hint="eastAsia" w:ascii="宋体" w:hAnsi="宋体" w:cs="宋体"/>
                <w:b/>
                <w:bCs/>
                <w:color w:val="000000"/>
                <w:highlight w:val="none"/>
              </w:rPr>
              <w:t xml:space="preserve">扫描上传</w:t>
            </w:r>
            <w:r>
              <w:rPr>
                <w:rFonts w:hint="eastAsia"/>
                <w:b/>
                <w:bCs/>
                <w:color w:val="000000"/>
                <w:highlight w:val="none"/>
              </w:rPr>
              <w:t xml:space="preserve">）</w:t>
            </w:r>
            <w:r>
              <w:rPr>
                <w:rFonts w:hint="eastAsia" w:ascii="宋体" w:hAnsi="宋体" w:eastAsia="宋体" w:cs="Times New Roman"/>
                <w:color w:val="000000"/>
                <w:highlight w:val="none"/>
                <w:lang w:eastAsia="zh-CN"/>
              </w:rPr>
            </w:r>
            <w:r/>
          </w:p>
        </w:tc>
      </w:tr>
      <w:tr>
        <w:trPr>
          <w:cantSplit/>
          <w:trHeight w:val="1129"/>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业绩</w:t>
            </w:r>
            <w:r>
              <w:rPr>
                <w:rFonts w:ascii="宋体" w:hAnsi="宋体" w:eastAsia="宋体" w:cs="宋体"/>
                <w:color w:val="000000"/>
                <w:sz w:val="22"/>
                <w:szCs w:val="22"/>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line="312" w:lineRule="auto"/>
              <w:widowControl w:val="off"/>
              <w:rPr>
                <w:rFonts w:hint="eastAsia" w:ascii="宋体" w:hAnsi="宋体" w:eastAsia="宋体" w:cs="宋体"/>
                <w:color w:val="000000"/>
                <w:highlight w:val="none"/>
                <w:lang w:eastAsia="zh-CN"/>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自2021年1月1日以来</w:t>
            </w:r>
            <w:r>
              <w:rPr>
                <w:rFonts w:hint="eastAsia" w:ascii="宋体" w:hAnsi="宋体" w:cs="宋体"/>
                <w:color w:val="000000"/>
                <w:szCs w:val="21"/>
                <w:highlight w:val="none"/>
                <w:lang w:val="en-US" w:eastAsia="zh-CN"/>
              </w:rPr>
              <w:t xml:space="preserve">具</w:t>
            </w:r>
            <w:r>
              <w:rPr>
                <w:rFonts w:hint="eastAsia" w:ascii="宋体" w:hAnsi="宋体" w:cs="宋体"/>
                <w:color w:val="000000"/>
                <w:szCs w:val="21"/>
                <w:highlight w:val="none"/>
              </w:rPr>
              <w:t xml:space="preserve">有类似项目业绩的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每提供一个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满分4分</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以合同签订时间为准，</w:t>
            </w:r>
            <w:r>
              <w:rPr>
                <w:rFonts w:hint="eastAsia" w:ascii="宋体" w:hAnsi="宋体" w:cs="宋体"/>
                <w:b/>
                <w:bCs/>
                <w:color w:val="000000"/>
                <w:szCs w:val="21"/>
                <w:highlight w:val="none"/>
              </w:rPr>
              <w:t xml:space="preserve">提供合同原件扫描上传）</w:t>
            </w:r>
            <w:r>
              <w:rPr>
                <w:rFonts w:hint="eastAsia" w:ascii="宋体" w:hAnsi="宋体" w:eastAsia="宋体" w:cs="宋体"/>
                <w:color w:val="000000"/>
                <w:highlight w:val="none"/>
                <w:lang w:eastAsia="zh-CN"/>
              </w:rPr>
            </w:r>
            <w:r/>
          </w:p>
        </w:tc>
      </w:tr>
      <w:tr>
        <w:trPr>
          <w:cantSplit/>
          <w:trHeight w:val="811"/>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企业实力</w:t>
            </w:r>
            <w:r>
              <w:rPr>
                <w:rFonts w:hint="eastAsia" w:ascii="宋体" w:hAnsi="宋体" w:eastAsia="宋体" w:cs="宋体"/>
                <w:color w:val="000000"/>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投标人具有有效</w:t>
            </w:r>
            <w:r>
              <w:rPr>
                <w:rFonts w:hint="eastAsia" w:ascii="宋体" w:hAnsi="宋体" w:eastAsia="宋体" w:cs="宋体"/>
                <w:color w:val="000000"/>
                <w:highlight w:val="none"/>
                <w:lang w:val="en-US" w:eastAsia="zh-CN"/>
              </w:rPr>
              <w:t xml:space="preserve">期内</w:t>
            </w:r>
            <w:r>
              <w:rPr>
                <w:rFonts w:hint="eastAsia" w:ascii="宋体" w:hAnsi="宋体" w:eastAsia="宋体" w:cs="宋体"/>
                <w:color w:val="000000"/>
                <w:highlight w:val="none"/>
                <w:lang w:eastAsia="zh-CN"/>
              </w:rPr>
              <w:t xml:space="preserve">的质量管理体系认证、环境管理体系认证、职业健康安全管理体系认证的每个得1分，满分3分。</w:t>
            </w:r>
            <w:r>
              <w:rPr>
                <w:rFonts w:hint="eastAsia" w:ascii="宋体" w:hAnsi="宋体" w:eastAsia="宋体" w:cs="宋体"/>
                <w:b/>
                <w:bCs/>
                <w:color w:val="000000"/>
                <w:highlight w:val="none"/>
                <w:lang w:eastAsia="zh-CN"/>
              </w:rPr>
              <w:t xml:space="preserve">（提供相关证书</w:t>
            </w:r>
            <w:r>
              <w:rPr>
                <w:rFonts w:hint="eastAsia" w:ascii="宋体" w:hAnsi="宋体" w:eastAsia="宋体" w:cs="宋体"/>
                <w:b/>
                <w:bCs/>
                <w:color w:val="000000"/>
                <w:highlight w:val="none"/>
                <w:lang w:val="en-US" w:eastAsia="zh-CN"/>
              </w:rPr>
              <w:t xml:space="preserve">原件扫描上传</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r>
            <w:r/>
          </w:p>
        </w:tc>
      </w:tr>
    </w:tbl>
    <w:p>
      <w:pPr>
        <w:pStyle w:val="1014"/>
        <w:jc w:val="center"/>
        <w:rPr>
          <w:rFonts w:hint="eastAsia" w:ascii="宋体" w:hAnsi="宋体"/>
          <w:b/>
          <w:bCs/>
          <w:color w:val="000000"/>
          <w:sz w:val="36"/>
          <w:szCs w:val="36"/>
          <w:highlight w:val="none"/>
        </w:rPr>
        <w:outlineLvl w:val="0"/>
      </w:pPr>
      <w:r>
        <w:rPr>
          <w:rFonts w:hint="eastAsia" w:ascii="宋体" w:hAnsi="宋体"/>
          <w:b/>
          <w:color w:val="000000"/>
          <w:szCs w:val="21"/>
          <w:highlight w:val="none"/>
        </w:rPr>
        <w:br w:type="page" w:clear="all"/>
      </w:r>
      <w:r>
        <w:rPr>
          <w:rFonts w:hint="eastAsia" w:ascii="宋体" w:hAnsi="宋体"/>
          <w:b/>
          <w:bCs/>
          <w:color w:val="000000"/>
          <w:sz w:val="40"/>
          <w:szCs w:val="40"/>
          <w:highlight w:val="none"/>
        </w:rPr>
        <w:t xml:space="preserve">第六章 投标文件格式</w:t>
      </w:r>
      <w:r>
        <w:rPr>
          <w:rFonts w:hint="eastAsia" w:ascii="宋体" w:hAnsi="宋体"/>
          <w:b/>
          <w:bCs/>
          <w:color w:val="000000"/>
          <w:sz w:val="36"/>
          <w:szCs w:val="36"/>
          <w:highlight w:val="none"/>
        </w:rPr>
      </w:r>
      <w:r/>
    </w:p>
    <w:p>
      <w:pPr>
        <w:pStyle w:val="1014"/>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14"/>
        <w:rPr>
          <w:rFonts w:hint="eastAsia" w:ascii="宋体" w:hAnsi="宋体"/>
          <w:b/>
          <w:color w:val="000000"/>
          <w:sz w:val="28"/>
          <w:szCs w:val="28"/>
          <w:highlight w:val="none"/>
        </w:rPr>
      </w:pPr>
      <w:r/>
      <w:bookmarkStart w:id="79" w:name="OLE_LINK137"/>
      <w:r/>
      <w:bookmarkEnd w:id="79"/>
      <w:r/>
      <w:bookmarkStart w:id="80" w:name="OLE_LINK141"/>
      <w:r/>
      <w:bookmarkEnd w:id="80"/>
      <w:r>
        <w:rPr>
          <w:rFonts w:hint="eastAsia" w:ascii="宋体" w:hAnsi="宋体"/>
          <w:b/>
          <w:color w:val="000000"/>
          <w:sz w:val="28"/>
          <w:szCs w:val="28"/>
          <w:highlight w:val="none"/>
        </w:rPr>
      </w:r>
      <w:r/>
    </w:p>
    <w:p>
      <w:pPr>
        <w:pStyle w:val="1082"/>
        <w:spacing w:line="480" w:lineRule="auto"/>
        <w:rPr>
          <w:rFonts w:hint="eastAsia" w:ascii="宋体" w:hAnsi="宋体" w:eastAsia="宋体"/>
          <w:bCs w:val="0"/>
          <w:color w:val="000000"/>
          <w:sz w:val="36"/>
          <w:szCs w:val="36"/>
          <w:highlight w:val="none"/>
        </w:rPr>
        <w:outlineLvl w:val="9"/>
      </w:pPr>
      <w:r/>
      <w:bookmarkStart w:id="81" w:name="OLE_LINK144"/>
      <w:r/>
      <w:bookmarkEnd w:id="81"/>
      <w:r/>
      <w:bookmarkStart w:id="82" w:name="_Toc497145845"/>
      <w:r/>
      <w:bookmarkEnd w:id="82"/>
      <w:r/>
      <w:bookmarkStart w:id="83" w:name="_Toc26539"/>
      <w:r/>
      <w:bookmarkStart w:id="84" w:name="_Toc21386"/>
      <w:r>
        <w:rPr>
          <w:rFonts w:hint="eastAsia" w:ascii="宋体" w:hAnsi="宋体" w:eastAsia="宋体"/>
          <w:bCs w:val="0"/>
          <w:color w:val="000000"/>
          <w:sz w:val="36"/>
          <w:szCs w:val="36"/>
          <w:highlight w:val="none"/>
        </w:rPr>
        <w:t xml:space="preserve">投标文件</w:t>
      </w:r>
      <w:bookmarkEnd w:id="83"/>
      <w:r/>
      <w:bookmarkEnd w:id="84"/>
      <w:r>
        <w:rPr>
          <w:rFonts w:hint="eastAsia" w:ascii="宋体" w:hAnsi="宋体" w:eastAsia="宋体"/>
          <w:bCs w:val="0"/>
          <w:color w:val="000000"/>
          <w:sz w:val="36"/>
          <w:szCs w:val="36"/>
          <w:highlight w:val="none"/>
        </w:rPr>
      </w:r>
      <w:r/>
    </w:p>
    <w:p>
      <w:pPr>
        <w:pStyle w:val="1102"/>
        <w:numPr>
          <w:ilvl w:val="0"/>
          <w:numId w:val="0"/>
        </w:numPr>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项目名称：</w:t>
      </w:r>
      <w:r>
        <w:rPr>
          <w:rFonts w:hint="eastAsia" w:ascii="宋体" w:hAnsi="宋体"/>
          <w:b/>
          <w:color w:val="000000"/>
          <w:sz w:val="28"/>
          <w:szCs w:val="28"/>
          <w:highlight w:val="none"/>
          <w:u w:val="single"/>
          <w:lang w:eastAsia="zh-CN"/>
        </w:rPr>
        <w:t xml:space="preserve">食品中非法添加物、未知物筛查及农兽药残留检测能力提升项目</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项目编号：</w:t>
      </w:r>
      <w:r>
        <w:rPr>
          <w:rFonts w:hint="eastAsia" w:ascii="宋体" w:hAnsi="宋体"/>
          <w:b/>
          <w:color w:val="000000"/>
          <w:sz w:val="28"/>
          <w:szCs w:val="28"/>
          <w:highlight w:val="none"/>
          <w:u w:val="single"/>
          <w:lang w:eastAsia="zh-CN"/>
        </w:rPr>
        <w:t xml:space="preserve">JSZC-321000-DJZX-G2025-0003号</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lang w:val="en-US" w:eastAsia="zh-CN"/>
        </w:rPr>
        <w:t xml:space="preserve">投标</w:t>
      </w:r>
      <w:r>
        <w:rPr>
          <w:rFonts w:hint="eastAsia" w:ascii="宋体" w:hAnsi="宋体"/>
          <w:b/>
          <w:color w:val="000000"/>
          <w:sz w:val="28"/>
          <w:szCs w:val="28"/>
          <w:highlight w:val="none"/>
          <w:lang w:val="en-US" w:eastAsia="zh-CN"/>
        </w:rPr>
        <w:t xml:space="preserve">人</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（电子签章）</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日    期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4"/>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说明：</w:t>
      </w:r>
      <w:r>
        <w:rPr>
          <w:rFonts w:hint="eastAsia" w:ascii="宋体" w:hAnsi="宋体"/>
          <w:b/>
          <w:bCs/>
          <w:color w:val="000000"/>
          <w:sz w:val="28"/>
          <w:szCs w:val="28"/>
          <w:highlight w:val="none"/>
          <w:lang w:val="zh-CN"/>
        </w:rPr>
      </w:r>
      <w:r/>
    </w:p>
    <w:p>
      <w:pPr>
        <w:pStyle w:val="1014"/>
        <w:ind w:firstLine="618"/>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对本章所有的投标文件格式 ，投标人可根据自身情况进行补充和修改，但补充和修改不得造成与本格式内容有实质性的违背。</w:t>
      </w:r>
      <w:r>
        <w:rPr>
          <w:rFonts w:hint="eastAsia" w:ascii="宋体" w:hAnsi="宋体"/>
          <w:b/>
          <w:bCs/>
          <w:color w:val="000000"/>
          <w:sz w:val="28"/>
          <w:szCs w:val="28"/>
          <w:highlight w:val="none"/>
          <w:lang w:val="zh-CN"/>
        </w:rPr>
      </w:r>
      <w:r/>
    </w:p>
    <w:p>
      <w:pPr>
        <w:pStyle w:val="1014"/>
        <w:jc w:val="center"/>
        <w:spacing w:before="312" w:after="312"/>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b/>
          <w:color w:val="000000"/>
          <w:szCs w:val="21"/>
          <w:highlight w:val="none"/>
        </w:rPr>
        <w:t xml:space="preserve">评分索引表</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rPr>
            </w:pPr>
            <w:r>
              <w:rPr>
                <w:rFonts w:hint="eastAsia" w:ascii="宋体" w:hAnsi="宋体"/>
                <w:b/>
                <w:color w:val="000000"/>
                <w:sz w:val="21"/>
                <w:szCs w:val="21"/>
                <w:highlight w:val="none"/>
              </w:rPr>
              <w:t xml:space="preserve">评分项目</w:t>
            </w:r>
            <w:r>
              <w:rPr>
                <w:rFonts w:hint="eastAsia" w:ascii="宋体" w:hAnsi="宋体"/>
                <w:b/>
                <w:color w:val="000000"/>
                <w:sz w:val="21"/>
                <w:szCs w:val="21"/>
                <w:highlight w:val="none"/>
              </w:rPr>
            </w:r>
            <w:r/>
          </w:p>
        </w:tc>
        <w:tc>
          <w:tcPr>
            <w:tcW w:w="3570" w:type="dxa"/>
            <w:vAlign w:val="center"/>
            <w:textDirection w:val="lrTb"/>
            <w:noWrap w:val="false"/>
          </w:tcPr>
          <w:p>
            <w:pPr>
              <w:pStyle w:val="1014"/>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t xml:space="preserve">在投标文件中的页码位置</w:t>
            </w:r>
            <w:r>
              <w:rPr>
                <w:rFonts w:hint="eastAsia" w:ascii="宋体" w:hAnsi="宋体"/>
                <w:b/>
                <w:color w:val="000000"/>
                <w:szCs w:val="21"/>
                <w:highlight w:val="none"/>
                <w:lang w:bidi="en-US"/>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51"/>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bl>
    <w:p>
      <w:pPr>
        <w:pStyle w:val="1014"/>
        <w:rPr>
          <w:rFonts w:hint="eastAsia" w:ascii="宋体" w:hAnsi="宋体"/>
          <w:color w:val="000000"/>
          <w:szCs w:val="21"/>
          <w:highlight w:val="none"/>
        </w:rPr>
      </w:pPr>
      <w:r>
        <w:rPr>
          <w:rFonts w:hint="eastAsia" w:ascii="宋体" w:hAnsi="宋体"/>
          <w:color w:val="000000"/>
          <w:szCs w:val="21"/>
          <w:highlight w:val="none"/>
        </w:rPr>
      </w:r>
      <w:r/>
    </w:p>
    <w:p>
      <w:pPr>
        <w:pStyle w:val="1014"/>
        <w:jc w:val="center"/>
        <w:spacing w:after="312" w:line="360" w:lineRule="auto"/>
        <w:rPr>
          <w:rFonts w:hint="eastAsia" w:ascii="宋体" w:hAnsi="宋体"/>
          <w:b/>
          <w:color w:val="000000"/>
          <w:szCs w:val="21"/>
          <w:highlight w:val="none"/>
          <w:u w:val="single"/>
        </w:rPr>
      </w:pPr>
      <w:r>
        <w:rPr>
          <w:rFonts w:hint="eastAsia" w:ascii="宋体" w:hAnsi="宋体"/>
          <w:b/>
          <w:color w:val="000000"/>
          <w:szCs w:val="21"/>
          <w:highlight w:val="none"/>
          <w:u w:val="single"/>
        </w:rPr>
        <w:br w:type="page" w:clear="all"/>
      </w:r>
      <w:r>
        <w:rPr>
          <w:rFonts w:hint="eastAsia" w:ascii="宋体" w:hAnsi="宋体"/>
          <w:b/>
          <w:bCs/>
          <w:color w:val="000000"/>
          <w:szCs w:val="21"/>
          <w:highlight w:val="none"/>
        </w:rPr>
        <w:t xml:space="preserve">投标文件主要目录</w:t>
      </w:r>
      <w:r>
        <w:rPr>
          <w:rFonts w:hint="eastAsia" w:ascii="宋体" w:hAnsi="宋体"/>
          <w:b/>
          <w:color w:val="000000"/>
          <w:szCs w:val="21"/>
          <w:highlight w:val="none"/>
          <w:u w:val="singl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一、资格审查响应对照表</w:t>
      </w:r>
      <w:r>
        <w:rPr>
          <w:rFonts w:hint="eastAsia" w:ascii="宋体" w:hAnsi="宋体"/>
          <w:color w:val="000000"/>
          <w:szCs w:val="21"/>
          <w:highlight w:val="none"/>
        </w:rPr>
      </w:r>
      <w:r/>
    </w:p>
    <w:p>
      <w:pPr>
        <w:pStyle w:val="1014"/>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二、符合性审查响应对照表</w:t>
      </w:r>
      <w:r>
        <w:rPr>
          <w:rFonts w:hint="eastAsia" w:ascii="宋体" w:hAnsi="宋体"/>
          <w:color w:val="000000"/>
          <w:szCs w:val="21"/>
          <w:highlight w:val="none"/>
        </w:rPr>
      </w:r>
      <w:r/>
    </w:p>
    <w:p>
      <w:pPr>
        <w:pStyle w:val="1014"/>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三、非实质性响应对照表</w:t>
      </w:r>
      <w:r>
        <w:rPr>
          <w:rFonts w:hint="eastAsia" w:ascii="宋体" w:hAnsi="宋体"/>
          <w:color w:val="000000"/>
          <w:szCs w:val="21"/>
          <w:highlight w:val="none"/>
        </w:rPr>
      </w:r>
      <w:r/>
    </w:p>
    <w:p>
      <w:pPr>
        <w:pStyle w:val="1014"/>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w:t>
      </w:r>
      <w:r>
        <w:rPr>
          <w:rFonts w:hint="eastAsia" w:ascii="宋体" w:hAnsi="宋体"/>
          <w:b/>
          <w:bCs/>
          <w:color w:val="000000"/>
          <w:szCs w:val="21"/>
          <w:highlight w:val="none"/>
        </w:rPr>
        <w:t xml:space="preserve">、</w:t>
      </w:r>
      <w:r>
        <w:rPr>
          <w:rFonts w:hint="eastAsia" w:ascii="宋体" w:hAnsi="宋体"/>
          <w:i/>
          <w:color w:val="000000"/>
          <w:sz w:val="24"/>
          <w:highlight w:val="none"/>
          <w:u w:val="single"/>
        </w:rPr>
        <w:t xml:space="preserve">开标一览表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五、技术参数响应及偏离表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六、商务条款响应及偏离表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七、其他 （投标人认为有必要提供的声明和文件，如有自拟并自行添加）</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bookmarkStart w:id="85" w:name="OLE_LINK168"/>
      <w:r/>
      <w:bookmarkEnd w:id="85"/>
      <w:r/>
      <w:bookmarkStart w:id="86" w:name="OLE_LINK166"/>
      <w:r/>
      <w:bookmarkEnd w:id="86"/>
      <w:r>
        <w:rPr>
          <w:rFonts w:hint="eastAsia" w:ascii="宋体" w:hAnsi="宋体"/>
          <w:b/>
          <w:color w:val="000000"/>
          <w:szCs w:val="21"/>
          <w:highlight w:val="none"/>
        </w:rPr>
        <w:t xml:space="preserve">一、资格性和符合性检查响应对照表</w:t>
      </w:r>
      <w:r>
        <w:rPr>
          <w:rFonts w:hint="eastAsia" w:ascii="宋体" w:hAnsi="宋体"/>
          <w:b/>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投标人全称（加盖公章）：</w:t>
      </w:r>
      <w:r>
        <w:rPr>
          <w:rFonts w:hint="eastAsia" w:ascii="宋体" w:hAnsi="宋体"/>
          <w:color w:val="000000"/>
          <w:szCs w:val="21"/>
          <w:highlight w:val="none"/>
        </w:rPr>
      </w:r>
      <w:r/>
    </w:p>
    <w:tbl>
      <w:tblPr>
        <w:tblW w:w="0" w:type="auto"/>
        <w:jc w:val="center"/>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10"/>
        <w:gridCol w:w="1082"/>
      </w:tblGrid>
      <w:tr>
        <w:trPr>
          <w:trHeight w:val="605"/>
        </w:trPr>
        <w:tc>
          <w:tcPr>
            <w:tcW w:w="427"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7010"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资格审查响应内容</w:t>
            </w:r>
            <w:r>
              <w:rPr>
                <w:rFonts w:hint="eastAsia" w:ascii="宋体" w:hAnsi="宋体"/>
                <w:b/>
                <w:color w:val="000000"/>
                <w:szCs w:val="21"/>
                <w:highlight w:val="none"/>
              </w:rPr>
            </w:r>
            <w:r/>
          </w:p>
        </w:tc>
        <w:tc>
          <w:tcPr>
            <w:tcW w:w="108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r>
      <w:tr>
        <w:trPr>
          <w:trHeight w:val="335"/>
        </w:trPr>
        <w:tc>
          <w:tcPr>
            <w:gridSpan w:val="3"/>
            <w:tcW w:w="8519"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通用资格条件</w:t>
            </w:r>
            <w:r>
              <w:rPr>
                <w:rFonts w:hint="eastAsia" w:ascii="宋体" w:hAnsi="宋体"/>
                <w:b/>
                <w:color w:val="000000"/>
                <w:szCs w:val="21"/>
                <w:highlight w:val="none"/>
              </w:rPr>
            </w:r>
            <w:r/>
          </w:p>
        </w:tc>
      </w:tr>
      <w:tr>
        <w:trPr>
          <w:trHeight w:val="505"/>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法人或者其他组织的营业执照等证明文件，自然人的身份证明</w:t>
            </w:r>
            <w:r>
              <w:rPr>
                <w:rFonts w:hint="eastAsia" w:ascii="宋体" w:hAnsi="宋体"/>
                <w:i w:val="0"/>
                <w:iCs w:val="0"/>
                <w:color w:val="000000"/>
                <w:szCs w:val="21"/>
                <w:highlight w:val="none"/>
                <w:u w:val="none"/>
              </w:rPr>
              <w:t xml:space="preserve">(</w:t>
            </w:r>
            <w:r>
              <w:rPr>
                <w:rFonts w:hint="eastAsia" w:ascii="宋体" w:hAnsi="宋体"/>
                <w:b/>
                <w:bCs/>
                <w:i w:val="0"/>
                <w:iCs w:val="0"/>
                <w:color w:val="000000"/>
                <w:szCs w:val="21"/>
                <w:highlight w:val="none"/>
                <w:u w:val="none"/>
              </w:rPr>
              <w:t xml:space="preserve">原件扫描上传）</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425"/>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lang w:eastAsia="zh-CN"/>
              </w:rPr>
              <w:t xml:space="preserve">2023年度或2024年度的财务报告情况</w:t>
            </w:r>
            <w:r>
              <w:rPr>
                <w:rFonts w:hint="eastAsia" w:ascii="宋体" w:hAnsi="宋体" w:eastAsia="宋体" w:cs="Times New Roman"/>
                <w:b/>
                <w:bCs/>
                <w:i w:val="0"/>
                <w:iCs w:val="0"/>
                <w:color w:val="000000"/>
                <w:szCs w:val="21"/>
                <w:highlight w:val="none"/>
                <w:u w:val="none"/>
              </w:rPr>
              <w:t xml:space="preserve">（成立不满一年无需提供）</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1203"/>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依法缴纳税收和社会保障资金的相关材料</w:t>
            </w:r>
            <w:r>
              <w:rPr>
                <w:rFonts w:hint="eastAsia" w:ascii="宋体" w:hAnsi="宋体" w:eastAsia="宋体" w:cs="Times New Roman"/>
                <w:b/>
                <w:bCs/>
                <w:i w:val="0"/>
                <w:iCs w:val="0"/>
                <w:color w:val="000000"/>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具备履行合同所必需的设备和专业技术能力的书面声明；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rPr>
              <w:t xml:space="preserve">参加政府采购活动前3年内在经营活动中没有重大违法记录的书面声明。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投标人</w:t>
            </w:r>
            <w:r>
              <w:rPr>
                <w:rFonts w:hint="eastAsia" w:ascii="宋体" w:hAnsi="宋体" w:eastAsia="宋体" w:cs="Times New Roman"/>
                <w:i w:val="0"/>
                <w:iCs w:val="0"/>
                <w:color w:val="000000"/>
                <w:szCs w:val="21"/>
                <w:highlight w:val="none"/>
                <w:u w:val="none"/>
              </w:rPr>
              <w:t xml:space="preserve">信用承诺函</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90"/>
        </w:trPr>
        <w:tc>
          <w:tcPr>
            <w:gridSpan w:val="3"/>
            <w:tcW w:w="8519" w:type="dxa"/>
            <w:vAlign w:val="center"/>
            <w:textDirection w:val="lrTb"/>
            <w:noWrap w:val="false"/>
          </w:tcPr>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落实政府采购政策需满足的资格要求</w:t>
            </w:r>
            <w:r>
              <w:rPr>
                <w:rFonts w:hint="eastAsia" w:ascii="宋体" w:hAnsi="宋体"/>
                <w:b/>
                <w:bCs/>
                <w:color w:val="000000"/>
                <w:szCs w:val="21"/>
                <w:highlight w:val="none"/>
              </w:rPr>
            </w:r>
            <w:r/>
          </w:p>
        </w:tc>
      </w:tr>
      <w:tr>
        <w:trPr>
          <w:trHeight w:val="400"/>
        </w:trPr>
        <w:tc>
          <w:tcPr>
            <w:tcW w:w="427" w:type="dxa"/>
            <w:vAlign w:val="center"/>
            <w:textDirection w:val="lrTb"/>
            <w:noWrap w:val="false"/>
          </w:tcPr>
          <w:p>
            <w:pPr>
              <w:pStyle w:val="101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7010" w:type="dxa"/>
            <w:vAlign w:val="center"/>
            <w:textDirection w:val="lrTb"/>
            <w:noWrap w:val="false"/>
          </w:tcPr>
          <w:p>
            <w:pPr>
              <w:pStyle w:val="1014"/>
              <w:jc w:val="left"/>
              <w:spacing w:line="360" w:lineRule="auto"/>
              <w:rPr>
                <w:rFonts w:hint="eastAsia" w:ascii="宋体" w:hAnsi="宋体"/>
                <w:i/>
                <w:iCs/>
                <w:color w:val="000000"/>
                <w:szCs w:val="21"/>
                <w:highlight w:val="none"/>
              </w:rPr>
            </w:pPr>
            <w:r>
              <w:rPr>
                <w:rFonts w:hint="eastAsia" w:ascii="宋体" w:hAnsi="宋体"/>
                <w:i w:val="0"/>
                <w:iCs w:val="0"/>
                <w:color w:val="000000"/>
                <w:szCs w:val="21"/>
                <w:highlight w:val="none"/>
                <w:lang w:val="en-US" w:eastAsia="zh-CN"/>
              </w:rPr>
              <w:t xml:space="preserve">无</w:t>
            </w:r>
            <w:r>
              <w:rPr>
                <w:rFonts w:hint="eastAsia" w:ascii="宋体" w:hAnsi="宋体"/>
                <w:i/>
                <w:iCs/>
                <w:color w:val="000000"/>
                <w:szCs w:val="21"/>
                <w:highlight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00"/>
        </w:trPr>
        <w:tc>
          <w:tcPr>
            <w:gridSpan w:val="3"/>
            <w:tcW w:w="8519"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427" w:type="dxa"/>
            <w:vAlign w:val="center"/>
            <w:textDirection w:val="lrTb"/>
            <w:noWrap w:val="false"/>
          </w:tcPr>
          <w:p>
            <w:pPr>
              <w:pStyle w:val="1014"/>
              <w:jc w:val="center"/>
              <w:spacing w:line="360" w:lineRule="auto"/>
              <w:rPr>
                <w:rFonts w:hint="eastAsia" w:ascii="宋体" w:hAnsi="宋体" w:eastAsia="宋体"/>
                <w:color w:val="000000"/>
                <w:szCs w:val="21"/>
                <w:highlight w:val="none"/>
                <w:u w:val="single"/>
                <w:lang w:eastAsia="zh-CN"/>
              </w:rPr>
            </w:pPr>
            <w:r>
              <w:rPr>
                <w:rFonts w:hint="eastAsia" w:ascii="宋体" w:hAnsi="宋体"/>
                <w:color w:val="000000"/>
                <w:szCs w:val="21"/>
                <w:highlight w:val="none"/>
                <w:u w:val="single"/>
                <w:lang w:val="en-US" w:eastAsia="zh-CN"/>
              </w:rPr>
              <w:t xml:space="preserve">8</w:t>
            </w:r>
            <w:r>
              <w:rPr>
                <w:rFonts w:hint="eastAsia" w:ascii="宋体" w:hAnsi="宋体" w:eastAsia="宋体"/>
                <w:color w:val="000000"/>
                <w:szCs w:val="21"/>
                <w:highlight w:val="none"/>
                <w:u w:val="single"/>
                <w:lang w:eastAsia="zh-CN"/>
              </w:rPr>
            </w:r>
            <w:r/>
          </w:p>
        </w:tc>
        <w:tc>
          <w:tcPr>
            <w:tcW w:w="7010" w:type="dxa"/>
            <w:vAlign w:val="center"/>
            <w:textDirection w:val="lrTb"/>
            <w:noWrap w:val="false"/>
          </w:tcPr>
          <w:p>
            <w:pPr>
              <w:pStyle w:val="1014"/>
              <w:numPr>
                <w:ilvl w:val="0"/>
                <w:numId w:val="0"/>
              </w:numPr>
              <w:jc w:val="left"/>
              <w:pageBreakBefore w:val="0"/>
              <w:spacing w:line="360" w:lineRule="auto"/>
              <w:rPr>
                <w:rFonts w:ascii="宋体" w:hAnsi="宋体"/>
                <w:i/>
                <w:iCs/>
                <w:color w:val="000000"/>
                <w:szCs w:val="21"/>
                <w:highlight w:val="none"/>
                <w:u w:val="single"/>
                <w:lang w:val="en-US"/>
              </w:rPr>
            </w:pPr>
            <w:r>
              <w:rPr>
                <w:rFonts w:hint="eastAsia" w:ascii="宋体" w:hAnsi="宋体"/>
                <w:i/>
                <w:iCs/>
                <w:color w:val="000000"/>
                <w:szCs w:val="21"/>
                <w:highlight w:val="none"/>
                <w:u w:val="single"/>
                <w:lang w:val="en-US" w:eastAsia="zh-CN"/>
              </w:rPr>
              <w:t xml:space="preserve">无</w:t>
            </w:r>
            <w:r>
              <w:rPr>
                <w:rFonts w:ascii="宋体" w:hAnsi="宋体"/>
                <w:i/>
                <w:iCs/>
                <w:color w:val="000000"/>
                <w:szCs w:val="21"/>
                <w:highlight w:val="none"/>
                <w:u w:val="single"/>
                <w:lang w:val="en-US"/>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二、资信证明文件</w:t>
      </w:r>
      <w:r>
        <w:rPr>
          <w:rFonts w:hint="eastAsia" w:ascii="宋体" w:hAnsi="宋体"/>
          <w:b/>
          <w:color w:val="000000"/>
          <w:szCs w:val="21"/>
          <w:highlight w:val="none"/>
        </w:rPr>
      </w:r>
      <w:r/>
    </w:p>
    <w:p>
      <w:pPr>
        <w:pStyle w:val="1014"/>
        <w:spacing w:line="360" w:lineRule="auto"/>
        <w:rPr>
          <w:rFonts w:hint="eastAsia" w:ascii="宋体" w:hAnsi="宋体"/>
          <w:color w:val="000000"/>
          <w:spacing w:val="-6"/>
          <w:szCs w:val="21"/>
          <w:highlight w:val="none"/>
        </w:rPr>
      </w:pPr>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 法人或者其他组织的营业执照等证明文件，自然人的身份证明(原件扫描上传）；</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 </w:t>
      </w:r>
      <w:r>
        <w:rPr>
          <w:rFonts w:hint="eastAsia" w:ascii="宋体" w:hAnsi="宋体"/>
          <w:i/>
          <w:iCs/>
          <w:color w:val="000000"/>
          <w:szCs w:val="21"/>
          <w:highlight w:val="none"/>
          <w:u w:val="single"/>
          <w:lang w:eastAsia="zh-CN"/>
        </w:rPr>
        <w:t xml:space="preserve">2023年度或2024年度的财务报告情况</w:t>
      </w:r>
      <w:r>
        <w:rPr>
          <w:rFonts w:hint="eastAsia" w:ascii="宋体" w:hAnsi="宋体"/>
          <w:i/>
          <w:iCs/>
          <w:color w:val="000000"/>
          <w:szCs w:val="21"/>
          <w:highlight w:val="none"/>
          <w:u w:val="single"/>
        </w:rPr>
        <w:t xml:space="preserve">（成立不满一年无需提供）；</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 具备履行合同所必需的设备和专业技术能力的书面声明；（原件扫描上传）</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 参加政府采购活动前3年内在经营活动中没有重大违法记录的书面声明。（原件扫描上传）</w:t>
      </w:r>
      <w:r>
        <w:rPr>
          <w:rFonts w:hint="eastAsia" w:ascii="宋体" w:hAnsi="宋体"/>
          <w:i/>
          <w:iCs/>
          <w:color w:val="000000"/>
          <w:szCs w:val="21"/>
          <w:highlight w:val="none"/>
          <w:u w:val="single"/>
        </w:rPr>
      </w:r>
      <w:r/>
    </w:p>
    <w:p>
      <w:pPr>
        <w:pStyle w:val="1014"/>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6. </w:t>
      </w:r>
      <w:r>
        <w:rPr>
          <w:rFonts w:hint="eastAsia" w:ascii="宋体" w:hAnsi="宋体"/>
          <w:i/>
          <w:iCs/>
          <w:color w:val="000000"/>
          <w:szCs w:val="21"/>
          <w:highlight w:val="none"/>
          <w:u w:val="single"/>
          <w:lang w:eastAsia="zh-CN"/>
        </w:rPr>
        <w:t xml:space="preserve">投标人信用承诺函</w:t>
      </w:r>
      <w:r>
        <w:rPr>
          <w:rFonts w:hint="eastAsia" w:ascii="宋体" w:hAnsi="宋体"/>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14"/>
        <w:jc w:val="left"/>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pacing w:val="-6"/>
          <w:sz w:val="21"/>
          <w:szCs w:val="21"/>
          <w:highlight w:val="none"/>
        </w:rPr>
        <w:t xml:space="preserve">（</w:t>
      </w:r>
      <w:r>
        <w:rPr>
          <w:rFonts w:hint="eastAsia" w:ascii="宋体" w:hAnsi="宋体" w:eastAsia="宋体"/>
          <w:color w:val="000000"/>
          <w:spacing w:val="-6"/>
          <w:sz w:val="21"/>
          <w:szCs w:val="21"/>
          <w:highlight w:val="none"/>
          <w:lang w:val="en-US" w:eastAsia="zh-CN"/>
        </w:rPr>
        <w:t xml:space="preserve">二</w:t>
      </w:r>
      <w:r>
        <w:rPr>
          <w:rFonts w:hint="eastAsia" w:ascii="宋体" w:hAnsi="宋体" w:eastAsia="宋体"/>
          <w:color w:val="000000"/>
          <w:spacing w:val="-6"/>
          <w:sz w:val="21"/>
          <w:szCs w:val="21"/>
          <w:highlight w:val="none"/>
        </w:rPr>
        <w:t xml:space="preserve">）</w:t>
      </w:r>
      <w:r>
        <w:rPr>
          <w:rFonts w:hint="eastAsia" w:ascii="宋体" w:hAnsi="宋体"/>
          <w:color w:val="000000"/>
          <w:szCs w:val="21"/>
          <w:highlight w:val="none"/>
        </w:rPr>
        <w:t xml:space="preserve">本项目的特定资格要求：</w:t>
      </w:r>
      <w:r>
        <w:rPr>
          <w:rFonts w:hint="eastAsia" w:ascii="宋体" w:hAnsi="宋体"/>
          <w:i/>
          <w:iCs/>
          <w:color w:val="000000"/>
          <w:szCs w:val="21"/>
          <w:highlight w:val="none"/>
          <w:u w:val="single"/>
          <w:lang w:val="en-US" w:eastAsia="zh-CN"/>
        </w:rPr>
        <w:t xml:space="preserve">无</w:t>
      </w:r>
      <w:r>
        <w:rPr>
          <w:rFonts w:hint="eastAsia" w:ascii="宋体" w:hAnsi="宋体" w:eastAsia="宋体"/>
          <w:color w:val="000000"/>
          <w:szCs w:val="21"/>
          <w:highlight w:val="none"/>
          <w:lang w:val="en-US" w:eastAsia="zh-CN"/>
        </w:rPr>
      </w:r>
      <w:r/>
    </w:p>
    <w:p>
      <w:pPr>
        <w:pStyle w:val="1014"/>
        <w:numPr>
          <w:ilvl w:val="0"/>
          <w:numId w:val="0"/>
        </w:numPr>
        <w:ind w:left="0" w:firstLine="0"/>
        <w:jc w:val="left"/>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pacing w:val="-6"/>
          <w:sz w:val="21"/>
          <w:szCs w:val="21"/>
          <w:highlight w:val="none"/>
        </w:rPr>
        <w:t xml:space="preserve">（三）</w:t>
      </w:r>
      <w:r>
        <w:rPr>
          <w:rFonts w:hint="eastAsia" w:ascii="宋体" w:hAnsi="宋体" w:eastAsia="宋体"/>
          <w:color w:val="000000"/>
          <w:sz w:val="21"/>
          <w:szCs w:val="21"/>
          <w:highlight w:val="none"/>
        </w:rPr>
        <w:t xml:space="preserve">落实政府采购政策需满足的资格要求：</w:t>
      </w:r>
      <w:r>
        <w:rPr>
          <w:rFonts w:hint="eastAsia" w:ascii="宋体" w:hAnsi="宋体" w:eastAsia="宋体"/>
          <w:i/>
          <w:iCs/>
          <w:color w:val="000000"/>
          <w:szCs w:val="21"/>
          <w:highlight w:val="none"/>
          <w:u w:val="single"/>
          <w:lang w:val="en-US" w:eastAsia="zh-CN"/>
        </w:rPr>
        <w:t xml:space="preserve">无</w:t>
      </w:r>
      <w:r>
        <w:rPr>
          <w:rFonts w:hint="eastAsia" w:ascii="宋体" w:hAnsi="宋体" w:eastAsia="宋体"/>
          <w:color w:val="000000"/>
          <w:szCs w:val="21"/>
          <w:highlight w:val="none"/>
          <w:lang w:val="en-US" w:eastAsia="zh-CN"/>
        </w:rPr>
      </w:r>
      <w:r/>
    </w:p>
    <w:p>
      <w:pPr>
        <w:pStyle w:val="1096"/>
        <w:spacing w:line="360" w:lineRule="auto"/>
        <w:tabs>
          <w:tab w:val="clear" w:pos="360" w:leader="none"/>
        </w:tabs>
        <w:rPr>
          <w:rFonts w:hint="eastAsia" w:ascii="宋体" w:hAnsi="宋体" w:eastAsia="宋体"/>
          <w:color w:val="000000"/>
          <w:spacing w:val="-6"/>
          <w:sz w:val="21"/>
          <w:szCs w:val="21"/>
          <w:highlight w:val="none"/>
        </w:rPr>
      </w:pPr>
      <w:r>
        <w:rPr>
          <w:rFonts w:hint="eastAsia" w:ascii="宋体" w:hAnsi="宋体" w:eastAsia="宋体"/>
          <w:color w:val="000000"/>
          <w:spacing w:val="-6"/>
          <w:sz w:val="21"/>
          <w:szCs w:val="21"/>
          <w:highlight w:val="none"/>
        </w:rPr>
      </w:r>
      <w:r/>
    </w:p>
    <w:p>
      <w:pPr>
        <w:pStyle w:val="1097"/>
        <w:rPr>
          <w:rFonts w:hint="eastAsia" w:ascii="宋体" w:hAnsi="宋体" w:eastAsia="宋体"/>
          <w:color w:val="000000"/>
          <w:sz w:val="21"/>
          <w:szCs w:val="21"/>
          <w:highlight w:val="none"/>
          <w:lang w:val="en"/>
        </w:rPr>
      </w:pPr>
      <w:r>
        <w:rPr>
          <w:rFonts w:hint="eastAsia" w:ascii="宋体" w:hAnsi="宋体" w:eastAsia="宋体"/>
          <w:color w:val="000000"/>
          <w:sz w:val="21"/>
          <w:szCs w:val="21"/>
          <w:highlight w:val="none"/>
          <w:lang w:val="en"/>
        </w:rPr>
      </w:r>
      <w:r/>
    </w:p>
    <w:p>
      <w:pPr>
        <w:pStyle w:val="1098"/>
        <w:ind w:firstLine="420"/>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99"/>
        <w:ind w:firstLine="420"/>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100"/>
        <w:rPr>
          <w:rFonts w:hint="eastAsia" w:ascii="宋体" w:hAnsi="宋体" w:eastAsia="宋体"/>
          <w:color w:val="000000"/>
          <w:sz w:val="21"/>
          <w:szCs w:val="21"/>
          <w:highlight w:val="none"/>
          <w:lang w:val="en" w:eastAsia="zh-CN"/>
        </w:rPr>
      </w:pPr>
      <w:r>
        <w:rPr>
          <w:rFonts w:hint="eastAsia" w:ascii="宋体" w:hAnsi="宋体" w:eastAsia="宋体"/>
          <w:color w:val="000000"/>
          <w:sz w:val="21"/>
          <w:szCs w:val="21"/>
          <w:highlight w:val="none"/>
          <w:lang w:val="en" w:eastAsia="zh-CN"/>
        </w:rPr>
      </w:r>
      <w:r/>
    </w:p>
    <w:p>
      <w:pPr>
        <w:pStyle w:val="1101"/>
        <w:rPr>
          <w:rFonts w:ascii="宋体" w:hAnsi="宋体"/>
          <w:color w:val="000000"/>
          <w:szCs w:val="21"/>
          <w:highlight w:val="none"/>
          <w:lang w:val="en"/>
        </w:rPr>
      </w:pPr>
      <w:r>
        <w:rPr>
          <w:rFonts w:ascii="宋体" w:hAnsi="宋体"/>
          <w:color w:val="000000"/>
          <w:szCs w:val="21"/>
          <w:highlight w:val="none"/>
          <w:lang w:val="en"/>
        </w:rPr>
      </w:r>
      <w:r/>
    </w:p>
    <w:p>
      <w:pPr>
        <w:pStyle w:val="1126"/>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14"/>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1014"/>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具备履行合同所必需的设备和专业技术能力的书面声明</w:t>
      </w:r>
      <w:r>
        <w:rPr>
          <w:rFonts w:hint="eastAsia" w:ascii="宋体" w:hAnsi="宋体"/>
          <w:b/>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参加本次政府采购活动前 3 年内在经营活动中没有重大违法记录的书面声明</w:t>
      </w:r>
      <w:r>
        <w:rPr>
          <w:rFonts w:hint="eastAsia" w:ascii="宋体" w:hAnsi="宋体"/>
          <w:b/>
          <w:bCs/>
          <w:color w:val="000000"/>
          <w:szCs w:val="21"/>
          <w:highlight w:val="none"/>
        </w:rPr>
      </w:r>
      <w:r/>
    </w:p>
    <w:p>
      <w:pPr>
        <w:pStyle w:val="1014"/>
        <w:jc w:val="center"/>
        <w:spacing w:after="312"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声  明</w:t>
      </w:r>
      <w:r>
        <w:rPr>
          <w:rFonts w:hint="eastAsia" w:ascii="宋体" w:hAnsi="宋体"/>
          <w:b/>
          <w:bCs/>
          <w:color w:val="000000"/>
          <w:szCs w:val="21"/>
          <w:highlight w:val="none"/>
        </w:rPr>
      </w:r>
      <w:r/>
    </w:p>
    <w:p>
      <w:pPr>
        <w:pStyle w:val="1014"/>
        <w:spacing w:line="480" w:lineRule="auto"/>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投标人名称（公章）：</w:t>
      </w:r>
      <w:r>
        <w:rPr>
          <w:rFonts w:hint="eastAsia" w:ascii="宋体" w:hAnsi="宋体"/>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法定代表人或授权代表签字：</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1014"/>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102"/>
        <w:numPr>
          <w:ilvl w:val="0"/>
          <w:numId w:val="0"/>
        </w:numPr>
        <w:ind w:left="3360"/>
        <w:rPr>
          <w:rFonts w:hint="eastAsia" w:ascii="宋体" w:hAnsi="宋体"/>
          <w:b/>
          <w:bCs/>
          <w:color w:val="000000"/>
          <w:highlight w:val="none"/>
        </w:rPr>
      </w:pPr>
      <w:r>
        <w:rPr>
          <w:rFonts w:hint="eastAsia" w:ascii="宋体" w:hAnsi="宋体"/>
          <w:b/>
          <w:color w:val="000000"/>
          <w:szCs w:val="21"/>
          <w:highlight w:val="none"/>
        </w:rPr>
        <w:t xml:space="preserve">投标人信用承诺书</w:t>
      </w:r>
      <w:r>
        <w:rPr>
          <w:rFonts w:hint="eastAsia" w:ascii="宋体" w:hAnsi="宋体"/>
          <w:b/>
          <w:color w:val="000000"/>
          <w:szCs w:val="21"/>
          <w:highlight w:val="none"/>
        </w:rPr>
      </w:r>
      <w:r/>
    </w:p>
    <w:p>
      <w:pPr>
        <w:pStyle w:val="1102"/>
        <w:numPr>
          <w:ilvl w:val="0"/>
          <w:numId w:val="0"/>
        </w:numPr>
        <w:ind w:left="420"/>
        <w:rPr>
          <w:rFonts w:hint="eastAsia" w:ascii="宋体" w:hAnsi="宋体"/>
          <w:b/>
          <w:color w:val="000000"/>
          <w:szCs w:val="21"/>
          <w:highlight w:val="none"/>
        </w:rPr>
      </w:pPr>
      <w:r>
        <w:rPr>
          <w:rFonts w:hint="eastAsia" w:ascii="宋体" w:hAnsi="宋体"/>
          <w:b/>
          <w:color w:val="000000"/>
          <w:szCs w:val="21"/>
          <w:highlight w:val="none"/>
        </w:rPr>
      </w:r>
      <w:r/>
    </w:p>
    <w:p>
      <w:pPr>
        <w:pStyle w:val="1014"/>
        <w:spacing w:line="312" w:lineRule="auto"/>
        <w:rPr>
          <w:rFonts w:hint="eastAsia" w:ascii="宋体" w:hAnsi="宋体"/>
          <w:color w:val="000000"/>
          <w:szCs w:val="21"/>
          <w:highlight w:val="none"/>
        </w:rPr>
      </w:pPr>
      <w:r>
        <w:rPr>
          <w:rFonts w:hint="eastAsia" w:ascii="宋体" w:hAnsi="宋体"/>
          <w:color w:val="000000"/>
          <w:szCs w:val="21"/>
          <w:highlight w:val="none"/>
        </w:rPr>
        <w:t xml:space="preserve">承诺主体名称：</w:t>
      </w:r>
      <w:r>
        <w:rPr>
          <w:rFonts w:hint="eastAsia" w:ascii="宋体" w:hAnsi="宋体"/>
          <w:color w:val="000000"/>
          <w:szCs w:val="21"/>
          <w:highlight w:val="none"/>
        </w:rPr>
      </w:r>
      <w:r/>
    </w:p>
    <w:p>
      <w:pPr>
        <w:pStyle w:val="1014"/>
        <w:spacing w:line="312" w:lineRule="auto"/>
        <w:rPr>
          <w:rFonts w:hint="eastAsia" w:ascii="宋体" w:hAnsi="宋体"/>
          <w:color w:val="000000"/>
          <w:szCs w:val="21"/>
          <w:highlight w:val="none"/>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1102"/>
        <w:spacing w:line="312"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承诺单位（签章）：</w:t>
      </w: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法定代表人（负责人）：</w:t>
      </w: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年    月    日</w:t>
      </w: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shd w:val="nil" w:color="auto"/>
        <w:rPr>
          <w:rFonts w:hint="eastAsia" w:ascii="宋体" w:hAnsi="宋体"/>
          <w:b/>
          <w:bCs/>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r>
      <w:r/>
    </w:p>
    <w:p>
      <w:pPr>
        <w:pStyle w:val="1133"/>
        <w:ind w:firstLine="422"/>
        <w:jc w:val="center"/>
        <w:spacing w:after="312" w:line="360" w:lineRule="auto"/>
        <w:tabs>
          <w:tab w:val="clear" w:pos="360" w:leader="none"/>
        </w:tabs>
        <w:rPr>
          <w:rFonts w:hint="eastAsia" w:ascii="宋体" w:hAnsi="宋体"/>
          <w:b/>
          <w:bCs/>
          <w:color w:val="000000"/>
          <w:sz w:val="21"/>
          <w:szCs w:val="21"/>
          <w:highlight w:val="none"/>
        </w:rPr>
      </w:pPr>
      <w:r>
        <w:rPr>
          <w:rFonts w:hint="eastAsia" w:ascii="宋体" w:hAnsi="宋体"/>
          <w:b/>
          <w:color w:val="000000"/>
          <w:sz w:val="21"/>
          <w:szCs w:val="21"/>
          <w:highlight w:val="none"/>
        </w:rPr>
        <w:t xml:space="preserve">法人授权书</w:t>
      </w:r>
      <w:r>
        <w:rPr>
          <w:rFonts w:hint="eastAsia" w:ascii="宋体" w:hAnsi="宋体"/>
          <w:b/>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133"/>
        <w:ind w:firstLine="0"/>
        <w:spacing w:line="360" w:lineRule="auto"/>
        <w:tabs>
          <w:tab w:val="clear"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133"/>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单位地址：</w:t>
      </w:r>
      <w:r>
        <w:rPr>
          <w:color w:val="000000"/>
          <w:sz w:val="21"/>
          <w:szCs w:val="21"/>
          <w:highlight w:val="none"/>
          <w:u w:val="single"/>
        </w:rPr>
        <w:t xml:space="preserve">                                         </w:t>
      </w:r>
      <w:r>
        <w:rPr>
          <w:rFonts w:hint="eastAsia"/>
          <w:color w:val="000000"/>
          <w:sz w:val="21"/>
          <w:szCs w:val="21"/>
          <w:highlight w:val="none"/>
        </w:rPr>
      </w:r>
      <w:r/>
    </w:p>
    <w:p>
      <w:pPr>
        <w:pStyle w:val="1133"/>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rFonts w:hint="eastAsia"/>
          <w:color w:val="000000"/>
          <w:sz w:val="21"/>
          <w:szCs w:val="21"/>
          <w:highlight w:val="none"/>
        </w:rPr>
      </w:r>
      <w:r/>
    </w:p>
    <w:p>
      <w:pPr>
        <w:pStyle w:val="1014"/>
        <w:spacing w:line="360" w:lineRule="auto"/>
        <w:rPr>
          <w:rFonts w:ascii="宋体" w:hAnsi="宋体"/>
          <w:bCs/>
          <w:color w:val="000000"/>
          <w:highlight w:val="none"/>
        </w:rPr>
      </w:pPr>
      <w:r>
        <w:rPr>
          <w:rFonts w:ascii="宋体" w:hAnsi="宋体"/>
          <w:bCs/>
          <w:color w:val="000000"/>
          <w:highlight w:val="none"/>
        </w:rPr>
      </w:r>
      <w:r/>
    </w:p>
    <w:p>
      <w:pPr>
        <w:pStyle w:val="1014"/>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000000"/>
          <w:highlight w:val="none"/>
        </w:rPr>
        <w:t xml:space="preserve">被授权人身份证复印</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pStyle w:val="1014"/>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t xml:space="preserve">二、</w:t>
      </w:r>
      <w:r>
        <w:rPr>
          <w:rFonts w:hint="eastAsia" w:ascii="宋体" w:hAnsi="宋体"/>
          <w:b/>
          <w:color w:val="000000"/>
          <w:szCs w:val="21"/>
          <w:highlight w:val="none"/>
        </w:rPr>
        <w:t xml:space="preserve">符合性审查响应对照表</w:t>
      </w: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79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符合性审查响应内容</w:t>
            </w:r>
            <w:r>
              <w:rPr>
                <w:rFonts w:hint="eastAsia" w:ascii="宋体" w:hAnsi="宋体"/>
                <w:b/>
                <w:color w:val="000000"/>
                <w:szCs w:val="21"/>
                <w:highlight w:val="none"/>
              </w:rPr>
            </w:r>
            <w:r/>
          </w:p>
        </w:tc>
        <w:tc>
          <w:tcPr>
            <w:tcW w:w="200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348"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348"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pStyle w:val="114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92"/>
        <w:ind w:firstLine="474"/>
        <w:rPr>
          <w:rFonts w:hint="eastAsia" w:ascii="宋体" w:hAnsi="宋体"/>
          <w:b/>
          <w:bCs/>
          <w:color w:val="000000"/>
          <w:sz w:val="21"/>
          <w:szCs w:val="21"/>
          <w:highlight w:val="none"/>
          <w:lang w:bidi="ar"/>
        </w:rPr>
      </w:pPr>
      <w:r>
        <w:rPr>
          <w:rFonts w:hint="eastAsia" w:ascii="宋体" w:hAnsi="宋体"/>
          <w:b/>
          <w:bCs/>
          <w:color w:val="000000"/>
          <w:sz w:val="21"/>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br w:type="page" w:clear="all"/>
      </w:r>
      <w:r>
        <w:rPr>
          <w:rFonts w:hint="eastAsia" w:ascii="宋体" w:hAnsi="宋体"/>
          <w:b/>
          <w:color w:val="000000"/>
          <w:sz w:val="21"/>
          <w:szCs w:val="21"/>
          <w:highlight w:val="none"/>
          <w:lang w:val="en-US" w:eastAsia="zh-CN" w:bidi="ar-SA"/>
        </w:rPr>
        <w:t xml:space="preserve">三、</w:t>
      </w:r>
      <w:r>
        <w:rPr>
          <w:rFonts w:hint="eastAsia" w:ascii="宋体" w:hAnsi="宋体"/>
          <w:b/>
          <w:color w:val="000000"/>
          <w:szCs w:val="21"/>
          <w:highlight w:val="none"/>
        </w:rPr>
        <w:t xml:space="preserve">非实质性响应对照表</w:t>
      </w:r>
      <w:r>
        <w:rPr>
          <w:rFonts w:hint="eastAsia" w:ascii="宋体" w:hAnsi="宋体"/>
          <w:b/>
          <w:color w:val="000000"/>
          <w:szCs w:val="21"/>
          <w:highlight w:val="none"/>
        </w:rPr>
      </w:r>
      <w:r/>
    </w:p>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57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非实质性响应内容</w:t>
            </w:r>
            <w:r>
              <w:rPr>
                <w:rFonts w:hint="eastAsia" w:ascii="宋体" w:hAnsi="宋体"/>
                <w:b/>
                <w:color w:val="000000"/>
                <w:szCs w:val="21"/>
                <w:highlight w:val="none"/>
              </w:rPr>
            </w:r>
            <w:r/>
          </w:p>
        </w:tc>
        <w:tc>
          <w:tcPr>
            <w:tcW w:w="1968"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491"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57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《企业声明函》</w:t>
            </w:r>
            <w:r>
              <w:rPr>
                <w:rFonts w:hint="eastAsia" w:ascii="宋体" w:hAnsi="宋体"/>
                <w:color w:val="000000"/>
                <w:szCs w:val="21"/>
                <w:highlight w:val="none"/>
              </w:rPr>
            </w:r>
            <w:r/>
          </w:p>
        </w:tc>
        <w:tc>
          <w:tcPr>
            <w:tcW w:w="1968"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491"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57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《残疾人福利性单位声明函》</w:t>
            </w:r>
            <w:r>
              <w:rPr>
                <w:rFonts w:hint="eastAsia" w:ascii="宋体" w:hAnsi="宋体"/>
                <w:color w:val="000000"/>
                <w:szCs w:val="21"/>
                <w:highlight w:val="none"/>
              </w:rPr>
            </w:r>
            <w:r/>
          </w:p>
        </w:tc>
        <w:tc>
          <w:tcPr>
            <w:tcW w:w="196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57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196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jc w:val="center"/>
        <w:spacing w:line="360" w:lineRule="auto"/>
        <w:rPr>
          <w:rFonts w:hint="eastAsia" w:ascii="宋体" w:hAnsi="宋体"/>
          <w:b/>
          <w:bCs/>
          <w:color w:val="000000"/>
          <w:szCs w:val="21"/>
          <w:highlight w:val="none"/>
          <w:lang w:bidi="ar"/>
        </w:rPr>
      </w:pPr>
      <w:r>
        <w:rPr>
          <w:rFonts w:hint="eastAsia" w:ascii="宋体" w:hAnsi="宋体"/>
          <w:b/>
          <w:bCs/>
          <w:color w:val="000000"/>
          <w:szCs w:val="21"/>
          <w:highlight w:val="none"/>
          <w:lang w:bidi="ar"/>
        </w:rPr>
        <w:br w:type="page" w:clear="all"/>
      </w:r>
      <w:r>
        <w:rPr>
          <w:rFonts w:hint="eastAsia" w:ascii="宋体" w:hAnsi="宋体"/>
          <w:b/>
          <w:bCs/>
          <w:color w:val="000000"/>
          <w:szCs w:val="21"/>
          <w:highlight w:val="none"/>
        </w:rPr>
        <w:t xml:space="preserve">中小企业声明函（</w:t>
      </w:r>
      <w:r>
        <w:rPr>
          <w:rFonts w:hint="eastAsia" w:ascii="宋体" w:hAnsi="宋体"/>
          <w:b/>
          <w:bCs/>
          <w:color w:val="000000"/>
          <w:szCs w:val="21"/>
          <w:highlight w:val="none"/>
          <w:lang w:val="en-US" w:eastAsia="zh-CN"/>
        </w:rPr>
        <w:t xml:space="preserve">货物、</w:t>
      </w:r>
      <w:r>
        <w:rPr>
          <w:rFonts w:hint="eastAsia" w:ascii="宋体" w:hAnsi="宋体"/>
          <w:b/>
          <w:bCs/>
          <w:color w:val="000000"/>
          <w:szCs w:val="21"/>
          <w:highlight w:val="none"/>
          <w:lang w:val="en-US" w:eastAsia="zh-CN"/>
        </w:rPr>
        <w:t xml:space="preserve">服务</w:t>
      </w:r>
      <w:r>
        <w:rPr>
          <w:rFonts w:hint="eastAsia" w:ascii="宋体" w:hAnsi="宋体"/>
          <w:b/>
          <w:bCs/>
          <w:color w:val="000000"/>
          <w:szCs w:val="21"/>
          <w:highlight w:val="none"/>
        </w:rPr>
        <w:t xml:space="preserve">）</w:t>
      </w:r>
      <w:r>
        <w:rPr>
          <w:rFonts w:hint="eastAsia" w:ascii="宋体" w:hAnsi="宋体"/>
          <w:b/>
          <w:bCs/>
          <w:color w:val="000000"/>
          <w:szCs w:val="21"/>
          <w:highlight w:val="none"/>
          <w:lang w:bidi="ar"/>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 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w:t>
      </w:r>
      <w:r>
        <w:rPr>
          <w:rFonts w:hint="eastAsia" w:ascii="宋体" w:hAnsi="宋体" w:eastAsia="宋体" w:cs="Times New Roman"/>
          <w:color w:val="000000"/>
          <w:szCs w:val="21"/>
          <w:highlight w:val="none"/>
        </w:rPr>
        <w:t xml:space="preserve">提供的货物全部全部为符合政策要求的中小企业（或者：</w:t>
      </w:r>
      <w:r>
        <w:rPr>
          <w:rFonts w:hint="eastAsia" w:ascii="宋体" w:hAnsi="宋体" w:eastAsia="宋体" w:cs="Times New Roman"/>
          <w:color w:val="000000"/>
          <w:szCs w:val="21"/>
          <w:highlight w:val="none"/>
          <w:lang w:eastAsia="zh-CN"/>
        </w:rPr>
        <w:t xml:space="preserve">项目</w:t>
      </w:r>
      <w:r>
        <w:rPr>
          <w:rFonts w:hint="eastAsia" w:ascii="宋体" w:hAnsi="宋体" w:eastAsia="宋体" w:cs="Times New Roman"/>
          <w:color w:val="000000"/>
          <w:szCs w:val="21"/>
          <w:highlight w:val="none"/>
        </w:rPr>
        <w:t xml:space="preserve">的施工单位全部为符合政策要求的中小企业）</w:t>
      </w:r>
      <w:r>
        <w:rPr>
          <w:rFonts w:hint="eastAsia" w:ascii="宋体" w:hAnsi="宋体"/>
          <w:color w:val="000000"/>
          <w:szCs w:val="21"/>
          <w:highlight w:val="none"/>
        </w:rPr>
        <w:t xml:space="preserve">。相关企业（含联合体中的中小企业、签订分包意向协议的中小企业）的具体情况如下：</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注</w:t>
      </w:r>
      <w:r>
        <w:rPr>
          <w:rFonts w:hint="eastAsia" w:ascii="宋体" w:hAnsi="宋体"/>
          <w:color w:val="000000"/>
          <w:szCs w:val="21"/>
          <w:highlight w:val="none"/>
        </w:rPr>
        <w:t xml:space="preserve">：1、从业人员（不仅指在职职工）、营业收入、资产总额填报上一年度数据，无上一年度数据的新成立企业可不填报。</w:t>
      </w:r>
      <w:r>
        <w:rPr>
          <w:rFonts w:hint="eastAsia" w:ascii="宋体" w:hAnsi="宋体"/>
          <w:b/>
          <w:bCs/>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2、投标人如不提供此声明函，价格将不做相应扣除。</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    3、企业声明函请完整填写，中标后将公示。</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6、《政府采购法》第七十七条第一款：提供虚假材料谋取中标、成交的，处以采购金额千分之五以上千分之十以下的罚款，列入不良行为记录名单，在一至</w:t>
      </w:r>
      <w:r>
        <w:rPr>
          <w:rFonts w:hint="eastAsia" w:ascii="宋体" w:hAnsi="宋体"/>
          <w:color w:val="000000"/>
          <w:szCs w:val="21"/>
          <w:highlight w:val="none"/>
          <w:lang w:eastAsia="zh-CN"/>
        </w:rPr>
        <w:t xml:space="preserve">合同签订后60个日历天完成供货</w:t>
      </w:r>
      <w:r>
        <w:rPr>
          <w:rFonts w:hint="eastAsia" w:ascii="宋体" w:hAnsi="宋体"/>
          <w:color w:val="000000"/>
          <w:szCs w:val="21"/>
          <w:highlight w:val="none"/>
        </w:rPr>
        <w:t xml:space="preserve">内禁止参加政府采购活动，有违法所得的，并处没收违法所得，情节严重的，由工商行政管理机关吊销营业执照；构成犯罪的，依法追究刑事责任 。</w:t>
      </w:r>
      <w:r>
        <w:rPr>
          <w:rFonts w:hint="eastAsia" w:ascii="宋体" w:hAnsi="宋体"/>
          <w:color w:val="000000"/>
          <w:szCs w:val="21"/>
          <w:highlight w:val="none"/>
        </w:rPr>
      </w:r>
      <w:r/>
    </w:p>
    <w:p>
      <w:pPr>
        <w:pStyle w:val="1014"/>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企业名称（盖章）：</w:t>
      </w:r>
      <w:r>
        <w:rPr>
          <w:rFonts w:hint="eastAsia" w:ascii="宋体" w:hAnsi="宋体"/>
          <w:color w:val="000000"/>
          <w:szCs w:val="21"/>
          <w:highlight w:val="none"/>
        </w:rPr>
      </w:r>
      <w:r/>
    </w:p>
    <w:p>
      <w:pPr>
        <w:pStyle w:val="1014"/>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82"/>
        <w:spacing w:before="300" w:after="300" w:line="360" w:lineRule="auto"/>
        <w:widowControl/>
        <w:rPr>
          <w:rFonts w:hint="eastAsia" w:ascii="宋体" w:hAnsi="宋体" w:eastAsia="宋体"/>
          <w:bCs w:val="0"/>
          <w:color w:val="000000"/>
          <w:sz w:val="21"/>
          <w:szCs w:val="21"/>
          <w:highlight w:val="none"/>
        </w:rPr>
        <w:outlineLvl w:val="9"/>
      </w:pPr>
      <w:r/>
      <w:bookmarkStart w:id="87" w:name="_Toc109304977"/>
      <w:r/>
      <w:bookmarkEnd w:id="87"/>
      <w:r/>
      <w:bookmarkStart w:id="88" w:name="_Toc25720"/>
      <w:r/>
      <w:bookmarkStart w:id="89" w:name="_Toc27095"/>
      <w:r>
        <w:rPr>
          <w:rFonts w:hint="eastAsia" w:ascii="宋体" w:hAnsi="宋体" w:eastAsia="宋体"/>
          <w:bCs w:val="0"/>
          <w:color w:val="000000"/>
          <w:sz w:val="21"/>
          <w:szCs w:val="21"/>
          <w:highlight w:val="none"/>
        </w:rPr>
        <w:t xml:space="preserve">中小微企业划型标准 </w:t>
      </w:r>
      <w:bookmarkEnd w:id="88"/>
      <w:r/>
      <w:bookmarkEnd w:id="89"/>
      <w:r>
        <w:rPr>
          <w:rFonts w:hint="eastAsia" w:ascii="宋体" w:hAnsi="宋体" w:eastAsia="宋体"/>
          <w:bCs w:val="0"/>
          <w:color w:val="000000"/>
          <w:sz w:val="21"/>
          <w:szCs w:val="21"/>
          <w:highlight w:val="none"/>
        </w:rPr>
      </w:r>
      <w:r/>
    </w:p>
    <w:p>
      <w:pPr>
        <w:pStyle w:val="1115"/>
        <w:ind w:firstLine="420"/>
        <w:spacing w:before="300" w:after="452" w:line="360" w:lineRule="auto"/>
        <w:rPr>
          <w:rFonts w:hint="eastAsia"/>
          <w:color w:val="000000"/>
          <w:sz w:val="21"/>
          <w:szCs w:val="21"/>
          <w:highlight w:val="none"/>
        </w:rPr>
      </w:pPr>
      <w:r>
        <w:rPr>
          <w:rStyle w:val="1047"/>
          <w:rFonts w:hint="eastAsia"/>
          <w:color w:val="000000"/>
          <w:sz w:val="21"/>
          <w:szCs w:val="21"/>
          <w:highlight w:val="none"/>
        </w:rPr>
        <w:t xml:space="preserve">中小微企业划型标准如下：</w:t>
      </w:r>
      <w:r>
        <w:rPr>
          <w:rFonts w:hint="eastAsia"/>
          <w:color w:val="000000"/>
          <w:sz w:val="21"/>
          <w:szCs w:val="21"/>
          <w:highlight w:val="none"/>
        </w:rPr>
      </w:r>
      <w:r/>
    </w:p>
    <w:tbl>
      <w:tblPr>
        <w:tblW w:w="0" w:type="auto"/>
        <w:tblCellSpacing w:w="15" w:type="dxa"/>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907"/>
        <w:gridCol w:w="1687"/>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行业名称</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指标名称</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计量单位</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中型</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小型</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微型</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农、林、牧、渔</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500≤Y＜20000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50≤Y＜500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Y＜50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工业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300≤X＜1000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20≤X＜300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X＜20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2000≤Y＜40000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300≤Y＜2000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Y＜300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建筑业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6000≤Y＜80000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300≤Y＜6000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Y＜300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资产总额（Z）</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5000≤Z＜80000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300≤Z＜5000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Z＜300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批发业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20≤X＜200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5≤X＜20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X＜5</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5000≤Y＜40000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1000≤Y＜5000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零售业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10≤X＜50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500≤Y＜20000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100≤Y＜500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交通运输业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300≤X＜1000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20≤X＜300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X＜20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3000≤Y＜30000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200≤Y＜3000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Y＜200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仓储业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100≤X＜200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X＜20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1000≤Y＜30000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100≤Y＜1000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邮政业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300≤X＜1000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20≤X＜300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X＜20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2000≤Y＜30000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100≤Y＜2000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住宿业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2000≤Y＜10000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100≤Y＜2000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餐饮业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2000≤Y＜10000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100≤Y＜2000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信息传输业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100≤X＜2000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1000≤Y＜100000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100≤Y＜1000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软件和信息技术服务业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1000≤Y＜10000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50≤Y＜1000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Y＜50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房地产开发经营</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1000≤Y＜200000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100≤X＜1000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资产总额（Z）</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5000≤Z＜10000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2000≤Y＜5000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Y＜2000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物业管理</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300≤X＜1000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营业收入（Y）</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1000≤Y＜5000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500≤Y＜1000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Y＜500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租赁和商务服务业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4"/>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资产总额（Z）</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万元</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8000≤Z＜120000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100≤Z＜8000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Y＜100</w:t>
            </w:r>
            <w:r>
              <w:rPr>
                <w:rStyle w:val="1047"/>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其他未列明行业</w:t>
            </w:r>
            <w:r>
              <w:rPr>
                <w:rStyle w:val="1047"/>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从业人员（X）</w:t>
            </w:r>
            <w:r>
              <w:rPr>
                <w:rStyle w:val="1047"/>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人</w:t>
            </w:r>
            <w:r>
              <w:rPr>
                <w:rStyle w:val="1047"/>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100≤X＜300</w:t>
            </w:r>
            <w:r>
              <w:rPr>
                <w:rStyle w:val="1047"/>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5"/>
              <w:ind w:firstLine="0"/>
              <w:jc w:val="center"/>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10≤X＜100</w:t>
            </w:r>
            <w:r>
              <w:rPr>
                <w:rStyle w:val="1047"/>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5"/>
              <w:ind w:firstLine="0"/>
              <w:keepLines w:val="0"/>
              <w:keepNext w:val="0"/>
              <w:pageBreakBefore w:val="0"/>
              <w:spacing w:before="0" w:beforeAutospacing="0" w:after="0" w:afterAutospacing="0" w:line="360" w:lineRule="auto"/>
              <w:widowControl/>
              <w:rPr>
                <w:rStyle w:val="1047"/>
                <w:rFonts w:hint="eastAsia"/>
                <w:color w:val="000000"/>
                <w:sz w:val="21"/>
                <w:szCs w:val="21"/>
                <w:highlight w:val="none"/>
              </w:rPr>
            </w:pPr>
            <w:r>
              <w:rPr>
                <w:rStyle w:val="1047"/>
                <w:rFonts w:hint="eastAsia"/>
                <w:color w:val="000000"/>
                <w:sz w:val="21"/>
                <w:szCs w:val="21"/>
                <w:highlight w:val="none"/>
              </w:rPr>
              <w:t xml:space="preserve">X＜10</w:t>
            </w:r>
            <w:r>
              <w:rPr>
                <w:rStyle w:val="1047"/>
                <w:rFonts w:hint="eastAsia"/>
                <w:color w:val="000000"/>
                <w:sz w:val="21"/>
                <w:szCs w:val="21"/>
                <w:highlight w:val="none"/>
              </w:rPr>
            </w:r>
            <w:r/>
          </w:p>
        </w:tc>
      </w:tr>
    </w:tbl>
    <w:p>
      <w:pPr>
        <w:pStyle w:val="1115"/>
        <w:ind w:firstLine="420"/>
        <w:spacing w:before="300" w:after="452" w:line="360" w:lineRule="auto"/>
        <w:rPr>
          <w:rFonts w:hint="eastAsia" w:ascii="宋体" w:hAnsi="宋体"/>
          <w:b/>
          <w:bCs/>
          <w:color w:val="000000"/>
          <w:szCs w:val="21"/>
          <w:highlight w:val="none"/>
          <w:lang w:bidi="ar"/>
        </w:rPr>
      </w:pPr>
      <w:r>
        <w:rPr>
          <w:rStyle w:val="1047"/>
          <w:rFonts w:hint="eastAsia"/>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b/>
          <w:bCs/>
          <w:color w:val="000000"/>
          <w:szCs w:val="21"/>
          <w:highlight w:val="none"/>
          <w:lang w:bidi="ar"/>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t xml:space="preserve">残疾人福利性单位声明函</w:t>
      </w:r>
      <w:r>
        <w:rPr>
          <w:rFonts w:hint="eastAsia" w:ascii="宋体" w:hAnsi="宋体"/>
          <w:b/>
          <w:bCs/>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olor w:val="000000"/>
          <w:szCs w:val="21"/>
          <w:highlight w:val="none"/>
          <w:lang w:eastAsia="zh-CN" w:bidi="ar"/>
        </w:rPr>
        <w:t xml:space="preserve">江苏鼎坚工程咨询有限公司扬州分公司</w:t>
      </w:r>
      <w:r>
        <w:rPr>
          <w:rFonts w:hint="eastAsia" w:ascii="宋体" w:hAnsi="宋体"/>
          <w:color w:val="000000"/>
          <w:szCs w:val="21"/>
          <w:highlight w:val="none"/>
          <w:lang w:bidi="ar"/>
        </w:rPr>
        <w:t xml:space="preserve">采购编号为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的项目采购活动提供本单位制造的货物（由本单位承担</w:t>
      </w:r>
      <w:r>
        <w:rPr>
          <w:rFonts w:hint="eastAsia" w:ascii="宋体" w:hAnsi="宋体"/>
          <w:color w:val="000000"/>
          <w:szCs w:val="21"/>
          <w:highlight w:val="none"/>
          <w:lang w:eastAsia="zh-CN" w:bidi="ar"/>
        </w:rPr>
        <w:t xml:space="preserve">项目</w:t>
      </w:r>
      <w:r>
        <w:rPr>
          <w:rFonts w:hint="eastAsia" w:ascii="宋体" w:hAnsi="宋体"/>
          <w:color w:val="000000"/>
          <w:szCs w:val="21"/>
          <w:highlight w:val="none"/>
          <w:lang w:bidi="ar"/>
        </w:rPr>
        <w:t xml:space="preserve">/提供服务），或者提供其他残疾人福利性单位制造的货物（不包括使用非残疾人福利性单位注册商标的货物）。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本公司对上述声明的真实性负责。如有虚假，将依法承担相应责任。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企业名称(盖章)：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日 期：</w:t>
      </w:r>
      <w:r>
        <w:rPr>
          <w:rFonts w:hint="eastAsia" w:ascii="宋体" w:hAnsi="宋体"/>
          <w:color w:val="000000"/>
          <w:szCs w:val="21"/>
          <w:highlight w:val="none"/>
          <w:lang w:bidi="ar"/>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71"/>
        <w:ind w:firstLine="359"/>
        <w:jc w:val="left"/>
        <w:spacing w:line="360" w:lineRule="auto"/>
        <w:rPr>
          <w:rFonts w:hint="eastAsia" w:hAnsi="宋体"/>
          <w:color w:val="000000"/>
          <w:sz w:val="21"/>
          <w:highlight w:val="none"/>
        </w:rPr>
      </w:pPr>
      <w:r>
        <w:rPr>
          <w:rFonts w:hint="eastAsia" w:hAnsi="宋体"/>
          <w:color w:val="000000"/>
          <w:sz w:val="21"/>
          <w:highlight w:val="none"/>
        </w:rPr>
        <w:t xml:space="preserve">年      月      日</w:t>
      </w:r>
      <w:r>
        <w:rPr>
          <w:rFonts w:hint="eastAsia" w:hAnsi="宋体"/>
          <w:color w:val="000000"/>
          <w:sz w:val="21"/>
          <w:highlight w:val="none"/>
        </w:rPr>
      </w:r>
      <w:r/>
    </w:p>
    <w:p>
      <w:pPr>
        <w:pStyle w:val="1014"/>
        <w:jc w:val="center"/>
        <w:spacing w:line="85" w:lineRule="atLeast"/>
        <w:rPr>
          <w:rFonts w:ascii="宋体" w:hAnsi="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28"/>
          <w:szCs w:val="28"/>
          <w:highlight w:val="none"/>
        </w:rPr>
        <w:br w:type="page" w:clear="all"/>
      </w:r>
      <w:r>
        <w:rPr>
          <w:rFonts w:ascii="宋体" w:hAnsi="宋体"/>
          <w:b/>
          <w:color w:val="000000"/>
          <w:sz w:val="28"/>
          <w:szCs w:val="28"/>
          <w:highlight w:val="none"/>
        </w:rPr>
        <w:t xml:space="preserve">四、</w:t>
      </w:r>
      <w:r>
        <w:rPr>
          <w:rFonts w:hint="eastAsia" w:ascii="宋体" w:hAnsi="宋体"/>
          <w:b/>
          <w:bCs/>
          <w:color w:val="000000"/>
          <w:sz w:val="28"/>
          <w:szCs w:val="28"/>
          <w:highlight w:val="none"/>
        </w:rPr>
        <w:t xml:space="preserve">开标一览表</w:t>
      </w:r>
      <w:r>
        <w:rPr>
          <w:rFonts w:ascii="宋体" w:hAnsi="宋体"/>
          <w:b/>
          <w:color w:val="000000"/>
          <w:sz w:val="28"/>
          <w:szCs w:val="28"/>
          <w:highlight w:val="none"/>
        </w:rPr>
      </w:r>
      <w:r/>
    </w:p>
    <w:p>
      <w:pPr>
        <w:pStyle w:val="1014"/>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项目名称： </w:t>
      </w:r>
      <w:r>
        <w:rPr>
          <w:rFonts w:ascii="宋体" w:hAnsi="宋体"/>
          <w:color w:val="000000"/>
          <w:sz w:val="21"/>
          <w:szCs w:val="21"/>
          <w:highlight w:val="none"/>
        </w:rPr>
      </w:r>
      <w:r/>
    </w:p>
    <w:p>
      <w:pPr>
        <w:pStyle w:val="1014"/>
        <w:ind w:firstLine="210"/>
        <w:spacing w:line="85" w:lineRule="atLeast"/>
        <w:rPr>
          <w:rFonts w:hint="eastAsia"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项目编号：</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14"/>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lang w:val="en-US" w:eastAsia="zh-CN"/>
        </w:rPr>
        <w:t xml:space="preserve">分包号：</w:t>
      </w:r>
      <w:r>
        <w:rPr>
          <w:rFonts w:hint="eastAsia" w:ascii="宋体" w:hAnsi="宋体"/>
          <w:color w:val="000000"/>
          <w:sz w:val="21"/>
          <w:szCs w:val="21"/>
          <w:highlight w:val="none"/>
        </w:rPr>
        <w:t xml:space="preserve">              </w:t>
      </w:r>
      <w:r>
        <w:rPr>
          <w:rFonts w:ascii="宋体" w:hAnsi="宋体"/>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14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143" w:type="dxa"/>
            <w:vAlign w:val="center"/>
            <w:textDirection w:val="lrTb"/>
            <w:noWrap w:val="false"/>
          </w:tcPr>
          <w:p>
            <w:pPr>
              <w:pStyle w:val="1014"/>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olor w:val="000000"/>
                <w:sz w:val="21"/>
                <w:szCs w:val="21"/>
                <w:highlight w:val="none"/>
              </w:rPr>
              <w:t xml:space="preserve">投标总报价</w:t>
            </w:r>
            <w:r>
              <w:rPr>
                <w:rFonts w:ascii="宋体" w:hAnsi="宋体"/>
                <w:color w:val="000000"/>
                <w:sz w:val="21"/>
                <w:szCs w:val="21"/>
                <w:highlight w:val="none"/>
              </w:rPr>
            </w:r>
            <w:r/>
          </w:p>
        </w:tc>
      </w:tr>
      <w:tr>
        <w:trPr>
          <w:cantSplit/>
          <w:trHeight w:val="1697"/>
        </w:trPr>
        <w:tc>
          <w:tcPr>
            <w:tcW w:w="2377" w:type="dxa"/>
            <w:vAlign w:val="center"/>
            <w:textDirection w:val="lrTb"/>
            <w:noWrap w:val="false"/>
          </w:tcPr>
          <w:p>
            <w:pPr>
              <w:pStyle w:val="114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143" w:type="dxa"/>
            <w:vAlign w:val="center"/>
            <w:textDirection w:val="lrTb"/>
            <w:noWrap w:val="false"/>
          </w:tcPr>
          <w:p>
            <w:pPr>
              <w:pStyle w:val="1103"/>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103"/>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1014"/>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1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日期：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021"/>
        <w:rPr>
          <w:color w:val="000000"/>
          <w:sz w:val="21"/>
          <w:szCs w:val="21"/>
          <w:highlight w:val="none"/>
        </w:rPr>
      </w:pPr>
      <w:r>
        <w:rPr>
          <w:color w:val="000000"/>
          <w:sz w:val="21"/>
          <w:szCs w:val="21"/>
          <w:highlight w:val="none"/>
        </w:rPr>
      </w:r>
      <w:r/>
    </w:p>
    <w:p>
      <w:pPr>
        <w:pStyle w:val="1014"/>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法定代表人或者授权代表（签字或盖章）：</w:t>
      </w:r>
      <w:r>
        <w:rPr>
          <w:rFonts w:ascii="宋体" w:hAnsi="宋体"/>
          <w:color w:val="000000"/>
          <w:sz w:val="21"/>
          <w:szCs w:val="21"/>
          <w:highlight w:val="none"/>
        </w:rPr>
      </w:r>
      <w:r/>
    </w:p>
    <w:p>
      <w:pPr>
        <w:pStyle w:val="1014"/>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全称（盖章）：</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14"/>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92"/>
        <w:rPr>
          <w:color w:val="000000"/>
          <w:highlight w:val="none"/>
        </w:rPr>
      </w:pPr>
      <w:r>
        <w:rPr>
          <w:color w:val="000000"/>
          <w:highlight w:val="none"/>
        </w:rPr>
      </w:r>
      <w:r/>
    </w:p>
    <w:p>
      <w:pPr>
        <w:shd w:val="nil" w:color="auto"/>
        <w:rPr>
          <w:rFonts w:hint="eastAsia" w:ascii="宋体" w:hAnsi="宋体" w:eastAsia="宋体"/>
          <w:b/>
          <w:bCs/>
          <w:color w:val="000000"/>
          <w:highlight w:val="none"/>
          <w:lang w:eastAsia="zh-CN"/>
        </w:rPr>
      </w:pPr>
      <w:r>
        <w:rPr>
          <w:rFonts w:ascii="宋体" w:hAnsi="宋体"/>
          <w:b/>
          <w:color w:val="000000"/>
          <w:szCs w:val="21"/>
          <w:highlight w:val="none"/>
        </w:rPr>
        <w:br w:type="page" w:clear="all"/>
      </w:r>
      <w:r>
        <w:rPr>
          <w:rFonts w:ascii="宋体" w:hAnsi="宋体"/>
          <w:b/>
          <w:color w:val="000000"/>
          <w:szCs w:val="21"/>
          <w:highlight w:val="none"/>
        </w:rPr>
      </w:r>
      <w:r/>
    </w:p>
    <w:p>
      <w:pPr>
        <w:pStyle w:val="1014"/>
        <w:jc w:val="center"/>
        <w:spacing w:after="312" w:line="85" w:lineRule="atLeast"/>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t xml:space="preserve">分项报价表</w:t>
      </w:r>
      <w:r>
        <w:rPr>
          <w:rFonts w:hint="eastAsia" w:ascii="宋体" w:hAnsi="宋体" w:eastAsia="宋体"/>
          <w:b/>
          <w:color w:val="000000"/>
          <w:szCs w:val="21"/>
          <w:highlight w:val="none"/>
          <w:lang w:eastAsia="zh-CN"/>
        </w:rPr>
      </w:r>
      <w:r/>
    </w:p>
    <w:p>
      <w:pPr>
        <w:pStyle w:val="1014"/>
        <w:spacing w:after="312"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投标人</w:t>
      </w:r>
      <w:r>
        <w:rPr>
          <w:rFonts w:ascii="宋体" w:hAnsi="宋体"/>
          <w:color w:val="000000"/>
          <w:szCs w:val="21"/>
          <w:highlight w:val="none"/>
        </w:rPr>
        <w:t xml:space="preserve">全称（加盖公章）：</w:t>
      </w:r>
      <w:r>
        <w:rPr>
          <w:rFonts w:ascii="宋体" w:hAnsi="宋体"/>
          <w:color w:val="000000"/>
          <w:szCs w:val="21"/>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923"/>
        <w:gridCol w:w="923"/>
        <w:gridCol w:w="923"/>
        <w:gridCol w:w="923"/>
        <w:gridCol w:w="923"/>
        <w:gridCol w:w="930"/>
        <w:gridCol w:w="1151"/>
      </w:tblGrid>
      <w:tr>
        <w:trPr>
          <w:cantSplit/>
          <w:trHeight w:val="538"/>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542"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543"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r>
            <w:r/>
          </w:p>
        </w:tc>
        <w:tc>
          <w:tcPr>
            <w:tcW w:w="675" w:type="dxa"/>
            <w:vAlign w:val="center"/>
            <w:textDirection w:val="lrTb"/>
            <w:noWrap w:val="false"/>
          </w:tcPr>
          <w:p>
            <w:pPr>
              <w:pStyle w:val="1014"/>
              <w:jc w:val="center"/>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ascii="宋体" w:hAnsi="宋体" w:eastAsia="宋体"/>
                <w:color w:val="000000"/>
                <w:sz w:val="21"/>
                <w:szCs w:val="21"/>
                <w:highlight w:val="none"/>
                <w:lang w:val="en-US" w:eastAsia="zh-CN"/>
              </w:rPr>
            </w:r>
            <w:r/>
          </w:p>
        </w:tc>
      </w:tr>
      <w:tr>
        <w:trPr>
          <w:cantSplit/>
          <w:trHeight w:val="313"/>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产品名称</w:t>
            </w:r>
            <w:r>
              <w:rPr>
                <w:rFonts w:ascii="宋体" w:hAnsi="宋体"/>
                <w:color w:val="000000"/>
                <w:sz w:val="21"/>
                <w:szCs w:val="21"/>
                <w:highlight w:val="none"/>
              </w:rPr>
            </w:r>
            <w:r/>
          </w:p>
        </w:tc>
        <w:tc>
          <w:tcPr>
            <w:tcW w:w="542" w:type="dxa"/>
            <w:vAlign w:val="center"/>
            <w:textDirection w:val="lrTb"/>
            <w:noWrap w:val="false"/>
          </w:tcPr>
          <w:p>
            <w:pPr>
              <w:pStyle w:val="1014"/>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品牌</w:t>
            </w:r>
            <w:r>
              <w:rPr>
                <w:rFonts w:hint="eastAsia" w:ascii="宋体" w:hAnsi="宋体" w:eastAsia="宋体"/>
                <w:color w:val="000000"/>
                <w:sz w:val="21"/>
                <w:szCs w:val="21"/>
                <w:highlight w:val="none"/>
                <w:lang w:eastAsia="zh-CN"/>
              </w:rPr>
            </w:r>
            <w:r/>
          </w:p>
        </w:tc>
        <w:tc>
          <w:tcPr>
            <w:tcW w:w="542"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数量</w:t>
            </w:r>
            <w:r>
              <w:rPr>
                <w:rFonts w:hint="eastAsia"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产地</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交付期</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单价</w:t>
            </w:r>
            <w:r>
              <w:rPr>
                <w:rFonts w:ascii="宋体" w:hAnsi="宋体"/>
                <w:color w:val="000000"/>
                <w:sz w:val="21"/>
                <w:szCs w:val="21"/>
                <w:highlight w:val="none"/>
              </w:rPr>
            </w:r>
            <w:r/>
          </w:p>
        </w:tc>
        <w:tc>
          <w:tcPr>
            <w:tcW w:w="543" w:type="dxa"/>
            <w:vAlign w:val="center"/>
            <w:textDirection w:val="lrTb"/>
            <w:noWrap w:val="false"/>
          </w:tcPr>
          <w:p>
            <w:pPr>
              <w:pStyle w:val="1014"/>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单位</w:t>
            </w:r>
            <w:r>
              <w:rPr>
                <w:rFonts w:hint="eastAsia" w:ascii="宋体" w:hAnsi="宋体" w:eastAsia="宋体"/>
                <w:color w:val="000000"/>
                <w:sz w:val="21"/>
                <w:szCs w:val="21"/>
                <w:highlight w:val="none"/>
                <w:lang w:eastAsia="zh-CN"/>
              </w:rPr>
            </w:r>
            <w:r/>
          </w:p>
        </w:tc>
        <w:tc>
          <w:tcPr>
            <w:tcW w:w="675"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总价</w:t>
            </w: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573"/>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1019"/>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gridSpan w:val="6"/>
            <w:tcW w:w="5545" w:type="dxa"/>
            <w:vAlign w:val="top"/>
            <w:textDirection w:val="lrTb"/>
            <w:noWrap w:val="false"/>
          </w:tcPr>
          <w:p>
            <w:pPr>
              <w:pStyle w:val="1014"/>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W w:w="675" w:type="dxa"/>
            <w:vAlign w:val="top"/>
            <w:textDirection w:val="lrTb"/>
            <w:noWrap w:val="false"/>
          </w:tcPr>
          <w:p>
            <w:pPr>
              <w:pStyle w:val="1014"/>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14"/>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ind w:firstLine="210"/>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法定代表人或授权代表签字：</w:t>
      </w:r>
      <w:r>
        <w:rPr>
          <w:rFonts w:ascii="宋体" w:hAnsi="宋体"/>
          <w:color w:val="000000"/>
          <w:szCs w:val="21"/>
          <w:highlight w:val="none"/>
        </w:rPr>
      </w:r>
      <w:r/>
    </w:p>
    <w:p>
      <w:pPr>
        <w:pStyle w:val="1014"/>
        <w:spacing w:line="460"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hint="eastAsia" w:ascii="宋体" w:hAnsi="宋体" w:eastAsia="宋体" w:cs="宋体"/>
          <w:b/>
          <w:bCs/>
          <w:i w:val="0"/>
          <w:iCs w:val="0"/>
          <w:color w:val="000000"/>
          <w:sz w:val="21"/>
          <w:szCs w:val="21"/>
          <w:highlight w:val="none"/>
          <w:u w:val="none"/>
          <w:lang w:val="en-US" w:eastAsia="zh-CN"/>
        </w:rPr>
        <w:t xml:space="preserve">备注：投标人可根据项目内容自行增加或详见列出具体分项明细。</w:t>
      </w:r>
      <w:r>
        <w:rPr>
          <w:rFonts w:ascii="宋体" w:hAnsi="宋体"/>
          <w:color w:val="000000"/>
          <w:szCs w:val="21"/>
          <w:highlight w:val="none"/>
        </w:rPr>
      </w:r>
      <w:r/>
    </w:p>
    <w:p>
      <w:pPr>
        <w:pStyle w:val="1014"/>
        <w:jc w:val="center"/>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jc w:val="right"/>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日期：</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82"/>
        <w:spacing w:line="360" w:lineRule="auto"/>
        <w:rPr>
          <w:rFonts w:hint="eastAsia" w:ascii="宋体" w:hAnsi="宋体" w:eastAsia="宋体"/>
          <w:bCs w:val="0"/>
          <w:color w:val="000000"/>
          <w:sz w:val="21"/>
          <w:szCs w:val="21"/>
          <w:highlight w:val="none"/>
        </w:rPr>
        <w:outlineLvl w:val="9"/>
      </w:pPr>
      <w:r>
        <w:rPr>
          <w:rFonts w:hint="eastAsia" w:ascii="宋体" w:hAnsi="宋体" w:eastAsia="宋体"/>
          <w:bCs w:val="0"/>
          <w:color w:val="000000"/>
          <w:sz w:val="21"/>
          <w:szCs w:val="21"/>
          <w:highlight w:val="none"/>
        </w:rPr>
        <w:br w:type="page" w:clear="all"/>
      </w:r>
      <w:bookmarkStart w:id="90" w:name="_Toc21123"/>
      <w:r/>
      <w:bookmarkStart w:id="91" w:name="_Toc13000"/>
      <w:r>
        <w:rPr>
          <w:rFonts w:hint="eastAsia" w:ascii="宋体" w:hAnsi="宋体" w:eastAsia="宋体"/>
          <w:bCs w:val="0"/>
          <w:color w:val="000000"/>
          <w:sz w:val="21"/>
          <w:szCs w:val="21"/>
          <w:highlight w:val="none"/>
        </w:rPr>
        <w:t xml:space="preserve">五、技术参数响应及偏离表</w:t>
      </w:r>
      <w:bookmarkEnd w:id="90"/>
      <w:r/>
      <w:bookmarkEnd w:id="91"/>
      <w:r>
        <w:rPr>
          <w:rFonts w:hint="eastAsia" w:ascii="宋体" w:hAnsi="宋体" w:eastAsia="宋体"/>
          <w:bCs w:val="0"/>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201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shd w:val="nil" w:color="auto"/>
        <w:rPr>
          <w:rFonts w:hint="eastAsia" w:ascii="宋体" w:hAnsi="宋体" w:eastAsia="宋体"/>
          <w:color w:val="000000"/>
          <w:sz w:val="21"/>
          <w:szCs w:val="21"/>
          <w:highlight w:val="none"/>
          <w:lang w:eastAsia="zh-CN"/>
        </w:rPr>
        <w:outlineLvl w:val="9"/>
      </w:pPr>
      <w:r>
        <w:rPr>
          <w:rFonts w:hint="eastAsia" w:ascii="宋体" w:hAnsi="宋体" w:eastAsia="宋体"/>
          <w:bCs w:val="0"/>
          <w:color w:val="000000"/>
          <w:sz w:val="21"/>
          <w:szCs w:val="21"/>
          <w:highlight w:val="none"/>
          <w:lang w:eastAsia="zh-CN"/>
        </w:rPr>
        <w:br w:type="page" w:clear="all"/>
      </w:r>
      <w:r>
        <w:rPr>
          <w:rFonts w:hint="eastAsia" w:ascii="宋体" w:hAnsi="宋体" w:eastAsia="宋体"/>
          <w:bCs w:val="0"/>
          <w:color w:val="000000"/>
          <w:sz w:val="21"/>
          <w:szCs w:val="21"/>
          <w:highlight w:val="none"/>
          <w:lang w:eastAsia="zh-CN"/>
        </w:rPr>
      </w:r>
      <w:r/>
    </w:p>
    <w:p>
      <w:pPr>
        <w:pStyle w:val="1082"/>
        <w:spacing w:line="360" w:lineRule="auto"/>
        <w:rPr>
          <w:rFonts w:hint="eastAsia" w:ascii="宋体" w:hAnsi="宋体" w:eastAsia="宋体"/>
          <w:color w:val="000000"/>
          <w:sz w:val="21"/>
          <w:szCs w:val="21"/>
          <w:highlight w:val="none"/>
          <w:lang w:eastAsia="zh-CN"/>
        </w:rPr>
        <w:outlineLvl w:val="9"/>
      </w:pPr>
      <w:r/>
      <w:bookmarkStart w:id="92" w:name="_Toc14331"/>
      <w:r/>
      <w:bookmarkStart w:id="93" w:name="_Toc9243"/>
      <w:r>
        <w:rPr>
          <w:rFonts w:hint="eastAsia" w:ascii="宋体" w:hAnsi="宋体" w:eastAsia="宋体"/>
          <w:bCs w:val="0"/>
          <w:color w:val="000000"/>
          <w:sz w:val="21"/>
          <w:szCs w:val="21"/>
          <w:highlight w:val="none"/>
        </w:rPr>
        <w:t xml:space="preserve">六、商务条款响应及偏离表</w:t>
      </w:r>
      <w:bookmarkEnd w:id="92"/>
      <w:r/>
      <w:bookmarkEnd w:id="93"/>
      <w:r>
        <w:rPr>
          <w:rFonts w:hint="eastAsia" w:ascii="宋体" w:hAnsi="宋体" w:eastAsia="宋体"/>
          <w:bCs w:val="0"/>
          <w:color w:val="000000"/>
          <w:sz w:val="21"/>
          <w:szCs w:val="21"/>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1829"/>
        <w:gridCol w:w="1230"/>
        <w:gridCol w:w="2004"/>
        <w:gridCol w:w="2006"/>
      </w:tblGrid>
      <w:tr>
        <w:trPr>
          <w:trHeight w:val="64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投标人的承诺或说明</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所在页码位置</w:t>
            </w:r>
            <w:r>
              <w:rPr>
                <w:rFonts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1014"/>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ind w:right="-2"/>
        <w:jc w:val="both"/>
        <w:spacing w:line="85" w:lineRule="atLeast"/>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r>
      <w:r/>
    </w:p>
    <w:p>
      <w:pPr>
        <w:pStyle w:val="1014"/>
        <w:ind w:right="-2"/>
        <w:jc w:val="center"/>
        <w:spacing w:line="85" w:lineRule="atLeast"/>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七、拟投入人员一览表</w:t>
      </w:r>
      <w:r>
        <w:rPr>
          <w:rFonts w:hint="eastAsia" w:ascii="宋体" w:hAnsi="宋体"/>
          <w:b/>
          <w:color w:val="000000"/>
          <w:szCs w:val="21"/>
          <w:highlight w:val="none"/>
        </w:rPr>
      </w:r>
      <w:r/>
    </w:p>
    <w:p>
      <w:pPr>
        <w:pStyle w:val="1014"/>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投标人全称（加盖公章）：</w:t>
      </w:r>
      <w:r>
        <w:rPr>
          <w:rFonts w:hint="eastAsia" w:ascii="宋体" w:hAnsi="宋体"/>
          <w:b/>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项目名称：</w:t>
      </w:r>
      <w:r>
        <w:rPr>
          <w:rFonts w:hint="eastAsia" w:ascii="宋体" w:hAnsi="宋体"/>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107"/>
        <w:gridCol w:w="1107"/>
        <w:gridCol w:w="1107"/>
        <w:gridCol w:w="1107"/>
        <w:gridCol w:w="1107"/>
        <w:gridCol w:w="1107"/>
        <w:gridCol w:w="1108"/>
      </w:tblGrid>
      <w:tr>
        <w:trPr>
          <w:trHeight w:val="781"/>
        </w:trPr>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岗位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姓 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出生年月</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8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bl>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法定代表人或授权代表签字：</w:t>
      </w:r>
      <w:r>
        <w:rPr>
          <w:rFonts w:hint="eastAsia" w:ascii="宋体" w:hAnsi="宋体"/>
          <w:color w:val="000000"/>
          <w:szCs w:val="21"/>
          <w:highlight w:val="none"/>
        </w:rPr>
      </w:r>
      <w:r/>
    </w:p>
    <w:p>
      <w:pPr>
        <w:pStyle w:val="1014"/>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日期：年月日</w:t>
      </w: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14"/>
        <w:jc w:val="center"/>
        <w:spacing w:before="312" w:line="360" w:lineRule="auto"/>
        <w:rPr>
          <w:rFonts w:hint="eastAsia" w:ascii="宋体" w:hAnsi="宋体"/>
          <w:b/>
          <w:bCs/>
          <w:color w:val="000000"/>
          <w:highlight w:val="none"/>
        </w:rPr>
      </w:pPr>
      <w:r>
        <w:rPr>
          <w:rFonts w:hint="eastAsia" w:ascii="宋体" w:hAnsi="宋体"/>
          <w:b/>
          <w:color w:val="000000"/>
          <w:szCs w:val="21"/>
          <w:highlight w:val="none"/>
        </w:rPr>
        <w:t xml:space="preserve">主要标的信息（</w:t>
      </w:r>
      <w:r>
        <w:rPr>
          <w:rFonts w:hint="eastAsia" w:ascii="宋体" w:hAnsi="宋体"/>
          <w:b/>
          <w:color w:val="000000"/>
          <w:szCs w:val="21"/>
          <w:highlight w:val="none"/>
          <w:lang w:val="en-US" w:eastAsia="zh-CN"/>
        </w:rPr>
        <w:t xml:space="preserve">中标</w:t>
      </w:r>
      <w:r>
        <w:rPr>
          <w:rFonts w:hint="eastAsia" w:ascii="宋体" w:hAnsi="宋体"/>
          <w:b/>
          <w:color w:val="000000"/>
          <w:szCs w:val="21"/>
          <w:highlight w:val="none"/>
        </w:rPr>
        <w:t xml:space="preserve">后将公示）</w:t>
      </w:r>
      <w:r>
        <w:rPr>
          <w:rFonts w:hint="eastAsia" w:ascii="宋体" w:hAnsi="宋体"/>
          <w:b/>
          <w:color w:val="000000"/>
          <w:szCs w:val="21"/>
          <w:highlight w:val="none"/>
        </w:rPr>
      </w:r>
      <w:r/>
    </w:p>
    <w:p>
      <w:pPr>
        <w:pStyle w:val="1014"/>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w:t>
      </w:r>
      <w:r>
        <w:rPr>
          <w:rFonts w:hint="eastAsia" w:ascii="宋体" w:hAnsi="宋体"/>
          <w:color w:val="000000"/>
          <w:szCs w:val="21"/>
          <w:highlight w:val="none"/>
        </w:rPr>
      </w:r>
      <w:r/>
    </w:p>
    <w:tbl>
      <w:tblPr>
        <w:tblpPr w:horzAnchor="page" w:tblpX="2085" w:vertAnchor="text" w:tblpY="19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14"/>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货物类</w:t>
            </w:r>
            <w:r>
              <w:rPr>
                <w:rFonts w:hint="eastAsia" w:ascii="宋体" w:hAnsi="宋体"/>
                <w:color w:val="000000"/>
                <w:szCs w:val="21"/>
                <w:highlight w:val="none"/>
              </w:rPr>
            </w:r>
            <w:r/>
          </w:p>
        </w:tc>
        <w:tc>
          <w:tcPr>
            <w:tcW w:w="3780" w:type="dxa"/>
            <w:vAlign w:val="top"/>
            <w:textDirection w:val="lrTb"/>
            <w:noWrap w:val="false"/>
          </w:tcPr>
          <w:p>
            <w:pPr>
              <w:pStyle w:val="1014"/>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服务类</w:t>
            </w:r>
            <w:r>
              <w:rPr>
                <w:rFonts w:hint="eastAsia" w:ascii="宋体" w:hAnsi="宋体"/>
                <w:color w:val="000000"/>
                <w:szCs w:val="21"/>
                <w:highlight w:val="none"/>
              </w:rPr>
            </w:r>
            <w:r/>
          </w:p>
        </w:tc>
      </w:tr>
      <w:tr>
        <w:trPr>
          <w:trHeight w:val="3810"/>
        </w:trPr>
        <w:tc>
          <w:tcPr>
            <w:tcW w:w="3901" w:type="dxa"/>
            <w:vAlign w:val="top"/>
            <w:textDirection w:val="lrTb"/>
            <w:noWrap w:val="false"/>
          </w:tcPr>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品牌（如有）：</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规格型号：</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数量：</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3780" w:type="dxa"/>
            <w:vAlign w:val="top"/>
            <w:textDirection w:val="lrTb"/>
            <w:noWrap w:val="false"/>
          </w:tcPr>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服务范围：</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服务要求：</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服务时间：</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服务标准：</w:t>
            </w:r>
            <w:r>
              <w:rPr>
                <w:rFonts w:hint="eastAsia" w:ascii="宋体" w:hAnsi="宋体"/>
                <w:color w:val="000000"/>
                <w:szCs w:val="21"/>
                <w:highlight w:val="none"/>
              </w:rPr>
            </w:r>
            <w:r/>
          </w:p>
        </w:tc>
      </w:tr>
    </w:tbl>
    <w:p>
      <w:r/>
      <w:r/>
    </w:p>
    <w:sectPr>
      <w:footnotePr/>
      <w:endnotePr/>
      <w:type w:val="nextPage"/>
      <w:pgSz w:w="11906" w:h="16838" w:orient="portrait"/>
      <w:pgMar w:top="1440" w:right="1800"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楷体_GB2312">
    <w:panose1 w:val="02010609060101010101"/>
  </w:font>
  <w:font w:name="Segoe UI Symbol">
    <w:panose1 w:val="020B0502040204020203"/>
  </w:font>
  <w:font w:name="等线">
    <w:panose1 w:val="02010600030101010101"/>
  </w:font>
  <w:font w:name="仿宋">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76"/>
                            <w:tabs>
                              <w:tab w:val="clear" w:pos="4153" w:leader="none"/>
                              <w:tab w:val="clear" w:pos="8306" w:leader="none"/>
                            </w:tabs>
                            <w:rPr>
                              <w:rFonts w:hint="eastAsia"/>
                            </w:rPr>
                          </w:pPr>
                          <w:r>
                            <w:rPr>
                              <w:rFonts w:hint="eastAsia"/>
                            </w:rPr>
                          </w:r>
                          <w:r/>
                        </w:p>
                        <w:p>
                          <w:pPr>
                            <w:pStyle w:val="1014"/>
                          </w:pPr>
                          <w:r/>
                          <w:r/>
                        </w:p>
                        <w:p>
                          <w:pPr>
                            <w:pStyle w:val="101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1076"/>
                      <w:tabs>
                        <w:tab w:val="clear" w:pos="4153" w:leader="none"/>
                        <w:tab w:val="clear" w:pos="8306" w:leader="none"/>
                      </w:tabs>
                      <w:rPr>
                        <w:rFonts w:hint="eastAsia"/>
                      </w:rPr>
                    </w:pPr>
                    <w:r>
                      <w:rPr>
                        <w:rFonts w:hint="eastAsia"/>
                      </w:rPr>
                    </w:r>
                    <w:r/>
                  </w:p>
                  <w:p>
                    <w:pPr>
                      <w:pStyle w:val="1014"/>
                    </w:pPr>
                    <w:r/>
                    <w:r/>
                  </w:p>
                  <w:p>
                    <w:pPr>
                      <w:pStyle w:val="101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v:textbox>
            </v:shape>
          </w:pict>
        </mc:Fallback>
      </mc:AlternateContent>
    </w:r>
    <w:r>
      <w:rPr>
        <w:rFonts w:hint="eastAsia"/>
      </w:rPr>
      <w:tab/>
    </w:r>
    <w:r>
      <w:rPr>
        <w:rFonts w:hint="eastAsia"/>
      </w:rPr>
      <w:tab/>
    </w:r>
    <w:r/>
  </w:p>
  <w:p>
    <w:pPr>
      <w:pStyle w:val="1076"/>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val="en-US" w:eastAsia="zh-CN"/>
      </w:rPr>
      <w:t xml:space="preserve">  </w:t>
    </w:r>
    <w:r>
      <w:rPr>
        <w:rFonts w:hint="eastAsia"/>
        <w:lang w:eastAsia="zh-CN"/>
      </w:rPr>
      <w:t xml:space="preserve">江苏鼎坚工程咨询有限公司扬州分公司</w:t>
    </w:r>
    <w:r>
      <w:rPr>
        <w:rFonts w:hint="eastAsia" w:eastAsia="宋体"/>
        <w:lang w:eastAsia="zh-CN"/>
      </w:rPr>
    </w:r>
    <w:r/>
  </w:p>
  <w:p>
    <w:pPr>
      <w:pStyle w:val="1080"/>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9"/>
      <w:isLgl w:val="false"/>
      <w:suff w:val="tab"/>
      <w:lvlText w:val=""/>
      <w:lvlJc w:val="left"/>
      <w:pPr>
        <w:pStyle w:val="101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2"/>
      <w:isLgl w:val="false"/>
      <w:suff w:val="tab"/>
      <w:lvlText w:val=""/>
      <w:lvlJc w:val="left"/>
      <w:pPr>
        <w:pStyle w:val="101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1014"/>
      </w:pPr>
      <w:rPr>
        <w:rFonts w:hint="eastAsia"/>
      </w:rPr>
    </w:lvl>
    <w:lvl w:ilvl="1">
      <w:start w:val="1"/>
      <w:numFmt w:val="bullet"/>
      <w:isLgl w:val="false"/>
      <w:suff w:val="tab"/>
      <w:lvlText w:val="o"/>
      <w:lvlJc w:val="left"/>
      <w:pPr>
        <w:pStyle w:val="1014"/>
        <w:ind w:left="1440" w:hanging="360"/>
      </w:pPr>
      <w:rPr>
        <w:rFonts w:ascii="Courier New" w:hAnsi="Courier New" w:eastAsia="Courier New"/>
      </w:rPr>
    </w:lvl>
    <w:lvl w:ilvl="2">
      <w:start w:val="1"/>
      <w:numFmt w:val="bullet"/>
      <w:isLgl w:val="false"/>
      <w:suff w:val="tab"/>
      <w:lvlText w:val="§"/>
      <w:lvlJc w:val="left"/>
      <w:pPr>
        <w:pStyle w:val="1014"/>
        <w:ind w:left="2160" w:hanging="360"/>
      </w:pPr>
      <w:rPr>
        <w:rFonts w:ascii="Wingdings" w:hAnsi="Wingdings" w:eastAsia="Wingdings"/>
      </w:rPr>
    </w:lvl>
    <w:lvl w:ilvl="3">
      <w:start w:val="1"/>
      <w:numFmt w:val="bullet"/>
      <w:isLgl w:val="false"/>
      <w:suff w:val="tab"/>
      <w:lvlText w:val="·"/>
      <w:lvlJc w:val="left"/>
      <w:pPr>
        <w:pStyle w:val="1014"/>
        <w:ind w:left="2880" w:hanging="360"/>
      </w:pPr>
      <w:rPr>
        <w:rFonts w:ascii="Symbol" w:hAnsi="Symbol" w:eastAsia="Symbol"/>
      </w:rPr>
    </w:lvl>
    <w:lvl w:ilvl="4">
      <w:start w:val="1"/>
      <w:numFmt w:val="bullet"/>
      <w:isLgl w:val="false"/>
      <w:suff w:val="tab"/>
      <w:lvlText w:val="o"/>
      <w:lvlJc w:val="left"/>
      <w:pPr>
        <w:pStyle w:val="1014"/>
        <w:ind w:left="3600" w:hanging="360"/>
      </w:pPr>
      <w:rPr>
        <w:rFonts w:ascii="Courier New" w:hAnsi="Courier New" w:eastAsia="Courier New"/>
      </w:rPr>
    </w:lvl>
    <w:lvl w:ilvl="5">
      <w:start w:val="1"/>
      <w:numFmt w:val="bullet"/>
      <w:isLgl w:val="false"/>
      <w:suff w:val="tab"/>
      <w:lvlText w:val="§"/>
      <w:lvlJc w:val="left"/>
      <w:pPr>
        <w:pStyle w:val="1014"/>
        <w:ind w:left="4320" w:hanging="360"/>
      </w:pPr>
      <w:rPr>
        <w:rFonts w:ascii="Wingdings" w:hAnsi="Wingdings" w:eastAsia="Wingdings"/>
      </w:rPr>
    </w:lvl>
    <w:lvl w:ilvl="6">
      <w:start w:val="1"/>
      <w:numFmt w:val="bullet"/>
      <w:isLgl w:val="false"/>
      <w:suff w:val="tab"/>
      <w:lvlText w:val="·"/>
      <w:lvlJc w:val="left"/>
      <w:pPr>
        <w:pStyle w:val="1014"/>
        <w:ind w:left="5040" w:hanging="360"/>
      </w:pPr>
      <w:rPr>
        <w:rFonts w:ascii="Symbol" w:hAnsi="Symbol" w:eastAsia="Symbol"/>
      </w:rPr>
    </w:lvl>
    <w:lvl w:ilvl="7">
      <w:start w:val="1"/>
      <w:numFmt w:val="bullet"/>
      <w:isLgl w:val="false"/>
      <w:suff w:val="tab"/>
      <w:lvlText w:val="o"/>
      <w:lvlJc w:val="left"/>
      <w:pPr>
        <w:pStyle w:val="1014"/>
        <w:ind w:left="5760" w:hanging="360"/>
      </w:pPr>
      <w:rPr>
        <w:rFonts w:ascii="Courier New" w:hAnsi="Courier New" w:eastAsia="Courier New"/>
      </w:rPr>
    </w:lvl>
    <w:lvl w:ilvl="8">
      <w:start w:val="1"/>
      <w:numFmt w:val="bullet"/>
      <w:isLgl w:val="false"/>
      <w:suff w:val="tab"/>
      <w:lvlText w:val="§"/>
      <w:lvlJc w:val="left"/>
      <w:pPr>
        <w:pStyle w:val="1014"/>
        <w:ind w:left="6480" w:hanging="360"/>
      </w:pPr>
      <w:rPr>
        <w:rFonts w:ascii="Wingdings" w:hAnsi="Wingdings" w:eastAsia="Wingdings"/>
      </w:rPr>
    </w:lvl>
  </w:abstractNum>
  <w:abstractNum w:abstractNumId="4">
    <w:multiLevelType w:val="hybridMultilevel"/>
    <w:lvl w:ilvl="0">
      <w:start w:val="1"/>
      <w:numFmt w:val="japaneseCounting"/>
      <w:isLgl w:val="false"/>
      <w:suff w:val="tab"/>
      <w:lvlText w:val="第%1章"/>
      <w:lvlJc w:val="left"/>
      <w:pPr>
        <w:pStyle w:val="1014"/>
        <w:ind w:left="300" w:hanging="420"/>
      </w:pPr>
      <w:rPr>
        <w:rFonts w:hint="eastAsia" w:ascii="黑体" w:eastAsia="黑体"/>
        <w:b w:val="0"/>
        <w:sz w:val="36"/>
        <w:lang w:val="en-US"/>
      </w:rPr>
    </w:lvl>
    <w:lvl w:ilvl="1">
      <w:start w:val="1"/>
      <w:numFmt w:val="decimal"/>
      <w:pStyle w:val="1123"/>
      <w:isLgl w:val="false"/>
      <w:suff w:val="tab"/>
      <w:lvlText w:val="%1.%2"/>
      <w:lvlJc w:val="left"/>
      <w:pPr>
        <w:pStyle w:val="1014"/>
        <w:ind w:left="0" w:firstLine="0"/>
        <w:tabs>
          <w:tab w:val="num" w:pos="851" w:leader="none"/>
        </w:tabs>
      </w:pPr>
    </w:lvl>
    <w:lvl w:ilvl="2">
      <w:start w:val="1"/>
      <w:numFmt w:val="decimal"/>
      <w:pStyle w:val="1137"/>
      <w:isLgl w:val="false"/>
      <w:suff w:val="tab"/>
      <w:lvlText w:val="%1.%2.%3"/>
      <w:lvlJc w:val="left"/>
      <w:pPr>
        <w:pStyle w:val="1014"/>
        <w:ind w:left="0" w:firstLine="0"/>
        <w:tabs>
          <w:tab w:val="num" w:pos="851" w:leader="none"/>
        </w:tabs>
      </w:pPr>
      <w:rPr>
        <w:color w:val="000000"/>
      </w:rPr>
    </w:lvl>
    <w:lvl w:ilvl="3">
      <w:start w:val="1"/>
      <w:numFmt w:val="decimal"/>
      <w:isLgl w:val="false"/>
      <w:suff w:val="tab"/>
      <w:lvlText w:val="%1.%2.%3.%4"/>
      <w:lvlJc w:val="left"/>
      <w:pPr>
        <w:pStyle w:val="1014"/>
        <w:ind w:left="0" w:firstLine="0"/>
        <w:tabs>
          <w:tab w:val="num" w:pos="1134" w:leader="none"/>
        </w:tabs>
      </w:pPr>
      <w:rPr>
        <w:rFonts w:hint="eastAsia"/>
      </w:rPr>
    </w:lvl>
    <w:lvl w:ilvl="4">
      <w:start w:val="1"/>
      <w:numFmt w:val="decimal"/>
      <w:isLgl w:val="false"/>
      <w:suff w:val="tab"/>
      <w:lvlText w:val="%1.%2.%3.%4.%5"/>
      <w:lvlJc w:val="left"/>
      <w:pPr>
        <w:pStyle w:val="1014"/>
        <w:ind w:left="4620" w:hanging="850"/>
        <w:tabs>
          <w:tab w:val="num" w:pos="4850" w:leader="none"/>
        </w:tabs>
      </w:pPr>
      <w:rPr>
        <w:rFonts w:hint="eastAsia"/>
      </w:rPr>
    </w:lvl>
    <w:lvl w:ilvl="5">
      <w:start w:val="1"/>
      <w:numFmt w:val="decimal"/>
      <w:isLgl w:val="false"/>
      <w:suff w:val="tab"/>
      <w:lvlText w:val="%1.%2.%3.%4.%5.%6"/>
      <w:lvlJc w:val="left"/>
      <w:pPr>
        <w:pStyle w:val="1014"/>
        <w:ind w:left="5329" w:hanging="1134"/>
        <w:tabs>
          <w:tab w:val="num" w:pos="5635" w:leader="none"/>
        </w:tabs>
      </w:pPr>
      <w:rPr>
        <w:rFonts w:hint="eastAsia"/>
      </w:rPr>
    </w:lvl>
    <w:lvl w:ilvl="6">
      <w:start w:val="1"/>
      <w:numFmt w:val="decimal"/>
      <w:isLgl w:val="false"/>
      <w:suff w:val="tab"/>
      <w:lvlText w:val="%1.%2.%3.%4.%5.%6.%7"/>
      <w:lvlJc w:val="left"/>
      <w:pPr>
        <w:pStyle w:val="1014"/>
        <w:ind w:left="5896" w:hanging="1276"/>
        <w:tabs>
          <w:tab w:val="num" w:pos="6420" w:leader="none"/>
        </w:tabs>
      </w:pPr>
      <w:rPr>
        <w:rFonts w:hint="eastAsia"/>
      </w:rPr>
    </w:lvl>
    <w:lvl w:ilvl="7">
      <w:start w:val="1"/>
      <w:numFmt w:val="decimal"/>
      <w:isLgl w:val="false"/>
      <w:suff w:val="tab"/>
      <w:lvlText w:val="%1.%2.%3.%4.%5.%6.%7.%8"/>
      <w:lvlJc w:val="left"/>
      <w:pPr>
        <w:pStyle w:val="1014"/>
        <w:ind w:left="6463" w:hanging="1418"/>
        <w:tabs>
          <w:tab w:val="num" w:pos="6845" w:leader="none"/>
        </w:tabs>
      </w:pPr>
      <w:rPr>
        <w:rFonts w:hint="eastAsia"/>
      </w:rPr>
    </w:lvl>
    <w:lvl w:ilvl="8">
      <w:start w:val="1"/>
      <w:numFmt w:val="decimal"/>
      <w:isLgl w:val="false"/>
      <w:suff w:val="tab"/>
      <w:lvlText w:val="%1.%2.%3.%4.%5.%6.%7.%8.%9"/>
      <w:lvlJc w:val="left"/>
      <w:pPr>
        <w:pStyle w:val="1014"/>
        <w:ind w:left="7171" w:hanging="1700"/>
        <w:tabs>
          <w:tab w:val="num" w:pos="7631" w:leader="none"/>
        </w:tabs>
      </w:pPr>
      <w:rPr>
        <w:rFonts w:hint="eastAsia"/>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2"/>
      <w:lang w:val="en-US" w:eastAsia="zh-CN" w:bidi="ar-SA"/>
    </w:rPr>
  </w:style>
  <w:style w:type="paragraph" w:styleId="1015">
    <w:name w:val="标题 4"/>
    <w:basedOn w:val="1016"/>
    <w:next w:val="1014"/>
    <w:link w:val="1014"/>
    <w:qFormat/>
    <w:pPr>
      <w:keepLines/>
      <w:keepNext/>
      <w:spacing w:before="280" w:after="290" w:line="376" w:lineRule="auto"/>
      <w:outlineLvl w:val="3"/>
    </w:pPr>
    <w:rPr>
      <w:rFonts w:ascii="Arial" w:hAnsi="Arial" w:eastAsia="黑体"/>
      <w:b w:val="0"/>
      <w:bCs w:val="0"/>
      <w:sz w:val="28"/>
      <w:szCs w:val="28"/>
    </w:rPr>
  </w:style>
  <w:style w:type="paragraph" w:styleId="1016">
    <w:name w:val="标题 5"/>
    <w:basedOn w:val="1014"/>
    <w:next w:val="1014"/>
    <w:link w:val="1014"/>
    <w:qFormat/>
    <w:pPr>
      <w:keepNext/>
      <w:outlineLvl w:val="4"/>
    </w:pPr>
    <w:rPr>
      <w:rFonts w:ascii="宋体" w:hAnsi="宋体"/>
      <w:b/>
      <w:bCs/>
    </w:rPr>
  </w:style>
  <w:style w:type="character" w:styleId="1017">
    <w:name w:val="默认段落字体"/>
    <w:next w:val="1017"/>
    <w:link w:val="1014"/>
    <w:semiHidden/>
    <w:qFormat/>
  </w:style>
  <w:style w:type="table" w:styleId="1018">
    <w:name w:val="普通表格"/>
    <w:next w:val="1018"/>
    <w:link w:val="1014"/>
    <w:uiPriority w:val="99"/>
    <w:unhideWhenUsed/>
    <w:tblPr/>
  </w:style>
  <w:style w:type="paragraph" w:styleId="1019">
    <w:name w:val="正文缩进"/>
    <w:basedOn w:val="1014"/>
    <w:next w:val="1014"/>
    <w:link w:val="1014"/>
    <w:pPr>
      <w:ind w:firstLine="420"/>
    </w:pPr>
  </w:style>
  <w:style w:type="paragraph" w:styleId="1020">
    <w:name w:val="正文文本"/>
    <w:basedOn w:val="1014"/>
    <w:next w:val="1019"/>
    <w:link w:val="1014"/>
    <w:qFormat/>
    <w:pPr>
      <w:spacing w:after="120"/>
    </w:pPr>
    <w:rPr>
      <w:rFonts w:cs="Times New Roman"/>
    </w:rPr>
  </w:style>
  <w:style w:type="paragraph" w:styleId="1021">
    <w:name w:val="正文文本缩进"/>
    <w:basedOn w:val="1014"/>
    <w:next w:val="1014"/>
    <w:link w:val="1014"/>
    <w:uiPriority w:val="99"/>
    <w:unhideWhenUsed/>
    <w:qFormat/>
    <w:pPr>
      <w:ind w:firstLine="540"/>
      <w:spacing w:line="400" w:lineRule="exact"/>
    </w:pPr>
    <w:rPr>
      <w:sz w:val="24"/>
    </w:rPr>
  </w:style>
  <w:style w:type="paragraph" w:styleId="1022">
    <w:name w:val="纯文本"/>
    <w:basedOn w:val="1014"/>
    <w:next w:val="1022"/>
    <w:link w:val="1014"/>
    <w:qFormat/>
    <w:rPr>
      <w:rFonts w:ascii="宋体" w:hAnsi="Courier New"/>
      <w:sz w:val="20"/>
      <w:szCs w:val="21"/>
    </w:rPr>
  </w:style>
  <w:style w:type="paragraph" w:styleId="1023">
    <w:name w:val="页脚"/>
    <w:basedOn w:val="1014"/>
    <w:next w:val="1023"/>
    <w:link w:val="1024"/>
    <w:pPr>
      <w:jc w:val="left"/>
      <w:tabs>
        <w:tab w:val="center" w:pos="4153" w:leader="none"/>
        <w:tab w:val="right" w:pos="8306" w:leader="none"/>
      </w:tabs>
    </w:pPr>
    <w:rPr>
      <w:sz w:val="18"/>
      <w:szCs w:val="18"/>
    </w:rPr>
  </w:style>
  <w:style w:type="character" w:styleId="1024">
    <w:name w:val="页脚 Char Char Char"/>
    <w:next w:val="1024"/>
    <w:link w:val="1023"/>
    <w:rPr>
      <w:sz w:val="18"/>
      <w:szCs w:val="18"/>
    </w:rPr>
  </w:style>
  <w:style w:type="paragraph" w:styleId="1025">
    <w:name w:val="寄信人地址"/>
    <w:basedOn w:val="1014"/>
    <w:next w:val="1025"/>
    <w:link w:val="1014"/>
    <w:uiPriority w:val="99"/>
    <w:unhideWhenUsed/>
    <w:qFormat/>
    <w:rPr>
      <w:rFonts w:ascii="Arial" w:hAnsi="Arial"/>
    </w:rPr>
  </w:style>
  <w:style w:type="paragraph" w:styleId="1026">
    <w:name w:val="页眉"/>
    <w:basedOn w:val="1014"/>
    <w:next w:val="1026"/>
    <w:link w:val="1027"/>
    <w:pPr>
      <w:jc w:val="center"/>
      <w:tabs>
        <w:tab w:val="center" w:pos="4153" w:leader="none"/>
        <w:tab w:val="right" w:pos="8306" w:leader="none"/>
      </w:tabs>
    </w:pPr>
    <w:rPr>
      <w:sz w:val="18"/>
      <w:szCs w:val="18"/>
    </w:rPr>
  </w:style>
  <w:style w:type="character" w:styleId="1027">
    <w:name w:val="页眉 Char Char Char"/>
    <w:next w:val="1027"/>
    <w:link w:val="1026"/>
    <w:rPr>
      <w:sz w:val="18"/>
      <w:szCs w:val="18"/>
    </w:rPr>
  </w:style>
  <w:style w:type="paragraph" w:styleId="1028">
    <w:name w:val="目录 1"/>
    <w:basedOn w:val="1014"/>
    <w:next w:val="1014"/>
    <w:link w:val="1014"/>
  </w:style>
  <w:style w:type="paragraph" w:styleId="1029">
    <w:name w:val="目录 2"/>
    <w:basedOn w:val="1014"/>
    <w:next w:val="1014"/>
    <w:link w:val="1014"/>
    <w:pPr>
      <w:ind w:left="420"/>
    </w:pPr>
  </w:style>
  <w:style w:type="paragraph" w:styleId="1030">
    <w:name w:val="目录 9"/>
    <w:basedOn w:val="1014"/>
    <w:next w:val="1014"/>
    <w:link w:val="1014"/>
    <w:uiPriority w:val="2"/>
    <w:qFormat/>
    <w:pPr>
      <w:ind w:left="1680"/>
      <w:jc w:val="left"/>
    </w:pPr>
    <w:rPr>
      <w:rFonts w:ascii="Calibri" w:hAnsi="Calibri"/>
      <w:sz w:val="18"/>
      <w:szCs w:val="18"/>
    </w:rPr>
  </w:style>
  <w:style w:type="paragraph" w:styleId="1031">
    <w:name w:val="正文文本 2"/>
    <w:basedOn w:val="1014"/>
    <w:next w:val="1031"/>
    <w:link w:val="1014"/>
    <w:qFormat/>
    <w:pPr>
      <w:spacing w:after="120" w:line="480" w:lineRule="auto"/>
    </w:pPr>
  </w:style>
  <w:style w:type="paragraph" w:styleId="1032">
    <w:name w:val="标题"/>
    <w:basedOn w:val="1014"/>
    <w:next w:val="1014"/>
    <w:link w:val="1014"/>
    <w:qFormat/>
    <w:pPr>
      <w:jc w:val="center"/>
      <w:spacing w:before="240" w:after="60"/>
      <w:outlineLvl w:val="0"/>
    </w:pPr>
    <w:rPr>
      <w:rFonts w:ascii="Cambria" w:hAnsi="Cambria"/>
      <w:b/>
      <w:bCs/>
      <w:sz w:val="32"/>
      <w:szCs w:val="32"/>
    </w:rPr>
  </w:style>
  <w:style w:type="paragraph" w:styleId="1033">
    <w:name w:val="正文首行缩进 2"/>
    <w:basedOn w:val="1021"/>
    <w:next w:val="1014"/>
    <w:link w:val="1014"/>
    <w:qFormat/>
    <w:pPr>
      <w:ind w:firstLine="420"/>
      <w:spacing w:before="156" w:after="156" w:line="360" w:lineRule="auto"/>
      <w:tabs>
        <w:tab w:val="left" w:pos="0" w:leader="none"/>
        <w:tab w:val="left" w:pos="993" w:leader="none"/>
        <w:tab w:val="left" w:pos="1134" w:leader="none"/>
      </w:tabs>
    </w:pPr>
    <w:rPr>
      <w:rFonts w:ascii="Times New Roman" w:hAnsi="Times New Roman"/>
      <w:sz w:val="24"/>
      <w:szCs w:val="24"/>
    </w:rPr>
  </w:style>
  <w:style w:type="table" w:styleId="1034">
    <w:name w:val="网格型"/>
    <w:basedOn w:val="1018"/>
    <w:next w:val="1034"/>
    <w:link w:val="1014"/>
    <w:pPr>
      <w:jc w:val="both"/>
      <w:widowControl w:val="off"/>
    </w:pPr>
    <w:tblPr/>
  </w:style>
  <w:style w:type="character" w:styleId="1035">
    <w:name w:val="超链接"/>
    <w:basedOn w:val="1017"/>
    <w:next w:val="1035"/>
    <w:link w:val="1014"/>
    <w:rPr>
      <w:color w:val="0000ff"/>
      <w:u w:val="single"/>
    </w:rPr>
  </w:style>
  <w:style w:type="character" w:styleId="1036">
    <w:name w:val="font21"/>
    <w:basedOn w:val="1017"/>
    <w:next w:val="1036"/>
    <w:link w:val="1014"/>
    <w:rPr>
      <w:rFonts w:hint="eastAsia" w:ascii="等线" w:hAnsi="等线" w:eastAsia="等线" w:cs="等线"/>
      <w:color w:val="000000"/>
      <w:sz w:val="22"/>
      <w:szCs w:val="22"/>
      <w:u w:val="none"/>
    </w:rPr>
  </w:style>
  <w:style w:type="character" w:styleId="1037">
    <w:name w:val="font112"/>
    <w:basedOn w:val="1017"/>
    <w:next w:val="1037"/>
    <w:link w:val="1014"/>
    <w:rPr>
      <w:rFonts w:ascii="Calibri" w:hAnsi="Calibri" w:cs="Calibri"/>
      <w:color w:val="000000"/>
      <w:sz w:val="22"/>
      <w:szCs w:val="22"/>
      <w:u w:val="none"/>
    </w:rPr>
  </w:style>
  <w:style w:type="character" w:styleId="1038">
    <w:name w:val="font121"/>
    <w:basedOn w:val="1017"/>
    <w:next w:val="1038"/>
    <w:link w:val="1014"/>
    <w:rPr>
      <w:rFonts w:ascii="Calibri" w:hAnsi="Calibri" w:cs="Calibri"/>
      <w:i w:val="0"/>
      <w:iCs w:val="0"/>
      <w:color w:val="0d0d0d"/>
      <w:sz w:val="22"/>
      <w:szCs w:val="22"/>
      <w:u w:val="none"/>
    </w:rPr>
  </w:style>
  <w:style w:type="character" w:styleId="1039">
    <w:name w:val="font81"/>
    <w:basedOn w:val="1017"/>
    <w:next w:val="1039"/>
    <w:link w:val="1014"/>
    <w:rPr>
      <w:rFonts w:hint="eastAsia" w:ascii="等线" w:hAnsi="等线" w:eastAsia="等线" w:cs="等线"/>
      <w:i w:val="0"/>
      <w:iCs w:val="0"/>
      <w:color w:val="0d0d0d"/>
      <w:sz w:val="22"/>
      <w:szCs w:val="22"/>
      <w:u w:val="none"/>
    </w:rPr>
  </w:style>
  <w:style w:type="character" w:styleId="1040">
    <w:name w:val="font171"/>
    <w:basedOn w:val="1017"/>
    <w:next w:val="1040"/>
    <w:link w:val="1014"/>
    <w:rPr>
      <w:rFonts w:ascii="Calibri" w:hAnsi="Calibri" w:cs="Calibri"/>
      <w:i w:val="0"/>
      <w:iCs w:val="0"/>
      <w:color w:val="000000"/>
      <w:sz w:val="22"/>
      <w:szCs w:val="22"/>
      <w:u w:val="none"/>
    </w:rPr>
  </w:style>
  <w:style w:type="character" w:styleId="1041">
    <w:name w:val="font161"/>
    <w:basedOn w:val="1017"/>
    <w:next w:val="1041"/>
    <w:link w:val="1014"/>
    <w:rPr>
      <w:rFonts w:hint="eastAsia" w:ascii="宋体" w:hAnsi="宋体" w:eastAsia="宋体" w:cs="宋体"/>
      <w:i w:val="0"/>
      <w:iCs w:val="0"/>
      <w:color w:val="000000"/>
      <w:sz w:val="22"/>
      <w:szCs w:val="22"/>
      <w:u w:val="none"/>
    </w:rPr>
  </w:style>
  <w:style w:type="character" w:styleId="1042">
    <w:name w:val="font71"/>
    <w:basedOn w:val="1017"/>
    <w:next w:val="1042"/>
    <w:link w:val="1014"/>
    <w:rPr>
      <w:rFonts w:ascii="仿宋_GB2312" w:eastAsia="仿宋_GB2312" w:cs="仿宋_GB2312"/>
      <w:i w:val="0"/>
      <w:iCs w:val="0"/>
      <w:color w:val="000000"/>
      <w:sz w:val="22"/>
      <w:szCs w:val="22"/>
      <w:u w:val="none"/>
    </w:rPr>
  </w:style>
  <w:style w:type="character" w:styleId="1043">
    <w:name w:val="font101"/>
    <w:basedOn w:val="1017"/>
    <w:next w:val="1043"/>
    <w:link w:val="1014"/>
    <w:rPr>
      <w:rFonts w:ascii="仿宋_GB2312" w:eastAsia="仿宋_GB2312" w:cs="仿宋_GB2312"/>
      <w:i w:val="0"/>
      <w:iCs w:val="0"/>
      <w:color w:val="ff0000"/>
      <w:sz w:val="22"/>
      <w:szCs w:val="22"/>
      <w:u w:val="none"/>
    </w:rPr>
  </w:style>
  <w:style w:type="character" w:styleId="1044">
    <w:name w:val="font111"/>
    <w:basedOn w:val="1017"/>
    <w:next w:val="1044"/>
    <w:link w:val="1014"/>
    <w:rPr>
      <w:rFonts w:hint="eastAsia" w:ascii="宋体" w:hAnsi="宋体" w:eastAsia="宋体" w:cs="宋体"/>
      <w:i w:val="0"/>
      <w:iCs w:val="0"/>
      <w:color w:val="000000"/>
      <w:sz w:val="22"/>
      <w:szCs w:val="22"/>
      <w:u w:val="none"/>
    </w:rPr>
  </w:style>
  <w:style w:type="character" w:styleId="1045">
    <w:name w:val="font181"/>
    <w:basedOn w:val="1017"/>
    <w:next w:val="1045"/>
    <w:link w:val="1014"/>
    <w:rPr>
      <w:rFonts w:ascii="Segoe UI Symbol" w:hAnsi="Segoe UI Symbol" w:eastAsia="Segoe UI Symbol" w:cs="Segoe UI Symbol"/>
      <w:i w:val="0"/>
      <w:iCs w:val="0"/>
      <w:color w:val="000000"/>
      <w:sz w:val="22"/>
      <w:szCs w:val="22"/>
      <w:u w:val="none"/>
    </w:rPr>
  </w:style>
  <w:style w:type="character" w:styleId="1046">
    <w:name w:val="font151"/>
    <w:basedOn w:val="1017"/>
    <w:next w:val="1046"/>
    <w:link w:val="1014"/>
    <w:rPr>
      <w:rFonts w:hint="eastAsia" w:ascii="等线" w:hAnsi="等线" w:eastAsia="等线" w:cs="等线"/>
      <w:i w:val="0"/>
      <w:iCs w:val="0"/>
      <w:color w:val="000000"/>
      <w:sz w:val="22"/>
      <w:szCs w:val="22"/>
      <w:u w:val="none"/>
    </w:rPr>
  </w:style>
  <w:style w:type="character" w:styleId="1047">
    <w:name w:val="要点1"/>
    <w:next w:val="1047"/>
    <w:link w:val="1014"/>
    <w:qFormat/>
    <w:rPr>
      <w:b/>
    </w:rPr>
  </w:style>
  <w:style w:type="character" w:styleId="1048">
    <w:name w:val="日期 字符"/>
    <w:next w:val="1048"/>
    <w:link w:val="1049"/>
    <w:qFormat/>
    <w:rPr>
      <w:rFonts w:ascii="Times New Roman" w:hAnsi="Times New Roman" w:eastAsia="宋体"/>
      <w:sz w:val="24"/>
      <w:szCs w:val="20"/>
    </w:rPr>
  </w:style>
  <w:style w:type="paragraph" w:styleId="1049">
    <w:name w:val="日期1"/>
    <w:basedOn w:val="1014"/>
    <w:next w:val="1049"/>
    <w:link w:val="1048"/>
    <w:qFormat/>
    <w:rPr>
      <w:rFonts w:ascii="Times New Roman" w:hAnsi="Times New Roman"/>
      <w:sz w:val="24"/>
      <w:szCs w:val="20"/>
    </w:rPr>
  </w:style>
  <w:style w:type="character" w:styleId="1050">
    <w:name w:val="列出段落 Char Char"/>
    <w:next w:val="1050"/>
    <w:link w:val="1051"/>
    <w:qFormat/>
    <w:rPr>
      <w:rFonts w:ascii="Calibri" w:hAnsi="Calibri" w:eastAsia="宋体"/>
      <w:sz w:val="24"/>
      <w:szCs w:val="24"/>
      <w:lang w:eastAsia="en-US" w:bidi="en-US"/>
    </w:rPr>
  </w:style>
  <w:style w:type="paragraph" w:styleId="1051">
    <w:name w:val="列出段落1"/>
    <w:basedOn w:val="1014"/>
    <w:next w:val="1051"/>
    <w:link w:val="1050"/>
    <w:qFormat/>
    <w:pPr>
      <w:contextualSpacing/>
      <w:ind w:left="720"/>
      <w:jc w:val="left"/>
      <w:widowControl/>
    </w:pPr>
    <w:rPr>
      <w:sz w:val="24"/>
      <w:szCs w:val="24"/>
      <w:lang w:eastAsia="en-US" w:bidi="en-US"/>
    </w:rPr>
  </w:style>
  <w:style w:type="character" w:styleId="1052">
    <w:name w:val="正文缩进 字符"/>
    <w:next w:val="1052"/>
    <w:link w:val="1053"/>
    <w:qFormat/>
    <w:rPr>
      <w:rFonts w:ascii="Times New Roman" w:hAnsi="Times New Roman" w:eastAsia="宋体"/>
      <w:szCs w:val="21"/>
    </w:rPr>
  </w:style>
  <w:style w:type="paragraph" w:styleId="1053">
    <w:name w:val="正文缩进1"/>
    <w:basedOn w:val="1014"/>
    <w:next w:val="1053"/>
    <w:link w:val="1052"/>
    <w:qFormat/>
    <w:pPr>
      <w:ind w:firstLine="420"/>
    </w:pPr>
    <w:rPr>
      <w:rFonts w:ascii="Times New Roman" w:hAnsi="Times New Roman"/>
      <w:sz w:val="20"/>
      <w:szCs w:val="21"/>
    </w:rPr>
  </w:style>
  <w:style w:type="character" w:styleId="1054">
    <w:name w:val="font11"/>
    <w:basedOn w:val="1017"/>
    <w:next w:val="1054"/>
    <w:link w:val="1014"/>
    <w:rPr>
      <w:rFonts w:hint="eastAsia" w:ascii="仿宋" w:hAnsi="仿宋" w:eastAsia="仿宋" w:cs="仿宋"/>
      <w:i w:val="0"/>
      <w:iCs w:val="0"/>
      <w:color w:val="000000"/>
      <w:sz w:val="22"/>
      <w:szCs w:val="22"/>
      <w:u w:val="none"/>
    </w:rPr>
  </w:style>
  <w:style w:type="character" w:styleId="1055">
    <w:name w:val="默认段落字体1"/>
    <w:next w:val="1055"/>
    <w:link w:val="1014"/>
    <w:qFormat/>
  </w:style>
  <w:style w:type="character" w:styleId="1056">
    <w:name w:val="标题 1 字符"/>
    <w:next w:val="1056"/>
    <w:link w:val="1057"/>
    <w:qFormat/>
    <w:rPr>
      <w:b/>
      <w:bCs/>
      <w:sz w:val="44"/>
      <w:szCs w:val="44"/>
    </w:rPr>
  </w:style>
  <w:style w:type="paragraph" w:styleId="1057">
    <w:name w:val="标题 11"/>
    <w:basedOn w:val="1014"/>
    <w:next w:val="1057"/>
    <w:link w:val="1056"/>
    <w:qFormat/>
    <w:pPr>
      <w:keepLines/>
      <w:keepNext/>
      <w:spacing w:before="340" w:after="330" w:line="578" w:lineRule="auto"/>
      <w:outlineLvl w:val="0"/>
    </w:pPr>
    <w:rPr>
      <w:b/>
      <w:bCs/>
      <w:sz w:val="44"/>
      <w:szCs w:val="44"/>
    </w:rPr>
  </w:style>
  <w:style w:type="character" w:styleId="1058">
    <w:name w:val="NormalCharacter1"/>
    <w:next w:val="1058"/>
    <w:link w:val="1014"/>
    <w:semiHidden/>
    <w:qFormat/>
  </w:style>
  <w:style w:type="character" w:styleId="1059">
    <w:name w:val="页码1"/>
    <w:next w:val="1059"/>
    <w:link w:val="1014"/>
    <w:qFormat/>
  </w:style>
  <w:style w:type="character" w:styleId="1060">
    <w:name w:val="font61"/>
    <w:basedOn w:val="1017"/>
    <w:next w:val="1060"/>
    <w:link w:val="1014"/>
    <w:rPr>
      <w:rFonts w:ascii="仿宋_GB2312" w:eastAsia="仿宋_GB2312" w:cs="仿宋_GB2312"/>
      <w:i w:val="0"/>
      <w:iCs w:val="0"/>
      <w:color w:val="000000"/>
      <w:sz w:val="22"/>
      <w:szCs w:val="22"/>
      <w:u w:val="none"/>
    </w:rPr>
  </w:style>
  <w:style w:type="character" w:styleId="1061">
    <w:name w:val="批注引用1"/>
    <w:next w:val="1061"/>
    <w:link w:val="1014"/>
    <w:qFormat/>
    <w:rPr>
      <w:sz w:val="21"/>
      <w:szCs w:val="21"/>
    </w:rPr>
  </w:style>
  <w:style w:type="character" w:styleId="1062">
    <w:name w:val="font41"/>
    <w:basedOn w:val="1017"/>
    <w:next w:val="1062"/>
    <w:link w:val="1014"/>
    <w:rPr>
      <w:rFonts w:ascii="微软雅黑" w:hAnsi="微软雅黑" w:eastAsia="微软雅黑" w:cs="微软雅黑"/>
      <w:i w:val="0"/>
      <w:iCs w:val="0"/>
      <w:color w:val="000000"/>
      <w:sz w:val="22"/>
      <w:szCs w:val="22"/>
      <w:u w:val="none"/>
    </w:rPr>
  </w:style>
  <w:style w:type="character" w:styleId="1063">
    <w:name w:val="font131"/>
    <w:basedOn w:val="1017"/>
    <w:next w:val="1063"/>
    <w:link w:val="1014"/>
    <w:rPr>
      <w:rFonts w:ascii="Segoe UI Symbol" w:hAnsi="Segoe UI Symbol" w:eastAsia="Segoe UI Symbol" w:cs="Segoe UI Symbol"/>
      <w:i w:val="0"/>
      <w:iCs w:val="0"/>
      <w:color w:val="0d0d0d"/>
      <w:sz w:val="22"/>
      <w:szCs w:val="22"/>
      <w:u w:val="none"/>
    </w:rPr>
  </w:style>
  <w:style w:type="character" w:styleId="1064">
    <w:name w:val="批注文字 字符"/>
    <w:next w:val="1064"/>
    <w:link w:val="1065"/>
    <w:qFormat/>
    <w:rPr>
      <w:sz w:val="21"/>
      <w:szCs w:val="22"/>
    </w:rPr>
  </w:style>
  <w:style w:type="paragraph" w:styleId="1065">
    <w:name w:val="批注文字1"/>
    <w:basedOn w:val="1014"/>
    <w:next w:val="1065"/>
    <w:link w:val="1064"/>
    <w:qFormat/>
    <w:pPr>
      <w:jc w:val="left"/>
    </w:pPr>
  </w:style>
  <w:style w:type="character" w:styleId="1066">
    <w:name w:val="标题 3 字符"/>
    <w:next w:val="1066"/>
    <w:link w:val="1067"/>
    <w:qFormat/>
    <w:rPr>
      <w:rFonts w:ascii="Times New Roman" w:hAnsi="Times New Roman"/>
      <w:b/>
      <w:bCs/>
      <w:sz w:val="32"/>
      <w:szCs w:val="32"/>
    </w:rPr>
  </w:style>
  <w:style w:type="paragraph" w:styleId="1067">
    <w:name w:val="标题 31"/>
    <w:basedOn w:val="1014"/>
    <w:next w:val="1067"/>
    <w:link w:val="1066"/>
    <w:qFormat/>
    <w:pPr>
      <w:keepLines/>
      <w:keepNext/>
      <w:spacing w:before="260" w:after="260" w:line="416" w:lineRule="auto"/>
      <w:outlineLvl w:val="2"/>
    </w:pPr>
    <w:rPr>
      <w:rFonts w:ascii="Times New Roman" w:hAnsi="Times New Roman"/>
      <w:b/>
      <w:bCs/>
      <w:sz w:val="32"/>
      <w:szCs w:val="32"/>
    </w:rPr>
  </w:style>
  <w:style w:type="character" w:styleId="1068">
    <w:name w:val="font122"/>
    <w:basedOn w:val="1017"/>
    <w:next w:val="1068"/>
    <w:link w:val="1014"/>
    <w:rPr>
      <w:rFonts w:ascii="Segoe UI Symbol" w:hAnsi="Segoe UI Symbol" w:eastAsia="Segoe UI Symbol" w:cs="Segoe UI Symbol"/>
      <w:i w:val="0"/>
      <w:iCs w:val="0"/>
      <w:color w:val="000000"/>
      <w:sz w:val="22"/>
      <w:szCs w:val="22"/>
      <w:u w:val="none"/>
    </w:rPr>
  </w:style>
  <w:style w:type="character" w:styleId="1069">
    <w:name w:val="htd0"/>
    <w:next w:val="1069"/>
    <w:link w:val="1014"/>
    <w:qFormat/>
  </w:style>
  <w:style w:type="character" w:styleId="1070">
    <w:name w:val="纯文本 字符"/>
    <w:next w:val="1070"/>
    <w:link w:val="1071"/>
    <w:qFormat/>
    <w:rPr>
      <w:rFonts w:ascii="宋体" w:hAnsi="Courier New" w:eastAsia="宋体"/>
      <w:szCs w:val="21"/>
    </w:rPr>
  </w:style>
  <w:style w:type="paragraph" w:styleId="1071">
    <w:name w:val="纯文本11"/>
    <w:basedOn w:val="1014"/>
    <w:next w:val="1071"/>
    <w:link w:val="1070"/>
    <w:qFormat/>
    <w:rPr>
      <w:rFonts w:ascii="宋体" w:hAnsi="Courier New"/>
      <w:sz w:val="20"/>
      <w:szCs w:val="21"/>
    </w:rPr>
  </w:style>
  <w:style w:type="character" w:styleId="1072">
    <w:name w:val="批注框文本 字符"/>
    <w:next w:val="1072"/>
    <w:link w:val="1073"/>
    <w:semiHidden/>
    <w:qFormat/>
    <w:rPr>
      <w:sz w:val="18"/>
      <w:szCs w:val="18"/>
    </w:rPr>
  </w:style>
  <w:style w:type="paragraph" w:styleId="1073">
    <w:name w:val="批注框文本1"/>
    <w:basedOn w:val="1014"/>
    <w:next w:val="1073"/>
    <w:link w:val="1072"/>
    <w:qFormat/>
    <w:rPr>
      <w:sz w:val="18"/>
      <w:szCs w:val="18"/>
    </w:rPr>
  </w:style>
  <w:style w:type="character" w:styleId="1074">
    <w:name w:val="font91"/>
    <w:basedOn w:val="1017"/>
    <w:next w:val="1074"/>
    <w:link w:val="1014"/>
    <w:rPr>
      <w:rFonts w:hint="eastAsia" w:ascii="宋体" w:hAnsi="宋体" w:eastAsia="宋体" w:cs="宋体"/>
      <w:i w:val="0"/>
      <w:iCs w:val="0"/>
      <w:color w:val="0d0d0d"/>
      <w:sz w:val="22"/>
      <w:szCs w:val="22"/>
      <w:u w:val="none"/>
    </w:rPr>
  </w:style>
  <w:style w:type="character" w:styleId="1075">
    <w:name w:val="页脚 字符"/>
    <w:next w:val="1075"/>
    <w:link w:val="1076"/>
    <w:qFormat/>
    <w:rPr>
      <w:sz w:val="18"/>
      <w:szCs w:val="18"/>
    </w:rPr>
  </w:style>
  <w:style w:type="paragraph" w:styleId="1076">
    <w:name w:val="页脚1"/>
    <w:basedOn w:val="1014"/>
    <w:next w:val="1076"/>
    <w:link w:val="1075"/>
    <w:qFormat/>
    <w:pPr>
      <w:jc w:val="left"/>
      <w:tabs>
        <w:tab w:val="center" w:pos="4153" w:leader="none"/>
        <w:tab w:val="right" w:pos="8306" w:leader="none"/>
      </w:tabs>
    </w:pPr>
    <w:rPr>
      <w:sz w:val="18"/>
      <w:szCs w:val="18"/>
    </w:rPr>
  </w:style>
  <w:style w:type="character" w:styleId="1077">
    <w:name w:val="批注主题 字符"/>
    <w:next w:val="1077"/>
    <w:link w:val="1078"/>
    <w:qFormat/>
  </w:style>
  <w:style w:type="paragraph" w:styleId="1078">
    <w:name w:val="批注主题1"/>
    <w:basedOn w:val="1065"/>
    <w:next w:val="1078"/>
    <w:link w:val="1077"/>
    <w:qFormat/>
    <w:rPr>
      <w:b/>
      <w:bCs/>
    </w:rPr>
  </w:style>
  <w:style w:type="character" w:styleId="1079">
    <w:name w:val="页眉 字符"/>
    <w:next w:val="1079"/>
    <w:link w:val="1080"/>
    <w:qFormat/>
    <w:rPr>
      <w:sz w:val="18"/>
      <w:szCs w:val="18"/>
    </w:rPr>
  </w:style>
  <w:style w:type="paragraph" w:styleId="1080">
    <w:name w:val="页眉1"/>
    <w:basedOn w:val="1014"/>
    <w:next w:val="1080"/>
    <w:link w:val="1079"/>
    <w:qFormat/>
    <w:pPr>
      <w:jc w:val="center"/>
      <w:tabs>
        <w:tab w:val="center" w:pos="4153" w:leader="none"/>
        <w:tab w:val="right" w:pos="8306" w:leader="none"/>
      </w:tabs>
      <w:pBdr>
        <w:bottom w:val="single" w:color="000000" w:sz="6" w:space="1"/>
      </w:pBdr>
    </w:pPr>
    <w:rPr>
      <w:sz w:val="18"/>
      <w:szCs w:val="18"/>
    </w:rPr>
  </w:style>
  <w:style w:type="character" w:styleId="1081">
    <w:name w:val="标题 2 字符"/>
    <w:next w:val="1081"/>
    <w:link w:val="1082"/>
    <w:qFormat/>
    <w:rPr>
      <w:rFonts w:ascii="Arial" w:hAnsi="Arial" w:eastAsia="幼圆"/>
      <w:b/>
      <w:bCs/>
      <w:sz w:val="44"/>
      <w:szCs w:val="44"/>
    </w:rPr>
  </w:style>
  <w:style w:type="paragraph" w:styleId="1082">
    <w:name w:val="标题 21"/>
    <w:basedOn w:val="1014"/>
    <w:next w:val="1082"/>
    <w:link w:val="1081"/>
    <w:qFormat/>
    <w:pPr>
      <w:jc w:val="center"/>
      <w:keepLines/>
      <w:keepNext/>
      <w:spacing w:before="260" w:after="260" w:line="416" w:lineRule="auto"/>
      <w:outlineLvl w:val="1"/>
    </w:pPr>
    <w:rPr>
      <w:rFonts w:ascii="Arial" w:hAnsi="Arial" w:eastAsia="幼圆"/>
      <w:b/>
      <w:bCs/>
      <w:sz w:val="44"/>
      <w:szCs w:val="44"/>
    </w:rPr>
  </w:style>
  <w:style w:type="character" w:styleId="1083">
    <w:name w:val="font51"/>
    <w:basedOn w:val="1017"/>
    <w:next w:val="1083"/>
    <w:link w:val="1014"/>
    <w:rPr>
      <w:rFonts w:ascii="仿宋_GB2312" w:eastAsia="仿宋_GB2312" w:cs="仿宋_GB2312"/>
      <w:i w:val="0"/>
      <w:iCs w:val="0"/>
      <w:color w:val="000000"/>
      <w:sz w:val="22"/>
      <w:szCs w:val="22"/>
      <w:u w:val="none"/>
    </w:rPr>
  </w:style>
  <w:style w:type="character" w:styleId="1084">
    <w:name w:val="超链接1"/>
    <w:next w:val="1084"/>
    <w:link w:val="1014"/>
    <w:qFormat/>
    <w:rPr>
      <w:color w:val="0000ff"/>
      <w:u w:val="single"/>
    </w:rPr>
  </w:style>
  <w:style w:type="character" w:styleId="1085">
    <w:name w:val="强调1"/>
    <w:next w:val="1085"/>
    <w:link w:val="1014"/>
    <w:qFormat/>
    <w:rPr>
      <w:i/>
    </w:rPr>
  </w:style>
  <w:style w:type="character" w:styleId="1086">
    <w:name w:val="font31"/>
    <w:basedOn w:val="1017"/>
    <w:next w:val="1086"/>
    <w:link w:val="1014"/>
    <w:rPr>
      <w:rFonts w:ascii="微软雅黑" w:hAnsi="微软雅黑" w:eastAsia="微软雅黑" w:cs="微软雅黑"/>
      <w:i w:val="0"/>
      <w:iCs w:val="0"/>
      <w:color w:val="000000"/>
      <w:sz w:val="22"/>
      <w:szCs w:val="22"/>
      <w:u w:val="none"/>
    </w:rPr>
  </w:style>
  <w:style w:type="paragraph" w:styleId="1087">
    <w:name w:val="表格"/>
    <w:next w:val="1087"/>
    <w:link w:val="1014"/>
    <w:qFormat/>
    <w:pPr>
      <w:jc w:val="center"/>
      <w:spacing w:line="360" w:lineRule="auto"/>
    </w:pPr>
    <w:rPr>
      <w:rFonts w:ascii="宋体" w:hAnsi="宋体"/>
      <w:bCs/>
      <w:spacing w:val="-4"/>
      <w:sz w:val="21"/>
      <w:szCs w:val="22"/>
      <w:lang w:val="en-US" w:eastAsia="zh-CN" w:bidi="ar-SA"/>
    </w:rPr>
  </w:style>
  <w:style w:type="paragraph" w:styleId="1088">
    <w:name w:val="副标题1"/>
    <w:basedOn w:val="1014"/>
    <w:next w:val="1088"/>
    <w:link w:val="1014"/>
    <w:qFormat/>
    <w:pPr>
      <w:jc w:val="center"/>
      <w:spacing w:before="240" w:after="60" w:line="312" w:lineRule="auto"/>
      <w:outlineLvl w:val="1"/>
    </w:pPr>
    <w:rPr>
      <w:rFonts w:ascii="Cambria" w:hAnsi="Cambria" w:eastAsia="宋体"/>
      <w:b/>
      <w:bCs/>
      <w:sz w:val="32"/>
      <w:szCs w:val="32"/>
    </w:rPr>
  </w:style>
  <w:style w:type="paragraph" w:styleId="1089">
    <w:name w:val="标题 51"/>
    <w:basedOn w:val="1014"/>
    <w:next w:val="1089"/>
    <w:link w:val="1014"/>
    <w:qFormat/>
    <w:pPr>
      <w:ind w:left="992" w:hanging="992"/>
      <w:keepLines/>
      <w:keepNext/>
      <w:spacing w:before="280" w:after="290" w:line="376" w:lineRule="auto"/>
      <w:tabs>
        <w:tab w:val="left" w:pos="992" w:leader="none"/>
      </w:tabs>
      <w:outlineLvl w:val="4"/>
    </w:pPr>
    <w:rPr>
      <w:b/>
      <w:bCs/>
      <w:sz w:val="28"/>
      <w:szCs w:val="28"/>
    </w:rPr>
  </w:style>
  <w:style w:type="paragraph" w:styleId="1090">
    <w:name w:val="修订"/>
    <w:next w:val="1090"/>
    <w:link w:val="1014"/>
    <w:qFormat/>
    <w:rPr>
      <w:sz w:val="21"/>
      <w:szCs w:val="22"/>
      <w:lang w:val="en-US" w:eastAsia="zh-CN" w:bidi="ar-SA"/>
    </w:rPr>
  </w:style>
  <w:style w:type="paragraph" w:styleId="1091">
    <w:name w:val="正文首行缩进 211"/>
    <w:basedOn w:val="1092"/>
    <w:next w:val="1091"/>
    <w:link w:val="1014"/>
    <w:qFormat/>
    <w:pPr>
      <w:ind w:left="420" w:right="0" w:firstLine="420"/>
      <w:jc w:val="both"/>
      <w:keepLines w:val="0"/>
      <w:keepNext w:val="0"/>
      <w:spacing w:before="0" w:beforeAutospacing="0" w:after="120" w:afterAutospacing="0"/>
      <w:widowControl w:val="off"/>
      <w:suppressLineNumbers w:val="0"/>
    </w:pPr>
  </w:style>
  <w:style w:type="paragraph" w:styleId="1092">
    <w:name w:val="正文文本缩进11"/>
    <w:basedOn w:val="1014"/>
    <w:next w:val="1092"/>
    <w:link w:val="1014"/>
    <w:qFormat/>
    <w:pPr>
      <w:ind w:firstLine="540"/>
      <w:spacing w:line="400" w:lineRule="exact"/>
    </w:pPr>
    <w:rPr>
      <w:sz w:val="24"/>
    </w:rPr>
  </w:style>
  <w:style w:type="paragraph" w:styleId="1093">
    <w:name w:val="标题 61"/>
    <w:basedOn w:val="1014"/>
    <w:next w:val="1093"/>
    <w:link w:val="1014"/>
    <w:qFormat/>
    <w:pPr>
      <w:keepLines/>
      <w:keepNext/>
      <w:spacing w:before="240" w:after="64" w:line="320" w:lineRule="auto"/>
      <w:outlineLvl w:val="5"/>
    </w:pPr>
    <w:rPr>
      <w:rFonts w:ascii="Arial" w:hAnsi="Arial" w:eastAsia="黑体"/>
      <w:b/>
      <w:bCs/>
      <w:sz w:val="24"/>
      <w:szCs w:val="24"/>
    </w:rPr>
  </w:style>
  <w:style w:type="paragraph" w:styleId="1094">
    <w:name w:val="正文文本 22"/>
    <w:basedOn w:val="1014"/>
    <w:next w:val="1094"/>
    <w:link w:val="1014"/>
    <w:qFormat/>
    <w:pPr>
      <w:spacing w:after="120" w:line="480" w:lineRule="auto"/>
    </w:pPr>
  </w:style>
  <w:style w:type="paragraph" w:styleId="1095">
    <w:name w:val="正文（缩进）"/>
    <w:basedOn w:val="1014"/>
    <w:next w:val="1096"/>
    <w:link w:val="1014"/>
    <w:qFormat/>
    <w:pPr>
      <w:ind w:firstLine="200"/>
      <w:spacing w:before="156" w:after="156" w:line="360" w:lineRule="auto"/>
    </w:pPr>
    <w:rPr>
      <w:sz w:val="24"/>
    </w:rPr>
  </w:style>
  <w:style w:type="paragraph" w:styleId="1096">
    <w:name w:val="Char Char Char Char Char Char Char Char Char"/>
    <w:basedOn w:val="1014"/>
    <w:next w:val="1097"/>
    <w:link w:val="1014"/>
    <w:qFormat/>
    <w:pPr>
      <w:ind w:left="360" w:hanging="360"/>
      <w:jc w:val="both"/>
      <w:tabs>
        <w:tab w:val="left" w:pos="360" w:leader="none"/>
      </w:tabs>
    </w:pPr>
    <w:rPr>
      <w:rFonts w:ascii="Calibri" w:hAnsi="Calibri" w:eastAsia="Calibri"/>
      <w:sz w:val="24"/>
      <w:szCs w:val="24"/>
      <w:lang w:val="zh-CN"/>
    </w:rPr>
  </w:style>
  <w:style w:type="paragraph" w:styleId="1097">
    <w:name w:val="正文文本 21"/>
    <w:basedOn w:val="1014"/>
    <w:next w:val="1098"/>
    <w:link w:val="1014"/>
    <w:qFormat/>
    <w:pPr>
      <w:ind w:left="720" w:hanging="720"/>
      <w:jc w:val="both"/>
      <w:widowControl/>
    </w:pPr>
    <w:rPr>
      <w:rFonts w:ascii="Calibri" w:hAnsi="Calibri" w:eastAsia="Calibri"/>
      <w:sz w:val="24"/>
      <w:szCs w:val="20"/>
      <w:lang w:val="en-GB"/>
    </w:rPr>
  </w:style>
  <w:style w:type="paragraph" w:styleId="1098">
    <w:name w:val="默认段落字体 Para Char Char Char Char Char Char Char"/>
    <w:basedOn w:val="1014"/>
    <w:next w:val="1099"/>
    <w:link w:val="1014"/>
    <w:qFormat/>
    <w:pPr>
      <w:ind w:firstLine="200"/>
    </w:pPr>
  </w:style>
  <w:style w:type="paragraph" w:styleId="1099">
    <w:name w:val="样式 首行缩进:  2 字符"/>
    <w:basedOn w:val="1014"/>
    <w:next w:val="1100"/>
    <w:link w:val="1014"/>
    <w:qFormat/>
    <w:pPr>
      <w:ind w:firstLine="480"/>
      <w:jc w:val="both"/>
      <w:spacing w:line="360" w:lineRule="auto"/>
    </w:pPr>
    <w:rPr>
      <w:rFonts w:ascii="Times New Roman" w:hAnsi="Times New Roman"/>
      <w:sz w:val="24"/>
      <w:szCs w:val="20"/>
      <w:lang w:val="zh-CN"/>
    </w:rPr>
  </w:style>
  <w:style w:type="paragraph" w:styleId="1100">
    <w:name w:val="样式 段后: 0.25 行"/>
    <w:basedOn w:val="1014"/>
    <w:next w:val="1101"/>
    <w:link w:val="1014"/>
    <w:qFormat/>
    <w:pPr>
      <w:ind w:firstLine="420"/>
      <w:spacing w:line="300" w:lineRule="auto"/>
      <w:widowControl/>
    </w:pPr>
    <w:rPr>
      <w:rFonts w:ascii="Arial" w:hAnsi="Arial" w:eastAsia="Calibri"/>
      <w:sz w:val="22"/>
      <w:szCs w:val="20"/>
      <w:lang w:val="zh-CN" w:eastAsia="en-US" w:bidi="en-US"/>
    </w:rPr>
  </w:style>
  <w:style w:type="paragraph" w:styleId="1101">
    <w:name w:val="正文 New New New New New New New New New New New New New New"/>
    <w:next w:val="1030"/>
    <w:link w:val="1014"/>
    <w:qFormat/>
    <w:pPr>
      <w:jc w:val="both"/>
      <w:widowControl w:val="off"/>
    </w:pPr>
    <w:rPr>
      <w:rFonts w:hint="eastAsia"/>
      <w:sz w:val="21"/>
      <w:lang w:val="en-US" w:eastAsia="zh-CN" w:bidi="ar-SA"/>
    </w:rPr>
  </w:style>
  <w:style w:type="paragraph" w:styleId="1102">
    <w:name w:val="ListBullet21"/>
    <w:basedOn w:val="1014"/>
    <w:next w:val="1102"/>
    <w:link w:val="1014"/>
    <w:qFormat/>
    <w:pPr>
      <w:numPr>
        <w:ilvl w:val="0"/>
        <w:numId w:val="1"/>
      </w:numPr>
      <w:tabs>
        <w:tab w:val="clear" w:pos="780" w:leader="none"/>
      </w:tabs>
    </w:pPr>
  </w:style>
  <w:style w:type="paragraph" w:styleId="1103">
    <w:name w:val="普通正文"/>
    <w:basedOn w:val="1104"/>
    <w:next w:val="1103"/>
    <w:link w:val="1014"/>
    <w:qFormat/>
    <w:pPr>
      <w:ind w:firstLine="480"/>
      <w:jc w:val="left"/>
      <w:spacing w:before="120" w:after="120" w:line="360" w:lineRule="auto"/>
    </w:pPr>
    <w:rPr>
      <w:rFonts w:ascii="Arial" w:hAnsi="Arial" w:eastAsia="宋体"/>
      <w:sz w:val="24"/>
      <w:szCs w:val="24"/>
    </w:rPr>
  </w:style>
  <w:style w:type="paragraph" w:styleId="1104">
    <w:name w:val="正文1"/>
    <w:next w:val="1105"/>
    <w:link w:val="1014"/>
    <w:qFormat/>
    <w:pPr>
      <w:jc w:val="both"/>
    </w:pPr>
    <w:rPr>
      <w:sz w:val="21"/>
      <w:szCs w:val="21"/>
      <w:lang w:val="en-US" w:eastAsia="zh-CN" w:bidi="ar-SA"/>
    </w:rPr>
  </w:style>
  <w:style w:type="paragraph" w:styleId="1105">
    <w:name w:val="正文文本1"/>
    <w:basedOn w:val="1104"/>
    <w:next w:val="1106"/>
    <w:link w:val="1014"/>
    <w:qFormat/>
    <w:pPr>
      <w:spacing w:after="120"/>
    </w:pPr>
    <w:rPr>
      <w:lang w:val="en-US" w:eastAsia="en-US"/>
    </w:rPr>
  </w:style>
  <w:style w:type="paragraph" w:styleId="1106">
    <w:name w:val="一级条标题"/>
    <w:basedOn w:val="1107"/>
    <w:next w:val="1108"/>
    <w:link w:val="1014"/>
    <w:qFormat/>
    <w:pPr>
      <w:ind w:left="907" w:hanging="907"/>
      <w:spacing w:before="0" w:after="0"/>
      <w:tabs>
        <w:tab w:val="left" w:pos="810" w:leader="none"/>
        <w:tab w:val="left" w:pos="1265" w:leader="none"/>
      </w:tabs>
      <w:outlineLvl w:val="2"/>
    </w:pPr>
    <w:rPr>
      <w:rFonts w:hAnsi="宋体"/>
      <w:sz w:val="20"/>
      <w:szCs w:val="20"/>
    </w:rPr>
  </w:style>
  <w:style w:type="paragraph" w:styleId="1107">
    <w:name w:val="章标题"/>
    <w:next w:val="1014"/>
    <w:link w:val="101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8">
    <w:name w:val="段"/>
    <w:basedOn w:val="1104"/>
    <w:next w:val="1014"/>
    <w:link w:val="1014"/>
    <w:qFormat/>
    <w:pPr>
      <w:ind w:firstLine="200"/>
      <w:widowControl/>
    </w:pPr>
    <w:rPr>
      <w:rFonts w:ascii="宋体"/>
      <w:sz w:val="20"/>
      <w:szCs w:val="20"/>
    </w:rPr>
  </w:style>
  <w:style w:type="paragraph" w:styleId="1109">
    <w:name w:val="标题 71"/>
    <w:basedOn w:val="1014"/>
    <w:next w:val="1109"/>
    <w:link w:val="1014"/>
    <w:qFormat/>
    <w:pPr>
      <w:ind w:left="1320"/>
      <w:outlineLvl w:val="6"/>
    </w:pPr>
    <w:rPr>
      <w:b/>
      <w:bCs/>
      <w:sz w:val="21"/>
      <w:szCs w:val="21"/>
    </w:rPr>
  </w:style>
  <w:style w:type="paragraph" w:styleId="1110">
    <w:name w:val="正文 A"/>
    <w:next w:val="1110"/>
    <w:link w:val="1014"/>
    <w:qFormat/>
    <w:pPr>
      <w:jc w:val="both"/>
      <w:widowControl w:val="off"/>
    </w:pPr>
    <w:rPr>
      <w:rFonts w:eastAsia="Times New Roman"/>
      <w:color w:val="000000"/>
      <w:sz w:val="21"/>
      <w:szCs w:val="21"/>
      <w:lang w:val="en-US" w:eastAsia="zh-CN" w:bidi="ar-SA"/>
    </w:rPr>
  </w:style>
  <w:style w:type="paragraph" w:styleId="1111">
    <w:name w:val="正文文本缩进1"/>
    <w:basedOn w:val="1014"/>
    <w:next w:val="1014"/>
    <w:link w:val="1014"/>
    <w:qFormat/>
    <w:pPr>
      <w:ind w:firstLine="540"/>
      <w:spacing w:line="400" w:lineRule="exact"/>
    </w:pPr>
    <w:rPr>
      <w:sz w:val="24"/>
    </w:rPr>
  </w:style>
  <w:style w:type="paragraph" w:styleId="1112">
    <w:name w:val="大标题"/>
    <w:basedOn w:val="1032"/>
    <w:next w:val="1033"/>
    <w:link w:val="1014"/>
    <w:qFormat/>
    <w:pPr>
      <w:ind w:firstLine="200"/>
      <w:spacing w:line="360" w:lineRule="auto"/>
    </w:pPr>
    <w:rPr>
      <w:rFonts w:ascii="宋体" w:hAnsi="宋体"/>
      <w:bCs w:val="0"/>
      <w:szCs w:val="20"/>
      <w:lang w:val="en-US" w:eastAsia="zh-CN"/>
    </w:rPr>
  </w:style>
  <w:style w:type="paragraph" w:styleId="1113">
    <w:name w:val="Default"/>
    <w:next w:val="1113"/>
    <w:link w:val="1014"/>
    <w:qFormat/>
    <w:pPr>
      <w:widowControl w:val="off"/>
    </w:pPr>
    <w:rPr>
      <w:rFonts w:ascii="宋体"/>
      <w:color w:val="000000"/>
      <w:sz w:val="24"/>
      <w:szCs w:val="24"/>
      <w:lang w:val="en-US" w:eastAsia="zh-CN" w:bidi="ar-SA"/>
    </w:rPr>
  </w:style>
  <w:style w:type="paragraph" w:styleId="1114">
    <w:name w:val="寄信人地址1"/>
    <w:basedOn w:val="1014"/>
    <w:next w:val="1114"/>
    <w:link w:val="1014"/>
    <w:qFormat/>
    <w:rPr>
      <w:rFonts w:ascii="Arial" w:hAnsi="Arial"/>
    </w:rPr>
  </w:style>
  <w:style w:type="paragraph" w:styleId="1115">
    <w:name w:val="普通(网站)1"/>
    <w:basedOn w:val="1014"/>
    <w:next w:val="1115"/>
    <w:link w:val="1014"/>
    <w:qFormat/>
    <w:pPr>
      <w:jc w:val="left"/>
      <w:spacing w:before="100" w:beforeAutospacing="1" w:after="100" w:afterAutospacing="1"/>
      <w:widowControl/>
    </w:pPr>
    <w:rPr>
      <w:rFonts w:ascii="宋体" w:hAnsi="宋体"/>
      <w:sz w:val="24"/>
    </w:rPr>
  </w:style>
  <w:style w:type="paragraph" w:styleId="1116">
    <w:name w:val="正文11"/>
    <w:next w:val="1117"/>
    <w:link w:val="1014"/>
    <w:qFormat/>
    <w:pPr>
      <w:jc w:val="both"/>
      <w:widowControl w:val="off"/>
    </w:pPr>
    <w:rPr>
      <w:sz w:val="21"/>
      <w:szCs w:val="22"/>
      <w:lang w:val="en-US" w:eastAsia="zh-CN" w:bidi="ar-SA"/>
    </w:rPr>
  </w:style>
  <w:style w:type="paragraph" w:styleId="1117">
    <w:name w:val="正文首行缩进 21"/>
    <w:basedOn w:val="1111"/>
    <w:next w:val="1014"/>
    <w:link w:val="1014"/>
    <w:qFormat/>
    <w:pPr>
      <w:ind w:firstLine="420"/>
    </w:pPr>
  </w:style>
  <w:style w:type="paragraph" w:styleId="1118">
    <w:name w:val="正文文本缩进 31"/>
    <w:basedOn w:val="1014"/>
    <w:next w:val="1118"/>
    <w:link w:val="1014"/>
    <w:qFormat/>
    <w:pPr>
      <w:ind w:left="420"/>
      <w:spacing w:after="120"/>
    </w:pPr>
    <w:rPr>
      <w:sz w:val="16"/>
      <w:szCs w:val="16"/>
    </w:rPr>
  </w:style>
  <w:style w:type="paragraph" w:styleId="1119">
    <w:name w:val="Table Paragraph"/>
    <w:basedOn w:val="1014"/>
    <w:next w:val="1119"/>
    <w:link w:val="1014"/>
    <w:qFormat/>
    <w:pPr>
      <w:jc w:val="left"/>
    </w:pPr>
    <w:rPr>
      <w:rFonts w:ascii="宋体" w:hAnsi="宋体"/>
      <w:sz w:val="22"/>
      <w:lang w:val="zh-CN" w:bidi="zh-CN"/>
    </w:rPr>
  </w:style>
  <w:style w:type="paragraph" w:styleId="1120">
    <w:name w:val="目录 21"/>
    <w:basedOn w:val="1014"/>
    <w:next w:val="1120"/>
    <w:link w:val="1014"/>
    <w:qFormat/>
    <w:pPr>
      <w:ind w:left="420"/>
    </w:pPr>
  </w:style>
  <w:style w:type="paragraph" w:styleId="1121">
    <w:name w:val="普通文字"/>
    <w:basedOn w:val="1014"/>
    <w:next w:val="1121"/>
    <w:link w:val="1014"/>
    <w:qFormat/>
    <w:rPr>
      <w:rFonts w:ascii="宋体" w:hAnsi="Times New Roman"/>
      <w:sz w:val="24"/>
      <w:szCs w:val="20"/>
    </w:rPr>
  </w:style>
  <w:style w:type="paragraph" w:styleId="1122">
    <w:name w:val="标题 111"/>
    <w:basedOn w:val="1014"/>
    <w:next w:val="1014"/>
    <w:link w:val="1014"/>
    <w:qFormat/>
    <w:pPr>
      <w:keepLines/>
      <w:keepNext/>
      <w:spacing w:line="578" w:lineRule="auto"/>
      <w:outlineLvl w:val="0"/>
    </w:pPr>
    <w:rPr>
      <w:b/>
      <w:bCs/>
      <w:sz w:val="44"/>
      <w:szCs w:val="44"/>
    </w:rPr>
  </w:style>
  <w:style w:type="paragraph" w:styleId="1123">
    <w:name w:val="正文 1.1"/>
    <w:basedOn w:val="1014"/>
    <w:next w:val="1123"/>
    <w:link w:val="1014"/>
    <w:qFormat/>
    <w:pPr>
      <w:numPr>
        <w:ilvl w:val="1"/>
        <w:numId w:val="2"/>
      </w:numPr>
      <w:ind w:firstLine="550"/>
      <w:tabs>
        <w:tab w:val="clear" w:pos="851" w:leader="none"/>
      </w:tabs>
      <w:outlineLvl w:val="1"/>
    </w:pPr>
    <w:rPr>
      <w:rFonts w:ascii="仿宋" w:hAnsi="仿宋"/>
      <w:b/>
    </w:rPr>
  </w:style>
  <w:style w:type="paragraph" w:styleId="1124">
    <w:name w:val="首行缩进"/>
    <w:basedOn w:val="1014"/>
    <w:next w:val="1124"/>
    <w:link w:val="1014"/>
    <w:qFormat/>
    <w:pPr>
      <w:ind w:firstLine="480"/>
    </w:pPr>
    <w:rPr>
      <w:rFonts w:ascii="Times New Roman" w:hAnsi="Times New Roman"/>
    </w:rPr>
  </w:style>
  <w:style w:type="paragraph" w:styleId="1125">
    <w:name w:val="标题 41"/>
    <w:basedOn w:val="1014"/>
    <w:next w:val="1125"/>
    <w:link w:val="1014"/>
    <w:qFormat/>
    <w:pPr>
      <w:keepLines/>
      <w:keepNext/>
      <w:spacing w:before="280" w:after="290" w:line="376" w:lineRule="auto"/>
      <w:outlineLvl w:val="3"/>
    </w:pPr>
    <w:rPr>
      <w:rFonts w:ascii="Arial" w:hAnsi="Arial" w:eastAsia="黑体"/>
      <w:b/>
      <w:bCs/>
      <w:sz w:val="28"/>
      <w:szCs w:val="28"/>
    </w:rPr>
  </w:style>
  <w:style w:type="paragraph" w:styleId="1126">
    <w:name w:val="目录 91"/>
    <w:basedOn w:val="1014"/>
    <w:next w:val="1126"/>
    <w:link w:val="1014"/>
    <w:qFormat/>
    <w:pPr>
      <w:ind w:left="1680"/>
      <w:jc w:val="left"/>
    </w:pPr>
    <w:rPr>
      <w:rFonts w:ascii="Calibri" w:hAnsi="Calibri"/>
      <w:sz w:val="18"/>
      <w:szCs w:val="18"/>
    </w:rPr>
  </w:style>
  <w:style w:type="paragraph" w:styleId="1127">
    <w:name w:val="纯文本1"/>
    <w:basedOn w:val="1014"/>
    <w:next w:val="1127"/>
    <w:link w:val="1014"/>
    <w:qFormat/>
    <w:rPr>
      <w:rFonts w:ascii="宋体" w:hAnsi="Courier New"/>
      <w:sz w:val="20"/>
      <w:szCs w:val="20"/>
    </w:rPr>
  </w:style>
  <w:style w:type="paragraph" w:styleId="1128">
    <w:name w:val="正文文本缩进 21"/>
    <w:basedOn w:val="1014"/>
    <w:next w:val="1128"/>
    <w:link w:val="1014"/>
    <w:qFormat/>
    <w:pPr>
      <w:ind w:firstLine="510"/>
      <w:spacing w:line="520" w:lineRule="exact"/>
    </w:pPr>
    <w:rPr>
      <w:rFonts w:ascii="华文仿宋" w:eastAsia="华文仿宋"/>
      <w:sz w:val="28"/>
    </w:rPr>
  </w:style>
  <w:style w:type="paragraph" w:styleId="1129">
    <w:name w:val="正文文本111"/>
    <w:basedOn w:val="1014"/>
    <w:next w:val="1130"/>
    <w:link w:val="1014"/>
    <w:qFormat/>
    <w:rPr>
      <w:rFonts w:ascii="楷体_GB2312" w:hAnsi="Arial" w:eastAsia="楷体_GB2312"/>
      <w:sz w:val="28"/>
      <w:szCs w:val="28"/>
    </w:rPr>
  </w:style>
  <w:style w:type="paragraph" w:styleId="1130">
    <w:name w:val="正文文本 211"/>
    <w:basedOn w:val="1014"/>
    <w:next w:val="1130"/>
    <w:link w:val="1014"/>
    <w:qFormat/>
    <w:pPr>
      <w:spacing w:after="120" w:line="480" w:lineRule="auto"/>
    </w:pPr>
  </w:style>
  <w:style w:type="paragraph" w:styleId="1131">
    <w:name w:val="正文空2格  1."/>
    <w:basedOn w:val="1014"/>
    <w:next w:val="1131"/>
    <w:link w:val="1014"/>
    <w:qFormat/>
    <w:pPr>
      <w:ind w:firstLine="480"/>
    </w:pPr>
    <w:rPr>
      <w:sz w:val="28"/>
      <w:szCs w:val="20"/>
    </w:rPr>
  </w:style>
  <w:style w:type="paragraph" w:styleId="1132">
    <w:name w:val="列出段落2"/>
    <w:basedOn w:val="1014"/>
    <w:next w:val="1132"/>
    <w:link w:val="1014"/>
    <w:qFormat/>
    <w:pPr>
      <w:ind w:firstLine="420"/>
    </w:pPr>
  </w:style>
  <w:style w:type="paragraph" w:styleId="1133">
    <w:name w:val="Char"/>
    <w:basedOn w:val="1014"/>
    <w:next w:val="1133"/>
    <w:link w:val="1014"/>
    <w:qFormat/>
    <w:pPr>
      <w:ind w:firstLine="200"/>
      <w:tabs>
        <w:tab w:val="left" w:pos="360" w:leader="none"/>
      </w:tabs>
    </w:pPr>
    <w:rPr>
      <w:rFonts w:ascii="Times New Roman" w:hAnsi="Times New Roman" w:eastAsia="宋体"/>
      <w:sz w:val="28"/>
      <w:szCs w:val="30"/>
    </w:rPr>
  </w:style>
  <w:style w:type="paragraph" w:styleId="1134">
    <w:name w:val="列出段落21"/>
    <w:basedOn w:val="1014"/>
    <w:next w:val="1134"/>
    <w:link w:val="1014"/>
    <w:qFormat/>
    <w:pPr>
      <w:ind w:firstLine="420"/>
    </w:pPr>
    <w:rPr>
      <w:szCs w:val="24"/>
    </w:rPr>
  </w:style>
  <w:style w:type="paragraph" w:styleId="1135">
    <w:name w:val="_正文段落"/>
    <w:basedOn w:val="1014"/>
    <w:next w:val="1135"/>
    <w:link w:val="1014"/>
    <w:qFormat/>
    <w:pPr>
      <w:ind w:firstLine="200"/>
      <w:spacing w:line="360" w:lineRule="auto"/>
    </w:pPr>
    <w:rPr>
      <w:rFonts w:ascii="Times New Roman" w:hAnsi="Times New Roman"/>
      <w:szCs w:val="24"/>
    </w:rPr>
  </w:style>
  <w:style w:type="paragraph" w:styleId="1136">
    <w:name w:val="目录 11"/>
    <w:basedOn w:val="1014"/>
    <w:next w:val="1136"/>
    <w:link w:val="1014"/>
    <w:qFormat/>
  </w:style>
  <w:style w:type="paragraph" w:styleId="1137">
    <w:name w:val="正文 1.1.1"/>
    <w:basedOn w:val="1014"/>
    <w:next w:val="1137"/>
    <w:link w:val="1014"/>
    <w:qFormat/>
    <w:pPr>
      <w:numPr>
        <w:ilvl w:val="2"/>
        <w:numId w:val="2"/>
      </w:numPr>
      <w:tabs>
        <w:tab w:val="clear" w:pos="851" w:leader="none"/>
      </w:tabs>
      <w:outlineLvl w:val="2"/>
    </w:pPr>
    <w:rPr>
      <w:rFonts w:hAnsi="宋体" w:eastAsia="宋体"/>
      <w:color w:val="ff0000"/>
    </w:rPr>
  </w:style>
  <w:style w:type="paragraph" w:styleId="1138">
    <w:name w:val="引文目录标题1"/>
    <w:basedOn w:val="1014"/>
    <w:next w:val="1138"/>
    <w:link w:val="1014"/>
    <w:qFormat/>
    <w:pPr>
      <w:spacing w:before="120"/>
    </w:pPr>
    <w:rPr>
      <w:rFonts w:ascii="Cambria" w:hAnsi="Cambria" w:eastAsia="宋体"/>
      <w:sz w:val="24"/>
    </w:rPr>
  </w:style>
  <w:style w:type="paragraph" w:styleId="1139">
    <w:name w:val="列表项目符号 21"/>
    <w:basedOn w:val="1014"/>
    <w:next w:val="1139"/>
    <w:link w:val="1014"/>
    <w:qFormat/>
    <w:pPr>
      <w:numPr>
        <w:ilvl w:val="0"/>
        <w:numId w:val="3"/>
      </w:numPr>
      <w:tabs>
        <w:tab w:val="clear" w:pos="780" w:leader="none"/>
      </w:tabs>
    </w:pPr>
  </w:style>
  <w:style w:type="paragraph" w:styleId="1140">
    <w:name w:val="正文文本11"/>
    <w:basedOn w:val="1014"/>
    <w:next w:val="1130"/>
    <w:link w:val="1014"/>
    <w:qFormat/>
    <w:rPr>
      <w:rFonts w:ascii="楷体_GB2312" w:hAnsi="Arial" w:eastAsia="楷体_GB2312"/>
      <w:sz w:val="28"/>
      <w:szCs w:val="28"/>
    </w:rPr>
  </w:style>
  <w:style w:type="paragraph" w:styleId="1141">
    <w:name w:val="Blockquote"/>
    <w:basedOn w:val="1014"/>
    <w:next w:val="1141"/>
    <w:link w:val="1014"/>
    <w:qFormat/>
    <w:pPr>
      <w:ind w:left="360" w:right="360"/>
      <w:spacing w:before="100" w:after="100"/>
      <w:widowControl w:val="off"/>
    </w:pPr>
    <w:rPr>
      <w:sz w:val="24"/>
    </w:rPr>
  </w:style>
  <w:style w:type="paragraph" w:styleId="1142">
    <w:name w:val="列出段落"/>
    <w:basedOn w:val="1014"/>
    <w:next w:val="1142"/>
    <w:link w:val="1014"/>
    <w:qFormat/>
    <w:pPr>
      <w:ind w:firstLine="420"/>
    </w:pPr>
    <w:rPr>
      <w:rFonts w:eastAsia="楷体_GB2312"/>
      <w:sz w:val="26"/>
      <w:szCs w:val="20"/>
    </w:rPr>
  </w:style>
  <w:style w:type="paragraph" w:styleId="1143">
    <w:name w:val="_Style 7"/>
    <w:next w:val="1143"/>
    <w:link w:val="1014"/>
    <w:qFormat/>
    <w:pPr>
      <w:ind w:left="420" w:firstLine="420"/>
      <w:jc w:val="both"/>
      <w:spacing w:after="120"/>
      <w:widowControl w:val="off"/>
    </w:pPr>
    <w:rPr>
      <w:sz w:val="21"/>
      <w:szCs w:val="24"/>
      <w:lang w:val="en-US" w:eastAsia="zh-CN" w:bidi="ar-SA"/>
    </w:rPr>
  </w:style>
  <w:style w:type="paragraph" w:styleId="1144">
    <w:name w:val="table_1stline"/>
    <w:basedOn w:val="1014"/>
    <w:next w:val="1144"/>
    <w:link w:val="1014"/>
    <w:qFormat/>
    <w:pPr>
      <w:jc w:val="left"/>
      <w:spacing w:before="120"/>
      <w:widowControl/>
    </w:pPr>
    <w:rPr>
      <w:rFonts w:eastAsia="MS Mincho"/>
      <w:bCs/>
      <w:sz w:val="20"/>
      <w:szCs w:val="20"/>
      <w:lang w:val="de-DE" w:eastAsia="de-DE"/>
    </w:rPr>
  </w:style>
  <w:style w:type="character" w:styleId="1145" w:default="1">
    <w:name w:val="Default Paragraph Font"/>
    <w:uiPriority w:val="1"/>
    <w:semiHidden/>
    <w:unhideWhenUsed/>
  </w:style>
  <w:style w:type="numbering" w:styleId="1146" w:default="1">
    <w:name w:val="No List"/>
    <w:uiPriority w:val="99"/>
    <w:semiHidden/>
    <w:unhideWhenUsed/>
  </w:style>
  <w:style w:type="table" w:styleId="1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YZDJW-20</dc:title>
  <dc:creator>拾忆S</dc:creator>
  <cp:lastModifiedBy>李芸</cp:lastModifiedBy>
  <cp:revision>6</cp:revision>
  <dcterms:created xsi:type="dcterms:W3CDTF">2024-01-14T09:51:00Z</dcterms:created>
  <dcterms:modified xsi:type="dcterms:W3CDTF">2025-03-14T02:53:47Z</dcterms:modified>
</cp:coreProperties>
</file>