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jc w:val="center"/>
        <w:rPr>
          <w:rFonts w:eastAsia="黑体"/>
          <w:b/>
          <w:bCs/>
          <w:sz w:val="84"/>
        </w:rPr>
      </w:pPr>
      <w:r>
        <w:rPr>
          <w:rFonts w:hint="eastAsia" w:eastAsia="黑体"/>
          <w:b/>
          <w:bCs/>
          <w:sz w:val="84"/>
        </w:rPr>
        <w:t xml:space="preserve">招　标　文　件</w:t>
      </w:r>
      <w:r/>
    </w:p>
    <w:p>
      <w:pPr>
        <w:pStyle w:val="1015"/>
        <w:ind w:firstLine="2249"/>
        <w:rPr>
          <w:b/>
          <w:bCs/>
          <w:sz w:val="32"/>
        </w:rPr>
      </w:pPr>
      <w:r>
        <w:rPr>
          <w:b/>
          <w:bCs/>
          <w:sz w:val="32"/>
        </w:rPr>
      </w:r>
      <w:r/>
    </w:p>
    <w:p>
      <w:pPr>
        <w:pStyle w:val="1015"/>
        <w:ind w:firstLine="2249"/>
        <w:rPr>
          <w:b/>
          <w:bCs/>
          <w:sz w:val="32"/>
        </w:rPr>
      </w:pPr>
      <w:r>
        <w:rPr>
          <w:b/>
          <w:bCs/>
          <w:sz w:val="32"/>
        </w:rPr>
      </w:r>
      <w:r/>
    </w:p>
    <w:p>
      <w:pPr>
        <w:pStyle w:val="1015"/>
        <w:ind w:firstLine="2249"/>
        <w:rPr>
          <w:b/>
          <w:bCs/>
          <w:sz w:val="32"/>
        </w:rPr>
      </w:pPr>
      <w:r>
        <w:rPr>
          <w:b/>
          <w:bCs/>
          <w:sz w:val="32"/>
        </w:rPr>
      </w:r>
      <w:r/>
    </w:p>
    <w:p>
      <w:pPr>
        <w:pStyle w:val="1015"/>
        <w:ind w:firstLine="2249"/>
        <w:rPr>
          <w:b/>
          <w:bCs/>
          <w:sz w:val="32"/>
        </w:rPr>
      </w:pPr>
      <w:r>
        <w:rPr>
          <w:b/>
          <w:bCs/>
          <w:sz w:val="32"/>
        </w:rPr>
      </w:r>
      <w:r/>
    </w:p>
    <w:p>
      <w:pPr>
        <w:pStyle w:val="1015"/>
        <w:ind w:firstLine="2249"/>
        <w:rPr>
          <w:b/>
          <w:bCs/>
          <w:sz w:val="32"/>
        </w:rPr>
      </w:pPr>
      <w:r>
        <w:rPr>
          <w:b/>
          <w:bCs/>
          <w:sz w:val="32"/>
        </w:rPr>
      </w:r>
      <w:r/>
    </w:p>
    <w:p>
      <w:pPr>
        <w:pStyle w:val="1015"/>
        <w:ind w:firstLine="2249"/>
        <w:rPr>
          <w:b/>
          <w:bCs/>
          <w:sz w:val="32"/>
        </w:rPr>
      </w:pPr>
      <w:r>
        <w:rPr>
          <w:b/>
          <w:bCs/>
          <w:sz w:val="32"/>
        </w:rPr>
      </w:r>
      <w:r/>
    </w:p>
    <w:p>
      <w:pPr>
        <w:pStyle w:val="1015"/>
        <w:rPr>
          <w:b/>
          <w:bCs/>
          <w:sz w:val="32"/>
        </w:rPr>
      </w:pPr>
      <w:r>
        <w:rPr>
          <w:rFonts w:hint="eastAsia"/>
          <w:b/>
          <w:bCs/>
          <w:sz w:val="32"/>
        </w:rPr>
        <w:t xml:space="preserve">项目名称：扬州市江都人民医院信息化升级改造</w:t>
      </w:r>
      <w:r/>
    </w:p>
    <w:p>
      <w:pPr>
        <w:pStyle w:val="1015"/>
        <w:spacing w:before="0" w:after="0"/>
        <w:rPr>
          <w:bCs/>
          <w:sz w:val="32"/>
        </w:rPr>
      </w:pPr>
      <w:r>
        <w:rPr>
          <w:rFonts w:hint="eastAsia"/>
          <w:b/>
          <w:bCs/>
          <w:sz w:val="32"/>
        </w:rPr>
        <w:t xml:space="preserve">项目编号：</w:t>
      </w:r>
      <w:r>
        <w:rPr>
          <w:bCs/>
          <w:sz w:val="32"/>
        </w:rPr>
        <w:t xml:space="preserve">JSZC-321012-JZCG-G2024-0019</w:t>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spacing w:before="0" w:after="0"/>
        <w:rPr>
          <w:rFonts w:ascii="宋体" w:hAnsi="宋体"/>
        </w:rPr>
      </w:pPr>
      <w:r>
        <w:rPr>
          <w:rFonts w:ascii="宋体" w:hAnsi="宋体"/>
        </w:rPr>
      </w:r>
      <w:r/>
    </w:p>
    <w:p>
      <w:pPr>
        <w:pStyle w:val="1015"/>
        <w:ind w:firstLine="0"/>
        <w:jc w:val="center"/>
        <w:rPr>
          <w:b/>
          <w:bCs/>
          <w:sz w:val="32"/>
        </w:rPr>
      </w:pPr>
      <w:r>
        <w:rPr>
          <w:rFonts w:hint="eastAsia"/>
          <w:b/>
          <w:bCs/>
          <w:sz w:val="32"/>
        </w:rPr>
        <w:t xml:space="preserve">扬州市公共资源交易中心江都分中心</w:t>
      </w:r>
      <w:r/>
    </w:p>
    <w:p>
      <w:pPr>
        <w:pStyle w:val="1015"/>
        <w:ind w:firstLine="0"/>
        <w:jc w:val="center"/>
        <w:rPr>
          <w:b/>
          <w:bCs/>
          <w:sz w:val="32"/>
        </w:rPr>
      </w:pPr>
      <w:r>
        <w:rPr>
          <w:rFonts w:hint="eastAsia"/>
          <w:b/>
          <w:bCs/>
          <w:sz w:val="32"/>
        </w:rPr>
        <w:t xml:space="preserve">2024</w:t>
      </w:r>
      <w:r>
        <w:rPr>
          <w:rFonts w:hint="eastAsia"/>
          <w:b/>
          <w:bCs/>
          <w:sz w:val="32"/>
        </w:rPr>
        <w:t xml:space="preserve">年</w:t>
      </w:r>
      <w:r>
        <w:rPr>
          <w:b/>
          <w:bCs/>
          <w:sz w:val="32"/>
        </w:rPr>
        <w:t xml:space="preserve">11</w:t>
      </w:r>
      <w:r>
        <w:rPr>
          <w:rFonts w:hint="eastAsia"/>
          <w:b/>
          <w:bCs/>
          <w:sz w:val="32"/>
        </w:rPr>
        <w:t xml:space="preserve">月</w:t>
      </w:r>
      <w:r/>
    </w:p>
    <w:p>
      <w:pPr>
        <w:pStyle w:val="1015"/>
        <w:ind w:firstLine="0"/>
        <w:jc w:val="center"/>
        <w:rPr>
          <w:b/>
          <w:bCs/>
          <w:sz w:val="40"/>
          <w:szCs w:val="40"/>
        </w:rPr>
      </w:pPr>
      <w:r/>
      <w:bookmarkStart w:id="0" w:name="_Toc120614210"/>
      <w:r/>
      <w:bookmarkStart w:id="1" w:name="_Toc513029200"/>
      <w:r/>
      <w:bookmarkStart w:id="2" w:name="_Toc479757206"/>
      <w:r/>
      <w:bookmarkStart w:id="3" w:name="_Toc16938516"/>
      <w:r/>
      <w:bookmarkStart w:id="4" w:name="_Toc20823272"/>
      <w:r/>
      <w:bookmarkStart w:id="5" w:name="_Toc523127445"/>
      <w:r/>
      <w:r/>
    </w:p>
    <w:p>
      <w:pPr>
        <w:pStyle w:val="1015"/>
        <w:ind w:firstLine="0"/>
        <w:jc w:val="center"/>
        <w:rPr>
          <w:b/>
          <w:bCs/>
          <w:sz w:val="40"/>
          <w:szCs w:val="40"/>
        </w:rPr>
      </w:pPr>
      <w:r>
        <w:rPr>
          <w:b/>
          <w:bCs/>
          <w:sz w:val="40"/>
          <w:szCs w:val="40"/>
        </w:rPr>
      </w:r>
      <w:r/>
    </w:p>
    <w:p>
      <w:pPr>
        <w:pStyle w:val="1015"/>
        <w:ind w:firstLine="0"/>
        <w:jc w:val="center"/>
        <w:rPr>
          <w:rFonts w:ascii="仿宋_GB2312" w:eastAsia="仿宋_GB2312"/>
          <w:b/>
          <w:sz w:val="28"/>
        </w:rPr>
      </w:pPr>
      <w:r>
        <w:rPr>
          <w:rFonts w:hint="eastAsia"/>
          <w:b/>
          <w:bCs/>
          <w:sz w:val="40"/>
          <w:szCs w:val="40"/>
        </w:rPr>
        <w:t xml:space="preserve">总目录</w:t>
      </w:r>
      <w:r/>
    </w:p>
    <w:p>
      <w:pPr>
        <w:pStyle w:val="1010"/>
        <w:tabs>
          <w:tab w:val="right" w:pos="8953" w:leader="dot"/>
        </w:tabs>
      </w:pPr>
      <w:r>
        <w:rPr>
          <w:rFonts w:hint="eastAsia"/>
        </w:rPr>
        <w:fldChar w:fldCharType="begin"/>
      </w:r>
      <w:r>
        <w:rPr>
          <w:rFonts w:hint="eastAsia"/>
        </w:rPr>
        <w:instrText xml:space="preserve">TOC \o "1-1" \h \u </w:instrText>
      </w:r>
      <w:r>
        <w:rPr>
          <w:rFonts w:hint="eastAsia"/>
        </w:rPr>
        <w:fldChar w:fldCharType="separate"/>
      </w:r>
      <w:hyperlink w:tooltip="#_Toc22326" w:anchor="_Toc22326" w:history="1">
        <w:r>
          <w:rPr>
            <w:rFonts w:hint="eastAsia"/>
            <w:bCs/>
          </w:rPr>
          <w:t xml:space="preserve">第一章  投标邀请</w:t>
        </w:r>
        <w:r>
          <w:tab/>
        </w:r>
      </w:hyperlink>
      <w:r>
        <w:t xml:space="preserve">3</w:t>
      </w:r>
      <w:r/>
    </w:p>
    <w:p>
      <w:pPr>
        <w:pStyle w:val="1010"/>
        <w:tabs>
          <w:tab w:val="right" w:pos="8953" w:leader="dot"/>
        </w:tabs>
      </w:pPr>
      <w:r/>
      <w:hyperlink w:tooltip="#_Toc20518" w:anchor="_Toc20518" w:history="1">
        <w:r>
          <w:rPr>
            <w:rFonts w:hint="eastAsia"/>
            <w:bCs/>
          </w:rPr>
          <w:t xml:space="preserve">第二章  投标人须知</w:t>
        </w:r>
        <w:r>
          <w:tab/>
        </w:r>
        <w:r>
          <w:rPr>
            <w:rFonts w:hint="eastAsia"/>
          </w:rPr>
          <w:t xml:space="preserve">6</w:t>
        </w:r>
      </w:hyperlink>
      <w:r/>
      <w:r/>
    </w:p>
    <w:p>
      <w:pPr>
        <w:pStyle w:val="1010"/>
        <w:tabs>
          <w:tab w:val="right" w:pos="8953" w:leader="dot"/>
        </w:tabs>
      </w:pPr>
      <w:r/>
      <w:hyperlink w:tooltip="#_Toc5617" w:anchor="_Toc5617" w:history="1">
        <w:r>
          <w:rPr>
            <w:rFonts w:hint="eastAsia"/>
            <w:bCs/>
          </w:rPr>
          <w:t xml:space="preserve">第三章  合同文本</w:t>
        </w:r>
        <w:r>
          <w:tab/>
        </w:r>
        <w:r>
          <w:rPr>
            <w:rFonts w:hint="eastAsia"/>
          </w:rPr>
          <w:t xml:space="preserve">16</w:t>
        </w:r>
      </w:hyperlink>
      <w:r>
        <w:rPr>
          <w:rFonts w:hint="eastAsia"/>
        </w:rPr>
      </w:r>
      <w:r/>
    </w:p>
    <w:p>
      <w:pPr>
        <w:pStyle w:val="1010"/>
        <w:tabs>
          <w:tab w:val="right" w:pos="8953" w:leader="dot"/>
        </w:tabs>
      </w:pPr>
      <w:r/>
      <w:hyperlink w:tooltip="#_Toc14893" w:anchor="_Toc14893" w:history="1">
        <w:r>
          <w:rPr>
            <w:rFonts w:hint="eastAsia"/>
            <w:bCs/>
          </w:rPr>
          <w:t xml:space="preserve">第四章  采购需求</w:t>
        </w:r>
        <w:r>
          <w:tab/>
        </w:r>
        <w:r>
          <w:rPr>
            <w:rFonts w:hint="eastAsia"/>
          </w:rPr>
          <w:t xml:space="preserve">19</w:t>
        </w:r>
      </w:hyperlink>
      <w:r>
        <w:rPr>
          <w:rFonts w:hint="eastAsia"/>
        </w:rPr>
      </w:r>
      <w:r/>
    </w:p>
    <w:p>
      <w:pPr>
        <w:pStyle w:val="1010"/>
        <w:tabs>
          <w:tab w:val="right" w:pos="8953" w:leader="dot"/>
        </w:tabs>
      </w:pPr>
      <w:r/>
      <w:hyperlink w:tooltip="#_Toc5710" w:anchor="_Toc5710" w:history="1">
        <w:r>
          <w:rPr>
            <w:rFonts w:hint="eastAsia"/>
            <w:bCs/>
          </w:rPr>
          <w:t xml:space="preserve">第五章  评标方法与评标标准</w:t>
        </w:r>
        <w:r>
          <w:tab/>
          <w:t xml:space="preserve">135</w:t>
        </w:r>
        <w:r>
          <w:rPr>
            <w:rFonts w:hint="eastAsia"/>
          </w:rPr>
        </w:r>
      </w:hyperlink>
      <w:r>
        <w:rPr>
          <w:rFonts w:hint="eastAsia"/>
        </w:rPr>
      </w:r>
      <w:r/>
    </w:p>
    <w:p>
      <w:pPr>
        <w:pStyle w:val="1010"/>
        <w:tabs>
          <w:tab w:val="right" w:pos="8953" w:leader="dot"/>
        </w:tabs>
      </w:pPr>
      <w:r/>
      <w:hyperlink w:tooltip="#_Toc27232" w:anchor="_Toc27232" w:history="1">
        <w:r>
          <w:rPr>
            <w:rFonts w:hint="eastAsia"/>
            <w:bCs/>
          </w:rPr>
          <w:t xml:space="preserve">第六章  投标文件格式</w:t>
        </w:r>
        <w:r>
          <w:tab/>
        </w:r>
        <w:r>
          <w:rPr>
            <w:rFonts w:hint="eastAsia"/>
          </w:rPr>
          <w:t xml:space="preserve">140</w:t>
        </w:r>
      </w:hyperlink>
      <w:r>
        <w:rPr>
          <w:rFonts w:hint="eastAsia"/>
        </w:rPr>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9"/>
        <w:rPr>
          <w:b/>
          <w:bCs/>
        </w:rPr>
      </w:pPr>
      <w:r>
        <w:rPr>
          <w:rFonts w:hint="eastAsia"/>
        </w:rPr>
        <w:br w:type="page" w:clear="all"/>
      </w:r>
      <w:bookmarkStart w:id="6" w:name="_Toc669"/>
      <w:r/>
      <w:bookmarkStart w:id="7" w:name="_Toc22326"/>
      <w:r>
        <w:rPr>
          <w:rFonts w:hint="eastAsia"/>
          <w:b/>
          <w:bCs/>
        </w:rPr>
        <w:t xml:space="preserve">第一章</w:t>
      </w:r>
      <w:bookmarkEnd w:id="0"/>
      <w:r>
        <w:rPr>
          <w:rFonts w:hint="eastAsia"/>
          <w:b/>
          <w:bCs/>
        </w:rPr>
        <w:t xml:space="preserve">投标邀请</w:t>
      </w:r>
      <w:bookmarkEnd w:id="6"/>
      <w:r/>
      <w:bookmarkEnd w:id="7"/>
      <w:r/>
      <w:r/>
    </w:p>
    <w:p>
      <w:pPr>
        <w:rPr>
          <w:rFonts w:ascii="宋体" w:hAnsi="宋体"/>
          <w:sz w:val="24"/>
          <w:szCs w:val="24"/>
        </w:rPr>
      </w:pPr>
      <w:r/>
      <w:bookmarkStart w:id="8" w:name="_Toc28359002"/>
      <w:r/>
      <w:bookmarkStart w:id="9" w:name="_Hlk24379207"/>
      <w:r/>
      <w:bookmarkStart w:id="10" w:name="_Toc28359079"/>
      <w:r/>
      <w:bookmarkStart w:id="11" w:name="_Toc35393621"/>
      <w:r/>
      <w:bookmarkStart w:id="12" w:name="_Toc35393790"/>
      <w:r/>
      <w:bookmarkStart w:id="13" w:name="_Toc38985263"/>
      <w:r/>
      <w:r/>
    </w:p>
    <w:p>
      <w:pPr>
        <w:ind w:firstLine="480"/>
        <w:rPr>
          <w:rFonts w:ascii="宋体" w:hAnsi="宋体"/>
          <w:sz w:val="24"/>
          <w:szCs w:val="24"/>
        </w:rPr>
      </w:pPr>
      <w:r>
        <w:rPr>
          <w:rFonts w:hint="eastAsia" w:ascii="宋体" w:hAnsi="宋体"/>
          <w:sz w:val="24"/>
          <w:szCs w:val="24"/>
        </w:rPr>
        <w:t xml:space="preserve">受扬州市江都人民医院的委托，扬州市公共资源交易中心江都分中心就扬州市江都人民医院信息化升级改造(</w:t>
      </w:r>
      <w:r>
        <w:rPr>
          <w:rFonts w:ascii="宋体" w:hAnsi="宋体"/>
          <w:sz w:val="24"/>
          <w:szCs w:val="24"/>
        </w:rPr>
        <w:t xml:space="preserve">JSZC-321012-JZCG-G2024-0019</w:t>
      </w:r>
      <w:r>
        <w:rPr>
          <w:rFonts w:hint="eastAsia" w:ascii="宋体" w:hAnsi="宋体"/>
          <w:sz w:val="24"/>
          <w:szCs w:val="24"/>
        </w:rPr>
        <w:t xml:space="preserve">)项目进行公开招标采购，欢迎符合条件的供应商投标。</w:t>
      </w:r>
      <w:r/>
    </w:p>
    <w:p>
      <w:pPr>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扬州市江都人民医院信息化升级改造项目的潜在投标人可在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sz w:val="24"/>
          <w:szCs w:val="24"/>
          <w:u w:val="single"/>
        </w:rPr>
        <w:t xml:space="preserve">年</w:t>
      </w:r>
      <w:r>
        <w:rPr>
          <w:rFonts w:ascii="宋体" w:hAnsi="宋体"/>
          <w:sz w:val="24"/>
          <w:szCs w:val="24"/>
          <w:u w:val="single"/>
        </w:rPr>
        <w:t xml:space="preserve">12</w:t>
      </w:r>
      <w:r>
        <w:rPr>
          <w:rFonts w:hint="eastAsia" w:ascii="宋体" w:hAnsi="宋体"/>
          <w:sz w:val="24"/>
          <w:szCs w:val="24"/>
          <w:u w:val="single"/>
        </w:rPr>
        <w:t xml:space="preserve">月2</w:t>
      </w:r>
      <w:r>
        <w:rPr>
          <w:rFonts w:ascii="宋体" w:hAnsi="宋体"/>
          <w:sz w:val="24"/>
          <w:szCs w:val="24"/>
          <w:u w:val="single"/>
        </w:rPr>
        <w:t xml:space="preserve">0</w:t>
      </w:r>
      <w:r>
        <w:rPr>
          <w:rFonts w:hint="eastAsia" w:ascii="宋体" w:hAnsi="宋体"/>
          <w:sz w:val="24"/>
          <w:szCs w:val="24"/>
          <w:u w:val="single"/>
        </w:rPr>
        <w:t xml:space="preserve">日</w:t>
      </w:r>
      <w:r>
        <w:rPr>
          <w:rFonts w:ascii="宋体" w:hAnsi="宋体"/>
          <w:bCs/>
          <w:sz w:val="24"/>
          <w:szCs w:val="24"/>
          <w:u w:val="single"/>
        </w:rPr>
        <w:t xml:space="preserve">09</w:t>
      </w:r>
      <w:r>
        <w:rPr>
          <w:rFonts w:hint="eastAsia" w:ascii="宋体" w:hAnsi="宋体"/>
          <w:bCs/>
          <w:sz w:val="24"/>
          <w:szCs w:val="24"/>
          <w:u w:val="single"/>
        </w:rPr>
        <w:t xml:space="preserve">点</w:t>
      </w:r>
      <w:r>
        <w:rPr>
          <w:rFonts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25"/>
      </w:pPr>
      <w:r>
        <w:rPr>
          <w:rFonts w:hint="eastAsia"/>
        </w:rPr>
        <w:t xml:space="preserve">一、项目基本情况</w:t>
      </w:r>
      <w:bookmarkEnd w:id="8"/>
      <w:r/>
      <w:bookmarkEnd w:id="9"/>
      <w:r/>
      <w:bookmarkEnd w:id="10"/>
      <w:r/>
      <w:bookmarkEnd w:id="11"/>
      <w:r/>
      <w:bookmarkEnd w:id="12"/>
      <w:r/>
      <w:bookmarkEnd w:id="13"/>
      <w:r/>
      <w:r/>
    </w:p>
    <w:p>
      <w:pPr>
        <w:ind w:firstLine="482"/>
        <w:spacing w:line="300" w:lineRule="auto"/>
        <w:rPr>
          <w:rFonts w:ascii="宋体" w:hAnsi="宋体"/>
          <w:sz w:val="24"/>
          <w:szCs w:val="24"/>
        </w:rPr>
      </w:pPr>
      <w:r/>
      <w:bookmarkStart w:id="14" w:name="_Toc38985264"/>
      <w:r/>
      <w:bookmarkStart w:id="15" w:name="_Toc28359003"/>
      <w:r/>
      <w:bookmarkStart w:id="16" w:name="_Toc28359080"/>
      <w:r/>
      <w:bookmarkStart w:id="17" w:name="_Toc35393622"/>
      <w:r/>
      <w:bookmarkStart w:id="18" w:name="_Toc35393791"/>
      <w:r>
        <w:rPr>
          <w:rFonts w:hint="eastAsia" w:ascii="宋体" w:hAnsi="宋体"/>
          <w:sz w:val="24"/>
          <w:szCs w:val="24"/>
        </w:rPr>
        <w:t xml:space="preserve">1.项目编号：</w:t>
      </w:r>
      <w:r>
        <w:rPr>
          <w:rFonts w:ascii="宋体" w:hAnsi="宋体"/>
          <w:sz w:val="24"/>
          <w:szCs w:val="24"/>
        </w:rPr>
        <w:t xml:space="preserve">JSZC-321012-JZCG-G2024-0019</w:t>
      </w:r>
      <w:r/>
    </w:p>
    <w:p>
      <w:pPr>
        <w:ind w:firstLine="482"/>
        <w:spacing w:line="300" w:lineRule="auto"/>
        <w:rPr>
          <w:rFonts w:ascii="宋体" w:hAnsi="宋体"/>
          <w:sz w:val="24"/>
          <w:szCs w:val="24"/>
        </w:rPr>
      </w:pPr>
      <w:r>
        <w:rPr>
          <w:rFonts w:hint="eastAsia" w:ascii="宋体" w:hAnsi="宋体"/>
          <w:sz w:val="24"/>
          <w:szCs w:val="24"/>
        </w:rPr>
        <w:t xml:space="preserve">2.项目名称：扬州市江都人民医院信息化升级改造</w:t>
      </w:r>
      <w:r/>
    </w:p>
    <w:p>
      <w:pPr>
        <w:ind w:firstLine="482"/>
        <w:spacing w:line="300" w:lineRule="auto"/>
        <w:rPr>
          <w:rFonts w:ascii="宋体" w:hAnsi="宋体"/>
          <w:sz w:val="24"/>
          <w:szCs w:val="24"/>
        </w:rPr>
      </w:pPr>
      <w:r>
        <w:rPr>
          <w:rFonts w:hint="eastAsia" w:ascii="宋体" w:hAnsi="宋体"/>
          <w:sz w:val="24"/>
          <w:szCs w:val="24"/>
        </w:rPr>
        <w:t xml:space="preserve">3.预算金额： 1710万元。</w:t>
      </w:r>
      <w:r/>
    </w:p>
    <w:p>
      <w:pPr>
        <w:ind w:firstLine="482"/>
        <w:spacing w:line="300" w:lineRule="auto"/>
        <w:rPr>
          <w:rFonts w:ascii="宋体" w:hAnsi="宋体"/>
          <w:sz w:val="24"/>
          <w:szCs w:val="24"/>
        </w:rPr>
      </w:pPr>
      <w:r>
        <w:rPr>
          <w:rFonts w:hint="eastAsia" w:ascii="宋体" w:hAnsi="宋体"/>
          <w:sz w:val="24"/>
          <w:szCs w:val="24"/>
        </w:rPr>
        <w:t xml:space="preserve">4.本项目设定最高限价， 1710万元。</w:t>
      </w:r>
      <w:r/>
    </w:p>
    <w:p>
      <w:pPr>
        <w:ind w:firstLine="480"/>
        <w:jc w:val="left"/>
        <w:spacing w:before="120" w:after="120" w:line="300" w:lineRule="auto"/>
        <w:widowControl/>
        <w:rPr>
          <w:rFonts w:ascii="宋体" w:hAnsi="宋体"/>
          <w:sz w:val="24"/>
          <w:szCs w:val="24"/>
        </w:rPr>
      </w:pPr>
      <w:r>
        <w:rPr>
          <w:rFonts w:hint="eastAsia" w:ascii="宋体" w:hAnsi="宋体"/>
          <w:sz w:val="24"/>
          <w:szCs w:val="24"/>
        </w:rPr>
        <w:t xml:space="preserve">5.采购需求（简介）：</w:t>
      </w:r>
      <w:r>
        <w:rPr>
          <w:rFonts w:hint="eastAsia" w:ascii="宋体" w:hAnsi="宋体" w:cs="宋体"/>
          <w:sz w:val="24"/>
        </w:rPr>
        <w:t xml:space="preserve">本项目根据扬州市江都人民医院发展规划及需求，结合医院管理思想和自身特色，利用云计算、大数据与人工智能技术、物联网技术、互联网技术等先进</w:t>
      </w:r>
      <w:r>
        <w:rPr>
          <w:rFonts w:ascii="宋体" w:hAnsi="宋体" w:cs="宋体"/>
          <w:sz w:val="24"/>
        </w:rPr>
        <w:t xml:space="preserve">IT技术，对医院</w:t>
      </w:r>
      <w:r>
        <w:rPr>
          <w:rFonts w:hint="eastAsia" w:ascii="宋体" w:hAnsi="宋体" w:cs="宋体"/>
          <w:sz w:val="24"/>
        </w:rPr>
        <w:t xml:space="preserve">信息化</w:t>
      </w:r>
      <w:r>
        <w:rPr>
          <w:rFonts w:ascii="宋体" w:hAnsi="宋体" w:cs="宋体"/>
          <w:sz w:val="24"/>
        </w:rPr>
        <w:t xml:space="preserve">建设进行总体</w:t>
      </w:r>
      <w:r>
        <w:rPr>
          <w:rFonts w:hint="eastAsia" w:ascii="宋体" w:hAnsi="宋体" w:cs="宋体"/>
          <w:sz w:val="24"/>
        </w:rPr>
        <w:t xml:space="preserve">升级改造</w:t>
      </w:r>
      <w:r>
        <w:rPr>
          <w:rFonts w:ascii="宋体" w:hAnsi="宋体" w:cs="宋体"/>
          <w:sz w:val="24"/>
        </w:rPr>
        <w:t xml:space="preserve">。优化与再造患者服务流程，提高医护人员的工作效率，减少医疗服务中的差错，提升医疗服务质量，辅助现代医院运营管理，达到现代化医院的管理水平。</w:t>
      </w:r>
      <w:r>
        <w:rPr>
          <w:rFonts w:hint="eastAsia" w:ascii="宋体" w:hAnsi="宋体" w:cs="宋体"/>
          <w:sz w:val="24"/>
        </w:rPr>
        <w:t xml:space="preserve">（</w:t>
      </w:r>
      <w:r>
        <w:rPr>
          <w:rFonts w:hint="eastAsia" w:ascii="宋体" w:hAnsi="宋体"/>
          <w:sz w:val="24"/>
          <w:szCs w:val="24"/>
        </w:rPr>
        <w:t xml:space="preserve">详细内容见本招标文件第四章采购需求。</w:t>
      </w:r>
      <w:r>
        <w:rPr>
          <w:rFonts w:hint="eastAsia" w:ascii="宋体" w:hAnsi="宋体" w:cs="宋体"/>
          <w:sz w:val="24"/>
        </w:rPr>
        <w:t xml:space="preserve">）</w:t>
      </w:r>
      <w:r/>
    </w:p>
    <w:p>
      <w:pPr>
        <w:ind w:firstLine="480"/>
        <w:spacing w:line="300" w:lineRule="auto"/>
        <w:rPr>
          <w:rFonts w:ascii="宋体" w:hAnsi="宋体" w:cs="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合同履行期限</w:t>
      </w:r>
      <w:r>
        <w:rPr>
          <w:rFonts w:hint="eastAsia" w:ascii="宋体" w:hAnsi="宋体"/>
          <w:sz w:val="24"/>
          <w:szCs w:val="24"/>
        </w:rPr>
        <w:t xml:space="preserve">：自合同签订之日起至项目终验止（需在12个月内完成开发、调试并交付使用）。</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p>
    <w:p>
      <w:pPr>
        <w:pStyle w:val="925"/>
        <w:ind w:firstLine="498"/>
        <w:spacing w:before="145" w:after="145" w:line="360" w:lineRule="auto"/>
      </w:pPr>
      <w:r/>
      <w:bookmarkStart w:id="19" w:name="_Toc35393792"/>
      <w:r/>
      <w:bookmarkStart w:id="20" w:name="_Toc28359081"/>
      <w:r/>
      <w:bookmarkStart w:id="21" w:name="_Toc38985265"/>
      <w:r/>
      <w:bookmarkStart w:id="22" w:name="_Toc35393623"/>
      <w:r/>
      <w:bookmarkStart w:id="23" w:name="_Toc28359004"/>
      <w:r/>
      <w:bookmarkEnd w:id="14"/>
      <w:r/>
      <w:bookmarkEnd w:id="15"/>
      <w:r/>
      <w:bookmarkEnd w:id="16"/>
      <w:r/>
      <w:bookmarkEnd w:id="17"/>
      <w:r/>
      <w:bookmarkEnd w:id="18"/>
      <w:r>
        <w:rPr>
          <w:rFonts w:hint="eastAsia"/>
        </w:rPr>
        <w:t xml:space="preserve">二、申请人的资格要求：</w:t>
      </w:r>
      <w:r/>
    </w:p>
    <w:p>
      <w:pPr>
        <w:ind w:firstLine="482"/>
        <w:spacing w:line="312" w:lineRule="auto"/>
        <w:rPr>
          <w:rFonts w:ascii="宋体" w:hAnsi="宋体"/>
          <w:sz w:val="24"/>
          <w:szCs w:val="24"/>
        </w:rPr>
      </w:pPr>
      <w:r>
        <w:rPr>
          <w:rFonts w:hint="eastAsia" w:ascii="宋体" w:hAnsi="宋体"/>
          <w:sz w:val="24"/>
          <w:szCs w:val="24"/>
        </w:rPr>
        <w:t xml:space="preserve">（一）通用资格要求</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1.满足《中华人民共和国政府采购法》第二十二条规定，并提供下列材料：</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 法人或者其他组织的营业执照等证明文件，自然人的身份证明；</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1.2上一年度的财务状况报告（可提供“基本资格条件承诺函”）；</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1.3依法缴纳税收和社会保障资金的相关材料（可提供“基本资格条件承诺函”）；</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1.4具备履行合同所必需的设备和专业技术能力的书面声明（可提供“基本资格条件承诺函”）；</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1.5参加政府采购活动前3年内在经营活动中没有重大违法记录的书面声明（可</w:t>
      </w:r>
      <w:r>
        <w:rPr>
          <w:rFonts w:hint="eastAsia" w:asciiTheme="minorEastAsia" w:hAnsiTheme="minorEastAsia" w:eastAsiaTheme="minorEastAsia"/>
          <w:sz w:val="24"/>
          <w:szCs w:val="24"/>
        </w:rPr>
        <w:t xml:space="preserve">提供“基本资格条件承诺函”）。</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1.6供应商信用承诺函。</w:t>
      </w:r>
      <w:r/>
    </w:p>
    <w:p>
      <w:pPr>
        <w:ind w:firstLine="48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2"/>
        <w:spacing w:line="312" w:lineRule="auto"/>
        <w:rPr>
          <w:rFonts w:ascii="宋体" w:hAnsi="宋体"/>
          <w:sz w:val="24"/>
          <w:szCs w:val="24"/>
        </w:rPr>
      </w:pPr>
      <w:r>
        <w:rPr>
          <w:rFonts w:hint="eastAsia" w:ascii="宋体" w:hAnsi="宋体"/>
          <w:sz w:val="24"/>
          <w:szCs w:val="24"/>
        </w:rPr>
        <w:t xml:space="preserve">3.落实政府采购政策需满足的资格要求：无</w:t>
      </w:r>
      <w:r/>
    </w:p>
    <w:p>
      <w:pPr>
        <w:ind w:firstLine="482"/>
        <w:spacing w:line="312"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 联合体投标</w:t>
      </w:r>
      <w:r/>
    </w:p>
    <w:p>
      <w:pPr>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进口产品投标</w:t>
      </w:r>
      <w:r/>
    </w:p>
    <w:p>
      <w:pPr>
        <w:ind w:firstLine="480"/>
        <w:rPr>
          <w:rFonts w:ascii="宋体" w:hAnsi="宋体"/>
          <w:i/>
          <w:iCs/>
          <w:sz w:val="24"/>
          <w:szCs w:val="24"/>
          <w:u w:val="single"/>
        </w:rPr>
      </w:pPr>
      <w:r>
        <w:rPr>
          <w:rFonts w:hint="eastAsia" w:ascii="宋体" w:hAnsi="宋体"/>
          <w:sz w:val="24"/>
          <w:szCs w:val="24"/>
        </w:rPr>
        <w:t xml:space="preserve">（二）本项目的特定资格要求：</w:t>
      </w:r>
      <w:r>
        <w:rPr>
          <w:rFonts w:hint="eastAsia" w:asciiTheme="minorEastAsia" w:hAnsiTheme="minorEastAsia"/>
          <w:sz w:val="24"/>
          <w:szCs w:val="24"/>
        </w:rPr>
        <w:t xml:space="preserve">无</w:t>
      </w:r>
      <w:r/>
    </w:p>
    <w:p>
      <w:pPr>
        <w:pStyle w:val="925"/>
        <w:ind w:firstLine="498"/>
        <w:spacing w:before="145" w:after="145" w:line="360" w:lineRule="auto"/>
        <w:rPr>
          <w:sz w:val="24"/>
          <w:szCs w:val="24"/>
        </w:rPr>
      </w:pPr>
      <w:r>
        <w:rPr>
          <w:rFonts w:hint="eastAsia"/>
          <w:sz w:val="24"/>
          <w:szCs w:val="24"/>
        </w:rPr>
        <w:t xml:space="preserve">三、获取招标文件</w:t>
      </w:r>
      <w:r/>
    </w:p>
    <w:p>
      <w:pPr>
        <w:ind w:firstLine="540"/>
        <w:spacing w:line="360" w:lineRule="auto"/>
      </w:pPr>
      <w:r>
        <w:rPr>
          <w:rFonts w:hint="eastAsia" w:ascii="宋体" w:hAnsi="宋体" w:cs="宋体"/>
          <w:sz w:val="24"/>
          <w:szCs w:val="24"/>
        </w:rPr>
        <w:t xml:space="preserve">1.时间：自招标文件公告发布之日起5个工作日</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pStyle w:val="925"/>
        <w:ind w:firstLine="498"/>
        <w:spacing w:before="145" w:after="145" w:line="360" w:lineRule="auto"/>
      </w:pPr>
      <w:r>
        <w:rPr>
          <w:rFonts w:hint="eastAsia"/>
        </w:rPr>
        <w:t xml:space="preserve">四、提交投标文件截止时间、开标时间和地点</w:t>
      </w:r>
      <w:r/>
    </w:p>
    <w:p>
      <w:pPr>
        <w:ind w:firstLine="540"/>
        <w:spacing w:line="360" w:lineRule="auto"/>
        <w:rPr>
          <w:rFonts w:ascii="宋体" w:hAnsi="宋体"/>
          <w:bCs/>
          <w:sz w:val="24"/>
          <w:szCs w:val="24"/>
        </w:rPr>
      </w:pPr>
      <w:r>
        <w:rPr>
          <w:rFonts w:hint="eastAsia" w:ascii="宋体" w:hAnsi="宋体"/>
          <w:bCs/>
          <w:sz w:val="24"/>
          <w:szCs w:val="24"/>
        </w:rPr>
        <w:t xml:space="preserve">1. </w:t>
      </w:r>
      <w:r>
        <w:rPr>
          <w:rFonts w:ascii="宋体" w:hAnsi="宋体" w:cs="宋体"/>
          <w:sz w:val="24"/>
          <w:szCs w:val="24"/>
        </w:rPr>
        <w:t xml:space="preserve">2024</w:t>
      </w:r>
      <w:r>
        <w:rPr>
          <w:rFonts w:hint="eastAsia" w:ascii="宋体" w:hAnsi="宋体" w:cs="宋体"/>
          <w:sz w:val="24"/>
          <w:szCs w:val="24"/>
        </w:rPr>
        <w:t xml:space="preserve">年</w:t>
      </w:r>
      <w:r>
        <w:rPr>
          <w:rFonts w:ascii="宋体" w:hAnsi="宋体" w:cs="宋体"/>
          <w:sz w:val="24"/>
          <w:szCs w:val="24"/>
        </w:rPr>
        <w:t xml:space="preserve">12</w:t>
      </w:r>
      <w:r>
        <w:rPr>
          <w:rFonts w:hint="eastAsia" w:ascii="宋体" w:hAnsi="宋体" w:cs="宋体"/>
          <w:sz w:val="24"/>
          <w:szCs w:val="24"/>
        </w:rPr>
        <w:t xml:space="preserve">月</w:t>
      </w:r>
      <w:r>
        <w:rPr>
          <w:rFonts w:ascii="宋体" w:hAnsi="宋体" w:cs="宋体"/>
          <w:sz w:val="24"/>
          <w:szCs w:val="24"/>
        </w:rPr>
        <w:t xml:space="preserve">20</w:t>
      </w:r>
      <w:r>
        <w:rPr>
          <w:rFonts w:hint="eastAsia" w:ascii="宋体" w:hAnsi="宋体" w:cs="宋体"/>
          <w:sz w:val="24"/>
          <w:szCs w:val="24"/>
        </w:rPr>
        <w:t xml:space="preserve">日</w:t>
      </w:r>
      <w:r>
        <w:rPr>
          <w:rFonts w:ascii="宋体" w:hAnsi="宋体" w:cs="宋体"/>
          <w:sz w:val="24"/>
          <w:szCs w:val="24"/>
        </w:rPr>
        <w:t xml:space="preserve">09</w:t>
      </w:r>
      <w:r>
        <w:rPr>
          <w:rFonts w:hint="eastAsia" w:ascii="宋体" w:hAnsi="宋体" w:cs="宋体"/>
          <w:sz w:val="24"/>
          <w:szCs w:val="24"/>
        </w:rPr>
        <w:t xml:space="preserve">点30分（北京时间）</w:t>
      </w:r>
      <w:r/>
    </w:p>
    <w:p>
      <w:pPr>
        <w:ind w:firstLine="480"/>
        <w:rPr>
          <w:rFonts w:ascii="宋体" w:hAnsi="宋体"/>
          <w:bCs/>
          <w:sz w:val="24"/>
          <w:szCs w:val="24"/>
          <w:u w:val="single"/>
        </w:rPr>
      </w:pPr>
      <w:r>
        <w:rPr>
          <w:rFonts w:hint="eastAsia" w:ascii="宋体" w:hAnsi="宋体"/>
          <w:sz w:val="24"/>
          <w:szCs w:val="24"/>
        </w:rPr>
        <w:t xml:space="preserve">2.地点：“苏采云”平台。</w:t>
      </w:r>
      <w:r/>
    </w:p>
    <w:p>
      <w:pPr>
        <w:pStyle w:val="925"/>
        <w:ind w:firstLine="498"/>
        <w:spacing w:before="145" w:after="145" w:line="360" w:lineRule="auto"/>
      </w:pPr>
      <w:r>
        <w:rPr>
          <w:rFonts w:hint="eastAsia"/>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pStyle w:val="925"/>
        <w:ind w:firstLine="498"/>
        <w:spacing w:before="145" w:after="145" w:line="360" w:lineRule="auto"/>
      </w:pPr>
      <w:r>
        <w:rPr>
          <w:rFonts w:hint="eastAsia"/>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无</w:t>
      </w:r>
      <w:r/>
    </w:p>
    <w:p>
      <w:pPr>
        <w:pStyle w:val="925"/>
        <w:ind w:firstLine="498"/>
        <w:spacing w:before="145" w:after="145" w:line="360" w:lineRule="auto"/>
      </w:pPr>
      <w:r>
        <w:rPr>
          <w:rFonts w:hint="eastAsia"/>
        </w:rPr>
        <w:t xml:space="preserve">七、本次招标联系方式</w:t>
      </w:r>
      <w:r/>
    </w:p>
    <w:p>
      <w:pPr>
        <w:ind w:firstLine="482"/>
        <w:spacing w:line="312" w:lineRule="auto"/>
        <w:rPr>
          <w:rFonts w:ascii="宋体" w:hAnsi="宋体"/>
          <w:sz w:val="24"/>
          <w:szCs w:val="24"/>
        </w:rPr>
      </w:pPr>
      <w:r>
        <w:rPr>
          <w:rFonts w:hint="eastAsia" w:ascii="宋体" w:hAnsi="宋体"/>
          <w:sz w:val="24"/>
          <w:szCs w:val="24"/>
        </w:rPr>
        <w:t xml:space="preserve">1.采购人信息 </w:t>
      </w:r>
      <w:r/>
    </w:p>
    <w:p>
      <w:pPr>
        <w:ind w:firstLine="482"/>
        <w:spacing w:line="312" w:lineRule="auto"/>
        <w:rPr>
          <w:rFonts w:ascii="宋体" w:hAnsi="宋体"/>
          <w:sz w:val="24"/>
          <w:szCs w:val="24"/>
        </w:rPr>
      </w:pPr>
      <w:r>
        <w:rPr>
          <w:rFonts w:hint="eastAsia" w:ascii="宋体" w:hAnsi="宋体"/>
          <w:sz w:val="24"/>
          <w:szCs w:val="24"/>
        </w:rPr>
        <w:t xml:space="preserve">名称：扬州市江都人民医院</w:t>
      </w:r>
      <w:r/>
    </w:p>
    <w:p>
      <w:pPr>
        <w:ind w:firstLine="482"/>
        <w:spacing w:line="312" w:lineRule="auto"/>
        <w:rPr>
          <w:rFonts w:ascii="宋体" w:hAnsi="宋体"/>
          <w:sz w:val="24"/>
          <w:szCs w:val="24"/>
        </w:rPr>
      </w:pPr>
      <w:r>
        <w:rPr>
          <w:rFonts w:hint="eastAsia" w:ascii="宋体" w:hAnsi="宋体"/>
          <w:sz w:val="24"/>
          <w:szCs w:val="24"/>
        </w:rPr>
        <w:t xml:space="preserve">地址：扬州市江都区东方红路9号</w:t>
      </w:r>
      <w:r/>
    </w:p>
    <w:p>
      <w:pPr>
        <w:ind w:firstLine="482"/>
        <w:spacing w:line="312" w:lineRule="auto"/>
        <w:rPr>
          <w:rFonts w:ascii="宋体" w:hAnsi="宋体"/>
          <w:sz w:val="24"/>
          <w:szCs w:val="24"/>
        </w:rPr>
      </w:pPr>
      <w:r>
        <w:rPr>
          <w:rFonts w:hint="eastAsia" w:ascii="宋体" w:hAnsi="宋体"/>
          <w:sz w:val="24"/>
          <w:szCs w:val="24"/>
        </w:rPr>
        <w:t xml:space="preserve">联系人：王先生</w:t>
      </w:r>
      <w:r/>
    </w:p>
    <w:p>
      <w:pPr>
        <w:ind w:firstLine="482"/>
        <w:spacing w:line="312" w:lineRule="auto"/>
        <w:rPr>
          <w:rFonts w:ascii="宋体" w:hAnsi="宋体"/>
          <w:sz w:val="24"/>
          <w:szCs w:val="24"/>
        </w:rPr>
      </w:pPr>
      <w:r>
        <w:rPr>
          <w:rFonts w:hint="eastAsia" w:ascii="宋体" w:hAnsi="宋体"/>
          <w:sz w:val="24"/>
          <w:szCs w:val="24"/>
        </w:rPr>
        <w:t xml:space="preserve">联系方式：0514—89682028</w:t>
      </w:r>
      <w:r/>
    </w:p>
    <w:p>
      <w:pPr>
        <w:ind w:firstLine="482"/>
        <w:spacing w:line="312" w:lineRule="auto"/>
        <w:rPr>
          <w:rFonts w:ascii="宋体" w:hAnsi="宋体"/>
          <w:sz w:val="24"/>
          <w:szCs w:val="24"/>
        </w:rPr>
      </w:pPr>
      <w:r>
        <w:rPr>
          <w:rFonts w:hint="eastAsia" w:ascii="宋体" w:hAnsi="宋体"/>
          <w:sz w:val="24"/>
          <w:szCs w:val="24"/>
        </w:rPr>
        <w:t xml:space="preserve">2.扬州市公共资源交易中心江都分中心信息</w:t>
      </w:r>
      <w:r/>
    </w:p>
    <w:p>
      <w:pPr>
        <w:ind w:firstLine="482"/>
        <w:spacing w:line="312" w:lineRule="auto"/>
        <w:rPr>
          <w:rFonts w:ascii="宋体" w:hAnsi="宋体"/>
          <w:sz w:val="24"/>
          <w:szCs w:val="24"/>
        </w:rPr>
      </w:pPr>
      <w:r>
        <w:rPr>
          <w:rFonts w:hint="eastAsia" w:ascii="宋体" w:hAnsi="宋体"/>
          <w:sz w:val="24"/>
          <w:szCs w:val="24"/>
        </w:rPr>
        <w:t xml:space="preserve">地址：扬州市江都区浦江东路111号（锦润国际大酒店向东800米，席家花园对面）</w:t>
      </w:r>
      <w:r/>
    </w:p>
    <w:p>
      <w:pPr>
        <w:ind w:firstLine="482"/>
        <w:spacing w:line="312" w:lineRule="auto"/>
        <w:rPr>
          <w:rFonts w:ascii="宋体" w:hAnsi="宋体"/>
          <w:sz w:val="24"/>
          <w:szCs w:val="24"/>
        </w:rPr>
      </w:pPr>
      <w:r>
        <w:rPr>
          <w:rFonts w:hint="eastAsia" w:ascii="宋体" w:hAnsi="宋体"/>
          <w:sz w:val="24"/>
          <w:szCs w:val="24"/>
        </w:rPr>
        <w:t xml:space="preserve">联系人：圣敏</w:t>
      </w:r>
      <w:r/>
    </w:p>
    <w:p>
      <w:pPr>
        <w:ind w:firstLine="480"/>
        <w:spacing w:line="420" w:lineRule="exact"/>
        <w:shd w:val="clear" w:color="auto" w:fill="ffffff"/>
        <w:widowControl/>
        <w:rPr>
          <w:rFonts w:ascii="宋体" w:hAnsi="宋体" w:cs="宋体"/>
          <w:sz w:val="24"/>
          <w:szCs w:val="24"/>
        </w:rPr>
      </w:pPr>
      <w:r>
        <w:rPr>
          <w:rFonts w:hint="eastAsia" w:ascii="宋体" w:hAnsi="宋体"/>
          <w:sz w:val="24"/>
          <w:szCs w:val="24"/>
        </w:rPr>
        <w:t xml:space="preserve">联系方式：0514-80385712</w:t>
      </w:r>
      <w:r>
        <w:rPr>
          <w:rFonts w:hint="eastAsia" w:ascii="宋体" w:hAnsi="宋体" w:cs="宋体"/>
          <w:sz w:val="24"/>
          <w:szCs w:val="24"/>
        </w:rPr>
        <w:t xml:space="preserve">3</w:t>
      </w:r>
      <w:r/>
    </w:p>
    <w:p>
      <w:pPr>
        <w:ind w:firstLine="480"/>
        <w:spacing w:line="420" w:lineRule="exact"/>
        <w:shd w:val="clear" w:color="auto" w:fill="ffffff"/>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项目联系方式</w:t>
      </w:r>
      <w:r/>
    </w:p>
    <w:p>
      <w:pPr>
        <w:ind w:firstLine="480"/>
        <w:spacing w:line="420" w:lineRule="exact"/>
        <w:shd w:val="clear" w:color="auto" w:fill="ffffff"/>
        <w:widowControl/>
        <w:rPr>
          <w:rFonts w:ascii="宋体" w:hAnsi="宋体" w:cs="宋体"/>
          <w:sz w:val="24"/>
          <w:szCs w:val="24"/>
        </w:rPr>
      </w:pPr>
      <w:r>
        <w:rPr>
          <w:rFonts w:hint="eastAsia" w:ascii="宋体" w:hAnsi="宋体" w:cs="宋体"/>
          <w:sz w:val="24"/>
          <w:szCs w:val="24"/>
        </w:rPr>
        <w:t xml:space="preserve">项目联系人：圣敏</w:t>
      </w:r>
      <w:r/>
    </w:p>
    <w:p>
      <w:pPr>
        <w:ind w:firstLine="480"/>
        <w:spacing w:line="420" w:lineRule="exact"/>
        <w:shd w:val="clear" w:color="auto" w:fill="ffffff"/>
        <w:widowControl/>
      </w:pPr>
      <w:r>
        <w:rPr>
          <w:rFonts w:hint="eastAsia" w:ascii="宋体" w:hAnsi="宋体" w:cs="宋体"/>
          <w:sz w:val="24"/>
          <w:szCs w:val="24"/>
        </w:rPr>
        <w:t xml:space="preserve">电话：0514-8</w:t>
      </w:r>
      <w:r>
        <w:rPr>
          <w:rFonts w:ascii="宋体" w:hAnsi="宋体" w:cs="宋体"/>
          <w:sz w:val="24"/>
          <w:szCs w:val="24"/>
        </w:rPr>
        <w:t xml:space="preserve">0385712</w:t>
      </w:r>
      <w:r/>
    </w:p>
    <w:p>
      <w:pPr>
        <w:ind w:firstLine="482"/>
        <w:spacing w:line="312" w:lineRule="auto"/>
        <w:rPr>
          <w:rFonts w:ascii="宋体" w:hAnsi="宋体"/>
          <w:sz w:val="24"/>
          <w:szCs w:val="24"/>
        </w:rPr>
      </w:pPr>
      <w:r>
        <w:rPr>
          <w:rFonts w:ascii="宋体" w:hAnsi="宋体"/>
          <w:sz w:val="24"/>
          <w:szCs w:val="24"/>
        </w:rPr>
      </w:r>
      <w:r/>
    </w:p>
    <w:p>
      <w:pPr>
        <w:pStyle w:val="925"/>
        <w:ind w:firstLine="498"/>
        <w:spacing w:before="145" w:after="145" w:line="360" w:lineRule="auto"/>
      </w:pPr>
      <w:r>
        <w:rPr>
          <w:rFonts w:hint="eastAsia"/>
        </w:rPr>
        <w:t xml:space="preserve">八、其他</w:t>
      </w:r>
      <w:r/>
    </w:p>
    <w:p>
      <w:pPr>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http://zfcg.yangzhou.gov.cn/xzzx/art/2023/art_4d7de1f7865f4a2894fc22bc452f94d8.html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2.有关本次招标的事项若存在变动或修改，敬请及时关注扬州市公共资源交易中心江都分中心在“江苏政府采购网”“扬州市政府采购网”发布的更正公告。</w:t>
      </w:r>
      <w:r/>
    </w:p>
    <w:p>
      <w:pPr>
        <w:ind w:firstLine="480"/>
        <w:spacing w:line="560" w:lineRule="exact"/>
        <w:tabs>
          <w:tab w:val="left" w:pos="900" w:leader="none"/>
        </w:tabs>
        <w:rPr>
          <w:rFonts w:ascii="宋体" w:hAnsi="宋体"/>
          <w:b/>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bookmarkStart w:id="24" w:name="_Toc120614211"/>
      <w:r/>
      <w:bookmarkStart w:id="25" w:name="_Toc13339"/>
      <w:r/>
      <w:bookmarkStart w:id="26" w:name="_Toc20518"/>
      <w:r/>
      <w:bookmarkEnd w:id="19"/>
      <w:r/>
      <w:bookmarkEnd w:id="20"/>
      <w:r/>
      <w:bookmarkEnd w:id="21"/>
      <w:r/>
      <w:bookmarkEnd w:id="22"/>
      <w:r/>
      <w:bookmarkEnd w:id="23"/>
      <w:r>
        <w:rPr>
          <w:rFonts w:ascii="宋体" w:hAnsi="宋体"/>
          <w:b/>
          <w:bCs/>
          <w:sz w:val="24"/>
          <w:szCs w:val="24"/>
        </w:rPr>
        <w:t xml:space="preserve">                    </w:t>
      </w:r>
      <w:r/>
    </w:p>
    <w:p>
      <w:r/>
      <w:r/>
    </w:p>
    <w:p>
      <w:pPr>
        <w:ind w:firstLine="2640"/>
      </w:pPr>
      <w:r/>
      <w:r/>
    </w:p>
    <w:p>
      <w:pPr>
        <w:ind w:firstLine="2640"/>
      </w:pPr>
      <w:r/>
      <w:r/>
    </w:p>
    <w:p>
      <w:pPr>
        <w:ind w:firstLine="2640"/>
      </w:pPr>
      <w:r/>
      <w:r/>
    </w:p>
    <w:p>
      <w:pPr>
        <w:ind w:firstLine="2640"/>
      </w:pPr>
      <w:r/>
      <w:r/>
    </w:p>
    <w:p>
      <w:pPr>
        <w:ind w:firstLine="2640"/>
      </w:pPr>
      <w:r/>
      <w:r/>
    </w:p>
    <w:p>
      <w:pPr>
        <w:ind w:firstLine="2640"/>
      </w:pPr>
      <w:r/>
      <w:r/>
    </w:p>
    <w:p>
      <w:pPr>
        <w:ind w:firstLine="2640"/>
        <w:rPr>
          <w:b/>
          <w:bCs/>
        </w:rPr>
      </w:pPr>
      <w:r>
        <w:rPr>
          <w:b/>
          <w:bCs/>
        </w:rPr>
      </w:r>
      <w:r/>
    </w:p>
    <w:p>
      <w:pPr>
        <w:pStyle w:val="919"/>
        <w:ind w:firstLine="2650"/>
        <w:jc w:val="both"/>
        <w:spacing w:after="602"/>
      </w:pPr>
      <w:r>
        <w:rPr>
          <w:rFonts w:hint="eastAsia"/>
          <w:b/>
          <w:bCs/>
        </w:rPr>
        <w:t xml:space="preserve">第二章</w:t>
      </w:r>
      <w:bookmarkStart w:id="27" w:name="_Toc513029202"/>
      <w:r/>
      <w:bookmarkStart w:id="28" w:name="_Toc20823274"/>
      <w:r/>
      <w:bookmarkStart w:id="29" w:name="_Toc16938518"/>
      <w:r/>
      <w:bookmarkStart w:id="30" w:name="_Toc120614213"/>
      <w:r/>
      <w:bookmarkEnd w:id="1"/>
      <w:r/>
      <w:bookmarkEnd w:id="2"/>
      <w:r/>
      <w:bookmarkEnd w:id="3"/>
      <w:r/>
      <w:bookmarkEnd w:id="4"/>
      <w:r/>
      <w:bookmarkEnd w:id="5"/>
      <w:r/>
      <w:bookmarkEnd w:id="24"/>
      <w:r>
        <w:rPr>
          <w:rFonts w:hint="eastAsia"/>
          <w:b/>
          <w:bCs/>
        </w:rPr>
        <w:t xml:space="preserve">投标人须知</w:t>
      </w:r>
      <w:bookmarkEnd w:id="25"/>
      <w:r/>
      <w:bookmarkEnd w:id="26"/>
      <w:r/>
      <w:bookmarkEnd w:id="27"/>
      <w:r/>
      <w:bookmarkEnd w:id="28"/>
      <w:r/>
      <w:bookmarkEnd w:id="29"/>
      <w:r/>
      <w:bookmarkEnd w:id="30"/>
      <w:r/>
      <w:r/>
    </w:p>
    <w:p>
      <w:pPr>
        <w:pStyle w:val="925"/>
        <w:ind w:firstLine="498"/>
        <w:spacing w:before="0" w:after="145" w:line="360" w:lineRule="auto"/>
      </w:pPr>
      <w:r/>
      <w:bookmarkStart w:id="31" w:name="_Toc120614214"/>
      <w:r/>
      <w:bookmarkStart w:id="32" w:name="_Toc513029203"/>
      <w:r/>
      <w:bookmarkStart w:id="33" w:name="_Toc16938519"/>
      <w:r/>
      <w:bookmarkStart w:id="34" w:name="_Toc20823275"/>
      <w:r/>
      <w:bookmarkStart w:id="35" w:name="_Toc20823314"/>
      <w:r/>
      <w:bookmarkStart w:id="36" w:name="_Toc479757207"/>
      <w:r/>
      <w:bookmarkStart w:id="37" w:name="_Toc120614221"/>
      <w:r/>
      <w:bookmarkStart w:id="38" w:name="_Toc513029242"/>
      <w:r/>
      <w:bookmarkStart w:id="39" w:name="_Toc16938558"/>
      <w:r>
        <w:rPr>
          <w:rFonts w:hint="eastAsia"/>
        </w:rPr>
        <w:t xml:space="preserve">一、总则</w:t>
      </w:r>
      <w:bookmarkEnd w:id="31"/>
      <w:r/>
      <w:bookmarkEnd w:id="32"/>
      <w:r/>
      <w:bookmarkEnd w:id="33"/>
      <w:r/>
      <w:bookmarkEnd w:id="34"/>
      <w:r/>
      <w:r/>
    </w:p>
    <w:p>
      <w:pPr>
        <w:pStyle w:val="927"/>
        <w:ind w:firstLine="420"/>
        <w:spacing w:before="0" w:after="0" w:line="240" w:lineRule="auto"/>
        <w:rPr>
          <w:b w:val="0"/>
          <w:bCs w:val="0"/>
        </w:rPr>
      </w:pPr>
      <w:r/>
      <w:bookmarkStart w:id="40" w:name="_Hlt16619475"/>
      <w:r/>
      <w:bookmarkStart w:id="41" w:name="_Toc458694821"/>
      <w:r/>
      <w:bookmarkStart w:id="42" w:name="_Toc513029204"/>
      <w:r/>
      <w:bookmarkStart w:id="43" w:name="_Toc20823276"/>
      <w:r/>
      <w:bookmarkStart w:id="44" w:name="_Toc16938520"/>
      <w:r/>
      <w:bookmarkEnd w:id="40"/>
      <w:r>
        <w:rPr>
          <w:rFonts w:hint="eastAsia"/>
          <w:b w:val="0"/>
          <w:bCs w:val="0"/>
        </w:rPr>
        <w:t xml:space="preserve">1</w:t>
      </w:r>
      <w:bookmarkEnd w:id="41"/>
      <w:r>
        <w:rPr>
          <w:rFonts w:hint="eastAsia"/>
          <w:b w:val="0"/>
          <w:bCs w:val="0"/>
        </w:rPr>
        <w:t xml:space="preserve">、招标方式</w:t>
      </w:r>
      <w:bookmarkEnd w:id="42"/>
      <w:r/>
      <w:bookmarkEnd w:id="43"/>
      <w:r/>
      <w:bookmarkEnd w:id="44"/>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27"/>
        <w:ind w:firstLine="420"/>
        <w:spacing w:before="0" w:after="0" w:line="240" w:lineRule="auto"/>
        <w:rPr>
          <w:b w:val="0"/>
          <w:bCs w:val="0"/>
        </w:rPr>
      </w:pPr>
      <w:r/>
      <w:bookmarkStart w:id="45" w:name="_Toc20823277"/>
      <w:r/>
      <w:bookmarkStart w:id="46" w:name="_Toc16938521"/>
      <w:r/>
      <w:bookmarkStart w:id="47" w:name="_Toc513029205"/>
      <w:r>
        <w:rPr>
          <w:rFonts w:hint="eastAsia"/>
          <w:b w:val="0"/>
          <w:bCs w:val="0"/>
        </w:rPr>
        <w:t xml:space="preserve">2</w:t>
      </w:r>
      <w:r>
        <w:rPr>
          <w:rFonts w:hint="eastAsia"/>
          <w:b w:val="0"/>
          <w:bCs w:val="0"/>
        </w:rPr>
        <w:t xml:space="preserve">、合格的投标人</w:t>
      </w:r>
      <w:bookmarkEnd w:id="45"/>
      <w:r/>
      <w:bookmarkEnd w:id="46"/>
      <w:r/>
      <w:bookmarkEnd w:id="47"/>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27"/>
        <w:ind w:firstLine="420"/>
        <w:spacing w:before="0" w:after="0" w:line="240" w:lineRule="auto"/>
        <w:rPr>
          <w:b w:val="0"/>
          <w:bCs w:val="0"/>
        </w:rPr>
      </w:pPr>
      <w:r/>
      <w:bookmarkStart w:id="48" w:name="_Toc20823278"/>
      <w:r/>
      <w:bookmarkStart w:id="49" w:name="_Toc16938522"/>
      <w:r/>
      <w:bookmarkStart w:id="50" w:name="_Toc513029206"/>
      <w:r>
        <w:rPr>
          <w:rFonts w:hint="eastAsia"/>
          <w:b w:val="0"/>
          <w:bCs w:val="0"/>
        </w:rPr>
        <w:t xml:space="preserve">3</w:t>
      </w:r>
      <w:r>
        <w:rPr>
          <w:rFonts w:hint="eastAsia"/>
          <w:b w:val="0"/>
          <w:bCs w:val="0"/>
        </w:rPr>
        <w:t xml:space="preserve">、适用法律</w:t>
      </w:r>
      <w:bookmarkEnd w:id="48"/>
      <w:r/>
      <w:bookmarkEnd w:id="49"/>
      <w:r/>
      <w:bookmarkEnd w:id="50"/>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27"/>
        <w:ind w:firstLine="420"/>
        <w:spacing w:before="0" w:after="0" w:line="240" w:lineRule="auto"/>
        <w:rPr>
          <w:b w:val="0"/>
          <w:bCs w:val="0"/>
        </w:rPr>
      </w:pPr>
      <w:r/>
      <w:bookmarkStart w:id="51" w:name="_Toc462564067"/>
      <w:r/>
      <w:bookmarkStart w:id="52" w:name="_Toc513029207"/>
      <w:r/>
      <w:bookmarkStart w:id="53" w:name="_Toc20823279"/>
      <w:r/>
      <w:bookmarkStart w:id="54" w:name="_Toc16938523"/>
      <w:r>
        <w:rPr>
          <w:rFonts w:hint="eastAsia"/>
          <w:b w:val="0"/>
          <w:bCs w:val="0"/>
        </w:rPr>
        <w:t xml:space="preserve">4</w:t>
      </w:r>
      <w:r>
        <w:rPr>
          <w:rFonts w:hint="eastAsia"/>
          <w:b w:val="0"/>
          <w:bCs w:val="0"/>
        </w:rPr>
        <w:t xml:space="preserve">、投标费用</w:t>
      </w:r>
      <w:bookmarkEnd w:id="51"/>
      <w:r/>
      <w:bookmarkEnd w:id="52"/>
      <w:r/>
      <w:bookmarkEnd w:id="53"/>
      <w:r/>
      <w:bookmarkEnd w:id="5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投标人应自行承担所有与参加投标有关的费用，无论投标过程中的做法和结果如何，扬州市公共资源交易中心江都分中心（以下简称交易中心）在任何情况下均无义务和责任承担这些费用。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27"/>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5"/>
        <w:ind w:firstLine="321"/>
        <w:spacing w:before="145" w:after="145" w:line="360" w:lineRule="auto"/>
      </w:pPr>
      <w:r/>
      <w:bookmarkStart w:id="55" w:name="_Toc16938525"/>
      <w:r/>
      <w:bookmarkStart w:id="56" w:name="_Toc120614215"/>
      <w:r/>
      <w:bookmarkStart w:id="57" w:name="_Toc20823281"/>
      <w:r/>
      <w:bookmarkStart w:id="58" w:name="_Toc513029209"/>
      <w:r>
        <w:rPr>
          <w:rFonts w:hint="eastAsia"/>
        </w:rPr>
        <w:t xml:space="preserve">二、招标文件</w:t>
      </w:r>
      <w:bookmarkEnd w:id="55"/>
      <w:r/>
      <w:bookmarkEnd w:id="56"/>
      <w:r/>
      <w:bookmarkEnd w:id="57"/>
      <w:r/>
      <w:bookmarkEnd w:id="58"/>
      <w:r/>
      <w:r/>
    </w:p>
    <w:p>
      <w:pPr>
        <w:pStyle w:val="927"/>
        <w:ind w:firstLine="420"/>
        <w:spacing w:before="0" w:after="0" w:line="240" w:lineRule="auto"/>
        <w:rPr>
          <w:b w:val="0"/>
          <w:bCs w:val="0"/>
        </w:rPr>
      </w:pPr>
      <w:r/>
      <w:bookmarkStart w:id="59" w:name="_Toc16938526"/>
      <w:r/>
      <w:bookmarkStart w:id="60" w:name="_Toc513029210"/>
      <w:r/>
      <w:bookmarkStart w:id="61" w:name="_Toc20823282"/>
      <w:r>
        <w:rPr>
          <w:rFonts w:hint="eastAsia"/>
          <w:b w:val="0"/>
          <w:bCs w:val="0"/>
        </w:rPr>
        <w:t xml:space="preserve">6</w:t>
      </w:r>
      <w:r>
        <w:rPr>
          <w:rFonts w:hint="eastAsia"/>
          <w:b w:val="0"/>
          <w:bCs w:val="0"/>
        </w:rPr>
        <w:t xml:space="preserve">、招标文件构成</w:t>
      </w:r>
      <w:bookmarkEnd w:id="59"/>
      <w:r/>
      <w:bookmarkEnd w:id="60"/>
      <w:r/>
      <w:bookmarkEnd w:id="6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sz w:val="24"/>
        </w:rPr>
        <w:t xml:space="preserve">件对招标文件作出实质性响应，否则其风险由投标人自行承担。</w:t>
      </w:r>
      <w:r/>
    </w:p>
    <w:p>
      <w:pPr>
        <w:pStyle w:val="927"/>
        <w:ind w:firstLine="560"/>
        <w:spacing w:before="0" w:after="0" w:line="240" w:lineRule="auto"/>
        <w:rPr>
          <w:b w:val="0"/>
          <w:bCs w:val="0"/>
        </w:rPr>
      </w:pPr>
      <w:r/>
      <w:bookmarkStart w:id="62" w:name="_Toc513029211"/>
      <w:r/>
      <w:bookmarkStart w:id="63" w:name="_Toc16938527"/>
      <w:r/>
      <w:bookmarkStart w:id="64" w:name="_Toc20823283"/>
      <w:r/>
      <w:bookmarkStart w:id="65" w:name="_Toc462564070"/>
      <w:r>
        <w:rPr>
          <w:rFonts w:hint="eastAsia"/>
          <w:b w:val="0"/>
          <w:bCs w:val="0"/>
        </w:rPr>
        <w:t xml:space="preserve">7</w:t>
      </w:r>
      <w:r>
        <w:rPr>
          <w:rFonts w:hint="eastAsia"/>
          <w:b w:val="0"/>
          <w:bCs w:val="0"/>
        </w:rPr>
        <w:t xml:space="preserve">、招标文件的澄清</w:t>
      </w:r>
      <w:bookmarkEnd w:id="62"/>
      <w:r/>
      <w:bookmarkEnd w:id="63"/>
      <w:r/>
      <w:bookmarkEnd w:id="64"/>
      <w:r/>
      <w:bookmarkEnd w:id="65"/>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27"/>
        <w:ind w:firstLine="560"/>
        <w:spacing w:before="0" w:after="0" w:line="240" w:lineRule="auto"/>
        <w:rPr>
          <w:b w:val="0"/>
          <w:bCs w:val="0"/>
        </w:rPr>
      </w:pPr>
      <w:r/>
      <w:bookmarkStart w:id="66" w:name="_Toc513029212"/>
      <w:r/>
      <w:bookmarkStart w:id="67" w:name="_Toc20823284"/>
      <w:r/>
      <w:bookmarkStart w:id="68" w:name="_Toc462564071"/>
      <w:r/>
      <w:bookmarkStart w:id="69" w:name="_Toc16938528"/>
      <w:r>
        <w:rPr>
          <w:rFonts w:hint="eastAsia"/>
          <w:b w:val="0"/>
          <w:bCs w:val="0"/>
        </w:rPr>
        <w:t xml:space="preserve">8</w:t>
      </w:r>
      <w:r>
        <w:rPr>
          <w:rFonts w:hint="eastAsia"/>
          <w:b w:val="0"/>
          <w:bCs w:val="0"/>
        </w:rPr>
        <w:t xml:space="preserve">、招标文件的修改</w:t>
      </w:r>
      <w:bookmarkEnd w:id="66"/>
      <w:r/>
      <w:bookmarkEnd w:id="67"/>
      <w:r/>
      <w:bookmarkEnd w:id="68"/>
      <w:r/>
      <w:bookmarkEnd w:id="69"/>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5"/>
        <w:ind w:firstLine="482"/>
        <w:spacing w:before="145" w:after="145" w:line="360" w:lineRule="auto"/>
      </w:pPr>
      <w:r/>
      <w:bookmarkStart w:id="70" w:name="_Toc20823285"/>
      <w:r/>
      <w:bookmarkStart w:id="71" w:name="_Toc513029213"/>
      <w:r/>
      <w:bookmarkStart w:id="72" w:name="_Toc462564072"/>
      <w:r/>
      <w:bookmarkStart w:id="73" w:name="_Toc120614216"/>
      <w:r/>
      <w:bookmarkStart w:id="74" w:name="_Toc16938529"/>
      <w:r>
        <w:rPr>
          <w:rFonts w:hint="eastAsia"/>
        </w:rPr>
        <w:t xml:space="preserve">三、投标文件的编制</w:t>
      </w:r>
      <w:bookmarkEnd w:id="70"/>
      <w:r/>
      <w:bookmarkEnd w:id="71"/>
      <w:r/>
      <w:bookmarkEnd w:id="72"/>
      <w:r/>
      <w:bookmarkEnd w:id="73"/>
      <w:r/>
      <w:bookmarkEnd w:id="74"/>
      <w:r/>
      <w:r/>
    </w:p>
    <w:p>
      <w:pPr>
        <w:pStyle w:val="927"/>
        <w:ind w:firstLine="560"/>
        <w:spacing w:before="0" w:after="0" w:line="240" w:lineRule="auto"/>
        <w:rPr>
          <w:bCs w:val="0"/>
        </w:rPr>
      </w:pPr>
      <w:r/>
      <w:bookmarkStart w:id="75" w:name="_Toc462564073"/>
      <w:r/>
      <w:bookmarkStart w:id="76" w:name="_Toc513029214"/>
      <w:r/>
      <w:bookmarkStart w:id="77" w:name="_Toc20823286"/>
      <w:r/>
      <w:bookmarkStart w:id="78" w:name="_Toc16938530"/>
      <w:r>
        <w:rPr>
          <w:rFonts w:hint="eastAsia"/>
          <w:b w:val="0"/>
          <w:bCs w:val="0"/>
        </w:rPr>
        <w:t xml:space="preserve">9</w:t>
      </w:r>
      <w:r>
        <w:rPr>
          <w:rFonts w:hint="eastAsia"/>
          <w:b w:val="0"/>
          <w:bCs w:val="0"/>
        </w:rPr>
        <w:t xml:space="preserve">、投标文件的语言及度量衡单位</w:t>
      </w:r>
      <w:bookmarkEnd w:id="75"/>
      <w:r/>
      <w:bookmarkEnd w:id="76"/>
      <w:r/>
      <w:bookmarkEnd w:id="77"/>
      <w:r/>
      <w:bookmarkEnd w:id="7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7"/>
        <w:ind w:firstLine="420"/>
        <w:spacing w:before="0" w:after="0" w:line="240" w:lineRule="auto"/>
        <w:rPr>
          <w:b w:val="0"/>
          <w:bCs w:val="0"/>
        </w:rPr>
      </w:pPr>
      <w:r/>
      <w:bookmarkStart w:id="79" w:name="_Toc20823287"/>
      <w:r/>
      <w:bookmarkStart w:id="80" w:name="_Toc462564074"/>
      <w:r/>
      <w:bookmarkStart w:id="81" w:name="_Toc16938531"/>
      <w:r/>
      <w:bookmarkStart w:id="82" w:name="_Toc513029215"/>
      <w:r>
        <w:rPr>
          <w:rFonts w:hint="eastAsia"/>
          <w:b w:val="0"/>
          <w:bCs w:val="0"/>
        </w:rPr>
        <w:t xml:space="preserve">10</w:t>
      </w:r>
      <w:r>
        <w:rPr>
          <w:rFonts w:hint="eastAsia"/>
          <w:b w:val="0"/>
          <w:bCs w:val="0"/>
        </w:rPr>
        <w:t xml:space="preserve">、投标文件构成</w:t>
      </w:r>
      <w:bookmarkEnd w:id="79"/>
      <w:r/>
      <w:bookmarkEnd w:id="80"/>
      <w:r/>
      <w:bookmarkEnd w:id="81"/>
      <w:r/>
      <w:bookmarkEnd w:id="82"/>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27"/>
        <w:ind w:firstLine="420"/>
        <w:spacing w:before="0" w:after="0" w:line="240" w:lineRule="auto"/>
        <w:rPr>
          <w:b w:val="0"/>
          <w:bCs w:val="0"/>
        </w:rPr>
      </w:pPr>
      <w:r/>
      <w:bookmarkStart w:id="83" w:name="_Hlt26670360"/>
      <w:r/>
      <w:bookmarkStart w:id="84" w:name="_Hlt26668975"/>
      <w:r/>
      <w:bookmarkStart w:id="85" w:name="_Hlt26954838"/>
      <w:r/>
      <w:bookmarkStart w:id="86" w:name="_Toc49090507"/>
      <w:r/>
      <w:bookmarkStart w:id="87" w:name="_Toc513029216"/>
      <w:r/>
      <w:bookmarkStart w:id="88" w:name="_Toc49090509"/>
      <w:r/>
      <w:bookmarkStart w:id="89" w:name="_Toc513029219"/>
      <w:r/>
      <w:bookmarkStart w:id="90" w:name="_Toc14577354"/>
      <w:r/>
      <w:bookmarkStart w:id="91" w:name="_Toc14577357"/>
      <w:r/>
      <w:bookmarkEnd w:id="83"/>
      <w:r/>
      <w:bookmarkEnd w:id="84"/>
      <w:r/>
      <w:bookmarkEnd w:id="85"/>
      <w:r>
        <w:rPr>
          <w:rFonts w:hint="eastAsia"/>
          <w:b w:val="0"/>
          <w:bCs w:val="0"/>
        </w:rPr>
        <w:t xml:space="preserve">11</w:t>
      </w:r>
      <w:r>
        <w:rPr>
          <w:rFonts w:hint="eastAsia"/>
          <w:b w:val="0"/>
          <w:bCs w:val="0"/>
        </w:rPr>
        <w:t xml:space="preserve">、证明投标人及投标标的符合招标文件规定的文件</w:t>
      </w:r>
      <w:bookmarkEnd w:id="86"/>
      <w:r/>
      <w:bookmarkEnd w:id="87"/>
      <w:r/>
      <w:bookmarkEnd w:id="88"/>
      <w:r/>
      <w:bookmarkEnd w:id="89"/>
      <w:r/>
      <w:bookmarkEnd w:id="90"/>
      <w:r/>
      <w:bookmarkEnd w:id="91"/>
      <w:r/>
      <w:r/>
    </w:p>
    <w:p>
      <w:pPr>
        <w:spacing w:line="480" w:lineRule="exact"/>
        <w:rPr>
          <w:rFonts w:ascii="宋体" w:hAnsi="宋体"/>
          <w:sz w:val="24"/>
          <w:szCs w:val="24"/>
        </w:rPr>
      </w:pPr>
      <w:r/>
      <w:bookmarkStart w:id="92" w:name="_Toc14577355"/>
      <w:r/>
      <w:bookmarkStart w:id="9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7"/>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94" w:name="_Hlt26670373"/>
      <w:r/>
      <w:bookmarkEnd w:id="92"/>
      <w:r/>
      <w:bookmarkEnd w:id="94"/>
      <w:r>
        <w:rPr>
          <w:rFonts w:hint="eastAsia"/>
          <w:b w:val="0"/>
          <w:bCs w:val="0"/>
        </w:rPr>
        <w:t xml:space="preserve">表</w:t>
      </w:r>
      <w:bookmarkEnd w:id="93"/>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95" w:name="_Hlt26954840"/>
      <w:r/>
      <w:bookmarkEnd w:id="95"/>
      <w:r>
        <w:rPr>
          <w:rFonts w:hint="eastAsia" w:ascii="宋体" w:hAnsi="宋体"/>
          <w:sz w:val="24"/>
        </w:rPr>
        <w:t xml:space="preserve">标人应按照招标文件规定格式填报投标分项报价表</w:t>
      </w:r>
      <w:bookmarkStart w:id="96" w:name="_Hlt26670399"/>
      <w:r/>
      <w:bookmarkEnd w:id="96"/>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w:t>
      </w:r>
      <w:r>
        <w:rPr>
          <w:rFonts w:hint="eastAsia" w:ascii="宋体" w:hAnsi="宋体"/>
          <w:bCs/>
          <w:sz w:val="24"/>
        </w:rPr>
        <w:t xml:space="preserve">单位标注。</w:t>
      </w:r>
      <w:r>
        <w:rPr>
          <w:rFonts w:hint="eastAsia" w:ascii="宋体" w:hAnsi="宋体"/>
          <w:sz w:val="24"/>
        </w:rPr>
        <w:t xml:space="preserve">招标文件中另有规定的按规定执行。</w:t>
      </w:r>
      <w:r/>
    </w:p>
    <w:p>
      <w:pPr>
        <w:pStyle w:val="927"/>
        <w:ind w:firstLine="420"/>
        <w:spacing w:before="0" w:after="0" w:line="240" w:lineRule="auto"/>
        <w:rPr>
          <w:b w:val="0"/>
          <w:bCs w:val="0"/>
        </w:rPr>
      </w:pPr>
      <w:r/>
      <w:bookmarkStart w:id="97" w:name="_Hlt26668983"/>
      <w:r/>
      <w:bookmarkStart w:id="98" w:name="_Hlt26670425"/>
      <w:r/>
      <w:bookmarkStart w:id="99" w:name="_Hlt26670486"/>
      <w:r/>
      <w:bookmarkStart w:id="100" w:name="_Hlt26954846"/>
      <w:r/>
      <w:bookmarkStart w:id="101" w:name="_Hlt26954848"/>
      <w:r/>
      <w:bookmarkStart w:id="102" w:name="_Hlt26954844"/>
      <w:r/>
      <w:bookmarkStart w:id="103" w:name="_Hlt26670482"/>
      <w:r/>
      <w:bookmarkStart w:id="104" w:name="_Hlt26670403"/>
      <w:r/>
      <w:bookmarkStart w:id="105" w:name="_Hlt26954731"/>
      <w:r/>
      <w:bookmarkStart w:id="106" w:name="_Hlt26954842"/>
      <w:r/>
      <w:bookmarkEnd w:id="97"/>
      <w:r/>
      <w:bookmarkEnd w:id="98"/>
      <w:r/>
      <w:bookmarkEnd w:id="99"/>
      <w:r/>
      <w:bookmarkEnd w:id="100"/>
      <w:r/>
      <w:bookmarkEnd w:id="101"/>
      <w:r/>
      <w:bookmarkEnd w:id="102"/>
      <w:r/>
      <w:bookmarkEnd w:id="103"/>
      <w:r/>
      <w:bookmarkEnd w:id="104"/>
      <w:r/>
      <w:bookmarkEnd w:id="105"/>
      <w:r/>
      <w:bookmarkEnd w:id="106"/>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27"/>
        <w:ind w:firstLine="420"/>
        <w:spacing w:before="0" w:after="0" w:line="240" w:lineRule="auto"/>
        <w:rPr>
          <w:b w:val="0"/>
          <w:bCs w:val="0"/>
        </w:rPr>
      </w:pPr>
      <w:r/>
      <w:bookmarkStart w:id="107" w:name="_Toc14577359"/>
      <w:r/>
      <w:bookmarkStart w:id="108"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7"/>
      <w:r/>
      <w:bookmarkEnd w:id="108"/>
      <w:r/>
      <w:r/>
    </w:p>
    <w:p>
      <w:pPr>
        <w:pStyle w:val="927"/>
        <w:ind w:firstLine="420"/>
        <w:spacing w:before="0" w:after="0" w:line="240" w:lineRule="auto"/>
        <w:rPr>
          <w:b w:val="0"/>
          <w:bCs w:val="0"/>
        </w:rPr>
      </w:pPr>
      <w:r/>
      <w:bookmarkStart w:id="109" w:name="_Hlt26954734"/>
      <w:r/>
      <w:bookmarkStart w:id="110" w:name="_Hlt26670489"/>
      <w:r/>
      <w:bookmarkStart w:id="111" w:name="_Hlt26954850"/>
      <w:r/>
      <w:bookmarkStart w:id="112" w:name="_Toc14577360"/>
      <w:r/>
      <w:bookmarkStart w:id="113" w:name="_Toc49090511"/>
      <w:r/>
      <w:bookmarkEnd w:id="109"/>
      <w:r/>
      <w:bookmarkEnd w:id="110"/>
      <w:r/>
      <w:bookmarkEnd w:id="111"/>
      <w:r>
        <w:rPr>
          <w:rFonts w:hint="eastAsia"/>
          <w:b w:val="0"/>
          <w:bCs w:val="0"/>
        </w:rPr>
        <w:t xml:space="preserve">15</w:t>
      </w:r>
      <w:r>
        <w:rPr>
          <w:rFonts w:hint="eastAsia"/>
          <w:b w:val="0"/>
          <w:bCs w:val="0"/>
        </w:rPr>
        <w:t xml:space="preserve">、投标有效期</w:t>
      </w:r>
      <w:bookmarkEnd w:id="112"/>
      <w:r/>
      <w:bookmarkEnd w:id="113"/>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7"/>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5"/>
        <w:ind w:firstLine="482"/>
        <w:spacing w:before="145" w:after="145" w:line="360" w:lineRule="auto"/>
      </w:pPr>
      <w:r/>
      <w:bookmarkStart w:id="114" w:name="_Hlt26954852"/>
      <w:r/>
      <w:bookmarkStart w:id="115" w:name="_Hlt26954739"/>
      <w:r/>
      <w:bookmarkStart w:id="116" w:name="_Toc513029224"/>
      <w:r/>
      <w:bookmarkStart w:id="117" w:name="_Toc120614217"/>
      <w:r/>
      <w:bookmarkStart w:id="118" w:name="_Toc20823296"/>
      <w:r/>
      <w:bookmarkStart w:id="119" w:name="_Toc16938540"/>
      <w:r/>
      <w:bookmarkEnd w:id="114"/>
      <w:r/>
      <w:bookmarkEnd w:id="115"/>
      <w:r>
        <w:rPr>
          <w:rFonts w:hint="eastAsia"/>
        </w:rPr>
        <w:t xml:space="preserve">四、投标文件的递交</w:t>
      </w:r>
      <w:bookmarkEnd w:id="116"/>
      <w:r/>
      <w:bookmarkEnd w:id="117"/>
      <w:r/>
      <w:bookmarkEnd w:id="118"/>
      <w:r/>
      <w:bookmarkEnd w:id="119"/>
      <w:r/>
      <w:r/>
    </w:p>
    <w:p>
      <w:pPr>
        <w:pStyle w:val="927"/>
        <w:ind w:firstLine="560"/>
        <w:spacing w:before="0" w:after="0" w:line="240" w:lineRule="auto"/>
        <w:rPr>
          <w:rFonts w:ascii="黑体"/>
          <w:b w:val="0"/>
          <w:bCs w:val="0"/>
        </w:rPr>
      </w:pPr>
      <w:r/>
      <w:bookmarkStart w:id="120" w:name="_Toc462564084"/>
      <w:r/>
      <w:bookmarkStart w:id="121" w:name="_Toc16938541"/>
      <w:r/>
      <w:bookmarkStart w:id="122" w:name="_Toc20823297"/>
      <w:r/>
      <w:bookmarkStart w:id="123"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20"/>
      <w:r/>
      <w:bookmarkEnd w:id="121"/>
      <w:r/>
      <w:bookmarkEnd w:id="122"/>
      <w:r/>
      <w:bookmarkEnd w:id="123"/>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06"/>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4" w:name="_Toc513029226"/>
      <w:r/>
      <w:bookmarkStart w:id="125" w:name="_Toc20823298"/>
      <w:r/>
      <w:bookmarkStart w:id="126" w:name="_Toc16938542"/>
      <w:r/>
      <w:r/>
    </w:p>
    <w:p>
      <w:pPr>
        <w:pStyle w:val="927"/>
        <w:ind w:firstLine="420"/>
        <w:spacing w:line="240" w:lineRule="auto"/>
        <w:rPr>
          <w:b w:val="0"/>
        </w:rPr>
      </w:pPr>
      <w:r>
        <w:rPr>
          <w:rFonts w:hint="eastAsia"/>
          <w:b w:val="0"/>
        </w:rPr>
        <w:t xml:space="preserve">18</w:t>
      </w:r>
      <w:r>
        <w:rPr>
          <w:rFonts w:hint="eastAsia"/>
          <w:b w:val="0"/>
        </w:rPr>
        <w:t xml:space="preserve">、投标截止</w:t>
      </w:r>
      <w:bookmarkEnd w:id="124"/>
      <w:r/>
      <w:bookmarkEnd w:id="125"/>
      <w:r/>
      <w:bookmarkEnd w:id="126"/>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w:t>
      </w:r>
      <w:r>
        <w:rPr>
          <w:rFonts w:hint="eastAsia" w:ascii="宋体" w:hAnsi="宋体"/>
          <w:bCs/>
          <w:sz w:val="24"/>
        </w:rPr>
        <w:t xml:space="preserve">情况下，投标人的所有权利和义务以及投标人受制的截止时间均应以延长后新的截止时间为准。</w:t>
      </w:r>
      <w:r/>
    </w:p>
    <w:p>
      <w:pPr>
        <w:pStyle w:val="927"/>
        <w:ind w:firstLine="420"/>
        <w:spacing w:before="0" w:after="0" w:line="240" w:lineRule="auto"/>
        <w:rPr>
          <w:b w:val="0"/>
          <w:bCs w:val="0"/>
        </w:rPr>
      </w:pPr>
      <w:r/>
      <w:bookmarkStart w:id="127" w:name="_Toc20823299"/>
      <w:r/>
      <w:bookmarkStart w:id="128" w:name="_Toc16938543"/>
      <w:r/>
      <w:bookmarkStart w:id="129" w:name="_Toc513029227"/>
      <w:r>
        <w:rPr>
          <w:rFonts w:hint="eastAsia"/>
          <w:b w:val="0"/>
          <w:bCs w:val="0"/>
        </w:rPr>
        <w:t xml:space="preserve">19</w:t>
      </w:r>
      <w:r>
        <w:rPr>
          <w:rFonts w:hint="eastAsia"/>
          <w:b w:val="0"/>
          <w:bCs w:val="0"/>
        </w:rPr>
        <w:t xml:space="preserve">、投标文件</w:t>
      </w:r>
      <w:bookmarkEnd w:id="127"/>
      <w:r/>
      <w:bookmarkEnd w:id="128"/>
      <w:r/>
      <w:bookmarkEnd w:id="129"/>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27"/>
        <w:ind w:firstLine="420"/>
        <w:spacing w:before="0" w:after="0" w:line="240" w:lineRule="auto"/>
        <w:rPr>
          <w:b w:val="0"/>
          <w:bCs w:val="0"/>
        </w:rPr>
      </w:pPr>
      <w:r/>
      <w:bookmarkStart w:id="130" w:name="_Toc513029228"/>
      <w:r/>
      <w:bookmarkStart w:id="131" w:name="_Toc20823300"/>
      <w:r/>
      <w:bookmarkStart w:id="132" w:name="_Toc16938544"/>
      <w:r>
        <w:rPr>
          <w:rFonts w:hint="eastAsia"/>
          <w:b w:val="0"/>
          <w:bCs w:val="0"/>
        </w:rPr>
        <w:t xml:space="preserve">20</w:t>
      </w:r>
      <w:r>
        <w:rPr>
          <w:rFonts w:hint="eastAsia"/>
          <w:b w:val="0"/>
          <w:bCs w:val="0"/>
        </w:rPr>
        <w:t xml:space="preserve">、投标文件的撤回和修改</w:t>
      </w:r>
      <w:bookmarkEnd w:id="130"/>
      <w:r/>
      <w:bookmarkEnd w:id="131"/>
      <w:r/>
      <w:bookmarkEnd w:id="132"/>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5"/>
        <w:ind w:firstLine="482"/>
        <w:spacing w:before="145" w:after="145" w:line="360" w:lineRule="auto"/>
      </w:pPr>
      <w:r/>
      <w:bookmarkStart w:id="133" w:name="_Toc16938545"/>
      <w:r/>
      <w:bookmarkStart w:id="134" w:name="_Toc20823301"/>
      <w:r/>
      <w:bookmarkStart w:id="135" w:name="_Toc120614218"/>
      <w:r/>
      <w:bookmarkStart w:id="136" w:name="_Toc513029229"/>
      <w:r>
        <w:rPr>
          <w:rFonts w:hint="eastAsia"/>
        </w:rPr>
        <w:t xml:space="preserve">五、开标与评标</w:t>
      </w:r>
      <w:bookmarkEnd w:id="133"/>
      <w:r/>
      <w:bookmarkEnd w:id="134"/>
      <w:r/>
      <w:bookmarkEnd w:id="135"/>
      <w:r/>
      <w:bookmarkEnd w:id="136"/>
      <w:r/>
      <w:r/>
    </w:p>
    <w:p>
      <w:pPr>
        <w:pStyle w:val="927"/>
        <w:ind w:firstLine="420"/>
        <w:spacing w:before="0" w:after="0" w:line="240" w:lineRule="auto"/>
        <w:rPr>
          <w:b w:val="0"/>
          <w:bCs w:val="0"/>
        </w:rPr>
      </w:pPr>
      <w:r/>
      <w:bookmarkStart w:id="137" w:name="_Toc513029230"/>
      <w:r/>
      <w:bookmarkStart w:id="138" w:name="_Toc20823302"/>
      <w:r/>
      <w:bookmarkStart w:id="139" w:name="_Toc16938546"/>
      <w:r>
        <w:rPr>
          <w:rFonts w:hint="eastAsia"/>
          <w:b w:val="0"/>
          <w:bCs w:val="0"/>
        </w:rPr>
        <w:t xml:space="preserve">21</w:t>
      </w:r>
      <w:r>
        <w:rPr>
          <w:rFonts w:hint="eastAsia"/>
          <w:b w:val="0"/>
          <w:bCs w:val="0"/>
        </w:rPr>
        <w:t xml:space="preserve">、开标</w:t>
      </w:r>
      <w:bookmarkEnd w:id="137"/>
      <w:r/>
      <w:bookmarkEnd w:id="138"/>
      <w:r/>
      <w:bookmarkEnd w:id="139"/>
      <w:r/>
      <w:r/>
    </w:p>
    <w:p>
      <w:pPr>
        <w:ind w:firstLine="480"/>
        <w:spacing w:line="500" w:lineRule="exact"/>
        <w:rPr>
          <w:rFonts w:ascii="宋体" w:hAnsi="宋体"/>
          <w:sz w:val="24"/>
        </w:rPr>
      </w:pPr>
      <w:r>
        <w:rPr>
          <w:rFonts w:hint="eastAsia" w:ascii="宋体" w:hAnsi="宋体"/>
          <w:sz w:val="24"/>
        </w:rPr>
        <w:t xml:space="preserve">21.1 交易中心将在招标公告中规定的时间和地点组织公开开标。投标人应当按照《操作手册》规定，参加开标活动和在苏采云系统规定的时间内对投标文件进行解密。</w:t>
      </w:r>
      <w:r/>
    </w:p>
    <w:p>
      <w:pPr>
        <w:ind w:firstLine="480"/>
        <w:spacing w:line="500" w:lineRule="exact"/>
        <w:rPr>
          <w:rFonts w:ascii="宋体" w:hAnsi="宋体"/>
          <w:sz w:val="24"/>
        </w:rPr>
      </w:pPr>
      <w:r>
        <w:rPr>
          <w:rFonts w:hint="eastAsia" w:ascii="宋体" w:hAnsi="宋体"/>
          <w:sz w:val="24"/>
        </w:rPr>
        <w:t xml:space="preserve">21.2开标仪式由交易中心组织。苏采云系统将自动对项目进行开标，并宣布各投标人名称和投标价格。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27"/>
        <w:ind w:firstLine="420"/>
        <w:spacing w:before="0" w:after="0" w:line="240" w:lineRule="auto"/>
        <w:rPr>
          <w:b w:val="0"/>
          <w:bCs w:val="0"/>
        </w:rPr>
      </w:pPr>
      <w:r/>
      <w:bookmarkStart w:id="140" w:name="_Toc20823303"/>
      <w:r/>
      <w:bookmarkStart w:id="141" w:name="_Toc513029231"/>
      <w:r/>
      <w:bookmarkStart w:id="142"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27"/>
        <w:ind w:firstLine="420"/>
        <w:spacing w:before="0" w:after="0" w:line="240" w:lineRule="auto"/>
        <w:rPr>
          <w:rFonts w:ascii="黑体"/>
          <w:b w:val="0"/>
          <w:bCs w:val="0"/>
        </w:rPr>
      </w:pPr>
      <w:r>
        <w:rPr>
          <w:rFonts w:hint="eastAsia" w:ascii="黑体"/>
          <w:b w:val="0"/>
          <w:bCs w:val="0"/>
        </w:rPr>
        <w:t xml:space="preserve">23、评标过程的保密与公正</w:t>
      </w:r>
      <w:bookmarkEnd w:id="140"/>
      <w:r/>
      <w:bookmarkEnd w:id="141"/>
      <w:r/>
      <w:bookmarkEnd w:id="142"/>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27"/>
        <w:ind w:firstLine="420"/>
        <w:spacing w:before="0" w:after="0" w:line="240" w:lineRule="auto"/>
        <w:rPr>
          <w:b w:val="0"/>
          <w:bCs w:val="0"/>
        </w:rPr>
      </w:pPr>
      <w:r/>
      <w:bookmarkStart w:id="143" w:name="_Toc513029232"/>
      <w:r/>
      <w:bookmarkStart w:id="144" w:name="_Toc20823304"/>
      <w:r/>
      <w:bookmarkStart w:id="145" w:name="_Toc16938548"/>
      <w:r>
        <w:rPr>
          <w:rFonts w:hint="eastAsia"/>
          <w:b w:val="0"/>
          <w:bCs w:val="0"/>
        </w:rPr>
        <w:t xml:space="preserve">24</w:t>
      </w:r>
      <w:r>
        <w:rPr>
          <w:rFonts w:hint="eastAsia"/>
          <w:b w:val="0"/>
          <w:bCs w:val="0"/>
        </w:rPr>
        <w:t xml:space="preserve">、投标文件的澄清</w:t>
      </w:r>
      <w:bookmarkEnd w:id="143"/>
      <w:r/>
      <w:bookmarkEnd w:id="144"/>
      <w:r/>
      <w:bookmarkEnd w:id="145"/>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7"/>
        <w:ind w:firstLine="420"/>
        <w:spacing w:before="0" w:after="0" w:line="240" w:lineRule="auto"/>
        <w:rPr>
          <w:b w:val="0"/>
          <w:bCs w:val="0"/>
        </w:rPr>
      </w:pPr>
      <w:r/>
      <w:bookmarkStart w:id="146" w:name="_Toc16938549"/>
      <w:r/>
      <w:bookmarkStart w:id="147" w:name="_Toc513029233"/>
      <w:r/>
      <w:bookmarkStart w:id="148" w:name="_Toc20823305"/>
      <w:r>
        <w:rPr>
          <w:rFonts w:hint="eastAsia"/>
          <w:b w:val="0"/>
          <w:bCs w:val="0"/>
        </w:rPr>
        <w:t xml:space="preserve">25</w:t>
      </w:r>
      <w:r>
        <w:rPr>
          <w:rFonts w:hint="eastAsia"/>
          <w:b w:val="0"/>
          <w:bCs w:val="0"/>
        </w:rPr>
        <w:t xml:space="preserve">、对投标文件的初审</w:t>
      </w:r>
      <w:bookmarkEnd w:id="146"/>
      <w:r/>
      <w:bookmarkEnd w:id="147"/>
      <w:r/>
      <w:bookmarkEnd w:id="148"/>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49" w:name="_Toc20823306"/>
      <w:r/>
      <w:bookmarkStart w:id="150" w:name="_Toc513029234"/>
      <w:r/>
      <w:bookmarkStart w:id="151"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27"/>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49"/>
      <w:r/>
      <w:bookmarkEnd w:id="150"/>
      <w:r/>
      <w:bookmarkEnd w:id="151"/>
      <w:r>
        <w:rPr>
          <w:rFonts w:hint="eastAsia"/>
          <w:b w:val="0"/>
          <w:bCs w:val="0"/>
        </w:rPr>
        <w:t xml:space="preserve">无效投标条款和废标条款</w:t>
      </w:r>
      <w:r/>
    </w:p>
    <w:p>
      <w:pPr>
        <w:ind w:left="479"/>
        <w:spacing w:line="440" w:lineRule="exact"/>
        <w:rPr>
          <w:rFonts w:ascii="宋体" w:hAnsi="宋体"/>
          <w:bCs/>
          <w:sz w:val="24"/>
        </w:rPr>
      </w:pPr>
      <w:r/>
      <w:bookmarkStart w:id="152" w:name="_Toc20823307"/>
      <w:r/>
      <w:bookmarkStart w:id="153" w:name="_Toc16938551"/>
      <w:r/>
      <w:bookmarkStart w:id="154"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5"/>
        <w:ind w:firstLine="482"/>
        <w:spacing w:before="145" w:after="145" w:line="360" w:lineRule="auto"/>
      </w:pPr>
      <w:r/>
      <w:bookmarkStart w:id="155" w:name="_Toc120614219"/>
      <w:r>
        <w:rPr>
          <w:rFonts w:hint="eastAsia"/>
        </w:rPr>
        <w:t xml:space="preserve">六、</w:t>
      </w:r>
      <w:bookmarkEnd w:id="152"/>
      <w:r/>
      <w:bookmarkEnd w:id="153"/>
      <w:r/>
      <w:bookmarkEnd w:id="154"/>
      <w:r>
        <w:rPr>
          <w:rFonts w:hint="eastAsia"/>
        </w:rPr>
        <w:t xml:space="preserve">定标</w:t>
      </w:r>
      <w:bookmarkEnd w:id="155"/>
      <w:r/>
      <w:r/>
    </w:p>
    <w:p>
      <w:pPr>
        <w:pStyle w:val="927"/>
        <w:ind w:firstLine="600"/>
        <w:spacing w:before="0" w:after="0" w:line="240" w:lineRule="auto"/>
        <w:rPr>
          <w:rFonts w:ascii="黑体" w:hAnsi="宋体" w:cs="Times New Roman"/>
          <w:b w:val="0"/>
          <w:sz w:val="30"/>
          <w:szCs w:val="30"/>
        </w:rPr>
      </w:pPr>
      <w:r/>
      <w:bookmarkStart w:id="156" w:name="_Toc513029238"/>
      <w:r/>
      <w:bookmarkStart w:id="157" w:name="_Toc16938554"/>
      <w:r/>
      <w:bookmarkStart w:id="158" w:name="_Toc20823310"/>
      <w:r>
        <w:rPr>
          <w:rFonts w:hint="eastAsia" w:ascii="黑体" w:hAnsi="宋体" w:cs="Times New Roman"/>
          <w:b w:val="0"/>
          <w:sz w:val="30"/>
          <w:szCs w:val="30"/>
        </w:rPr>
        <w:t xml:space="preserve">27、</w:t>
      </w:r>
      <w:bookmarkEnd w:id="156"/>
      <w:r>
        <w:rPr>
          <w:rFonts w:hint="eastAsia" w:ascii="黑体" w:hAnsi="宋体" w:cs="Times New Roman"/>
          <w:b w:val="0"/>
          <w:sz w:val="30"/>
          <w:szCs w:val="30"/>
        </w:rPr>
        <w:t xml:space="preserve">确定</w:t>
      </w:r>
      <w:bookmarkEnd w:id="157"/>
      <w:r/>
      <w:bookmarkEnd w:id="158"/>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2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59"/>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w:t>
      </w:r>
      <w:r>
        <w:rPr>
          <w:rFonts w:hint="eastAsia" w:ascii="宋体" w:hAnsi="宋体"/>
          <w:sz w:val="24"/>
          <w:szCs w:val="24"/>
        </w:rPr>
        <w:t xml:space="preserve">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交易中心质疑接收人及联系方式详见招标文件第一章。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2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5"/>
        <w:spacing w:before="145" w:after="145" w:line="360" w:lineRule="auto"/>
      </w:pPr>
      <w:r/>
      <w:bookmarkStart w:id="160" w:name="_Toc16938552"/>
      <w:r/>
      <w:bookmarkStart w:id="161" w:name="_Toc20823308"/>
      <w:r/>
      <w:bookmarkStart w:id="162" w:name="_Toc120614220"/>
      <w:r/>
      <w:bookmarkStart w:id="163" w:name="_Toc513029236"/>
      <w:r>
        <w:rPr>
          <w:rFonts w:hint="eastAsia"/>
        </w:rPr>
        <w:t xml:space="preserve">七、授予合同</w:t>
      </w:r>
      <w:bookmarkEnd w:id="160"/>
      <w:r/>
      <w:bookmarkEnd w:id="161"/>
      <w:r/>
      <w:bookmarkEnd w:id="162"/>
      <w:r/>
      <w:bookmarkEnd w:id="163"/>
      <w:r/>
      <w:r/>
    </w:p>
    <w:p>
      <w:pPr>
        <w:pStyle w:val="927"/>
        <w:ind w:firstLine="600"/>
        <w:spacing w:before="0" w:after="0" w:line="240" w:lineRule="auto"/>
        <w:rPr>
          <w:rFonts w:ascii="黑体" w:hAnsi="宋体" w:cs="Times New Roman"/>
          <w:b w:val="0"/>
          <w:sz w:val="30"/>
          <w:szCs w:val="30"/>
        </w:rPr>
      </w:pPr>
      <w:r/>
      <w:bookmarkStart w:id="164" w:name="_Toc20823309"/>
      <w:r/>
      <w:bookmarkStart w:id="165" w:name="_Toc513029237"/>
      <w:r/>
      <w:bookmarkStart w:id="166" w:name="_Toc16938553"/>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64"/>
      <w:r/>
      <w:bookmarkEnd w:id="165"/>
      <w:r/>
      <w:bookmarkEnd w:id="166"/>
      <w:r/>
      <w:r/>
    </w:p>
    <w:p>
      <w:pPr>
        <w:pStyle w:val="92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31、政府采购履约资金扶持政策</w:t>
      </w:r>
      <w:r/>
    </w:p>
    <w:p>
      <w:pPr>
        <w:ind w:firstLine="600"/>
        <w:spacing w:line="480" w:lineRule="exact"/>
        <w:rPr>
          <w:rFonts w:ascii="宋体" w:hAnsi="宋体"/>
          <w:bCs/>
          <w:sz w:val="24"/>
          <w:szCs w:val="24"/>
        </w:rPr>
      </w:pPr>
      <w:r>
        <w:rPr>
          <w:rFonts w:hint="eastAsia" w:ascii="宋体" w:hAnsi="宋体"/>
          <w:bCs/>
          <w:sz w:val="24"/>
          <w:szCs w:val="24"/>
        </w:rPr>
        <w:t xml:space="preserve">中标人可凭政府采购合同办理融资贷款，详情请见江苏政府采购网“政采贷”专栏。</w:t>
      </w:r>
      <w:r/>
    </w:p>
    <w:p>
      <w:pPr>
        <w:ind w:firstLine="600"/>
        <w:spacing w:line="480" w:lineRule="exact"/>
        <w:rPr>
          <w:rFonts w:ascii="宋体" w:hAnsi="宋体"/>
          <w:bCs/>
          <w:sz w:val="24"/>
          <w:szCs w:val="24"/>
        </w:rPr>
      </w:pPr>
      <w:r>
        <w:rPr>
          <w:rFonts w:ascii="宋体" w:hAnsi="宋体"/>
          <w:bCs/>
          <w:sz w:val="24"/>
          <w:szCs w:val="24"/>
        </w:rPr>
      </w:r>
      <w:r/>
    </w:p>
    <w:p>
      <w:r/>
      <w:r/>
    </w:p>
    <w:p>
      <w:pPr>
        <w:rPr>
          <w:rFonts w:ascii="黑体" w:eastAsia="黑体"/>
          <w:bCs/>
          <w:sz w:val="44"/>
        </w:rPr>
      </w:pPr>
      <w:r>
        <w:rPr>
          <w:rFonts w:ascii="黑体" w:eastAsia="黑体"/>
          <w:bCs/>
          <w:sz w:val="44"/>
        </w:rPr>
      </w:r>
      <w:r/>
    </w:p>
    <w:p>
      <w:pPr>
        <w:pStyle w:val="919"/>
        <w:rPr>
          <w:rStyle w:val="920"/>
          <w:b/>
          <w:bCs/>
        </w:rPr>
      </w:pPr>
      <w:r/>
      <w:bookmarkStart w:id="167" w:name="_Toc5617"/>
      <w:r/>
      <w:bookmarkStart w:id="168" w:name="_Toc11104"/>
      <w:r>
        <w:rPr>
          <w:rStyle w:val="920"/>
          <w:rFonts w:hint="eastAsia"/>
          <w:b/>
          <w:bCs/>
        </w:rPr>
        <w:br w:type="page" w:clear="all"/>
      </w:r>
      <w:r>
        <w:rPr>
          <w:rStyle w:val="920"/>
          <w:rFonts w:hint="eastAsia"/>
          <w:b/>
          <w:bCs/>
        </w:rPr>
        <w:t xml:space="preserve">第三章合同</w:t>
      </w:r>
      <w:bookmarkEnd w:id="35"/>
      <w:r/>
      <w:bookmarkEnd w:id="36"/>
      <w:r/>
      <w:bookmarkEnd w:id="37"/>
      <w:r/>
      <w:bookmarkEnd w:id="38"/>
      <w:r/>
      <w:bookmarkEnd w:id="39"/>
      <w:r>
        <w:rPr>
          <w:rStyle w:val="920"/>
          <w:rFonts w:hint="eastAsia"/>
          <w:b/>
          <w:bCs/>
        </w:rPr>
        <w:t xml:space="preserve">文本</w:t>
      </w:r>
      <w:bookmarkEnd w:id="167"/>
      <w:r/>
      <w:bookmarkEnd w:id="168"/>
      <w:r/>
      <w:r/>
    </w:p>
    <w:p>
      <w:pPr>
        <w:ind w:firstLine="480"/>
        <w:spacing w:line="500" w:lineRule="exact"/>
        <w:rPr>
          <w:rFonts w:ascii="宋体" w:hAnsi="宋体"/>
          <w:bCs/>
          <w:sz w:val="24"/>
        </w:rPr>
      </w:pPr>
      <w:r/>
      <w:bookmarkStart w:id="169" w:name="_Toc16938559"/>
      <w:r/>
      <w:bookmarkStart w:id="170" w:name="_Toc20823315"/>
      <w:r/>
      <w:bookmarkStart w:id="171" w:name="_Toc513029243"/>
      <w:r>
        <w:rPr>
          <w:rFonts w:hint="eastAsia" w:ascii="宋体" w:hAnsi="宋体"/>
          <w:bCs/>
          <w:sz w:val="24"/>
        </w:rPr>
        <w:t xml:space="preserve">以下为中标后签定本项目合同的通用条款，中标人不得提出实质性的修改。</w:t>
      </w:r>
      <w:r/>
    </w:p>
    <w:p>
      <w:pPr>
        <w:ind w:firstLine="640"/>
        <w:spacing w:line="500" w:lineRule="exact"/>
        <w:rPr>
          <w:rFonts w:ascii="宋体" w:hAnsi="宋体"/>
          <w:bCs/>
          <w:sz w:val="32"/>
          <w:szCs w:val="32"/>
        </w:rPr>
      </w:pPr>
      <w:r>
        <w:rPr>
          <w:rFonts w:ascii="宋体" w:hAnsi="宋体"/>
          <w:bCs/>
          <w:sz w:val="32"/>
          <w:szCs w:val="32"/>
        </w:rPr>
      </w:r>
      <w:r/>
    </w:p>
    <w:p>
      <w:pPr>
        <w:jc w:val="center"/>
        <w:rPr>
          <w:b/>
          <w:bCs/>
          <w:sz w:val="30"/>
          <w:szCs w:val="30"/>
        </w:rPr>
      </w:pPr>
      <w:r/>
      <w:bookmarkStart w:id="172" w:name="_Hlt16619350"/>
      <w:r/>
      <w:bookmarkStart w:id="173" w:name="_Toc20823346"/>
      <w:r/>
      <w:bookmarkStart w:id="174" w:name="_Toc120614244"/>
      <w:r/>
      <w:bookmarkStart w:id="175" w:name="_Toc16938590"/>
      <w:r/>
      <w:bookmarkStart w:id="176" w:name="_Toc479757211"/>
      <w:r/>
      <w:bookmarkStart w:id="177" w:name="_Toc462564139"/>
      <w:r/>
      <w:bookmarkEnd w:id="169"/>
      <w:r/>
      <w:bookmarkEnd w:id="170"/>
      <w:r/>
      <w:bookmarkEnd w:id="171"/>
      <w:r>
        <w:rPr>
          <w:rFonts w:hint="eastAsia"/>
          <w:b/>
          <w:bCs/>
          <w:sz w:val="30"/>
          <w:szCs w:val="30"/>
        </w:rPr>
        <w:t xml:space="preserve">江苏省政府采购合同（服务）（合同编号）</w:t>
      </w:r>
      <w:r/>
    </w:p>
    <w:p>
      <w:pPr>
        <w:pStyle w:val="943"/>
        <w:spacing w:before="120" w:after="120"/>
        <w:rPr>
          <w:rFonts w:hAnsi="宋体"/>
          <w:sz w:val="24"/>
          <w:szCs w:val="24"/>
        </w:rPr>
      </w:pPr>
      <w:r>
        <w:rPr>
          <w:rFonts w:hAnsi="宋体"/>
          <w:sz w:val="24"/>
          <w:szCs w:val="24"/>
        </w:rPr>
        <w:t xml:space="preserve">项目名称：                                       项目编号：</w:t>
      </w:r>
      <w:r/>
    </w:p>
    <w:p>
      <w:pPr>
        <w:pStyle w:val="943"/>
        <w:spacing w:before="120" w:after="120"/>
        <w:rPr>
          <w:rFonts w:hAnsi="宋体"/>
          <w:sz w:val="24"/>
          <w:szCs w:val="24"/>
        </w:rPr>
      </w:pPr>
      <w:r>
        <w:rPr>
          <w:rFonts w:hAnsi="宋体"/>
          <w:sz w:val="24"/>
          <w:szCs w:val="24"/>
        </w:rPr>
        <w:t xml:space="preserve">甲方：（买方）_________</w:t>
      </w:r>
      <w:r/>
    </w:p>
    <w:p>
      <w:pPr>
        <w:pStyle w:val="943"/>
        <w:spacing w:before="120" w:after="120"/>
        <w:rPr>
          <w:rFonts w:hAnsi="宋体"/>
          <w:sz w:val="24"/>
          <w:szCs w:val="24"/>
        </w:rPr>
      </w:pPr>
      <w:r>
        <w:rPr>
          <w:rFonts w:hAnsi="宋体"/>
          <w:sz w:val="24"/>
          <w:szCs w:val="24"/>
        </w:rPr>
        <w:t xml:space="preserve">乙方：（卖方）_________</w:t>
      </w:r>
      <w:r/>
    </w:p>
    <w:p>
      <w:pPr>
        <w:pStyle w:val="943"/>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扬州市公共资源交易中心江都分中心</w:t>
      </w:r>
      <w:r>
        <w:rPr>
          <w:rFonts w:hAnsi="宋体"/>
          <w:sz w:val="24"/>
          <w:szCs w:val="24"/>
        </w:rPr>
        <w:t xml:space="preserve">项目公开招标的结果，签署本合同。</w:t>
      </w:r>
      <w:r/>
    </w:p>
    <w:p>
      <w:pPr>
        <w:pStyle w:val="94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3"/>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43"/>
        <w:spacing w:before="120" w:after="120"/>
        <w:rPr>
          <w:rFonts w:hAnsi="宋体"/>
          <w:sz w:val="24"/>
          <w:szCs w:val="24"/>
        </w:rPr>
      </w:pPr>
      <w:r>
        <w:rPr>
          <w:rFonts w:hint="eastAsia" w:hAnsi="宋体"/>
          <w:sz w:val="24"/>
          <w:szCs w:val="24"/>
        </w:rPr>
        <w:t xml:space="preserve">1.3 标的数量（规模）：</w:t>
      </w:r>
      <w:r/>
    </w:p>
    <w:p>
      <w:pPr>
        <w:pStyle w:val="943"/>
        <w:spacing w:before="120" w:after="120"/>
        <w:rPr>
          <w:rFonts w:hAnsi="宋体"/>
          <w:sz w:val="24"/>
          <w:szCs w:val="24"/>
        </w:rPr>
      </w:pPr>
      <w:r>
        <w:rPr>
          <w:rFonts w:hint="eastAsia" w:hAnsi="宋体"/>
          <w:sz w:val="24"/>
          <w:szCs w:val="24"/>
        </w:rPr>
        <w:t xml:space="preserve">1.4 履行时间（期限）：</w:t>
      </w:r>
      <w:r/>
    </w:p>
    <w:p>
      <w:pPr>
        <w:pStyle w:val="943"/>
        <w:spacing w:before="120" w:after="120"/>
        <w:rPr>
          <w:rFonts w:hAnsi="宋体"/>
          <w:sz w:val="24"/>
          <w:szCs w:val="24"/>
        </w:rPr>
      </w:pPr>
      <w:r>
        <w:rPr>
          <w:rFonts w:hint="eastAsia" w:hAnsi="宋体"/>
          <w:sz w:val="24"/>
          <w:szCs w:val="24"/>
        </w:rPr>
        <w:t xml:space="preserve">1.5 履行地点：</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43"/>
        <w:spacing w:before="120" w:after="120"/>
        <w:rPr>
          <w:rFonts w:hAnsi="宋体"/>
          <w:b/>
          <w:sz w:val="24"/>
          <w:szCs w:val="24"/>
        </w:rPr>
      </w:pPr>
      <w:r>
        <w:rPr>
          <w:rFonts w:hAnsi="宋体"/>
          <w:b/>
          <w:sz w:val="24"/>
          <w:szCs w:val="24"/>
        </w:rPr>
        <w:t xml:space="preserve">二、合同金额</w:t>
      </w:r>
      <w:r/>
    </w:p>
    <w:p>
      <w:pPr>
        <w:pStyle w:val="94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3"/>
        <w:spacing w:before="120" w:after="120"/>
        <w:rPr>
          <w:rFonts w:hAnsi="宋体"/>
          <w:b/>
          <w:sz w:val="24"/>
          <w:szCs w:val="24"/>
        </w:rPr>
      </w:pPr>
      <w:r>
        <w:rPr>
          <w:rFonts w:hAnsi="宋体"/>
          <w:b/>
          <w:sz w:val="24"/>
          <w:szCs w:val="24"/>
        </w:rPr>
        <w:t xml:space="preserve">三、技术资料</w:t>
      </w:r>
      <w:r/>
    </w:p>
    <w:p>
      <w:pPr>
        <w:pStyle w:val="943"/>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4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left="412" w:hanging="412"/>
        <w:spacing w:before="120" w:after="120"/>
        <w:rPr>
          <w:rFonts w:hAnsi="宋体"/>
          <w:b/>
          <w:sz w:val="24"/>
          <w:szCs w:val="24"/>
        </w:rPr>
      </w:pPr>
      <w:r>
        <w:rPr>
          <w:rFonts w:hAnsi="宋体"/>
          <w:b/>
          <w:sz w:val="24"/>
          <w:szCs w:val="24"/>
        </w:rPr>
        <w:t xml:space="preserve">四、知识产权</w:t>
      </w:r>
      <w:r/>
    </w:p>
    <w:p>
      <w:pPr>
        <w:pStyle w:val="943"/>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3"/>
        <w:spacing w:before="120" w:after="120"/>
        <w:rPr>
          <w:rFonts w:hAnsi="宋体"/>
          <w:sz w:val="24"/>
          <w:szCs w:val="24"/>
          <w:u w:val="single"/>
        </w:rPr>
      </w:pPr>
      <w:r>
        <w:rPr>
          <w:rFonts w:hAnsi="宋体"/>
          <w:b/>
          <w:sz w:val="24"/>
          <w:szCs w:val="24"/>
        </w:rPr>
        <w:t xml:space="preserve">五、产权担保</w:t>
      </w:r>
      <w:r/>
    </w:p>
    <w:p>
      <w:pPr>
        <w:pStyle w:val="94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43"/>
        <w:ind w:left="410" w:hanging="410"/>
        <w:spacing w:before="120" w:after="120"/>
        <w:rPr>
          <w:rFonts w:hAnsi="宋体"/>
          <w:b/>
          <w:sz w:val="24"/>
          <w:szCs w:val="24"/>
        </w:rPr>
      </w:pPr>
      <w:r>
        <w:rPr>
          <w:rFonts w:hAnsi="宋体"/>
          <w:b/>
          <w:sz w:val="24"/>
          <w:szCs w:val="24"/>
        </w:rPr>
        <w:t xml:space="preserve">六、履约保证金</w:t>
      </w:r>
      <w:r/>
    </w:p>
    <w:p>
      <w:pPr>
        <w:ind w:left="408" w:hanging="408"/>
        <w:spacing w:before="120" w:after="120"/>
        <w:rPr>
          <w:rFonts w:ascii="宋体" w:hAnsi="宋体" w:cs="Courier New"/>
          <w:sz w:val="24"/>
          <w:szCs w:val="24"/>
        </w:rPr>
      </w:pPr>
      <w:r>
        <w:rPr>
          <w:rFonts w:ascii="宋体" w:hAnsi="宋体" w:cs="Courier New"/>
          <w:sz w:val="24"/>
          <w:szCs w:val="24"/>
        </w:rPr>
        <w:t xml:space="preserve">6.1 乙方交纳人民币</w:t>
      </w:r>
      <w:r>
        <w:rPr>
          <w:rFonts w:hint="eastAsia" w:ascii="宋体" w:hAnsi="宋体" w:cs="Courier New"/>
          <w:sz w:val="24"/>
          <w:szCs w:val="24"/>
          <w:u w:val="single"/>
        </w:rPr>
        <w:t xml:space="preserve">零</w:t>
      </w:r>
      <w:r>
        <w:rPr>
          <w:rFonts w:ascii="宋体" w:hAnsi="宋体" w:cs="Courier New"/>
          <w:sz w:val="24"/>
          <w:szCs w:val="24"/>
        </w:rPr>
        <w:t xml:space="preserve">元作为本合同的履约保证金。</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6.2.1履约保证金退还方式：无</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6.2.2履约保证金退还时间：无</w:t>
      </w:r>
      <w:r/>
    </w:p>
    <w:p>
      <w:pPr>
        <w:ind w:left="408" w:hanging="408"/>
        <w:spacing w:before="120" w:after="120"/>
        <w:rPr>
          <w:rFonts w:ascii="宋体" w:hAnsi="宋体" w:cs="Courier New"/>
          <w:sz w:val="24"/>
          <w:szCs w:val="24"/>
        </w:rPr>
      </w:pPr>
      <w:r>
        <w:rPr>
          <w:rFonts w:hint="eastAsia" w:ascii="宋体" w:hAnsi="宋体" w:cs="Courier New"/>
          <w:sz w:val="24"/>
          <w:szCs w:val="24"/>
        </w:rPr>
        <w:t xml:space="preserve">6.2.3履约保证金退还条件：无</w:t>
      </w:r>
      <w:r/>
    </w:p>
    <w:p>
      <w:pPr>
        <w:ind w:left="408" w:hanging="408"/>
        <w:spacing w:before="120" w:after="120"/>
        <w:rPr>
          <w:rFonts w:ascii="宋体" w:hAnsi="宋体"/>
          <w:sz w:val="24"/>
          <w:szCs w:val="24"/>
        </w:rPr>
      </w:pPr>
      <w:r>
        <w:rPr>
          <w:rFonts w:hint="eastAsia" w:ascii="宋体" w:hAnsi="宋体" w:cs="Courier New"/>
          <w:sz w:val="24"/>
          <w:szCs w:val="24"/>
        </w:rPr>
        <w:t xml:space="preserve">6.2.4履约保证金不予退还的情形：无</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4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hint="eastAsia" w:ascii="宋体" w:hAnsi="宋体"/>
          <w:sz w:val="24"/>
          <w:szCs w:val="24"/>
        </w:rPr>
        <w:t xml:space="preserve">合同签订后，甲方收到乙方发票之日起10个工作日内，支付合同价款的30%作为预付款。服务全部完成并试运行结束，经甲方最终验收合格且收到乙方发票后10个工作日内，甲方付清余款。所有款项支付均需要出具正式税务发票。</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3"/>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43"/>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3"/>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43"/>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43"/>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3"/>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43"/>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9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3"/>
        <w:ind w:left="480" w:hanging="480"/>
        <w:spacing w:before="120" w:after="120" w:line="0" w:lineRule="atLeast"/>
        <w:rPr>
          <w:rFonts w:hAnsi="宋体"/>
          <w:sz w:val="24"/>
          <w:szCs w:val="24"/>
        </w:rPr>
      </w:pPr>
      <w:r>
        <w:rPr>
          <w:rFonts w:hAnsi="宋体"/>
          <w:sz w:val="24"/>
          <w:szCs w:val="24"/>
        </w:rPr>
        <w:t xml:space="preserve">  甲方：                        乙方： </w:t>
      </w:r>
      <w:r/>
    </w:p>
    <w:p>
      <w:pPr>
        <w:pStyle w:val="943"/>
        <w:spacing w:before="120" w:after="120" w:line="0" w:lineRule="atLeast"/>
        <w:rPr>
          <w:rFonts w:hAnsi="宋体"/>
          <w:sz w:val="24"/>
          <w:szCs w:val="24"/>
        </w:rPr>
      </w:pPr>
      <w:r>
        <w:rPr>
          <w:rFonts w:hAnsi="宋体"/>
          <w:sz w:val="24"/>
          <w:szCs w:val="24"/>
        </w:rPr>
        <w:t xml:space="preserve">  地址：                       地址： </w:t>
      </w:r>
      <w:r/>
    </w:p>
    <w:p>
      <w:pPr>
        <w:pStyle w:val="94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3"/>
        <w:ind w:firstLine="240"/>
        <w:spacing w:before="120" w:after="120" w:line="0" w:lineRule="atLeast"/>
      </w:pPr>
      <w:r>
        <w:rPr>
          <w:rFonts w:hint="eastAsia" w:hAnsi="宋体"/>
          <w:sz w:val="24"/>
          <w:szCs w:val="24"/>
        </w:rPr>
        <w:t xml:space="preserve">联系电话：                    联系电话：          </w:t>
      </w:r>
      <w:r/>
    </w:p>
    <w:p>
      <w:pPr>
        <w:pStyle w:val="943"/>
        <w:jc w:val="center"/>
        <w:spacing w:before="120" w:after="120" w:line="0" w:lineRule="atLeast"/>
        <w:rPr>
          <w:rFonts w:hAnsi="宋体"/>
          <w:sz w:val="24"/>
          <w:szCs w:val="24"/>
        </w:rPr>
      </w:pPr>
      <w:r>
        <w:rPr>
          <w:rFonts w:hAnsi="宋体"/>
          <w:sz w:val="24"/>
          <w:szCs w:val="24"/>
        </w:rPr>
        <w:t xml:space="preserve">签订日期：      年  月  日</w:t>
      </w:r>
      <w:bookmarkStart w:id="178" w:name="_Hlt16619369"/>
      <w:r/>
      <w:bookmarkEnd w:id="178"/>
      <w:r/>
      <w:r/>
    </w:p>
    <w:p>
      <w:pPr>
        <w:pStyle w:val="919"/>
        <w:rPr>
          <w:rFonts w:hAnsi="宋体"/>
          <w:sz w:val="24"/>
          <w:szCs w:val="24"/>
        </w:rPr>
      </w:pPr>
      <w:r>
        <w:br w:type="page" w:clear="all"/>
      </w:r>
      <w:bookmarkStart w:id="179" w:name="_Toc6785"/>
      <w:r/>
      <w:bookmarkStart w:id="180" w:name="_Toc14893"/>
      <w:r>
        <w:rPr>
          <w:rStyle w:val="920"/>
          <w:rFonts w:hint="eastAsia"/>
          <w:b/>
          <w:bCs/>
        </w:rPr>
        <w:t xml:space="preserve">第</w:t>
      </w:r>
      <w:bookmarkEnd w:id="172"/>
      <w:r>
        <w:rPr>
          <w:rStyle w:val="920"/>
          <w:rFonts w:hint="eastAsia"/>
          <w:b/>
          <w:bCs/>
        </w:rPr>
        <w:t xml:space="preserve">四章采购需求</w:t>
      </w:r>
      <w:bookmarkEnd w:id="173"/>
      <w:r/>
      <w:bookmarkEnd w:id="174"/>
      <w:r/>
      <w:bookmarkEnd w:id="175"/>
      <w:r/>
      <w:bookmarkEnd w:id="179"/>
      <w:r/>
      <w:bookmarkEnd w:id="180"/>
      <w:r/>
      <w:r/>
    </w:p>
    <w:p>
      <w:pPr>
        <w:spacing w:line="0" w:lineRule="atLeast"/>
        <w:rPr>
          <w:rFonts w:ascii="宋体" w:hAnsi="宋体"/>
          <w:sz w:val="24"/>
          <w:szCs w:val="24"/>
        </w:rPr>
      </w:pPr>
      <w:r/>
      <w:bookmarkStart w:id="181" w:name="_Toc49090575"/>
      <w:r/>
      <w:bookmarkStart w:id="182" w:name="_Toc26554093"/>
      <w:r/>
      <w:r/>
    </w:p>
    <w:p>
      <w:pPr>
        <w:spacing w:line="0" w:lineRule="atLeast"/>
        <w:rPr>
          <w:rFonts w:ascii="宋体" w:hAnsi="宋体" w:cs="宋体"/>
          <w:sz w:val="24"/>
          <w:szCs w:val="24"/>
        </w:rPr>
      </w:pPr>
      <w:r>
        <w:rPr>
          <w:rFonts w:hint="eastAsia" w:ascii="宋体" w:hAnsi="宋体" w:cs="宋体"/>
          <w:sz w:val="24"/>
          <w:szCs w:val="24"/>
        </w:rPr>
        <w:t xml:space="preserve">项目属性:服务类项目。</w:t>
      </w:r>
      <w:r/>
    </w:p>
    <w:p>
      <w:pPr>
        <w:ind w:firstLine="480"/>
        <w:spacing w:line="360" w:lineRule="auto"/>
        <w:rPr>
          <w:rFonts w:ascii="宋体" w:hAnsi="宋体" w:cs="宋体"/>
          <w:bCs/>
          <w:iCs/>
          <w:sz w:val="24"/>
          <w:szCs w:val="24"/>
        </w:rPr>
      </w:pPr>
      <w:r>
        <w:rPr>
          <w:rFonts w:hint="eastAsia" w:ascii="宋体" w:hAnsi="宋体" w:cs="宋体"/>
          <w:bCs/>
          <w:iCs/>
          <w:sz w:val="24"/>
          <w:szCs w:val="24"/>
        </w:rPr>
        <w:t xml:space="preserve">其他要求</w:t>
      </w:r>
      <w:r/>
    </w:p>
    <w:p>
      <w:pPr>
        <w:ind w:firstLine="480"/>
        <w:spacing w:line="360" w:lineRule="auto"/>
        <w:rPr>
          <w:rFonts w:ascii="宋体" w:hAnsi="宋体" w:cs="宋体"/>
          <w:bCs/>
          <w:iCs/>
          <w:sz w:val="24"/>
          <w:szCs w:val="24"/>
        </w:rPr>
      </w:pPr>
      <w:r>
        <w:rPr>
          <w:rFonts w:hint="eastAsia" w:ascii="宋体" w:hAnsi="宋体" w:cs="宋体"/>
          <w:bCs/>
          <w:iCs/>
          <w:sz w:val="24"/>
          <w:szCs w:val="24"/>
        </w:rPr>
        <w:t xml:space="preserve">1.严格执行政府采购关于支持</w:t>
      </w:r>
      <w:r>
        <w:rPr>
          <w:rFonts w:hint="eastAsia" w:ascii="宋体" w:hAnsi="宋体" w:cs="宋体"/>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cs="宋体"/>
          <w:bCs/>
          <w:iCs/>
          <w:sz w:val="24"/>
          <w:szCs w:val="24"/>
        </w:rPr>
      </w:pPr>
      <w:r>
        <w:rPr>
          <w:rFonts w:hint="eastAsia" w:ascii="宋体" w:hAnsi="宋体" w:cs="宋体"/>
          <w:bCs/>
          <w:iCs/>
          <w:sz w:val="24"/>
          <w:szCs w:val="24"/>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bCs/>
          <w:iCs/>
          <w:sz w:val="24"/>
          <w:szCs w:val="24"/>
        </w:rPr>
      </w:pPr>
      <w:r>
        <w:rPr>
          <w:rFonts w:hint="eastAsia" w:ascii="宋体" w:hAnsi="宋体"/>
          <w:bCs/>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9"/>
        <w:gridCol w:w="4021"/>
        <w:gridCol w:w="2852"/>
      </w:tblGrid>
      <w:tr>
        <w:trPr>
          <w:cantSplit/>
          <w:jc w:val="center"/>
        </w:trPr>
        <w:tc>
          <w:tcPr>
            <w:tcW w:w="9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402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596"/>
        </w:trPr>
        <w:tc>
          <w:tcPr>
            <w:tcW w:w="9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02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扬州市江都人民医院信息化升级改造</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spacing w:line="360" w:lineRule="auto"/>
        <w:rPr>
          <w:rFonts w:ascii="宋体" w:hAnsi="宋体" w:cs="宋体"/>
          <w:bCs/>
          <w:iCs/>
          <w:sz w:val="24"/>
          <w:szCs w:val="24"/>
        </w:rPr>
      </w:pPr>
      <w:r>
        <w:rPr>
          <w:rFonts w:ascii="宋体" w:hAnsi="宋体" w:cs="宋体"/>
          <w:bCs/>
          <w:iCs/>
          <w:sz w:val="24"/>
          <w:szCs w:val="24"/>
        </w:rPr>
      </w:r>
      <w:r/>
    </w:p>
    <w:p>
      <w:pPr>
        <w:numPr>
          <w:ilvl w:val="0"/>
          <w:numId w:val="7"/>
        </w:numPr>
        <w:ind w:left="0"/>
        <w:keepLines/>
        <w:keepNext/>
        <w:spacing w:line="360" w:lineRule="auto"/>
        <w:rPr>
          <w:rFonts w:ascii="等线" w:hAnsi="等线"/>
          <w:b/>
          <w:bCs/>
          <w:sz w:val="32"/>
          <w:szCs w:val="44"/>
        </w:rPr>
        <w:outlineLvl w:val="0"/>
      </w:pPr>
      <w:r/>
      <w:bookmarkStart w:id="183" w:name="_Toc9666"/>
      <w:r/>
      <w:bookmarkStart w:id="184" w:name="_Toc5710"/>
      <w:r/>
      <w:bookmarkStart w:id="185" w:name="_Toc120614281"/>
      <w:r>
        <w:rPr>
          <w:rFonts w:hint="eastAsia" w:ascii="等线" w:hAnsi="等线"/>
          <w:b/>
          <w:bCs/>
          <w:sz w:val="32"/>
          <w:szCs w:val="44"/>
        </w:rPr>
        <w:t xml:space="preserve">建设需求</w:t>
      </w:r>
      <w:r/>
    </w:p>
    <w:p>
      <w:pPr>
        <w:numPr>
          <w:ilvl w:val="1"/>
          <w:numId w:val="7"/>
        </w:numPr>
        <w:ind w:left="0"/>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建设目标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本项目根据扬州市江都人民医院发展规划及需求，结合医院管理思想和自身特色，利用云计算、大数据与人工智能技术、物联网技术、互联网技术等先进</w:t>
      </w:r>
      <w:r>
        <w:rPr>
          <w:rFonts w:ascii="宋体" w:hAnsi="宋体" w:cs="宋体"/>
          <w:sz w:val="24"/>
          <w:szCs w:val="22"/>
        </w:rPr>
        <w:t xml:space="preserve">IT技术，对医院</w:t>
      </w:r>
      <w:r>
        <w:rPr>
          <w:rFonts w:hint="eastAsia" w:ascii="宋体" w:hAnsi="宋体" w:cs="宋体"/>
          <w:sz w:val="24"/>
          <w:szCs w:val="22"/>
        </w:rPr>
        <w:t xml:space="preserve">信息化</w:t>
      </w:r>
      <w:r>
        <w:rPr>
          <w:rFonts w:ascii="宋体" w:hAnsi="宋体" w:cs="宋体"/>
          <w:sz w:val="24"/>
          <w:szCs w:val="22"/>
        </w:rPr>
        <w:t xml:space="preserve">建设进行总体</w:t>
      </w:r>
      <w:r>
        <w:rPr>
          <w:rFonts w:hint="eastAsia" w:ascii="宋体" w:hAnsi="宋体" w:cs="宋体"/>
          <w:sz w:val="24"/>
          <w:szCs w:val="22"/>
        </w:rPr>
        <w:t xml:space="preserve">升级改造</w:t>
      </w:r>
      <w:r>
        <w:rPr>
          <w:rFonts w:ascii="宋体" w:hAnsi="宋体" w:cs="宋体"/>
          <w:sz w:val="24"/>
          <w:szCs w:val="22"/>
        </w:rPr>
        <w:t xml:space="preserve">。优化与再造患者服务流程，提高医护人员的工作效率，减少医疗服务中的差错，提升医疗服务质量，辅助现代医院运营管理，达到现代化医院的管理水平。</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以“智慧改变医疗、信息引领未来”为发展原则，以打造高水平智慧医院为总体目标，以病人为中心，以医疗服务为主线，以质量控制和数据治理为核心，以患者满意为标准，各系统应用高度集成与共享的一体化智慧医院。建立健全以“基于电子病</w:t>
      </w:r>
      <w:r>
        <w:rPr>
          <w:rFonts w:hint="eastAsia" w:ascii="宋体" w:hAnsi="宋体" w:cs="宋体"/>
          <w:sz w:val="24"/>
          <w:szCs w:val="22"/>
        </w:rPr>
        <w:t xml:space="preserve">历的医院信息集成平台为中心”的精细化服务管理体系，依托集成平台健全“互联网</w:t>
      </w:r>
      <w:r>
        <w:rPr>
          <w:rFonts w:ascii="宋体" w:hAnsi="宋体" w:cs="宋体"/>
          <w:sz w:val="24"/>
          <w:szCs w:val="22"/>
        </w:rPr>
        <w:t xml:space="preserve">+医疗”服务体系，提升医疗大数据治理和利用水平；通过流程再造实现各医疗业务闭环管理的智能化应用；通过运营、决策等系统的建设和全面应用，整体提升医院医疗运营管理水平，提高医院的综合竞争力</w:t>
      </w:r>
      <w:r>
        <w:rPr>
          <w:rFonts w:hint="eastAsia" w:ascii="宋体" w:hAnsi="宋体" w:cs="宋体"/>
          <w:sz w:val="24"/>
          <w:szCs w:val="22"/>
        </w:rPr>
        <w:t xml:space="preserve">，为江都区和周边人民群众提供更加优质的医疗健康服务。</w:t>
      </w:r>
      <w:r/>
    </w:p>
    <w:p>
      <w:pPr>
        <w:numPr>
          <w:ilvl w:val="1"/>
          <w:numId w:val="7"/>
        </w:numPr>
        <w:ind w:left="0"/>
        <w:keepLines/>
        <w:keepNext/>
        <w:spacing w:line="360" w:lineRule="auto"/>
        <w:rPr>
          <w:rFonts w:ascii="宋体" w:hAnsi="宋体"/>
          <w:b/>
          <w:bCs/>
          <w:sz w:val="30"/>
          <w:szCs w:val="32"/>
        </w:rPr>
        <w:outlineLvl w:val="1"/>
      </w:pPr>
      <w:r>
        <w:rPr>
          <w:rFonts w:hint="eastAsia" w:ascii="宋体" w:hAnsi="宋体"/>
          <w:b/>
          <w:bCs/>
          <w:sz w:val="30"/>
          <w:szCs w:val="32"/>
        </w:rPr>
        <w:t xml:space="preserve">建设标准规范</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系统应遵循和满足现行或实施期间出台的有关标准、规范和要求等，主要包括，但不限于以下内容：</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《全国医疗卫生服务体系规划纲要（2021—2025年）》</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《“健康中国2030”规划纲要》</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《医院信息平台应用功能指引》</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《医院信息系统基本功能规范》</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《全国医院信息化建设标准与规范》</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《病历书写基本规范》</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《医院信息互联互通标准化成熟度测评方案》</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《电子病历的医院信息平台建设技术解决方案》</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《基于电子病历的医院信息平台技术规范》</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《信息安全等级保护管理办法》</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《医院信息平台基本交互规范（征求意见稿）》</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《信息安全等级保护技术标准》</w:t>
      </w:r>
      <w:r/>
    </w:p>
    <w:p>
      <w:pPr>
        <w:jc w:val="left"/>
        <w:spacing w:line="36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sz w:val="24"/>
          <w:szCs w:val="22"/>
        </w:rPr>
      </w:pPr>
      <w:r>
        <w:rPr>
          <w:rFonts w:ascii="宋体" w:hAnsi="宋体" w:cs="宋体"/>
          <w:sz w:val="24"/>
          <w:szCs w:val="22"/>
        </w:rPr>
        <w:t xml:space="preserve">医疗信息系统消息交换标准（HL7，Health Level Seven）</w:t>
      </w:r>
      <w:r/>
    </w:p>
    <w:p>
      <w:pPr>
        <w:spacing w:line="360" w:lineRule="auto"/>
        <w:rPr>
          <w:rFonts w:ascii="宋体" w:hAnsi="宋体" w:cs="宋体"/>
          <w:sz w:val="24"/>
          <w:szCs w:val="22"/>
        </w:rPr>
      </w:pPr>
      <w:r>
        <w:rPr>
          <w:rFonts w:ascii="宋体" w:hAnsi="宋体" w:cs="宋体"/>
          <w:sz w:val="24"/>
          <w:szCs w:val="22"/>
        </w:rPr>
        <w:t xml:space="preserve">临床文档资料体系结构（CDA，Clinical Document Architecture）</w:t>
      </w:r>
      <w:r/>
    </w:p>
    <w:p>
      <w:pPr>
        <w:spacing w:line="360" w:lineRule="auto"/>
        <w:rPr>
          <w:rFonts w:ascii="宋体" w:hAnsi="宋体" w:cs="宋体"/>
          <w:sz w:val="24"/>
          <w:szCs w:val="22"/>
        </w:rPr>
      </w:pPr>
      <w:r>
        <w:rPr>
          <w:rFonts w:ascii="宋体" w:hAnsi="宋体" w:cs="宋体"/>
          <w:sz w:val="24"/>
          <w:szCs w:val="22"/>
        </w:rPr>
        <w:t xml:space="preserve">《医院智慧服务分级评估标准体系(2019试行)》</w:t>
      </w:r>
      <w:r/>
    </w:p>
    <w:p>
      <w:pPr>
        <w:numPr>
          <w:ilvl w:val="1"/>
          <w:numId w:val="7"/>
        </w:numPr>
        <w:ind w:left="0"/>
        <w:keepLines/>
        <w:keepNext/>
        <w:spacing w:line="360" w:lineRule="auto"/>
        <w:rPr>
          <w:rFonts w:ascii="宋体" w:hAnsi="宋体"/>
          <w:b/>
          <w:bCs/>
          <w:sz w:val="30"/>
          <w:szCs w:val="32"/>
        </w:rPr>
        <w:outlineLvl w:val="1"/>
      </w:pPr>
      <w:r>
        <w:rPr>
          <w:rFonts w:hint="eastAsia" w:ascii="宋体" w:hAnsi="宋体"/>
          <w:b/>
          <w:bCs/>
          <w:sz w:val="30"/>
          <w:szCs w:val="32"/>
        </w:rPr>
        <w:t xml:space="preserve">总体要求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本项目建设应遵循先进性、可操作性、可维护性、可靠性与安全性、整合性与扩展性、高性能等原则。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应用软件系统应采用灵活的、稳定的信息技术架构，整个系统平台架构采用门户平台方式，可以灵活配置用户使用功能及界面，能满足医院日益变化的个性化需求。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应用软件系统应遵循医院信息系统功能规范以及电子病历分级评价、互联互通、智慧服务等相关评测要求，应采用开放的、可扩展的数据标准，支持数据标准的动态变化，</w:t>
      </w:r>
      <w:r>
        <w:rPr>
          <w:rFonts w:ascii="宋体" w:hAnsi="宋体" w:cs="宋体"/>
          <w:sz w:val="24"/>
          <w:szCs w:val="24"/>
        </w:rPr>
        <w:t xml:space="preserve">支持向后兼容今后国家、行业、地方所出台的数据标准。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系统应能支持用户可以根据自己操作习惯配置自己常用功能的快捷方式。并在操作界面上提供多种人性化的提示符号，便于操作人员了解。</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系统应满足实现系统</w:t>
      </w:r>
      <w:r>
        <w:rPr>
          <w:rFonts w:ascii="宋体" w:hAnsi="宋体" w:cs="宋体"/>
          <w:sz w:val="24"/>
          <w:szCs w:val="24"/>
        </w:rPr>
        <w:t xml:space="preserve">7×24h连续安全运行要求，性能可靠，易于维护。应注重安全性，支持统一权限与登录管理、日志监控、关键数据加密等安全措施。</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本次项目系统所产生的数据可能涉及大量居民的个人隐私，投标人应具备较好的隐私信息管理体系，能够对医疗卫生数据进行加密处理。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电子病历设计应遵循《电子病历基本架构与数据标准》等国家规范要求，应与医院信息管理类系统采用一体化设计，实现患者管理、医嘱管理、病历记录等业务功能一体化。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系统应充分考虑医院程序大业务量环境中运行的效率，防止死锁和并发操作。系统应支持自动任务管理，可以把比较大的，实时性不强的业务放到晚上执行，整个过程无须人工干涉，以合理分配医院服务器的资源，提高医院服务器的利用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应用软件系统应能实现统一维护、统一权限管理、统一数据库链接池管理。具有自动更新升级管理和错误日志管理功能。</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numPr>
          <w:ilvl w:val="1"/>
          <w:numId w:val="7"/>
        </w:numPr>
        <w:ind w:left="0"/>
        <w:keepLines/>
        <w:keepNext/>
        <w:spacing w:line="360" w:lineRule="auto"/>
        <w:rPr>
          <w:rFonts w:ascii="宋体" w:hAnsi="宋体"/>
          <w:b/>
          <w:bCs/>
          <w:sz w:val="30"/>
          <w:szCs w:val="32"/>
        </w:rPr>
        <w:outlineLvl w:val="1"/>
      </w:pPr>
      <w:r>
        <w:rPr>
          <w:rFonts w:hint="eastAsia" w:ascii="宋体" w:hAnsi="宋体"/>
          <w:b/>
          <w:bCs/>
          <w:sz w:val="30"/>
          <w:szCs w:val="32"/>
        </w:rPr>
        <w:t xml:space="preserve">建设清单</w:t>
      </w:r>
      <w:r/>
    </w:p>
    <w:tbl>
      <w:tblPr>
        <w:tblW w:w="8446" w:type="dxa"/>
        <w:tblLayout w:type="fixed"/>
        <w:tblLook w:val="04A0" w:firstRow="1" w:lastRow="0" w:firstColumn="1" w:lastColumn="0" w:noHBand="0" w:noVBand="1"/>
      </w:tblPr>
      <w:tblGrid>
        <w:gridCol w:w="1028"/>
        <w:gridCol w:w="1438"/>
        <w:gridCol w:w="1790"/>
        <w:gridCol w:w="419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1028" w:type="dxa"/>
            <w:vAlign w:val="center"/>
            <w:textDirection w:val="lrTb"/>
            <w:noWrap/>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建设类别</w:t>
            </w:r>
            <w:r/>
          </w:p>
        </w:tc>
        <w:tc>
          <w:tcPr>
            <w:shd w:val="clear" w:color="auto" w:fill="auto"/>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建设内容</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系统名称</w:t>
            </w:r>
            <w:r/>
          </w:p>
        </w:tc>
      </w:tr>
      <w:tr>
        <w:trPr>
          <w:trHeight w:val="280"/>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43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医院信息集成平台</w:t>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标准体系建设</w:t>
            </w:r>
            <w:r>
              <w:rPr>
                <w:rFonts w:hint="eastAsia" w:ascii="宋体" w:hAnsi="宋体" w:cs="宋体"/>
                <w:sz w:val="24"/>
                <w:szCs w:val="24"/>
              </w:rPr>
              <w:br/>
              <w:t xml:space="preserve">（基础平台）</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基础平台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主数据管理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患者主索引管理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统一用户认证与单点登录</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平台消息中心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医院集成服务</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数据服务总线（ESB）</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数据集成ETL</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集成引擎</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平台服务中心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外部机构对接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临床管理</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临床（CDR)</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运营（ODR）</w:t>
            </w:r>
            <w:r/>
          </w:p>
        </w:tc>
      </w:tr>
      <w:tr>
        <w:trPr>
          <w:trHeight w:val="509"/>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数据治理服务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患者全息视图</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numPr>
                <w:ilvl w:val="255"/>
                <w:numId w:val="0"/>
              </w:numPr>
              <w:spacing w:line="360" w:lineRule="auto"/>
              <w:widowControl/>
              <w:rPr>
                <w:rFonts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共享文档管理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widowControl/>
              <w:rPr>
                <w:rFonts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闭环管理系统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widowControl/>
              <w:rPr>
                <w:rFonts w:ascii="宋体" w:hAnsi="宋体" w:cs="宋体"/>
                <w:sz w:val="24"/>
                <w:szCs w:val="24"/>
              </w:rPr>
            </w:pPr>
            <w:r>
              <w:rPr>
                <w:rFonts w:hint="eastAsia" w:ascii="宋体" w:hAnsi="宋体" w:cs="宋体"/>
                <w:sz w:val="24"/>
                <w:szCs w:val="24"/>
              </w:rPr>
              <w:t xml:space="preserve">17</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数据管理</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数据管理（MDR）</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医疗质量分析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19</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等级医院评审数据上报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20</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医院管理决策支持分析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三级公立医院绩效考核数据上报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non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Web报表工具</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23</w:t>
            </w:r>
            <w:r/>
          </w:p>
        </w:tc>
        <w:tc>
          <w:tcPr>
            <w:shd w:val="clear" w:color="auto" w:fill="ffffff"/>
            <w:tcBorders>
              <w:top w:val="single" w:color="000000" w:sz="4" w:space="0"/>
              <w:left w:val="single" w:color="000000" w:sz="4" w:space="0"/>
              <w:right w:val="single" w:color="000000" w:sz="4" w:space="0"/>
            </w:tcBorders>
            <w:tcW w:w="143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业务系统</w:t>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诊间服务</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手术麻醉计费信息系统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24</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医技科室计费信息系统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25</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诊间结算管理系统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26</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日间手术管理系统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27</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门诊业务</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门急诊挂号收费系统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28</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门诊医生工作站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29</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门诊电子病历系统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30</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急诊业务</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急诊预检分诊系统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31</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急诊医生工作站系统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32</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住院业务</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入院/出院结算管理系统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33</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住院医生工作站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34</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住院电子病历系统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35</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临床路径系统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36</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危急值闭环管理系统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37</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病历质控管理系统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38</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不良事件管理系统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39</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院内会诊管理系统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40</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none" w:color="000000" w:sz="4" w:space="0"/>
              <w:right w:val="single" w:color="000000" w:sz="4" w:space="0"/>
            </w:tcBorders>
            <w:tcW w:w="17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护理业务</w:t>
            </w:r>
            <w:r/>
          </w:p>
        </w:tc>
        <w:tc>
          <w:tcPr>
            <w:shd w:val="clear" w:color="auto" w:fill="auto"/>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住院护士工作站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41</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药事管理</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药库管理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42</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门诊药房管理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43</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non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住院药房管理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44</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抗菌药物管理系统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45</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000000" w:sz="4" w:space="0"/>
            </w:tcBorders>
            <w:tcW w:w="1790"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预约中心</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sz w:val="24"/>
                <w:szCs w:val="24"/>
              </w:rPr>
              <w:t xml:space="preserve">医技预约管理系统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46</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sz w:val="24"/>
                <w:szCs w:val="24"/>
              </w:rPr>
              <w:t xml:space="preserve">分时段挂号预约系统（统一预约管理中心）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47</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sz w:val="24"/>
                <w:szCs w:val="24"/>
              </w:rPr>
              <w:t xml:space="preserve">入院准备中心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48</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auto"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sz w:val="24"/>
                <w:szCs w:val="24"/>
              </w:rPr>
              <w:t xml:space="preserve">预住院管理系统（床位预约）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49</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right w:val="single" w:color="000000" w:sz="4" w:space="0"/>
            </w:tcBorders>
            <w:tcW w:w="1790"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医技及管理系统</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LIS</w:t>
            </w:r>
            <w:r>
              <w:rPr>
                <w:rFonts w:ascii="宋体" w:hAnsi="宋体" w:cs="宋体"/>
                <w:sz w:val="24"/>
                <w:szCs w:val="24"/>
              </w:rPr>
              <w:t xml:space="preserve">、输血系统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50</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2"/>
              </w:rPr>
              <w:t xml:space="preserve">CDSS</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51</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2"/>
              </w:rPr>
              <w:t xml:space="preserve">CA认证系统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52</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2"/>
              </w:rPr>
              <w:t xml:space="preserve">全院级医学影像系统</w:t>
            </w:r>
            <w:r>
              <w:rPr>
                <w:rFonts w:ascii="宋体" w:hAnsi="宋体" w:cs="宋体"/>
                <w:sz w:val="24"/>
                <w:szCs w:val="22"/>
              </w:rPr>
              <w:t xml:space="preserve">(PACS)</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53</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2"/>
              </w:rPr>
              <w:t xml:space="preserve">移动护理、护理管理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54</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2"/>
              </w:rPr>
            </w:pPr>
            <w:r>
              <w:rPr>
                <w:rFonts w:hint="eastAsia" w:ascii="宋体" w:hAnsi="宋体" w:cs="宋体"/>
                <w:sz w:val="24"/>
                <w:szCs w:val="22"/>
              </w:rPr>
              <w:t xml:space="preserve">医务管理系统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55</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2"/>
              </w:rPr>
            </w:pPr>
            <w:r>
              <w:rPr>
                <w:rFonts w:hint="eastAsia" w:ascii="宋体" w:hAnsi="宋体" w:cs="宋体"/>
                <w:sz w:val="24"/>
                <w:szCs w:val="22"/>
              </w:rPr>
              <w:t xml:space="preserve">康复治疗系统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56</w:t>
            </w:r>
            <w:r/>
          </w:p>
        </w:tc>
        <w:tc>
          <w:tcPr>
            <w:tcBorders>
              <w:left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bottom w:val="single" w:color="auto"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2"/>
              </w:rPr>
              <w:t xml:space="preserve">科研管理系统</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统一支付</w:t>
            </w:r>
            <w:r/>
          </w:p>
        </w:tc>
        <w:tc>
          <w:tcPr>
            <w:shd w:val="clear" w:color="auto" w:fill="auto"/>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统一支付</w:t>
            </w:r>
            <w:r/>
          </w:p>
        </w:tc>
        <w:tc>
          <w:tcPr>
            <w:shd w:val="clear" w:color="auto" w:fill="auto"/>
            <w:tcBorders>
              <w:top w:val="single" w:color="000000" w:sz="4" w:space="0"/>
              <w:left w:val="single" w:color="auto"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统一支付平台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38" w:type="dxa"/>
            <w:vAlign w:val="center"/>
            <w:vMerge w:val="restart"/>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接口对接</w:t>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内部系统对接</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第三方系统的对接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59</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vMerge w:val="restart"/>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外部系统对接</w:t>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省市医保接口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60</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上级区域平台对接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江苏省影像云平台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电子票据接口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阳光采购平台接口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省妇幼专科电子病历平台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传染病上报接口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66</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慢病上报接口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67</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发热门诊数据上报接口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68</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流感监测平台上报接口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69</w:t>
            </w:r>
            <w:r/>
          </w:p>
        </w:tc>
        <w:tc>
          <w:tcPr>
            <w:tcBorders>
              <w:top w:val="single" w:color="000000" w:sz="4" w:space="0"/>
              <w:left w:val="single" w:color="000000" w:sz="4" w:space="0"/>
              <w:bottom w:val="single" w:color="000000" w:sz="4" w:space="0"/>
              <w:right w:val="single" w:color="000000" w:sz="4" w:space="0"/>
            </w:tcBorders>
            <w:tcW w:w="143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90"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90"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其它接口</w:t>
            </w:r>
            <w:r/>
          </w:p>
        </w:tc>
      </w:tr>
    </w:tbl>
    <w:p>
      <w:pPr>
        <w:spacing w:line="360" w:lineRule="auto"/>
        <w:rPr>
          <w:rFonts w:ascii="等线" w:hAnsi="等线" w:eastAsia="等线"/>
          <w:szCs w:val="22"/>
        </w:rPr>
      </w:pPr>
      <w:r>
        <w:rPr>
          <w:rFonts w:ascii="等线" w:hAnsi="等线" w:eastAsia="等线"/>
          <w:szCs w:val="22"/>
        </w:rPr>
      </w:r>
      <w:r/>
    </w:p>
    <w:p>
      <w:pPr>
        <w:numPr>
          <w:ilvl w:val="0"/>
          <w:numId w:val="7"/>
        </w:numPr>
        <w:ind w:left="0"/>
        <w:keepLines/>
        <w:keepNext/>
        <w:spacing w:line="360" w:lineRule="auto"/>
        <w:rPr>
          <w:rFonts w:ascii="等线" w:hAnsi="等线"/>
          <w:b/>
          <w:bCs/>
          <w:sz w:val="32"/>
          <w:szCs w:val="44"/>
        </w:rPr>
        <w:outlineLvl w:val="0"/>
      </w:pPr>
      <w:r>
        <w:rPr>
          <w:rFonts w:hint="eastAsia" w:ascii="等线" w:hAnsi="等线"/>
          <w:b/>
          <w:bCs/>
          <w:sz w:val="32"/>
          <w:szCs w:val="44"/>
        </w:rPr>
        <w:t xml:space="preserve">技术参数</w:t>
      </w:r>
      <w:r/>
    </w:p>
    <w:p>
      <w:pPr>
        <w:numPr>
          <w:ilvl w:val="1"/>
          <w:numId w:val="7"/>
        </w:numPr>
        <w:ind w:left="0"/>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医院信息集成平台</w:t>
      </w:r>
      <w:r/>
    </w:p>
    <w:p>
      <w:pPr>
        <w:numPr>
          <w:ilvl w:val="2"/>
          <w:numId w:val="7"/>
        </w:numPr>
        <w:ind w:left="0"/>
        <w:keepLines/>
        <w:keepNext/>
        <w:spacing w:line="360" w:lineRule="auto"/>
        <w:rPr>
          <w:rFonts w:ascii="等线" w:hAnsi="等线"/>
          <w:b/>
          <w:bCs/>
          <w:sz w:val="30"/>
          <w:szCs w:val="32"/>
        </w:rPr>
        <w:outlineLvl w:val="2"/>
      </w:pPr>
      <w:r>
        <w:rPr>
          <w:rFonts w:ascii="等线" w:hAnsi="等线"/>
          <w:b/>
          <w:bCs/>
          <w:sz w:val="30"/>
          <w:szCs w:val="32"/>
        </w:rPr>
        <w:t xml:space="preserve">标准体系建设</w:t>
      </w:r>
      <w:r>
        <w:rPr>
          <w:rFonts w:hint="eastAsia" w:ascii="等线" w:hAnsi="等线"/>
          <w:b/>
          <w:bCs/>
          <w:sz w:val="30"/>
          <w:szCs w:val="32"/>
        </w:rPr>
        <w:t xml:space="preserve">（基础平台）</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基础平台</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基础门户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需提供统一的基于B/S的Web版医院应用门户平台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需提供基于Web的界面集成功能，支持首页样式切换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需提供基于第三方业务系统集成页面</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组织管理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需提供机构注册管理功能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需提供部门注册管理功能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需提供人员注册管理功能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需提供用户分组管理功能，支持管理分组，分配用户的分组</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权限管理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需提供基于角色的动态应用菜单功能及权限管理功能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需支持基于角色的系统权限分级分配管理功能，上级角色能够自由分配下级角色自身拥有权限的菜单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需提供基于角色的用户分配功能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需提供系统产品配置功能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需提供基于产品的功能配置、插件配置功能</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选项配置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需提供选项配置功能，包含系统、全局、用户等选项</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系统配置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需提供门户参数配置、参数限定配置功能</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数据源管理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支持对平台内部数据库和外部业务系统数据库的统一管理使用，提供数据源目录维护和数据源维护；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支持根据应用系统中使用到的数据库来划分数据源连接池。可以设置每个连接池初始化连接数、最大连接数、获取连接最大等待时间、断线重连次数等。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支持连接池监控，对应用系统中运行连接池状态的监控。针对连接池提供不同时间段的概览信息监控、连接监控、SQL监控。监控的同时还能实时变更连接池的参数配置，做到连接池的性能调优。</w:t>
      </w:r>
      <w:bookmarkStart w:id="186" w:name="______9"/>
      <w:r/>
      <w:bookmarkEnd w:id="186"/>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主数据管理</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标准字典管理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需提供标准字典的查看功能，可查看任意字典及字典属性、明细内容等信息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需提供平台标准字典的新增、编辑、删除等功能，字典包含的国标G</w:t>
      </w:r>
      <w:r>
        <w:rPr>
          <w:rFonts w:ascii="宋体" w:hAnsi="宋体" w:cs="宋体"/>
          <w:sz w:val="24"/>
          <w:szCs w:val="22"/>
        </w:rPr>
        <w:t xml:space="preserve">B</w:t>
      </w:r>
      <w:r>
        <w:rPr>
          <w:rFonts w:hint="eastAsia" w:ascii="宋体" w:hAnsi="宋体" w:cs="宋体"/>
          <w:sz w:val="24"/>
          <w:szCs w:val="22"/>
        </w:rPr>
        <w:t xml:space="preserve">、行标C</w:t>
      </w:r>
      <w:r>
        <w:rPr>
          <w:rFonts w:ascii="宋体" w:hAnsi="宋体" w:cs="宋体"/>
          <w:sz w:val="24"/>
          <w:szCs w:val="22"/>
        </w:rPr>
        <w:t xml:space="preserve">V</w:t>
      </w:r>
      <w:r>
        <w:rPr>
          <w:rFonts w:hint="eastAsia" w:ascii="宋体" w:hAnsi="宋体" w:cs="宋体"/>
          <w:sz w:val="24"/>
          <w:szCs w:val="22"/>
        </w:rPr>
        <w:t xml:space="preserve">、枚举字典、系统字典等，字典属性包含字典分类、字典版本、是否审核、是否启用、OID编码等属性，可设置字典的默认版本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需提供标准字典导入、导出的功能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需提供标准字典的提交审核，查看字典审核记录的功能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需提供标准字典的审核功能，包含审核通过和审核不通过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需提供标准字典的发布功能，基于集成平台服务集成功能实现主数据系统中字典明细变更及字典映射关系变更的发布功能，支持实时发布模式</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业务字典管理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需提供业务字典的查看功能，可查看任意字典及字典属性、明细内容等信息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需提供各个机构下，业务系统字典的新增、编辑、删除等功能，字典包含的国标G</w:t>
      </w:r>
      <w:r>
        <w:rPr>
          <w:rFonts w:ascii="宋体" w:hAnsi="宋体" w:cs="宋体"/>
          <w:sz w:val="24"/>
          <w:szCs w:val="22"/>
        </w:rPr>
        <w:t xml:space="preserve">B</w:t>
      </w:r>
      <w:r>
        <w:rPr>
          <w:rFonts w:hint="eastAsia" w:ascii="宋体" w:hAnsi="宋体" w:cs="宋体"/>
          <w:sz w:val="24"/>
          <w:szCs w:val="22"/>
        </w:rPr>
        <w:t xml:space="preserve">、行标C</w:t>
      </w:r>
      <w:r>
        <w:rPr>
          <w:rFonts w:ascii="宋体" w:hAnsi="宋体" w:cs="宋体"/>
          <w:sz w:val="24"/>
          <w:szCs w:val="22"/>
        </w:rPr>
        <w:t xml:space="preserve">V</w:t>
      </w:r>
      <w:r>
        <w:rPr>
          <w:rFonts w:hint="eastAsia" w:ascii="宋体" w:hAnsi="宋体" w:cs="宋体"/>
          <w:sz w:val="24"/>
          <w:szCs w:val="22"/>
        </w:rPr>
        <w:t xml:space="preserve">、枚举字典、系统字典等，字典属性包含字典分类、字典版本、是否审核、是否启用、OID编码等属性，可设置字典的默认版本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需提供业务字典导入、导出的功能，提供字典项的导入功能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需提供业务字典的提交审核，查看字典审核记录的功能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提供业务字典的审核功能，包含审核通过和审核不通过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需提供业务字典的发布功能，基于集成平台服务集成功能实现主数据系统中字典明细变更的发布功能，并支持实时发布模式</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字典数据管理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字典对照映射配置功能，包含标准字典与标准字典的对照映射、标准字典与业务字典的对照映射、业务字典与业务字典的对照映射，支持字典编码精确匹配、编码进位匹配、名称精确匹配、名称模糊匹配和手工映射匹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需提供标准字典、业务字典导入的预配置功能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需提供字典版本管理功能，支持新增、修改、删除版本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需提供直观的界面查看每个消息模型需要对照的字典，对照完成状态，防止遗漏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需提供基于机构、业务系统的字典来源配置，支持配置字典是否需要对照</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主数据服务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需提供字典下载、字典发布、字典更新、字典查询、字典注册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需提供字典翻转服务</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患者主索引管理</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主索引管理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需提供基于P</w:t>
      </w:r>
      <w:r>
        <w:rPr>
          <w:rFonts w:ascii="宋体" w:hAnsi="宋体" w:cs="宋体"/>
          <w:sz w:val="24"/>
          <w:szCs w:val="22"/>
        </w:rPr>
        <w:t xml:space="preserve">IX</w:t>
      </w:r>
      <w:r>
        <w:rPr>
          <w:rFonts w:hint="eastAsia" w:ascii="宋体" w:hAnsi="宋体" w:cs="宋体"/>
          <w:sz w:val="24"/>
          <w:szCs w:val="22"/>
        </w:rPr>
        <w:t xml:space="preserve">交叉索引管理机制的患者主索引管理功能，可以查看交叉索引记录功能；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需提供患者信息查看功能，包含基本信息、卡信息、证件、地址、其他联系方式、联系人、系统信息等；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需提供主索引合并功能，在主索引</w:t>
      </w:r>
      <w:r>
        <w:rPr>
          <w:rFonts w:ascii="宋体" w:hAnsi="宋体" w:cs="宋体"/>
          <w:sz w:val="24"/>
          <w:szCs w:val="22"/>
        </w:rPr>
        <w:t xml:space="preserve">注册时通过模糊匹配产生的潜在重复</w:t>
      </w:r>
      <w:r>
        <w:rPr>
          <w:rFonts w:hint="eastAsia" w:ascii="宋体" w:hAnsi="宋体" w:cs="宋体"/>
          <w:sz w:val="24"/>
          <w:szCs w:val="22"/>
        </w:rPr>
        <w:t xml:space="preserve">、疑似</w:t>
      </w:r>
      <w:r>
        <w:rPr>
          <w:rFonts w:ascii="宋体" w:hAnsi="宋体" w:cs="宋体"/>
          <w:sz w:val="24"/>
          <w:szCs w:val="22"/>
        </w:rPr>
        <w:t xml:space="preserve">记录，在</w:t>
      </w:r>
      <w:r>
        <w:rPr>
          <w:rFonts w:hint="eastAsia" w:ascii="宋体" w:hAnsi="宋体" w:cs="宋体"/>
          <w:sz w:val="24"/>
          <w:szCs w:val="22"/>
        </w:rPr>
        <w:t xml:space="preserve">管理</w:t>
      </w:r>
      <w:r>
        <w:rPr>
          <w:rFonts w:ascii="宋体" w:hAnsi="宋体" w:cs="宋体"/>
          <w:sz w:val="24"/>
          <w:szCs w:val="22"/>
        </w:rPr>
        <w:t xml:space="preserve">页面</w:t>
      </w:r>
      <w:r>
        <w:rPr>
          <w:rFonts w:hint="eastAsia" w:ascii="宋体" w:hAnsi="宋体" w:cs="宋体"/>
          <w:sz w:val="24"/>
          <w:szCs w:val="22"/>
        </w:rPr>
        <w:t xml:space="preserve">可</w:t>
      </w:r>
      <w:r>
        <w:rPr>
          <w:rFonts w:ascii="宋体" w:hAnsi="宋体" w:cs="宋体"/>
          <w:sz w:val="24"/>
          <w:szCs w:val="22"/>
        </w:rPr>
        <w:t xml:space="preserve">进行</w:t>
      </w:r>
      <w:r>
        <w:rPr>
          <w:rFonts w:hint="eastAsia" w:ascii="宋体" w:hAnsi="宋体" w:cs="宋体"/>
          <w:sz w:val="24"/>
          <w:szCs w:val="22"/>
        </w:rPr>
        <w:t xml:space="preserve">人工合并；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需提供交叉索引拆分功能：提供患者主索引人工拆分功能，以应对合并错误等情况；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需提供患者轨迹查看功能，支持查看主索引的字段的变更轨迹；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需提供查看疑似主索引功能，系统根据分值权重匹配规则针对处于匹配基值域疑似基值之间的患者数据进行查看管理；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需提供疑似主索引合并和全部合并功能，支持人工合并疑似主索引；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需提供解除疑似主索引功能，支持人工解除疑似主索引；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主索引的统计分析功能，包括主索引总量、原始注册档案数、合并记录、疑似主索引、主索引合并率，以及主索引的操作趋势图，包含查询、注册、更新、合并、拆分等；针对多机构模式，提供原始档案来源统计模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需提供对儿童和成人的主索引匹配权重规则设置功能，并包含匹配基值域疑似基值的设置；根据权重分值规则配置系统能自动匹配患者主索引；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需提供匹配字段新增、编辑、删除功能，支持对字段的匹配分值、不匹配分值、无效数据处理方式、校验规则等属性进行配置，支持恢复默认值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需提供权重配置的启停功能，支持启用或停用成人儿童的权重配置，但必须启动一个；</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需提供第三方业务系统嵌入疑似主索引的功能，支持查看、合并疑似主索引，支持查看患者的基本信息；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需提供主索引日志查询功能，包含请求日志、变更日志、错误日志等记录，可查看具体的操作详情；</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试采集配置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需提供试采集功能，可选择起止时间进行试采集；试采集管理支持匹配字段新增、编辑、删除功能，支持对字段的匹配分值、不匹配分值、无效数据处理方式、校验规则等属性进行配置，支持恢复默认值；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需提供试采集权重配置的启停功能，支持启用或停用成人儿童的权重配置，但必须启动一个；</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提供试采集报告生成功能：完成试采集后，可生成试采集报告；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需提供试采集报告的原始档案数、规范数据量、患者主索引、患者合并、疑似主索引的查看功能；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需提供数据分析功能：支持对试采集报告的规范数据量模块进行数据分析，包括新增字段、新增校验规则等；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需提供同步校验规则功能：支持将试采集的权重规则同步到正式环境的分值权重配置中；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需提供历史报告查看功能，支持查看历史的试采集分析报告；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试采集报告分析功能：支持查看成人和儿童的最近五次的试采集分析报告，包含历史对比分析、字段数据分析趋势图、成人儿童权重配置、原始档案数、规范数据量、患者主索引、患者合并、疑似主索引等数据；</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系统配置管理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需提供主索引字典配置功能，支持同步主数据管理中所使用的字典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需提供系统配置功能，支持正式环境配置、试采集配置、系统参数配置等，包含成人儿童判断年龄、是否校验患者姓名为空、自动合并主索引保留MPID规则、分值权重字段、试采集预警数量、校验规则等参数配置</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主索引服务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需提供主索引注册、查询、更新、合并以及注销数据服务，在业务系统新增或更新一个患者的索引信息后，通过主索引数据服务同步到主索引系统；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需提供基于患者主索引</w:t>
      </w:r>
      <w:r>
        <w:rPr>
          <w:rFonts w:ascii="宋体" w:hAnsi="宋体" w:cs="宋体"/>
          <w:sz w:val="24"/>
          <w:szCs w:val="22"/>
        </w:rPr>
        <w:t xml:space="preserve">MPIID</w:t>
      </w:r>
      <w:r>
        <w:rPr>
          <w:rFonts w:hint="eastAsia" w:ascii="宋体" w:hAnsi="宋体" w:cs="宋体"/>
          <w:sz w:val="24"/>
          <w:szCs w:val="22"/>
        </w:rPr>
        <w:t xml:space="preserve">及业务系统PID查询服务；</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统一用户认证与单点登录</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单点登录管理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需提供用户的日志查询功能；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需提供客户秘钥和权限的管理功能；</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认证权限管理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需提供第三方用户和平台用户的映射功能；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需提供第三方角色和平台角色的映射功能；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需提供第三方用户、角色的注册管理功能；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需提供第三方角色的菜单配置功能，支持配置平台的菜单，也支持配置角色菜单管理页面新增的菜单；</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身份认证服务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需提供统一身份认证及授权服务，经过一次身份认证即可访问不同的异构系统；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需支持通过反向代理和PLUG-IN两种方式实现单点登录功能的能力；</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需支持多种身份认证方式，例如：用户名和密码、CA认证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需提供身份认证接口服务包，支持业务系统可以直接嵌入实现单点登录身份认证；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需支持B/S和C/S架构系统的单点登录集成；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需支持用户登录有效期控制功能，在超过登录有效期之后需要重新做身份认证；</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平台消息中心</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个人消息中心</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需提供基于消息模板的订阅功能，支持设置模板的静默起止时间；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需提供基于消息模板的收件箱、发件箱功能；</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消息推送管理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需提供公告发送功能，支持系统内通讯；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需提供基于消息模板的站内通讯功能，用于系统内通讯，支持发送附件；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需提供系统用户间的邮件发送功能，支持发送附件；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需提供系统用户的短信发送功能；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需提供基于消息模板的的微信小程序、微信公众号发送功能，支持对系统用户和微信公众号、小程序的订阅用户发送信息；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需提供基于消息模板的的钉钉应用程序发送功能，支持对系统用户和钉钉用户发送信息；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需提供消息模板维护功能；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需提供短信和邮件的代理维护功能；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需提供机构下的微信公众号、微信小程序、钉钉的维护管理功能；</w:t>
      </w:r>
      <w:r/>
    </w:p>
    <w:p>
      <w:pPr>
        <w:numPr>
          <w:ilvl w:val="2"/>
          <w:numId w:val="7"/>
        </w:numPr>
        <w:ind w:left="0"/>
        <w:keepLines/>
        <w:keepNext/>
        <w:spacing w:line="360" w:lineRule="auto"/>
        <w:rPr>
          <w:rFonts w:ascii="等线" w:hAnsi="等线"/>
          <w:b/>
          <w:bCs/>
          <w:sz w:val="30"/>
          <w:szCs w:val="32"/>
        </w:rPr>
        <w:outlineLvl w:val="2"/>
      </w:pPr>
      <w:r>
        <w:rPr>
          <w:rFonts w:hint="eastAsia" w:ascii="等线" w:hAnsi="等线"/>
          <w:b/>
          <w:bCs/>
          <w:sz w:val="30"/>
          <w:szCs w:val="32"/>
        </w:rPr>
        <w:t xml:space="preserve">医院集成服务</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数据服务总线</w:t>
      </w:r>
      <w:r>
        <w:rPr>
          <w:rFonts w:ascii="等线 Light" w:hAnsi="等线 Light"/>
          <w:b/>
          <w:bCs/>
          <w:sz w:val="30"/>
          <w:szCs w:val="28"/>
        </w:rPr>
        <w:t xml:space="preserve">(ESB)</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遵循SOA设计原则和技术标准，构建标准的企业服务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总线平台，采用松耦合、分布式模式将业务、应用和数据逻辑等实现分离管理；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能提供统一的数据交互开发运行环境，支持创建、扩展图形化数据转换业务流程建模，能提供基于XML表示方式，可同时进行图形化和基于代码或文档的开发工作，为服务提供远程调用支持。提供服务注册、卸载和更新、发布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需能提供创建定制适配器、消息、业务服务、业务操作和业务流程以及数据转换的向导；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需支持应用系统之间各功能服务和接口的调用权限管理，提供应用节点与应用节点之间，应用节点到接口服务之间的权限控制，以保证数据交换的合法性；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需支持WebService、socket、MQ、http、R</w:t>
      </w:r>
      <w:r>
        <w:rPr>
          <w:rFonts w:ascii="宋体" w:hAnsi="宋体" w:cs="宋体"/>
          <w:sz w:val="24"/>
          <w:szCs w:val="22"/>
        </w:rPr>
        <w:t xml:space="preserve">PC、</w:t>
      </w:r>
      <w:r>
        <w:rPr>
          <w:rFonts w:hint="eastAsia" w:ascii="宋体" w:hAnsi="宋体" w:cs="宋体"/>
          <w:sz w:val="24"/>
          <w:szCs w:val="22"/>
        </w:rPr>
        <w:t xml:space="preserve">https多种协议的接入和输出；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需提供基于消息队列的数据发布/订阅服务异步模式</w:t>
      </w:r>
      <w:r>
        <w:rPr>
          <w:rFonts w:ascii="宋体" w:hAnsi="宋体" w:cs="宋体"/>
          <w:sz w:val="24"/>
          <w:szCs w:val="22"/>
        </w:rPr>
        <w:t xml:space="preserve">;</w:t>
      </w:r>
      <w:r>
        <w:rPr>
          <w:rFonts w:hint="eastAsia" w:ascii="宋体" w:hAnsi="宋体" w:cs="宋体"/>
          <w:sz w:val="24"/>
          <w:szCs w:val="22"/>
        </w:rPr>
        <w:t xml:space="preserve">基于请求响应的同步模式提供基于多路由的消息队列选择和传输；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需满足平台数据交互高并发、大数据量、实时性高等需求，保持高性能运行；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可提供基于业务流程的流程配置服务，定制化服务配置。并可提供远程调用服务和分布式服务调用，并实现负载均衡，故障转移等基本功能；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支持任意消息传输环节的监控和审核，对于数据传输状况有较灵活的反馈服务，具有重传</w:t>
      </w:r>
      <w:r>
        <w:rPr>
          <w:rFonts w:ascii="宋体" w:hAnsi="宋体" w:cs="宋体"/>
          <w:sz w:val="24"/>
          <w:szCs w:val="22"/>
        </w:rPr>
        <w:t xml:space="preserve">、</w:t>
      </w:r>
      <w:r>
        <w:rPr>
          <w:rFonts w:hint="eastAsia" w:ascii="宋体" w:hAnsi="宋体" w:cs="宋体"/>
          <w:sz w:val="24"/>
          <w:szCs w:val="22"/>
        </w:rPr>
        <w:t xml:space="preserve">转发等功能；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支持应用节点和接口服务的统一配置管理，监控平台应能对各接口调用历史进行负载和响应时间分析，以便通过集成平台来一步优化性能。 集成平台配置管理系统应能支持数据协议和公用代码标准化管理；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支持灰度发布功能，可以便捷的切换正式环境和测试环境，同时设置测试环境的流量分布，实现集成平台服务的平滑升级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数据库终端工具：提供数据库终端工具组件，支持消息直接写入或者更新到任意的数据库，并提供数据库事务管理功能。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提供消息日志NoSQL非关系型存储，实现消息的快速检索。支持字段级精确搜索以及全文模糊搜索。</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数据集成</w:t>
      </w:r>
      <w:r/>
    </w:p>
    <w:p>
      <w:pPr>
        <w:numPr>
          <w:ilvl w:val="4"/>
          <w:numId w:val="7"/>
        </w:numPr>
        <w:ind w:left="0" w:firstLine="0"/>
        <w:keepLines/>
        <w:keepNext/>
        <w:spacing w:line="360" w:lineRule="auto"/>
        <w:rPr>
          <w:rFonts w:ascii="等线" w:hAnsi="等线"/>
          <w:b/>
          <w:bCs/>
          <w:sz w:val="30"/>
          <w:szCs w:val="28"/>
        </w:rPr>
        <w:outlineLvl w:val="4"/>
      </w:pPr>
      <w:r>
        <w:rPr>
          <w:rFonts w:ascii="等线" w:hAnsi="等线"/>
          <w:b/>
          <w:bCs/>
          <w:sz w:val="30"/>
          <w:szCs w:val="28"/>
        </w:rPr>
        <w:t xml:space="preserve">数据模型管理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界面化操作可自动创建表及自定义字段；</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模型段落与表，模型节点与字段建立对应关系；</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表与表直接关系可结构化查看。</w:t>
      </w:r>
      <w:r/>
    </w:p>
    <w:p>
      <w:pPr>
        <w:numPr>
          <w:ilvl w:val="4"/>
          <w:numId w:val="7"/>
        </w:numPr>
        <w:ind w:left="0" w:firstLine="0"/>
        <w:keepLines/>
        <w:keepNext/>
        <w:spacing w:line="360" w:lineRule="auto"/>
        <w:rPr>
          <w:rFonts w:ascii="等线" w:hAnsi="等线"/>
          <w:b/>
          <w:bCs/>
          <w:sz w:val="30"/>
          <w:szCs w:val="28"/>
        </w:rPr>
        <w:outlineLvl w:val="4"/>
      </w:pPr>
      <w:r>
        <w:rPr>
          <w:rFonts w:ascii="等线" w:hAnsi="等线"/>
          <w:b/>
          <w:bCs/>
          <w:sz w:val="30"/>
          <w:szCs w:val="28"/>
        </w:rPr>
        <w:t xml:space="preserve">数据采集管理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支持多种数据库类型的数据源采集配置；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支持与医院HIS、EMR等系统数据采集的接口配置功能；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提供基于ETL的抽取、转换、翻转、清洗等操作采集脚本；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支持基于数据日志采集、接口采集、触发器采集等多种数据采集方式；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支持SQL语句采集、存储过程采集、文档附件采集、FTP文件采集；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可根据数据集内容分组建立多个数据采集模型模式。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支持增量数据采集，自动采集同步新产生的数据；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支持不同数据设置不同频率、不同时段、不同采集接口、不同adapter接口；</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采集配置监控一体化，是对数据的采集过程进行监控，对数据采集成功、失败明细情况的监控，并生成数据采集日志，可根据日志跟踪解决数据采集错误，对失败的数据采用错误处理机制。</w:t>
      </w:r>
      <w:r/>
    </w:p>
    <w:p>
      <w:pPr>
        <w:numPr>
          <w:ilvl w:val="4"/>
          <w:numId w:val="7"/>
        </w:numPr>
        <w:ind w:left="0" w:firstLine="0"/>
        <w:keepLines/>
        <w:keepNext/>
        <w:spacing w:line="360" w:lineRule="auto"/>
        <w:rPr>
          <w:rFonts w:ascii="等线" w:hAnsi="等线"/>
          <w:b/>
          <w:bCs/>
          <w:sz w:val="30"/>
          <w:szCs w:val="28"/>
        </w:rPr>
        <w:outlineLvl w:val="4"/>
      </w:pPr>
      <w:r>
        <w:rPr>
          <w:rFonts w:ascii="等线" w:hAnsi="等线"/>
          <w:b/>
          <w:bCs/>
          <w:sz w:val="30"/>
          <w:szCs w:val="28"/>
        </w:rPr>
        <w:t xml:space="preserve">采集调度管理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执行任务列表的展示，包括任务描述，执行策略等；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查看任务的执行状态，并能控制任务的启动、停止等；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支持修改调度采集策略，避开系统运行高峰期，避免影响医院业务系统的运行；</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调度日志详情查看，记录每条任务的调度日志和执行日志，方便进行错误排查及任务监控。</w:t>
      </w:r>
      <w:r/>
    </w:p>
    <w:p>
      <w:pPr>
        <w:numPr>
          <w:ilvl w:val="4"/>
          <w:numId w:val="7"/>
        </w:numPr>
        <w:ind w:left="0" w:firstLine="0"/>
        <w:keepLines/>
        <w:keepNext/>
        <w:spacing w:line="360" w:lineRule="auto"/>
        <w:rPr>
          <w:rFonts w:ascii="等线" w:hAnsi="等线"/>
          <w:b/>
          <w:bCs/>
          <w:sz w:val="30"/>
          <w:szCs w:val="28"/>
        </w:rPr>
        <w:outlineLvl w:val="4"/>
      </w:pPr>
      <w:r>
        <w:rPr>
          <w:rFonts w:ascii="等线" w:hAnsi="等线"/>
          <w:b/>
          <w:bCs/>
          <w:sz w:val="30"/>
          <w:szCs w:val="28"/>
        </w:rPr>
        <w:t xml:space="preserve">采集异常处理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对采集过程中发生的异常进行自动处理，可对不同类型的错误配置不同的处理频率，不同的错误处理策略，处理策略包括重采、重传，删除。能快速处理采集异常，减少人工操作时间。</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集成引擎</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消息引擎</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内置HL7消息模板的配置功能，支持V2、V3/CDA等；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内置医院互联互通成熟度测评要求的5</w:t>
      </w:r>
      <w:r>
        <w:rPr>
          <w:rFonts w:ascii="宋体" w:hAnsi="宋体" w:cs="宋体"/>
          <w:sz w:val="24"/>
          <w:szCs w:val="22"/>
        </w:rPr>
        <w:t xml:space="preserve">3</w:t>
      </w:r>
      <w:r>
        <w:rPr>
          <w:rFonts w:hint="eastAsia" w:ascii="宋体" w:hAnsi="宋体" w:cs="宋体"/>
          <w:sz w:val="24"/>
          <w:szCs w:val="22"/>
        </w:rPr>
        <w:t xml:space="preserve">类CDA共享文档标准；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需提供XML等自定义消息模型的配置功能；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需提供HL7与XML消息等交换协议的转换对照配置功能；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需提供HL7消息与自定义xml消息的协议转换服务组件并提供测试功能；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需提供消息模板的导入、导出和生成XML示例功能；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需提供消息模型的调用统计分析页面</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服务集群管理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需提供基于业务域的服务集群管理模式；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需提供集群模式下业务域服务节点可视化启停功能，并根据服务运行状态实时调整服务节点数量，实现水平动态扩容；</w:t>
      </w:r>
      <w:r/>
    </w:p>
    <w:p>
      <w:pPr>
        <w:numPr>
          <w:ilvl w:val="4"/>
          <w:numId w:val="7"/>
        </w:numPr>
        <w:ind w:left="0" w:firstLine="0"/>
        <w:keepLines/>
        <w:keepNext/>
        <w:spacing w:line="360" w:lineRule="auto"/>
        <w:rPr>
          <w:rFonts w:ascii="等线" w:hAnsi="等线"/>
          <w:b/>
          <w:bCs/>
          <w:sz w:val="30"/>
          <w:szCs w:val="28"/>
        </w:rPr>
        <w:outlineLvl w:val="4"/>
      </w:pPr>
      <w:r>
        <w:rPr>
          <w:rFonts w:hint="eastAsia" w:ascii="等线" w:hAnsi="等线"/>
          <w:b/>
          <w:bCs/>
          <w:sz w:val="30"/>
          <w:szCs w:val="28"/>
        </w:rPr>
        <w:t xml:space="preserve">运行监控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需提供集成平台主要模块概览监控信息</w:t>
      </w:r>
      <w:r>
        <w:rPr>
          <w:rFonts w:ascii="宋体" w:hAnsi="宋体" w:cs="宋体"/>
          <w:sz w:val="24"/>
          <w:szCs w:val="22"/>
        </w:rPr>
        <w:t xml:space="preserve">，</w:t>
      </w:r>
      <w:r>
        <w:rPr>
          <w:rFonts w:hint="eastAsia" w:ascii="宋体" w:hAnsi="宋体" w:cs="宋体"/>
          <w:sz w:val="24"/>
          <w:szCs w:val="22"/>
        </w:rPr>
        <w:t xml:space="preserve">包括概览信息</w:t>
      </w:r>
      <w:r>
        <w:rPr>
          <w:rFonts w:ascii="宋体" w:hAnsi="宋体" w:cs="宋体"/>
          <w:sz w:val="24"/>
          <w:szCs w:val="22"/>
        </w:rPr>
        <w:t xml:space="preserve">、</w:t>
      </w:r>
      <w:r>
        <w:rPr>
          <w:rFonts w:hint="eastAsia" w:ascii="宋体" w:hAnsi="宋体" w:cs="宋体"/>
          <w:sz w:val="24"/>
          <w:szCs w:val="22"/>
        </w:rPr>
        <w:t xml:space="preserve">服务调用趋势</w:t>
      </w:r>
      <w:r>
        <w:rPr>
          <w:rFonts w:ascii="宋体" w:hAnsi="宋体" w:cs="宋体"/>
          <w:sz w:val="24"/>
          <w:szCs w:val="22"/>
        </w:rPr>
        <w:t xml:space="preserve">、</w:t>
      </w:r>
      <w:r>
        <w:rPr>
          <w:rFonts w:hint="eastAsia" w:ascii="宋体" w:hAnsi="宋体" w:cs="宋体"/>
          <w:sz w:val="24"/>
          <w:szCs w:val="22"/>
        </w:rPr>
        <w:t xml:space="preserve">服务调用排名</w:t>
      </w:r>
      <w:r>
        <w:rPr>
          <w:rFonts w:ascii="宋体" w:hAnsi="宋体" w:cs="宋体"/>
          <w:sz w:val="24"/>
          <w:szCs w:val="22"/>
        </w:rPr>
        <w:t xml:space="preserve">、</w:t>
      </w:r>
      <w:r>
        <w:rPr>
          <w:rFonts w:hint="eastAsia" w:ascii="宋体" w:hAnsi="宋体" w:cs="宋体"/>
          <w:sz w:val="24"/>
          <w:szCs w:val="22"/>
        </w:rPr>
        <w:t xml:space="preserve">正式环境服务器监控</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需提供数据交换服务监控：可监控统计所有服务性能，可按照业务系统、服务节点、时间角度统计服务调用数量</w:t>
      </w:r>
      <w:r>
        <w:rPr>
          <w:rFonts w:ascii="宋体" w:hAnsi="宋体" w:cs="宋体"/>
          <w:sz w:val="24"/>
          <w:szCs w:val="22"/>
        </w:rPr>
        <w:t xml:space="preserve">、</w:t>
      </w:r>
      <w:r>
        <w:rPr>
          <w:rFonts w:hint="eastAsia" w:ascii="宋体" w:hAnsi="宋体" w:cs="宋体"/>
          <w:sz w:val="24"/>
          <w:szCs w:val="22"/>
        </w:rPr>
        <w:t xml:space="preserve">错误数</w:t>
      </w:r>
      <w:r>
        <w:rPr>
          <w:rFonts w:ascii="宋体" w:hAnsi="宋体" w:cs="宋体"/>
          <w:sz w:val="24"/>
          <w:szCs w:val="22"/>
        </w:rPr>
        <w:t xml:space="preserve">、</w:t>
      </w:r>
      <w:r>
        <w:rPr>
          <w:rFonts w:hint="eastAsia" w:ascii="宋体" w:hAnsi="宋体" w:cs="宋体"/>
          <w:sz w:val="24"/>
          <w:szCs w:val="22"/>
        </w:rPr>
        <w:t xml:space="preserve">告警数</w:t>
      </w:r>
      <w:r>
        <w:rPr>
          <w:rFonts w:ascii="宋体" w:hAnsi="宋体" w:cs="宋体"/>
          <w:sz w:val="24"/>
          <w:szCs w:val="22"/>
        </w:rPr>
        <w:t xml:space="preserve">、</w:t>
      </w:r>
      <w:r>
        <w:rPr>
          <w:rFonts w:hint="eastAsia" w:ascii="宋体" w:hAnsi="宋体" w:cs="宋体"/>
          <w:sz w:val="24"/>
          <w:szCs w:val="22"/>
        </w:rPr>
        <w:t xml:space="preserve">最大响应时间、平均响应时间，提供服务分析调优。针对异常记录，可查看服务调用日志</w:t>
      </w:r>
      <w:r>
        <w:rPr>
          <w:rFonts w:ascii="宋体" w:hAnsi="宋体" w:cs="宋体"/>
          <w:sz w:val="24"/>
          <w:szCs w:val="22"/>
        </w:rPr>
        <w:t xml:space="preserve">，</w:t>
      </w:r>
      <w:r>
        <w:rPr>
          <w:rFonts w:hint="eastAsia" w:ascii="宋体" w:hAnsi="宋体" w:cs="宋体"/>
          <w:sz w:val="24"/>
          <w:szCs w:val="22"/>
        </w:rPr>
        <w:t xml:space="preserve">追踪异常发生节点、该节点的输入输出、错误信息提示，准确掌握错误，精准修复</w:t>
      </w:r>
      <w:r>
        <w:rPr>
          <w:rFonts w:ascii="宋体" w:hAnsi="宋体" w:cs="宋体"/>
          <w:sz w:val="24"/>
          <w:szCs w:val="22"/>
        </w:rPr>
        <w:t xml:space="preserve">；</w:t>
      </w:r>
      <w:r>
        <w:rPr>
          <w:rFonts w:hint="eastAsia" w:ascii="宋体" w:hAnsi="宋体" w:cs="宋体"/>
          <w:sz w:val="24"/>
          <w:szCs w:val="22"/>
        </w:rPr>
        <w:t xml:space="preserve">也可进一步查看服务调用统计情况</w:t>
      </w:r>
      <w:r>
        <w:rPr>
          <w:rFonts w:ascii="宋体" w:hAnsi="宋体" w:cs="宋体"/>
          <w:sz w:val="24"/>
          <w:szCs w:val="22"/>
        </w:rPr>
        <w:t xml:space="preserve">，</w:t>
      </w:r>
      <w:r>
        <w:rPr>
          <w:rFonts w:hint="eastAsia" w:ascii="宋体" w:hAnsi="宋体" w:cs="宋体"/>
          <w:sz w:val="24"/>
          <w:szCs w:val="22"/>
        </w:rPr>
        <w:t xml:space="preserve">可对服务的调用方</w:t>
      </w:r>
      <w:r>
        <w:rPr>
          <w:rFonts w:ascii="宋体" w:hAnsi="宋体" w:cs="宋体"/>
          <w:sz w:val="24"/>
          <w:szCs w:val="22"/>
        </w:rPr>
        <w:t xml:space="preserve">、</w:t>
      </w:r>
      <w:r>
        <w:rPr>
          <w:rFonts w:hint="eastAsia" w:ascii="宋体" w:hAnsi="宋体" w:cs="宋体"/>
          <w:sz w:val="24"/>
          <w:szCs w:val="22"/>
        </w:rPr>
        <w:t xml:space="preserve">错误类型</w:t>
      </w:r>
      <w:r>
        <w:rPr>
          <w:rFonts w:ascii="宋体" w:hAnsi="宋体" w:cs="宋体"/>
          <w:sz w:val="24"/>
          <w:szCs w:val="22"/>
        </w:rPr>
        <w:t xml:space="preserve">、</w:t>
      </w:r>
      <w:r>
        <w:rPr>
          <w:rFonts w:hint="eastAsia" w:ascii="宋体" w:hAnsi="宋体" w:cs="宋体"/>
          <w:sz w:val="24"/>
          <w:szCs w:val="22"/>
        </w:rPr>
        <w:t xml:space="preserve">调用趋势分别进行统计</w:t>
      </w:r>
      <w:r>
        <w:rPr>
          <w:rFonts w:ascii="宋体" w:hAnsi="宋体" w:cs="宋体"/>
          <w:sz w:val="24"/>
          <w:szCs w:val="22"/>
        </w:rPr>
        <w:t xml:space="preserve">；</w:t>
      </w:r>
      <w:r>
        <w:rPr>
          <w:rFonts w:hint="eastAsia" w:ascii="宋体" w:hAnsi="宋体" w:cs="宋体"/>
          <w:sz w:val="24"/>
          <w:szCs w:val="22"/>
        </w:rPr>
        <w:t xml:space="preserve">若对服务配置了相关告警</w:t>
      </w:r>
      <w:r>
        <w:rPr>
          <w:rFonts w:ascii="宋体" w:hAnsi="宋体" w:cs="宋体"/>
          <w:sz w:val="24"/>
          <w:szCs w:val="22"/>
        </w:rPr>
        <w:t xml:space="preserve">、</w:t>
      </w:r>
      <w:r>
        <w:rPr>
          <w:rFonts w:hint="eastAsia" w:ascii="宋体" w:hAnsi="宋体" w:cs="宋体"/>
          <w:sz w:val="24"/>
          <w:szCs w:val="22"/>
        </w:rPr>
        <w:t xml:space="preserve">校验规则</w:t>
      </w:r>
      <w:r>
        <w:rPr>
          <w:rFonts w:ascii="宋体" w:hAnsi="宋体" w:cs="宋体"/>
          <w:sz w:val="24"/>
          <w:szCs w:val="22"/>
        </w:rPr>
        <w:t xml:space="preserve">，</w:t>
      </w:r>
      <w:r>
        <w:rPr>
          <w:rFonts w:hint="eastAsia" w:ascii="宋体" w:hAnsi="宋体" w:cs="宋体"/>
          <w:sz w:val="24"/>
          <w:szCs w:val="22"/>
        </w:rPr>
        <w:t xml:space="preserve">则可查看告警日志和校验分析统计。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可统计监控平台接入层的调用次数，接入点名称，访问IP，总体相应时间，调用时间分布等信息。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提供集成平台服务调用出入量统计分析，包含出量、入量、错误量、成功量等时间维度统计分析</w:t>
      </w:r>
      <w:r>
        <w:rPr>
          <w:rFonts w:ascii="宋体" w:hAnsi="宋体" w:cs="宋体"/>
          <w:sz w:val="24"/>
          <w:szCs w:val="22"/>
        </w:rPr>
        <w:t xml:space="preserve">，</w:t>
      </w:r>
      <w:r>
        <w:rPr>
          <w:rFonts w:hint="eastAsia" w:ascii="宋体" w:hAnsi="宋体" w:cs="宋体"/>
          <w:sz w:val="24"/>
          <w:szCs w:val="22"/>
        </w:rPr>
        <w:t xml:space="preserve">还包含调用方</w:t>
      </w:r>
      <w:r>
        <w:rPr>
          <w:rFonts w:ascii="宋体" w:hAnsi="宋体" w:cs="宋体"/>
          <w:sz w:val="24"/>
          <w:szCs w:val="22"/>
        </w:rPr>
        <w:t xml:space="preserve">、</w:t>
      </w:r>
      <w:r>
        <w:rPr>
          <w:rFonts w:hint="eastAsia" w:ascii="宋体" w:hAnsi="宋体" w:cs="宋体"/>
          <w:sz w:val="24"/>
          <w:szCs w:val="22"/>
        </w:rPr>
        <w:t xml:space="preserve">被调用方的情况展示。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需提供集成在</w:t>
      </w:r>
      <w:r>
        <w:rPr>
          <w:rFonts w:ascii="宋体" w:hAnsi="宋体" w:cs="宋体"/>
          <w:sz w:val="24"/>
          <w:szCs w:val="22"/>
        </w:rPr>
        <w:t xml:space="preserve">ESB</w:t>
      </w:r>
      <w:r>
        <w:rPr>
          <w:rFonts w:hint="eastAsia" w:ascii="宋体" w:hAnsi="宋体" w:cs="宋体"/>
          <w:sz w:val="24"/>
          <w:szCs w:val="22"/>
        </w:rPr>
        <w:t xml:space="preserve">上的服务整体调用情况</w:t>
      </w:r>
      <w:r>
        <w:rPr>
          <w:rFonts w:ascii="宋体" w:hAnsi="宋体" w:cs="宋体"/>
          <w:sz w:val="24"/>
          <w:szCs w:val="22"/>
        </w:rPr>
        <w:t xml:space="preserve">，</w:t>
      </w:r>
      <w:r>
        <w:rPr>
          <w:rFonts w:hint="eastAsia" w:ascii="宋体" w:hAnsi="宋体" w:cs="宋体"/>
          <w:sz w:val="24"/>
          <w:szCs w:val="22"/>
        </w:rPr>
        <w:t xml:space="preserve">可从机构</w:t>
      </w:r>
      <w:r>
        <w:rPr>
          <w:rFonts w:ascii="宋体" w:hAnsi="宋体" w:cs="宋体"/>
          <w:sz w:val="24"/>
          <w:szCs w:val="22"/>
        </w:rPr>
        <w:t xml:space="preserve">-</w:t>
      </w:r>
      <w:r>
        <w:rPr>
          <w:rFonts w:hint="eastAsia" w:ascii="宋体" w:hAnsi="宋体" w:cs="宋体"/>
          <w:sz w:val="24"/>
          <w:szCs w:val="22"/>
        </w:rPr>
        <w:t xml:space="preserve">厂商</w:t>
      </w:r>
      <w:r>
        <w:rPr>
          <w:rFonts w:ascii="宋体" w:hAnsi="宋体" w:cs="宋体"/>
          <w:sz w:val="24"/>
          <w:szCs w:val="22"/>
        </w:rPr>
        <w:t xml:space="preserve">-</w:t>
      </w:r>
      <w:r>
        <w:rPr>
          <w:rFonts w:hint="eastAsia" w:ascii="宋体" w:hAnsi="宋体" w:cs="宋体"/>
          <w:sz w:val="24"/>
          <w:szCs w:val="22"/>
        </w:rPr>
        <w:t xml:space="preserve">业务系统的角度查看某机构提供和调用的具体服务流程列表</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服务集群监控：支持对服务器集群监控和查询，监控服务器CPU、内存使用率、JVM监控、事件异常等信息，并按事件类型一般、警告、错误类型汇总。可以时间-指标的方式形成趋势图参看历史数据，以饼图的形式查看瞬时数据。对事件监控支持查看时间、类型、节点信息。并提供调优工具等；可满足多服务器之间的负载均衡分配和性能调优。</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平台服务中心</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通过信息平台服务总线，提供业务交互服务组件，实现院内基于平台的临床管理类系统、医疗管理类系统、运营管理类系统、患者服务类系统的整合。</w:t>
      </w:r>
      <w:r/>
    </w:p>
    <w:p>
      <w:pPr>
        <w:numPr>
          <w:ilvl w:val="3"/>
          <w:numId w:val="7"/>
        </w:numPr>
        <w:ind w:left="0"/>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外部机构对接</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外部机构整合</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需提供（包括但不限于）：银行、医保及新农合、保险、计生、急救中心、CDC（疾控中心）、血液中心等外部机构的接入标准。</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配置管理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需提供业务服务的相关参数配置和服务权限控制；</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系统接口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需提供业务系统接口开发文档，指导配合相关系统进行改造和联调。</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临床</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临床（</w:t>
      </w:r>
      <w:r>
        <w:rPr>
          <w:rFonts w:ascii="等线" w:hAnsi="等线"/>
          <w:b/>
          <w:bCs/>
          <w:sz w:val="30"/>
          <w:szCs w:val="28"/>
        </w:rPr>
        <w:t xml:space="preserve">CDR)</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数据存储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需参考、依据电子病历基本数据集进行建设，数据采集时需要经过多层的过滤和标准化处理，保证数据准确一致；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建立临床信息数据库，遵循国家卫计委《WS 445-2014 电子病历基本数据集》，至少包含标准要求的16类58个数据子集的内容；支持自定义扩展数据集；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需支持非结构化数据的存储，如图片、pdf、html、word等;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提供可视化存储结构模型关系功能；</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数据服务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需提供CDR文档数据的注册、更新服务；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需提供CDR数据的查询、调阅服务；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运营（</w:t>
      </w:r>
      <w:r>
        <w:rPr>
          <w:rFonts w:ascii="等线 Light" w:hAnsi="等线 Light"/>
          <w:b/>
          <w:bCs/>
          <w:sz w:val="30"/>
          <w:szCs w:val="28"/>
        </w:rPr>
        <w:t xml:space="preserve">ODR</w:t>
      </w:r>
      <w:r>
        <w:rPr>
          <w:rFonts w:ascii="等线 Light" w:hAnsi="等线 Light"/>
          <w:b/>
          <w:bCs/>
          <w:sz w:val="30"/>
          <w:szCs w:val="28"/>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可针对医院关注对象建立指标，指标建立支持指标公式利用加、减、乘、除等算法计算合成指标，并可以设置指标数据长度和数据类型，添加指标说明，说明链接。支持指标建立、修改、删除基本功能；并可按照业务对指标建立多个目录，具备目录增删改基本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需提供统一的指标数据仓库（</w:t>
      </w:r>
      <w:r>
        <w:rPr>
          <w:rFonts w:ascii="宋体" w:hAnsi="宋体" w:cs="宋体"/>
          <w:sz w:val="24"/>
          <w:szCs w:val="22"/>
        </w:rPr>
        <w:t xml:space="preserve">ST）；</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需提供支撑指标统计数据的明细数据仓库（</w:t>
      </w:r>
      <w:r>
        <w:rPr>
          <w:rFonts w:ascii="宋体" w:hAnsi="宋体" w:cs="宋体"/>
          <w:sz w:val="24"/>
          <w:szCs w:val="22"/>
        </w:rPr>
        <w:t xml:space="preserve">DW）；</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需提供指标数据的定时采集参数配置功能，支持批量配置，功能包括：数据源配置、采集模型配置、采集调度管理、错误日志查看等。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需提供指标数据的存储、获取服务；用于支撑基于指标仓库的综合分析系统；</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数据治理服务</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数据质量管理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需提供临床数据质量分析报告以及稽核规则分别情况，包含一致性、完整性、规范性、及时性、准确性、唯一性、整合性分析；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需提供包含临床的数据质量概览报告，同时展现数据质量系统的运行天数、规则总数、启用规则数、涉及数据模块、涉及业务系统数；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需提供从一致性、完整性、整合性、及时性质量管理角度的规则管理，内置基于临床的规则条款；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需提供数据质控规则类别、规则管理，支持可视化S</w:t>
      </w:r>
      <w:r>
        <w:rPr>
          <w:rFonts w:ascii="宋体" w:hAnsi="宋体" w:cs="宋体"/>
          <w:sz w:val="24"/>
          <w:szCs w:val="22"/>
        </w:rPr>
        <w:t xml:space="preserve">QL</w:t>
      </w:r>
      <w:r>
        <w:rPr>
          <w:rFonts w:hint="eastAsia" w:ascii="宋体" w:hAnsi="宋体" w:cs="宋体"/>
          <w:sz w:val="24"/>
          <w:szCs w:val="22"/>
        </w:rPr>
        <w:t xml:space="preserve">配置规则数据来源、数据算法；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需提供针对不同的机构实现质控方案制定，并可配置质控执行计划以及执行任务日志。</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数据资产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需提供医院信息平台系统模块、系统服务器、数据采集任务数、集成引擎交互流程数、注册服务数的展示；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提供医院信息平台数据标准的资产展现；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需提供注册在医院信息平台的厂商数、业务系统数、不同数据库类型数以及信息平台数据库数据量分布情况、各数据库的数据库增长趋势图、数据库空间占比、数据库表数据量和电子病历文档库的存储情况；</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患者全息视图</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电子病历浏览</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需提供患者列表</w:t>
      </w:r>
      <w:r>
        <w:rPr>
          <w:rFonts w:ascii="宋体" w:hAnsi="宋体" w:cs="宋体"/>
          <w:sz w:val="24"/>
          <w:szCs w:val="22"/>
        </w:rPr>
        <w:t xml:space="preserve">，可通过患者基本身份信息，就诊信息，建档时间段进行患者的查找，并可对患者进行重点关注，查看患者共享文档、视图、用药清单；</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概览视图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需提供患者的基本信息与近期就诊住院</w:t>
      </w:r>
      <w:r>
        <w:rPr>
          <w:rFonts w:ascii="宋体" w:hAnsi="宋体" w:cs="宋体"/>
          <w:sz w:val="24"/>
          <w:szCs w:val="22"/>
        </w:rPr>
        <w:t xml:space="preserve">、</w:t>
      </w:r>
      <w:r>
        <w:rPr>
          <w:rFonts w:hint="eastAsia" w:ascii="宋体" w:hAnsi="宋体" w:cs="宋体"/>
          <w:sz w:val="24"/>
          <w:szCs w:val="22"/>
        </w:rPr>
        <w:t xml:space="preserve">检验检查</w:t>
      </w:r>
      <w:r>
        <w:rPr>
          <w:rFonts w:ascii="宋体" w:hAnsi="宋体" w:cs="宋体"/>
          <w:sz w:val="24"/>
          <w:szCs w:val="22"/>
        </w:rPr>
        <w:t xml:space="preserve">、</w:t>
      </w:r>
      <w:r>
        <w:rPr>
          <w:rFonts w:hint="eastAsia" w:ascii="宋体" w:hAnsi="宋体" w:cs="宋体"/>
          <w:sz w:val="24"/>
          <w:szCs w:val="22"/>
        </w:rPr>
        <w:t xml:space="preserve">用药详情</w:t>
      </w:r>
      <w:r>
        <w:rPr>
          <w:rFonts w:ascii="宋体" w:hAnsi="宋体" w:cs="宋体"/>
          <w:sz w:val="24"/>
          <w:szCs w:val="22"/>
        </w:rPr>
        <w:t xml:space="preserve">，</w:t>
      </w:r>
      <w:r>
        <w:rPr>
          <w:rFonts w:hint="eastAsia" w:ascii="宋体" w:hAnsi="宋体" w:cs="宋体"/>
          <w:sz w:val="24"/>
          <w:szCs w:val="22"/>
        </w:rPr>
        <w:t xml:space="preserve">采用Web方式实现</w:t>
      </w:r>
      <w:r>
        <w:rPr>
          <w:rFonts w:ascii="宋体" w:hAnsi="宋体" w:cs="宋体"/>
          <w:sz w:val="24"/>
          <w:szCs w:val="22"/>
        </w:rPr>
        <w:t xml:space="preserve">，</w:t>
      </w:r>
      <w:r>
        <w:rPr>
          <w:rFonts w:hint="eastAsia" w:ascii="宋体" w:hAnsi="宋体" w:cs="宋体"/>
          <w:sz w:val="24"/>
          <w:szCs w:val="22"/>
        </w:rPr>
        <w:t xml:space="preserve">为电子病历查看默认视图，以视图的模式展示患者基本就诊信息以及患者个人信息</w:t>
      </w:r>
      <w:r>
        <w:rPr>
          <w:rFonts w:ascii="宋体" w:hAnsi="宋体" w:cs="宋体"/>
          <w:sz w:val="24"/>
          <w:szCs w:val="22"/>
        </w:rPr>
        <w:t xml:space="preserve">，</w:t>
      </w:r>
      <w:r>
        <w:rPr>
          <w:rFonts w:hint="eastAsia" w:ascii="宋体" w:hAnsi="宋体" w:cs="宋体"/>
          <w:sz w:val="24"/>
          <w:szCs w:val="22"/>
        </w:rPr>
        <w:t xml:space="preserve">并可切换其他就诊视图</w:t>
      </w:r>
      <w:r>
        <w:rPr>
          <w:rFonts w:ascii="宋体" w:hAnsi="宋体" w:cs="宋体"/>
          <w:sz w:val="24"/>
          <w:szCs w:val="22"/>
        </w:rPr>
        <w:t xml:space="preserve">、</w:t>
      </w:r>
      <w:r>
        <w:rPr>
          <w:rFonts w:hint="eastAsia" w:ascii="宋体" w:hAnsi="宋体" w:cs="宋体"/>
          <w:sz w:val="24"/>
          <w:szCs w:val="22"/>
        </w:rPr>
        <w:t xml:space="preserve">人体视图</w:t>
      </w:r>
      <w:r>
        <w:rPr>
          <w:rFonts w:ascii="宋体" w:hAnsi="宋体" w:cs="宋体"/>
          <w:sz w:val="24"/>
          <w:szCs w:val="22"/>
        </w:rPr>
        <w:t xml:space="preserve">、</w:t>
      </w:r>
      <w:r>
        <w:rPr>
          <w:rFonts w:hint="eastAsia" w:ascii="宋体" w:hAnsi="宋体" w:cs="宋体"/>
          <w:sz w:val="24"/>
          <w:szCs w:val="22"/>
        </w:rPr>
        <w:t xml:space="preserve">门诊视图</w:t>
      </w:r>
      <w:r>
        <w:rPr>
          <w:rFonts w:ascii="宋体" w:hAnsi="宋体" w:cs="宋体"/>
          <w:sz w:val="24"/>
          <w:szCs w:val="22"/>
        </w:rPr>
        <w:t xml:space="preserve">、</w:t>
      </w:r>
      <w:r>
        <w:rPr>
          <w:rFonts w:hint="eastAsia" w:ascii="宋体" w:hAnsi="宋体" w:cs="宋体"/>
          <w:sz w:val="24"/>
          <w:szCs w:val="22"/>
        </w:rPr>
        <w:t xml:space="preserve">住院视图</w:t>
      </w:r>
      <w:r>
        <w:rPr>
          <w:rFonts w:ascii="宋体" w:hAnsi="宋体" w:cs="宋体"/>
          <w:sz w:val="24"/>
          <w:szCs w:val="22"/>
        </w:rPr>
        <w:t xml:space="preserve">、病历视图，</w:t>
      </w:r>
      <w:r>
        <w:rPr>
          <w:rFonts w:hint="eastAsia" w:ascii="宋体" w:hAnsi="宋体" w:cs="宋体"/>
          <w:sz w:val="24"/>
          <w:szCs w:val="22"/>
        </w:rPr>
        <w:t xml:space="preserve">查看患者就诊数据</w:t>
      </w:r>
      <w:r>
        <w:rPr>
          <w:rFonts w:ascii="宋体" w:hAnsi="宋体" w:cs="宋体"/>
          <w:sz w:val="24"/>
          <w:szCs w:val="22"/>
        </w:rPr>
        <w:t xml:space="preserve">，</w:t>
      </w:r>
      <w:r>
        <w:rPr>
          <w:rFonts w:hint="eastAsia" w:ascii="宋体" w:hAnsi="宋体" w:cs="宋体"/>
          <w:sz w:val="24"/>
          <w:szCs w:val="22"/>
        </w:rPr>
        <w:t xml:space="preserve">患者用药记录</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需提供患者收藏</w:t>
      </w:r>
      <w:r>
        <w:rPr>
          <w:rFonts w:ascii="宋体" w:hAnsi="宋体" w:cs="宋体"/>
          <w:sz w:val="24"/>
          <w:szCs w:val="22"/>
        </w:rPr>
        <w:t xml:space="preserve">，</w:t>
      </w:r>
      <w:r>
        <w:rPr>
          <w:rFonts w:hint="eastAsia" w:ascii="宋体" w:hAnsi="宋体" w:cs="宋体"/>
          <w:sz w:val="24"/>
          <w:szCs w:val="22"/>
        </w:rPr>
        <w:t xml:space="preserve">或取消收藏功能</w:t>
      </w:r>
      <w:r>
        <w:rPr>
          <w:rFonts w:ascii="宋体" w:hAnsi="宋体" w:cs="宋体"/>
          <w:sz w:val="24"/>
          <w:szCs w:val="22"/>
        </w:rPr>
        <w:t xml:space="preserve">，</w:t>
      </w:r>
      <w:r>
        <w:rPr>
          <w:rFonts w:hint="eastAsia" w:ascii="宋体" w:hAnsi="宋体" w:cs="宋体"/>
          <w:sz w:val="24"/>
          <w:szCs w:val="22"/>
        </w:rPr>
        <w:t xml:space="preserve">并可通过收藏夹在当前视图内进行患者的切换</w:t>
      </w:r>
      <w:r>
        <w:rPr>
          <w:rFonts w:ascii="宋体" w:hAnsi="宋体" w:cs="宋体"/>
          <w:sz w:val="24"/>
          <w:szCs w:val="22"/>
        </w:rPr>
        <w:t xml:space="preserve">，</w:t>
      </w:r>
      <w:r>
        <w:rPr>
          <w:rFonts w:hint="eastAsia" w:ascii="宋体" w:hAnsi="宋体" w:cs="宋体"/>
          <w:sz w:val="24"/>
          <w:szCs w:val="22"/>
        </w:rPr>
        <w:t xml:space="preserve">医护人员在浏览过程中可以有选择性地收藏感兴趣或者典型的患者数据，方便在以后医疗教学等活动中快速引用</w:t>
      </w:r>
      <w:r>
        <w:rPr>
          <w:rFonts w:ascii="宋体" w:hAnsi="宋体" w:cs="宋体"/>
          <w:sz w:val="24"/>
          <w:szCs w:val="22"/>
        </w:rPr>
        <w:t xml:space="preserve">；</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就诊视图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提供用户访问个人电子病历记录的应用程序，采用Web方式实现，在该应用中被授权的医护专业人员或患者可以方便地访问保存的相关数据。并可以根据使用者的特定需求提供不同领域的调阅展示服务；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需提供历次就诊病历摘要、就诊记录、门诊病历、住院病历、病程记录、护理病历、电子处方、电子医嘱、检验报告、检查报告、手麻记录、超声报告、内镜报告、病理报告、心电图等病历资料的浏览功能；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体现卫生部标准规范中的电子病历就诊时间、就诊问题、诊疗活动三维时序模型的思路；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需提供多机构多次就诊的诊疗信息全视图导航功能；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集中展现患者的所有就诊记录，方便医生在患者历次就诊记录之间一键切换；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从就诊类型（门诊/住院）、就诊机构的维度对诊疗信息进行过滤，查阅符合条件的诊疗记录；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提供多份检查报告（如影像图片）等病历文档之间的对比，通过差异分析辅助医护人员判断患者的病情变化；</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提供将患者历次检验报告某一数值型指标以趋势图的方式展现，方便医护人员根据趋势图的走势明确患者的疾病发展状况，有针对性得治疗。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患者全息视图中提供闭环视图查询功能；</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需提供以时间为维度，查看患者就诊的时序信息，包括住院时序视图</w:t>
      </w:r>
      <w:r>
        <w:rPr>
          <w:rFonts w:ascii="宋体" w:hAnsi="宋体" w:cs="宋体"/>
          <w:sz w:val="24"/>
          <w:szCs w:val="22"/>
        </w:rPr>
        <w:t xml:space="preserve">，</w:t>
      </w:r>
      <w:r>
        <w:rPr>
          <w:rFonts w:hint="eastAsia" w:ascii="宋体" w:hAnsi="宋体" w:cs="宋体"/>
          <w:sz w:val="24"/>
          <w:szCs w:val="22"/>
        </w:rPr>
        <w:t xml:space="preserve">包括</w:t>
      </w:r>
      <w:r>
        <w:rPr>
          <w:rFonts w:ascii="宋体" w:hAnsi="宋体" w:cs="宋体"/>
          <w:sz w:val="24"/>
          <w:szCs w:val="22"/>
        </w:rPr>
        <w:t xml:space="preserve">：</w:t>
      </w:r>
      <w:r>
        <w:rPr>
          <w:rFonts w:hint="eastAsia" w:ascii="宋体" w:hAnsi="宋体" w:cs="宋体"/>
          <w:sz w:val="24"/>
          <w:szCs w:val="22"/>
        </w:rPr>
        <w:t xml:space="preserve">患者生命体征信息</w:t>
      </w:r>
      <w:r>
        <w:rPr>
          <w:rFonts w:ascii="宋体" w:hAnsi="宋体" w:cs="宋体"/>
          <w:sz w:val="24"/>
          <w:szCs w:val="22"/>
        </w:rPr>
        <w:t xml:space="preserve">、</w:t>
      </w:r>
      <w:r>
        <w:rPr>
          <w:rFonts w:hint="eastAsia" w:ascii="宋体" w:hAnsi="宋体" w:cs="宋体"/>
          <w:sz w:val="24"/>
          <w:szCs w:val="22"/>
        </w:rPr>
        <w:t xml:space="preserve">出入量</w:t>
      </w:r>
      <w:r>
        <w:rPr>
          <w:rFonts w:ascii="宋体" w:hAnsi="宋体" w:cs="宋体"/>
          <w:sz w:val="24"/>
          <w:szCs w:val="22"/>
        </w:rPr>
        <w:t xml:space="preserve">、</w:t>
      </w:r>
      <w:r>
        <w:rPr>
          <w:rFonts w:hint="eastAsia" w:ascii="宋体" w:hAnsi="宋体" w:cs="宋体"/>
          <w:sz w:val="24"/>
          <w:szCs w:val="22"/>
        </w:rPr>
        <w:t xml:space="preserve">护理级别</w:t>
      </w:r>
      <w:r>
        <w:rPr>
          <w:rFonts w:ascii="宋体" w:hAnsi="宋体" w:cs="宋体"/>
          <w:sz w:val="24"/>
          <w:szCs w:val="22"/>
        </w:rPr>
        <w:t xml:space="preserve">、</w:t>
      </w:r>
      <w:r>
        <w:rPr>
          <w:rFonts w:hint="eastAsia" w:ascii="宋体" w:hAnsi="宋体" w:cs="宋体"/>
          <w:sz w:val="24"/>
          <w:szCs w:val="22"/>
        </w:rPr>
        <w:t xml:space="preserve">术后天数等信息。展示单次就诊过程每天新增的病历信息，例如用药</w:t>
      </w:r>
      <w:r>
        <w:rPr>
          <w:rFonts w:ascii="宋体" w:hAnsi="宋体" w:cs="宋体"/>
          <w:sz w:val="24"/>
          <w:szCs w:val="22"/>
        </w:rPr>
        <w:t xml:space="preserve">、</w:t>
      </w:r>
      <w:r>
        <w:rPr>
          <w:rFonts w:hint="eastAsia" w:ascii="宋体" w:hAnsi="宋体" w:cs="宋体"/>
          <w:sz w:val="24"/>
          <w:szCs w:val="22"/>
        </w:rPr>
        <w:t xml:space="preserve">医嘱</w:t>
      </w:r>
      <w:r>
        <w:rPr>
          <w:rFonts w:ascii="宋体" w:hAnsi="宋体" w:cs="宋体"/>
          <w:sz w:val="24"/>
          <w:szCs w:val="22"/>
        </w:rPr>
        <w:t xml:space="preserve">、</w:t>
      </w:r>
      <w:r>
        <w:rPr>
          <w:rFonts w:hint="eastAsia" w:ascii="宋体" w:hAnsi="宋体" w:cs="宋体"/>
          <w:sz w:val="24"/>
          <w:szCs w:val="22"/>
        </w:rPr>
        <w:t xml:space="preserve">检验</w:t>
      </w:r>
      <w:r>
        <w:rPr>
          <w:rFonts w:ascii="宋体" w:hAnsi="宋体" w:cs="宋体"/>
          <w:sz w:val="24"/>
          <w:szCs w:val="22"/>
        </w:rPr>
        <w:t xml:space="preserve">、</w:t>
      </w:r>
      <w:r>
        <w:rPr>
          <w:rFonts w:hint="eastAsia" w:ascii="宋体" w:hAnsi="宋体" w:cs="宋体"/>
          <w:sz w:val="24"/>
          <w:szCs w:val="22"/>
        </w:rPr>
        <w:t xml:space="preserve">检查</w:t>
      </w:r>
      <w:r>
        <w:rPr>
          <w:rFonts w:ascii="宋体" w:hAnsi="宋体" w:cs="宋体"/>
          <w:sz w:val="24"/>
          <w:szCs w:val="22"/>
        </w:rPr>
        <w:t xml:space="preserve">、</w:t>
      </w:r>
      <w:r>
        <w:rPr>
          <w:rFonts w:hint="eastAsia" w:ascii="宋体" w:hAnsi="宋体" w:cs="宋体"/>
          <w:sz w:val="24"/>
          <w:szCs w:val="22"/>
        </w:rPr>
        <w:t xml:space="preserve">病历文书等。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时序视图：医生可以在住院时序视图中了解患者在此次住院期间的生命体征数据变化趋势、住院医嘱以及检查检验报告、住院医嘱、诊断记录、手术记录等病历文书。通过切换日期，翻阅患者历史住院病历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历次就诊视图：是基于“时间—事件”的二维集成视图功能，使医护人员能够直观的看到患者在一个时间区域内住院诊疗过程和病情变化情况，查阅患者历次就诊的用药、手术、检验检查记录以及病历文书，辅助医护人员分析医疗数据和制订下一步的诊疗方案；</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满足医护人员专注查看患者门诊诊疗活动及其产生的处方和各类报告信息；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医护人员在浏览过程中可以快捷切换患者其他门诊就诊记录</w:t>
      </w:r>
      <w:r>
        <w:rPr>
          <w:rFonts w:ascii="宋体" w:hAnsi="宋体" w:cs="宋体"/>
          <w:sz w:val="24"/>
          <w:szCs w:val="22"/>
        </w:rPr>
        <w:t xml:space="preserve">，</w:t>
      </w:r>
      <w:r>
        <w:rPr>
          <w:rFonts w:hint="eastAsia" w:ascii="宋体" w:hAnsi="宋体" w:cs="宋体"/>
          <w:sz w:val="24"/>
          <w:szCs w:val="22"/>
        </w:rPr>
        <w:t xml:space="preserve">以便于在医疗活动中快速了解历次就诊信息；</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需提供以病历文书分类为目录，展示病人相关的所有病历文书</w:t>
      </w:r>
      <w:r>
        <w:rPr>
          <w:rFonts w:ascii="宋体" w:hAnsi="宋体" w:cs="宋体"/>
          <w:sz w:val="24"/>
          <w:szCs w:val="22"/>
        </w:rPr>
        <w:t xml:space="preserve">，</w:t>
      </w:r>
      <w:r>
        <w:rPr>
          <w:rFonts w:hint="eastAsia" w:ascii="宋体" w:hAnsi="宋体" w:cs="宋体"/>
          <w:sz w:val="24"/>
          <w:szCs w:val="22"/>
        </w:rPr>
        <w:t xml:space="preserve">文书内容</w:t>
      </w:r>
      <w:r>
        <w:rPr>
          <w:rFonts w:ascii="宋体" w:hAnsi="宋体" w:cs="宋体"/>
          <w:sz w:val="24"/>
          <w:szCs w:val="22"/>
        </w:rPr>
        <w:t xml:space="preserve">，</w:t>
      </w:r>
      <w:r>
        <w:rPr>
          <w:rFonts w:hint="eastAsia" w:ascii="宋体" w:hAnsi="宋体" w:cs="宋体"/>
          <w:sz w:val="24"/>
          <w:szCs w:val="22"/>
        </w:rPr>
        <w:t xml:space="preserve">其中包含</w:t>
      </w:r>
      <w:r>
        <w:rPr>
          <w:rFonts w:ascii="宋体" w:hAnsi="宋体" w:cs="宋体"/>
          <w:sz w:val="24"/>
          <w:szCs w:val="22"/>
        </w:rPr>
        <w:t xml:space="preserve">：</w:t>
      </w:r>
      <w:r>
        <w:rPr>
          <w:rFonts w:hint="eastAsia" w:ascii="宋体" w:hAnsi="宋体" w:cs="宋体"/>
          <w:sz w:val="24"/>
          <w:szCs w:val="22"/>
        </w:rPr>
        <w:t xml:space="preserve">医嘱</w:t>
      </w:r>
      <w:r>
        <w:rPr>
          <w:rFonts w:ascii="宋体" w:hAnsi="宋体" w:cs="宋体"/>
          <w:sz w:val="24"/>
          <w:szCs w:val="22"/>
        </w:rPr>
        <w:t xml:space="preserve">、</w:t>
      </w:r>
      <w:r>
        <w:rPr>
          <w:rFonts w:hint="eastAsia" w:ascii="宋体" w:hAnsi="宋体" w:cs="宋体"/>
          <w:sz w:val="24"/>
          <w:szCs w:val="22"/>
        </w:rPr>
        <w:t xml:space="preserve">处方</w:t>
      </w:r>
      <w:r>
        <w:rPr>
          <w:rFonts w:ascii="宋体" w:hAnsi="宋体" w:cs="宋体"/>
          <w:sz w:val="24"/>
          <w:szCs w:val="22"/>
        </w:rPr>
        <w:t xml:space="preserve">、</w:t>
      </w:r>
      <w:r>
        <w:rPr>
          <w:rFonts w:hint="eastAsia" w:ascii="宋体" w:hAnsi="宋体" w:cs="宋体"/>
          <w:sz w:val="24"/>
          <w:szCs w:val="22"/>
        </w:rPr>
        <w:t xml:space="preserve">检验检查报告</w:t>
      </w:r>
      <w:r>
        <w:rPr>
          <w:rFonts w:ascii="宋体" w:hAnsi="宋体" w:cs="宋体"/>
          <w:sz w:val="24"/>
          <w:szCs w:val="22"/>
        </w:rPr>
        <w:t xml:space="preserve">、</w:t>
      </w:r>
      <w:r>
        <w:rPr>
          <w:rFonts w:hint="eastAsia" w:ascii="宋体" w:hAnsi="宋体" w:cs="宋体"/>
          <w:sz w:val="24"/>
          <w:szCs w:val="22"/>
        </w:rPr>
        <w:t xml:space="preserve">病历文书</w:t>
      </w:r>
      <w:r>
        <w:rPr>
          <w:rFonts w:ascii="宋体" w:hAnsi="宋体" w:cs="宋体"/>
          <w:sz w:val="24"/>
          <w:szCs w:val="22"/>
        </w:rPr>
        <w:t xml:space="preserve">、</w:t>
      </w:r>
      <w:r>
        <w:rPr>
          <w:rFonts w:hint="eastAsia" w:ascii="宋体" w:hAnsi="宋体" w:cs="宋体"/>
          <w:sz w:val="24"/>
          <w:szCs w:val="22"/>
        </w:rPr>
        <w:t xml:space="preserve">护理记录</w:t>
      </w:r>
      <w:r>
        <w:rPr>
          <w:rFonts w:ascii="宋体" w:hAnsi="宋体" w:cs="宋体"/>
          <w:sz w:val="24"/>
          <w:szCs w:val="22"/>
        </w:rPr>
        <w:t xml:space="preserve">、</w:t>
      </w:r>
      <w:r>
        <w:rPr>
          <w:rFonts w:hint="eastAsia" w:ascii="宋体" w:hAnsi="宋体" w:cs="宋体"/>
          <w:sz w:val="24"/>
          <w:szCs w:val="22"/>
        </w:rPr>
        <w:t xml:space="preserve">门诊病历</w:t>
      </w:r>
      <w:r>
        <w:rPr>
          <w:rFonts w:ascii="宋体" w:hAnsi="宋体" w:cs="宋体"/>
          <w:sz w:val="24"/>
          <w:szCs w:val="22"/>
        </w:rPr>
        <w:t xml:space="preserve">、</w:t>
      </w:r>
      <w:r>
        <w:rPr>
          <w:rFonts w:hint="eastAsia" w:ascii="宋体" w:hAnsi="宋体" w:cs="宋体"/>
          <w:sz w:val="24"/>
          <w:szCs w:val="22"/>
        </w:rPr>
        <w:t xml:space="preserve">住院病历</w:t>
      </w:r>
      <w:r>
        <w:rPr>
          <w:rFonts w:ascii="宋体" w:hAnsi="宋体" w:cs="宋体"/>
          <w:sz w:val="24"/>
          <w:szCs w:val="22"/>
        </w:rPr>
        <w:t xml:space="preserve">、</w:t>
      </w:r>
      <w:r>
        <w:rPr>
          <w:rFonts w:hint="eastAsia" w:ascii="宋体" w:hAnsi="宋体" w:cs="宋体"/>
          <w:sz w:val="24"/>
          <w:szCs w:val="22"/>
        </w:rPr>
        <w:t xml:space="preserve">治疗处置</w:t>
      </w:r>
      <w:r>
        <w:rPr>
          <w:rFonts w:ascii="宋体" w:hAnsi="宋体" w:cs="宋体"/>
          <w:sz w:val="24"/>
          <w:szCs w:val="22"/>
        </w:rPr>
        <w:t xml:space="preserve">、</w:t>
      </w:r>
      <w:r>
        <w:rPr>
          <w:rFonts w:hint="eastAsia" w:ascii="宋体" w:hAnsi="宋体" w:cs="宋体"/>
          <w:sz w:val="24"/>
          <w:szCs w:val="22"/>
        </w:rPr>
        <w:t xml:space="preserve">申请单</w:t>
      </w:r>
      <w:r>
        <w:rPr>
          <w:rFonts w:ascii="宋体" w:hAnsi="宋体" w:cs="宋体"/>
          <w:sz w:val="24"/>
          <w:szCs w:val="22"/>
        </w:rPr>
        <w:t xml:space="preserve">、</w:t>
      </w:r>
      <w:r>
        <w:rPr>
          <w:rFonts w:hint="eastAsia" w:ascii="宋体" w:hAnsi="宋体" w:cs="宋体"/>
          <w:sz w:val="24"/>
          <w:szCs w:val="22"/>
        </w:rPr>
        <w:t xml:space="preserve">知情告知书</w:t>
      </w:r>
      <w:r>
        <w:rPr>
          <w:rFonts w:ascii="宋体" w:hAnsi="宋体" w:cs="宋体"/>
          <w:sz w:val="24"/>
          <w:szCs w:val="22"/>
        </w:rPr>
        <w:t xml:space="preserve">、</w:t>
      </w:r>
      <w:r>
        <w:rPr>
          <w:rFonts w:hint="eastAsia" w:ascii="宋体" w:hAnsi="宋体" w:cs="宋体"/>
          <w:sz w:val="24"/>
          <w:szCs w:val="22"/>
        </w:rPr>
        <w:t xml:space="preserve">纸质病历文书等患者就诊信息；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提供以病历文书的检索功能</w:t>
      </w:r>
      <w:r>
        <w:rPr>
          <w:rFonts w:ascii="宋体" w:hAnsi="宋体" w:cs="宋体"/>
          <w:sz w:val="24"/>
          <w:szCs w:val="22"/>
        </w:rPr>
        <w:t xml:space="preserve">，</w:t>
      </w:r>
      <w:r>
        <w:rPr>
          <w:rFonts w:hint="eastAsia" w:ascii="宋体" w:hAnsi="宋体" w:cs="宋体"/>
          <w:sz w:val="24"/>
          <w:szCs w:val="22"/>
        </w:rPr>
        <w:t xml:space="preserve">支持根据就诊时间</w:t>
      </w:r>
      <w:r>
        <w:rPr>
          <w:rFonts w:ascii="宋体" w:hAnsi="宋体" w:cs="宋体"/>
          <w:sz w:val="24"/>
          <w:szCs w:val="22"/>
        </w:rPr>
        <w:t xml:space="preserve">、</w:t>
      </w:r>
      <w:r>
        <w:rPr>
          <w:rFonts w:hint="eastAsia" w:ascii="宋体" w:hAnsi="宋体" w:cs="宋体"/>
          <w:sz w:val="24"/>
          <w:szCs w:val="22"/>
        </w:rPr>
        <w:t xml:space="preserve">就诊机构检索；</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辅助功能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支持原始病历文档以“病历附件”的方式存储，在结构化文档中可以快速定位并调阅到与之对应的病历附件，弥补结构化电子文档数据可能不全的缺陷，系统支持XML、HTML、PDF、JPG等多种格式的附件调阅</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支持对视图下的菜单进行分层维护，菜单可分两层，可维护菜单名称、菜单模版、菜单顺序、菜单内容显示顺序</w:t>
      </w:r>
      <w:r>
        <w:rPr>
          <w:rFonts w:ascii="宋体" w:hAnsi="宋体" w:cs="宋体"/>
          <w:sz w:val="24"/>
          <w:szCs w:val="22"/>
        </w:rPr>
        <w:t xml:space="preserve">\，</w:t>
      </w:r>
      <w:r>
        <w:rPr>
          <w:rFonts w:hint="eastAsia" w:ascii="宋体" w:hAnsi="宋体" w:cs="宋体"/>
          <w:sz w:val="24"/>
          <w:szCs w:val="22"/>
        </w:rPr>
        <w:t xml:space="preserve">并可控制菜单的启用与关闭</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支持对不同的系统域以及不同的角色分别配置不同的视图访问权限；配置系统控制按钮的使用权限，以及机构信息</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提供基于患者的非结构化文档搜索、下载、查看；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支持根据不同角色设置病历信息访问权限，对患者隐私进行保护。比如影像科医生只能查看病史、检查申请、检查报告，主治医生能查看患者所有的病历。支持患者重点信息的隐私脱敏处理，比如姓名、单位等。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支持病历访问量统计，包括病历访问趋势分析、各病历模块访问次数、访问用户、患者I</w:t>
      </w:r>
      <w:r>
        <w:rPr>
          <w:rFonts w:ascii="宋体" w:hAnsi="宋体" w:cs="宋体"/>
          <w:sz w:val="24"/>
          <w:szCs w:val="22"/>
        </w:rPr>
        <w:t xml:space="preserve">D</w:t>
      </w:r>
      <w:r>
        <w:rPr>
          <w:rFonts w:hint="eastAsia" w:ascii="宋体" w:hAnsi="宋体" w:cs="宋体"/>
          <w:sz w:val="24"/>
          <w:szCs w:val="22"/>
        </w:rPr>
        <w:t xml:space="preserve">，以及访问调用方的访问次数；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支持患者全息视图中展现的病历文书格式自定义，提供页面开发、预览功能，满足不同用户对病历文书的查看需求；</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支持在医生工作站、护士工作站等业务系统中的无缝集成与嵌入（单点登录与权限控制）；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支持通过患者门急诊号、住院号、住院流水号、病人主索引、病人身份证号的调阅患者全息视图系统；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支持通过样本号、条码号调阅检验报告，通过报告单号、申请单号调阅放射报告、内镜报告、病历报告、超声报告，通过住院号、就诊标识调阅住院就诊时序图；</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共享文档管理</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文档库管理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建立电子病历文档库，遵循国家卫计委《电子病历共享文档规范》，至少包含标准要求的53类共享文档；并支持自定义扩展；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需提供电子病历文档库的数据统计趋势图、文档类型统计分析、不同电子病历文档类型的数据量展示；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需提供文档库与结构化数据库之间文档的自定义迁移功能，可根据临床数据任务建立迁移任务，设置任务启动开始时间、结束时间、迁移文档类型以及迁移进度展示；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需提供基于电子病历文档与共享文档的结构化配置；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w:t>
      </w:r>
      <w:r>
        <w:rPr>
          <w:rFonts w:hint="eastAsia" w:ascii="宋体" w:hAnsi="宋体" w:cs="宋体"/>
          <w:sz w:val="24"/>
          <w:szCs w:val="22"/>
        </w:rPr>
        <w:t xml:space="preserve">文档库的存储服务器监控情况、存储服务器的磁盘空间占用情况以及分组情况；实现分片存储保证数据存储的高可用；</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文档库查看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实现患者电子病历文档查询功能，以时间序列进行文档存储，同时能够根据文档类型、数据集、记录时间进行文档筛选查看；支持筛选文档的导出功能；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针对患者电子病历文档，实现电子病历原始文档查看、结构化查看，并支持在线转共享文档原始文档查看和结构化查看；</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共享文档管理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需提供基于临床数据的共享文档生成任务配置，内置5</w:t>
      </w:r>
      <w:r>
        <w:rPr>
          <w:rFonts w:ascii="宋体" w:hAnsi="宋体" w:cs="宋体"/>
          <w:sz w:val="24"/>
          <w:szCs w:val="22"/>
        </w:rPr>
        <w:t xml:space="preserve">3</w:t>
      </w:r>
      <w:r>
        <w:rPr>
          <w:rFonts w:hint="eastAsia" w:ascii="宋体" w:hAnsi="宋体" w:cs="宋体"/>
          <w:sz w:val="24"/>
          <w:szCs w:val="22"/>
        </w:rPr>
        <w:t xml:space="preserve">类共享文档生成任务，实现生成任务的执行策略、错误处理功能；</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闭环管理系统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药品医嘱闭环视图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需支持住院口服药的医嘱闭环：流程包括医生开嘱、护士校对、药房审方、皮试处理、医生停嘱、停嘱核对等。执行单闭环包括提交、发药、配送、签收、执行等。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需支持长期药品医嘱的循环执行展示。</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临床输血闭环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输血闭环：流程包括医生开立输血申请、提交输血单、上级审核、作废等。采血单闭环包括采血样、血样配送、血样签收、交叉配血等。输血记录单闭环包括发血、血袋配送、血袋签收（病区）、输血开始、输血巡视、输血结束、血袋回收、血袋销毁、不良反应登记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检查业务闭环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需支持检查业务闭环：流程包括提交申请、护士核对、医嘱提交、医技收费、检查登记、检查预约、检查签到、检查执行、图像完成、报告完成、报告打印、危急值推送等。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检验业务闭环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需支持住院检验闭环：流程包括提交申请单、条码打印、标本采集、标本送检、标本接收和计费、标本上机、报告完成、报告打印、危急值推送等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院内会诊闭环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需支持住院普通会诊闭环：流程包括会诊申请、会诊审批、护士复核、会诊安排、会诊处理、会诊结束。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危急值闭环管理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需支持危急值闭环：流程包括危急值登记、危急值复核、危急值发布、临床接收、危急值发布。危急值闭环可独立存在，也可以集成到检验流程中。</w:t>
      </w:r>
      <w:r/>
    </w:p>
    <w:p>
      <w:pPr>
        <w:numPr>
          <w:ilvl w:val="4"/>
          <w:numId w:val="8"/>
        </w:numPr>
        <w:keepLines/>
        <w:keepNext/>
        <w:spacing w:line="360" w:lineRule="auto"/>
        <w:rPr>
          <w:rFonts w:ascii="等线" w:hAnsi="等线"/>
          <w:b/>
          <w:bCs/>
          <w:sz w:val="30"/>
          <w:szCs w:val="28"/>
        </w:rPr>
        <w:outlineLvl w:val="4"/>
      </w:pPr>
      <w:r>
        <w:rPr>
          <w:rFonts w:hint="eastAsia" w:ascii="等线" w:hAnsi="等线"/>
          <w:b/>
          <w:bCs/>
        </w:rPr>
        <w:t xml:space="preserve">手术麻醉闭环</w:t>
      </w:r>
      <w:r>
        <w:rPr>
          <w:rFonts w:hint="eastAsia" w:ascii="等线" w:hAnsi="等线"/>
          <w:b/>
          <w:bCs/>
          <w:sz w:val="30"/>
          <w:szCs w:val="28"/>
        </w:rPr>
        <w:t xml:space="preserve">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需支持择期手术安排闭环：流程包括手术医生提交申请单、科主任审核确认、手术排台分配术间、分配器械护士和巡回护士、分配麻醉医师等，逆向流程包括申请撤回、取消手术安排等。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闭环流程配置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支持业务</w:t>
      </w:r>
      <w:r>
        <w:rPr>
          <w:rFonts w:hint="eastAsia" w:ascii="宋体" w:hAnsi="宋体" w:cs="宋体"/>
          <w:sz w:val="24"/>
          <w:szCs w:val="22"/>
        </w:rPr>
        <w:t xml:space="preserve">自定义</w:t>
      </w:r>
      <w:r>
        <w:rPr>
          <w:rFonts w:ascii="宋体" w:hAnsi="宋体" w:cs="宋体"/>
          <w:sz w:val="24"/>
          <w:szCs w:val="22"/>
        </w:rPr>
        <w:t xml:space="preserve">闭环流程</w:t>
      </w:r>
      <w:r>
        <w:rPr>
          <w:rFonts w:hint="eastAsia" w:ascii="宋体" w:hAnsi="宋体" w:cs="宋体"/>
          <w:sz w:val="24"/>
          <w:szCs w:val="22"/>
        </w:rPr>
        <w:t xml:space="preserve">及节点，</w:t>
      </w:r>
      <w:r>
        <w:rPr>
          <w:rFonts w:ascii="宋体" w:hAnsi="宋体" w:cs="宋体"/>
          <w:sz w:val="24"/>
          <w:szCs w:val="22"/>
        </w:rPr>
        <w:t xml:space="preserve">支持循环节点的配置展示</w:t>
      </w:r>
      <w:r>
        <w:rPr>
          <w:rFonts w:hint="eastAsia"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w:t>
      </w:r>
      <w:r>
        <w:rPr>
          <w:rFonts w:ascii="宋体" w:hAnsi="宋体" w:cs="宋体"/>
          <w:sz w:val="24"/>
          <w:szCs w:val="22"/>
        </w:rPr>
        <w:t xml:space="preserve">4</w:t>
      </w:r>
      <w:r>
        <w:rPr>
          <w:rFonts w:hint="eastAsia" w:ascii="宋体" w:hAnsi="宋体" w:cs="宋体"/>
          <w:sz w:val="24"/>
          <w:szCs w:val="22"/>
        </w:rPr>
        <w:t xml:space="preserve">种闭环样式</w:t>
      </w:r>
      <w:r>
        <w:rPr>
          <w:rFonts w:ascii="宋体" w:hAnsi="宋体" w:cs="宋体"/>
          <w:sz w:val="24"/>
          <w:szCs w:val="22"/>
        </w:rPr>
        <w:t xml:space="preserve">，</w:t>
      </w:r>
      <w:r>
        <w:rPr>
          <w:rFonts w:hint="eastAsia" w:ascii="宋体" w:hAnsi="宋体" w:cs="宋体"/>
          <w:sz w:val="24"/>
          <w:szCs w:val="22"/>
        </w:rPr>
        <w:t xml:space="preserve">可适应多种闭环流程与业务场景；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需提供闭环节点数据采集来源的配置</w:t>
      </w:r>
      <w:r>
        <w:rPr>
          <w:rFonts w:ascii="宋体" w:hAnsi="宋体" w:cs="宋体"/>
          <w:sz w:val="24"/>
          <w:szCs w:val="22"/>
        </w:rPr>
        <w:t xml:space="preserve">，</w:t>
      </w:r>
      <w:r>
        <w:rPr>
          <w:rFonts w:hint="eastAsia" w:ascii="宋体" w:hAnsi="宋体" w:cs="宋体"/>
          <w:sz w:val="24"/>
          <w:szCs w:val="22"/>
        </w:rPr>
        <w:t xml:space="preserve">包含配置采集策略以及采集语句</w:t>
      </w:r>
      <w:r>
        <w:rPr>
          <w:rFonts w:ascii="宋体" w:hAnsi="宋体" w:cs="宋体"/>
          <w:sz w:val="24"/>
          <w:szCs w:val="22"/>
        </w:rPr>
        <w:t xml:space="preserve">，可进行数据源、sql、映射关系的配置，支持映射模式、视图模式两种模式。且可配置语句的有效时间，可为同一节点同时配置多条语句</w:t>
      </w:r>
      <w:r>
        <w:rPr>
          <w:rFonts w:hint="eastAsia" w:ascii="宋体" w:hAnsi="宋体" w:cs="宋体"/>
          <w:sz w:val="24"/>
          <w:szCs w:val="22"/>
        </w:rPr>
        <w:t xml:space="preserve">用于不同时间段的数据采集；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需提供节点数据采集管理功能</w:t>
      </w:r>
      <w:r>
        <w:rPr>
          <w:rFonts w:ascii="宋体" w:hAnsi="宋体" w:cs="宋体"/>
          <w:sz w:val="24"/>
          <w:szCs w:val="22"/>
        </w:rPr>
        <w:t xml:space="preserve">，</w:t>
      </w:r>
      <w:r>
        <w:rPr>
          <w:rFonts w:hint="eastAsia" w:ascii="宋体" w:hAnsi="宋体" w:cs="宋体"/>
          <w:sz w:val="24"/>
          <w:szCs w:val="22"/>
        </w:rPr>
        <w:t xml:space="preserve">可进行数据临时采集</w:t>
      </w:r>
      <w:r>
        <w:rPr>
          <w:rFonts w:ascii="宋体" w:hAnsi="宋体" w:cs="宋体"/>
          <w:sz w:val="24"/>
          <w:szCs w:val="22"/>
        </w:rPr>
        <w:t xml:space="preserve">，</w:t>
      </w:r>
      <w:r>
        <w:rPr>
          <w:rFonts w:hint="eastAsia" w:ascii="宋体" w:hAnsi="宋体" w:cs="宋体"/>
          <w:sz w:val="24"/>
          <w:szCs w:val="22"/>
        </w:rPr>
        <w:t xml:space="preserve">采集功能的启用与停止；</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闭环视图集成接口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提供闭环视图集成规范</w:t>
      </w:r>
      <w:r>
        <w:rPr>
          <w:rFonts w:hint="eastAsia" w:ascii="宋体" w:hAnsi="宋体" w:cs="宋体"/>
          <w:sz w:val="24"/>
          <w:szCs w:val="22"/>
        </w:rPr>
        <w:t xml:space="preserve">，</w:t>
      </w:r>
      <w:r>
        <w:rPr>
          <w:rFonts w:ascii="宋体" w:hAnsi="宋体" w:cs="宋体"/>
          <w:sz w:val="24"/>
          <w:szCs w:val="22"/>
        </w:rPr>
        <w:t xml:space="preserve">可以集成到门急诊</w:t>
      </w:r>
      <w:r>
        <w:rPr>
          <w:rFonts w:hint="eastAsia" w:ascii="宋体" w:hAnsi="宋体" w:cs="宋体"/>
          <w:sz w:val="24"/>
          <w:szCs w:val="22"/>
        </w:rPr>
        <w:t xml:space="preserve">/住院医生站、病区护士站、PACS系统、患者全息视图等。</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管理</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管理（</w:t>
      </w:r>
      <w:r>
        <w:rPr>
          <w:rFonts w:ascii="等线 Light" w:hAnsi="等线 Light"/>
          <w:b/>
          <w:bCs/>
          <w:sz w:val="30"/>
          <w:szCs w:val="28"/>
        </w:rPr>
        <w:t xml:space="preserve">MDR</w:t>
      </w:r>
      <w:r>
        <w:rPr>
          <w:rFonts w:ascii="等线 Light" w:hAnsi="等线 Light"/>
          <w:b/>
          <w:bCs/>
          <w:sz w:val="30"/>
          <w:szCs w:val="28"/>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院管理在临床数据、管理类数据以及财务类数据的基础上对各类数据进行归类整合并加以利用，通过数据性质大体分为三类卫生资源信息、临床诊疗信息、卫生业务信息。其中卫生资源信息可作为卫生资源分布的基础数据；临床诊疗中与费用相关的信息科作为卫生资源消耗的基础数据；临床诊疗中的疾病数据和卫生业务信息科作为卫生资源需求的基础数据，医院的管理与决策可利用这些数据所产生的信息为相关的卫生决策进行支撑。</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可根据医院关注角度建立维度，对维度设置数据类型，选择字典名称。针对单一维度可新增或者引用其他维度方式以建立下钻维度。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支持维度数据同步与上传两种方式；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支持数据集市功能，基于数据模型进行二次建模，提升主题大数据量查询性能；同时能够计算类指标提供存储空间；</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医疗质量分析</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医疗质量分析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医疗质量分析专题满足《三级综合医院医疗质量管理与控制指标》，一共包含基本运行、住院死亡、住院重返、医院感染、手术并发症、患者安全、合理用药、麻醉8个专题，221个指标。</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基本运行专题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资源</w:t>
      </w:r>
      <w:r>
        <w:rPr>
          <w:rFonts w:ascii="宋体" w:hAnsi="宋体" w:cs="宋体"/>
          <w:sz w:val="24"/>
          <w:szCs w:val="22"/>
        </w:rPr>
        <w:t xml:space="preserve">配置</w:t>
      </w:r>
      <w:r>
        <w:rPr>
          <w:rFonts w:hint="eastAsia" w:ascii="宋体" w:hAnsi="宋体" w:cs="宋体"/>
          <w:sz w:val="24"/>
          <w:szCs w:val="22"/>
        </w:rPr>
        <w:t xml:space="preserve">：医院建筑面积</w:t>
      </w:r>
      <w:r>
        <w:rPr>
          <w:rFonts w:ascii="宋体" w:hAnsi="宋体" w:cs="宋体"/>
          <w:sz w:val="24"/>
          <w:szCs w:val="22"/>
        </w:rPr>
        <w:t xml:space="preserve">、</w:t>
      </w:r>
      <w:r>
        <w:rPr>
          <w:rFonts w:hint="eastAsia" w:ascii="宋体" w:hAnsi="宋体" w:cs="宋体"/>
          <w:sz w:val="24"/>
          <w:szCs w:val="22"/>
        </w:rPr>
        <w:t xml:space="preserve">全院</w:t>
      </w:r>
      <w:r>
        <w:rPr>
          <w:rFonts w:ascii="宋体" w:hAnsi="宋体" w:cs="宋体"/>
          <w:sz w:val="24"/>
          <w:szCs w:val="22"/>
        </w:rPr>
        <w:t xml:space="preserve">员工总数、医师数、护理人员</w:t>
      </w:r>
      <w:r>
        <w:rPr>
          <w:rFonts w:hint="eastAsia" w:ascii="宋体" w:hAnsi="宋体" w:cs="宋体"/>
          <w:sz w:val="24"/>
          <w:szCs w:val="22"/>
        </w:rPr>
        <w:t xml:space="preserve">、</w:t>
      </w:r>
      <w:r>
        <w:rPr>
          <w:rFonts w:ascii="宋体" w:hAnsi="宋体" w:cs="宋体"/>
          <w:sz w:val="24"/>
          <w:szCs w:val="22"/>
        </w:rPr>
        <w:t xml:space="preserve">医技人数</w:t>
      </w:r>
      <w:r>
        <w:rPr>
          <w:rFonts w:hint="eastAsia" w:ascii="宋体" w:hAnsi="宋体" w:cs="宋体"/>
          <w:sz w:val="24"/>
          <w:szCs w:val="22"/>
        </w:rPr>
        <w:t xml:space="preserve">、</w:t>
      </w:r>
      <w:r>
        <w:rPr>
          <w:rFonts w:ascii="宋体" w:hAnsi="宋体" w:cs="宋体"/>
          <w:sz w:val="24"/>
          <w:szCs w:val="22"/>
        </w:rPr>
        <w:t xml:space="preserve">实际开</w:t>
      </w:r>
      <w:r>
        <w:rPr>
          <w:rFonts w:hint="eastAsia" w:ascii="宋体" w:hAnsi="宋体" w:cs="宋体"/>
          <w:sz w:val="24"/>
          <w:szCs w:val="22"/>
        </w:rPr>
        <w:t xml:space="preserve">放床</w:t>
      </w:r>
      <w:r>
        <w:rPr>
          <w:rFonts w:ascii="宋体" w:hAnsi="宋体" w:cs="宋体"/>
          <w:sz w:val="24"/>
          <w:szCs w:val="22"/>
        </w:rPr>
        <w:t xml:space="preserve">数、急诊留观实际开放床位、重症医学科实际开放床位</w:t>
      </w:r>
      <w:r>
        <w:rPr>
          <w:rFonts w:hint="eastAsia" w:ascii="宋体" w:hAnsi="宋体" w:cs="宋体"/>
          <w:sz w:val="24"/>
          <w:szCs w:val="22"/>
        </w:rPr>
        <w:t xml:space="preserve">、医师数</w:t>
      </w:r>
      <w:r>
        <w:rPr>
          <w:rFonts w:ascii="宋体" w:hAnsi="宋体" w:cs="宋体"/>
          <w:sz w:val="24"/>
          <w:szCs w:val="22"/>
        </w:rPr>
        <w:t xml:space="preserve">、医技人数、护理人员数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工作负荷：门诊人次</w:t>
      </w:r>
      <w:r>
        <w:rPr>
          <w:rFonts w:ascii="宋体" w:hAnsi="宋体" w:cs="宋体"/>
          <w:sz w:val="24"/>
          <w:szCs w:val="22"/>
        </w:rPr>
        <w:t xml:space="preserve">、急诊人次、</w:t>
      </w:r>
      <w:r>
        <w:rPr>
          <w:rFonts w:hint="eastAsia" w:ascii="宋体" w:hAnsi="宋体" w:cs="宋体"/>
          <w:sz w:val="24"/>
          <w:szCs w:val="22"/>
        </w:rPr>
        <w:t xml:space="preserve">入院</w:t>
      </w:r>
      <w:r>
        <w:rPr>
          <w:rFonts w:ascii="宋体" w:hAnsi="宋体" w:cs="宋体"/>
          <w:sz w:val="24"/>
          <w:szCs w:val="22"/>
        </w:rPr>
        <w:t xml:space="preserve">人次、出院人次、出院患者占用总床日数、</w:t>
      </w:r>
      <w:r>
        <w:rPr>
          <w:rFonts w:hint="eastAsia" w:ascii="宋体" w:hAnsi="宋体" w:cs="宋体"/>
          <w:sz w:val="24"/>
          <w:szCs w:val="22"/>
        </w:rPr>
        <w:t xml:space="preserve">门诊</w:t>
      </w:r>
      <w:r>
        <w:rPr>
          <w:rFonts w:ascii="宋体" w:hAnsi="宋体" w:cs="宋体"/>
          <w:sz w:val="24"/>
          <w:szCs w:val="22"/>
        </w:rPr>
        <w:t xml:space="preserve">手术例数、急诊手术例数、住院</w:t>
      </w:r>
      <w:r>
        <w:rPr>
          <w:rFonts w:hint="eastAsia" w:ascii="宋体" w:hAnsi="宋体" w:cs="宋体"/>
          <w:sz w:val="24"/>
          <w:szCs w:val="22"/>
        </w:rPr>
        <w:t xml:space="preserve">手术例数</w:t>
      </w:r>
      <w:r>
        <w:rPr>
          <w:rFonts w:ascii="宋体" w:hAnsi="宋体" w:cs="宋体"/>
          <w:sz w:val="24"/>
          <w:szCs w:val="22"/>
        </w:rPr>
        <w:t xml:space="preserve">、择期手术</w:t>
      </w:r>
      <w:r>
        <w:rPr>
          <w:rFonts w:hint="eastAsia" w:ascii="宋体" w:hAnsi="宋体" w:cs="宋体"/>
          <w:sz w:val="24"/>
          <w:szCs w:val="22"/>
        </w:rPr>
        <w:t xml:space="preserve">例数等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治疗质量：出院</w:t>
      </w:r>
      <w:r>
        <w:rPr>
          <w:rFonts w:ascii="宋体" w:hAnsi="宋体" w:cs="宋体"/>
          <w:sz w:val="24"/>
          <w:szCs w:val="22"/>
        </w:rPr>
        <w:t xml:space="preserve">人次、住院患者自动出院（</w:t>
      </w:r>
      <w:r>
        <w:rPr>
          <w:rFonts w:hint="eastAsia" w:ascii="宋体" w:hAnsi="宋体" w:cs="宋体"/>
          <w:sz w:val="24"/>
          <w:szCs w:val="22"/>
        </w:rPr>
        <w:t xml:space="preserve">非医嘱离院</w:t>
      </w:r>
      <w:r>
        <w:rPr>
          <w:rFonts w:ascii="宋体" w:hAnsi="宋体" w:cs="宋体"/>
          <w:sz w:val="24"/>
          <w:szCs w:val="22"/>
        </w:rPr>
        <w:t xml:space="preserve">）</w:t>
      </w:r>
      <w:r>
        <w:rPr>
          <w:rFonts w:hint="eastAsia" w:ascii="宋体" w:hAnsi="宋体" w:cs="宋体"/>
          <w:sz w:val="24"/>
          <w:szCs w:val="22"/>
        </w:rPr>
        <w:t xml:space="preserve">人次</w:t>
      </w:r>
      <w:r>
        <w:rPr>
          <w:rFonts w:ascii="宋体" w:hAnsi="宋体" w:cs="宋体"/>
          <w:sz w:val="24"/>
          <w:szCs w:val="22"/>
        </w:rPr>
        <w:t xml:space="preserve">、住院患者死亡人数、新生儿患者住院死亡人数、手术患者住院死亡人数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工作效率：出院人次</w:t>
      </w:r>
      <w:r>
        <w:rPr>
          <w:rFonts w:ascii="宋体" w:hAnsi="宋体" w:cs="宋体"/>
          <w:sz w:val="24"/>
          <w:szCs w:val="22"/>
        </w:rPr>
        <w:t xml:space="preserve">、出院患者平均住院日、实际占用总床日数、实际开</w:t>
      </w:r>
      <w:r>
        <w:rPr>
          <w:rFonts w:hint="eastAsia" w:ascii="宋体" w:hAnsi="宋体" w:cs="宋体"/>
          <w:sz w:val="24"/>
          <w:szCs w:val="22"/>
        </w:rPr>
        <w:t xml:space="preserve">放</w:t>
      </w:r>
      <w:r>
        <w:rPr>
          <w:rFonts w:ascii="宋体" w:hAnsi="宋体" w:cs="宋体"/>
          <w:sz w:val="24"/>
          <w:szCs w:val="22"/>
        </w:rPr>
        <w:t xml:space="preserve">总床日数、平均每张床位工作日</w:t>
      </w:r>
      <w:r>
        <w:rPr>
          <w:rFonts w:hint="eastAsia" w:ascii="宋体" w:hAnsi="宋体" w:cs="宋体"/>
          <w:sz w:val="24"/>
          <w:szCs w:val="22"/>
        </w:rPr>
        <w:t xml:space="preserve">、</w:t>
      </w:r>
      <w:r>
        <w:rPr>
          <w:rFonts w:ascii="宋体" w:hAnsi="宋体" w:cs="宋体"/>
          <w:sz w:val="24"/>
          <w:szCs w:val="22"/>
        </w:rPr>
        <w:t xml:space="preserve">床位使用率、床位周转次数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患者负担：门诊人次</w:t>
      </w:r>
      <w:r>
        <w:rPr>
          <w:rFonts w:ascii="宋体" w:hAnsi="宋体" w:cs="宋体"/>
          <w:sz w:val="24"/>
          <w:szCs w:val="22"/>
        </w:rPr>
        <w:t xml:space="preserve">、门诊均次费用、</w:t>
      </w:r>
      <w:r>
        <w:rPr>
          <w:rFonts w:hint="eastAsia" w:ascii="宋体" w:hAnsi="宋体" w:cs="宋体"/>
          <w:sz w:val="24"/>
          <w:szCs w:val="22"/>
        </w:rPr>
        <w:t xml:space="preserve">门诊均次</w:t>
      </w:r>
      <w:r>
        <w:rPr>
          <w:rFonts w:ascii="宋体" w:hAnsi="宋体" w:cs="宋体"/>
          <w:sz w:val="24"/>
          <w:szCs w:val="22"/>
        </w:rPr>
        <w:t xml:space="preserve">药品费用、</w:t>
      </w:r>
      <w:r>
        <w:rPr>
          <w:rFonts w:hint="eastAsia" w:ascii="宋体" w:hAnsi="宋体" w:cs="宋体"/>
          <w:sz w:val="24"/>
          <w:szCs w:val="22"/>
        </w:rPr>
        <w:t xml:space="preserve">出院人次</w:t>
      </w:r>
      <w:r>
        <w:rPr>
          <w:rFonts w:ascii="宋体" w:hAnsi="宋体" w:cs="宋体"/>
          <w:sz w:val="24"/>
          <w:szCs w:val="22"/>
        </w:rPr>
        <w:t xml:space="preserve">、住院均次费用</w:t>
      </w:r>
      <w:r>
        <w:rPr>
          <w:rFonts w:hint="eastAsia" w:ascii="宋体" w:hAnsi="宋体" w:cs="宋体"/>
          <w:sz w:val="24"/>
          <w:szCs w:val="22"/>
        </w:rPr>
        <w:t xml:space="preserve">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住院死亡专题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w:t>
      </w:r>
      <w:r>
        <w:rPr>
          <w:rFonts w:ascii="宋体" w:hAnsi="宋体" w:cs="宋体"/>
          <w:sz w:val="24"/>
          <w:szCs w:val="22"/>
        </w:rPr>
        <w:t xml:space="preserve">死亡</w:t>
      </w:r>
      <w:r>
        <w:rPr>
          <w:rFonts w:hint="eastAsia" w:ascii="宋体" w:hAnsi="宋体" w:cs="宋体"/>
          <w:sz w:val="24"/>
          <w:szCs w:val="22"/>
        </w:rPr>
        <w:t xml:space="preserve">：出院人次</w:t>
      </w:r>
      <w:r>
        <w:rPr>
          <w:rFonts w:ascii="宋体" w:hAnsi="宋体" w:cs="宋体"/>
          <w:sz w:val="24"/>
          <w:szCs w:val="22"/>
        </w:rPr>
        <w:t xml:space="preserve">、住院患者死亡人数、住院患者死亡率、手术患者出院人次、手术患者住院死亡人数</w:t>
      </w:r>
      <w:r>
        <w:rPr>
          <w:rFonts w:hint="eastAsia" w:ascii="宋体" w:hAnsi="宋体" w:cs="宋体"/>
          <w:sz w:val="24"/>
          <w:szCs w:val="22"/>
        </w:rPr>
        <w:t xml:space="preserve">、</w:t>
      </w:r>
      <w:r>
        <w:rPr>
          <w:rFonts w:ascii="宋体" w:hAnsi="宋体" w:cs="宋体"/>
          <w:sz w:val="24"/>
          <w:szCs w:val="22"/>
        </w:rPr>
        <w:t xml:space="preserve">手术患者住院死亡率、手术患者重返手术室死亡人数、手术患者围手术期</w:t>
      </w:r>
      <w:r>
        <w:rPr>
          <w:rFonts w:hint="eastAsia" w:ascii="宋体" w:hAnsi="宋体" w:cs="宋体"/>
          <w:sz w:val="24"/>
          <w:szCs w:val="22"/>
        </w:rPr>
        <w:t xml:space="preserve">住院</w:t>
      </w:r>
      <w:r>
        <w:rPr>
          <w:rFonts w:ascii="宋体" w:hAnsi="宋体" w:cs="宋体"/>
          <w:sz w:val="24"/>
          <w:szCs w:val="22"/>
        </w:rPr>
        <w:t xml:space="preserve">死亡人数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新生儿</w:t>
      </w:r>
      <w:r>
        <w:rPr>
          <w:rFonts w:ascii="宋体" w:hAnsi="宋体" w:cs="宋体"/>
          <w:sz w:val="24"/>
          <w:szCs w:val="22"/>
        </w:rPr>
        <w:t xml:space="preserve">死亡</w:t>
      </w:r>
      <w:r>
        <w:rPr>
          <w:rFonts w:hint="eastAsia" w:ascii="宋体" w:hAnsi="宋体" w:cs="宋体"/>
          <w:sz w:val="24"/>
          <w:szCs w:val="22"/>
        </w:rPr>
        <w:t xml:space="preserve">：出生体重</w:t>
      </w:r>
      <w:r>
        <w:rPr>
          <w:rFonts w:ascii="宋体" w:hAnsi="宋体" w:cs="宋体"/>
          <w:sz w:val="24"/>
          <w:szCs w:val="22"/>
        </w:rPr>
        <w:t xml:space="preserve">分级的新生儿出院人次、新生儿患者住院死亡人数、新生儿患者住院死亡率、新生儿手术患者出院人次、新生儿手术患者住院死亡人数、</w:t>
      </w:r>
      <w:r>
        <w:rPr>
          <w:rFonts w:hint="eastAsia" w:ascii="宋体" w:hAnsi="宋体" w:cs="宋体"/>
          <w:sz w:val="24"/>
          <w:szCs w:val="22"/>
        </w:rPr>
        <w:t xml:space="preserve">新生儿</w:t>
      </w:r>
      <w:r>
        <w:rPr>
          <w:rFonts w:ascii="宋体" w:hAnsi="宋体" w:cs="宋体"/>
          <w:sz w:val="24"/>
          <w:szCs w:val="22"/>
        </w:rPr>
        <w:t xml:space="preserve">手术患者住院死亡率、新生儿非手术患者出院人次、新生儿非手术患者住院死亡人数等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重点疾病：重点疾病</w:t>
      </w:r>
      <w:r>
        <w:rPr>
          <w:rFonts w:ascii="宋体" w:hAnsi="宋体" w:cs="宋体"/>
          <w:sz w:val="24"/>
          <w:szCs w:val="22"/>
        </w:rPr>
        <w:t xml:space="preserve">住院死亡人数、重点疾病出院人次、重点</w:t>
      </w:r>
      <w:r>
        <w:rPr>
          <w:rFonts w:hint="eastAsia" w:ascii="宋体" w:hAnsi="宋体" w:cs="宋体"/>
          <w:sz w:val="24"/>
          <w:szCs w:val="22"/>
        </w:rPr>
        <w:t xml:space="preserve">疾病</w:t>
      </w:r>
      <w:r>
        <w:rPr>
          <w:rFonts w:ascii="宋体" w:hAnsi="宋体" w:cs="宋体"/>
          <w:sz w:val="24"/>
          <w:szCs w:val="22"/>
        </w:rPr>
        <w:t xml:space="preserve">住院死亡率等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重点手术：重点手术</w:t>
      </w:r>
      <w:r>
        <w:rPr>
          <w:rFonts w:ascii="宋体" w:hAnsi="宋体" w:cs="宋体"/>
          <w:sz w:val="24"/>
          <w:szCs w:val="22"/>
        </w:rPr>
        <w:t xml:space="preserve">出院人次</w:t>
      </w:r>
      <w:r>
        <w:rPr>
          <w:rFonts w:hint="eastAsia" w:ascii="宋体" w:hAnsi="宋体" w:cs="宋体"/>
          <w:sz w:val="24"/>
          <w:szCs w:val="22"/>
        </w:rPr>
        <w:t xml:space="preserve">、</w:t>
      </w:r>
      <w:r>
        <w:rPr>
          <w:rFonts w:ascii="宋体" w:hAnsi="宋体" w:cs="宋体"/>
          <w:sz w:val="24"/>
          <w:szCs w:val="22"/>
        </w:rPr>
        <w:t xml:space="preserve">重点</w:t>
      </w:r>
      <w:r>
        <w:rPr>
          <w:rFonts w:hint="eastAsia" w:ascii="宋体" w:hAnsi="宋体" w:cs="宋体"/>
          <w:sz w:val="24"/>
          <w:szCs w:val="22"/>
        </w:rPr>
        <w:t xml:space="preserve">手术</w:t>
      </w:r>
      <w:r>
        <w:rPr>
          <w:rFonts w:ascii="宋体" w:hAnsi="宋体" w:cs="宋体"/>
          <w:sz w:val="24"/>
          <w:szCs w:val="22"/>
        </w:rPr>
        <w:t xml:space="preserve">住院死亡人数、重点手术住院死亡率等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住院重返专题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住院重返：出院当天</w:t>
      </w:r>
      <w:r>
        <w:rPr>
          <w:rFonts w:ascii="宋体" w:hAnsi="宋体" w:cs="宋体"/>
          <w:sz w:val="24"/>
          <w:szCs w:val="22"/>
        </w:rPr>
        <w:t xml:space="preserve">再住院人次、出院当天再住院率、出院</w:t>
      </w:r>
      <w:r>
        <w:rPr>
          <w:rFonts w:hint="eastAsia" w:ascii="宋体" w:hAnsi="宋体" w:cs="宋体"/>
          <w:sz w:val="24"/>
          <w:szCs w:val="22"/>
        </w:rPr>
        <w:t xml:space="preserve">2</w:t>
      </w:r>
      <w:r>
        <w:rPr>
          <w:rFonts w:ascii="宋体" w:hAnsi="宋体" w:cs="宋体"/>
          <w:sz w:val="24"/>
          <w:szCs w:val="22"/>
        </w:rPr>
        <w:t xml:space="preserve">-15</w:t>
      </w:r>
      <w:r>
        <w:rPr>
          <w:rFonts w:hint="eastAsia" w:ascii="宋体" w:hAnsi="宋体" w:cs="宋体"/>
          <w:sz w:val="24"/>
          <w:szCs w:val="22"/>
        </w:rPr>
        <w:t xml:space="preserve">天</w:t>
      </w:r>
      <w:r>
        <w:rPr>
          <w:rFonts w:ascii="宋体" w:hAnsi="宋体" w:cs="宋体"/>
          <w:sz w:val="24"/>
          <w:szCs w:val="22"/>
        </w:rPr>
        <w:t xml:space="preserve">内再住院人次、出院</w:t>
      </w:r>
      <w:r>
        <w:rPr>
          <w:rFonts w:hint="eastAsia" w:ascii="宋体" w:hAnsi="宋体" w:cs="宋体"/>
          <w:sz w:val="24"/>
          <w:szCs w:val="22"/>
        </w:rPr>
        <w:t xml:space="preserve">2</w:t>
      </w:r>
      <w:r>
        <w:rPr>
          <w:rFonts w:ascii="宋体" w:hAnsi="宋体" w:cs="宋体"/>
          <w:sz w:val="24"/>
          <w:szCs w:val="22"/>
        </w:rPr>
        <w:t xml:space="preserve">-15</w:t>
      </w:r>
      <w:r>
        <w:rPr>
          <w:rFonts w:hint="eastAsia" w:ascii="宋体" w:hAnsi="宋体" w:cs="宋体"/>
          <w:sz w:val="24"/>
          <w:szCs w:val="22"/>
        </w:rPr>
        <w:t xml:space="preserve">天</w:t>
      </w:r>
      <w:r>
        <w:rPr>
          <w:rFonts w:ascii="宋体" w:hAnsi="宋体" w:cs="宋体"/>
          <w:sz w:val="24"/>
          <w:szCs w:val="22"/>
        </w:rPr>
        <w:t xml:space="preserve">内再住院率、出院</w:t>
      </w:r>
      <w:r>
        <w:rPr>
          <w:rFonts w:hint="eastAsia" w:ascii="宋体" w:hAnsi="宋体" w:cs="宋体"/>
          <w:sz w:val="24"/>
          <w:szCs w:val="22"/>
        </w:rPr>
        <w:t xml:space="preserve">16</w:t>
      </w:r>
      <w:r>
        <w:rPr>
          <w:rFonts w:ascii="宋体" w:hAnsi="宋体" w:cs="宋体"/>
          <w:sz w:val="24"/>
          <w:szCs w:val="22"/>
        </w:rPr>
        <w:t xml:space="preserve">-31</w:t>
      </w:r>
      <w:r>
        <w:rPr>
          <w:rFonts w:hint="eastAsia" w:ascii="宋体" w:hAnsi="宋体" w:cs="宋体"/>
          <w:sz w:val="24"/>
          <w:szCs w:val="22"/>
        </w:rPr>
        <w:t xml:space="preserve">天</w:t>
      </w:r>
      <w:r>
        <w:rPr>
          <w:rFonts w:ascii="宋体" w:hAnsi="宋体" w:cs="宋体"/>
          <w:sz w:val="24"/>
          <w:szCs w:val="22"/>
        </w:rPr>
        <w:t xml:space="preserve">再住院人次等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手术重返：手术患者</w:t>
      </w:r>
      <w:r>
        <w:rPr>
          <w:rFonts w:ascii="宋体" w:hAnsi="宋体" w:cs="宋体"/>
          <w:sz w:val="24"/>
          <w:szCs w:val="22"/>
        </w:rPr>
        <w:t xml:space="preserve">出院人次、手术患者重返手术室例数、手术患者</w:t>
      </w:r>
      <w:r>
        <w:rPr>
          <w:rFonts w:hint="eastAsia" w:ascii="宋体" w:hAnsi="宋体" w:cs="宋体"/>
          <w:sz w:val="24"/>
          <w:szCs w:val="22"/>
        </w:rPr>
        <w:t xml:space="preserve">重返</w:t>
      </w:r>
      <w:r>
        <w:rPr>
          <w:rFonts w:ascii="宋体" w:hAnsi="宋体" w:cs="宋体"/>
          <w:sz w:val="24"/>
          <w:szCs w:val="22"/>
        </w:rPr>
        <w:t xml:space="preserve">手术室发生率、择期</w:t>
      </w:r>
      <w:r>
        <w:rPr>
          <w:rFonts w:hint="eastAsia" w:ascii="宋体" w:hAnsi="宋体" w:cs="宋体"/>
          <w:sz w:val="24"/>
          <w:szCs w:val="22"/>
        </w:rPr>
        <w:t xml:space="preserve">手术患者</w:t>
      </w:r>
      <w:r>
        <w:rPr>
          <w:rFonts w:ascii="宋体" w:hAnsi="宋体" w:cs="宋体"/>
          <w:sz w:val="24"/>
          <w:szCs w:val="22"/>
        </w:rPr>
        <w:t xml:space="preserve">出院人次、择期手术重返手术室例数等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重点疾病</w:t>
      </w:r>
      <w:r>
        <w:rPr>
          <w:rFonts w:ascii="宋体" w:hAnsi="宋体" w:cs="宋体"/>
          <w:sz w:val="24"/>
          <w:szCs w:val="22"/>
        </w:rPr>
        <w:t xml:space="preserve">重返</w:t>
      </w:r>
      <w:r>
        <w:rPr>
          <w:rFonts w:hint="eastAsia" w:ascii="宋体" w:hAnsi="宋体" w:cs="宋体"/>
          <w:sz w:val="24"/>
          <w:szCs w:val="22"/>
        </w:rPr>
        <w:t xml:space="preserve">：重点</w:t>
      </w:r>
      <w:r>
        <w:rPr>
          <w:rFonts w:ascii="宋体" w:hAnsi="宋体" w:cs="宋体"/>
          <w:sz w:val="24"/>
          <w:szCs w:val="22"/>
        </w:rPr>
        <w:t xml:space="preserve">疾病出院</w:t>
      </w:r>
      <w:r>
        <w:rPr>
          <w:rFonts w:hint="eastAsia" w:ascii="宋体" w:hAnsi="宋体" w:cs="宋体"/>
          <w:sz w:val="24"/>
          <w:szCs w:val="22"/>
        </w:rPr>
        <w:t xml:space="preserve">31天</w:t>
      </w:r>
      <w:r>
        <w:rPr>
          <w:rFonts w:ascii="宋体" w:hAnsi="宋体" w:cs="宋体"/>
          <w:sz w:val="24"/>
          <w:szCs w:val="22"/>
        </w:rPr>
        <w:t xml:space="preserve">内再住院率</w:t>
      </w:r>
      <w:r>
        <w:rPr>
          <w:rFonts w:hint="eastAsia" w:ascii="宋体" w:hAnsi="宋体" w:cs="宋体"/>
          <w:sz w:val="24"/>
          <w:szCs w:val="22"/>
        </w:rPr>
        <w:t xml:space="preserve">、</w:t>
      </w:r>
      <w:r>
        <w:rPr>
          <w:rFonts w:ascii="宋体" w:hAnsi="宋体" w:cs="宋体"/>
          <w:sz w:val="24"/>
          <w:szCs w:val="22"/>
        </w:rPr>
        <w:t xml:space="preserve">重点疾病出院</w:t>
      </w:r>
      <w:r>
        <w:rPr>
          <w:rFonts w:hint="eastAsia" w:ascii="宋体" w:hAnsi="宋体" w:cs="宋体"/>
          <w:sz w:val="24"/>
          <w:szCs w:val="22"/>
        </w:rPr>
        <w:t xml:space="preserve">15天内再</w:t>
      </w:r>
      <w:r>
        <w:rPr>
          <w:rFonts w:ascii="宋体" w:hAnsi="宋体" w:cs="宋体"/>
          <w:sz w:val="24"/>
          <w:szCs w:val="22"/>
        </w:rPr>
        <w:t xml:space="preserve">住院率等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重点手术</w:t>
      </w:r>
      <w:r>
        <w:rPr>
          <w:rFonts w:ascii="宋体" w:hAnsi="宋体" w:cs="宋体"/>
          <w:sz w:val="24"/>
          <w:szCs w:val="22"/>
        </w:rPr>
        <w:t xml:space="preserve">重返</w:t>
      </w:r>
      <w:r>
        <w:rPr>
          <w:rFonts w:hint="eastAsia" w:ascii="宋体" w:hAnsi="宋体" w:cs="宋体"/>
          <w:sz w:val="24"/>
          <w:szCs w:val="22"/>
        </w:rPr>
        <w:t xml:space="preserve">：重点手术</w:t>
      </w:r>
      <w:r>
        <w:rPr>
          <w:rFonts w:ascii="宋体" w:hAnsi="宋体" w:cs="宋体"/>
          <w:sz w:val="24"/>
          <w:szCs w:val="22"/>
        </w:rPr>
        <w:t xml:space="preserve">出院</w:t>
      </w:r>
      <w:r>
        <w:rPr>
          <w:rFonts w:hint="eastAsia" w:ascii="宋体" w:hAnsi="宋体" w:cs="宋体"/>
          <w:sz w:val="24"/>
          <w:szCs w:val="22"/>
        </w:rPr>
        <w:t xml:space="preserve">31天</w:t>
      </w:r>
      <w:r>
        <w:rPr>
          <w:rFonts w:ascii="宋体" w:hAnsi="宋体" w:cs="宋体"/>
          <w:sz w:val="24"/>
          <w:szCs w:val="22"/>
        </w:rPr>
        <w:t xml:space="preserve">内再住院率</w:t>
      </w:r>
      <w:r>
        <w:rPr>
          <w:rFonts w:hint="eastAsia" w:ascii="宋体" w:hAnsi="宋体" w:cs="宋体"/>
          <w:sz w:val="24"/>
          <w:szCs w:val="22"/>
        </w:rPr>
        <w:t xml:space="preserve">、</w:t>
      </w:r>
      <w:r>
        <w:rPr>
          <w:rFonts w:ascii="宋体" w:hAnsi="宋体" w:cs="宋体"/>
          <w:sz w:val="24"/>
          <w:szCs w:val="22"/>
        </w:rPr>
        <w:t xml:space="preserve">重点</w:t>
      </w:r>
      <w:r>
        <w:rPr>
          <w:rFonts w:hint="eastAsia" w:ascii="宋体" w:hAnsi="宋体" w:cs="宋体"/>
          <w:sz w:val="24"/>
          <w:szCs w:val="22"/>
        </w:rPr>
        <w:t xml:space="preserve">手术</w:t>
      </w:r>
      <w:r>
        <w:rPr>
          <w:rFonts w:ascii="宋体" w:hAnsi="宋体" w:cs="宋体"/>
          <w:sz w:val="24"/>
          <w:szCs w:val="22"/>
        </w:rPr>
        <w:t xml:space="preserve">重返手术室发生率等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医院感染专题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医院</w:t>
      </w:r>
      <w:r>
        <w:rPr>
          <w:rFonts w:ascii="宋体" w:hAnsi="宋体" w:cs="宋体"/>
          <w:sz w:val="24"/>
          <w:szCs w:val="22"/>
        </w:rPr>
        <w:t xml:space="preserve">感染</w:t>
      </w:r>
      <w:r>
        <w:rPr>
          <w:rFonts w:hint="eastAsia" w:ascii="宋体" w:hAnsi="宋体" w:cs="宋体"/>
          <w:sz w:val="24"/>
          <w:szCs w:val="22"/>
        </w:rPr>
        <w:t xml:space="preserve">：医院感染</w:t>
      </w:r>
      <w:r>
        <w:rPr>
          <w:rFonts w:ascii="宋体" w:hAnsi="宋体" w:cs="宋体"/>
          <w:sz w:val="24"/>
          <w:szCs w:val="22"/>
        </w:rPr>
        <w:t xml:space="preserve">发生例数、医院感染总发生率、新生儿</w:t>
      </w:r>
      <w:r>
        <w:rPr>
          <w:rFonts w:hint="eastAsia" w:ascii="宋体" w:hAnsi="宋体" w:cs="宋体"/>
          <w:sz w:val="24"/>
          <w:szCs w:val="22"/>
        </w:rPr>
        <w:t xml:space="preserve">医院</w:t>
      </w:r>
      <w:r>
        <w:rPr>
          <w:rFonts w:ascii="宋体" w:hAnsi="宋体" w:cs="宋体"/>
          <w:sz w:val="24"/>
          <w:szCs w:val="22"/>
        </w:rPr>
        <w:t xml:space="preserve">感染发生例数、新生儿医院感染发生率等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手术感染：手术</w:t>
      </w:r>
      <w:r>
        <w:rPr>
          <w:rFonts w:ascii="宋体" w:hAnsi="宋体" w:cs="宋体"/>
          <w:sz w:val="24"/>
          <w:szCs w:val="22"/>
        </w:rPr>
        <w:t xml:space="preserve">患者出院</w:t>
      </w:r>
      <w:r>
        <w:rPr>
          <w:rFonts w:hint="eastAsia" w:ascii="宋体" w:hAnsi="宋体" w:cs="宋体"/>
          <w:sz w:val="24"/>
          <w:szCs w:val="22"/>
        </w:rPr>
        <w:t xml:space="preserve">人次</w:t>
      </w:r>
      <w:r>
        <w:rPr>
          <w:rFonts w:ascii="宋体" w:hAnsi="宋体" w:cs="宋体"/>
          <w:sz w:val="24"/>
          <w:szCs w:val="22"/>
        </w:rPr>
        <w:t xml:space="preserve">、手术相关</w:t>
      </w:r>
      <w:r>
        <w:rPr>
          <w:rFonts w:hint="eastAsia" w:ascii="宋体" w:hAnsi="宋体" w:cs="宋体"/>
          <w:sz w:val="24"/>
          <w:szCs w:val="22"/>
        </w:rPr>
        <w:t xml:space="preserve">医院</w:t>
      </w:r>
      <w:r>
        <w:rPr>
          <w:rFonts w:ascii="宋体" w:hAnsi="宋体" w:cs="宋体"/>
          <w:sz w:val="24"/>
          <w:szCs w:val="22"/>
        </w:rPr>
        <w:t xml:space="preserve">感染发生率、手术患者肺部感染发生例数、手术患者肺部感染发生率等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手术</w:t>
      </w:r>
      <w:r>
        <w:rPr>
          <w:rFonts w:ascii="宋体" w:hAnsi="宋体" w:cs="宋体"/>
          <w:sz w:val="24"/>
          <w:szCs w:val="22"/>
        </w:rPr>
        <w:t xml:space="preserve">感染（</w:t>
      </w:r>
      <w:r>
        <w:rPr>
          <w:rFonts w:hint="eastAsia" w:ascii="宋体" w:hAnsi="宋体" w:cs="宋体"/>
          <w:sz w:val="24"/>
          <w:szCs w:val="22"/>
        </w:rPr>
        <w:t xml:space="preserve">明细</w:t>
      </w:r>
      <w:r>
        <w:rPr>
          <w:rFonts w:ascii="宋体" w:hAnsi="宋体" w:cs="宋体"/>
          <w:sz w:val="24"/>
          <w:szCs w:val="22"/>
        </w:rPr>
        <w:t xml:space="preserve">）</w:t>
      </w:r>
      <w:r>
        <w:rPr>
          <w:rFonts w:hint="eastAsia" w:ascii="宋体" w:hAnsi="宋体" w:cs="宋体"/>
          <w:sz w:val="24"/>
          <w:szCs w:val="22"/>
        </w:rPr>
        <w:t xml:space="preserve">：0级</w:t>
      </w:r>
      <w:r>
        <w:rPr>
          <w:rFonts w:ascii="宋体" w:hAnsi="宋体" w:cs="宋体"/>
          <w:sz w:val="24"/>
          <w:szCs w:val="22"/>
        </w:rPr>
        <w:t xml:space="preserve">风险手术总例数、</w:t>
      </w:r>
      <w:r>
        <w:rPr>
          <w:rFonts w:hint="eastAsia" w:ascii="宋体" w:hAnsi="宋体" w:cs="宋体"/>
          <w:sz w:val="24"/>
          <w:szCs w:val="22"/>
        </w:rPr>
        <w:t xml:space="preserve">0级</w:t>
      </w:r>
      <w:r>
        <w:rPr>
          <w:rFonts w:ascii="宋体" w:hAnsi="宋体" w:cs="宋体"/>
          <w:sz w:val="24"/>
          <w:szCs w:val="22"/>
        </w:rPr>
        <w:t xml:space="preserve">手术感染例数、</w:t>
      </w:r>
      <w:r>
        <w:rPr>
          <w:rFonts w:hint="eastAsia" w:ascii="宋体" w:hAnsi="宋体" w:cs="宋体"/>
          <w:sz w:val="24"/>
          <w:szCs w:val="22"/>
        </w:rPr>
        <w:t xml:space="preserve">0级</w:t>
      </w:r>
      <w:r>
        <w:rPr>
          <w:rFonts w:ascii="宋体" w:hAnsi="宋体" w:cs="宋体"/>
          <w:sz w:val="24"/>
          <w:szCs w:val="22"/>
        </w:rPr>
        <w:t xml:space="preserve">手术感染发病率、I级风险手术总例数</w:t>
      </w:r>
      <w:r>
        <w:rPr>
          <w:rFonts w:hint="eastAsia" w:ascii="宋体" w:hAnsi="宋体" w:cs="宋体"/>
          <w:sz w:val="24"/>
          <w:szCs w:val="22"/>
        </w:rPr>
        <w:t xml:space="preserve">、</w:t>
      </w:r>
      <w:r>
        <w:rPr>
          <w:rFonts w:ascii="宋体" w:hAnsi="宋体" w:cs="宋体"/>
          <w:sz w:val="24"/>
          <w:szCs w:val="22"/>
        </w:rPr>
        <w:t xml:space="preserve">I级手术感染例数、</w:t>
      </w:r>
      <w:r>
        <w:rPr>
          <w:rFonts w:hint="eastAsia" w:ascii="宋体" w:hAnsi="宋体" w:cs="宋体"/>
          <w:sz w:val="24"/>
          <w:szCs w:val="22"/>
        </w:rPr>
        <w:t xml:space="preserve">I</w:t>
      </w:r>
      <w:r>
        <w:rPr>
          <w:rFonts w:ascii="宋体" w:hAnsi="宋体" w:cs="宋体"/>
          <w:sz w:val="24"/>
          <w:szCs w:val="22"/>
        </w:rPr>
        <w:t xml:space="preserve">级手术感染发病率、</w:t>
      </w:r>
      <w:r>
        <w:rPr>
          <w:rFonts w:hint="eastAsia" w:ascii="宋体" w:hAnsi="宋体" w:cs="宋体"/>
          <w:sz w:val="24"/>
          <w:szCs w:val="22"/>
        </w:rPr>
        <w:t xml:space="preserve">二级</w:t>
      </w:r>
      <w:r>
        <w:rPr>
          <w:rFonts w:ascii="宋体" w:hAnsi="宋体" w:cs="宋体"/>
          <w:sz w:val="24"/>
          <w:szCs w:val="22"/>
        </w:rPr>
        <w:t xml:space="preserve">手术感染例数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ICU</w:t>
      </w:r>
      <w:r>
        <w:rPr>
          <w:rFonts w:ascii="宋体" w:hAnsi="宋体" w:cs="宋体"/>
          <w:sz w:val="24"/>
          <w:szCs w:val="22"/>
        </w:rPr>
        <w:t xml:space="preserve">感染</w:t>
      </w:r>
      <w:r>
        <w:rPr>
          <w:rFonts w:hint="eastAsia" w:ascii="宋体" w:hAnsi="宋体" w:cs="宋体"/>
          <w:sz w:val="24"/>
          <w:szCs w:val="22"/>
        </w:rPr>
        <w:t xml:space="preserve">：ICU</w:t>
      </w:r>
      <w:r>
        <w:rPr>
          <w:rFonts w:ascii="宋体" w:hAnsi="宋体" w:cs="宋体"/>
          <w:sz w:val="24"/>
          <w:szCs w:val="22"/>
        </w:rPr>
        <w:t xml:space="preserve">患者使用中心静脉置管总日数、ICU中心静脉置管血流感染人数、ICU中心静脉置管相关血流感染发病率、ICU</w:t>
      </w:r>
      <w:r>
        <w:rPr>
          <w:rFonts w:hint="eastAsia" w:ascii="宋体" w:hAnsi="宋体" w:cs="宋体"/>
          <w:sz w:val="24"/>
          <w:szCs w:val="22"/>
        </w:rPr>
        <w:t xml:space="preserve">患者</w:t>
      </w:r>
      <w:r>
        <w:rPr>
          <w:rFonts w:ascii="宋体" w:hAnsi="宋体" w:cs="宋体"/>
          <w:sz w:val="24"/>
          <w:szCs w:val="22"/>
        </w:rPr>
        <w:t xml:space="preserve">使用呼吸机总日数、ICU呼吸机相关肺炎例数、ICU留置导尿管泌尿系感染人数</w:t>
      </w:r>
      <w:r>
        <w:rPr>
          <w:rFonts w:hint="eastAsia" w:ascii="宋体" w:hAnsi="宋体" w:cs="宋体"/>
          <w:sz w:val="24"/>
          <w:szCs w:val="22"/>
        </w:rPr>
        <w:t xml:space="preserve">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手术并发症专题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手术并发症：手术患者</w:t>
      </w:r>
      <w:r>
        <w:rPr>
          <w:rFonts w:ascii="宋体" w:hAnsi="宋体" w:cs="宋体"/>
          <w:sz w:val="24"/>
          <w:szCs w:val="22"/>
        </w:rPr>
        <w:t xml:space="preserve">并发症</w:t>
      </w:r>
      <w:r>
        <w:rPr>
          <w:rFonts w:hint="eastAsia" w:ascii="宋体" w:hAnsi="宋体" w:cs="宋体"/>
          <w:sz w:val="24"/>
          <w:szCs w:val="22"/>
        </w:rPr>
        <w:t xml:space="preserve">发生例数</w:t>
      </w:r>
      <w:r>
        <w:rPr>
          <w:rFonts w:ascii="宋体" w:hAnsi="宋体" w:cs="宋体"/>
          <w:sz w:val="24"/>
          <w:szCs w:val="22"/>
        </w:rPr>
        <w:t xml:space="preserve">、手术患者并发症发生率、手术并发症患者住院死亡例数、手术并发症患者</w:t>
      </w:r>
      <w:r>
        <w:rPr>
          <w:rFonts w:hint="eastAsia" w:ascii="宋体" w:hAnsi="宋体" w:cs="宋体"/>
          <w:sz w:val="24"/>
          <w:szCs w:val="22"/>
        </w:rPr>
        <w:t xml:space="preserve">住院</w:t>
      </w:r>
      <w:r>
        <w:rPr>
          <w:rFonts w:ascii="宋体" w:hAnsi="宋体" w:cs="宋体"/>
          <w:sz w:val="24"/>
          <w:szCs w:val="22"/>
        </w:rPr>
        <w:t xml:space="preserve">死亡率等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手术</w:t>
      </w:r>
      <w:r>
        <w:rPr>
          <w:rFonts w:ascii="宋体" w:hAnsi="宋体" w:cs="宋体"/>
          <w:sz w:val="24"/>
          <w:szCs w:val="22"/>
        </w:rPr>
        <w:t xml:space="preserve">并发症（</w:t>
      </w:r>
      <w:r>
        <w:rPr>
          <w:rFonts w:hint="eastAsia" w:ascii="宋体" w:hAnsi="宋体" w:cs="宋体"/>
          <w:sz w:val="24"/>
          <w:szCs w:val="22"/>
        </w:rPr>
        <w:t xml:space="preserve">明细</w:t>
      </w:r>
      <w:r>
        <w:rPr>
          <w:rFonts w:ascii="宋体" w:hAnsi="宋体" w:cs="宋体"/>
          <w:sz w:val="24"/>
          <w:szCs w:val="22"/>
        </w:rPr>
        <w:t xml:space="preserve">）</w:t>
      </w:r>
      <w:r>
        <w:rPr>
          <w:rFonts w:hint="eastAsia" w:ascii="宋体" w:hAnsi="宋体" w:cs="宋体"/>
          <w:sz w:val="24"/>
          <w:szCs w:val="22"/>
        </w:rPr>
        <w:t xml:space="preserve">：手术</w:t>
      </w:r>
      <w:r>
        <w:rPr>
          <w:rFonts w:ascii="宋体" w:hAnsi="宋体" w:cs="宋体"/>
          <w:sz w:val="24"/>
          <w:szCs w:val="22"/>
        </w:rPr>
        <w:t xml:space="preserve">患者手术后肺栓塞发生例数、手术患者手术</w:t>
      </w:r>
      <w:r>
        <w:rPr>
          <w:rFonts w:hint="eastAsia" w:ascii="宋体" w:hAnsi="宋体" w:cs="宋体"/>
          <w:sz w:val="24"/>
          <w:szCs w:val="22"/>
        </w:rPr>
        <w:t xml:space="preserve">后</w:t>
      </w:r>
      <w:r>
        <w:rPr>
          <w:rFonts w:ascii="宋体" w:hAnsi="宋体" w:cs="宋体"/>
          <w:sz w:val="24"/>
          <w:szCs w:val="22"/>
        </w:rPr>
        <w:t xml:space="preserve">深静脉血栓例数、手术患者手术后败血症发生例数、</w:t>
      </w:r>
      <w:r>
        <w:rPr>
          <w:rFonts w:hint="eastAsia" w:ascii="宋体" w:hAnsi="宋体" w:cs="宋体"/>
          <w:sz w:val="24"/>
          <w:szCs w:val="22"/>
        </w:rPr>
        <w:t xml:space="preserve">手术</w:t>
      </w:r>
      <w:r>
        <w:rPr>
          <w:rFonts w:ascii="宋体" w:hAnsi="宋体" w:cs="宋体"/>
          <w:sz w:val="24"/>
          <w:szCs w:val="22"/>
        </w:rPr>
        <w:t xml:space="preserve">患者手术后</w:t>
      </w:r>
      <w:r>
        <w:rPr>
          <w:rFonts w:hint="eastAsia" w:ascii="宋体" w:hAnsi="宋体" w:cs="宋体"/>
          <w:sz w:val="24"/>
          <w:szCs w:val="22"/>
        </w:rPr>
        <w:t xml:space="preserve">出血</w:t>
      </w:r>
      <w:r>
        <w:rPr>
          <w:rFonts w:ascii="宋体" w:hAnsi="宋体" w:cs="宋体"/>
          <w:sz w:val="24"/>
          <w:szCs w:val="22"/>
        </w:rPr>
        <w:t xml:space="preserve">或血肿发生例数、</w:t>
      </w:r>
      <w:r>
        <w:rPr>
          <w:rFonts w:hint="eastAsia" w:ascii="宋体" w:hAnsi="宋体" w:cs="宋体"/>
          <w:sz w:val="24"/>
          <w:szCs w:val="22"/>
        </w:rPr>
        <w:t xml:space="preserve">手术</w:t>
      </w:r>
      <w:r>
        <w:rPr>
          <w:rFonts w:ascii="宋体" w:hAnsi="宋体" w:cs="宋体"/>
          <w:sz w:val="24"/>
          <w:szCs w:val="22"/>
        </w:rPr>
        <w:t xml:space="preserve">患者手术伤口裂开发生例数、手术患者手术后猝死发生例数等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患者安全专题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入院前</w:t>
      </w:r>
      <w:r>
        <w:rPr>
          <w:rFonts w:ascii="宋体" w:hAnsi="宋体" w:cs="宋体"/>
          <w:sz w:val="24"/>
          <w:szCs w:val="22"/>
        </w:rPr>
        <w:t xml:space="preserve">压疮（</w:t>
      </w:r>
      <w:r>
        <w:rPr>
          <w:rFonts w:hint="eastAsia" w:ascii="宋体" w:hAnsi="宋体" w:cs="宋体"/>
          <w:sz w:val="24"/>
          <w:szCs w:val="22"/>
        </w:rPr>
        <w:t xml:space="preserve">等级</w:t>
      </w:r>
      <w:r>
        <w:rPr>
          <w:rFonts w:ascii="宋体" w:hAnsi="宋体" w:cs="宋体"/>
          <w:sz w:val="24"/>
          <w:szCs w:val="22"/>
        </w:rPr>
        <w:t xml:space="preserve">）</w:t>
      </w:r>
      <w:r>
        <w:rPr>
          <w:rFonts w:hint="eastAsia" w:ascii="宋体" w:hAnsi="宋体" w:cs="宋体"/>
          <w:sz w:val="24"/>
          <w:szCs w:val="22"/>
        </w:rPr>
        <w:t xml:space="preserve">：入院</w:t>
      </w:r>
      <w:r>
        <w:rPr>
          <w:rFonts w:ascii="宋体" w:hAnsi="宋体" w:cs="宋体"/>
          <w:sz w:val="24"/>
          <w:szCs w:val="22"/>
        </w:rPr>
        <w:t xml:space="preserve">前压疮人次、入院前压疮发生率、入院前一级压疮人次、入院前一级压疮发生率、</w:t>
      </w:r>
      <w:r>
        <w:rPr>
          <w:rFonts w:hint="eastAsia" w:ascii="宋体" w:hAnsi="宋体" w:cs="宋体"/>
          <w:sz w:val="24"/>
          <w:szCs w:val="22"/>
        </w:rPr>
        <w:t xml:space="preserve">入院前</w:t>
      </w:r>
      <w:r>
        <w:rPr>
          <w:rFonts w:ascii="宋体" w:hAnsi="宋体" w:cs="宋体"/>
          <w:sz w:val="24"/>
          <w:szCs w:val="22"/>
        </w:rPr>
        <w:t xml:space="preserve">二级压疮人次、入院前二级压疮发生率、入院前三级压疮人次、入院前三级压疮发生率、入院前</w:t>
      </w:r>
      <w:r>
        <w:rPr>
          <w:rFonts w:hint="eastAsia" w:ascii="宋体" w:hAnsi="宋体" w:cs="宋体"/>
          <w:sz w:val="24"/>
          <w:szCs w:val="22"/>
        </w:rPr>
        <w:t xml:space="preserve">四</w:t>
      </w:r>
      <w:r>
        <w:rPr>
          <w:rFonts w:ascii="宋体" w:hAnsi="宋体" w:cs="宋体"/>
          <w:sz w:val="24"/>
          <w:szCs w:val="22"/>
        </w:rPr>
        <w:t xml:space="preserve">级压疮人次、入院前</w:t>
      </w:r>
      <w:r>
        <w:rPr>
          <w:rFonts w:hint="eastAsia" w:ascii="宋体" w:hAnsi="宋体" w:cs="宋体"/>
          <w:sz w:val="24"/>
          <w:szCs w:val="22"/>
        </w:rPr>
        <w:t xml:space="preserve">四</w:t>
      </w:r>
      <w:r>
        <w:rPr>
          <w:rFonts w:ascii="宋体" w:hAnsi="宋体" w:cs="宋体"/>
          <w:sz w:val="24"/>
          <w:szCs w:val="22"/>
        </w:rPr>
        <w:t xml:space="preserve">级压疮发生率等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入院前</w:t>
      </w:r>
      <w:r>
        <w:rPr>
          <w:rFonts w:ascii="宋体" w:hAnsi="宋体" w:cs="宋体"/>
          <w:sz w:val="24"/>
          <w:szCs w:val="22"/>
        </w:rPr>
        <w:t xml:space="preserve">压疮（</w:t>
      </w:r>
      <w:r>
        <w:rPr>
          <w:rFonts w:hint="eastAsia" w:ascii="宋体" w:hAnsi="宋体" w:cs="宋体"/>
          <w:sz w:val="24"/>
          <w:szCs w:val="22"/>
        </w:rPr>
        <w:t xml:space="preserve">来源</w:t>
      </w:r>
      <w:r>
        <w:rPr>
          <w:rFonts w:ascii="宋体" w:hAnsi="宋体" w:cs="宋体"/>
          <w:sz w:val="24"/>
          <w:szCs w:val="22"/>
        </w:rPr>
        <w:t xml:space="preserve">）</w:t>
      </w:r>
      <w:r>
        <w:rPr>
          <w:rFonts w:hint="eastAsia" w:ascii="宋体" w:hAnsi="宋体" w:cs="宋体"/>
          <w:sz w:val="24"/>
          <w:szCs w:val="22"/>
        </w:rPr>
        <w:t xml:space="preserve">：自家庭</w:t>
      </w:r>
      <w:r>
        <w:rPr>
          <w:rFonts w:ascii="宋体" w:hAnsi="宋体" w:cs="宋体"/>
          <w:sz w:val="24"/>
          <w:szCs w:val="22"/>
        </w:rPr>
        <w:t xml:space="preserve">入住压疮</w:t>
      </w:r>
      <w:r>
        <w:rPr>
          <w:rFonts w:hint="eastAsia" w:ascii="宋体" w:hAnsi="宋体" w:cs="宋体"/>
          <w:sz w:val="24"/>
          <w:szCs w:val="22"/>
        </w:rPr>
        <w:t xml:space="preserve">人次</w:t>
      </w:r>
      <w:r>
        <w:rPr>
          <w:rFonts w:ascii="宋体" w:hAnsi="宋体" w:cs="宋体"/>
          <w:sz w:val="24"/>
          <w:szCs w:val="22"/>
        </w:rPr>
        <w:t xml:space="preserve">、自养老院入住压疮发生人次、</w:t>
      </w:r>
      <w:r>
        <w:rPr>
          <w:rFonts w:hint="eastAsia" w:ascii="宋体" w:hAnsi="宋体" w:cs="宋体"/>
          <w:sz w:val="24"/>
          <w:szCs w:val="22"/>
        </w:rPr>
        <w:t xml:space="preserve">自其它</w:t>
      </w:r>
      <w:r>
        <w:rPr>
          <w:rFonts w:ascii="宋体" w:hAnsi="宋体" w:cs="宋体"/>
          <w:sz w:val="24"/>
          <w:szCs w:val="22"/>
        </w:rPr>
        <w:t xml:space="preserve">医院转入压疮人次、自其它来源入住压疮人次</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住院压疮</w:t>
      </w:r>
      <w:r>
        <w:rPr>
          <w:rFonts w:ascii="宋体" w:hAnsi="宋体" w:cs="宋体"/>
          <w:sz w:val="24"/>
          <w:szCs w:val="22"/>
        </w:rPr>
        <w:t xml:space="preserve">（</w:t>
      </w:r>
      <w:r>
        <w:rPr>
          <w:rFonts w:hint="eastAsia" w:ascii="宋体" w:hAnsi="宋体" w:cs="宋体"/>
          <w:sz w:val="24"/>
          <w:szCs w:val="22"/>
        </w:rPr>
        <w:t xml:space="preserve">等级</w:t>
      </w:r>
      <w:r>
        <w:rPr>
          <w:rFonts w:ascii="宋体" w:hAnsi="宋体" w:cs="宋体"/>
          <w:sz w:val="24"/>
          <w:szCs w:val="22"/>
        </w:rPr>
        <w:t xml:space="preserve">）</w:t>
      </w:r>
      <w:r>
        <w:rPr>
          <w:rFonts w:hint="eastAsia" w:ascii="宋体" w:hAnsi="宋体" w:cs="宋体"/>
          <w:sz w:val="24"/>
          <w:szCs w:val="22"/>
        </w:rPr>
        <w:t xml:space="preserve">：出院人次</w:t>
      </w:r>
      <w:r>
        <w:rPr>
          <w:rFonts w:ascii="宋体" w:hAnsi="宋体" w:cs="宋体"/>
          <w:sz w:val="24"/>
          <w:szCs w:val="22"/>
        </w:rPr>
        <w:t xml:space="preserve">、住院期间压疮人次、住院期间压疮发生率、住院期间一级压疮人次、住院期间二级压疮人次</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住院期间</w:t>
      </w:r>
      <w:r>
        <w:rPr>
          <w:rFonts w:ascii="宋体" w:hAnsi="宋体" w:cs="宋体"/>
          <w:sz w:val="24"/>
          <w:szCs w:val="22"/>
        </w:rPr>
        <w:t xml:space="preserve">压疮（</w:t>
      </w:r>
      <w:r>
        <w:rPr>
          <w:rFonts w:hint="eastAsia" w:ascii="宋体" w:hAnsi="宋体" w:cs="宋体"/>
          <w:sz w:val="24"/>
          <w:szCs w:val="22"/>
        </w:rPr>
        <w:t xml:space="preserve">部位</w:t>
      </w:r>
      <w:r>
        <w:rPr>
          <w:rFonts w:ascii="宋体" w:hAnsi="宋体" w:cs="宋体"/>
          <w:sz w:val="24"/>
          <w:szCs w:val="22"/>
        </w:rPr>
        <w:t xml:space="preserve">）</w:t>
      </w:r>
      <w:r>
        <w:rPr>
          <w:rFonts w:hint="eastAsia" w:ascii="宋体" w:hAnsi="宋体" w:cs="宋体"/>
          <w:sz w:val="24"/>
          <w:szCs w:val="22"/>
        </w:rPr>
        <w:t xml:space="preserve">：实际占用</w:t>
      </w:r>
      <w:r>
        <w:rPr>
          <w:rFonts w:ascii="宋体" w:hAnsi="宋体" w:cs="宋体"/>
          <w:sz w:val="24"/>
          <w:szCs w:val="22"/>
        </w:rPr>
        <w:t xml:space="preserve">总床日数</w:t>
      </w:r>
      <w:r>
        <w:rPr>
          <w:rFonts w:hint="eastAsia" w:ascii="宋体" w:hAnsi="宋体" w:cs="宋体"/>
          <w:sz w:val="24"/>
          <w:szCs w:val="22"/>
        </w:rPr>
        <w:t xml:space="preserve">、</w:t>
      </w:r>
      <w:r>
        <w:rPr>
          <w:rFonts w:ascii="宋体" w:hAnsi="宋体" w:cs="宋体"/>
          <w:sz w:val="24"/>
          <w:szCs w:val="22"/>
        </w:rPr>
        <w:t xml:space="preserve">住院期间压疮人次、骶尾椎骨</w:t>
      </w:r>
      <w:r>
        <w:rPr>
          <w:rFonts w:hint="eastAsia" w:ascii="宋体" w:hAnsi="宋体" w:cs="宋体"/>
          <w:sz w:val="24"/>
          <w:szCs w:val="22"/>
        </w:rPr>
        <w:t xml:space="preserve">处</w:t>
      </w:r>
      <w:r>
        <w:rPr>
          <w:rFonts w:ascii="宋体" w:hAnsi="宋体" w:cs="宋体"/>
          <w:sz w:val="24"/>
          <w:szCs w:val="22"/>
        </w:rPr>
        <w:t xml:space="preserve">压疮发生人次、坐骨处压疮</w:t>
      </w:r>
      <w:r>
        <w:rPr>
          <w:rFonts w:hint="eastAsia" w:ascii="宋体" w:hAnsi="宋体" w:cs="宋体"/>
          <w:sz w:val="24"/>
          <w:szCs w:val="22"/>
        </w:rPr>
        <w:t xml:space="preserve">发生</w:t>
      </w:r>
      <w:r>
        <w:rPr>
          <w:rFonts w:ascii="宋体" w:hAnsi="宋体" w:cs="宋体"/>
          <w:sz w:val="24"/>
          <w:szCs w:val="22"/>
        </w:rPr>
        <w:t xml:space="preserve">人次、股骨粗隆处压疮发生人次</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跌倒/坠床：跌倒/坠床</w:t>
      </w:r>
      <w:r>
        <w:rPr>
          <w:rFonts w:ascii="宋体" w:hAnsi="宋体" w:cs="宋体"/>
          <w:sz w:val="24"/>
          <w:szCs w:val="22"/>
        </w:rPr>
        <w:t xml:space="preserve">事件数、</w:t>
      </w:r>
      <w:r>
        <w:rPr>
          <w:rFonts w:hint="eastAsia" w:ascii="宋体" w:hAnsi="宋体" w:cs="宋体"/>
          <w:sz w:val="24"/>
          <w:szCs w:val="22"/>
        </w:rPr>
        <w:t xml:space="preserve">因</w:t>
      </w:r>
      <w:r>
        <w:rPr>
          <w:rFonts w:ascii="宋体" w:hAnsi="宋体" w:cs="宋体"/>
          <w:sz w:val="24"/>
          <w:szCs w:val="22"/>
        </w:rPr>
        <w:t xml:space="preserve">健康状况</w:t>
      </w:r>
      <w:r>
        <w:rPr>
          <w:rFonts w:hint="eastAsia" w:ascii="宋体" w:hAnsi="宋体" w:cs="宋体"/>
          <w:sz w:val="24"/>
          <w:szCs w:val="22"/>
        </w:rPr>
        <w:t xml:space="preserve">跌倒数</w:t>
      </w:r>
      <w:r>
        <w:rPr>
          <w:rFonts w:ascii="宋体" w:hAnsi="宋体" w:cs="宋体"/>
          <w:sz w:val="24"/>
          <w:szCs w:val="22"/>
        </w:rPr>
        <w:t xml:space="preserve">、因治疗药物和（</w:t>
      </w:r>
      <w:r>
        <w:rPr>
          <w:rFonts w:hint="eastAsia" w:ascii="宋体" w:hAnsi="宋体" w:cs="宋体"/>
          <w:sz w:val="24"/>
          <w:szCs w:val="22"/>
        </w:rPr>
        <w:t xml:space="preserve">或</w:t>
      </w:r>
      <w:r>
        <w:rPr>
          <w:rFonts w:ascii="宋体" w:hAnsi="宋体" w:cs="宋体"/>
          <w:sz w:val="24"/>
          <w:szCs w:val="22"/>
        </w:rPr>
        <w:t xml:space="preserve">）</w:t>
      </w:r>
      <w:r>
        <w:rPr>
          <w:rFonts w:hint="eastAsia" w:ascii="宋体" w:hAnsi="宋体" w:cs="宋体"/>
          <w:sz w:val="24"/>
          <w:szCs w:val="22"/>
        </w:rPr>
        <w:t xml:space="preserve">麻醉</w:t>
      </w:r>
      <w:r>
        <w:rPr>
          <w:rFonts w:ascii="宋体" w:hAnsi="宋体" w:cs="宋体"/>
          <w:sz w:val="24"/>
          <w:szCs w:val="22"/>
        </w:rPr>
        <w:t xml:space="preserve">反应</w:t>
      </w:r>
      <w:r>
        <w:rPr>
          <w:rFonts w:hint="eastAsia" w:ascii="宋体" w:hAnsi="宋体" w:cs="宋体"/>
          <w:sz w:val="24"/>
          <w:szCs w:val="22"/>
        </w:rPr>
        <w:t xml:space="preserve">跌倒数</w:t>
      </w:r>
      <w:r>
        <w:rPr>
          <w:rFonts w:ascii="宋体" w:hAnsi="宋体" w:cs="宋体"/>
          <w:sz w:val="24"/>
          <w:szCs w:val="22"/>
        </w:rPr>
        <w:t xml:space="preserve">、</w:t>
      </w:r>
      <w:r>
        <w:rPr>
          <w:rFonts w:hint="eastAsia" w:ascii="宋体" w:hAnsi="宋体" w:cs="宋体"/>
          <w:sz w:val="24"/>
          <w:szCs w:val="22"/>
        </w:rPr>
        <w:t xml:space="preserve">因治疗药物</w:t>
      </w:r>
      <w:r>
        <w:rPr>
          <w:rFonts w:ascii="宋体" w:hAnsi="宋体" w:cs="宋体"/>
          <w:sz w:val="24"/>
          <w:szCs w:val="22"/>
        </w:rPr>
        <w:t xml:space="preserve">和（</w:t>
      </w:r>
      <w:r>
        <w:rPr>
          <w:rFonts w:hint="eastAsia" w:ascii="宋体" w:hAnsi="宋体" w:cs="宋体"/>
          <w:sz w:val="24"/>
          <w:szCs w:val="22"/>
        </w:rPr>
        <w:t xml:space="preserve">或</w:t>
      </w:r>
      <w:r>
        <w:rPr>
          <w:rFonts w:ascii="宋体" w:hAnsi="宋体" w:cs="宋体"/>
          <w:sz w:val="24"/>
          <w:szCs w:val="22"/>
        </w:rPr>
        <w:t xml:space="preserve">）</w:t>
      </w:r>
      <w:r>
        <w:rPr>
          <w:rFonts w:hint="eastAsia" w:ascii="宋体" w:hAnsi="宋体" w:cs="宋体"/>
          <w:sz w:val="24"/>
          <w:szCs w:val="22"/>
        </w:rPr>
        <w:t xml:space="preserve">麻醉反应</w:t>
      </w:r>
      <w:r>
        <w:rPr>
          <w:rFonts w:ascii="宋体" w:hAnsi="宋体" w:cs="宋体"/>
          <w:sz w:val="24"/>
          <w:szCs w:val="22"/>
        </w:rPr>
        <w:t xml:space="preserve">跌倒数、因环境中危险因子</w:t>
      </w:r>
      <w:r>
        <w:rPr>
          <w:rFonts w:hint="eastAsia" w:ascii="宋体" w:hAnsi="宋体" w:cs="宋体"/>
          <w:sz w:val="24"/>
          <w:szCs w:val="22"/>
        </w:rPr>
        <w:t xml:space="preserve">跌倒</w:t>
      </w:r>
      <w:r>
        <w:rPr>
          <w:rFonts w:ascii="宋体" w:hAnsi="宋体" w:cs="宋体"/>
          <w:sz w:val="24"/>
          <w:szCs w:val="22"/>
        </w:rPr>
        <w:t xml:space="preserve">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跌倒/坠床伤害：跌倒/坠床</w:t>
      </w:r>
      <w:r>
        <w:rPr>
          <w:rFonts w:ascii="宋体" w:hAnsi="宋体" w:cs="宋体"/>
          <w:sz w:val="24"/>
          <w:szCs w:val="22"/>
        </w:rPr>
        <w:t xml:space="preserve">事件数</w:t>
      </w:r>
      <w:r>
        <w:rPr>
          <w:rFonts w:hint="eastAsia" w:ascii="宋体" w:hAnsi="宋体" w:cs="宋体"/>
          <w:sz w:val="24"/>
          <w:szCs w:val="22"/>
        </w:rPr>
        <w:t xml:space="preserve">、跌倒/坠床造成</w:t>
      </w:r>
      <w:r>
        <w:rPr>
          <w:rFonts w:ascii="宋体" w:hAnsi="宋体" w:cs="宋体"/>
          <w:sz w:val="24"/>
          <w:szCs w:val="22"/>
        </w:rPr>
        <w:t xml:space="preserve">伤害事件数</w:t>
      </w:r>
      <w:r>
        <w:rPr>
          <w:rFonts w:hint="eastAsia" w:ascii="宋体" w:hAnsi="宋体" w:cs="宋体"/>
          <w:sz w:val="24"/>
          <w:szCs w:val="22"/>
        </w:rPr>
        <w:t xml:space="preserve">、跌倒</w:t>
      </w:r>
      <w:r>
        <w:rPr>
          <w:rFonts w:ascii="宋体" w:hAnsi="宋体" w:cs="宋体"/>
          <w:sz w:val="24"/>
          <w:szCs w:val="22"/>
        </w:rPr>
        <w:t xml:space="preserve">造成伤害比率、</w:t>
      </w:r>
      <w:r>
        <w:rPr>
          <w:rFonts w:hint="eastAsia" w:ascii="宋体" w:hAnsi="宋体" w:cs="宋体"/>
          <w:sz w:val="24"/>
          <w:szCs w:val="22"/>
        </w:rPr>
        <w:t xml:space="preserve">跌倒</w:t>
      </w:r>
      <w:r>
        <w:rPr>
          <w:rFonts w:ascii="宋体" w:hAnsi="宋体" w:cs="宋体"/>
          <w:sz w:val="24"/>
          <w:szCs w:val="22"/>
        </w:rPr>
        <w:t xml:space="preserve">伤害严重度</w:t>
      </w:r>
      <w:r>
        <w:rPr>
          <w:rFonts w:hint="eastAsia" w:ascii="宋体" w:hAnsi="宋体" w:cs="宋体"/>
          <w:sz w:val="24"/>
          <w:szCs w:val="22"/>
        </w:rPr>
        <w:t xml:space="preserve">1级</w:t>
      </w:r>
      <w:r>
        <w:rPr>
          <w:rFonts w:ascii="宋体" w:hAnsi="宋体" w:cs="宋体"/>
          <w:sz w:val="24"/>
          <w:szCs w:val="22"/>
        </w:rPr>
        <w:t xml:space="preserve">事件数、跌倒伤害严重度</w:t>
      </w:r>
      <w:r>
        <w:rPr>
          <w:rFonts w:hint="eastAsia" w:ascii="宋体" w:hAnsi="宋体" w:cs="宋体"/>
          <w:sz w:val="24"/>
          <w:szCs w:val="22"/>
        </w:rPr>
        <w:t xml:space="preserve">2级事件</w:t>
      </w:r>
      <w:r>
        <w:rPr>
          <w:rFonts w:ascii="宋体" w:hAnsi="宋体" w:cs="宋体"/>
          <w:sz w:val="24"/>
          <w:szCs w:val="22"/>
        </w:rPr>
        <w:t xml:space="preserve">数、跌倒伤害严重度3</w:t>
      </w:r>
      <w:r>
        <w:rPr>
          <w:rFonts w:hint="eastAsia" w:ascii="宋体" w:hAnsi="宋体" w:cs="宋体"/>
          <w:sz w:val="24"/>
          <w:szCs w:val="22"/>
        </w:rPr>
        <w:t xml:space="preserve">级事件</w:t>
      </w:r>
      <w:r>
        <w:rPr>
          <w:rFonts w:ascii="宋体" w:hAnsi="宋体" w:cs="宋体"/>
          <w:sz w:val="24"/>
          <w:szCs w:val="22"/>
        </w:rPr>
        <w:t xml:space="preserve">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产伤：产妇</w:t>
      </w:r>
      <w:r>
        <w:rPr>
          <w:rFonts w:ascii="宋体" w:hAnsi="宋体" w:cs="宋体"/>
          <w:sz w:val="24"/>
          <w:szCs w:val="22"/>
        </w:rPr>
        <w:t xml:space="preserve">分娩</w:t>
      </w:r>
      <w:r>
        <w:rPr>
          <w:rFonts w:hint="eastAsia" w:ascii="宋体" w:hAnsi="宋体" w:cs="宋体"/>
          <w:sz w:val="24"/>
          <w:szCs w:val="22"/>
        </w:rPr>
        <w:t xml:space="preserve">人次</w:t>
      </w:r>
      <w:r>
        <w:rPr>
          <w:rFonts w:ascii="宋体" w:hAnsi="宋体" w:cs="宋体"/>
          <w:sz w:val="24"/>
          <w:szCs w:val="22"/>
        </w:rPr>
        <w:t xml:space="preserve">、剖宫产人次、剖</w:t>
      </w:r>
      <w:r>
        <w:rPr>
          <w:rFonts w:hint="eastAsia" w:ascii="宋体" w:hAnsi="宋体" w:cs="宋体"/>
          <w:sz w:val="24"/>
          <w:szCs w:val="22"/>
        </w:rPr>
        <w:t xml:space="preserve">宫</w:t>
      </w:r>
      <w:r>
        <w:rPr>
          <w:rFonts w:ascii="宋体" w:hAnsi="宋体" w:cs="宋体"/>
          <w:sz w:val="24"/>
          <w:szCs w:val="22"/>
        </w:rPr>
        <w:t xml:space="preserve">产率</w:t>
      </w:r>
      <w:r>
        <w:rPr>
          <w:rFonts w:hint="eastAsia" w:ascii="宋体" w:hAnsi="宋体" w:cs="宋体"/>
          <w:sz w:val="24"/>
          <w:szCs w:val="22"/>
        </w:rPr>
        <w:t xml:space="preserve">、</w:t>
      </w:r>
      <w:r>
        <w:rPr>
          <w:rFonts w:ascii="宋体" w:hAnsi="宋体" w:cs="宋体"/>
          <w:sz w:val="24"/>
          <w:szCs w:val="22"/>
        </w:rPr>
        <w:t xml:space="preserve">新生儿患者出院人次、新生儿产伤人次、</w:t>
      </w:r>
      <w:r>
        <w:rPr>
          <w:rFonts w:hint="eastAsia" w:ascii="宋体" w:hAnsi="宋体" w:cs="宋体"/>
          <w:sz w:val="24"/>
          <w:szCs w:val="22"/>
        </w:rPr>
        <w:t xml:space="preserve">新生儿</w:t>
      </w:r>
      <w:r>
        <w:rPr>
          <w:rFonts w:ascii="宋体" w:hAnsi="宋体" w:cs="宋体"/>
          <w:sz w:val="24"/>
          <w:szCs w:val="22"/>
        </w:rPr>
        <w:t xml:space="preserve">产伤发生率、阴道分娩人次、阴道分娩产伤人次、阴道分娩产生</w:t>
      </w:r>
      <w:r>
        <w:rPr>
          <w:rFonts w:hint="eastAsia" w:ascii="宋体" w:hAnsi="宋体" w:cs="宋体"/>
          <w:sz w:val="24"/>
          <w:szCs w:val="22"/>
        </w:rPr>
        <w:t xml:space="preserve">发生</w:t>
      </w:r>
      <w:r>
        <w:rPr>
          <w:rFonts w:ascii="宋体" w:hAnsi="宋体" w:cs="宋体"/>
          <w:sz w:val="24"/>
          <w:szCs w:val="22"/>
        </w:rPr>
        <w:t xml:space="preserve">率等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不良事件</w:t>
      </w:r>
      <w:r>
        <w:rPr>
          <w:rFonts w:ascii="宋体" w:hAnsi="宋体" w:cs="宋体"/>
          <w:sz w:val="24"/>
          <w:szCs w:val="22"/>
        </w:rPr>
        <w:t xml:space="preserve">（</w:t>
      </w:r>
      <w:r>
        <w:rPr>
          <w:rFonts w:hint="eastAsia" w:ascii="宋体" w:hAnsi="宋体" w:cs="宋体"/>
          <w:sz w:val="24"/>
          <w:szCs w:val="22"/>
        </w:rPr>
        <w:t xml:space="preserve">其他</w:t>
      </w:r>
      <w:r>
        <w:rPr>
          <w:rFonts w:ascii="宋体" w:hAnsi="宋体" w:cs="宋体"/>
          <w:sz w:val="24"/>
          <w:szCs w:val="22"/>
        </w:rPr>
        <w:t xml:space="preserve">）</w:t>
      </w:r>
      <w:r>
        <w:rPr>
          <w:rFonts w:hint="eastAsia" w:ascii="宋体" w:hAnsi="宋体" w:cs="宋体"/>
          <w:sz w:val="24"/>
          <w:szCs w:val="22"/>
        </w:rPr>
        <w:t xml:space="preserve">：因用药错误</w:t>
      </w:r>
      <w:r>
        <w:rPr>
          <w:rFonts w:ascii="宋体" w:hAnsi="宋体" w:cs="宋体"/>
          <w:sz w:val="24"/>
          <w:szCs w:val="22"/>
        </w:rPr>
        <w:t xml:space="preserve">导致患者死亡例数、</w:t>
      </w:r>
      <w:r>
        <w:rPr>
          <w:rFonts w:hint="eastAsia" w:ascii="宋体" w:hAnsi="宋体" w:cs="宋体"/>
          <w:sz w:val="24"/>
          <w:szCs w:val="22"/>
        </w:rPr>
        <w:t xml:space="preserve">发生输血</w:t>
      </w:r>
      <w:r>
        <w:rPr>
          <w:rFonts w:ascii="宋体" w:hAnsi="宋体" w:cs="宋体"/>
          <w:sz w:val="24"/>
          <w:szCs w:val="22"/>
        </w:rPr>
        <w:t xml:space="preserve">反应的出院人次、接受输液的患者出院人次、发生输液反应的出院人次、接受输血的患者出院人次</w:t>
      </w:r>
      <w:r>
        <w:rPr>
          <w:rFonts w:hint="eastAsia" w:ascii="宋体" w:hAnsi="宋体" w:cs="宋体"/>
          <w:sz w:val="24"/>
          <w:szCs w:val="22"/>
        </w:rPr>
        <w:t xml:space="preserve">、</w:t>
      </w:r>
      <w:r>
        <w:rPr>
          <w:rFonts w:ascii="宋体" w:hAnsi="宋体" w:cs="宋体"/>
          <w:sz w:val="24"/>
          <w:szCs w:val="22"/>
        </w:rPr>
        <w:t xml:space="preserve">手术异物</w:t>
      </w:r>
      <w:r>
        <w:rPr>
          <w:rFonts w:hint="eastAsia" w:ascii="宋体" w:hAnsi="宋体" w:cs="宋体"/>
          <w:sz w:val="24"/>
          <w:szCs w:val="22"/>
        </w:rPr>
        <w:t xml:space="preserve">遗留</w:t>
      </w:r>
      <w:r>
        <w:rPr>
          <w:rFonts w:ascii="宋体" w:hAnsi="宋体" w:cs="宋体"/>
          <w:sz w:val="24"/>
          <w:szCs w:val="22"/>
        </w:rPr>
        <w:t xml:space="preserve">患者出院人次、医源性气胸出院患者人次、医源性意外穿刺或撕裂伤出院</w:t>
      </w:r>
      <w:r>
        <w:rPr>
          <w:rFonts w:hint="eastAsia" w:ascii="宋体" w:hAnsi="宋体" w:cs="宋体"/>
          <w:sz w:val="24"/>
          <w:szCs w:val="22"/>
        </w:rPr>
        <w:t xml:space="preserve">人次</w:t>
      </w:r>
      <w:r>
        <w:rPr>
          <w:rFonts w:ascii="宋体" w:hAnsi="宋体" w:cs="宋体"/>
          <w:sz w:val="24"/>
          <w:szCs w:val="22"/>
        </w:rPr>
        <w:t xml:space="preserve">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合理用药专题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门急诊</w:t>
      </w:r>
      <w:r>
        <w:rPr>
          <w:rFonts w:ascii="宋体" w:hAnsi="宋体" w:cs="宋体"/>
          <w:sz w:val="24"/>
          <w:szCs w:val="22"/>
        </w:rPr>
        <w:t xml:space="preserve">用药</w:t>
      </w:r>
      <w:r>
        <w:rPr>
          <w:rFonts w:hint="eastAsia" w:ascii="宋体" w:hAnsi="宋体" w:cs="宋体"/>
          <w:sz w:val="24"/>
          <w:szCs w:val="22"/>
        </w:rPr>
        <w:t xml:space="preserve">：住院</w:t>
      </w:r>
      <w:r>
        <w:rPr>
          <w:rFonts w:ascii="宋体" w:hAnsi="宋体" w:cs="宋体"/>
          <w:sz w:val="24"/>
          <w:szCs w:val="22"/>
        </w:rPr>
        <w:t xml:space="preserve">人均使用抗菌药物品种数、住院人均抗菌药物费用、</w:t>
      </w:r>
      <w:r>
        <w:rPr>
          <w:rFonts w:hint="eastAsia" w:ascii="宋体" w:hAnsi="宋体" w:cs="宋体"/>
          <w:sz w:val="24"/>
          <w:szCs w:val="22"/>
        </w:rPr>
        <w:t xml:space="preserve">住院</w:t>
      </w:r>
      <w:r>
        <w:rPr>
          <w:rFonts w:ascii="宋体" w:hAnsi="宋体" w:cs="宋体"/>
          <w:sz w:val="24"/>
          <w:szCs w:val="22"/>
        </w:rPr>
        <w:t xml:space="preserve">使用抗菌</w:t>
      </w:r>
      <w:r>
        <w:rPr>
          <w:rFonts w:hint="eastAsia" w:ascii="宋体" w:hAnsi="宋体" w:cs="宋体"/>
          <w:sz w:val="24"/>
          <w:szCs w:val="22"/>
        </w:rPr>
        <w:t xml:space="preserve">药物</w:t>
      </w:r>
      <w:r>
        <w:rPr>
          <w:rFonts w:ascii="宋体" w:hAnsi="宋体" w:cs="宋体"/>
          <w:sz w:val="24"/>
          <w:szCs w:val="22"/>
        </w:rPr>
        <w:t xml:space="preserve">百分率、住院抗菌药物使用强度等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清洁</w:t>
      </w:r>
      <w:r>
        <w:rPr>
          <w:rFonts w:ascii="宋体" w:hAnsi="宋体" w:cs="宋体"/>
          <w:sz w:val="24"/>
          <w:szCs w:val="22"/>
        </w:rPr>
        <w:t xml:space="preserve">手术预防用药</w:t>
      </w:r>
      <w:r>
        <w:rPr>
          <w:rFonts w:hint="eastAsia" w:ascii="宋体" w:hAnsi="宋体" w:cs="宋体"/>
          <w:sz w:val="24"/>
          <w:szCs w:val="22"/>
        </w:rPr>
        <w:t xml:space="preserve">：清洁手术</w:t>
      </w:r>
      <w:r>
        <w:rPr>
          <w:rFonts w:ascii="宋体" w:hAnsi="宋体" w:cs="宋体"/>
          <w:sz w:val="24"/>
          <w:szCs w:val="22"/>
        </w:rPr>
        <w:t xml:space="preserve">预防用抗菌药物例数、清洁手术预防用抗菌药物百分率、清洁手术预防用抗菌药物总天数、清洁手术用抗菌药物人均用药天数</w:t>
      </w:r>
      <w:r>
        <w:rPr>
          <w:rFonts w:hint="eastAsia" w:ascii="宋体" w:hAnsi="宋体" w:cs="宋体"/>
          <w:sz w:val="24"/>
          <w:szCs w:val="22"/>
        </w:rPr>
        <w:t xml:space="preserve">、</w:t>
      </w:r>
      <w:r>
        <w:rPr>
          <w:rFonts w:ascii="宋体" w:hAnsi="宋体" w:cs="宋体"/>
          <w:sz w:val="24"/>
          <w:szCs w:val="22"/>
        </w:rPr>
        <w:t xml:space="preserve">清洁手术前</w:t>
      </w:r>
      <w:r>
        <w:rPr>
          <w:rFonts w:hint="eastAsia" w:ascii="宋体" w:hAnsi="宋体" w:cs="宋体"/>
          <w:sz w:val="24"/>
          <w:szCs w:val="22"/>
        </w:rPr>
        <w:t xml:space="preserve">0.5</w:t>
      </w:r>
      <w:r>
        <w:rPr>
          <w:rFonts w:ascii="宋体" w:hAnsi="宋体" w:cs="宋体"/>
          <w:sz w:val="24"/>
          <w:szCs w:val="22"/>
        </w:rPr>
        <w:t xml:space="preserve">-2.0</w:t>
      </w:r>
      <w:r>
        <w:rPr>
          <w:rFonts w:hint="eastAsia" w:ascii="宋体" w:hAnsi="宋体" w:cs="宋体"/>
          <w:sz w:val="24"/>
          <w:szCs w:val="22"/>
        </w:rPr>
        <w:t xml:space="preserve">小时</w:t>
      </w:r>
      <w:r>
        <w:rPr>
          <w:rFonts w:ascii="宋体" w:hAnsi="宋体" w:cs="宋体"/>
          <w:sz w:val="24"/>
          <w:szCs w:val="22"/>
        </w:rPr>
        <w:t xml:space="preserve">内给药</w:t>
      </w:r>
      <w:r>
        <w:rPr>
          <w:rFonts w:hint="eastAsia" w:ascii="宋体" w:hAnsi="宋体" w:cs="宋体"/>
          <w:sz w:val="24"/>
          <w:szCs w:val="22"/>
        </w:rPr>
        <w:t xml:space="preserve">例数</w:t>
      </w:r>
      <w:r>
        <w:rPr>
          <w:rFonts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药品</w:t>
      </w:r>
      <w:r>
        <w:rPr>
          <w:rFonts w:ascii="宋体" w:hAnsi="宋体" w:cs="宋体"/>
          <w:sz w:val="24"/>
          <w:szCs w:val="22"/>
        </w:rPr>
        <w:t xml:space="preserve">费用</w:t>
      </w:r>
      <w:r>
        <w:rPr>
          <w:rFonts w:hint="eastAsia" w:ascii="宋体" w:hAnsi="宋体" w:cs="宋体"/>
          <w:sz w:val="24"/>
          <w:szCs w:val="22"/>
        </w:rPr>
        <w:t xml:space="preserve">：药品</w:t>
      </w:r>
      <w:r>
        <w:rPr>
          <w:rFonts w:ascii="宋体" w:hAnsi="宋体" w:cs="宋体"/>
          <w:sz w:val="24"/>
          <w:szCs w:val="22"/>
        </w:rPr>
        <w:t xml:space="preserve">总费用、</w:t>
      </w:r>
      <w:r>
        <w:rPr>
          <w:rFonts w:hint="eastAsia" w:ascii="宋体" w:hAnsi="宋体" w:cs="宋体"/>
          <w:sz w:val="24"/>
          <w:szCs w:val="22"/>
        </w:rPr>
        <w:t xml:space="preserve">药品</w:t>
      </w:r>
      <w:r>
        <w:rPr>
          <w:rFonts w:ascii="宋体" w:hAnsi="宋体" w:cs="宋体"/>
          <w:sz w:val="24"/>
          <w:szCs w:val="22"/>
        </w:rPr>
        <w:t xml:space="preserve">费用占比、抗菌药物总费用、抗菌药物费用</w:t>
      </w:r>
      <w:r>
        <w:rPr>
          <w:rFonts w:hint="eastAsia" w:ascii="宋体" w:hAnsi="宋体" w:cs="宋体"/>
          <w:sz w:val="24"/>
          <w:szCs w:val="22"/>
        </w:rPr>
        <w:t xml:space="preserve">占比</w:t>
      </w:r>
      <w:r>
        <w:rPr>
          <w:rFonts w:ascii="宋体" w:hAnsi="宋体" w:cs="宋体"/>
          <w:sz w:val="24"/>
          <w:szCs w:val="22"/>
        </w:rPr>
        <w:t xml:space="preserve">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麻醉专题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麻醉统计：全身</w:t>
      </w:r>
      <w:r>
        <w:rPr>
          <w:rFonts w:ascii="宋体" w:hAnsi="宋体" w:cs="宋体"/>
          <w:sz w:val="24"/>
          <w:szCs w:val="22"/>
        </w:rPr>
        <w:t xml:space="preserve">麻醉例数、全身麻醉-体外循环例数、脊髓麻醉例数、其他类麻醉例数</w:t>
      </w:r>
      <w:r>
        <w:rPr>
          <w:rFonts w:hint="eastAsia" w:ascii="宋体" w:hAnsi="宋体" w:cs="宋体"/>
          <w:sz w:val="24"/>
          <w:szCs w:val="22"/>
        </w:rPr>
        <w:t xml:space="preserve">、</w:t>
      </w:r>
      <w:r>
        <w:rPr>
          <w:rFonts w:ascii="宋体" w:hAnsi="宋体" w:cs="宋体"/>
          <w:sz w:val="24"/>
          <w:szCs w:val="22"/>
        </w:rPr>
        <w:t xml:space="preserve">麻醉医师</w:t>
      </w:r>
      <w:r>
        <w:rPr>
          <w:rFonts w:hint="eastAsia" w:ascii="宋体" w:hAnsi="宋体" w:cs="宋体"/>
          <w:sz w:val="24"/>
          <w:szCs w:val="22"/>
        </w:rPr>
        <w:t xml:space="preserve">实施</w:t>
      </w:r>
      <w:r>
        <w:rPr>
          <w:rFonts w:ascii="宋体" w:hAnsi="宋体" w:cs="宋体"/>
          <w:sz w:val="24"/>
          <w:szCs w:val="22"/>
        </w:rPr>
        <w:t xml:space="preserve">镇痛治疗例数（</w:t>
      </w:r>
      <w:r>
        <w:rPr>
          <w:rFonts w:hint="eastAsia" w:ascii="宋体" w:hAnsi="宋体" w:cs="宋体"/>
          <w:sz w:val="24"/>
          <w:szCs w:val="22"/>
        </w:rPr>
        <w:t xml:space="preserve">门诊</w:t>
      </w:r>
      <w:r>
        <w:rPr>
          <w:rFonts w:ascii="宋体" w:hAnsi="宋体" w:cs="宋体"/>
          <w:sz w:val="24"/>
          <w:szCs w:val="22"/>
        </w:rPr>
        <w:t xml:space="preserve">）</w:t>
      </w:r>
      <w:r>
        <w:rPr>
          <w:rFonts w:hint="eastAsia" w:ascii="宋体" w:hAnsi="宋体" w:cs="宋体"/>
          <w:sz w:val="24"/>
          <w:szCs w:val="22"/>
        </w:rPr>
        <w:t xml:space="preserve">、</w:t>
      </w:r>
      <w:r>
        <w:rPr>
          <w:rFonts w:ascii="宋体" w:hAnsi="宋体" w:cs="宋体"/>
          <w:sz w:val="24"/>
          <w:szCs w:val="22"/>
        </w:rPr>
        <w:t xml:space="preserve">麻醉医师</w:t>
      </w:r>
      <w:r>
        <w:rPr>
          <w:rFonts w:hint="eastAsia" w:ascii="宋体" w:hAnsi="宋体" w:cs="宋体"/>
          <w:sz w:val="24"/>
          <w:szCs w:val="22"/>
        </w:rPr>
        <w:t xml:space="preserve">实施</w:t>
      </w:r>
      <w:r>
        <w:rPr>
          <w:rFonts w:ascii="宋体" w:hAnsi="宋体" w:cs="宋体"/>
          <w:sz w:val="24"/>
          <w:szCs w:val="22"/>
        </w:rPr>
        <w:t xml:space="preserve">镇痛治疗例数（</w:t>
      </w:r>
      <w:r>
        <w:rPr>
          <w:rFonts w:hint="eastAsia" w:ascii="宋体" w:hAnsi="宋体" w:cs="宋体"/>
          <w:sz w:val="24"/>
          <w:szCs w:val="22"/>
        </w:rPr>
        <w:t xml:space="preserve">住院</w:t>
      </w:r>
      <w:r>
        <w:rPr>
          <w:rFonts w:ascii="宋体" w:hAnsi="宋体" w:cs="宋体"/>
          <w:sz w:val="24"/>
          <w:szCs w:val="22"/>
        </w:rPr>
        <w:t xml:space="preserve">）</w:t>
      </w:r>
      <w:r>
        <w:rPr>
          <w:rFonts w:hint="eastAsia" w:ascii="宋体" w:hAnsi="宋体" w:cs="宋体"/>
          <w:sz w:val="24"/>
          <w:szCs w:val="22"/>
        </w:rPr>
        <w:t xml:space="preserve">、</w:t>
      </w:r>
      <w:r>
        <w:rPr>
          <w:rFonts w:ascii="宋体" w:hAnsi="宋体" w:cs="宋体"/>
          <w:sz w:val="24"/>
          <w:szCs w:val="22"/>
        </w:rPr>
        <w:t xml:space="preserve">麻醉医师实施手术后镇痛治疗例数等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麻醉事件：麻醉</w:t>
      </w:r>
      <w:r>
        <w:rPr>
          <w:rFonts w:ascii="宋体" w:hAnsi="宋体" w:cs="宋体"/>
          <w:sz w:val="24"/>
          <w:szCs w:val="22"/>
        </w:rPr>
        <w:t xml:space="preserve">非预期相关事件</w:t>
      </w:r>
      <w:r>
        <w:rPr>
          <w:rFonts w:hint="eastAsia" w:ascii="宋体" w:hAnsi="宋体" w:cs="宋体"/>
          <w:sz w:val="24"/>
          <w:szCs w:val="22"/>
        </w:rPr>
        <w:t xml:space="preserve">例数</w:t>
      </w:r>
      <w:r>
        <w:rPr>
          <w:rFonts w:ascii="宋体" w:hAnsi="宋体" w:cs="宋体"/>
          <w:sz w:val="24"/>
          <w:szCs w:val="22"/>
        </w:rPr>
        <w:t xml:space="preserve">、麻醉中发生未预期</w:t>
      </w:r>
      <w:r>
        <w:rPr>
          <w:rFonts w:hint="eastAsia" w:ascii="宋体" w:hAnsi="宋体" w:cs="宋体"/>
          <w:sz w:val="24"/>
          <w:szCs w:val="22"/>
        </w:rPr>
        <w:t xml:space="preserve">意识</w:t>
      </w:r>
      <w:r>
        <w:rPr>
          <w:rFonts w:ascii="宋体" w:hAnsi="宋体" w:cs="宋体"/>
          <w:sz w:val="24"/>
          <w:szCs w:val="22"/>
        </w:rPr>
        <w:t xml:space="preserve">障碍例数、麻醉中出现氧饱和度重度降低例数</w:t>
      </w:r>
      <w:r>
        <w:rPr>
          <w:rFonts w:hint="eastAsia" w:ascii="宋体" w:hAnsi="宋体" w:cs="宋体"/>
          <w:sz w:val="24"/>
          <w:szCs w:val="22"/>
        </w:rPr>
        <w:t xml:space="preserve">、全身麻醉</w:t>
      </w:r>
      <w:r>
        <w:rPr>
          <w:rFonts w:ascii="宋体" w:hAnsi="宋体" w:cs="宋体"/>
          <w:sz w:val="24"/>
          <w:szCs w:val="22"/>
        </w:rPr>
        <w:t xml:space="preserve">结束时使用催醒药物例数</w:t>
      </w:r>
      <w:r>
        <w:rPr>
          <w:rFonts w:hint="eastAsia" w:ascii="宋体" w:hAnsi="宋体" w:cs="宋体"/>
          <w:sz w:val="24"/>
          <w:szCs w:val="22"/>
        </w:rPr>
        <w:t xml:space="preserve">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麻醉分级：ASA</w:t>
      </w:r>
      <w:r>
        <w:rPr>
          <w:rFonts w:ascii="宋体" w:hAnsi="宋体" w:cs="宋体"/>
          <w:sz w:val="24"/>
          <w:szCs w:val="22"/>
        </w:rPr>
        <w:t xml:space="preserve">-1</w:t>
      </w:r>
      <w:r>
        <w:rPr>
          <w:rFonts w:hint="eastAsia" w:ascii="宋体" w:hAnsi="宋体" w:cs="宋体"/>
          <w:sz w:val="24"/>
          <w:szCs w:val="22"/>
        </w:rPr>
        <w:t xml:space="preserve">级</w:t>
      </w:r>
      <w:r>
        <w:rPr>
          <w:rFonts w:ascii="宋体" w:hAnsi="宋体" w:cs="宋体"/>
          <w:sz w:val="24"/>
          <w:szCs w:val="22"/>
        </w:rPr>
        <w:t xml:space="preserve">例数、ASA-2</w:t>
      </w:r>
      <w:r>
        <w:rPr>
          <w:rFonts w:hint="eastAsia" w:ascii="宋体" w:hAnsi="宋体" w:cs="宋体"/>
          <w:sz w:val="24"/>
          <w:szCs w:val="22"/>
        </w:rPr>
        <w:t xml:space="preserve">级</w:t>
      </w:r>
      <w:r>
        <w:rPr>
          <w:rFonts w:ascii="宋体" w:hAnsi="宋体" w:cs="宋体"/>
          <w:sz w:val="24"/>
          <w:szCs w:val="22"/>
        </w:rPr>
        <w:t xml:space="preserve">例数、ASA-3</w:t>
      </w:r>
      <w:r>
        <w:rPr>
          <w:rFonts w:hint="eastAsia" w:ascii="宋体" w:hAnsi="宋体" w:cs="宋体"/>
          <w:sz w:val="24"/>
          <w:szCs w:val="22"/>
        </w:rPr>
        <w:t xml:space="preserve">级</w:t>
      </w:r>
      <w:r>
        <w:rPr>
          <w:rFonts w:ascii="宋体" w:hAnsi="宋体" w:cs="宋体"/>
          <w:sz w:val="24"/>
          <w:szCs w:val="22"/>
        </w:rPr>
        <w:t xml:space="preserve">例数、ASA-4</w:t>
      </w:r>
      <w:r>
        <w:rPr>
          <w:rFonts w:hint="eastAsia" w:ascii="宋体" w:hAnsi="宋体" w:cs="宋体"/>
          <w:sz w:val="24"/>
          <w:szCs w:val="22"/>
        </w:rPr>
        <w:t xml:space="preserve">级</w:t>
      </w:r>
      <w:r>
        <w:rPr>
          <w:rFonts w:ascii="宋体" w:hAnsi="宋体" w:cs="宋体"/>
          <w:sz w:val="24"/>
          <w:szCs w:val="22"/>
        </w:rPr>
        <w:t xml:space="preserve">例数</w:t>
      </w:r>
      <w:r>
        <w:rPr>
          <w:rFonts w:hint="eastAsia" w:ascii="宋体" w:hAnsi="宋体" w:cs="宋体"/>
          <w:sz w:val="24"/>
          <w:szCs w:val="22"/>
        </w:rPr>
        <w:t xml:space="preserve">、ASA</w:t>
      </w:r>
      <w:r>
        <w:rPr>
          <w:rFonts w:ascii="宋体" w:hAnsi="宋体" w:cs="宋体"/>
          <w:sz w:val="24"/>
          <w:szCs w:val="22"/>
        </w:rPr>
        <w:t xml:space="preserve">-1</w:t>
      </w:r>
      <w:r>
        <w:rPr>
          <w:rFonts w:hint="eastAsia" w:ascii="宋体" w:hAnsi="宋体" w:cs="宋体"/>
          <w:sz w:val="24"/>
          <w:szCs w:val="22"/>
        </w:rPr>
        <w:t xml:space="preserve">级术后</w:t>
      </w:r>
      <w:r>
        <w:rPr>
          <w:rFonts w:ascii="宋体" w:hAnsi="宋体" w:cs="宋体"/>
          <w:sz w:val="24"/>
          <w:szCs w:val="22"/>
        </w:rPr>
        <w:t xml:space="preserve">死亡例数</w:t>
      </w:r>
      <w:r>
        <w:rPr>
          <w:rFonts w:hint="eastAsia" w:ascii="宋体" w:hAnsi="宋体" w:cs="宋体"/>
          <w:sz w:val="24"/>
          <w:szCs w:val="22"/>
        </w:rPr>
        <w:t xml:space="preserve">、ASA</w:t>
      </w:r>
      <w:r>
        <w:rPr>
          <w:rFonts w:ascii="宋体" w:hAnsi="宋体" w:cs="宋体"/>
          <w:sz w:val="24"/>
          <w:szCs w:val="22"/>
        </w:rPr>
        <w:t xml:space="preserve">-2</w:t>
      </w:r>
      <w:r>
        <w:rPr>
          <w:rFonts w:hint="eastAsia" w:ascii="宋体" w:hAnsi="宋体" w:cs="宋体"/>
          <w:sz w:val="24"/>
          <w:szCs w:val="22"/>
        </w:rPr>
        <w:t xml:space="preserve">级术后</w:t>
      </w:r>
      <w:r>
        <w:rPr>
          <w:rFonts w:ascii="宋体" w:hAnsi="宋体" w:cs="宋体"/>
          <w:sz w:val="24"/>
          <w:szCs w:val="22"/>
        </w:rPr>
        <w:t xml:space="preserve">死亡例数</w:t>
      </w:r>
      <w:r>
        <w:rPr>
          <w:rFonts w:hint="eastAsia" w:ascii="宋体" w:hAnsi="宋体" w:cs="宋体"/>
          <w:sz w:val="24"/>
          <w:szCs w:val="22"/>
        </w:rPr>
        <w:t xml:space="preserve">、ASA</w:t>
      </w:r>
      <w:r>
        <w:rPr>
          <w:rFonts w:ascii="宋体" w:hAnsi="宋体" w:cs="宋体"/>
          <w:sz w:val="24"/>
          <w:szCs w:val="22"/>
        </w:rPr>
        <w:t xml:space="preserve">-3</w:t>
      </w:r>
      <w:r>
        <w:rPr>
          <w:rFonts w:hint="eastAsia" w:ascii="宋体" w:hAnsi="宋体" w:cs="宋体"/>
          <w:sz w:val="24"/>
          <w:szCs w:val="22"/>
        </w:rPr>
        <w:t xml:space="preserve">级术后</w:t>
      </w:r>
      <w:r>
        <w:rPr>
          <w:rFonts w:ascii="宋体" w:hAnsi="宋体" w:cs="宋体"/>
          <w:sz w:val="24"/>
          <w:szCs w:val="22"/>
        </w:rPr>
        <w:t xml:space="preserve">死亡例数</w:t>
      </w:r>
      <w:r>
        <w:rPr>
          <w:rFonts w:hint="eastAsia" w:ascii="宋体" w:hAnsi="宋体" w:cs="宋体"/>
          <w:sz w:val="24"/>
          <w:szCs w:val="22"/>
        </w:rPr>
        <w:t xml:space="preserve">、ASA</w:t>
      </w:r>
      <w:r>
        <w:rPr>
          <w:rFonts w:ascii="宋体" w:hAnsi="宋体" w:cs="宋体"/>
          <w:sz w:val="24"/>
          <w:szCs w:val="22"/>
        </w:rPr>
        <w:t xml:space="preserve">-4</w:t>
      </w:r>
      <w:r>
        <w:rPr>
          <w:rFonts w:hint="eastAsia" w:ascii="宋体" w:hAnsi="宋体" w:cs="宋体"/>
          <w:sz w:val="24"/>
          <w:szCs w:val="22"/>
        </w:rPr>
        <w:t xml:space="preserve">级术后</w:t>
      </w:r>
      <w:r>
        <w:rPr>
          <w:rFonts w:ascii="宋体" w:hAnsi="宋体" w:cs="宋体"/>
          <w:sz w:val="24"/>
          <w:szCs w:val="22"/>
        </w:rPr>
        <w:t xml:space="preserve">死亡例数</w:t>
      </w:r>
      <w:r>
        <w:rPr>
          <w:rFonts w:hint="eastAsia" w:ascii="宋体" w:hAnsi="宋体" w:cs="宋体"/>
          <w:sz w:val="24"/>
          <w:szCs w:val="22"/>
        </w:rPr>
        <w:t xml:space="preserve">等</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等级医院评审数据上报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提供管理数据基本数据支持</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医院管理决策支持分析</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驾驶舱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展示门诊人次、医疗收入、入院人次、出院人次等指标。</w:t>
      </w:r>
      <w:r/>
    </w:p>
    <w:p>
      <w:pPr>
        <w:ind w:firstLine="480"/>
        <w:jc w:val="left"/>
        <w:spacing w:line="360" w:lineRule="auto"/>
        <w:widowControl/>
        <w:rPr>
          <w:rFonts w:ascii="等线" w:hAnsi="等线" w:eastAsia="等线"/>
          <w:szCs w:val="22"/>
        </w:rPr>
      </w:pPr>
      <w:r>
        <w:rPr>
          <w:rFonts w:hint="eastAsia" w:ascii="宋体" w:hAnsi="宋体" w:cs="宋体"/>
          <w:sz w:val="24"/>
          <w:szCs w:val="22"/>
        </w:rPr>
        <w:t xml:space="preserve">门诊办住院驾驶舱、住院部主任驾驶舱、科主任驾驶舱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负荷：展示全院的门诊人次、急诊人次、住院人次、出院人次、手术人次、医技检查人次。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收入：展示全院的总的医疗收入、门诊收入、住院收入、医技收入、药品收入、药占比等。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效率：展示全院的门诊人次、急诊人次、体检人次、入院人次、出院人次、住院手术例数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排名：展示全院临床科室的收入排名、门诊量排名等。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负荷：展示门诊人次、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收入：展示门诊收入、药品收入、耗材收入、药占比。</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效率：门诊就诊排队等候时间、门诊检查平均等候时间、门诊发药平均等候时间、门诊采血平均等候时间。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排名：展示门诊科室收入排名、门诊量排名。</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负荷：展示入院人次、在院人次、出院人次。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收入：展示住院收入、药品收入、耗材收入、药占比。</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效率：展示住院业务办理平均等候时间（入院登记、预交款），出院患者平均住院日、床位使用率、床位周转次数。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排名：展示门诊科室收入排名、出院人次、手术人次排名。</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医技</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负荷：统计当提的医技检查人次、门诊医技检查人次、住院医技检查人次、检验人次、门诊医技检验人次、住院医技检验人次。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收入：统计医技检查收入、门诊检查收入、住院检查收入、检验收入、门诊检验收入、住院检验收入。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效率：统计门诊采血平均等候时间、检查平均等候时间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排名：统计医技科室的检查人次排名、医技科室的收入排名</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手术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负荷：统计当日门诊手术例数、住院手术例数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收入：统计当日门诊手术收入、住院手术收入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质量：按月份、年份统计重点手术例数、重点手术占比、手术死亡例数、手术死亡发生率、手术重返例数、手术重返发生率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排名：统计各个科室的手术例数排名、手术收入排名。按手术级别统计各个级别的手术例数分部。</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药品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负荷：统计当日门诊开方数量、处方平均费用。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监管：统计门诊使用抗菌药物百分率、门诊抗菌药费费用率、住院使用抗菌药物百分率、住院抗菌药费费用率。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排名：按临床科室统计各个科室的药品收入排名，按医生统计各个医生的处方平均费用排名，按处方类型统计各个类型的处方数量分布。</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患者</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患者负担：查询患者门诊均次费用、住院均次费用、药占比；</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患者构成：查询患者来源分布、患者年龄分布； </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三级公立医院绩效考核数据上报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提供管理数据基本数据支持</w:t>
      </w:r>
      <w:r/>
    </w:p>
    <w:p>
      <w:pPr>
        <w:numPr>
          <w:ilvl w:val="3"/>
          <w:numId w:val="8"/>
        </w:numPr>
        <w:keepLines/>
        <w:keepNext/>
        <w:spacing w:line="360" w:lineRule="auto"/>
        <w:rPr>
          <w:rFonts w:ascii="等线 Light" w:hAnsi="等线 Light"/>
          <w:b/>
          <w:bCs/>
          <w:sz w:val="30"/>
          <w:szCs w:val="28"/>
        </w:rPr>
        <w:outlineLvl w:val="3"/>
      </w:pPr>
      <w:r>
        <w:rPr>
          <w:rFonts w:ascii="等线 Light" w:hAnsi="等线 Light"/>
          <w:b/>
          <w:bCs/>
          <w:sz w:val="30"/>
          <w:szCs w:val="28"/>
        </w:rPr>
        <w:t xml:space="preserve">Web</w:t>
      </w:r>
      <w:r>
        <w:rPr>
          <w:rFonts w:ascii="等线 Light" w:hAnsi="等线 Light"/>
          <w:b/>
          <w:bCs/>
          <w:sz w:val="30"/>
          <w:szCs w:val="28"/>
        </w:rPr>
        <w:t xml:space="preserve">报表工具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系统支持表格、饼图、柱状图、趋势图、仪表盘、地图等</w:t>
      </w:r>
      <w:r>
        <w:rPr>
          <w:rFonts w:ascii="宋体" w:hAnsi="宋体" w:cs="宋体"/>
          <w:sz w:val="24"/>
          <w:szCs w:val="22"/>
        </w:rPr>
        <w:t xml:space="preserve">8大图形组件。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基础表格：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基础表格一般用于机构、科室、日期等维度数据的展现，同时又可满足这些维度的指标值的排序，是报表格式的主要视图控件。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表格支持表格格式设定、数据过滤、数据合计、数据分页、统计跟随、独立查询、打印显示等功能。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表格格式设定：支持对表格列宽进行设置，支持对表格序号进行设置；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指标边值渲染：选择颜色直观地显示出指标的最大值和最小值；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数据合计：支持在表格末行对数据进行累加合计；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独立查询：支持单独为表格设置查询条件；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表格钻取：支持对表格进行数据的维度钻取显示。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饼图：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饼图包括基础饼图、玫瑰图、环形图和环形目标图，其中前三者用于单个指标、维度数量不多、需要分析维度占比的情况。环形目标图则需要指标、目标指标、指标</w:t>
      </w:r>
      <w:r>
        <w:rPr>
          <w:rFonts w:ascii="宋体" w:hAnsi="宋体" w:cs="宋体"/>
          <w:sz w:val="24"/>
          <w:szCs w:val="22"/>
        </w:rPr>
        <w:t xml:space="preserve">/目标指标的占比等三个指标来展现，即3个指标完成一个环形图，而环形图可支持多个环形图的横向和纵向显示。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饼图支持表格格式设定、统计跟随、独立查询、打印显示等功能。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饼图格式设定：支持对饼图图例位置、图表大小、图标位置、图表半径进行设置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独立查询：支持单独为饼图设置查询条件；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饼图钻取：支持对饼图进行数据的维度钻取显示。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柱状图：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柱状图包括基础柱状图、堆栈柱状图、横向柱状图、横向堆栈图和柱状折线图，用于少量指标在特定维度上的数据对比分析和数据排名。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柱状图支持柱状图格式设定、网格显示、图表数据显示、数据区域缩放显示、标签旋转度数设置、参考线设置、统计跟随、独立查询、打印显示等功能。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柱状图格式设定：支持对柱状图图例位置、图表大小、图表位置进行设置；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网格显示：支持在图标区域设置是否显示网格；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坐标轴范围：当指标值差异过大，导致整个柱状图不协调，可通过设置</w:t>
      </w:r>
      <w:r>
        <w:rPr>
          <w:rFonts w:ascii="宋体" w:hAnsi="宋体" w:cs="宋体"/>
          <w:sz w:val="24"/>
          <w:szCs w:val="22"/>
        </w:rPr>
        <w:t xml:space="preserve">Y值的大小来展现该段的数据值，过大或过小的值可更直观的展现；横向柱状图和基础柱状图相似，可设置X轴范围；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图表数据显示：柱状图是否显示统计值；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数据区域缩放显示：当设置的维度数据过多，那么在柱状图中会看不清维度数据，这时可通过勾选该项目，并且选择缩放比例，这样打开这个视图会以缩放比例来显示，可通过下方的缩放来查看其他维度数据；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标签旋转度数设置：当维度名称过长，可通过设置旋转</w:t>
      </w:r>
      <w:r>
        <w:rPr>
          <w:rFonts w:ascii="宋体" w:hAnsi="宋体" w:cs="宋体"/>
          <w:sz w:val="24"/>
          <w:szCs w:val="22"/>
        </w:rPr>
        <w:t xml:space="preserve">X轴度数来显示维度名称，横向柱状图、横向堆栈图与基础柱状图相似，可以设置Y轴的标签旋转度数；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参考线：设置参考线，在柱状图中可直观的查看哪些数据时超出或低于设置的值；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柱状图钻取：支持对柱状图进行数据的维度钻取显示。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趋势图：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趋势图包括基础折线图和指标关系图，用于少量指标在时间维度上的趋势分析。例如按照年、月、日、时间点等维度来显示时间段的趋势图，基础折线图支持多个指标同时展现，指标关系图支持</w:t>
      </w:r>
      <w:r>
        <w:rPr>
          <w:rFonts w:ascii="宋体" w:hAnsi="宋体" w:cs="宋体"/>
          <w:sz w:val="24"/>
          <w:szCs w:val="22"/>
        </w:rPr>
        <w:t xml:space="preserve">2个指标进行上下对比展示。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趋势图包括格式设定、网格显示、图表数据显示、数据区域缩放显示、标签旋转度数设置、参考线设置、统计跟随、独立查询、打印显示等功能。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趋势图格式设定：支持对趋势图图例位置、图表大小、图表位置进行设置；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网格显示：支持在图标区域设置是否显示网格；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坐标轴范围：当指标值差异过大，导致整个趋势图不协调，可通过设置</w:t>
      </w:r>
      <w:r>
        <w:rPr>
          <w:rFonts w:ascii="宋体" w:hAnsi="宋体" w:cs="宋体"/>
          <w:sz w:val="24"/>
          <w:szCs w:val="22"/>
        </w:rPr>
        <w:t xml:space="preserve">Y值的大小来展现该段的数据值，过大或过小的值可更直观的展现； </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图表数据显示：趋势图是否显示统计值；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数据区域缩放显示：当设置的维度数据过多，那么在趋势图中会看不清维度数据，这时可通过勾选该项目，并且选择缩放比例，这样打开这个视图会以缩放比例来显示，可通过下方的缩放来查看其他维度数据；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标签旋转度数设置：当维度名称过长，可通过设置旋转</w:t>
      </w:r>
      <w:r>
        <w:rPr>
          <w:rFonts w:ascii="宋体" w:hAnsi="宋体" w:cs="宋体"/>
          <w:sz w:val="24"/>
          <w:szCs w:val="22"/>
        </w:rPr>
        <w:t xml:space="preserve">X轴度数来显示维度名称； </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参考线：设置参考线，在趋势图中可直观的查看哪些数据时超出或低于设置的值；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趋势图钻取：支持对趋势图进行数据的维度钻取显示。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雷达图：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基础雷达图一般用于</w:t>
      </w:r>
      <w:r>
        <w:rPr>
          <w:rFonts w:ascii="宋体" w:hAnsi="宋体" w:cs="宋体"/>
          <w:sz w:val="24"/>
          <w:szCs w:val="22"/>
        </w:rPr>
        <w:t xml:space="preserve">1-3个指标少量维度上的全面分析，可以直观地展示数据分布情况。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雷达图包括格式设定、统计跟随、独立查询、打印显示等功能。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雷达图格式设定：支持对雷达图图例位置、图表大小、图标位置、图表半径进行设置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仪表盘：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仪表盘分为基础仪表盘和刻度仪表盘，两者都支持多个指标，皆可用百分比或者有预警数值段的指标来展示。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仪表盘包括格式设定、打印显示、数据钻取等功能。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图表指标名显示：是否在仪表盘中显示指标名称；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摆放样式：包括水平样式和垂直样式，当有多个指标时，设置水平样式，那么一个指标对应一个仪表盘并以水平方式显示；设置垂直样式，一个指标对应一个仪表盘以垂直方式显示，单个指标水平和垂直的效果一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图表大小：和其他视图中的图表大小功能一样，设置越大，仪表盘显示就越大；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指标区间段数设置：支持点击某一个指标，设置每一段值的大小和颜色，这里设置的值和颜色就是仪表盘中的的段数和颜色；</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仪表盘钻取：支持对仪表盘进行数据的维度钻取显示。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散点图：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散点图一般用于</w:t>
      </w:r>
      <w:r>
        <w:rPr>
          <w:rFonts w:ascii="宋体" w:hAnsi="宋体" w:cs="宋体"/>
          <w:sz w:val="24"/>
          <w:szCs w:val="22"/>
        </w:rPr>
        <w:t xml:space="preserve">2个指标少量维度上的全面分析，可通过X轴或者Y轴直观地展示单个指标数据分布情况。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散点图包括格式设定、参考线设置、统计跟随、独立查询、打印显示等功能。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格式设定：支持对</w:t>
      </w:r>
      <w:r>
        <w:rPr>
          <w:rFonts w:ascii="宋体" w:hAnsi="宋体" w:cs="宋体"/>
          <w:sz w:val="24"/>
          <w:szCs w:val="22"/>
        </w:rPr>
        <w:t xml:space="preserve">X轴和Y轴显示的指标进行指定，支持对气泡大小进行设定，支持对X轴标签位置进行设定；</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参考线设置：设置超过或者低于某一个标准值，在气泡图中可直观的查看哪些数据超出或低于设置的值。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地图：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用于展示某个指标在一定地理区域范围内的分布情况，在视图应用的视图指标中增加指标、勾选指标维度等，对地图进行设置。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地图包括格式设定、统计跟随、独立查询、打印显示、视图钻取等功能。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格式设定：地图格式设定包括设置区域颜色、区域描边颜色、标签颜色等；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区域选中颜色：光标移动到地图区域的颜色，这个颜色只有当区域没有数据的时候时按照设置的颜色显示的，如果区域有数据（有数据本身会有颜色显示），那就是这两种颜色中和后颜色显示（标签颜色也是同样的道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地图数据过滤：使用地图视图中左边的数据轴过滤地图数据。对数据轴右边的光标进行上下拖动，从而对数据的进行过滤操作；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地图钻取：支持对地图进行数据的维度钻取显示。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视图格式设定：支持对指标名的显示，支持对指标名字号、指标值字号、指标值颜色、自定义视图的背景颜色等进行设置；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数据显示设定：支持选择是否显示同比值、同比率、同比增长、环比值、环比率、环比增长的数据以及它们的显示位置；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描述显示：在指标名上方显示描述内容，可设置描述的则字号和位置；</w:t>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业务系统</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诊间服务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手术麻醉计费信息系统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手术列表管理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在手术室、麻醉室可提前查看手术申请详情，对其进行手术安排，补充手术申请信息，调整手术时间、参与人员或退回；支持按类型（门诊/住院/日间）、状态（未安排/已安排/已完成）等多维度分别查看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需支持对不同状态下的手术申请列表，和人员角色，配置显示不同的功能权限；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手术操作权限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支持“按手术等级”、“按手术服务项目自定义分类”两种模式配置手术操作权限控制规则，在医生开单时限制可选的主刀操作人员范围，适用于不同颗粒度的院内手术分级管理流程。</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门诊预约通知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支持手术预约通知短信自动发送，默认在预约完成时发送；提供手术预约通知集中管理，对未通知患者进行短信批量通知和电话通知，并与消息系统无缝衔接，可自动识别患者回复信息。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住院手术复核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支持病区护士复核住院医生提交的手术医嘱，也可退回手术医嘱给医生； </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手术安排</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对于门诊手术，支持对手术的手术时间、手术台进行安排；支持急诊手术可跳过手术申请环节，直接进行手术安排；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于住院手术，支持查看待安排手术患者列表；支持对未安排的手术进行安排；支持快速安排，无须必填项校验；支持手术室退回手术；提供手术安排变动通知，当患者手术安排信息与其手术预约信息不一致时需进行提醒；</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支持通过扫申请单条码，刷医保卡/就诊卡/身份证，或者手工输入病历号、申请单号等方式进行报到登记；支持报到登记时护士可查看患者术前检查、检验报告，术中药品并打印手术知情同意书；</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手术调配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提供手术调配功能，将病人从当前手术室调入到其它手术室；</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手术费用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对于门诊手术，支持手术护士补录手术费用，支持通过费用模板录入手术费用，支持手术护士补录费用可在手术室/麻醉室直接进行诊间结算，也可由患者自行到门诊收费处进行缴费；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对于住院手术，支持手术室补录手术费用，支持手工录入手术费用，或调入手术费用常用组套录入手术费用；支持退费申请</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支持门诊手术护士手工补录门诊的药品医嘱，或通过调入手术医嘱模板录入手术药品医嘱；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需支持住院手术</w:t>
      </w:r>
      <w:r>
        <w:rPr>
          <w:rFonts w:ascii="宋体" w:hAnsi="宋体" w:cs="宋体"/>
          <w:sz w:val="24"/>
          <w:szCs w:val="22"/>
        </w:rPr>
        <w:t xml:space="preserve">/麻醉医生通过手术管理角色录入术中医嘱；支持手术室护士通过代开医生功能代开术中医嘱；支持科室术中医嘱模板，支持个人医嘱临床执行。</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支持手术患者集中管理，根据手术未安排、手术已安排、手术已完成条件检索手术病人列表，并根据每种类型病人的业务权限进行操作；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包含手术未安排患者列表、手术已安排患者列表、手术已完成患者列表、手术登记、手术开始、手术结束、手术医生书写电子病历、查看患者报告、术中过敏信息录入、取消安排、药品发送药房、药品发送撤回、退药申请、导出各状态下患者列表、打印各状态下患者列表</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手术未安排列表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按申请时间、医生期望手术时间、就诊科室、手术时限类型、以及检索定位的方式查询本科室所有待安排的手术，查看申请信息，补充修改手术信息，进行手术排期、调配、退回，提供有权限控制的代开手术申请操作，临时手术开单无需切换到医生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需提供查看电子病历、费用账卡、患者信息、医嘱信息、患者报告等功能。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手术已安排列表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查询已安排的手术记录，可对手术进行安排信息修改、手术登记、手术开始、手术完成，或者取消安排等操作；可在手术操作过程中随时由医生、护士（代录）开立术中麻醉用药，或补充术中病理、术中检验检查等医技医嘱，由手术室人员主导操作术中部分医嘱的复核、发送和执行记费，避免医嘱经病区流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需支持术后手术室、麻醉室、复苏室等部门分别录入计费、登记不可收费材料、登记术中设备使用情况，互不干预影响；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需提供查看电子病历、费用账卡、患者信息、医嘱信息、患者报告等功能。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手术已完成列表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支持快速查询或者精准查询本科室（手术或麻醉）参与完成的手术申请记录详情，可对需要补退费的手术申请操作取消完成；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需提供查看患者电子病历、患者信息、费用账卡、手术费用、手术申请单等信息。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对于门诊手术，支持按病历号，手机号，姓名等多种方式查询门诊手术信息；提供手术统计，麻醉统计，手术费用统计，术后统计等多种统计报表，并支持按病人科室、手术医生、手术护士等统计手术报表；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于住院手术，支持按病历号、住院号码，床号，姓名等多种方式查询手术信息。提供手术统计，麻醉统计，术后统计等多种统计报表，并支持按科室、医生、护士等统计手术报表。支持医生工作量查询，手术室工作量查询，手术申请查询，手术费用查询</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手术医嘱执行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支持护士术中医嘱执行操作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需支持执行后不可退费。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手术费用模板</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支持各手术参与科室（手术室、麻醉室、复苏室等）按手术项维护个人级、科室级、全院级费用模板，在术后费用录入时一键导入；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住院手术申请单管理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支持查询搜索手术申请单并集中管理，进行作废、查看等。</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医技科室计费信息系统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门诊医技</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支持门诊医技医嘱的跨机构调入；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需支持在医技科室可以补录费用，包含费用、检验、检查、诊疗、耗材等，比如一次性注射器、高压氧舱治疗；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需支持在医技科室补录的费用可在医技科室直接进行诊间结算，也可由患者自行到门诊收费处进行缴费；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需支持医技到检及取消，病人检查缴费</w:t>
      </w:r>
      <w:r>
        <w:rPr>
          <w:rFonts w:ascii="宋体" w:hAnsi="宋体" w:cs="宋体"/>
          <w:sz w:val="24"/>
          <w:szCs w:val="22"/>
        </w:rPr>
        <w:t xml:space="preserve">-&gt;医技预约-&gt;检查到检后自动进入检查列表；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支持单病人批量执行，通过刷就诊卡、医保卡，或输入病历号、姓名、手机号自动锁定患者的待执行医技单；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需支持多病人集中执行，一键执行多个病人的待执行医技单；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需支持患者报告模板设计及患者报告模板填写功能，与检查</w:t>
      </w:r>
      <w:r>
        <w:rPr>
          <w:rFonts w:ascii="宋体" w:hAnsi="宋体" w:cs="宋体"/>
          <w:sz w:val="24"/>
          <w:szCs w:val="22"/>
        </w:rPr>
        <w:t xml:space="preserve">/检验设备无缝衔接，可自动获取检查/检验报告结果；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需支持患者在非就诊当日来补打实物胶片报告，医技科室补录胶片费</w:t>
      </w:r>
      <w:r>
        <w:rPr>
          <w:rFonts w:ascii="宋体" w:hAnsi="宋体" w:cs="宋体"/>
          <w:sz w:val="24"/>
          <w:szCs w:val="22"/>
        </w:rPr>
        <w:t xml:space="preserve">-&gt;收费处缴费/医技诊间结算-&gt;医技科室打印检查报告胶片；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需支持一卡通患者在医技科室直接执行检查并刷卡缴费；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需支持按申请科室、执行状态、计划执行日期检索待执行医技单；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需支持加急病人标识功能；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需支持取消执行，一卡通患者取消执行，则费用直接退回到账户中；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需支持患者过敏信息查看。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需支持患者做特殊检查前医技科室书写与打印知情同意书，供患者签字；</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住院医技</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支持住院医技医嘱的跨机构调入；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需支持在医技科室可以补录费用，包含费用、检验、检查、诊疗、耗材等，比如一次性注射器、高压氧舱治疗；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需支持医技退回，医技医师可将病人医技单退回到提交病区；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需支持单病人批量执行，通过输入住院号码、姓名、手机号自动锁定患者的待执行医技单；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需支持多病人集中执行，一键执行多个病人的待执行医技单；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需支持患者报告模板设计及患者报告模板填写功能，与检查</w:t>
      </w:r>
      <w:r>
        <w:rPr>
          <w:rFonts w:ascii="宋体" w:hAnsi="宋体" w:cs="宋体"/>
          <w:sz w:val="24"/>
          <w:szCs w:val="22"/>
        </w:rPr>
        <w:t xml:space="preserve">/检验设备无缝衔接，可自动获取检查/检验报告结果；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需支持按申请科室、执行状态、计划执行日期检索待执行医技单；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需支持取消执行；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需支持住院医技的胶片费用补录；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需支持患者过敏信息查看；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需支持与消息系统对接，在医技医嘱执行、退回、完成时，推送对应消息给医嘱的签署医生和复核医嘱的病区护士。</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需支持患者做特殊检查前医技科室书写与打印知情同意书，供患者签字；</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医技用药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支持医技三级药房，用于医技用药药品的管理，如造影剂；</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需支持医技用药是否在医嘱本中体现可自定义，如医生输入的显示、护士输入的不显示；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需支持两种医技用药处理模式：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1）直接医技计费模式，表示不处理药品的库存信息，直接把药品的费用记录到病人住院账户；</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2）药房计费模式则需要由医生录入药品医嘱后，需提交到医技药房，由药房进行发药处理并计费；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需支持医技用药药品的退药退费流程，医技用药发药模式进行退药退费；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医技统计分析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支持住院医技费用清单统计，根据患者查询医技执行记费服务项目列表，进行统计；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需支持医技科室工作情况统计，根据执行日期和检查项目，查询医技执行医嘱内容列表，统计医技科室的检查科目、人次和金额；</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需支持医技科室经济核算，根据执行日期和检查项目，查询统计医技科室的检查科目、人次和金额。</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诊间结算管理系统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系统多点业务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支持在医生诊室、分诊台、化验室、治疗室、检查科室、血透室、门诊药房等不同业务场景进行诊间结算功能。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系统诊间记账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支持诊间记账统一结算模式，业务场景如日间手术、急诊留观、急诊无身份人员，使用医院账户的储值金余额先授信记账再结算处理。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系统多业务类型诊间结算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支持现金、微信、医保账户等不同方式混合支付；支持接入整合多个支付渠道的第三方支付平台进行诊间支付</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系统发票业务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支持诊间结算完毕自动打印缴费凭证和结算发票。</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系统医保业务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支持与各地医保政策无缝接口，医保部分实时结报</w:t>
      </w:r>
      <w:r>
        <w:rPr>
          <w:rFonts w:hint="eastAsia" w:ascii="宋体" w:hAnsi="宋体" w:cs="宋体"/>
          <w:sz w:val="24"/>
          <w:szCs w:val="22"/>
        </w:rPr>
        <w:t xml:space="preserve">。</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日间手术管理系统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日间手术申请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提供门急诊医生在诊间医生站开立日间手术申请单功能；支持手术麻醉、手术不麻醉、麻醉不手术三种业务模式的手术申请；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需支持口服抗凝剂患者需停药</w:t>
      </w:r>
      <w:r>
        <w:rPr>
          <w:rFonts w:ascii="宋体" w:hAnsi="宋体" w:cs="宋体"/>
          <w:sz w:val="24"/>
          <w:szCs w:val="22"/>
        </w:rPr>
        <w:t xml:space="preserve">7天以上才能申请日间手术，系统自动判断并控制；</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诊间缴费记账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支持日间手术专项储值金管理，用于日间手术入院前流程费用的门诊记账；该金额需冻结，在患者转住院时转入住院储值金，或患者退出日间手术流程(如评估不通过、放弃日间手术)时进行门诊结算；</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术前检查及预约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支持日间手术术前检查、检验在门诊完成，使用现有医技预约、医技收费系统完成预约及执行检查；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专科评估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支持评估时可查看日间患者术前检查、检验报告；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需支持评估未通过原因填写，并提供常见原因供医师选择</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麻醉评估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支持麻醉评估流程自定义；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需支持评估时可查看日间患者术前检查、检验报告；</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支持诊间预约，人工窗口预约，自助机终端，掌上医院APP、微信公众号等预约途径；提供日间手术视图，可预览所有手术室的手术已安排情况，供手术护士安排手术时参考；</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预约通知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支持手术预约成功短信自动发送，默认在预约完成时发送；</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入院前通知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支持在日间手术患者入院前一天自动短信通知患者入院；支持入院前通知的提前通知天数可参数化；</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支持调入日间手术住院证进行入院登记，日间手术申请、日间手术关联的检查检验及其报告、日间手术的专项储值金转入住院；</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转普通入院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支持住院医生将日间手术住院病人转成普通住院患者，需录入转住院原因和转住院方式(原科室医生、转科、转医生)；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手术安排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提供手术安排变动通知，当患者手术安排信息与其手术预约信息不一致时需通知到患者，支持短信/电话通知；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支持通过扫申请单条码，刷医保卡/就诊卡/身份证，或者手工输入病历号、申请单号等方式进行报到登记；支持报到登记时护士可查看患者术前检查、检验报告，术中药品并打印手术知情同意书；</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手术费用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支持手术室补录手术费用，或调入手术费用常用组套录入手术费用；</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支持手术室补录手术医嘱，如手术过程中使用到的麻醉药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支持手术患者集中管理，根据手术未安排、手术已安排、手术已完成条件检索手术病人列表，并根据每种类型病人的业务权限进行操作；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手术查询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支持按住院号码，床号，姓名等多种方式查询日间手术信息；提供手术统计，麻醉统计，术后统计等多种统计报表，并支持按科室、医生、护士等统计手术报表；</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退出日间手术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支持患者麻醉评估没有通过，无法继续完成日间手术的流程，或者病人电话联系日间手术中心告知不来做手术等情况下，管理中心可以将该患者退出日间路径。退出日间路径需要选择退出原因。</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门诊业务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门急诊挂号收费系统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门诊挂号管理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支持跨院区挂号模式，实现对医联（共）体、医疗集团、多院区等应用场景的机构间交互；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需支持病案号、身份证、护照、医保卡、就诊卡、市民卡、患者姓名、手机号、地区通行证、电子健康卡、电子医保凭证、等挂号患者的身份识别功能；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需支持当前门诊类别下可以操作所有的挂号类型，挂号类型包括普通门诊、急诊门诊、专家门诊、专科门诊、体检门诊等；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需支持挂号时新病人建档功能；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需支持挂号预约取号功能；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需支持挂号员在挂号界面随时切换病人保险计划，本次收费全部按所选择保险计划进行结算处理；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支持两种挂号结算两种模式：一种是挂号时直接结算付款，另一种是在诊间授权记账后收费时再对挂号费用一并结算付款；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需支持绿色通道的挂号结算业务，绿色通道只能使用授权记账；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需支持特殊情况的不同挂号价格的处理。如节假日不同费用的处理、</w:t>
      </w:r>
      <w:r>
        <w:rPr>
          <w:rFonts w:ascii="宋体" w:hAnsi="宋体" w:cs="宋体"/>
          <w:sz w:val="24"/>
          <w:szCs w:val="22"/>
        </w:rPr>
        <w:t xml:space="preserve">6周岁儿童不同费用的处理等；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需支持信用就医、医院优惠、现金、储值金余额、支票、医保账户、微信、支付宝等挂号结算方式；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需支持现金、微信、医保账户等不同方式混合支付；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需支持患者建档、账户充值、档案管理、预约挂号、预约取号、挂号结算、连续挂号、退号、换号、挂号记账、空白发票作废、结算历史、门诊收费等集成在门诊挂号界面上；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需支持挂号结算完成自动打印就诊指引单、结算发票，也支持手工补打挂号单和结算发票；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需提供提前挂号的功能，即可以挂当前值班类别之后的号，可设置提前时间（默认提前半天挂号）；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需支持挂号员在挂号界面选择挂号号源功能，默认按号源顺序挂号，也可按照病人要求选择符合时间的号源进行挂号；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需支持晚上挂号功能，可设置需要晚班启用后才能挂号；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需支持快捷键操作，对挂号模块操作频繁的按钮功能通过快捷键快速打开；</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需提供义诊功能，初诊的义诊病人只收取病历费，复诊的义诊病人不收取任何费用；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需提供减免功能，支持减免原因选择，挂号结算时可以修改系统默认的挂号费、诊疗费、专家费，按修改后的金额结算；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需支持普通科室挂号、专家科室挂号，专家科室能挂指定医生的号；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需支持通过科室、医生拼音码、五笔、角形码快速定位挂号科室或医生；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需支持科室</w:t>
      </w:r>
      <w:r>
        <w:rPr>
          <w:rFonts w:ascii="宋体" w:hAnsi="宋体" w:cs="宋体"/>
          <w:sz w:val="24"/>
          <w:szCs w:val="22"/>
        </w:rPr>
        <w:t xml:space="preserve">/医生挂号限额的管理功能，超过挂号限额则不允许再挂号；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需支持挂号员查看今日挂号历史和挂号历史总体情况；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支持连续挂号功能，结算完成，患者信息不清空，同一个病人可连续挂多个科室</w:t>
      </w:r>
      <w:r>
        <w:rPr>
          <w:rFonts w:ascii="宋体" w:hAnsi="宋体" w:cs="宋体"/>
          <w:sz w:val="24"/>
          <w:szCs w:val="22"/>
        </w:rPr>
        <w:t xml:space="preserve">/医生号 ；</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需支持退号处理，退号可连续操作；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需支持换号处理，病人到医生站就诊前可以进行转科。</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门诊收费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支持病案号、身份证、护照、医保卡、就诊卡、市民卡、患者姓名、手机号、地区通行证、电子健康卡、电子医保凭证、等缴费患者的身份识别功能；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患者身份识别后，支持自动调入患者费用信息，进行收费结算；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需支持信用就医、医院优惠、现金、储值金余额、支票、医保账户、微信、支付宝等收费方式；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需支持以统一账户管理支持信用就医流程，在信用额度中，提供患者信用额度的修改功能；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需支持医院优惠、现金、医保账户、储值金余额、微信等不同方式混合支付；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需支持不同优惠类型管理，如临床试验、本院职工、义诊等。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需支持多条就诊流程合并结算。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建档、账户充值、档案管理、收费结算、结算作废、门诊退费、空白票作废、结算小票打印、收费记账、取消记账、门诊划价、复制作废单、结算历史、门诊挂号、麻方打印等功能集成在门诊收费界面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需支持结算完成自动打印发票，可以打印正式发票，也可以打印收费凭证；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需支持发票重打，包括原发票重打、退费后产生的新发票重打；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需支持货币误差功能，由于四舍五入当支付的总金额和应缴款不相等时，需要记录货币误差；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需支持药品费用收费时，自动智能分配处方到排队最少的发药窗口，且当所有窗口排队都空闲时能平均分配处方到发药窗口；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需支持药品费用收费时，自动扣减相应药房的财务库存；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需提供已结算的费用由门诊转入住院费用的功能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需提供医保接口，给医院进行医保嵌入。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支持对发票中部分项目进行退费；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需支持对整张发票进行全部退费；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需支持多种退款方式：医院优惠、储值金余额、医保账户、现金、支票、银行卡、支付宝、微信；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需支持默认按原发票付款路径退回，也可选择其他退款方式</w:t>
      </w:r>
      <w:r>
        <w:rPr>
          <w:rFonts w:ascii="宋体" w:hAnsi="宋体" w:cs="宋体"/>
          <w:sz w:val="24"/>
          <w:szCs w:val="22"/>
        </w:rPr>
        <w:t xml:space="preserve">;</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门诊结账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诊个人结账查询，提供按结账类型、起始终止时间，对操作员当日的收费信息进行结账的功能，收费信息包括收款信息、费用信息、票据信息；支持显示本次结账的挂号结算、挂号票据、收费结算、收费票据和储值金的明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需支持门诊结账查询，支持按结账类型、起止时间查询门诊结账的明细信息；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需支持门诊汇总结账；支持按门诊收费部门、起止时间，查询挂号收费信息、应收金额、账户信息等内容；支持按照储值金、现金、微信、支付宝、聚合支付、银行卡等类型分别统计应收金额；</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需支持门诊结账查询；支持按照结账类型、起止时间，进行结账时间和结账状态的查询；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需支持结账作废和结账打印功能。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需支持自动结账模式，通过后台服务完成；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结算作废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支持结算后直接作废同时变更保险计划重新结算。</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门诊医生工作站</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患者接诊管理</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患者诊前管理</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提供门诊日志模式，前置诊疗流程，在医生接诊患者前，提供预问诊流程，对患者基本病情进行了解；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支持对接体征采集设备的对接，采集患者体征，并在病历创建时自动引用体征数据，方便医生获取患者就诊信息。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提供生命体征页面，既可以查看已采集的患者体征数据，也可手动补充体征数据；针对血糖、血酮提供趋势图分析患者体征数据变化情况</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支持发热患者自动触发发热病人登记。</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接诊操作</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在接诊患者时，系统提供各种接诊模式，包括刷就诊卡、医保卡、身份证等其他电子凭证，或输入病历号调入接诊患者，或从待诊、诊中、诊毕、本科室患者病人列</w:t>
      </w:r>
      <w:r>
        <w:rPr>
          <w:rFonts w:ascii="宋体" w:hAnsi="宋体" w:cs="宋体"/>
          <w:sz w:val="24"/>
          <w:szCs w:val="22"/>
        </w:rPr>
        <w:t xml:space="preserve">表中选择患者调入接诊，并支持对接排队叫号系统功能管理患者接诊顺序。在接诊病人管理中，支持患者多病人接诊模式。</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患者诊后管理</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提供患者诊后离院、转科、转留观、转院等多种去向管理；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支持统一查看患者本次就诊处方、费用信息；</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门诊诊断管理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支持门诊诊断规范化管理，对标</w:t>
      </w:r>
      <w:r>
        <w:rPr>
          <w:rFonts w:ascii="宋体" w:hAnsi="宋体" w:cs="宋体"/>
          <w:sz w:val="24"/>
          <w:szCs w:val="22"/>
        </w:rPr>
        <w:t xml:space="preserve">ICD-10标准编码及自定义临床诊断名称描述；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支持门诊诊断栏缩放功能，并在展开式诊断管理中，提供患者诊断助手功能，包括患者历史诊断、常用诊断、高频诊断等内容，方便医生录入；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支持疾病报卡并与诊断关联，实现诊断下达的同时实现疾病登记接口；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支持诊断与病历信息对接，实现诊断录入完成后病历诊断数据自动导入；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支持诊断证明管理，在门诊中提供患者诊断证明开立功能，可定制打印格式；诊断证明开立流程支持审核、无须审核两种模式。</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门诊医嘱管理</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门诊医嘱录入模式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支持门诊医嘱录入端口统一模式，对各种类型的门诊医嘱统一录入端口，包括西成药、草药、检查、检验、手术、护理、嘱托等医嘱类型，通过分类前缀实现自动分类快速输入；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打破医嘱和申请单分离录入模式，提供以临床为核心的专业医疗单开嘱模式，提供单一西成药医疗单、成组西成药医疗单、草药医疗单、检验医疗单、检查医疗单、治疗医疗单、手术医疗单等各种医疗单模式，并支持其它特定医嘱场景的专科医疗单定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支持检查与医技用药开立在同个医嘱中，下游医技科室同时确认、执行，医技用药支持走科室备药、三级小药房等模式；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支持根据患者过敏信息、皮试记录、药品皮试规则智能开立皮试医嘱；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针对需院内执行的医嘱，引入业务执行、临床执行的概念，是业务流转更清晰。开嘱时可根据配置自动带入，例如开立输液医嘱自动带入发药药房、输液执行科室。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针对药品医嘱提供外送功能；</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门诊医嘱规范管理</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规范化门诊医嘱状态管理，提供已开医嘱的集中展示功能，可按全部、药品、检验、检查、诊疗分类管理；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实现医嘱自动分方与打印功能，按处方拆分规则进行处方拆分，拆分规则支持自定义；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用药安全性方面，系统内置临床知识库接口，根据就诊诊断、检查、检验结果智能推荐治疗方案，并支持与审方系统、处方点评系统对接，在诊中与诊后全流程闭环以确保医嘱安全质量。门诊医嘱中还引入抗菌药物、精神毒麻等特殊药品医嘱的开立权限控制，手术医嘱主刀医生的手术操作权限控制，以满足医疗质量安全监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开立医嘱时提供医保适应症的提醒与选择；</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门诊医嘱助手录入</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提供门诊医嘱界面缩放功能，通过医嘱助手功能，实现临床医嘱的快速开立；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支持对医嘱模板大组套概念的应用；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支持根据患者诊断与诊断分类、性别及年龄段，自动推荐医嘱模板；</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支持同一个健康专业类型的科室能共享医嘱模板；</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支持对患者历史数据的引用；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支持对高频检查、高频药品、高频处置、常用个嘱的引用管理。并结合集中式开单模式，对检验、检查、病理类型医嘱集中式操作；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提供复制当前患者已开立的医嘱。</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门诊医嘱智能化记费</w:t>
      </w:r>
      <w:r>
        <w:rPr>
          <w:rFonts w:ascii="宋体" w:hAnsi="宋体" w:cs="宋体"/>
          <w:b/>
          <w:bCs/>
          <w:sz w:val="24"/>
          <w:szCs w:val="22"/>
        </w:rPr>
        <w:tab/>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附加收费项目自动关联，且允许人工补充修改。且支持医嘱费用处理智能化，检查项目按部位自动加收费用，检验项目按指标自动加收费用，会诊费用按会诊个数自动加收，草药处方按制法要求自动加收等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检查项目支持按部位加收、按部位定价、按部位分段加收、按部位分段定价模式。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支持根据相关政策规定，提供记费提醒、记费控制等多种服务。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支持医嘱默认用法、默认频次、默认剂量自带入，减轻医嘱录入工作量。</w:t>
      </w:r>
      <w:r/>
    </w:p>
    <w:p>
      <w:pPr>
        <w:ind w:firstLine="482"/>
        <w:jc w:val="left"/>
        <w:spacing w:line="360" w:lineRule="auto"/>
        <w:widowControl/>
        <w:rPr>
          <w:rFonts w:ascii="宋体" w:hAnsi="宋体" w:cs="宋体"/>
          <w:b/>
          <w:bCs/>
          <w:sz w:val="24"/>
          <w:szCs w:val="22"/>
        </w:rPr>
      </w:pPr>
      <w:r>
        <w:rPr>
          <w:rFonts w:hint="eastAsia" w:ascii="宋体" w:hAnsi="宋体" w:cs="宋体"/>
          <w:b/>
          <w:bCs/>
          <w:sz w:val="24"/>
          <w:szCs w:val="22"/>
        </w:rPr>
        <w:t xml:space="preserve">门特门慢医嘱快捷开立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支持适配不同地区医保的门特门慢政策；</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支持快捷开立患者的门诊特慢诊断；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针对符合政策的患者，可单独或批量开立门特门慢医嘱；</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门诊电子病历系统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医生站一体化集成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门诊病历跟医生站一体化集成，满足界面集成、数据集成、应用集成的整合效果，方便医生看诊，提高就诊效率。</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 实现门诊病历和门诊医嘱的信息自动更新和签名流程闭环。在医生站录入医嘱和诊断自动更新到本人创建/签署的病历中，当切换病历或者诊毕时引导医生一键签署或重新签署病历，保证门诊病历中的医嘱和诊断信息不丢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支持医嘱文书联动功能。医生开特检、特药医嘱时自动生成患者同意书，删除医嘱时自动删除对应的病历文书。</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病历权限维护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提供病历文书操作权限的定义功能。按照临床需要将医疗角色划分为门诊医生、门诊护士、门诊办等，并分别授权门诊病历的书写、查看、打印、导出等权限。</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门诊病历书写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门诊病历书写支持自动选择科室默认模板，也支持自行选择任一模板进行病历书写。同时支持选择患者历史文书创建新病历。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提供类WORD书写界面风格、结构化书写、所见即所得。支持文本元素、日期元素、单选元素、多选元素等多种结构化书写格式，支持病历书写时元素的快速跳转。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提供患者个人信息、门诊医嘱、检查申请、检验申请的自动引用功能，同时支持手动刷新。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支持医生在病历书写时，对个人常用语、常用模板进行收藏和使用的功能，便于同一病种病历的高效书写。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支持病历章节收缩功能。允许医生将不重要的章节内容收起，方便聚焦关键内容。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支持门诊病历续写功能。比如上午A医生接诊病人，下午同科B医生接诊，可以在A医生病历后面续写内容，并与A医生的病历形成一份完整的病历。续写病历与主病历一起显示、一起打印。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支持跨院区的信息共享和引用。比如患者的历史病历、检查报告、检验报告等。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病历书写助手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支持同屏查看和引用检查报告、检验报告、病理报告、微生物报告等内容，数据范围包括既往门诊和住院就诊。检验报告的异常值有明显的颜色区分。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常用语引用。包括通用引用、按章节引用、按元素引用三种模式。通用引用模式下医生可以选择一个或者多个常用语引入到病历，按章节引用模式下只能选择该章节的常用语进行引用，按元素引用模式下需要精准筛选出当前元素的常用语进行引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支持患者历史病历的查询和引用。医生能查阅患者既往的就诊、治疗、预后情况，一键将历史文书的主诉、现病史等内容引入到当前病历中，同时自动提取本次就诊的诊断和医嘱信息。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支持特殊符号、医学图库、医学术语、医学表达式的快速引用。</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支持门诊病历的原样打印，书写格式和打印格式要一致。</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支持门诊病历的分离打印，书写格式和打印格式要分离。需要在病历书写格式中保持单选按钮、复选框、表格等多种结构化编辑，在打印时自动输出成自然语言文本，并且只打印必要内容。</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门诊病历管理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病历后台存储支持文本、HTML、XML、JSON、PDF等多种格式，符合结构化存储要求。同时这些数据支持以URL地址、HTTP服务、视图三种模式提供给第三方厂商查看和使用。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病历文书保存和签名时，支持实时生成PDF文件。</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提供门诊病历修改痕迹记录和比对功能，方便回溯每个版本的病历修改情况。</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门诊病历的任何操作自动生成审计日志和追溯。操作包括创建、修改、删除、查看、打印、签名等，审计日志包括操作时间、操作者、操作内容等。提供按单份文书或某个患者追踪查看其所有操作者及操作内容，支持按操作者追踪查看其所有操作功能，以确保运行病历书写始终被监控直至入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提供门诊诊疗活动的统计查询功能。应包含：门诊病历查询、书写情况统计、门诊就诊记录查询等。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提供门诊病历订阅的功能。当第三方系统需要获取门诊病历结构化内容时，通过结构化订阅的方式实现。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支持门诊病历的提交和退回审批流程。即已经打印的病历会自动提交并锁定。医生如果要修改需要先退回申请，由主管部门审批通过才允许修改。24小时内未打印的病历无需审批，会自动退回。</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门诊病历模板管理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门诊病历模板管理需采用数据集、模板两层设计，通过数据集规范病历模板制作。在数据集中能定义章、节、数据元和属性，支持公用数据集。在制作模板时，能直接从数据集中调入数据元转为元素，并自动带入元素名称、类型、值域、是否必填、防复制标志、只读标志属性，其中值域字典允许扩展。</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提供科室模板管理员创建和授权功能。管理员可以被授权不同的诊疗科目，授权后管理员只管理有权限科室的病历模板。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提供三级模板管理和审批功能。三级模板有全院格式模板、科室章节模板和个人数据模板。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实现全院格式模板的统一管理。个人数据模板继承自全院格式模板并受母板管控，修改母板后所有相关模板能自动更新，包括增删改文本、元素、表格等操作。</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提供数值、日期、单选、文本、选择、复选等元素的插入，支持图片、按钮、页眉、片段、二维码、条形码等内容的编辑。</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支持病历内容之间的联动，包括元素与元素、元素与片段、元素与表格之间的逻辑关系联动。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支持打印隐藏元素设置，用于实现病历编辑提示信息，病历预览和打印后不显示。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模板打印格式的自定义功能。做模板时定义病历打印格式脚本，在模板制作页面即可预览打印格式，实现病历书写和打印的分离。打印脚本支持整个章节的显示或隐藏、元素的显示或隐藏、打印内容的重组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提供模板批量管理。包括批量改元素属性、批量替换章节内容、批量替换页眉等。对于同一类模板的共性修改，制作人员不需要逐一操作，批量替换以提高工作效率。</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支持病历模板的一处制作多处订阅功能。当医院有多个院区时，各院区可以从中心订阅模板，避免模板的重复制作。</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急诊业务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急诊预检分诊系统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预检分诊登记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预检分诊接诊，支持与院前急救系统的对接，实现患者院前急救数据的自动关联和导入，支持120入院的病人从院前急救系统中自动获取最近一次生命体征和评分数据，避免重复录入，支持对外院转运送入的患者可登记患者来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需支持对自行入急诊的患者，预检分诊支持与院内</w:t>
      </w:r>
      <w:r>
        <w:rPr>
          <w:rFonts w:ascii="宋体" w:hAnsi="宋体" w:cs="宋体"/>
          <w:sz w:val="24"/>
          <w:szCs w:val="22"/>
        </w:rPr>
        <w:t xml:space="preserve">HIS对接，在读卡设备对接的前提下，提供急诊病人、信息调取功能；并支持通过医保卡、院内卡等直接刷卡获取病人档案信息，进行快速预检分诊；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需支持预检分诊评估，支持常用急诊病人病情评估评分表，如</w:t>
      </w:r>
      <w:r>
        <w:rPr>
          <w:rFonts w:ascii="宋体" w:hAnsi="宋体" w:cs="宋体"/>
          <w:sz w:val="24"/>
          <w:szCs w:val="22"/>
        </w:rPr>
        <w:t xml:space="preserve">GCS、NRS、RTS、MEWS等，其中RTS、MEWS涉及上述生命体征、意识清醒程度的应能自动根据已有的、必须的数据自动计算评分值，免去分诊护士的二次填写评分；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在患者体征采集时，可利用体征测量仪器设备采集，如体温、心率、收缩压、舒张压、氧饱和度等，分诊系统需支持自动从设备中获取生命体征数据，摒除分诊护士手动采集、录入，体征数据可用于分诊分级、病情评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需支持根据患者评分评估情况，提供自动分级分诊功能，并支持人工修正分级，系统自动分级判断依据：</w:t>
      </w:r>
      <w:r>
        <w:rPr>
          <w:rFonts w:ascii="宋体" w:hAnsi="宋体" w:cs="宋体"/>
          <w:sz w:val="24"/>
          <w:szCs w:val="22"/>
        </w:rPr>
        <w:t xml:space="preserve">Mews评分、分诊知识库、单项客观指标、主观症状、评分表来分级，以最高级别（1级最高）为准；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需支持对患者的分区分级内容，提供分诊知识库功能，，支持三区四级的分诊模式；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基于预检分诊知识规则库，以不同的维度划分不同的急诊病情类型，按照不同病情类型有分类明确的病情症状，并能结合病人生命体征、病情评估实现自动分诊分级，用于协助急诊分诊护士快速有效分诊，并允许修正分级及录入修正原因；</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预检分诊管理，对分诊全流程进行整体管理，提供分诊登记，腕带打印功能，提供急诊预检分诊单打印功能，支持与热敏打印机对接，预检分诊结束时能为病人提供急诊预检分诊单单据打印，包含病人主要基本信息、联系人及电话、生命体征、分诊科室、预检分级、当前序号等内容，支持后续可根据需要扩展，如二维码、条形码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需支持提供急诊病人去向，系统应能记录急诊病人分诊去向，主要有急诊诊室、急诊抢救室，可以根据需要扩展，此外应能记录具体的分诊科室；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需支持与院内排队叫号系统集成，实现急诊诊室有序就诊，在抢救室的</w:t>
      </w:r>
      <w:r>
        <w:rPr>
          <w:rFonts w:ascii="宋体" w:hAnsi="宋体" w:cs="宋体"/>
          <w:sz w:val="24"/>
          <w:szCs w:val="22"/>
        </w:rPr>
        <w:t xml:space="preserve">PC端，系统应支持急诊病人的分诊信息补录入，包含急诊首诊医生、急诊床位分配，完成对急诊患者全流程质管闭环。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群体伤害事件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支持群体事件流程管理，对群体事件内容进行登记，包括事件名称、事件患者、原因、措施等进行记录上报；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需支持快速进行预检分诊患者登记，提供批量分诊模式，对未分诊病人进行集中处理。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特殊病人管理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支持通过预检分诊对特殊病人进行区分管理，特殊病人的类别管理有且不限于：三无、绿通、各中心病人；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支持在特殊病人管理中，系统可对三无病人快速登记；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支持绿色通道、胸痛、卒中、创伤等特殊患者的标记功能，并可进行统计查询；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支持胸痛、卒中、创伤、高危孕产妇、新生儿等各中心患者进入各中心管理流程；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支持在绿通病人的管理中，提供院前绿色通道申请、绿色通道审批流程，包含患者基本信息、进入绿色通道原因、患者病情、本次产生费用金额、绿色通道授信额度、接诊科室、接诊医生、操作时间等信息。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预检分诊查询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支持对急诊预检分诊登记的病人数据进行统计分析查询，包含急诊预检分诊病人登记查询、急诊预检分诊病人分时/分科统计，能按照时间、科室等条件进行检索查询。</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急诊医生工作站系统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患者管理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在急诊留抢医生站中提供集成一体化主界面，界面中应包含急诊病人列表、病人业务操作平台两个模块，其中病人列表需支持卡片模式展现病人主要信息，默认卡片模式，急诊医护人员可自由切换卡片模式或列表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支持在卡片模式中，可对当前诊区的病人进行集中展现，展现信息应包含以下内容：病人床号、姓名、性别、年龄、分级、诊断、病情、绿色通道、创伤标记等，并可有相关的检索过滤功能，方便急诊医生工作；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支持在集成界面中，对患者进行部分简易操作，包含病人信息、费用清单、护理资料等；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支持患者业务管理，在留抢医生站患者业务模式下，提供多病人多业务操作模式，可同时打开多个病人的业务操作平台，方便医护人员可以在多个病人之间互相切换；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提供急诊病历书写功能，支持急诊病历、留观病程文书记录书写功能；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支持医生查看留抢患者护理资料；</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诊断管理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提供诊断开立功能，医生通过对患者的问诊后为患者开立本次就诊的急诊诊断。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支持患者历史诊断引用，可调用当前患者近期就诊的历史诊断；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支持科室</w:t>
      </w:r>
      <w:r>
        <w:rPr>
          <w:rFonts w:ascii="宋体" w:hAnsi="宋体" w:cs="宋体"/>
          <w:sz w:val="24"/>
          <w:szCs w:val="22"/>
        </w:rPr>
        <w:t xml:space="preserve">/个人常用诊断引用，可调用科室/个人已收藏的常用诊断；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支持高频诊断引用，可调用本科室</w:t>
      </w:r>
      <w:r>
        <w:rPr>
          <w:rFonts w:ascii="宋体" w:hAnsi="宋体" w:cs="宋体"/>
          <w:sz w:val="24"/>
          <w:szCs w:val="22"/>
        </w:rPr>
        <w:t xml:space="preserve">/医生近期内的高频次诊断；</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急诊医嘱开立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提供各类医嘱的开立，如药品、检查、检验、处置治疗等。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支持医嘱开立时，支持科室过滤、校验库存和开药提醒，药品数量可自动计算。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提供医嘱的药物成组功能。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支持医嘱模板引用，根据患者主</w:t>
      </w:r>
      <w:r>
        <w:rPr>
          <w:rFonts w:ascii="宋体" w:hAnsi="宋体" w:cs="宋体"/>
          <w:sz w:val="24"/>
          <w:szCs w:val="22"/>
        </w:rPr>
        <w:t xml:space="preserve">/副诊断、年龄、性别调用最佳医嘱模板；</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支持患者历史医嘱引用，根据患者主</w:t>
      </w:r>
      <w:r>
        <w:rPr>
          <w:rFonts w:ascii="宋体" w:hAnsi="宋体" w:cs="宋体"/>
          <w:sz w:val="24"/>
          <w:szCs w:val="22"/>
        </w:rPr>
        <w:t xml:space="preserve">/副诊断调用本科室当前病人就诊的历史医嘱；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实现电子病历段落为空时无法开立医嘱的部门限定配置；</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急诊病历文书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提供急诊病历书写功能，支持急诊病历、留观病程文书记录书写功能。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提供常用的急诊病历模板维护功能。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急诊病历书写时可自动引入患者的基本信息，并可根据关联设置自动展开或隐藏书写内容；提供部分病历内容自动校验功能，对于不合法的数据（如体温</w:t>
      </w:r>
      <w:r>
        <w:rPr>
          <w:rFonts w:ascii="宋体" w:hAnsi="宋体" w:cs="宋体"/>
          <w:sz w:val="24"/>
          <w:szCs w:val="22"/>
        </w:rPr>
        <w:t xml:space="preserve">50度）在录入时能自动提示。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提供医疗文书常用的特殊符号集写回病历文书的功能，如：℃，℉，‰，㎡，</w:t>
      </w:r>
      <w:r>
        <w:rPr>
          <w:rFonts w:ascii="宋体" w:hAnsi="宋体" w:cs="宋体"/>
          <w:sz w:val="24"/>
          <w:szCs w:val="22"/>
        </w:rPr>
        <w:t xml:space="preserve">mmol 等；提供上、下标功能，支持对文字的上下标功能；在病历录入中，能在任意位置插入图形图像，实现病历内容图文混编的格式。</w:t>
      </w:r>
      <w:r>
        <w:rPr>
          <w:rFonts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提供将患者的诊疗信息引入到本次就诊病历中任意位置功能。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提供医嘱、检验、检查数据插入到病历文书的功能，在病历录入中，医生可根据病情描述需要，自主选择检查、检验报告数据直接将准确的数据插入到病历中任意位置。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提供处方信息医生选择后写回病历任意位置功能。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提供自动将患者的处置处方等信息写回急诊病历。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提供自动将患者的急诊诊断信息写回急诊病历。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支持病人离院时病程记录合并打印。</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急诊会诊</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实现急诊会诊管理，包括急诊会诊申请，急诊会诊接收，急诊会诊意见单填写。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支持配置会诊意见模板。</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过敏信息管理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支持手工录入患者过敏史，选择过敏原、过敏类型。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支持获取皮试结果，更新对应过敏信息</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住院业务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入院</w:t>
      </w:r>
      <w:r>
        <w:rPr>
          <w:rFonts w:ascii="等线 Light" w:hAnsi="等线 Light"/>
          <w:b/>
          <w:bCs/>
          <w:sz w:val="30"/>
          <w:szCs w:val="28"/>
        </w:rPr>
        <w:t xml:space="preserve">/</w:t>
      </w:r>
      <w:r>
        <w:rPr>
          <w:rFonts w:ascii="等线 Light" w:hAnsi="等线 Light"/>
          <w:b/>
          <w:bCs/>
          <w:sz w:val="30"/>
          <w:szCs w:val="28"/>
        </w:rPr>
        <w:t xml:space="preserve">出院结算管理系统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支持跨机构申请住院，所跨机构可以通过配置限制；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需支持患者档案的修改和查询及完整性校验；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需支持以展开方式，查看患者基本信息的详细信息；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需提供一般入院登记、预约入院登记、留观入院登记、根据病人档案调入病人等入院方式；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需支持普通住院预约患者、日间手术住院预约患者的预约调入登记；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需支持门诊病人、新病人、老病人的入院登记；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需支持刷就诊卡</w:t>
      </w:r>
      <w:r>
        <w:rPr>
          <w:rFonts w:ascii="宋体" w:hAnsi="宋体" w:cs="宋体"/>
          <w:sz w:val="24"/>
          <w:szCs w:val="22"/>
        </w:rPr>
        <w:t xml:space="preserve">/医保卡/身份证，或者输入病案号、姓名、身份证号、卡号、护照、市民卡、健康卡、地区通行证等患者信息进行入院登记；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需支持入院登记时病人的科室、病区、床位、治疗小组的选择；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入院科室后，支持联动显示可以入住的病区，显示的病区可配置；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提供患者标签功能，支持在入院登记时获取并标记患者医保特殊身份、支持自定义患者标签；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支持患者分类，标准化分类患者，方便统计；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支持进行流程分类，标记特殊流程比如急转住流程、血透流程；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支持入院登记时，进行住院预交金的缴款或授权，支持储值金、现金、支付宝、微信、银行卡、聚合支付等缴款方式。支持授权和授权金额录入；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支持取消入院登记，并清除当前界面上患者登记信息。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在院病人管理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入院患者集中管理，可根据住院状态、床号、住院号、姓名、病人科室、病人病区等条件检索病人列表，并根据每种类型病人的业务权限进行操作，其中住院状态包含在院、在院证明、通知出院、出院预结、出院挂账、正常出院、终结出院、取消出院、登记、费用已审批等状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选中的入院患者提供入院登记、登记修改、入院信息查看、注销住院、档案信息查看、病人信息查看、费用账卡查看、缴预交金、出院预结、取消预结、出院结算、住院历史查看、换床明细查看等业务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支持将患者的住院费用转门诊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支持将患者的门急诊费用转住院；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支持病人列表、腕带打印。</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住院结算</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支持床位费、ICU费、诊疗费等费用从床位分配之日起自动累加，住院自动累加费用可自定义，如夏天医院增收的空调费；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支持区分大人和小孩的账卡，可查询总费用，也可分别查看各自费用（产科）；</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提供住院患者的中途结算和出院患者的出院结算、合并结算、出院预结、出院挂账、出院终结；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提供中途结算、出院结算、合并结算的发票作废功能，作废时重打发票</w:t>
      </w:r>
      <w:r>
        <w:rPr>
          <w:rFonts w:ascii="宋体" w:hAnsi="宋体" w:cs="宋体"/>
          <w:sz w:val="24"/>
          <w:szCs w:val="22"/>
        </w:rPr>
        <w:t xml:space="preserve">(退费发票)；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支持取消中途结算、取消出院结算、取消出院预结；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支持取消出院结算时所退费用可按原支付方式直接存入预交金；</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支持储值金授权的预交金不可参与结算；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w:t>
      </w:r>
      <w:r>
        <w:rPr>
          <w:rFonts w:ascii="宋体" w:hAnsi="宋体" w:cs="宋体"/>
          <w:sz w:val="24"/>
          <w:szCs w:val="22"/>
        </w:rPr>
        <w:t xml:space="preserve">2种出院终结处理模式：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1）通过增加一种保险信息，比如叫医院承担，支付信息可以叫医院坏账；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2）通过增加一种付款方式，比如叫医院支付，使用这种付款方式来支付； </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支持中途结算时大人与小孩分开结算也可一起结算；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支持中途结算时可以指定费用日期段的收费项目明细来结算；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支持结算完成时自动打印结算发票；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支持结算发票补打、重打；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支持对通知出院或者出院预结算的患者进行出院结算；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支持与各地医保政策无缝接口，医保部分实时结报；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支持现金、储值金、医保账户、支付宝、微信、银行卡、支票等结算方式；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支持现金、微信、医保账户等不同方式混合支付。</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住院结账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提供对操作员当日的收费信息进行结账的功能，以及显示本次结账的住院结算、住院结算票据和住院预交金的明细信息；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提供根据姓名、住院号码、床号查询具体患者的结算记录，并且可查看结算明细；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提供根据姓名、住院号码、床号、票据号码查询具体患者的结算票据记录，并且可查看结算明细；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提供根据姓名、住院号码、床号查询具体患者的预交金缴费记录列表或根据收据号码查询具体的一次预交金缴费记录；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提供日终结账、日结汇总和月终结账查询的功能，支持取消日结、取消日结汇总的功能；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支持自动结账模式，通过后台服务完成；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支持收费员可在当日结账多次，最后进行当日的结账数据；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提供按照收费部门，对起止时间段内的个人结账进行汇总结账；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支持对住院收款员进行未结账查询。</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费用记账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支持多种记账方式：按患者记、按项目记、明细记账、批量记账；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支持不控制、提示、欠费后冻结三种费用记账的控制方法；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支持记账查询功能。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支持可以按医嘱、费用日期、记费日期、项目进行记费与退费；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支持姓名、床号、住院号快速定位到病人进行记费与退费；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住院缴款</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支持通过缴款方式、储值金授权方式来缴纳住院预交金，授权金额不能大于授权的最高额度；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支持现金、储值金、支付宝、微信、银行卡、支票等缴款方式；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支持所缴金额</w:t>
      </w:r>
      <w:r>
        <w:rPr>
          <w:rFonts w:ascii="宋体" w:hAnsi="宋体" w:cs="宋体"/>
          <w:sz w:val="24"/>
          <w:szCs w:val="22"/>
        </w:rPr>
        <w:t xml:space="preserve">&gt;欠费金额则自动解除患者的冻结状态；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支持预交金退款处理，账户授权直接取消授权即可，缴款可选择原方式退回；</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支持预交金历史查询，查询当前操作员某段时间收或退的预交金情况；</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住院催款</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支持全院、按病区、按科室催款；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支持欠费额度、催款比例、最低催款金额可根据住院患者保险计划、病区和住科室自定义；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支持催款单打印；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支持住院欠费解冻审批功能；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住院退款管理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支持单人退补费处理，可以按项目、医嘱、费用日期、记费日期、进行退费；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支持多人退补费处理，根据项目名称、费用日期查询病区可退费信息，再按姓名、床号、住院号快速定位到病人进行退费。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住院综合查询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费用账卡查询，费用账卡会逐项列明患者所得到的医治的所有项目、药品及价格明细内容，以及入院以来的医药费用总和；支持按患者、费用分类查询费用清单；支持按项目、日期查询费用清单；支持费用清单的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支持住院欠费查询，支持按照科室、病区、欠费额度、病人姓名、床位号、病案号，进行住院欠费信息的查询；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支持住院预结查询，支持按照预结日期、预结类型、预结科室、病案号，进行住院预结信息的查询；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支持住院结算及缴款查询，支持按照病人病案号、发票号码、结算类型、保险计划、结算日期、病人科室、操作员，查询住院结算和交款信息；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病人查询，提供病人住院状态、病人姓名、性别、保险计划、科室、病区、床号、住院诊断、病案号、身份证号、手机号、配偶姓名及联系电话、住址、工作单位、是否退休、出生日期、入院日期、出院日期等过滤条件，进行住院病人的查询，查询结果界面集成病人信息、入院信息、费用信息、手术信息等内容的查看，支持查询结果的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支持住院申请查询，支持按申请日期、状态、机构、科室、人员，查询、打印住院申请信息；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支持住院人数查询，支持按照科室、病区、日期查询床位的使用情况；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支持全院床位查询，支持按照床位病区、床位状态、床位类型，查看全院床位的使用情况，同时集成病人信息、费用账卡查询功能。</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住院医生工作站</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主页管理</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今日病人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根据医生今日病人管理，为医生提供病人主页内容。通过后台配置化操作提供医生今日病人列表，需包括“科室今日入院病人、今日出院病人、今日手术病人”等信息。</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流转处理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系统病人流转业务处理，将业务流转病人处理事项进行集成，内容需包括：会诊管理、手术管理、他科治疗管理等。例如在会诊管理中，能第一时间接收到会诊消息，且能及时查看到病人详情和病历等资料，系统应能提供快速显示界面，提供医生查询，并且具有独立会诊患者列表，能显示会诊的紧急情况，医生可快速查看资料，在会诊消息界面书写会诊意见，会诊单书写完毕后会自动生成在电子病历会诊记录中。</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日常业务处理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基于后台配置化主页内容，将医生日常业务交互工作集成至主页，方便集中查看处理及统计。集成内容可由后台进行界面配置管理，内容包含且不限于：与护士站信</w:t>
      </w:r>
      <w:r>
        <w:rPr>
          <w:rFonts w:ascii="宋体" w:hAnsi="宋体" w:cs="宋体"/>
          <w:sz w:val="24"/>
          <w:szCs w:val="22"/>
        </w:rPr>
        <w:t xml:space="preserve">息流转的问题医嘱处理、今日转入转出病人提示、基于业务权限所管辖的待审批申请、与事后处方管理对接的医嘱点评、抗菌药物超限期提醒等内容。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患者管理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以列表、床头卡、简卡形式对患者信息进行管理，支持在界面中展示患者基本信息、床位基本信息和实时状态跟踪，并通过图形化形式提供临床路径病人、重点病人、手术病人、欠费、护理等级、过敏信息等可配置的患者标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提供病人检索管理，系统支持通过各种形式对病人进行筛选处理，如根据患者床号、病案号、姓名等条件快速定位患者；</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需根据科室、诊疗组、我手术患者等条件快速筛选患者；根据已转科、已出院、已归档等类别，对患者快速分类、过滤显示；根据病人护理等级及危重情况的标注与快速筛选；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提供快捷病人详卡展示操作，点击病人姓名，即可展示病人详细信息，并在界面中对标电子病历评审要求，集成</w:t>
      </w:r>
      <w:r>
        <w:rPr>
          <w:rFonts w:ascii="宋体" w:hAnsi="宋体" w:cs="宋体"/>
          <w:sz w:val="24"/>
          <w:szCs w:val="22"/>
        </w:rPr>
        <w:t xml:space="preserve">360集成视图，展现病人全过程诊疗记录。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支持对院前准备患者、日间手术患者等待入院患者的审核，可自定义配置审核流程。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支持查看分娩室病区的患者，并支持分娩室医生、患者住院科室医生同时管理患者。</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住院诊断管理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诊断提供对病人诊断进行集中管理的模式。在同一界面中提供初步诊断、入院诊断、修正诊断、补充诊断、出院诊断等多种诊断过程管理功能。并支持住院诊断规范化管理，对标ICD-10标准编码及自定义临床诊断名称描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通过诊断中对主诊断、副诊断的关联，将疫病报卡、临床路径与诊断关联，实现诊断下达的同时实现疫病登记及临床路径导入功能。并支持诊断与病历信息对接，实现诊断录入完成后病历诊断数据自动导入。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住院医嘱管理</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住院医嘱录入模式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提供西成药、草药、检查、检验、手术、护理、文字等医嘱集中录入功能，通过分类前缀实现自动分类输入，打破医嘱和申请单分离录入模式；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以临床为核心的专业医疗单开单模式，提供单一的西成药医疗单、成组的西成药医疗单、草药医疗单、检验医疗单、检查医疗单、护理医疗单、手术医疗单等十余种医疗单模式，并支持专科医疗单定制。并在医疗单中支持开立长期、临时、急诊、出院带药等药品医嘱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提供在单医嘱录入形式外，支持检查、检验、病理项目的集中开单，根据检验类别、检验类型、标本类型、检查类别、检查部位等进行项目选择。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支持配置手术申请单中内容；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支持根据不同的出院场景（如今日出院、宣告死亡等）配置不同的出院医嘱名称；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支持限制长期医嘱的停嘱时间必须在出院时间后的</w:t>
      </w:r>
      <w:r>
        <w:rPr>
          <w:rFonts w:ascii="宋体" w:hAnsi="宋体" w:cs="宋体"/>
          <w:sz w:val="24"/>
          <w:szCs w:val="22"/>
        </w:rPr>
        <w:t xml:space="preserve">N分钟内（N分钟可配置）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支持配置开立出院带药时用药限制天数；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支持配置开立出院带药时药品总量取门诊包装单位或取住院包装单位；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根据患者过敏史，结合过敏药物管理系统，支持在医生站开立药品时自动提醒患者过敏情况，对需皮试药品自动默认皮试处置。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支持跨院区会诊；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支持跨院区转科；</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住院医嘱规范管理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提供医嘱录入和管理功能，实现医嘱的开立、删除、签署、停嘱、作废、打印等功能。并在业务逻辑上支持医药分离模式，医生按通用名(服务项目)开立医嘱，在商品绑定时机再指定到具体药品；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系统需强调对住院医嘱质量安全性监管，提供已开医嘱的集中预览和补充修改</w:t>
      </w:r>
      <w:r>
        <w:rPr>
          <w:rFonts w:hint="eastAsia" w:ascii="宋体" w:hAnsi="宋体" w:cs="宋体"/>
          <w:sz w:val="24"/>
          <w:szCs w:val="22"/>
        </w:rPr>
        <w:t xml:space="preserve">功能，支持图表化展现，利用图标完美呈现医嘱执行、皮试、审核、报告等状态，可按医嘱类型（如全部、药品、检验、检查、手术、护理等）、医嘱状态（如开立、签署、有效医嘱、结束等）和开单科室进行医嘱类别的筛选查看与管理。并在医嘱用药安全性上支持临床知识库、临床决策、合理用药、处方点评等系统接口，根据就诊诊断、检查、检验结果审查医嘱安全性，并支持智能推荐治疗方案。基于电子病历评审规范，要求在医嘱中内嵌式的增加医嘱闭环、医嘱日志管理，在医嘱权限方面，系统基于国家相关规定提供抗菌药物、精神毒麻等特殊药品医嘱的开立权限控制。</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住院医嘱助手录入</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住院医生站提供医嘱助手功能，快速实现临床医嘱的快速开立；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在医嘱助手中，支持医嘱模板、患者历史医嘱、高频检查、高频药品、高频处置、常用个嘱引用，为医生医嘱录入提供便利。</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住院医嘱智能记费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支持医嘱费用处理智能化，检查项目按部位自动加收费用，检验项目按指标自动加收费用，会诊费用按会诊个数自动加收等等，且支持医嘱附加项目自动关联，允许人工补充修改。</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住院医嘱精细化管理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支持医嘱精细化管理。通过一张长期药品医嘱医疗单，根据当前时间、给药频次、停止时间，实现首（末）日时点自动勾选，并支持时点和不同时点用药剂量的调整；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支持开立输液医嘱时，自动计算患者当天已开立医嘱的液体总量，并可以查询患者历史用量；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支持在手术申请医嘱开立时，自动导入关联的手术医嘱模板；</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住院医嘱数据集成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支持检查、检验等医疗单自动获取患者病情摘要信息和患者诊断。</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住院医嘱打印管理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医嘱的打印功能，能够根据医院现有的医嘱单样式，定制打印模版，直接进行医嘱的打印、医生签名即可。提供长期、临时医嘱打印，可以实现开嘱打印和停嘱打印，打印方式支持续打、按页打、制定行打印、重整打印、重整清空等方式。</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住院报告查询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基于电子病历评价标准，实现门诊、住院患者就诊信息互通，支持在住院医生站有且不限于检验、检查、病理、电子病历数据报告查询，也支持历史某段时间内就诊报告的查询；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支持图文报告查看以及内嵌式影像浏览器接口查看；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支持医联体、医疗集团模式可跨机构、跨院区查看患者所有检验检查结果报告。在检验结果中支持检验定量指标的趋势图分析，分单指标趋势图和多指标趋势图。</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住院综合查询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提供临床诊疗业务数据的查询功能，包含处方点评结果、临床危急值报告、住院病历查询等。</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他科治疗管理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提供本科室诊疗之外其他科室的诊疗服务并行的功能，即“他科治疗”，包含“血透（透析）、PICC、理疗、DSA”等科室，支持上述治疗室医师进行申请单管理、病历书写、医嘱开立、医嘱计费、查阅病历等。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支持患者同病区他科治疗，医嘱由患者所在病区护士复核、执行；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支持跨院区他科治疗。</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住院电子病历系统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医生站一体化集成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住院病历跟住院医生站一体化集成，满足界面集成、数据集成、应用集成的整合效果，方便医生看诊，提高就诊效率。</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支持医嘱文书联动功能。医生开特检、特药医嘱时自动生成患者同意书，删除医嘱时自动删除对应的病历文书。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支持医生填写会诊申请单后自动创建会诊记录文书，且会诊记录部分内容支持自动引用。</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病历权限维护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提供按病历类别定义病历操作权限的功能。按照临床实际需要将医疗角色划分为实习医生、住院医师、主治医师、主任医师、医疗组长、科主任等，并分别授权病历的查看、书写、审签、修订签、打印、导出权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支持住院病历多级医师签名规则的动态配置，不同类别设置不同签名规则。对各类文书的修改权、签名权以及签名顺序进行配置。支持非数字文字签名、非数字图片签名、CA签名等多种方式。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提供医生的医疗角色定义功能。</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住院病历书写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提供住院病历基本书写功能。提供类WORD书写界面风格、结构化书写、所见即所得。支持文本元素、日期元素、单选元素、多选元素等多种结构化书写格式，支持病历书写时元素的快速跳转。</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住院病历支持多病人多文档书写。在一台机器上能打开多个患者书写病历，每个患者也可以打开多份病历书写。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提供病历模板的选择，如果病历类别有配置默认模板，系统能自动根据各种规则如病种、性别、年龄加载默认模板。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提供模板套餐功能。可以根据病种的常用模板集中维护，一键批量创建多份病历文书。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住院病历书写支持严格的流程和权限管理。比如创建、保存、签名、清除签名等，草稿状态下病历可以自由修改，签名后的病历只有上级医生能修改。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提供病程记录标题的自动生成功能，并支持人工修改。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支持医生在病历书写时，对个人常用语、常用模板进行收藏和使用的功能，便于同一病种病历的高效书写。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支持病历之间的结构化自动引用。如入院记录中的病史描述能同步至首次病程录、会诊申请中，不需要医生抄写且内容一致。</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支持修订签功能。对于已签名完成的病历，上级医师根据修订签权限可以直接修改病历并引导完成签名。</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支持创建手术记录时从医嘱或者麻醉系统获取手术信息并同步到文书中，并且支持手术信息的修改、拆解、排序。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 支持病历回收站功能，医生可以将删除的文书找回。</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支持规培生的附属账号管理。规培生只能创建非首程之外的文书，其创建的文书需由带教老师签字，签字时自动带入规培生姓名。</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支持跨院区的信息共享和引用。比如患者的历史病历、检查检验报告等。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中医病历书写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中医病案首页模板配置以及书写，首页可根据本省的病历书写规范配置门急诊诊断（中医）、中医治疗类别、辨证施护、出院诊断（中医）等元素，且支持数据的自动引用（若医生站或者三方能提供数据接口）。</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支持中医其他模板配置，比如入院记录包含中医诊断及辨证分析等特有属性。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支持中医诊断、证候规范化拼装并自动引入到入院诊断、病案首页中。</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支持草药方的引用，含出院带药的自动引用、病历助手中选择药方引用，引用的格式含草药明细、膏方使用说明，方便易读。</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病历书写助手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支持同屏查看和引用历史病历、检查报告、检验报告、病理报告、体征记录、医嘱信息等内容，数据范围包括既往门诊和住院。检验报告的异常值有明显的颜色区分，医嘱需支持草药格式。</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常用语引用。包括通用引用、按章节引用、按元素引用三种模式。通用引用模式下医生可以选择一个或者多个常用语引入到病历，按章节引用模式下只能选择该章节的常用语进行引用，按元素引用模式下需要精准筛选出当前元素的常用语进行引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支持特殊符号、医学图库、医学术语、医学表达式的快速引用。</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住院病历打印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支持住院病历的原样打印和分离打印。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提供病程的续打、单份打印、多份打印、奇偶页打印、选页打印。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支持根据病历类别配置并实现单面打印、手动双面打印、自动双面短边打印、自动双面长边打印。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支持多种打印场景。比如单份文书的工具栏打印和预览打印、多份文书的批量打印、按患者或者病历类别打印文书等。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住院病历管理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病历后台存储支持文本、HTML、XML、JSON、PDF等多种格式，符合结构化存储要求。同时这些数据支持以URL地址、HTTP服务、视图三种模式提供给第三方厂商查看和使用。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病历文书保存和签名时，支持实时生成PDF文件。</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提供住院病历修改痕迹记录和比对功能，方便回溯每个版本的病历修改情况。</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住院病历的任何操作自动生成审计日志和追溯。操作包括创建、修改、删除、查看、打印、签名等，审计日志包括操作时间、操作者、操作内容等。提供按单份文书或某个患者追踪查看其所有操作者及操作内容，支持按操作者追踪查看其所有操作等功能，以确保运行病历书写始终被监控直至入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提供住院病历订阅的功能。当第三方系统需要获取住院病历结构化内容时，通过结构化订阅的方式实现。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支持住院病历出院归档。在患者出院三天内，由医生提交并锁定病历，避免病历被随意修改。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支持对出院归档病历的召回流程。已提交归档的病历需要更新时，由医生发起召回申请，主管部门审批通过后允许医生修改病历。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支持主管部门对住院运行病历、归档病历进行封存和解封。封存后不允许医生查看、修改、打印病历，解封后操作同普通文书。</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住院病历模板管理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的模板自定义功能。包括病案首页、入院记录、病程记录（分首次病程、日常病程、医师查房记录、交接班记录、转科记录、术前小结等）、手术及治疗、各种授权书和同意书、讨论记录、会诊记录、出院记录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住院病历模板管理需采用数据集、模板两层设计。通过数据集规范病历模板制作。</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提供科室模板管理员创建和授权功能。该管理员可以被授权不同的诊疗科目，授权后该管理员只管理有权限科室的病历模板。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提供三级模板管理和审批功能。三级模板有全院格式模板、科室章节模板和个人数据模板。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实现全院格式模板的统一管理。个人数据模板继承自全院格式模板并受母板管控，修改母板后所有相关模板能自动更新，包括增删改文本、元素、表格等操作。</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提供数值、日期、单选、文本、选择、复选等元素的插入，支持图片、按钮、页眉、片段、二维码、条形码等内容的编辑。</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支持病历内容之间的联动。包括元素与元素、元素与片段、元素与表格之间的逻辑关系联动。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支持打印隐藏元素设置。用于实现病历编辑提示信息，病历预览和打印后不显示。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模板打印格式的自定义功能。做模板时定义病历打印格式脚本，在模板制作页面即可预览打印格式，实现病历书写和打印的分离。打印脚本支持整个章节的显示或隐藏、元素的显示或隐藏、打印内容的重组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提供模板批量管理。包括批量改元素属性、批量替换章节内容、批量替换页眉等。对于同一类模板的共性修改，制作人员不需要逐一操作，批量替换以提高工作效率。</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支持病历模板的一处制作多处订阅功能。当医院有多个院区时，各院区可以从中心订阅模板，避免模板的重复制作。</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住院病历与质控联动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的边写边质控功能，住院病历和质控需一体化集成和实时提醒。医生病历签名时，根据配置的内涵质控规则对病历内容进行质控，对问题病历进行实时提醒。以子宫肌瘤为例，书写首次病程时会质控是否有超声结果做诊断依据、诊疗计划是否有完善CT\MRI检查意见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住院病历质控提醒包括提醒、拦截、禁止三种类型。提醒类不卡控医生签名，且质控消息仅小弹窗提醒。拦截类和禁止类需卡控医生签名，且质控消息直接从侧边弹出，需对提醒内容整改后重新签名。</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临床路径系统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临床路径配置</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专科病种维护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支持病种和疾病进行关联；</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支持单个诊断、多个诊断</w:t>
      </w:r>
      <w:r>
        <w:rPr>
          <w:rFonts w:ascii="宋体" w:hAnsi="宋体" w:cs="宋体"/>
          <w:sz w:val="24"/>
          <w:szCs w:val="22"/>
        </w:rPr>
        <w:t xml:space="preserve">(部分路径要求两条或者多条诊断同时满足的情况下才能入径)入径模式；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支持主诊断、次诊断、全诊断</w:t>
      </w:r>
      <w:r>
        <w:rPr>
          <w:rFonts w:ascii="宋体" w:hAnsi="宋体" w:cs="宋体"/>
          <w:sz w:val="24"/>
          <w:szCs w:val="22"/>
        </w:rPr>
        <w:t xml:space="preserve">(主诊断、次诊断)入径标准。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支持入径排斥规则维护</w:t>
      </w:r>
      <w:r>
        <w:rPr>
          <w:rFonts w:ascii="宋体" w:hAnsi="宋体" w:cs="宋体"/>
          <w:sz w:val="24"/>
          <w:szCs w:val="22"/>
        </w:rPr>
        <w:t xml:space="preserve">(存在排斥诊断则禁止路径)。</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路径定义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支持主路径、分支路径维护，分支路径基于主路径维护。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支持临床路径可以和手术关联，根据手术导入</w:t>
      </w:r>
      <w:r>
        <w:rPr>
          <w:rFonts w:ascii="宋体" w:hAnsi="宋体" w:cs="宋体"/>
          <w:sz w:val="24"/>
          <w:szCs w:val="22"/>
        </w:rPr>
        <w:t xml:space="preserve">/转换到主(分支)路径。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支持单个部门、多个部门审核需求，支持分级流转审核、平级审核模式，支持二次审核流程优化、支持审核留言</w:t>
      </w:r>
      <w:r>
        <w:rPr>
          <w:rFonts w:ascii="宋体" w:hAnsi="宋体" w:cs="宋体"/>
          <w:sz w:val="24"/>
          <w:szCs w:val="22"/>
        </w:rPr>
        <w:t xml:space="preserve">/回复功能等；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支持路径历史版本管理，可查看、复制各版本活动内容，可比较版本间差异。</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支持路径复制、路径导出、路径排斥医嘱、住院流程维护、路径模板预览打印等功能。</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叠加路径维护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支持叠加路径维护，叠加路径与患者主路径并行，解决患者并发症的医嘱处理问题。支持叠加路径可以和疾病关联，病房医生站可根据患者是否满足叠加路径诊断标准限制叠加路径的使用。</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变异原因维护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支持变异原因维护，如路径医嘱发生变异需记录变异原因、中途退出路径需记录变异原因等。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支持卫健委提供的</w:t>
      </w:r>
      <w:r>
        <w:rPr>
          <w:rFonts w:ascii="宋体" w:hAnsi="宋体" w:cs="宋体"/>
          <w:sz w:val="24"/>
          <w:szCs w:val="22"/>
        </w:rPr>
        <w:t xml:space="preserve">CT06.00.004变异原因编码标准。</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路径项目替换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支持一次批量替换多个路径中已作废/无库存的医嘱，避免频繁修改路径维护。</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等效项目维护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支持等效项目维护，可使用等效项目替换路径中缺药/作废项目。</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备用项目维护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支持备用项目维护，解决常用药品和诊疗使用产生变异问题，患者开立临床路径外医嘱时，若医嘱在备用项目中则不算变异。</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超期入径原因维护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支持按临床路径设置入径限制天数，超期入径需要填写原因。</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医生临床路径</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路径导入</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支持根据患者当前有效诊断强制入径；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支持根据手术操作医嘱强制入径；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支持手工选择科室可用路径导入；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支持已入径患者床位卡上显示路径图标；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支持根据临床路径的入径限制天数控制路径导入时间。</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路径转换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支持患者有效诊断发生变更后自动提示转换路径；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支持根据诊断先进入主路径，再根据手术医嘱转换到主路径下的分支路径；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支持已入径患者根据手术医嘱自动转换到其他主路径。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支持手工选择当前路径外的其他路径导入、或当前路径下的分支路径导入。</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路径执行</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支持对引入路径的病人按照路径治疗阶段顺序执行相应诊疗工作、医嘱项目、医疗病历，允许提前执行下一阶段活动，也支持补执行上一阶段活动。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支持临床路径医嘱导入嵌入各种医嘱安全控制功能</w:t>
      </w:r>
      <w:r>
        <w:rPr>
          <w:rFonts w:ascii="宋体" w:hAnsi="宋体" w:cs="宋体"/>
          <w:sz w:val="24"/>
          <w:szCs w:val="22"/>
        </w:rPr>
        <w:t xml:space="preserve">,如医嘱开立权限、合理用药、过敏皮试控制、抗菌药物使用、保险限制、项目间控制等；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支持与医生站无缝融合，实现路径内医嘱的同步执行交互。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支持路径医嘱同步校验功能，判断患者当前路径导入之前开立的医嘱是否路径内医嘱。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支持组医嘱、预开医嘱、互斥医嘱、可选医嘱、必选医嘱等多样化医嘱处理模式。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支持当前路径内医嘱缺药替换功能；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支持路径内医嘱显示路径标识，路径外医嘱、超时执行医嘱显示变异标识。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支持自动变异机制、也可选择手工记录变异原因。</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支持根据参数控制上一阶段必选项未执行是否可进入下一阶段治疗。</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叠加路径执行</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支持执行叠加路径医嘱，可执行归属全院、当前科室、当前路径的叠加路径。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支持叠加路径医嘱显示叠加路径标识。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支持叠加路径使用诊断标准判断；</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手术日调整</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支持在径中患者，如因病情变化等原因导致手术日发生变化，CP手术日可往前/往后调整N天。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支持可参数控制手术日调整是否需记录变异。</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出院日调整</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支持在径中患者，如因病情变化等原因导致出院日发生变化，CP出院日可往前/往后调整N天。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支持可参数控制出院日调整是否需记录变异。</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中途退径</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支持已入径患者中途退出路径，中途退径需记录变异出径原因。</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完成路径</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支持手工选择完成路径；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支持通知出院时自动完成路径；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支持转科自动出径；</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执行监控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支持当前路径执行情况监控，已执行、未执行、是否超时执行、是否产生变异等。</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患者路径表单打印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支持患者路径表单打印，可参数控制只打印已执行内容或者打印全部内容。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护士临床路径</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支持护士按照路径执行日常护理各项处置操作，并支持查看医生路径诊疗工作、重点医嘱、医疗病历执行情况。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支持多人护理工作一键集中执行，可按护理组、是否超时、是否必选筛选未执行的护理工作；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支持对必选未执行、超时必选未执行护理工作患者进行提醒。</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临床路径统计</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临床路径查询统计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支持实时监控在院病人的入径情况，可按入径日期、手术日期、受控病种、科室等查询。</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患者入径情况</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出院患者入径情况统计，包括应入路径、实入路径、手术操作、当前诊断、出院诊断、入院日期、入径日期、出径日期、出院日期、住院天数、出径方式等数据，可按科室、诊疗组、首席医生、病区进行统计。</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实施汇总报表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可按科室、诊疗组、首席医生、病区统计病种人数、入径人数、未入径人数、中途退径人数、完成人数、变异人数、入径率、变异率、变异出径率、抗生素变异率、平均住院天数、平均住院费用、平均药品费用、平均检查费用、平均手术费用等数据。</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科室入径率报表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支持分析各科室、诊疗组、首席医生的出院人数、病种人数、入径人数、未入径人数、科室入径率等。</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变异医嘱统计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支持统计临床路径病人的变异医嘱信息，可按出院时间、科室、变异时间、医嘱类型、抗生素级别、受控病种统计；</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白名单医嘱统计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支持统计临床路径病人的备用医嘱使用信息，可按出院时间、科室、变异时间、医嘱类型、抗生素级别、受控病种统计；</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未入径统计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支持可按科室、诊疗组、首席医生、病区统计未入径患者信息</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中途退径统计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支持可按科室、诊疗组、首席医生、病区统计中途退出路径的患者信息</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路径执行情况统计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支持分析路径模板医嘱与实际执行路径医嘱的符合率，便于路径优化。</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临床路径执行情况监控平台数据</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支持临床路径病人的路径执行及住院费用数据上报，按照卫健委值域范围参考代码展现，可一键导出文件并导入卫健委平台。</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危急值闭环管理系统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危急值智能提醒</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危急值电脑端提醒</w:t>
      </w:r>
      <w:r>
        <w:rPr>
          <w:rFonts w:ascii="宋体" w:hAnsi="宋体" w:cs="宋体"/>
          <w:sz w:val="24"/>
          <w:szCs w:val="22"/>
        </w:rPr>
        <w:tab/>
        <w:t xml:space="preserve">当发生危急值时，系统可以接收医技系统推送的危急值信息并通过院内消息系统通知到医嘱相关的主管临床医生与护士，通知级别和内容可以由医院自定义设置。</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危急值移动端提醒</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当发生危急值时，支持通过院内消息系统通知，系统还支持通过移动端（钉钉或微信）或手机短信对接，实现开嘱或主管医生可接收危急值消息，保证危急值通知的及时性。短信通知内容可根据医院需求自定义，并支持设置短信内容通知患者。</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危急值消息配置</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除上方提到的通知形式区分之外，系统还支持针对需要弹出的科室与提醒方式进行针对性配置。</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危急值流程管理</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危急值处理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当发生危急值时，按照相关规定护士和医生需针对危急值消息分别进行确认和处理，医生处理即认为该危急值已处理。在电脑端中，系统支持通过对应工作站的消息弹窗定位患者并跳转至处理界面或直接通过危急值处理模块界面进行相应处理；在移动端中，系统支持直接对消息进行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在危急值处理后会自动为该患者生成危急值病程记录，并存储在电子病历系统中，进一步完善危急值闭环在病历文书中的展现形式；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在患者危急值展示中，患者危急值情况会同步到病区床位图标，只要患者在住院期间发生过危机值均需要显示。并且可以显示该患者的危机值列表及处理情况。</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待处理危急值</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提供临床医生可在待办任务中查看门诊、住院患者的待处理危急值，并进入危急值处理模块进行处理。</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医生危急值处理查询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支持查询当前科室或当前病区下所有住院患者的危急值医生处理情况和护士处理情况，并可查看处理结果和提醒记录。</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危急值通知维护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考虑到不同医院对危急值的通知对象要求不尽相同，除医护外，也有可能要求通知到门办、值班室等人员。系统支持按照就诊流程、危急值类型等维护危急值通知对象和通知时点，对危急值推送做进一步的精细管理。</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病历质控管理系统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评分标准维护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将卫健委发布的门诊病历、住院病历、病案首页质量评分标准维护到系统中，作为病历质控的依据和病历质控结果统计的口径。</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按照医院临床实际在用的病历分类，将评分标准对照到每个类别下，确认每类病历能使用哪些评分标准。</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时效性规则维护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提供病历时效性质控规则的“增删改查启停”功能。默认自带病历书写规范要求的23项病历书写及时性规则，例如入院记录、首程病程记录、上级查房等。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支持在定义的质控事件基础上维护新的及时性规则，比如入院评估、专科评估等等。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支持调整每条规则的卡控细节。比如精确度（分钟、小时）、是否允许提前书写、可代替病历、病历时间类型、病历状态、医生职称等等。</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内涵质控规则维护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提供病历内涵质控规则的“增删改查启停”功能。默认自带500条内涵质控规则，需覆盖病案首页、入院记录、病程记录、手术记录、出院记录等。</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支持维护项目取值规则、项目对比规则、病种规则、数值计算规则、业务事件规则等类型的规则。</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支持将内涵规则绑定到评分标准，以将质控记录关联到评分标准，便于查询统计。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支持维护每条规则的质控环节，包括运行质控、归档质控。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支持维护每条规则的质控节点和控制级别，例如提醒、拦截、禁止。</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病历时效质控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住院病历书写时效质控与实时提醒功能。住院期间根据患者发生的业务事件与时间点、时效性规则库，系统自动质控指定时限内指定病历是否按要求完成，即将到期还未完成的系统向临床发送提前提醒消息，已超时还未完成的系统进行扣分并发送扣分消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整改后系统自动清除扣分消息并取消扣分。医生也可手动点击已整改或者忽略，忽略后不再提示该消息。</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病历内涵质控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 提供一体化病历质控提醒交互功能。医生在进行门诊病历、住院病历签名时，根据内涵质控规则库对病历内容进行质控，有病历内涵问题的进行实时提醒。</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病历内涵质控消息分为提醒、拦截、禁止三种类型。提醒类不卡控医生签名，且质控消息仅小弹窗提醒。拦截类和禁止类需卡控医生签名，且质控消息直接从侧边弹出，需对提醒内容整改后重新签名。</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案首页数据质量精准质控。依靠标准数据集对病案首页各项内容进行精准数据抓取，根据已配置的规则校验各个项目的完整性、逻辑性、真实性、一致性等，在病案首页完成前对首页数据存在的各类问题进行提醒和卡控，约束医生按质控提示内容高质量完成病案首页；</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人工质控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提供人工质控权限管理功能。管理员可对质控员质控权限进行增删改查启停操作，权限包括科室、业务时间、质控环节。</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向质控人员提供运行病历查询功能。质控人员可查看权限范围内的在院病历列表和出院未提交病历列表，进行人工的运行病历质控。提供机构、科室、姓名、病案号、入院时间、住院天数、病历特点、质控分数等搜索条件。人工质控过的病历在列表中会高亮显示并置顶。</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向质控人员提供归档病历查询功能。质控人员可查看权限范围内的归档病历列表，进行人工的归档病历质控。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向质控人员提供门诊病历查询功能，质控人员可查看权限范围内的门诊病历列表，进行人工的门诊病历质控。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人工质控病历的功能。质控人员从上述病历列表可进入某分病历的详细质控界面。支持查看该份病历的全部资料。质控人员可对机器质控的缺陷进行审核，包括删除、激活、编辑等，也可新增缺陷项目。单份文书的缺陷项以卡片的形式和文书同屏展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提供向临床发送质控整改通知单功能。人工质控完成后，质控人员点击“完成质控”，将质控整改通知单发送到病历所在科室或医疗组。</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向临床提供接收质控整改通知单功能。临床可对照质控内容修改病历，并记录修改痕迹。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向质控人员提供整改进度追踪功能。质控人员可查看发送的整改通知哪些已改哪些未改哪些有申诉，可查阅病历修改痕迹，对已整改和申诉的项目可进行通过、退回等操作。</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质控闭环与日志</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提供每份病历质控的各个节点记录与展示功能，包括时间、人员、操作、明细，将各个节点按时间顺序完整展示。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提供每个缺陷项目的各个操作节点记录与展示功能，包括时间、人员、操作，将各个节点按时间顺序完整展示。</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质控记录查询与统计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全部质控缺陷项目查询功能。以列表形式展示机器的、人工的、运行的、归档的、门诊的全部质控缺陷项目，支持按机构、应用、环节、科室、姓名、病案号、病历类别、质控方式、首席医生、缺陷类型、创建时间、质控员、病人状态、缺陷描述、单项否决等条件检索缺陷项。支持查看单条缺陷项的详情和日志。</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提供人工质控记录导出为Excel的功能。支持原始记录导出和整改结果导出两种场景，分别用于评价质控员绩效和临床医生的绩效。</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质控总览功能。管理员可设置机构、质控环节、科室、医疗组、查询日期等条件，查看整体的病历质控结果分析，分为人工抽检、病历评分等级、缺陷分布、科室/医疗组排行、医生排行、质量环比六大维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提供人工抽检总览功能。可查看病历总数、人工抽检数、抽检率、合格数、合格率，以及病危重、危急值、死亡、疑难等每个重点病历类型的抽查比例。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提供病历评分等级总览功能。按照设置的病历分数台阶，将病历分为甲乙丙三个等级，以数字、饼状图的形式进行展示。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提供缺陷分布总览功能。将质控缺陷按评分标准目录分布、按规则类型分布，分别以柱状图形式展示，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提供科室/医疗组排行总览功能。展示各个科室/医疗组的病历平均分、缺陷数、合格率、抽检量，科室和医疗分别展示。</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提供医生排行总览功能。展示各个医生书写的病历被质控的缺陷数、扣分数。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提供质量环比总览功能。展示查询时间段与前一相同时间段的质控数据环比情况，分为质量指标环比（平均分、合格率等）、缺陷明细环比（每个目录环比）、问题类型环比（每个类型环比）。</w:t>
      </w:r>
      <w:r/>
    </w:p>
    <w:p>
      <w:pPr>
        <w:numPr>
          <w:ilvl w:val="3"/>
          <w:numId w:val="8"/>
        </w:numPr>
        <w:keepLines/>
        <w:keepNext/>
        <w:spacing w:line="360" w:lineRule="auto"/>
        <w:rPr>
          <w:rFonts w:ascii="等线 Light" w:hAnsi="等线 Light"/>
          <w:b/>
          <w:bCs/>
          <w:sz w:val="30"/>
          <w:szCs w:val="28"/>
        </w:rPr>
        <w:outlineLvl w:val="3"/>
      </w:pPr>
      <w:r>
        <w:rPr>
          <w:rFonts w:ascii="等线 Light" w:hAnsi="等线 Light"/>
          <w:b/>
          <w:bCs/>
          <w:sz w:val="30"/>
          <w:szCs w:val="28"/>
        </w:rPr>
        <w:t xml:space="preserve">不良事件管理系统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审批流程维护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支持针对不同分类的不良事件维护审批流程；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同一个不良事件大分类下的小分类，可以维护不同的审批流程；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支持维护审批流程是否分级流转；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支持维护流程是否需要上报；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支持审批流程维护列表展示，可以根据科室，审批类型，审批状态进行筛选；</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不良事件登记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支持根据字典配置不同类型不良事件登记；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支持不同类型不良事件登记“一体化”界面操作；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支持各类不良事件登记待处理数据提示及查询；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支持新建、审批不通过状态不良事件再次修改并提交审批功能；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支持新建、审批不通过状态不良事件删除功能；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支持不良事件报表查看功能；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支持根据不良事件类型、发生日期、记录日期、就诊流程、审批状态、患者病案号</w:t>
      </w:r>
      <w:r>
        <w:rPr>
          <w:rFonts w:ascii="宋体" w:hAnsi="宋体" w:cs="宋体"/>
          <w:sz w:val="24"/>
          <w:szCs w:val="22"/>
        </w:rPr>
        <w:t xml:space="preserve">/床号/姓名检索已登记的不良事件数据功能；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支持根据列表信息自定义排序功能；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支持通过流转详情弹窗查看不良事件审批状态功能；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支持不良事件报表根据不同的操作进行精细化控制：如点击登记按钮进入页面，不显示审核相关内容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支持不良事件报表中通过患者</w:t>
      </w:r>
      <w:r>
        <w:rPr>
          <w:rFonts w:ascii="宋体" w:hAnsi="宋体" w:cs="宋体"/>
          <w:sz w:val="24"/>
          <w:szCs w:val="22"/>
        </w:rPr>
        <w:t xml:space="preserve">360查看患者就诊信息功能；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支持消息提醒：不良事件登记待处理数据；</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不良事件审批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支持根据参数配置审批数据的查询范围：部门级、机构级、租户级；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支持根据字典配置不同类型不良事件审批；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支持不同类型不良事件审批“一体化”界面操作；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支持各类不良事件审批待处理数据提示及查询；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支持根据登录人审批权限查询不同数据功能；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支持新建、审批中状态不良事件审批功能，审批结果包含：审批通过、审批不通过；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支持登录人有多级审批权限时，一键多级审批功能；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支持审批通过状态不良事件，取消审批功能；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支持登录人有多级审批权限时，一健多级取消审批功能；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支持根据参数配置权限：不良事件审批过程中审批人可修改哪几类不良事件报表内容；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支持根据不良事件类型、发生日期、记录日期、就诊流程、审批状态、患者病案号</w:t>
      </w:r>
      <w:r>
        <w:rPr>
          <w:rFonts w:ascii="宋体" w:hAnsi="宋体" w:cs="宋体"/>
          <w:sz w:val="24"/>
          <w:szCs w:val="22"/>
        </w:rPr>
        <w:t xml:space="preserve">/床号/姓名、待审批/已审批条件检索不良事件数据功能；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支持通过流转详情弹窗查看不良事件审批状态功能；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支持不良事件报表根据不同的操作进行精细化控制：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支持消息提醒：不良事件审批待处理数据；</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不良事件上报</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支持根据参数配置上报数据的查询范围：机构级、租户级；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支持根据字典配置不同类型不良事件上报；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支持不同类型不良事件上报“一体化”界面操作；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支持各类不良事件上报待处理数据提示及查询；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支持根据流程配置不良事件是需上报功能；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支持审批通过状态的不良事件上报功能；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支持根据不良事件类型、发生日期、记录日期、就诊流程、审批状态、患者病案号</w:t>
      </w:r>
      <w:r>
        <w:rPr>
          <w:rFonts w:ascii="宋体" w:hAnsi="宋体" w:cs="宋体"/>
          <w:sz w:val="24"/>
          <w:szCs w:val="22"/>
        </w:rPr>
        <w:t xml:space="preserve">/床号/姓名、待上报/已上报条件检索不良事件功能；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支持根据列表信息自定义排序功能；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支持通过流转详情弹窗查看分级流转、非分级流转不良事件上报状态功能；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支持导出、打印不良事件报表功能；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支持不良事件报表根据不同的操作进行精细化控制：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支持不良事件报表中通过患者</w:t>
      </w:r>
      <w:r>
        <w:rPr>
          <w:rFonts w:ascii="宋体" w:hAnsi="宋体" w:cs="宋体"/>
          <w:sz w:val="24"/>
          <w:szCs w:val="22"/>
        </w:rPr>
        <w:t xml:space="preserve">360查看患者就诊信息功能；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支持消息提醒：不良事件审批待上报数据；</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不良事件统计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支持按照科室统计各分类不良事件的数量，支持导出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支持查看各科室不良事件统计明细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支持按不良事件分类统计数量，支持报表导出，单条打印表单内容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支持不同形式统计不良事件，如环比图，趋势图，条形图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可以针对科室，审批状态，患者信息等搜索不良事件内容</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院内会诊管理系统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门诊会诊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诊会诊，以及会诊记录的快速响应，保证会诊记录的完整性、可追溯性。在会诊类型中，系统提供门诊科内会诊、住院协同会诊、科间会诊、院外会诊等多种会诊情况，支持会诊的响应时间控制，急会诊10分钟，普通会诊24小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会诊与病历强关联管理模式，即会诊发起医生保存会诊医疗单时自动创建并在医嘱开立页面直接打开会诊病历，只有发起会诊医生完成病历签名后，方可流转会诊医嘱。在会诊单流程完成之后，会诊单会自动生成相应会诊病历文书，集成在门诊病历夹中。</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住院会诊</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会诊。住院医生在工作站发起会诊申请单，填写参加会诊科室、医生，会诊紧急程度等；在会诊类型中，系统提供住院科内会诊、科间会诊、院外会诊等多种会诊情况，支持会诊的响应时间控制，急会诊10分钟，普通会诊24小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提供会诊与病历强关联管理模式，即会诊发起医生保存会诊医疗单时自动创建并在医嘱开立页面直接打开会诊病历，只有发起会诊医生完成病历签名后，方可流转会诊医嘱。在会诊单流程完成之后，会诊单会自动生成相应会诊病历文书，集成在住院病历夹中。</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会诊管理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提供完善的会诊查询功能，根据多维度，例如申请时间、病人科室、执行状态、会诊类型、就诊类型等条件查询会诊查询情况。并且可以查看会诊申请单详情以及该病人的所有病历记录；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在完善会诊监管体系后，系统支持基于会诊情况进行数据分析，对所有类型会诊内容通过受邀会诊统计分析、科室申请会诊统计、医生申请会诊统计等，反映院内外会诊情况。</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护理业务</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住院护士工作站站</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病区系统架构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支持“一体化”展示病区护士站，包括业务一体、界面一体、数据一体、资源一体；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支持业务一体，集成医嘱管理、护理管理、移动护理等所有护理功能，护士在一个病区系统中便可完所有护理业务；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界面一体，提供业务消息处理、医嘱执行操作、单病人业务操作、多病人业务操作、病区业务操作、未完成工作处理、护理管理、检验管理、用血管理等业务处理界面的“一体化”展示与操作，在一体化界面通过</w:t>
      </w:r>
      <w:r>
        <w:rPr>
          <w:rFonts w:ascii="宋体" w:hAnsi="宋体" w:cs="宋体"/>
          <w:sz w:val="24"/>
          <w:szCs w:val="22"/>
        </w:rPr>
        <w:t xml:space="preserve">Tab页面切换方式达到业务模块快速切换的目的，改变以往多界面操作的离散情况，充分体现 “界面一体”的设计原则；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支持数据一体，提供住院医生站、手麻管理系统、检验管理系统、医技预约系统、医技收费系统、移动护理系统等接口，消除信息孤岛，支撑护理业务的互联互通；</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支持资源一体，将系统通知消息、系统业务消息、业务协作消息集成在一个界面，便于护士查询；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支持病人视图集成在单病人业务“一体化”操作界面中，可快速选择在区病人、待结病人、出区病人、他科病人和出院病人进行操作，根据每个视图病人的权限操作对应单病人业务。</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消息提醒与处理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支持业务消息“一体化”处理界面，在一体化界面通过Tab页面切换到业务流转、业务待办、业务异常的消息提醒页面，护士可快速处理所有提醒业务；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人在不同科室之间流转业务的申请提醒，包括病人入院确认、病人科室转出确认、病人科室转入接收、换病区申请、换病区接收、他科治疗申请、他科治疗接收、待通知出院、病区会诊申请、病区会诊接收，支持对提醒业务的直接处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支持病区护士的待办事务提醒，包括待复核医嘱、待退药处理、待退费处理、待催款、待皮试、已转科病人待完成、已换病区病人待完成，支持对提醒业务的直接处理功能；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支持病区护士的异常事务提醒，对于各类超过设定指标范围产生的异常值，可以提醒人员马上处理的事件；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支持异常流程提醒，包括医嘱复核异常、转科异常、换病区异常、他科治疗异常、待退药异常、待退费异常、待皮试异常、已转科异常；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支持异常事件提醒，包括检验危急值提醒、检查危急值提醒、药品提交被退回、医技提交被退回、体征记录异常。</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床位管理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支持床位费自动累加，可按半天累加，12点前入院，按1天床位费计算，12点后入院按半天床位费计算；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支持床位病人的搜索功用，可按全部、空床、病人，出院，过敏，护理级别，科室，病情过滤功能，提供不同的床位（或病人）展视视图；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支持根据病案号、床号、病人姓名等条件精确定位病人；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支持床位细卡、床位简卡及病人列表展示，三种展示形式患者信息，方便护士通过不同维护查看与使用主界面；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床位根据显示分辨率自动调整部局，按床位显示床号进行排序；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支持普通床位、加床、虚床、婴儿床（空床不显示）管理；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支持对床位的状态管理、备注信息管理、管床医生设置、管床护士设置；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支持展示患者诊断、费用、手术情况，母婴联系电话与状态，入区、入科时间，过敏信息等。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支持床位色条自定义维护，并可指定优先级顺序，如空床白色，出院灰色，包床深灰色，危重病人浅红；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护士站支持床卡图标灵活配置，支持床位卡上护理标志（一级护理、二级护理、三级护理、特级护理），过敏药物标志，转科标志，入院诊断标志，出院结算标志、新生儿标志等图标自定义维护，支持与三方对接显示定制图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支持直接拖拽床位进行转床，包床、退床、换床等操作，方便快捷；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支持通过床卡直接打印患者腕带。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护士站支持母亲进行转床时，婴儿床位联动更新。</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医嘱复核</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支持单病人复核和多病人集中复核功能；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支持对医生医嘱复核和护嘱复核功能；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支持向护士展示所关心的各类不同角度的医嘱列表：未复核医嘱、已复核医嘱、有效医嘱、变动医嘱、问题医嘱等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支持预停医嘱同时进行签署复核、停嘱复核或到停止日期再停嘱复核；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支持新嘱复核、停嘱复核、作废复核，作废医嘱复核需判断医嘱执行状态，可根据状态进行不同的处理；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支持对已复核医嘱取消复核功能，取消复核需判断医嘱执行状态，根据状态进行不同的处理；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支持待复核医嘱退回医生站功能，已复核先取消再退回，未复核直接退回医生；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支持待复核医嘱相关申请单、报告单查询功能；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支持药品发送、检查提交、检验条码打印功能集成在医嘱复核界面上；</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支持护士为待复核医嘱新增附加医嘱服务功能，附加项目可随时停止，并可新增新的附加项目记费。附加项目的频次可不同于主医嘱的频次，附加项目通过后台设置自动按规则计算自动附加；</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支持医嘱附加项目的确认审核功能，审核过的附加项目可自动产生待记费的费用计划；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支持医嘱计划管理功能，医嘱复核时自动产生若干天的医嘱计划，或由</w:t>
      </w:r>
      <w:r>
        <w:rPr>
          <w:rFonts w:ascii="宋体" w:hAnsi="宋体" w:cs="宋体"/>
          <w:sz w:val="24"/>
          <w:szCs w:val="22"/>
        </w:rPr>
        <w:t xml:space="preserve">Autorun工具每天定时自动生成若干天医嘱计划；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支持医嘱精细化管理，针对不同状态的医嘱计划可进行退药退费，计划作废，取消作废、计划记费、计划提交、计划备注相关操作；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支持已复核医嘱费用查询功能，可进行退药退费处理；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支持待复核医嘱明细查询功能，按药品、检查、检验、手术等医嘱开立医疗单模式显示；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支持医嘱过滤功能，可按长期</w:t>
      </w:r>
      <w:r>
        <w:rPr>
          <w:rFonts w:ascii="宋体" w:hAnsi="宋体" w:cs="宋体"/>
          <w:sz w:val="24"/>
          <w:szCs w:val="22"/>
        </w:rPr>
        <w:t xml:space="preserve">/临时，已开嘱/已停嘱/已作废，未复核/已复核/变动医嘱/问题医嘱，所有/今日，医嘱/护嘱条件过滤；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支持待复核医嘱状态标识功能，包括紧急医嘱，出院带药，嘱托医嘱，附加费用医嘱，会诊医嘱，手术，转科，申请单，草药方，待审核医嘱；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支持待复核高危药品医嘱，以“！</w:t>
      </w:r>
      <w:r>
        <w:rPr>
          <w:rFonts w:ascii="宋体" w:hAnsi="宋体" w:cs="宋体"/>
          <w:sz w:val="24"/>
          <w:szCs w:val="22"/>
        </w:rPr>
        <w:t xml:space="preserve">+药品名称”红色斜体显示；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支持待复核皮试药品医嘱用实心三角形显示，“未皮试”（红色），“免皮试”（蓝色），“阳性”（红色），阴性“（蓝色）。</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支持附加项目的单人审核、批量集中审核，可查询已审批，未审批数据，查看审核人、审核时间。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进行医嘱停嘱复核时，大于医嘱停嘱时间的已发药、已记费的计划，会自动生成退药退费单。护士进行医嘱作废复核时，已发药、已记费的计划，会自动生成退药退费单，方便护士进行核对与退药退费。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支持抗菌药物管理，复核时进行未送检提醒</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护嘱录入</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支持护嘱录入是否使用，可配置实现，医院根据实际情况选择使用；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支持护嘱录入药品权限设置，可配置有权限录入的药品护嘱。</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医嘱执行</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支持医嘱执行“一体化”操作界面，在一体化界面通过Tab页面切换到药品发送、医技提交、医嘱记费的医嘱执行大类页面，改变以往多窗口操作的离散情况；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支持医嘱一键执行功能，不区分医嘱执行大类将药品发送、医技提交、医嘱记费功能集成在一个界面上，通过一键执行快速处理所有业务；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支持单病人医嘱执行和多病人集中执行功能，支持单人药品发送、医技单人提交、单人医嘱记费，也支持集中药品发送、医技集中提交、医嘱集中记费；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支持医嘱精细化管理，通过执行医嘱计划可跟踪到每条医嘱的执行状态，如药品医嘱，什么时候被发送、发药、执行或退药，一定程度上达到医嘱闭环管理的效果；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支持病区医嘱执行清单的打印功能，如药品发送清单、医嘱记费清单；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支持医嘱执行欠费控制，控制等级分为不控制、提示、欠费前冻结和欠费后冻结，在药品发送、医技提交、医嘱记费时进行欠费控制；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支持领药发送，按领药方式、医嘱类别（普通医嘱、长期医嘱、临时医嘱、急诊医嘱、出院带药）和发药药房检索领药明细；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支持领药发送，支持根据所提交药品的领药明细生成领药汇总，支持领药预发送功能，将</w:t>
      </w:r>
      <w:r>
        <w:rPr>
          <w:rFonts w:ascii="宋体" w:hAnsi="宋体" w:cs="宋体"/>
          <w:sz w:val="24"/>
          <w:szCs w:val="22"/>
        </w:rPr>
        <w:t xml:space="preserve">N天的药品医嘱一起发送；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支持领药发送，支持缺药替换功能，缺药</w:t>
      </w:r>
      <w:r>
        <w:rPr>
          <w:rFonts w:ascii="宋体" w:hAnsi="宋体" w:cs="宋体"/>
          <w:sz w:val="24"/>
          <w:szCs w:val="22"/>
        </w:rPr>
        <w:t xml:space="preserve">(禁用)药品可用不同规格，或不同产地的同种药品替换，可替换同一服务项目的药品；支持库存缺药、药品禁用、病人欠费标识功能；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支持领药发送，支持病区三级药房，发药属性为病区发药的药品医嘱在三级药房发药；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支持医技提交，支持按医技项目进行提交；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支持项目记费，支持按项目归类选择，支持显示是医嘱费用或是附加费用；支持根据所提交项目明细生成所提交项目汇总。</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支持临床执行，支持与移动护理</w:t>
      </w:r>
      <w:r>
        <w:rPr>
          <w:rFonts w:ascii="宋体" w:hAnsi="宋体" w:cs="宋体"/>
          <w:sz w:val="24"/>
          <w:szCs w:val="22"/>
        </w:rPr>
        <w:t xml:space="preserve">PDA关联，存储临床执行操作，显示实际执行时间；支持页面选择计划后登记执行操作；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支持登记为不执行、输液开始、输液巡视、输液结束、注射开始、注射结束、临床执行等不同状态；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支持护士代替医生执行，可先选择医生工号，记录为医生执行，并记录操作人；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支持验证执行人员与确认人员为同一人；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支持医嘱临床执行维护功能，可为不同病区定制临床执行数据显示范围；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支持医嘱临床执行查询，支持修改临床执行时间、临床执行人员；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支持临床执行时联动收费功能；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退药处理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支持退药申请-&gt;退药审核-&gt;退药发送的退药流程管理，如包药、静配不能退药的药品，根据参数配置需走退药审核流程；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支持除外其它药品退药，可直接发送药房，提供单病人退药申请和多病人退药申请功能，单人退药处理可以按医嘱、费用日期、记费日期、药品进行退药；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支持多人退药处理根据药品名称、费用日期查询病区可退药信息，再按姓名、床号、住院号快速定位到病人进行退药；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支持单病人退药发送和多病人退药集中发送，可打印退药汇总单</w:t>
      </w:r>
      <w:r>
        <w:rPr>
          <w:rFonts w:ascii="宋体" w:hAnsi="宋体" w:cs="宋体"/>
          <w:sz w:val="24"/>
          <w:szCs w:val="22"/>
        </w:rPr>
        <w:t xml:space="preserve">(多病人)；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支持手工填写退药申请单，或者停嘱、作废医嘱时系统自动生成退药申请单；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支持退药冲抵功能，病区护士退药提交后无需将实物药品退回，在下次药房领药时自动冲抵实物未退回药品；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支持退药申请原因填写；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支持退药审核未过原因填写。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针对本病区的特殊药品类型包含麻醉精神类型的药物的发药记录进行登记管理。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支持镇痛泵残余液处理登记管理。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退补费处理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支持[申请退费]和[直接退费]2种模式，申请退费需走退费审核流程，直接退费则直接执行即可；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支持根据医嘱的停嘱、作废自动生成退费退药单；支持单人退补费处理和多人退补费处理；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支持单人退补费处理可以按医嘱、费用日期、记费日期、项目进行退费；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支持多人退补费处理根据项目名称、费用日期查询病区可退费信息，再按姓名、床号、住院号快速定位到病人进行退补费；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支持护士可以批量进行多个费用的补费，且支持使用模版补费；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支持手工填写退费申请单，或者停嘱时系统自动生成退费申请单；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支持对系统自动产生的退费单；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支持将审核通过的退费单进行集中发送；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支持退费申请原因填写，提供常见原因供护士选择，也可直接录入。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病区撤回</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支持病区撤回“一体化”操作界面，在一体化界面通过Tab页面切换到药品发送撤回、医技提交退回页面，改变以往多窗口操作的离散情况；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支持领药发送撤回、退药发送撤回，可按发送日期、医嘱类型</w:t>
      </w:r>
      <w:r>
        <w:rPr>
          <w:rFonts w:ascii="宋体" w:hAnsi="宋体" w:cs="宋体"/>
          <w:sz w:val="24"/>
          <w:szCs w:val="22"/>
        </w:rPr>
        <w:t xml:space="preserve">(普通用药、急诊用药、出院带药)、发送药房、撤回类型(领药/退药)、处理状态检索发送记录；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支持按发送记录、发送药品明细进行撤回；支持按检查科室、检查项目进行退回。</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医嘱卡片</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支持按随机卡片、固定卡片、执行单3种形式生成医嘱卡片；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口服卡、注射卡、静滴卡、饮食卡、输液巡视卡、临时医嘱卡片和其他卡片；医嘱卡片是大小标签（规格和打印样式均可自定），医嘱执行单是报表，满足护士日常工作所需，固定卡片，可实现医嘱卡片一码多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支持固定卡片拆分打印，某组医嘱大于设置的行数，系统自动把多余的内容打印到另一张卡片中；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支持按执行科室、按患者生成医嘱卡片；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支持医嘱卡片使用报表工具进行自定义设计功能；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支持按日次多张卡片的方式生成医嘱卡片，即药品或费用每天使用几次，就打印几张卡片，并且用编号进行标示；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支持按明日、今日、自定义日期筛选医嘱卡片打印内容并进行打印；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支持一键打印，按患者床号进行逐个患者打印。</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申请单管理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支持单病人检查单管理、多病人检查单集中管理；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支持指引单打印、预约单打印、检查预约及取消、提交与退回检查单、申请单的查询。</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他科治疗</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支持他科治疗申请列表和他科治疗接收列表；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支持原科室取消他科申请的功能；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支持治疗科室退回申请并填写退回原因，提供常见原因供护士选择，也可直接录入；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支持他科治疗时原科室护士仍可以正常操作该患者所有功能，包括护嘱录入、医嘱卡片、退药申请、退费申请、医嘱执行、未完成工作；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支持他科治疗时原科室医生仍可以录入医嘱，书写病历。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具有他科包床权限（可配置）的病区，护士可以直接利用【他科包床】功能将需要他科治疗的病人一键拉入本病区，便于妇产类医院分娩室这类特殊科室快捷处理病人流转。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可以查看本病区已接收的他科病人，查询这些病人本病区未完成工作，其他病区未完成工作。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转科治疗</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支持本病区转科、跨病区转科、跨机构转科；</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支持转科治疗申请列表和转科治疗接收列表；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支持转出科室取消转科申请的功能；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支持转入科室退回申请并填写退回原因，提供常见原因供护士选择，也可直接录入；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支持转前医生可以继续操作患者转科前的未完成业务，但不能进行开嘱停嘱操作；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支持有未完成业务病人的转科控制，需停嘱后才可进行转科处理。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换病区管理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支持临床病区之间的换病区操作；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换病区接收时，可以看到患者在原病区的未完成工作，接收后，相关计划会自动转到新病区可继续工作。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支持日间病区换到临床病区的操作；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支持住院准备中心换到临床病区的操作；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支持临床病区换到住院准备中心的操作。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护士站支持进行母亲转病区时，是否带领婴儿联动转病区，若带领跟随，则联动一起转病区。</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催款管理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支持护士打印催款清单催促相应患者及时缴款；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支持与三方对接多种信息化催款途径，如：短信、微信、电子床头卡等。</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病人药箱</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支持自备药管理、大包装管理(病区发药药房是大包装，临床输入用小包装)、整量发药管理(如胰岛素)。</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未完成工作</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支持住院患者未完成工作“一体化”处理界面，可处理未复核医嘱、发药未提交、退药未提交、医技未提交、未记费、记费未确认、退费未确认等未完成工作，通过Tab页面切换到相关业务进行操作；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支持已转病区患者未完成工作、手术室未完成工作，他科治疗患者未完成工作。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出院处理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支持有未完成业务病人的出院控制，若患者存在医嘱未停、未提交、未执行，手术申请未安排，手术记录未完成等业务没完成，则需完成或停嘱后才能通知出院；未完成任务可依据项目要求配置限制出院的条件。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支持通知出院时成人、婴儿多页未完成业务单独显示；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支持通知出院后自动腾空患者床位；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支持取消通知出院后提示是否退回原床位；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支持护士查询出院病人的费用账卡、医嘱、病历。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病区三级药房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支持本病区药品出入库管理，医嘱发药处理，盘点处理，月底过帐，收支查询及本病区三级药房的初始化等功能。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护理管理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支持与护理系统做无缝接口，将护理管理业务接入到病区护士站系统；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支持护理管理“一体化”操作界面，在一体化界面通过</w:t>
      </w:r>
      <w:r>
        <w:rPr>
          <w:rFonts w:ascii="宋体" w:hAnsi="宋体" w:cs="宋体"/>
          <w:sz w:val="24"/>
          <w:szCs w:val="22"/>
        </w:rPr>
        <w:t xml:space="preserve">Tab页面切换到护理计划、护理评估、护理记录、健康宣教、护理焦点、护理路径、体征记录、不良事件等页面，改变以往多窗口操作的离散情况；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支持与移动护理系统做无缝接口，实现数据互联互通。</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检验管理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支持与检验(LIS)做无缝接口，将检验管理业务接入到病区护士站系统；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支持检验管理“一体化”操作界面，在一体化界面通过</w:t>
      </w:r>
      <w:r>
        <w:rPr>
          <w:rFonts w:ascii="宋体" w:hAnsi="宋体" w:cs="宋体"/>
          <w:sz w:val="24"/>
          <w:szCs w:val="22"/>
        </w:rPr>
        <w:t xml:space="preserve">Tab页面切换到条码生成、打印，标本采集、运送、交接等页面，改变以往多窗口操作的离散情况。</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用血管理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支持与血库管理系统做无缝接口，将用血管理业务接入到病区护士站系统；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支持用血管理“一体化”操作界面，在一体化界面通过</w:t>
      </w:r>
      <w:r>
        <w:rPr>
          <w:rFonts w:ascii="宋体" w:hAnsi="宋体" w:cs="宋体"/>
          <w:sz w:val="24"/>
          <w:szCs w:val="22"/>
        </w:rPr>
        <w:t xml:space="preserve">Tab页面切换到输血标本条码生成、打印，输血标本采集确认，标本送出及接收，血液领取及接收，病区输血等页面，改变以往多窗口操作的离散情况；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支持与移动护理系统做无缝接口，实现数据互联互通。</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病人信息管理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支持病人基本信息(就诊信息、费用信息、临床信息、诊断信息)，过敏信息，住院信息管理；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支持护士手工录入病人信息，护士可以看到患者入院的信息，可以修改患者住院期间的医生或者护士，对患者的临床信息，生育信息进行录入；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支持从医生站或护理系统中自动获取病人信息。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费用帐卡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支持全部、成人、婴儿多页账卡单独显示；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支持病人帐卡中费用明细的打印功能；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支持预览病人住院账户时可查看病人的缴款记录；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支持预览病人住院账户时可查询打印病人当前的结算发票；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支持预览病人住院账户时可查询打印病人的费用清单，支持明细格式、汇总格式、医嘱格式和其他格式</w:t>
      </w:r>
      <w:r>
        <w:rPr>
          <w:rFonts w:ascii="宋体" w:hAnsi="宋体" w:cs="宋体"/>
          <w:sz w:val="24"/>
          <w:szCs w:val="22"/>
        </w:rPr>
        <w:t xml:space="preserve">4种查询方式；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支持预览病人住院账户时，若是医保病人，可查看病人的大保清单。</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病区查询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支持医嘱单查询，支持修改执行时间，修订数据。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支持医嘱查询、病历查询、已发送药品查询、发药退药查询、冲抵药品查询、病区工作日志查询、病区退费查询、病区收入核算、病区历史病人查询等等。</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药事管理</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药库管理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采购入库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为规范医院药品采购管理，保证临床用药安全、合理、有效，根据《中华人民共和国药品为规范医院药品采购管理》、《中华人民共和国药品管理法》,系统提供药品采购闭环管理流程：从采购计划编制、审批到采购订单生成、执行再到采购入库、财务验收、付款处理的药品采购全过程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在定制采购计划方面，系统提供手动或智能采购规则自动生成采购订单功能；智能规则包括且不限于参考药品当前库存数量、高低储标准、上月入出库情况、药房发药数量；提供按药品类别、药品库位、药品</w:t>
      </w:r>
      <w:r>
        <w:rPr>
          <w:rFonts w:ascii="宋体" w:hAnsi="宋体" w:cs="宋体"/>
          <w:sz w:val="24"/>
          <w:szCs w:val="22"/>
        </w:rPr>
        <w:t xml:space="preserve">ABC类条件筛选需要编制采购计划的药品。并支持按照国家相关规定，可以与集采、统采等平台对接，提供采购订单在线上传到供应链平台功能；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采购入库支持定向出库功能，采购入库后，直接将药品出库给指定库存，无需单独进行出库操作。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药品入库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支持基于货到票到（正常入库）、货到票未到（挂账入库）、票到货未到（不能入库，仅支持单据编制）三种购入方式对已采购的药品进行入库管理，并支持手工新增采购入库单、引入采购计划单自动生成采购入库单、引入采购订单自动生成采购入库单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支持如赠送、自制、盘盈等除采购入库外的其它入库业务；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支持根据库房盘盈数据自动生成盘盈入库单；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药品入库下的其它入库，支持同时按照多种单位进行入库操作；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支持同厂家药品按批号、按效期分批次入库管理业务。并提供采购入库冲红功能，对于已经财务验收的入库单进行退回，以满足业务流程的双向管理；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w:t>
      </w:r>
      <w:r>
        <w:rPr>
          <w:rFonts w:ascii="宋体" w:hAnsi="宋体" w:cs="宋体"/>
          <w:sz w:val="24"/>
          <w:szCs w:val="22"/>
        </w:rPr>
        <w:t xml:space="preserve">PDA端进行上述入库操作，扫描条码加载单据数据，通过扫描药品码进行入库实物核验，在PDA端完成采购入库操作。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财务验收</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在药品验收方面，系统支持选择单张入库单据或同一家供货单位集中验收，并支持未财务验收药品出库时自动产生平账记录，以冲抵药品实际购入进货价格和出库进货价格差；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w:t>
      </w:r>
      <w:r>
        <w:rPr>
          <w:rFonts w:ascii="宋体" w:hAnsi="宋体" w:cs="宋体"/>
          <w:sz w:val="24"/>
          <w:szCs w:val="22"/>
        </w:rPr>
        <w:t xml:space="preserve">PDA端扫描随货联或者发票号，对药品的外观、包装、数量进行质量验收操作。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药品养护</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系统提供药品养护功能，并支持对药品养护进行定期管理。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付款处理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药品付款方面，系统支持按供货商付款，同一供货商的所有的单据集中付款；按采购入库单据付款，同一张采购单上的药品集中付款；按发票付款，同一张单据上同一发票上的药品集中付款。在付款方式上，支持全部付款、输入付款、部分金额分摊三种付款方式。</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药品出库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药库支持对药房的申领单进行出库处理，并基于出库类型不同，除通过引入入库单自动生成库房出库信息、手工选择批次、库存性质进行出库等正常出库方式之外，也支持药品报损、科室领用、盘亏出库等其他出库业务，并对同一厂家不同批次的药品按效期/库存数量/入库时间出库，按效期分为早先出、迟先出，按库存数量分为大先出、小先出，按入库时间先进先出等业务流程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提供跨机构跨院区库房出库功能；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调价管理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支持两种调价方式：零售价调价、进货价调价。并支持通过即时与定时两种调节方式对药品价格进行更改。支持对单一出入口进行调价，例如仅对药库或仅对药房进行药品调价，同时调价管理支持国家调价和企业调价两种类型。支持同步调价，如进销零差价的药品，支持调整零售价时，同步调整进价。</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药品盘点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系统需支持分类、分库位进行盘点；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支持按最小包装进行盘点；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支持当前库房无库存药品盘点；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支持当前库存禁用库存药品盘点；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支持单人或多人盘点；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支持抽样盘点；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支持盘点录入时，实盘库存直接复制账面库存。在盘点完成之后，支持自动产生盘盈入库单、盘亏出库单；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支持盘点过程中进行发退药，并在最终的汇总单上体现出发退药的数量；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w:t>
      </w:r>
      <w:r>
        <w:rPr>
          <w:rFonts w:ascii="宋体" w:hAnsi="宋体" w:cs="宋体"/>
          <w:sz w:val="24"/>
          <w:szCs w:val="22"/>
        </w:rPr>
        <w:t xml:space="preserve">PDA端进行盘点录入，多人或单人在PDA端同时盘点录入。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库房管理查询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在库房月结统计中，自定义月结日统计，对初次月结日未初始建账日期，以后每月的月结起始时间就是上次月结的月结终止时间。支持月结前自动判断库房业务是否完成功能，如调价单、入库单、出库单是否确认；支持取消月结，取消月结必须从最后一个月结月份逐月取消，不能跳月取消月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需提供多维度查询功能，例如各药库与全院药品库存查询，以及采购历史、会计账簿、财务月报、采购销售分析、失效药品查询、基本药物统计、特殊药品统计、抗生素统计等统计查询功能。在基于多院区多机构管理中，系统也支持总院、分院多个药库统一或者分开管理模式。</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门诊药房管理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门诊发药管理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系统需支持智能分窗策略，按照指定药房下开启的窗口，进行剩余量最小分配或者平均分配策略；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支持特殊处方灵活分配到指定窗口，如代煎处方、快递处方、精麻处方、毒性处方可以分配到配置的指定窗口；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支持特定开单科室开立的处方分配到指定窗口，如急诊科开立、发热门诊开立等，分配到药房下的特定窗口；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支持设置药房下的默认窗口，如药房下所有窗口都已关闭，可以分配到默认窗口；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支持基于多院区多机构管理，提供跨院区、跨药房发药模式；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支持在药房发药管理中，对西药、成药、草药分药房发药或者在一个药房内发药；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支持发药工作站和发药窗口关联功能，智能化、规则化管理当前发药窗口；</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支持按药房设置是否需要患者签到后再进行发药处理；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直接发药、配药发药、配药核对三种基础模式，对于中医药等特殊发药流程，提供草药自煎药、医院加工（医院代煎或制膏）、外部加工（外部公司进行煎药或制膏）三种取药流程，以满足医院特殊流程需求；</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支持对处方分计划发药或者一起发药，如多次输液类处方，支持按次发药或者一起发药；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支持门诊配送药品集中处理功能，对可能在多个药房的患者药品进行统一配送管理；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支持与外部代煎或物流公司对接，做到待煎药或制膏的批量发药、批量配送功能，如在在外部公司来取处方时批量发药、对接第三方物流进行处方配送；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支持在发药核对管理中，通过扫描病人的条形码发药处理、支持账户病人刷卡定位发药处理、支持按发票号码对一整张发票的所有处方进行发药处理；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支持在发药票据打印中，发药前打印、发药后打印、不打印三种处方打印方式、支持口服卡、输液单、处方笺的自动打印；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支持扫药品码发药；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发药流程质管环节中，通过与合理用药系统对接，对用药审查对用药禁忌、并发症、不良反应药物情况等用药安全情况进行质控。并基于过敏药物管理制度，对未皮试或皮试阳性、缺药等异常处方发药进行额外控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支持发药前校验患者是否存在待收费处方，如果存在给出对应的提醒；</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门诊配药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支持基于多院区多机构管理，提供跨院区、跨药房配药模式；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在门诊配药模式中，支持无系统管理配药、系统管理配药两种配药模式；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在配药流程中，支持配药核对功能，配药核对后才算配药完成；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在配药队列管理中，支持多人配药，收费后智能化分配配药策略（如平均分配，剩余量较小等分配规则）；支持配药员设置工作</w:t>
      </w:r>
      <w:r>
        <w:rPr>
          <w:rFonts w:ascii="宋体" w:hAnsi="宋体" w:cs="宋体"/>
          <w:sz w:val="24"/>
          <w:szCs w:val="22"/>
        </w:rPr>
        <w:t xml:space="preserve">/休息状态以应对突发状况；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支持取消配药，未配药处方可以转移到其他工作中的配药人；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在配药核对管理中，支持账户病人刷卡定位配药及通过扫描病人的条形码进行定位配药；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在配药质管中，支持基于药品使用准则，对未皮试或皮试阳性等异常处方配药的额外控制功能。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门诊退药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在门诊退药模式中，按照退药的数量和种类，支持部分退药或全部退药，部分退药后作废原已发药数据并生成新发药数据，全部退药后作废原发药数据；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在退药核对中，支持通过扫描病人的条形码查找病人的退药数据，进行退药处理；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支持一卡通账户病人刷卡定位退药操作；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支持通过扫描病人的条形码查找病人未退费的退药数据，并进行取消退药处理；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支持多次退药后的取消退药操作；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系统支持取消发药操作，取消发药后的处方再进入发药窗口，可继续发药；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支持通过扫描病人的条形码查找病人的取消发药数据，并进行取消发药处理。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处方审核</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在处方审核模式中，支持人工审核和自动审核两种模式。人工审核由药师审核，自动审核通过合理用药接口由系统自动完成；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在审核操作中，支持批量审核操作，一键通过所有待审核处方，并提供审核未通过常见原因，便于医师选择，最后支持审核通过、审核未通过处方重新审核功能。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费用管理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支持在药房下对未付费的患者进行结算处理；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支持对草药的代煎费在药房进行补收费或者退费。</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药品申领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药品申领主流程中，支持库存调拨、科室领用、主动出库三种药品申领业务。并提供库房申领、库房退药、库房出库的集中处理界面，集中处理当前库房的主动申领入库、申领退药入库和被动出库入库业务，及当前库房的被动申领出库、申领退药出库和主动出库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在药品出入库申领中，系统支持通过引入当前库房药品信息、高低储药品自动生成库房申领信息；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支持通过引入目标库房的入库单据自动生成库房申领信息；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支持通过选择当前库房某段时间的药品消耗自动生成库房申领信息，药品消耗包括发药、其它出库、调拨出库、申领退库；</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支持通过引入目标库房的申领单自动生成库房申领退库信息；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支持通过申请库房的入库单据自动生成库房出库信息；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支持审批日期结合高低储天数进行申领数量的生成。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药品入库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在药品入库管理中，系统支持如加工、自制、盘盈等除药品领用外的其它入库业务；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支持同厂家药品按批号、按价格、按效期分批次入库管理业务；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支持药品出库后退库操作；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支持根据库房盘盈数据自动生成盘盈入库单；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支持其它入库时同时按照多种包装单位进行入库。</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药品出库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在药品出库管理中，支持药品报损、盘亏出库、部门领用等其它出库业务；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在出库流程业务中，支持智能出库方式维护，例如按同一厂家不同批次的药品按效期</w:t>
      </w:r>
      <w:r>
        <w:rPr>
          <w:rFonts w:ascii="宋体" w:hAnsi="宋体" w:cs="宋体"/>
          <w:sz w:val="24"/>
          <w:szCs w:val="22"/>
        </w:rPr>
        <w:t xml:space="preserve">/库存数量/入库时间出库，按效期分为早先出、迟先出，按库存数量分为大先出、小先出，按入库时间先进先出，也支持手工选择批次、库存性质进行出库。支持部门申领后，药房出库给到临床科室。</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药品盘点</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在盘点管理中，系统支持分类、分库位进行盘点；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支持按最小包装进行盘点；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支持当前库房无库存药品盘点；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支持当前库存禁用库存药品盘点；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支持单人或多人盘点；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支持抽样盘点；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支持盘点录入时，实盘库存直接复制账面库存。在盘点完成之后，支持自动产生盘盈入库单、盘亏出库单；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支持盘点过程中进行发退药，并在最终的汇总单上体现出发退药的数量；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w:t>
      </w:r>
      <w:r>
        <w:rPr>
          <w:rFonts w:ascii="宋体" w:hAnsi="宋体" w:cs="宋体"/>
          <w:sz w:val="24"/>
          <w:szCs w:val="22"/>
        </w:rPr>
        <w:t xml:space="preserve">PDA端进行盘点录入，多人或单人在PDA端同时盘点录入。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库存禁用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在库存禁用管理中，支持批次禁用、产地禁用、单一药品禁用等多种禁用模式，并提供取消禁用功能，便于流程管理。对临时缺药情况下，也支持允许使用某批次禁用药品功能。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员工借还药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支持员工借药、员工还药管理功能。</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药品日结月结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基于药品每日结算，提供药品每天库存变化查询，以显示某个药品在某段时间内每天的动态库存。并通过动态库存变化，提供每天计算库存和实际库存不符合的药品的查询，并能查询相应的台账；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支持特殊药品单独日结月结统计功能，如提供贵重药品、精麻毒等特殊药品日结日报功能；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支持自定义月结日功能，初次月结日未初始建账日期，以后每月的月结起始时间就是上次月结的月结终止时间；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支持月结前自动判断库房业务是否完成功能，如领药单、退药单、调拨入库单、调拨出库单以及出入库单是否确认；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支持取消月结，取消月结必须从最后一个月结月份逐月取消，不能跳月取消月结。</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库房查询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在库房管理中，提供药房库存、药品价格信息、门诊发药、申领历史、药房账簿，汇总月报、库存日报、失效报警、代煎药发药等基本统计查询；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在库房效期管理中，提供药品有效期自动报警功能，支持统计过期药品的品种数和金额，提供库存量提示功能。</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住院药房管理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住院发药</w:t>
      </w:r>
      <w:r/>
    </w:p>
    <w:p>
      <w:pPr>
        <w:ind w:firstLine="480"/>
        <w:jc w:val="left"/>
        <w:spacing w:line="360" w:lineRule="auto"/>
        <w:widowControl/>
        <w:rPr>
          <w:rFonts w:ascii="宋体" w:hAnsi="宋体"/>
          <w:sz w:val="24"/>
          <w:szCs w:val="24"/>
        </w:rPr>
      </w:pPr>
      <w:r>
        <w:rPr>
          <w:rFonts w:hint="eastAsia" w:ascii="宋体" w:hAnsi="宋体" w:cs="宋体"/>
          <w:sz w:val="24"/>
          <w:szCs w:val="22"/>
        </w:rPr>
        <w:t xml:space="preserve">需</w:t>
      </w:r>
      <w:r>
        <w:rPr>
          <w:rFonts w:ascii="宋体" w:hAnsi="宋体"/>
          <w:sz w:val="24"/>
          <w:szCs w:val="24"/>
        </w:rPr>
        <w:t xml:space="preserve">支持普通医嘱、草药医嘱、出院带药医嘱、特殊药品医嘱发药模式，普通医嘱提供对病区普通医嘱发药、医技科室发药、手麻科室发药；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提供西成草药品分药房发药或者在一个药房内发药；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支持缺药处理集成在发药处理界面上，根据发药明细单中的缺药药品生成缺药数据并支持打印；</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支持提交退回集成在发药处理界面上，药房根据实际情况可退回病区提交的发药记录，如停嘱退回；</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提供发药药品的缺药替换功能，缺药</w:t>
      </w:r>
      <w:r>
        <w:rPr>
          <w:rFonts w:ascii="宋体" w:hAnsi="宋体"/>
          <w:sz w:val="24"/>
          <w:szCs w:val="24"/>
        </w:rPr>
        <w:t xml:space="preserve">(禁用)药品可用不同规格，或不同产地的同种药品替换，有多种可替换药品时则默认用效期近的药品替换；</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提供出院带药取药功能，病区的出院带药医嘱发药后药先放在药房不给病人，待病人结算后凭发票去药房取药；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支持西成草药品分药房发药模式下出院带药取药允许查看所有未取药品情况；</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支持按医嘱明细发药，选择发药提交单中具体的医嘱明细记录发药；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支持按药品汇总发药，所选择发药提交单按药品按数量汇总后发药；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支持按病人汇总发药，所选择发药提交单按病人进行汇总后再发药；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支持按病人集中发药，选择多个病人一键快速；</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支持同一天药品根据医嘱执行时间可选择部分发药；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支持根据病区、发药方式来过滤提交记录，可以根据长期或者临时来过滤具体的药品记录；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支持医嘱发药数量不取整、单条药品取整、每次发药取整三种发药取整策略；</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支持发药抵扣功能，勾选发药抵扣时，将住院退药实物未退的部分在发药时抵扣，同时在打印的单据上体现；</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支持自动发药功能，根据医嘱类型定义自动发药，设计自动发药后，将指定的医嘱类型进行自动发药；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支持直接发药、发药弹框配药和发药再配药三种发药方式；</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PDA端和PC端的住院发药后配药流程；</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PDA端和PC端的住院发药后配药核对流程；</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支持出院带药配药；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支持出院带药二次核发；</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提供历史发药查询功能，可查询历史发药信息。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住院退药</w:t>
      </w:r>
      <w:r/>
    </w:p>
    <w:p>
      <w:pPr>
        <w:ind w:firstLine="480"/>
        <w:jc w:val="left"/>
        <w:spacing w:line="360" w:lineRule="auto"/>
        <w:widowControl/>
        <w:rPr>
          <w:rFonts w:ascii="宋体" w:hAnsi="宋体"/>
          <w:sz w:val="24"/>
          <w:szCs w:val="24"/>
        </w:rPr>
      </w:pPr>
      <w:r>
        <w:rPr>
          <w:rFonts w:ascii="宋体" w:hAnsi="宋体"/>
          <w:sz w:val="24"/>
          <w:szCs w:val="24"/>
        </w:rPr>
        <w:t xml:space="preserve">支持按病区、按病人进行退药，选择退药病区后按病人进行退药；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支持退药报损功能，如果病区因药品报损退药，在退药时可以录入报损数量，退药后自动产生退药报损单；</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支持药品冲抵功能，药房在退药时记录所退药品而不直接退回，在病区下次发药时可以直接用退药药品冲抵；</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支持按医嘱明细退药，现在退药病人的具体退药明细记录进行退药；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支持自动退药功能，针对与设定的医嘱类型，当前页面存在需要退药的数据时，自动完成退药，并打印对应的退药单；</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支持按药品汇总退药，所选择退药病人按药品按数量汇总后再退药。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药品申领</w:t>
      </w:r>
      <w:r/>
    </w:p>
    <w:p>
      <w:pPr>
        <w:ind w:firstLine="480"/>
        <w:jc w:val="left"/>
        <w:spacing w:line="360" w:lineRule="auto"/>
        <w:widowControl/>
        <w:rPr>
          <w:rFonts w:ascii="宋体" w:hAnsi="宋体"/>
          <w:sz w:val="24"/>
          <w:szCs w:val="24"/>
        </w:rPr>
      </w:pPr>
      <w:r>
        <w:rPr>
          <w:rFonts w:ascii="宋体" w:hAnsi="宋体"/>
          <w:sz w:val="24"/>
          <w:szCs w:val="24"/>
        </w:rPr>
        <w:t xml:space="preserve">在药品申领主流程中，支持库存调拨、科室领用、主动出库三种药品申领业务。并提供库房申领、库房退药、库房出库的集中处理界面，集中处理当前库房的主动申领入库、申领退药入库和被动出库入库业务，及当前库房的被动申领出库、申领退药出库和主动出库业务；</w:t>
      </w:r>
      <w:r/>
    </w:p>
    <w:p>
      <w:pPr>
        <w:ind w:firstLine="480"/>
        <w:jc w:val="left"/>
        <w:spacing w:line="360" w:lineRule="auto"/>
        <w:widowControl/>
        <w:rPr>
          <w:rFonts w:ascii="宋体" w:hAnsi="宋体"/>
          <w:sz w:val="24"/>
          <w:szCs w:val="24"/>
        </w:rPr>
      </w:pPr>
      <w:r>
        <w:rPr>
          <w:rFonts w:hint="eastAsia" w:ascii="宋体" w:hAnsi="宋体"/>
          <w:sz w:val="24"/>
          <w:szCs w:val="24"/>
        </w:rPr>
        <w:t xml:space="preserve">在药品出入库申领中，系统支持通过引入当前库房药品信息、高低储药品自动生成库房申领信息；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支持通过引入目标库房的入库单据自动生成库房申领信息；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支持通过选择当前库房某段时间的药品消耗自动生成库房申领信息，药品消耗包括发药、其它出库、调拨出库、申领退库；</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支持通过引入目标库房的申领单自动生成库房申领退库信息；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支持通过申请库房的入库单据自动生成库房出库信息；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支持审批日期结合高低储天数进行申领数量的生成。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药品入库</w:t>
      </w:r>
      <w:r/>
    </w:p>
    <w:p>
      <w:pPr>
        <w:ind w:firstLine="480"/>
        <w:jc w:val="left"/>
        <w:spacing w:line="360" w:lineRule="auto"/>
        <w:widowControl/>
        <w:rPr>
          <w:rFonts w:ascii="宋体" w:hAnsi="宋体"/>
          <w:sz w:val="24"/>
          <w:szCs w:val="24"/>
        </w:rPr>
      </w:pPr>
      <w:r>
        <w:rPr>
          <w:rFonts w:ascii="宋体" w:hAnsi="宋体"/>
          <w:sz w:val="24"/>
          <w:szCs w:val="24"/>
        </w:rPr>
        <w:t xml:space="preserve">在药品入库管理中，系统支持如加工、自制、盘盈等除药品领用外的其它入库业务；</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支持同厂家药品按批号、按价格、按效期分批次入库管理业务；</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支持药品出库后退库操作；</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支持根据库房盘盈数据自动生成盘盈入库单；</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支持其它入库时同时按照多种单位进行入库。</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药品出库</w:t>
      </w:r>
      <w:r/>
    </w:p>
    <w:p>
      <w:pPr>
        <w:ind w:firstLine="480"/>
        <w:jc w:val="left"/>
        <w:spacing w:line="360" w:lineRule="auto"/>
        <w:widowControl/>
        <w:rPr>
          <w:rFonts w:ascii="宋体" w:hAnsi="宋体"/>
          <w:sz w:val="24"/>
          <w:szCs w:val="24"/>
        </w:rPr>
      </w:pPr>
      <w:r>
        <w:rPr>
          <w:rFonts w:ascii="宋体" w:hAnsi="宋体"/>
          <w:sz w:val="24"/>
          <w:szCs w:val="24"/>
        </w:rPr>
        <w:t xml:space="preserve">在药品出库管理中，支持药品报损、盘亏出库、部门领用等其它出库业务；</w:t>
      </w:r>
      <w:r/>
    </w:p>
    <w:p>
      <w:pPr>
        <w:ind w:firstLine="480"/>
        <w:jc w:val="left"/>
        <w:spacing w:line="360" w:lineRule="auto"/>
        <w:widowControl/>
        <w:rPr>
          <w:rFonts w:ascii="宋体" w:hAnsi="宋体"/>
          <w:sz w:val="24"/>
          <w:szCs w:val="24"/>
        </w:rPr>
      </w:pPr>
      <w:r>
        <w:rPr>
          <w:rFonts w:hint="eastAsia" w:ascii="宋体" w:hAnsi="宋体"/>
          <w:sz w:val="24"/>
          <w:szCs w:val="24"/>
        </w:rPr>
        <w:t xml:space="preserve">在出库流程业务中，支持智能出库方式维护，例如按同一厂家不同批次的药品按效期</w:t>
      </w:r>
      <w:r>
        <w:rPr>
          <w:rFonts w:ascii="宋体" w:hAnsi="宋体"/>
          <w:sz w:val="24"/>
          <w:szCs w:val="24"/>
        </w:rPr>
        <w:t xml:space="preserve">/库存数量/入库时间出库，按效期分为早先出、迟先出，按库存数量分为大先出、小先出，按入库时间先进先出，也支持手工选择批次、库存性质进行出库。支持部门申领后，药房出库给到临床科室。</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药品盘点</w:t>
      </w:r>
      <w:r/>
    </w:p>
    <w:p>
      <w:pPr>
        <w:ind w:firstLine="480"/>
        <w:jc w:val="left"/>
        <w:spacing w:line="360" w:lineRule="auto"/>
        <w:widowControl/>
        <w:rPr>
          <w:rFonts w:ascii="宋体" w:hAnsi="宋体"/>
          <w:sz w:val="24"/>
          <w:szCs w:val="24"/>
        </w:rPr>
      </w:pPr>
      <w:r>
        <w:rPr>
          <w:rFonts w:ascii="宋体" w:hAnsi="宋体"/>
          <w:sz w:val="24"/>
          <w:szCs w:val="24"/>
        </w:rPr>
        <w:t xml:space="preserve">在盘点管理中，系统支持分类、分库位进行盘点；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支持按最小包装进行盘点；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支持当前库房无库存药品盘点；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支持当前库存禁用库存药品盘点；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支持单人或多人盘点；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支持抽样盘点；</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支持盘点录入时，实盘库存直接复制账面库存。在盘点完成之后，支持自动产生盘盈入库单、盘亏出库单；</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支持盘点过程中进行发退药，并在最终的汇总单上体现出发退药的数量；</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w:t>
      </w:r>
      <w:r>
        <w:rPr>
          <w:rFonts w:ascii="宋体" w:hAnsi="宋体"/>
          <w:sz w:val="24"/>
          <w:szCs w:val="24"/>
        </w:rPr>
        <w:t xml:space="preserve">PDA端进行盘点录入，多人或单人在PDA端同时盘点录入。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库存禁用</w:t>
      </w:r>
      <w:r/>
    </w:p>
    <w:p>
      <w:pPr>
        <w:ind w:firstLine="480"/>
        <w:jc w:val="left"/>
        <w:spacing w:line="360" w:lineRule="auto"/>
        <w:widowControl/>
        <w:rPr>
          <w:rFonts w:ascii="宋体" w:hAnsi="宋体"/>
          <w:sz w:val="24"/>
          <w:szCs w:val="24"/>
        </w:rPr>
      </w:pPr>
      <w:r>
        <w:rPr>
          <w:rFonts w:ascii="宋体" w:hAnsi="宋体"/>
          <w:sz w:val="24"/>
          <w:szCs w:val="24"/>
        </w:rPr>
        <w:t xml:space="preserve">支持批次禁用功能，将同一批次的某类药品全部禁用；</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提供缺药时允许使用某批次禁用药品功能；</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支持产地禁用，将某一产地的药品全部禁用；</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支持药品禁用，将同一药品信息的药品全部禁用；</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支持取消禁用功能，提供取消禁用常见原因，便于药师选择。</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药品日结月结</w:t>
      </w:r>
      <w:r/>
    </w:p>
    <w:p>
      <w:pPr>
        <w:ind w:firstLine="480"/>
        <w:jc w:val="left"/>
        <w:spacing w:line="360" w:lineRule="auto"/>
        <w:widowControl/>
        <w:rPr>
          <w:rFonts w:ascii="宋体" w:hAnsi="宋体"/>
          <w:sz w:val="24"/>
          <w:szCs w:val="24"/>
        </w:rPr>
      </w:pPr>
      <w:r>
        <w:rPr>
          <w:rFonts w:ascii="宋体" w:hAnsi="宋体"/>
          <w:sz w:val="24"/>
          <w:szCs w:val="24"/>
        </w:rPr>
        <w:t xml:space="preserve">提供药品每天库存变化查询（显示某个药品在某段时间内每天的库存）。</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提供每天计算库存和实际库存不符合的药品的查询，并能查询相应的台账。</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提供贵重药品、精麻毒等特殊药品日结日报功能；</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支持自定义月结日功能，初次月结日未初始建账日期，以后每月的月结起始时间就是上次月结的月结终止时间；</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支持月结前自动判断库房业务是否完成功能，如领药单、退药单、调拨入库单、调拨出库单以及出入库单是否确认；</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支持取消月结，取消月结必须从最后一个月结月份逐月取消，不能跳月取消月结。</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库房查询</w:t>
      </w:r>
      <w:r/>
    </w:p>
    <w:p>
      <w:pPr>
        <w:ind w:firstLine="480"/>
        <w:jc w:val="left"/>
        <w:spacing w:line="360" w:lineRule="auto"/>
        <w:widowControl/>
        <w:rPr>
          <w:rFonts w:ascii="宋体" w:hAnsi="宋体"/>
          <w:sz w:val="24"/>
          <w:szCs w:val="24"/>
        </w:rPr>
      </w:pPr>
      <w:r>
        <w:rPr>
          <w:rFonts w:ascii="宋体" w:hAnsi="宋体"/>
          <w:sz w:val="24"/>
          <w:szCs w:val="24"/>
        </w:rPr>
        <w:t xml:space="preserve">提供病区发药统计、病区发药查询、病区退药查询、历史发药查询、病区药房库存查询、药品最新价格查询、调价历史查询、高/低储报警、失效报警、药房账册查询、药房汇总月报表等功能。</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支持药品批次管理；</w:t>
      </w:r>
      <w:r/>
    </w:p>
    <w:p>
      <w:pPr>
        <w:ind w:firstLine="480"/>
        <w:jc w:val="left"/>
        <w:spacing w:line="360" w:lineRule="auto"/>
        <w:widowControl/>
        <w:rPr>
          <w:rFonts w:ascii="宋体" w:hAnsi="宋体"/>
          <w:sz w:val="24"/>
          <w:szCs w:val="24"/>
        </w:rPr>
      </w:pPr>
      <w:r>
        <w:rPr>
          <w:rFonts w:hint="eastAsia" w:ascii="宋体" w:hAnsi="宋体"/>
          <w:sz w:val="24"/>
          <w:szCs w:val="24"/>
        </w:rPr>
        <w:t xml:space="preserve">提供药品有效期自动报警功能，支持统计过期药品的品种数和金额，提供库存量提示功能；</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支持多个住院药房的管理；</w:t>
      </w:r>
      <w:r/>
    </w:p>
    <w:p>
      <w:pPr>
        <w:ind w:firstLine="480"/>
        <w:jc w:val="left"/>
        <w:spacing w:line="360" w:lineRule="auto"/>
        <w:widowControl/>
        <w:rPr>
          <w:rFonts w:ascii="宋体" w:hAnsi="宋体"/>
          <w:sz w:val="24"/>
          <w:szCs w:val="24"/>
        </w:rPr>
      </w:pPr>
      <w:r>
        <w:rPr>
          <w:rFonts w:hint="eastAsia" w:ascii="宋体" w:hAnsi="宋体"/>
          <w:sz w:val="24"/>
          <w:szCs w:val="24"/>
        </w:rPr>
        <w:t xml:space="preserve">支持病区三级库房管理。</w:t>
      </w:r>
      <w:r/>
    </w:p>
    <w:p>
      <w:pPr>
        <w:ind w:firstLine="480"/>
        <w:jc w:val="left"/>
        <w:spacing w:line="360" w:lineRule="auto"/>
        <w:widowControl/>
        <w:rPr>
          <w:rFonts w:ascii="宋体" w:hAnsi="宋体"/>
          <w:sz w:val="24"/>
          <w:szCs w:val="24"/>
        </w:rPr>
      </w:pPr>
      <w:r>
        <w:rPr>
          <w:rFonts w:ascii="宋体" w:hAnsi="宋体"/>
          <w:sz w:val="24"/>
          <w:szCs w:val="24"/>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抗菌药物管理系统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抗菌药物开嘱监管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支持根据医生开立权限、药品级别属性、是否允许越级、是否需要审批等配置内容，在开嘱时给出不同的提醒和限制；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开立抗菌药物时，支持选择用药理由；</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支持通过配置自动检测细菌学</w:t>
      </w:r>
      <w:r>
        <w:rPr>
          <w:rFonts w:ascii="宋体" w:hAnsi="宋体" w:cs="宋体"/>
          <w:sz w:val="24"/>
          <w:szCs w:val="22"/>
        </w:rPr>
        <w:t xml:space="preserve">/病原学检验样本是否送检的提醒；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支持设置开立抗菌药物医嘱时，是否必须置上预停时间；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支持长期使用抗菌药物设置停嘱后的</w:t>
      </w:r>
      <w:r>
        <w:rPr>
          <w:rFonts w:ascii="宋体" w:hAnsi="宋体" w:cs="宋体"/>
          <w:sz w:val="24"/>
          <w:szCs w:val="22"/>
        </w:rPr>
        <w:t xml:space="preserve">N小时内再次开立时，选择续用理由，精细化抗菌药物管理；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支持需审批使用的抗菌药物在医嘱签署或复核时，根据审批数量控制药品的开立数量；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支持在紧急情况下，越权使用抗菌药物，并后补审批流程。</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抗菌药物药品管理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支持维护抗菌药物级别：非限制级、限制级、特殊使用级，以及如毒麻精等特殊属性。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支持设置药品是否允许越级开立、是否需要审批使用等内容。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支持在疾病诊断维护中设置允许长疗程用药的属性，当患者住院诊断符合长疗程用药，则不会提醒抗菌药物超时限。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人员权限管理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支持根据抗菌药物等级、门急住流程分配人员不同等级的开立权限；可通过角色批量分配权限，也可针对用户独立分配。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提供“按抗菌药物级别维护”和“按具体药品维护”两种权限管理模式。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支持分配人员不同级别的抗菌药物审批权限。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抗菌药物审批流程管理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支持针对需要审批使用的抗菌药物医嘱开立同时填写申请单，提交后进入流转审批流程。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支持在紧急情况下的越权使用情况下医嘱开立同时填写申请单，不阻断医嘱签署复核，同时补审批流程。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支持由科主任、医务科、感染药师分级别审批抗菌药物剂量、频次、理由等，并记录各级别审批结果；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支持通过系统消息发送审批提醒、驳回提醒、通过提醒，并对接掌上医护，可同时在移动端查看并操作审批。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支持医生查看历史审核记录和列表详情，以查看审核进度和流程管理。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特殊药品流程管控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支持对抗菌药物普通用药、紧急情况下越权使用设置不同的审批流程，并支持设置是否分级流转。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支持设置抗菌药物申请单审批通过后的生效时限。</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抗菌药物时效监管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针对不同的用药指征、用药理由，支持定义用药时限，当超时限医嘱未停嘱时，提醒医生停嘱或续用操作。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抗菌药品数据分析</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根据十八项医务核心制度对抗菌用药分级管理制度要求，支持对院内抗菌药物使用情况进行数据统计，并提供不同分析报表，其中有且不限于：手术预防用药指标统计、越权使用抗菌药物汇总、住院病人抗菌药物使用情况调查等统计内容。</w:t>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预约中心</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医技预约管理系统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排班管理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支持每个科室分开排班，每台设备也支持独立排班和混合排班；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支持周排班模式，月排班模式、时间段排班模式；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支持排班复制，每周的排班可以自动复制，根据上一周的排班信息复制到下一个排班。周内的排班信息也允许复制，例如星期二复制星期一的排班；</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支持一整天一套排班，也支持上下午分开排班，还允许</w:t>
      </w:r>
      <w:r>
        <w:rPr>
          <w:rFonts w:ascii="宋体" w:hAnsi="宋体" w:cs="宋体"/>
          <w:sz w:val="24"/>
          <w:szCs w:val="22"/>
        </w:rPr>
        <w:t xml:space="preserve">1个小时为单位来排班；排班开始时间、结束时间可定义；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支持临时排班，提供临时两种类型：调换排班、重新排班。</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号源管理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支持统一号源池管理，各渠道预约从同一个号码池进行预约；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支持分时段产生号源，默认按号源生成规则平均分配各时间段号源，号源时间精确到分；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支持自动产生号源，可设置一个时间点统一产生每天的号源。也支持手工产生，比如刚刚排班时，当天的号源可以手工点击产生；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支持每个科室或者设备可以设置号源产生天数，例如可以设置产生</w:t>
      </w:r>
      <w:r>
        <w:rPr>
          <w:rFonts w:ascii="宋体" w:hAnsi="宋体" w:cs="宋体"/>
          <w:sz w:val="24"/>
          <w:szCs w:val="22"/>
        </w:rPr>
        <w:t xml:space="preserve">60天内的号源、180天内的号源；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支持号源类型定义，通用的号源类型有：公共号、门诊、住院、预留号、体检；</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支持科室限制号，有些检查项目的号源是专门预留给某个医技科室使用的；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支持项目限制号，可以根据项目属性来限制、也可以根据项目分类或者具体项目来限制。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支持急诊限制号，可由医院预留给紧急申请单使用；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提供号源更新功能，号源产生后若科室/医生排班有变动，需要自动更新已产生的号源，按最新的排班产生。</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预约管理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中心预约、医技科室预约、门诊诊间预约、住院诊间预约、病区护士预约、门诊自助预约、住院自助预约、微信端预约、支付宝服务窗、APP预约；支持手工选号预约、自动匹配预约时间、自动预约三种预约模式，预约检查时间精确到分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支持一套完整的满足医技科室的各种检查规则，例如排斥、检查冲突、优先级、合并预约、门诊预约在同一天等规则；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支持手工录入检查项目进行预约，一般医院体检中心没有申请单；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支持预约完成自动打印导引单，电话预约可短信发送导引；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支持门诊检查病人先收费后预约和先预约再收费的双重流程；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支持对就诊科室提供预约就诊登记和取号功能，预约取号支持扫码取号、自助取号等；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支持预约登记、预约运送等一套完整的检查流程；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支持全键盘和鼠标点击操作，方便快捷；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支持预约后可取消预约，取消后可重新预约；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支持有特殊权限的人可以在预约资源满时对病人进行加号预约。</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查询统计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支持预约信息查询、预约情况统计、预约工作量统计、执行工作量统计、检查等待时间统计、预约等待天数统计。</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分时段挂号预约系统（统一预约管理中心）</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门诊预约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支持查询可预约排班，并进行门诊预约操作；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支持诊间预约、预约中心窗口预约</w:t>
      </w:r>
      <w:r>
        <w:rPr>
          <w:rFonts w:ascii="宋体" w:hAnsi="宋体" w:cs="宋体"/>
          <w:sz w:val="24"/>
          <w:szCs w:val="22"/>
        </w:rPr>
        <w:t xml:space="preserve">(现场预约和电话预约)、自助预约、第三方预约(微信公众号、支付宝、114电话、互联网医院APP等)；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支持预约完成自动打印导引单，电话预约可短信发送导引；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支持对就诊科室提供预约就诊登记和取号功能，预约取号支持扫码取号、自助取号等；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支持当天号源如果未提前预约完，可全部释放为现场挂号号源；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支持医生停诊、替诊管理，预约医生变更看诊时间，可电话通知已预约的患者；预约支持全键盘和鼠标点击操作，方便快捷；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支持预约后可取消预约，取消后可重新预约；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支持有特殊权限的人可以在预约资源满时对病人进行加号预约。</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预约订单管理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支持对产生的预约订单进行查询、备注、取消预约、通知等操作；支持选择是否允许迟到。</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渠道管理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支持对医院预约渠道和第三方预约渠道进行维护，包括选择渠道对应的号源池，激活、停用渠道等。</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黑名单管理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支持对黑名单用户进行添加、移除、修改惩罚天数等操作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爽约管理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支持对患者的爽约记录进行查询、移除。</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预约规则管理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支持维护全院统一的预约规则；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支持维护各渠道可预约未来号源的天数；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支持维护是否支持当日预约；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支持维护同一患者在同一就诊日、同一医院、同一科室和不同科室的未取消预约订单总量的限制；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支持维护同一患者在同一医院七日内、三月内的未取消预约订单总量的限制；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支持维护同一患者在同一医院同一科室同一医生的未过期且未就诊预约总量的限制；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支持取号时间维护；支持黑名单规则维护，包括黑名单周期、爽约次数、惩罚天数、等；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支持特殊预约规则管理，支持根据不同的适用范围，比如机构、科室、渠道、人员等维护定制化的预约规则。</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锁票异常监控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支持展示锁定状态的号票信息，必要时可手动进行释放操作。</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消息模板</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支持维护预约产生的通知类消息的模板。</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查询统计</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支持停诊患者查询，可以查询排班停诊影响的患者；</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支持预约等待时间统计，支持查询患者预约时间与时间就诊时间的差，判断门诊压力，为优化排班提供数据支撑；</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支持预约资源统计，支持查询不同门诊医疗资源的预约情况，为合理安排门诊医疗资源提供数据支撑；</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支持预约途径统计，查询不同预约渠道的预约量，为渠道管理提供数据支撑。</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入院准备中心</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准备中心入院登记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支持患者档案的修改和查询及完整性校验；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支持以展开方式，查看患者基本信息的详细信息；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提供一般入院登记、预约入院登记、留观入院登记、根据病人档案调入病人等入院方式；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支持通过门诊医生开立的住院证调入病人；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支持普通住院预约患者、日间手术住院预约患者的预约调入登记；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支持门诊病人、新病人、老病人的入院登记；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提供预约登记功能，对于不及时住院或者没有闲空床位的患者，允许提前预约入院；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支持刷就诊卡</w:t>
      </w:r>
      <w:r>
        <w:rPr>
          <w:rFonts w:ascii="宋体" w:hAnsi="宋体" w:cs="宋体"/>
          <w:sz w:val="24"/>
          <w:szCs w:val="22"/>
        </w:rPr>
        <w:t xml:space="preserve">/医保卡/身份证，或者输入病案号、姓名、身份证号、卡号、护照、市民卡、健康卡、地区通行证等患者信息进行入院登记；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支持入院登记时病人的科室、病区、床位、治疗小组的选择；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入院科室后，支持联动显示可以入住的病区，显示的病区可配置；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支持入院登记时，进行住院预交金的缴款或授权，支持储值金、现金、支付宝、微信、银行卡、聚合支付等缴款方式。支持授权和授权金额录入</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准备中心医嘱处理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支持常规护理管理，包括患者信息登记、床位分配、入院宣教、入院评估、医嘱复核、医嘱执行、医嘱卡片打印、检查申请(检查预约)、检验管理、换病区管；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支持查看门诊医生住院证上的预开立医嘱；并对预开立医嘱进行调入、提交、签署（复核）、删除、作废等操作；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支持入院准备中心接收新医嘱消息提醒，并对新医嘱进行复核；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支持入院准备中心向住院医生发送备注消息，支持查看备注消息是否已读；</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准备中心患者管理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支持换病区管理，在患者入院当天，可将患者由入院准备中心病区转换成患者临床病区；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支持全院一张床，一个科室可对应多个病区，入院准备中心在流转患者时，可查看不同病区下的空床信息；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支持入院准备中心在患者入院前将患者进行预处理，等患者入院当天进行批量处理；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支持入院准备中心对换病区进行审核；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支持入院准备中心查看患者住院证、住院证状态，对于已开立的住院证、迟迟不来办理入院的患者，支持入院准备中心进行标记原因；</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支持常规治疗管理；</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准备中心预约管理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支持对患者进行住院预约；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支持按入院病情、优先收治的权重确认患者入院优先级；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支持对已预约的患者进行取消预约、改约操作；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针对待入院患者，如果患者爽约（延期入院），支持入院准备中心进行标记、填写对应的原因；</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支持对患者进行取消入院操作，支持查看患者预住院期间产生的待结算的费用信息。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日间患者管理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日间手术患者进行集中管理，支持查看患者检查检验完成进度，支持查看住院医生、麻醉师对患者检查检验报告的审核进度、审核说明，并标注进度。对于已出检查检验报告但未审核的医生，入院准备中心可进行提醒。</w:t>
      </w:r>
      <w:r/>
    </w:p>
    <w:p>
      <w:pPr>
        <w:ind w:firstLine="480"/>
        <w:jc w:val="left"/>
        <w:spacing w:line="360" w:lineRule="auto"/>
        <w:widowControl/>
        <w:rPr>
          <w:rFonts w:ascii="宋体" w:hAnsi="宋体" w:cs="宋体"/>
          <w:sz w:val="24"/>
          <w:szCs w:val="22"/>
        </w:rPr>
      </w:pPr>
      <w:r>
        <w:rPr>
          <w:rFonts w:ascii="宋体" w:hAnsi="宋体" w:cs="宋体"/>
          <w:sz w:val="24"/>
          <w:szCs w:val="22"/>
        </w:rPr>
      </w:r>
      <w:r/>
    </w:p>
    <w:p>
      <w:pPr>
        <w:numPr>
          <w:ilvl w:val="3"/>
          <w:numId w:val="8"/>
        </w:numPr>
        <w:keepLines/>
        <w:keepNext/>
        <w:spacing w:line="360" w:lineRule="auto"/>
        <w:rPr>
          <w:rFonts w:ascii="等线 Light" w:hAnsi="等线 Light"/>
          <w:b/>
          <w:bCs/>
          <w:sz w:val="30"/>
          <w:szCs w:val="28"/>
        </w:rPr>
        <w:outlineLvl w:val="3"/>
      </w:pPr>
      <w:r>
        <w:rPr>
          <w:rFonts w:hint="eastAsia" w:ascii="等线 Light" w:hAnsi="等线 Light"/>
          <w:b/>
          <w:bCs/>
          <w:sz w:val="30"/>
          <w:szCs w:val="28"/>
        </w:rPr>
        <w:t xml:space="preserve">预住院管理系统（床位预约）</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住院预约中心</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住院证开立</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w:t>
      </w:r>
      <w:r>
        <w:rPr>
          <w:rFonts w:ascii="宋体" w:hAnsi="宋体" w:cs="宋体"/>
          <w:sz w:val="24"/>
          <w:szCs w:val="22"/>
        </w:rPr>
        <w:t xml:space="preserve">支持门急诊医生在诊间医生站开立住院证，或者由预约中心人员补录纸质住院证；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提供住院检查、检验单预开立功能，在开具住院证时同时开立；支持两种检查、检验开单模式，可在住院证上勾选常规套餐，也可直接调用医技</w:t>
      </w:r>
      <w:r>
        <w:rPr>
          <w:rFonts w:ascii="宋体" w:hAnsi="宋体" w:cs="宋体"/>
          <w:sz w:val="24"/>
          <w:szCs w:val="22"/>
        </w:rPr>
        <w:t xml:space="preserve">/LIS系统接口开具检查/检验单；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支持打印住院证，打印内容包含住院证基本信息和检查</w:t>
      </w:r>
      <w:r>
        <w:rPr>
          <w:rFonts w:ascii="宋体" w:hAnsi="宋体" w:cs="宋体"/>
          <w:sz w:val="24"/>
          <w:szCs w:val="22"/>
        </w:rPr>
        <w:t xml:space="preserve">/检验住院事项；</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支持住院证查询、修改、作废，已预约患者的住院证不能作废；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支持住院证录入的必输项可活动设置。</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住院预约通知</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支持住院预约成功短信自动发送，默认在预约完成时发送；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提供住院预约通知集中管理，对未通知患者进行短信批量通知和电话通知；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支持电话预约通知时可根据患者要求进行重新预约</w:t>
      </w:r>
      <w:r>
        <w:rPr>
          <w:rFonts w:ascii="宋体" w:hAnsi="宋体" w:cs="宋体"/>
          <w:sz w:val="24"/>
          <w:szCs w:val="22"/>
        </w:rPr>
        <w:t xml:space="preserve">/取消预约；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支持检查预约通知；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支持延期入院情况的查询；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支持在住院患者入院前一天自动短信通知患者入院；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支持入院前通知的提前通知天数可参数化，默认为</w:t>
      </w:r>
      <w:r>
        <w:rPr>
          <w:rFonts w:ascii="宋体" w:hAnsi="宋体" w:cs="宋体"/>
          <w:sz w:val="24"/>
          <w:szCs w:val="22"/>
        </w:rPr>
        <w:t xml:space="preserve">1。</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住院预约管理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支持对住院预约明细、汇总进行查看，实现取消预约、取消入院、重新预约等业务功能；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支持查看预约动态，包括各病区的床位分配情况；</w:t>
      </w:r>
      <w:r/>
    </w:p>
    <w:p>
      <w:pPr>
        <w:ind w:firstLine="482"/>
        <w:jc w:val="left"/>
        <w:spacing w:line="360" w:lineRule="auto"/>
        <w:widowControl/>
        <w:rPr>
          <w:rFonts w:ascii="宋体" w:hAnsi="宋体" w:cs="宋体"/>
          <w:b/>
          <w:bCs/>
          <w:sz w:val="24"/>
          <w:szCs w:val="22"/>
        </w:rPr>
      </w:pPr>
      <w:r>
        <w:rPr>
          <w:rFonts w:ascii="宋体" w:hAnsi="宋体" w:cs="宋体"/>
          <w:b/>
          <w:bCs/>
          <w:sz w:val="24"/>
          <w:szCs w:val="22"/>
        </w:rPr>
        <w:t xml:space="preserve">住院预约</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支持预约中心窗口预约，自助机终端，互联网医院APP、微信公众号、电话等预约途径；</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支持窗口预约可通过扫住院证条码，刷医保卡</w:t>
      </w:r>
      <w:r>
        <w:rPr>
          <w:rFonts w:ascii="宋体" w:hAnsi="宋体" w:cs="宋体"/>
          <w:sz w:val="24"/>
          <w:szCs w:val="22"/>
        </w:rPr>
        <w:t xml:space="preserve">/就诊卡/身份证，或者手工输入病历号、住院证号等方式调入患者信息进行预约；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支持自动预约、手工预约，自动预约根据住院证上的住院日期自动推算出最近可预约日，手工预约则手工选择可预约日；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支持预约后可取消预约或者进行预约调整；</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支持完成自动打印住院预约单；</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支持住院预约集中管理，可对已约患者、未约患者、取消预约、准备病区患者进行管理，支持预约动态和住院床位预览。</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支持录入、查看备注消息。</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床位协调中心</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支持全院床位维护功能；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支持全院床位权限释放，床位可下放到病区自行管理，也可由床管中心统一管理；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支持对所有未释放的病区床位进行统一协调处理，包括新入院床位分配、转科床位分配、换病区床位分配、转床及包床的床位分配、退床的床位回收；</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支持与消息系统无缝接口，床位管理中心可自动接收床位协调申请的消息；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支持床位协调查询、全院床位使用查询。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支持已经入院患者转病区的审核；</w:t>
      </w:r>
      <w:r/>
    </w:p>
    <w:p>
      <w:pPr>
        <w:numPr>
          <w:ilvl w:val="4"/>
          <w:numId w:val="8"/>
        </w:numPr>
        <w:keepLines/>
        <w:keepNext/>
        <w:spacing w:line="360" w:lineRule="auto"/>
        <w:rPr>
          <w:rFonts w:ascii="等线" w:hAnsi="等线"/>
          <w:b/>
          <w:bCs/>
          <w:sz w:val="30"/>
          <w:szCs w:val="28"/>
        </w:rPr>
        <w:outlineLvl w:val="4"/>
      </w:pPr>
      <w:r>
        <w:rPr>
          <w:rFonts w:ascii="等线" w:hAnsi="等线"/>
          <w:b/>
          <w:bCs/>
          <w:sz w:val="30"/>
          <w:szCs w:val="28"/>
        </w:rPr>
        <w:t xml:space="preserve">入院登记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支持调入住院证、调入住院预约单进行入院登记，可当天直接入院登记、未到预约日期提前入院登记和预约当天入院登记；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支持入院登记后时打印病人腕带；支持入院登记时可以收取预缴金，收取预缴金支持现金、银行卡刷卡、支付宝、微信等多种支付方式。</w:t>
      </w:r>
      <w:r/>
    </w:p>
    <w:p>
      <w:pPr>
        <w:numPr>
          <w:ilvl w:val="1"/>
          <w:numId w:val="8"/>
        </w:numPr>
        <w:keepLines/>
        <w:keepNext/>
        <w:spacing w:line="360" w:lineRule="auto"/>
        <w:rPr>
          <w:rFonts w:ascii="等线 Light" w:hAnsi="等线 Light"/>
          <w:b/>
          <w:bCs/>
          <w:sz w:val="28"/>
          <w:szCs w:val="28"/>
        </w:rPr>
        <w:outlineLvl w:val="1"/>
      </w:pPr>
      <w:r>
        <w:rPr>
          <w:rFonts w:ascii="等线 Light" w:hAnsi="等线 Light"/>
          <w:b/>
          <w:bCs/>
          <w:sz w:val="30"/>
          <w:szCs w:val="32"/>
        </w:rPr>
        <w:t xml:space="preserve">医技及管理系统</w:t>
      </w:r>
      <w:r/>
    </w:p>
    <w:p>
      <w:pPr>
        <w:numPr>
          <w:ilvl w:val="2"/>
          <w:numId w:val="8"/>
        </w:numPr>
        <w:keepLines/>
        <w:keepNext/>
        <w:spacing w:line="360" w:lineRule="auto"/>
        <w:rPr>
          <w:rFonts w:ascii="等线" w:hAnsi="等线"/>
          <w:b/>
          <w:bCs/>
          <w:sz w:val="30"/>
          <w:szCs w:val="32"/>
        </w:rPr>
        <w:outlineLvl w:val="2"/>
      </w:pPr>
      <w:r>
        <w:rPr>
          <w:rFonts w:ascii="等线" w:hAnsi="等线"/>
          <w:b/>
          <w:bCs/>
          <w:sz w:val="30"/>
          <w:szCs w:val="32"/>
        </w:rPr>
        <w:t xml:space="preserve">lis</w:t>
      </w:r>
      <w:r>
        <w:rPr>
          <w:rFonts w:ascii="等线" w:hAnsi="等线"/>
          <w:b/>
          <w:bCs/>
          <w:sz w:val="30"/>
          <w:szCs w:val="32"/>
        </w:rPr>
        <w:t xml:space="preserve">、输血系统</w:t>
      </w:r>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检验系统</w:t>
      </w:r>
      <w:r/>
    </w:p>
    <w:p>
      <w:pPr>
        <w:ind w:firstLine="480"/>
        <w:spacing w:line="360" w:lineRule="auto"/>
        <w:rPr>
          <w:rFonts w:ascii="Verdana" w:hAnsi="Verdana"/>
          <w:sz w:val="24"/>
          <w:szCs w:val="24"/>
        </w:rPr>
      </w:pPr>
      <w:r/>
      <w:bookmarkStart w:id="187" w:name="_Toc161338089"/>
      <w:r/>
      <w:bookmarkStart w:id="188" w:name="_Toc162450688"/>
      <w:r/>
      <w:bookmarkStart w:id="189" w:name="_Toc160912896"/>
      <w:r>
        <w:rPr>
          <w:rFonts w:hint="eastAsia" w:ascii="Verdana" w:hAnsi="Verdana"/>
          <w:sz w:val="24"/>
          <w:szCs w:val="24"/>
        </w:rPr>
        <w:t xml:space="preserve">条码管理系统</w:t>
      </w:r>
      <w:bookmarkEnd w:id="187"/>
      <w:r/>
      <w:bookmarkEnd w:id="188"/>
      <w:r/>
      <w:bookmarkEnd w:id="189"/>
      <w:r/>
      <w:r/>
    </w:p>
    <w:p>
      <w:pPr>
        <w:ind w:firstLine="480"/>
        <w:spacing w:line="360" w:lineRule="auto"/>
        <w:rPr>
          <w:rFonts w:ascii="Verdana" w:hAnsi="Verdana"/>
          <w:sz w:val="24"/>
          <w:szCs w:val="24"/>
        </w:rPr>
      </w:pPr>
      <w:r>
        <w:rPr>
          <w:rFonts w:hint="eastAsia" w:ascii="Verdana" w:hAnsi="Verdana"/>
          <w:sz w:val="24"/>
          <w:szCs w:val="24"/>
        </w:rPr>
        <w:t xml:space="preserve">采用条码化管理模式，对标本流程的规范化管理，包括标本的唯一性、不合格标本拒收以及分析中发现标本质量问题的规范化管理；</w:t>
      </w:r>
      <w:r/>
    </w:p>
    <w:p>
      <w:pPr>
        <w:ind w:firstLine="480"/>
        <w:spacing w:line="360" w:lineRule="auto"/>
        <w:rPr>
          <w:rFonts w:ascii="Verdana" w:hAnsi="Verdana"/>
          <w:sz w:val="24"/>
          <w:szCs w:val="24"/>
        </w:rPr>
      </w:pPr>
      <w:r/>
      <w:bookmarkStart w:id="190" w:name="_Toc161338090"/>
      <w:r/>
      <w:bookmarkStart w:id="191" w:name="_Toc162450689"/>
      <w:r/>
      <w:bookmarkStart w:id="192" w:name="_Toc160912897"/>
      <w:r/>
      <w:bookmarkStart w:id="193" w:name="_Toc30256826"/>
      <w:r/>
      <w:bookmarkStart w:id="194" w:name="_Toc124260679"/>
      <w:r/>
      <w:bookmarkStart w:id="195" w:name="_Toc124260668"/>
      <w:r>
        <w:rPr>
          <w:rFonts w:hint="eastAsia" w:ascii="Verdana" w:hAnsi="Verdana"/>
          <w:sz w:val="24"/>
          <w:szCs w:val="24"/>
        </w:rPr>
        <w:t xml:space="preserve">采血排队叫号系统</w:t>
      </w:r>
      <w:bookmarkEnd w:id="190"/>
      <w:r/>
      <w:bookmarkEnd w:id="191"/>
      <w:r/>
      <w:bookmarkEnd w:id="192"/>
      <w:r/>
      <w:r/>
    </w:p>
    <w:p>
      <w:pPr>
        <w:ind w:firstLine="480"/>
        <w:spacing w:line="360" w:lineRule="auto"/>
        <w:rPr>
          <w:rFonts w:ascii="Verdana" w:hAnsi="Verdana"/>
          <w:sz w:val="24"/>
          <w:szCs w:val="24"/>
          <w:lang w:val="zh-TW" w:eastAsia="zh-TW"/>
        </w:rPr>
      </w:pPr>
      <w:r>
        <w:rPr>
          <w:rFonts w:hint="eastAsia" w:ascii="Verdana" w:hAnsi="Verdana"/>
          <w:sz w:val="24"/>
          <w:szCs w:val="24"/>
          <w:lang w:val="zh-TW" w:bidi="ar"/>
        </w:rPr>
        <w:t xml:space="preserve">标准化采血流程，实现实验室标本分析前质量控制的智能化解决方案。支持对接</w:t>
      </w:r>
      <w:r>
        <w:rPr>
          <w:rFonts w:hint="eastAsia" w:ascii="Verdana" w:hAnsi="Verdana"/>
          <w:sz w:val="24"/>
          <w:szCs w:val="24"/>
          <w:lang w:val="zh-TW" w:bidi="ar"/>
        </w:rPr>
        <w:t xml:space="preserve">采血管贴标分配系统，排队管理系统，再结合为医院本身已有的</w:t>
      </w:r>
      <w:r>
        <w:rPr>
          <w:rFonts w:hint="eastAsia" w:ascii="Verdana" w:hAnsi="Verdana"/>
          <w:sz w:val="24"/>
          <w:szCs w:val="24"/>
          <w:lang w:val="zh-TW" w:eastAsia="zh-TW" w:bidi="ar"/>
        </w:rPr>
        <w:t xml:space="preserve">HIS/LIS</w:t>
      </w:r>
      <w:r>
        <w:rPr>
          <w:rFonts w:hint="eastAsia" w:ascii="Verdana" w:hAnsi="Verdana"/>
          <w:sz w:val="24"/>
          <w:szCs w:val="24"/>
          <w:lang w:val="zh-TW" w:bidi="ar"/>
        </w:rPr>
        <w:t xml:space="preserve">系统所准备的数据接口系统所组成。保证医嘱、患者信息、采血标本内容的完全一致性，有效提高采血工作效率和标本合格率。</w:t>
      </w:r>
      <w:r/>
    </w:p>
    <w:p>
      <w:pPr>
        <w:ind w:firstLine="480"/>
        <w:spacing w:line="360" w:lineRule="auto"/>
        <w:rPr>
          <w:rFonts w:ascii="Verdana" w:hAnsi="Verdana"/>
          <w:sz w:val="24"/>
          <w:szCs w:val="24"/>
        </w:rPr>
      </w:pPr>
      <w:r/>
      <w:bookmarkStart w:id="196" w:name="_Toc160912898"/>
      <w:r/>
      <w:bookmarkStart w:id="197" w:name="_Toc161338091"/>
      <w:r/>
      <w:bookmarkStart w:id="198" w:name="_Toc162450690"/>
      <w:r>
        <w:rPr>
          <w:rFonts w:hint="eastAsia" w:ascii="Verdana" w:hAnsi="Verdana"/>
          <w:sz w:val="24"/>
          <w:szCs w:val="24"/>
        </w:rPr>
        <w:t xml:space="preserve">检验主业务管理系统</w:t>
      </w:r>
      <w:bookmarkEnd w:id="193"/>
      <w:r/>
      <w:bookmarkEnd w:id="194"/>
      <w:r/>
      <w:bookmarkEnd w:id="196"/>
      <w:r/>
      <w:bookmarkEnd w:id="197"/>
      <w:r/>
      <w:bookmarkEnd w:id="198"/>
      <w:r/>
      <w:r/>
    </w:p>
    <w:p>
      <w:pPr>
        <w:ind w:firstLine="480"/>
        <w:spacing w:line="360" w:lineRule="auto"/>
        <w:rPr>
          <w:rFonts w:ascii="Verdana" w:hAnsi="Verdana"/>
          <w:sz w:val="24"/>
          <w:szCs w:val="24"/>
          <w:lang w:val="zh-TW" w:eastAsia="zh-TW"/>
        </w:rPr>
      </w:pPr>
      <w:r>
        <w:rPr>
          <w:rFonts w:hint="eastAsia" w:ascii="Verdana" w:hAnsi="Verdana"/>
          <w:sz w:val="24"/>
          <w:szCs w:val="24"/>
          <w:lang w:val="zh-TW" w:bidi="ar"/>
        </w:rPr>
        <w:t xml:space="preserve">完成来自门诊、住院、体检、外单位的标本登记、结果数据的采集、结果审核及发布、危急值发布。</w:t>
      </w:r>
      <w:r/>
    </w:p>
    <w:p>
      <w:pPr>
        <w:ind w:firstLine="480"/>
        <w:spacing w:line="360" w:lineRule="auto"/>
        <w:rPr>
          <w:rFonts w:ascii="Verdana" w:hAnsi="Verdana"/>
          <w:sz w:val="24"/>
          <w:szCs w:val="24"/>
        </w:rPr>
      </w:pPr>
      <w:r/>
      <w:bookmarkStart w:id="199" w:name="_Toc160912900"/>
      <w:r/>
      <w:bookmarkStart w:id="200" w:name="_Toc161338093"/>
      <w:r/>
      <w:bookmarkStart w:id="201" w:name="_Toc162450692"/>
      <w:r/>
      <w:bookmarkStart w:id="202" w:name="_Toc161338092"/>
      <w:r/>
      <w:bookmarkStart w:id="203" w:name="_Toc160912899"/>
      <w:r/>
      <w:bookmarkStart w:id="204" w:name="_Toc162450691"/>
      <w:r/>
      <w:bookmarkStart w:id="205" w:name="_Toc30256827"/>
      <w:r/>
      <w:bookmarkStart w:id="206" w:name="_Toc124260680"/>
      <w:r/>
      <w:bookmarkStart w:id="207" w:name="_Toc124260685"/>
      <w:r>
        <w:rPr>
          <w:rFonts w:hint="eastAsia" w:ascii="Verdana" w:hAnsi="Verdana"/>
          <w:sz w:val="24"/>
          <w:szCs w:val="24"/>
        </w:rPr>
        <w:t xml:space="preserve">微生物管理系统</w:t>
      </w:r>
      <w:bookmarkEnd w:id="199"/>
      <w:r/>
      <w:bookmarkEnd w:id="200"/>
      <w:r/>
      <w:bookmarkEnd w:id="201"/>
      <w:r/>
      <w:r/>
    </w:p>
    <w:p>
      <w:pPr>
        <w:ind w:firstLine="480"/>
        <w:spacing w:line="360" w:lineRule="auto"/>
        <w:rPr>
          <w:rFonts w:ascii="Verdana" w:hAnsi="Verdana"/>
          <w:sz w:val="24"/>
          <w:szCs w:val="24"/>
        </w:rPr>
      </w:pPr>
      <w:r>
        <w:rPr>
          <w:rFonts w:hint="eastAsia" w:ascii="Verdana" w:hAnsi="Verdana"/>
          <w:sz w:val="24"/>
          <w:szCs w:val="24"/>
          <w:lang w:val="zh-TW"/>
        </w:rPr>
        <w:t xml:space="preserve">实现微生物实验过程的无纸化，支持微生物培养过程记录和管理，</w:t>
      </w:r>
      <w:r>
        <w:rPr>
          <w:rFonts w:ascii="Verdana" w:hAnsi="Verdana"/>
          <w:sz w:val="24"/>
          <w:szCs w:val="24"/>
        </w:rPr>
        <w:t xml:space="preserve">完成来自门诊、病房、</w:t>
      </w:r>
      <w:r>
        <w:rPr>
          <w:rFonts w:hint="eastAsia" w:ascii="Verdana" w:hAnsi="Verdana"/>
          <w:sz w:val="24"/>
          <w:szCs w:val="24"/>
        </w:rPr>
        <w:t xml:space="preserve">体检</w:t>
      </w:r>
      <w:r>
        <w:rPr>
          <w:rFonts w:ascii="Verdana" w:hAnsi="Verdana"/>
          <w:sz w:val="24"/>
          <w:szCs w:val="24"/>
        </w:rPr>
        <w:t xml:space="preserve">的</w:t>
      </w:r>
      <w:r>
        <w:rPr>
          <w:rFonts w:hint="eastAsia" w:ascii="Verdana" w:hAnsi="Verdana"/>
          <w:sz w:val="24"/>
          <w:szCs w:val="24"/>
        </w:rPr>
        <w:t xml:space="preserve">微生物标本的检测和报告发布</w:t>
      </w:r>
      <w:r>
        <w:rPr>
          <w:rFonts w:ascii="Verdana" w:hAnsi="Verdana"/>
          <w:sz w:val="24"/>
          <w:szCs w:val="24"/>
        </w:rPr>
        <w:t xml:space="preserve">，</w:t>
      </w:r>
      <w:r>
        <w:rPr>
          <w:rFonts w:hint="eastAsia" w:ascii="Verdana" w:hAnsi="Verdana"/>
          <w:sz w:val="24"/>
          <w:szCs w:val="24"/>
        </w:rPr>
        <w:t xml:space="preserve">仪器通讯</w:t>
      </w:r>
      <w:bookmarkEnd w:id="202"/>
      <w:r/>
      <w:bookmarkEnd w:id="203"/>
      <w:r>
        <w:rPr>
          <w:rFonts w:hint="eastAsia" w:ascii="Verdana" w:hAnsi="Verdana"/>
          <w:sz w:val="24"/>
          <w:szCs w:val="24"/>
        </w:rPr>
        <w:t xml:space="preserve">接口</w:t>
      </w:r>
      <w:bookmarkEnd w:id="204"/>
      <w:r/>
      <w:r/>
    </w:p>
    <w:p>
      <w:pPr>
        <w:ind w:firstLine="480"/>
        <w:spacing w:line="360" w:lineRule="auto"/>
        <w:rPr>
          <w:rFonts w:ascii="Verdana" w:hAnsi="Verdana"/>
          <w:sz w:val="24"/>
          <w:szCs w:val="24"/>
        </w:rPr>
      </w:pPr>
      <w:r>
        <w:rPr>
          <w:rFonts w:hint="eastAsia" w:ascii="Verdana" w:hAnsi="Verdana"/>
          <w:sz w:val="24"/>
          <w:szCs w:val="24"/>
        </w:rPr>
        <w:t xml:space="preserve">单向设备：</w:t>
      </w:r>
      <w:r>
        <w:rPr>
          <w:rFonts w:hint="eastAsia" w:ascii="Verdana" w:hAnsi="Verdana"/>
          <w:bCs/>
          <w:sz w:val="24"/>
          <w:szCs w:val="24"/>
        </w:rPr>
        <w:t xml:space="preserve">完成仪器原始数据采集及解析，包</w:t>
      </w:r>
      <w:r>
        <w:rPr>
          <w:rFonts w:hint="eastAsia" w:ascii="Verdana" w:hAnsi="Verdana"/>
          <w:sz w:val="24"/>
          <w:szCs w:val="24"/>
        </w:rPr>
        <w:t xml:space="preserve">括各种传输模式（串口、网口、</w:t>
      </w:r>
      <w:r>
        <w:rPr>
          <w:rFonts w:hint="eastAsia" w:ascii="Verdana" w:hAnsi="Verdana"/>
          <w:sz w:val="24"/>
          <w:szCs w:val="24"/>
        </w:rPr>
        <w:t xml:space="preserve">USB</w:t>
      </w:r>
      <w:r>
        <w:rPr>
          <w:rFonts w:hint="eastAsia" w:ascii="Verdana" w:hAnsi="Verdana"/>
          <w:sz w:val="24"/>
          <w:szCs w:val="24"/>
        </w:rPr>
        <w:t xml:space="preserve">、读文件）。</w:t>
      </w:r>
      <w:r/>
    </w:p>
    <w:p>
      <w:pPr>
        <w:ind w:firstLine="480"/>
        <w:spacing w:line="360" w:lineRule="auto"/>
        <w:rPr>
          <w:rFonts w:ascii="Verdana" w:hAnsi="Verdana"/>
          <w:sz w:val="24"/>
          <w:szCs w:val="24"/>
          <w:u w:val="single"/>
        </w:rPr>
      </w:pPr>
      <w:r>
        <w:rPr>
          <w:rFonts w:hint="eastAsia" w:ascii="Verdana" w:hAnsi="Verdana"/>
          <w:sz w:val="24"/>
          <w:szCs w:val="24"/>
        </w:rPr>
        <w:t xml:space="preserve">双向设备</w:t>
      </w:r>
      <w:r>
        <w:rPr>
          <w:rFonts w:hint="eastAsia" w:ascii="Verdana" w:hAnsi="Verdana"/>
          <w:sz w:val="24"/>
          <w:szCs w:val="24"/>
          <w:u w:val="single"/>
        </w:rPr>
        <w:t xml:space="preserve">：</w:t>
      </w:r>
      <w:r>
        <w:rPr>
          <w:rFonts w:hint="eastAsia" w:ascii="Verdana" w:hAnsi="Verdana"/>
          <w:bCs/>
          <w:sz w:val="24"/>
          <w:szCs w:val="24"/>
        </w:rPr>
        <w:t xml:space="preserve">对于支持条码读取的仪器，本模块可以使仪器实现双向通信的功能，仪器可以通过读取试管上的条码，自动获取条码信息对应的检验医嘱信息，自动测试检验项目，仪器不会漏检检验项目，并且与标本放的位置也无关，只与条码信息相关，可以杜绝标本的张冠李戴的差错，对于做的项目，系统可以预先设定稀释倍数，从而大大提高检验的工作效率和工作质量。</w:t>
      </w:r>
      <w:r/>
    </w:p>
    <w:p>
      <w:pPr>
        <w:ind w:firstLine="480"/>
        <w:spacing w:line="360" w:lineRule="auto"/>
        <w:rPr>
          <w:rFonts w:ascii="Verdana" w:hAnsi="Verdana"/>
          <w:sz w:val="24"/>
          <w:szCs w:val="24"/>
        </w:rPr>
      </w:pPr>
      <w:r>
        <w:rPr>
          <w:rFonts w:hint="eastAsia" w:ascii="Verdana" w:hAnsi="Verdana"/>
          <w:sz w:val="24"/>
          <w:szCs w:val="24"/>
        </w:rPr>
        <w:t xml:space="preserve">流水线设备：</w:t>
      </w:r>
      <w:r>
        <w:rPr>
          <w:rFonts w:ascii="Verdana" w:hAnsi="Verdana"/>
          <w:bCs/>
          <w:sz w:val="24"/>
          <w:szCs w:val="24"/>
        </w:rPr>
        <w:t xml:space="preserve">支持实验室各类检测流水线设备对接，</w:t>
      </w:r>
      <w:r>
        <w:rPr>
          <w:rFonts w:hint="eastAsia" w:ascii="Verdana" w:hAnsi="Verdana"/>
          <w:bCs/>
          <w:sz w:val="24"/>
          <w:szCs w:val="24"/>
        </w:rPr>
        <w:t xml:space="preserve">实现自动化和智能化管理。</w:t>
      </w:r>
      <w:r/>
    </w:p>
    <w:p>
      <w:pPr>
        <w:ind w:firstLine="480"/>
        <w:spacing w:line="360" w:lineRule="auto"/>
        <w:rPr>
          <w:rFonts w:ascii="Verdana" w:hAnsi="Verdana"/>
          <w:sz w:val="24"/>
          <w:szCs w:val="24"/>
        </w:rPr>
      </w:pPr>
      <w:r/>
      <w:bookmarkStart w:id="208" w:name="_Toc161338100"/>
      <w:r/>
      <w:bookmarkStart w:id="209" w:name="_Toc160912907"/>
      <w:r/>
      <w:bookmarkStart w:id="210" w:name="_Toc162450699"/>
      <w:r/>
      <w:bookmarkStart w:id="211" w:name="_Toc162450695"/>
      <w:r/>
      <w:bookmarkStart w:id="212" w:name="_Toc30256829"/>
      <w:r/>
      <w:bookmarkStart w:id="213" w:name="_Toc124260689"/>
      <w:r/>
      <w:bookmarkStart w:id="214" w:name="_Toc161338096"/>
      <w:r/>
      <w:bookmarkStart w:id="215" w:name="_Toc160912903"/>
      <w:r/>
      <w:bookmarkEnd w:id="195"/>
      <w:r/>
      <w:bookmarkEnd w:id="205"/>
      <w:r/>
      <w:bookmarkEnd w:id="206"/>
      <w:r/>
      <w:bookmarkEnd w:id="207"/>
      <w:r>
        <w:rPr>
          <w:rFonts w:hint="eastAsia" w:ascii="Verdana" w:hAnsi="Verdana"/>
          <w:sz w:val="24"/>
          <w:szCs w:val="24"/>
        </w:rPr>
        <w:t xml:space="preserve">智能审核系统</w:t>
      </w:r>
      <w:bookmarkEnd w:id="208"/>
      <w:r/>
      <w:bookmarkEnd w:id="209"/>
      <w:r/>
      <w:bookmarkEnd w:id="210"/>
      <w:r/>
      <w:r/>
    </w:p>
    <w:p>
      <w:pPr>
        <w:ind w:firstLine="480"/>
        <w:spacing w:line="360" w:lineRule="auto"/>
        <w:rPr>
          <w:rFonts w:ascii="Verdana" w:hAnsi="Verdana"/>
          <w:sz w:val="24"/>
          <w:szCs w:val="24"/>
          <w:lang w:val="zh-TW" w:bidi="ar"/>
        </w:rPr>
      </w:pPr>
      <w:r>
        <w:rPr>
          <w:rFonts w:hint="eastAsia" w:ascii="Verdana" w:hAnsi="Verdana"/>
          <w:sz w:val="24"/>
          <w:szCs w:val="24"/>
          <w:lang w:val="zh-TW" w:bidi="ar"/>
        </w:rPr>
        <w:t xml:space="preserve">系统遵循临床实验室规范设定一套审核规则，这些规则在审核时判断报告的合理性、完整性，用于控制报告是否可通过审核。可使用</w:t>
      </w:r>
      <w:r>
        <w:rPr>
          <w:rFonts w:hint="eastAsia" w:ascii="Verdana" w:hAnsi="Verdana"/>
          <w:sz w:val="24"/>
          <w:szCs w:val="24"/>
          <w:lang w:val="zh-TW" w:eastAsia="zh-TW" w:bidi="ar"/>
        </w:rPr>
        <w:t xml:space="preserve">LIS</w:t>
      </w:r>
      <w:r>
        <w:rPr>
          <w:rFonts w:hint="eastAsia" w:ascii="Verdana" w:hAnsi="Verdana"/>
          <w:sz w:val="24"/>
          <w:szCs w:val="24"/>
          <w:lang w:val="zh-TW" w:bidi="ar"/>
        </w:rPr>
        <w:t xml:space="preserve">或者设备中间件实施自动审核。</w:t>
      </w:r>
      <w:r/>
    </w:p>
    <w:p>
      <w:pPr>
        <w:ind w:firstLine="480"/>
        <w:spacing w:line="360" w:lineRule="auto"/>
        <w:rPr>
          <w:rFonts w:ascii="Verdana" w:hAnsi="Verdana"/>
          <w:sz w:val="24"/>
          <w:szCs w:val="24"/>
          <w:lang w:val="zh-TW" w:bidi="ar"/>
        </w:rPr>
      </w:pPr>
      <w:r>
        <w:rPr>
          <w:rFonts w:hint="eastAsia" w:ascii="Verdana" w:hAnsi="Verdana"/>
          <w:sz w:val="24"/>
          <w:szCs w:val="24"/>
          <w:lang w:val="zh-TW" w:bidi="ar"/>
        </w:rPr>
        <w:t xml:space="preserve">支持项目逻辑规则的设置：可分样本类型、性别、年龄范围、适用诊断、逻辑公式设置（结果项目组合判断条件）、以及相应的审核提示内容。</w:t>
      </w:r>
      <w:r/>
    </w:p>
    <w:p>
      <w:pPr>
        <w:ind w:firstLine="480"/>
        <w:spacing w:line="360" w:lineRule="auto"/>
        <w:rPr>
          <w:rFonts w:ascii="Verdana" w:hAnsi="Verdana"/>
          <w:sz w:val="24"/>
          <w:szCs w:val="24"/>
          <w:lang w:val="zh-TW" w:bidi="ar"/>
        </w:rPr>
      </w:pPr>
      <w:r>
        <w:rPr>
          <w:rFonts w:hint="eastAsia" w:ascii="Verdana" w:hAnsi="Verdana"/>
          <w:sz w:val="24"/>
          <w:szCs w:val="24"/>
          <w:lang w:val="zh-TW" w:bidi="ar"/>
        </w:rPr>
        <w:t xml:space="preserve">其它审核审核规则设置：与上次不符合报警、危急项目报警、前次结果比较、传染病报卡、复检提醒、高危提醒、荒诞结果提醒。审核过程中支持多项漏项核对和提醒、复查标本未完成提醒，性别不符提醒。</w:t>
      </w:r>
      <w:r/>
    </w:p>
    <w:p>
      <w:pPr>
        <w:ind w:firstLine="480"/>
        <w:spacing w:line="360" w:lineRule="auto"/>
        <w:rPr>
          <w:rFonts w:ascii="Verdana" w:hAnsi="Verdana"/>
          <w:sz w:val="24"/>
          <w:szCs w:val="24"/>
        </w:rPr>
      </w:pPr>
      <w:r/>
      <w:bookmarkStart w:id="216" w:name="_Toc124260673"/>
      <w:r/>
      <w:bookmarkStart w:id="217" w:name="_Toc160912905"/>
      <w:r/>
      <w:bookmarkStart w:id="218" w:name="_Toc161338098"/>
      <w:r/>
      <w:bookmarkStart w:id="219" w:name="_Toc162450697"/>
      <w:r/>
      <w:bookmarkStart w:id="220" w:name="_Toc124260691"/>
      <w:r/>
      <w:bookmarkEnd w:id="211"/>
      <w:r/>
      <w:bookmarkEnd w:id="212"/>
      <w:r/>
      <w:bookmarkEnd w:id="213"/>
      <w:r/>
      <w:bookmarkEnd w:id="214"/>
      <w:r/>
      <w:bookmarkEnd w:id="215"/>
      <w:r>
        <w:rPr>
          <w:rFonts w:hint="eastAsia" w:ascii="Verdana" w:hAnsi="Verdana"/>
          <w:sz w:val="24"/>
          <w:szCs w:val="24"/>
        </w:rPr>
        <w:t xml:space="preserve">实验室文档管理</w:t>
      </w:r>
      <w:bookmarkEnd w:id="216"/>
      <w:r/>
      <w:bookmarkEnd w:id="217"/>
      <w:r/>
      <w:bookmarkEnd w:id="218"/>
      <w:r>
        <w:rPr>
          <w:rFonts w:hint="eastAsia" w:ascii="Verdana" w:hAnsi="Verdana"/>
          <w:sz w:val="24"/>
          <w:szCs w:val="24"/>
        </w:rPr>
        <w:t xml:space="preserve">系统</w:t>
      </w:r>
      <w:bookmarkEnd w:id="219"/>
      <w:r/>
      <w:r/>
    </w:p>
    <w:p>
      <w:pPr>
        <w:ind w:firstLine="480"/>
        <w:spacing w:line="360" w:lineRule="auto"/>
        <w:rPr>
          <w:rFonts w:ascii="Verdana" w:hAnsi="Verdana"/>
          <w:sz w:val="24"/>
          <w:szCs w:val="24"/>
          <w:lang w:val="zh-TW" w:eastAsia="zh-TW"/>
        </w:rPr>
      </w:pPr>
      <w:r>
        <w:rPr>
          <w:rFonts w:hint="eastAsia" w:ascii="Verdana" w:hAnsi="Verdana"/>
          <w:sz w:val="24"/>
          <w:szCs w:val="24"/>
          <w:lang w:val="zh-TW" w:bidi="ar"/>
        </w:rPr>
        <w:t xml:space="preserve">通过电子化形式对实验室质量控制程序文档、</w:t>
      </w:r>
      <w:r>
        <w:rPr>
          <w:rFonts w:hint="eastAsia" w:ascii="Verdana" w:hAnsi="Verdana"/>
          <w:sz w:val="24"/>
          <w:szCs w:val="24"/>
          <w:lang w:val="zh-TW" w:eastAsia="zh-TW" w:bidi="ar"/>
        </w:rPr>
        <w:t xml:space="preserve">SOP</w:t>
      </w:r>
      <w:r>
        <w:rPr>
          <w:rFonts w:hint="eastAsia" w:ascii="Verdana" w:hAnsi="Verdana"/>
          <w:sz w:val="24"/>
          <w:szCs w:val="24"/>
          <w:lang w:val="zh-TW" w:bidi="ar"/>
        </w:rPr>
        <w:t xml:space="preserve">文档进行管理，建立文档共享平台，提供实验室人员文档编制、修改、阅读。</w:t>
      </w:r>
      <w:r/>
    </w:p>
    <w:p>
      <w:pPr>
        <w:ind w:firstLine="480"/>
        <w:spacing w:line="360" w:lineRule="auto"/>
        <w:rPr>
          <w:rFonts w:ascii="Verdana" w:hAnsi="Verdana"/>
          <w:sz w:val="24"/>
          <w:szCs w:val="24"/>
          <w:lang w:val="zh-TW" w:bidi="ar"/>
        </w:rPr>
      </w:pPr>
      <w:r>
        <w:rPr>
          <w:rFonts w:hint="eastAsia" w:ascii="Verdana" w:hAnsi="Verdana"/>
          <w:sz w:val="24"/>
          <w:szCs w:val="24"/>
          <w:lang w:val="zh-TW" w:bidi="ar"/>
        </w:rPr>
        <w:t xml:space="preserve">统一实验室内部各类管理文件的编写格式、文件内容，建立电子化标准管理流程，</w:t>
      </w:r>
      <w:r>
        <w:rPr>
          <w:rFonts w:hint="eastAsia" w:ascii="Verdana" w:hAnsi="Verdana"/>
          <w:sz w:val="24"/>
          <w:szCs w:val="24"/>
          <w:lang w:val="zh-TW" w:bidi="ar"/>
        </w:rPr>
        <w:t xml:space="preserve">包括新增、版本更新、注销、审核发布流程，并针对阅读、编辑、审核流程进行授权。</w:t>
      </w:r>
      <w:r/>
    </w:p>
    <w:p>
      <w:pPr>
        <w:ind w:firstLine="480"/>
        <w:spacing w:line="360" w:lineRule="auto"/>
        <w:rPr>
          <w:rFonts w:ascii="Verdana" w:hAnsi="Verdana"/>
          <w:sz w:val="24"/>
          <w:szCs w:val="24"/>
        </w:rPr>
      </w:pPr>
      <w:r/>
      <w:bookmarkStart w:id="221" w:name="_Toc161338099"/>
      <w:r/>
      <w:bookmarkStart w:id="222" w:name="_Toc160912906"/>
      <w:r/>
      <w:bookmarkStart w:id="223" w:name="_Toc162450698"/>
      <w:r/>
      <w:bookmarkStart w:id="224" w:name="_Toc30256832"/>
      <w:r/>
      <w:bookmarkStart w:id="225" w:name="_Toc124260683"/>
      <w:r/>
      <w:bookmarkStart w:id="226" w:name="_Toc348875944"/>
      <w:r/>
      <w:bookmarkEnd w:id="220"/>
      <w:r>
        <w:rPr>
          <w:rFonts w:hint="eastAsia" w:ascii="Verdana" w:hAnsi="Verdana"/>
          <w:sz w:val="24"/>
          <w:szCs w:val="24"/>
        </w:rPr>
        <w:t xml:space="preserve">危急值闭环管理</w:t>
      </w:r>
      <w:bookmarkEnd w:id="221"/>
      <w:r/>
      <w:bookmarkEnd w:id="222"/>
      <w:r>
        <w:rPr>
          <w:rFonts w:hint="eastAsia" w:ascii="Verdana" w:hAnsi="Verdana"/>
          <w:sz w:val="24"/>
          <w:szCs w:val="24"/>
        </w:rPr>
        <w:t xml:space="preserve">系统</w:t>
      </w:r>
      <w:bookmarkEnd w:id="223"/>
      <w:r/>
      <w:r/>
    </w:p>
    <w:p>
      <w:pPr>
        <w:ind w:firstLine="480"/>
        <w:spacing w:line="360" w:lineRule="auto"/>
        <w:rPr>
          <w:rFonts w:ascii="Verdana" w:hAnsi="Verdana"/>
          <w:sz w:val="24"/>
          <w:szCs w:val="24"/>
          <w:lang w:val="zh-TW" w:eastAsia="zh-TW"/>
        </w:rPr>
      </w:pPr>
      <w:r>
        <w:rPr>
          <w:rFonts w:hint="eastAsia" w:ascii="Verdana" w:hAnsi="Verdana"/>
          <w:sz w:val="24"/>
          <w:szCs w:val="24"/>
          <w:lang w:val="zh-TW" w:bidi="ar"/>
        </w:rPr>
        <w:t xml:space="preserve">检验科在检测或审核标本时，系统自动判断危急值，遇危急标本系统自动提醒检验科医生，核发该报告时，系统自动将标本结果危急情况发送到标本采集的科室，自动通过消息提醒临床医生或护士及时处理，临床未及时接收可自动提醒检验科人工处理。</w:t>
      </w:r>
      <w:bookmarkEnd w:id="224"/>
      <w:bookmarkEnd w:id="225"/>
      <w:bookmarkEnd w:id="226"/>
      <w:r/>
    </w:p>
    <w:p>
      <w:pPr>
        <w:numPr>
          <w:ilvl w:val="4"/>
          <w:numId w:val="8"/>
        </w:numPr>
        <w:keepLines/>
        <w:keepNext/>
        <w:spacing w:line="360" w:lineRule="auto"/>
        <w:rPr>
          <w:rFonts w:ascii="等线" w:hAnsi="等线"/>
          <w:b/>
          <w:bCs/>
          <w:sz w:val="30"/>
          <w:szCs w:val="28"/>
        </w:rPr>
        <w:outlineLvl w:val="4"/>
      </w:pPr>
      <w:r>
        <w:rPr>
          <w:rFonts w:hint="eastAsia" w:ascii="等线" w:hAnsi="等线"/>
          <w:b/>
          <w:bCs/>
          <w:sz w:val="30"/>
          <w:szCs w:val="28"/>
        </w:rPr>
        <w:t xml:space="preserve">输血系统</w:t>
      </w:r>
      <w:r/>
    </w:p>
    <w:p>
      <w:pPr>
        <w:ind w:firstLine="480"/>
        <w:spacing w:line="360" w:lineRule="auto"/>
        <w:rPr>
          <w:rFonts w:ascii="Verdana" w:hAnsi="Verdana"/>
          <w:sz w:val="24"/>
          <w:szCs w:val="24"/>
        </w:rPr>
      </w:pPr>
      <w:r>
        <w:rPr>
          <w:rFonts w:hint="eastAsia" w:ascii="Verdana" w:hAnsi="Verdana"/>
          <w:sz w:val="24"/>
          <w:szCs w:val="24"/>
        </w:rPr>
        <w:t xml:space="preserve">系统具有完善的输血闭环管理流程，涉及临床医生、护士、医务科、输血科，形成多场景闭环，主要包括用血申请、血样采集和送检、交叉配血及出库、输血流程管理。</w:t>
      </w:r>
      <w:r/>
    </w:p>
    <w:p>
      <w:pPr>
        <w:ind w:firstLine="480"/>
        <w:spacing w:line="360" w:lineRule="auto"/>
        <w:rPr>
          <w:rFonts w:ascii="Verdana" w:hAnsi="Verdana"/>
          <w:sz w:val="24"/>
          <w:szCs w:val="24"/>
        </w:rPr>
      </w:pPr>
      <w:r/>
      <w:bookmarkStart w:id="227" w:name="_Toc161416974"/>
      <w:r/>
      <w:bookmarkStart w:id="228" w:name="_Toc163479740"/>
      <w:r>
        <w:rPr>
          <w:rFonts w:hint="eastAsia" w:ascii="Verdana" w:hAnsi="Verdana"/>
          <w:sz w:val="24"/>
          <w:szCs w:val="24"/>
        </w:rPr>
        <w:t xml:space="preserve">医生工作站</w:t>
      </w:r>
      <w:bookmarkEnd w:id="227"/>
      <w:r/>
      <w:bookmarkEnd w:id="228"/>
      <w:r/>
      <w:r/>
    </w:p>
    <w:p>
      <w:pPr>
        <w:ind w:firstLine="480"/>
        <w:spacing w:line="360" w:lineRule="auto"/>
        <w:rPr>
          <w:rFonts w:ascii="Verdana" w:hAnsi="Verdana"/>
          <w:sz w:val="24"/>
          <w:szCs w:val="24"/>
        </w:rPr>
      </w:pPr>
      <w:r>
        <w:rPr>
          <w:rFonts w:ascii="Verdana" w:hAnsi="Verdana"/>
          <w:sz w:val="24"/>
          <w:szCs w:val="24"/>
        </w:rPr>
        <w:t xml:space="preserve">实现</w:t>
      </w:r>
      <w:r>
        <w:rPr>
          <w:rFonts w:hint="eastAsia" w:ascii="Verdana" w:hAnsi="Verdana"/>
          <w:sz w:val="24"/>
          <w:szCs w:val="24"/>
        </w:rPr>
        <w:t xml:space="preserve">用血科室用血申请评估、申请单开单、输血后评价、输血反应登记功能。</w:t>
      </w:r>
      <w:r/>
    </w:p>
    <w:p>
      <w:pPr>
        <w:ind w:firstLine="480"/>
        <w:spacing w:line="360" w:lineRule="auto"/>
        <w:rPr>
          <w:rFonts w:ascii="Verdana" w:hAnsi="Verdana"/>
          <w:sz w:val="24"/>
          <w:szCs w:val="24"/>
        </w:rPr>
      </w:pPr>
      <w:r/>
      <w:bookmarkStart w:id="229" w:name="_Toc163479741"/>
      <w:r/>
      <w:bookmarkStart w:id="230" w:name="_Toc161416975"/>
      <w:r/>
      <w:bookmarkStart w:id="231" w:name="_Toc160992208"/>
      <w:r>
        <w:rPr>
          <w:rFonts w:hint="eastAsia" w:ascii="Verdana" w:hAnsi="Verdana"/>
          <w:sz w:val="24"/>
          <w:szCs w:val="24"/>
        </w:rPr>
        <w:t xml:space="preserve">护士工作站</w:t>
      </w:r>
      <w:bookmarkEnd w:id="229"/>
      <w:r/>
      <w:bookmarkEnd w:id="230"/>
      <w:r/>
      <w:r/>
    </w:p>
    <w:p>
      <w:pPr>
        <w:ind w:firstLine="480"/>
        <w:spacing w:line="360" w:lineRule="auto"/>
        <w:rPr>
          <w:rFonts w:ascii="Verdana" w:hAnsi="Verdana"/>
          <w:sz w:val="24"/>
          <w:szCs w:val="24"/>
        </w:rPr>
      </w:pPr>
      <w:r>
        <w:rPr>
          <w:rFonts w:hint="eastAsia" w:ascii="Verdana" w:hAnsi="Verdana"/>
          <w:sz w:val="24"/>
          <w:szCs w:val="24"/>
        </w:rPr>
        <w:t xml:space="preserve">对输血医嘱执行操作，采样和送检，配血完成后完成血袋领取，并进行患者输血全过程管理。</w:t>
      </w:r>
      <w:r/>
    </w:p>
    <w:p>
      <w:pPr>
        <w:ind w:firstLine="480"/>
        <w:spacing w:line="360" w:lineRule="auto"/>
        <w:rPr>
          <w:rFonts w:ascii="Verdana" w:hAnsi="Verdana"/>
          <w:sz w:val="24"/>
          <w:szCs w:val="24"/>
        </w:rPr>
      </w:pPr>
      <w:r/>
      <w:bookmarkStart w:id="232" w:name="_Toc163479742"/>
      <w:r/>
      <w:bookmarkStart w:id="233" w:name="_Toc161416976"/>
      <w:r>
        <w:rPr>
          <w:rFonts w:hint="eastAsia" w:ascii="Verdana" w:hAnsi="Verdana"/>
          <w:sz w:val="24"/>
          <w:szCs w:val="24"/>
        </w:rPr>
        <w:t xml:space="preserve">输血科工作站</w:t>
      </w:r>
      <w:bookmarkEnd w:id="232"/>
      <w:r/>
      <w:bookmarkEnd w:id="233"/>
      <w:r/>
      <w:r/>
    </w:p>
    <w:p>
      <w:pPr>
        <w:ind w:firstLine="480"/>
        <w:spacing w:line="360" w:lineRule="auto"/>
        <w:rPr>
          <w:rFonts w:ascii="Verdana" w:hAnsi="Verdana"/>
          <w:sz w:val="24"/>
          <w:szCs w:val="24"/>
        </w:rPr>
      </w:pPr>
      <w:r/>
      <w:bookmarkStart w:id="234" w:name="_Toc160992217"/>
      <w:r/>
      <w:bookmarkStart w:id="235" w:name="_Toc108535861"/>
      <w:r>
        <w:rPr>
          <w:rFonts w:hint="eastAsia" w:ascii="Verdana" w:hAnsi="Verdana"/>
          <w:sz w:val="24"/>
          <w:szCs w:val="24"/>
        </w:rPr>
        <w:t xml:space="preserve">（</w:t>
      </w:r>
      <w:r>
        <w:rPr>
          <w:rFonts w:hint="eastAsia" w:ascii="Verdana" w:hAnsi="Verdana"/>
          <w:sz w:val="24"/>
          <w:szCs w:val="24"/>
        </w:rPr>
        <w:t xml:space="preserve">1</w:t>
      </w:r>
      <w:r>
        <w:rPr>
          <w:rFonts w:hint="eastAsia" w:ascii="Verdana" w:hAnsi="Verdana"/>
          <w:sz w:val="24"/>
          <w:szCs w:val="24"/>
        </w:rPr>
        <w:t xml:space="preserve">）血液库存管理</w:t>
      </w:r>
      <w:r/>
    </w:p>
    <w:p>
      <w:pPr>
        <w:ind w:firstLine="480"/>
        <w:spacing w:line="360" w:lineRule="auto"/>
        <w:rPr>
          <w:rFonts w:ascii="Verdana" w:hAnsi="Verdana"/>
          <w:sz w:val="24"/>
          <w:szCs w:val="24"/>
        </w:rPr>
      </w:pPr>
      <w:r>
        <w:rPr>
          <w:rFonts w:hint="eastAsia" w:ascii="Verdana" w:hAnsi="Verdana"/>
          <w:sz w:val="24"/>
          <w:szCs w:val="24"/>
        </w:rPr>
        <w:t xml:space="preserve">血袋库存，包括支持与血站进行对接进行出入库管理，血袋效期监控与作废管理，血袋借出管理。</w:t>
      </w:r>
      <w:r/>
    </w:p>
    <w:p>
      <w:pPr>
        <w:ind w:firstLine="480"/>
        <w:spacing w:line="360" w:lineRule="auto"/>
        <w:rPr>
          <w:rFonts w:ascii="Verdana" w:hAnsi="Verdana"/>
          <w:sz w:val="24"/>
          <w:szCs w:val="24"/>
        </w:rPr>
      </w:pPr>
      <w:r/>
      <w:bookmarkStart w:id="236" w:name="_Toc160992210"/>
      <w:r/>
      <w:bookmarkStart w:id="237" w:name="_Toc108535864"/>
      <w:r/>
      <w:bookmarkStart w:id="238" w:name="_Toc108535858"/>
      <w:r>
        <w:rPr>
          <w:rFonts w:hint="eastAsia" w:ascii="Verdana" w:hAnsi="Verdana"/>
          <w:sz w:val="24"/>
          <w:szCs w:val="24"/>
        </w:rPr>
        <w:t xml:space="preserve">（</w:t>
      </w:r>
      <w:r>
        <w:rPr>
          <w:rFonts w:hint="eastAsia" w:ascii="Verdana" w:hAnsi="Verdana"/>
          <w:sz w:val="24"/>
          <w:szCs w:val="24"/>
        </w:rPr>
        <w:t xml:space="preserve">2</w:t>
      </w:r>
      <w:r>
        <w:rPr>
          <w:rFonts w:hint="eastAsia" w:ascii="Verdana" w:hAnsi="Verdana"/>
          <w:sz w:val="24"/>
          <w:szCs w:val="24"/>
        </w:rPr>
        <w:t xml:space="preserve">）库存预警管理</w:t>
      </w:r>
      <w:r/>
    </w:p>
    <w:p>
      <w:pPr>
        <w:ind w:firstLine="480"/>
        <w:spacing w:line="360" w:lineRule="auto"/>
        <w:rPr>
          <w:rFonts w:ascii="Verdana" w:hAnsi="Verdana"/>
          <w:sz w:val="24"/>
          <w:szCs w:val="24"/>
        </w:rPr>
      </w:pPr>
      <w:r>
        <w:rPr>
          <w:rFonts w:hint="eastAsia" w:ascii="Verdana" w:hAnsi="Verdana"/>
          <w:sz w:val="24"/>
          <w:szCs w:val="24"/>
        </w:rPr>
        <w:t xml:space="preserve">血液有效期监控和提醒，</w:t>
      </w:r>
      <w:r>
        <w:rPr>
          <w:rFonts w:ascii="Verdana" w:hAnsi="Verdana"/>
          <w:sz w:val="24"/>
          <w:szCs w:val="24"/>
        </w:rPr>
        <w:t xml:space="preserve">失效提醒可以在血液失效前</w:t>
      </w:r>
      <w:r>
        <w:rPr>
          <w:rFonts w:hint="eastAsia" w:ascii="Verdana" w:hAnsi="Verdana"/>
          <w:sz w:val="24"/>
          <w:szCs w:val="24"/>
        </w:rPr>
        <w:t xml:space="preserve">几</w:t>
      </w:r>
      <w:r>
        <w:rPr>
          <w:rFonts w:ascii="Verdana" w:hAnsi="Verdana"/>
          <w:sz w:val="24"/>
          <w:szCs w:val="24"/>
        </w:rPr>
        <w:t xml:space="preserve">天进行预报提醒</w:t>
      </w:r>
      <w:r>
        <w:rPr>
          <w:rFonts w:hint="eastAsia" w:ascii="Verdana" w:hAnsi="Verdana"/>
          <w:sz w:val="24"/>
          <w:szCs w:val="24"/>
        </w:rPr>
        <w:t xml:space="preserve">，提醒时间可设置</w:t>
      </w:r>
      <w:r>
        <w:rPr>
          <w:rFonts w:ascii="Verdana" w:hAnsi="Verdana"/>
          <w:sz w:val="24"/>
          <w:szCs w:val="24"/>
        </w:rPr>
        <w:t xml:space="preserve">。</w:t>
      </w:r>
      <w:bookmarkEnd w:id="236"/>
      <w:bookmarkEnd w:id="237"/>
      <w:bookmarkEnd w:id="238"/>
      <w:r/>
    </w:p>
    <w:p>
      <w:pPr>
        <w:ind w:firstLine="480"/>
        <w:spacing w:line="360" w:lineRule="auto"/>
        <w:rPr>
          <w:rFonts w:ascii="Verdana" w:hAnsi="Verdana"/>
          <w:sz w:val="24"/>
          <w:szCs w:val="24"/>
        </w:rPr>
      </w:pPr>
      <w:r>
        <w:rPr>
          <w:rFonts w:hint="eastAsia" w:ascii="Verdana" w:hAnsi="Verdana"/>
          <w:sz w:val="24"/>
          <w:szCs w:val="24"/>
        </w:rPr>
        <w:t xml:space="preserve">（</w:t>
      </w:r>
      <w:r>
        <w:rPr>
          <w:rFonts w:hint="eastAsia" w:ascii="Verdana" w:hAnsi="Verdana"/>
          <w:sz w:val="24"/>
          <w:szCs w:val="24"/>
        </w:rPr>
        <w:t xml:space="preserve">3</w:t>
      </w:r>
      <w:r>
        <w:rPr>
          <w:rFonts w:hint="eastAsia" w:ascii="Verdana" w:hAnsi="Verdana"/>
          <w:sz w:val="24"/>
          <w:szCs w:val="24"/>
        </w:rPr>
        <w:t xml:space="preserve">）交叉配血和发血管理</w:t>
      </w:r>
      <w:r/>
    </w:p>
    <w:p>
      <w:pPr>
        <w:ind w:firstLine="480"/>
        <w:spacing w:line="360" w:lineRule="auto"/>
        <w:rPr>
          <w:rFonts w:ascii="Verdana" w:hAnsi="Verdana"/>
          <w:sz w:val="24"/>
          <w:szCs w:val="24"/>
        </w:rPr>
      </w:pPr>
      <w:r>
        <w:rPr>
          <w:rFonts w:hint="eastAsia" w:ascii="Verdana" w:hAnsi="Verdana"/>
          <w:sz w:val="24"/>
          <w:szCs w:val="24"/>
        </w:rPr>
        <w:t xml:space="preserve">用血</w:t>
      </w:r>
      <w:r>
        <w:rPr>
          <w:rFonts w:ascii="Verdana" w:hAnsi="Verdana"/>
          <w:sz w:val="24"/>
          <w:szCs w:val="24"/>
        </w:rPr>
        <w:t xml:space="preserve">申请单</w:t>
      </w:r>
      <w:r>
        <w:rPr>
          <w:rFonts w:hint="eastAsia" w:ascii="Verdana" w:hAnsi="Verdana"/>
          <w:sz w:val="24"/>
          <w:szCs w:val="24"/>
        </w:rPr>
        <w:t xml:space="preserve">或血样送检至输血科，输血科完成交接、登记、血型和抗体筛查、血液预出库、血液费用计费。</w:t>
      </w:r>
      <w:r/>
    </w:p>
    <w:p>
      <w:pPr>
        <w:ind w:firstLine="480"/>
        <w:spacing w:line="360" w:lineRule="auto"/>
        <w:rPr>
          <w:rFonts w:ascii="Verdana" w:hAnsi="Verdana"/>
          <w:sz w:val="24"/>
          <w:szCs w:val="24"/>
        </w:rPr>
      </w:pPr>
      <w:r/>
      <w:bookmarkStart w:id="239" w:name="_Toc161416978"/>
      <w:r/>
      <w:bookmarkStart w:id="240" w:name="_Toc160992218"/>
      <w:r/>
      <w:bookmarkStart w:id="241" w:name="_Toc163479744"/>
      <w:r/>
      <w:bookmarkStart w:id="242" w:name="_Toc108535863"/>
      <w:r/>
      <w:bookmarkEnd w:id="231"/>
      <w:r/>
      <w:bookmarkEnd w:id="234"/>
      <w:r/>
      <w:bookmarkEnd w:id="235"/>
      <w:r>
        <w:rPr>
          <w:rFonts w:hint="eastAsia" w:ascii="Verdana" w:hAnsi="Verdana"/>
          <w:sz w:val="24"/>
          <w:szCs w:val="24"/>
        </w:rPr>
        <w:t xml:space="preserve">用血质量管理</w:t>
      </w:r>
      <w:bookmarkEnd w:id="239"/>
      <w:r/>
      <w:bookmarkEnd w:id="240"/>
      <w:r/>
      <w:bookmarkEnd w:id="241"/>
      <w:r/>
      <w:r/>
    </w:p>
    <w:p>
      <w:pPr>
        <w:ind w:firstLine="480"/>
        <w:spacing w:line="360" w:lineRule="auto"/>
        <w:rPr>
          <w:rFonts w:ascii="Verdana" w:hAnsi="Verdana"/>
          <w:sz w:val="24"/>
          <w:szCs w:val="24"/>
        </w:rPr>
      </w:pPr>
      <w:r>
        <w:rPr>
          <w:rFonts w:ascii="Verdana" w:hAnsi="Verdana"/>
          <w:sz w:val="24"/>
          <w:szCs w:val="24"/>
        </w:rPr>
        <w:t xml:space="preserve">支持对血库每日工作日志汇总分析。</w:t>
      </w:r>
      <w:r/>
    </w:p>
    <w:p>
      <w:pPr>
        <w:ind w:firstLine="480"/>
        <w:spacing w:line="360" w:lineRule="auto"/>
        <w:rPr>
          <w:rFonts w:ascii="Verdana" w:hAnsi="Verdana"/>
          <w:sz w:val="24"/>
          <w:szCs w:val="24"/>
        </w:rPr>
      </w:pPr>
      <w:r>
        <w:rPr>
          <w:rFonts w:ascii="Verdana" w:hAnsi="Verdana"/>
          <w:sz w:val="24"/>
          <w:szCs w:val="24"/>
        </w:rPr>
        <w:t xml:space="preserve">支持用血全流程闭环记录，对血袋或申请单各个节点</w:t>
      </w:r>
      <w:r>
        <w:rPr>
          <w:rFonts w:ascii="Verdana" w:hAnsi="Verdana"/>
          <w:sz w:val="24"/>
          <w:szCs w:val="24"/>
        </w:rPr>
        <w:t xml:space="preserve">TAT</w:t>
      </w:r>
      <w:r>
        <w:rPr>
          <w:rFonts w:ascii="Verdana" w:hAnsi="Verdana"/>
          <w:sz w:val="24"/>
          <w:szCs w:val="24"/>
        </w:rPr>
        <w:t xml:space="preserve">信息进行完整的记录和查询。</w:t>
      </w:r>
      <w:r/>
    </w:p>
    <w:p>
      <w:pPr>
        <w:ind w:firstLine="480"/>
        <w:spacing w:line="360" w:lineRule="auto"/>
        <w:rPr>
          <w:rFonts w:ascii="Verdana" w:hAnsi="Verdana"/>
          <w:sz w:val="24"/>
          <w:szCs w:val="24"/>
        </w:rPr>
      </w:pPr>
      <w:r>
        <w:rPr>
          <w:rFonts w:ascii="Verdana" w:hAnsi="Verdana"/>
          <w:sz w:val="24"/>
          <w:szCs w:val="24"/>
        </w:rPr>
        <w:t xml:space="preserve">支持临床用血质量控制指标分析，包括科室用血、成分用血、手术用血情况分析。</w:t>
      </w:r>
      <w:bookmarkEnd w:id="242"/>
      <w:r/>
    </w:p>
    <w:p>
      <w:pPr>
        <w:numPr>
          <w:ilvl w:val="2"/>
          <w:numId w:val="8"/>
        </w:numPr>
        <w:keepLines/>
        <w:keepNext/>
        <w:spacing w:line="360" w:lineRule="auto"/>
        <w:rPr>
          <w:rFonts w:ascii="等线" w:hAnsi="等线"/>
          <w:b/>
          <w:bCs/>
          <w:sz w:val="30"/>
          <w:szCs w:val="32"/>
        </w:rPr>
        <w:outlineLvl w:val="2"/>
      </w:pPr>
      <w:r>
        <w:rPr>
          <w:rFonts w:ascii="等线" w:hAnsi="等线"/>
          <w:b/>
          <w:bCs/>
          <w:sz w:val="30"/>
          <w:szCs w:val="32"/>
        </w:rPr>
        <w:t xml:space="preserve">CDSS</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系统基于规则引擎，提供集中规则定义和管理，快速实现临床决策支持应用，将医院各临床业务规则进行抽象处理，统一在系统内进行规则的部署与管理，提供可视化的规则操作交互界面。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满足如下功能参数：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要求系统能够提供智能化规则引擎，面向用户有可视化的智能规则配置界面，灵活契合医院多变的业务规则，便于维护；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要求规则的维护支持实时热部署，让业务更改不再影响生产，后台不停止运行，前台无感觉。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集成化的规则配置和管理，系统配置上要能够拆分业务流程为逻辑规则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要求此系统可以在同一个管理界面下，对全院的不同业务规则进行集中管控，实现安全、可控、易维护。这个规则管理页面可进行规则的增加，修改，删除，以及监控页面显示的自定义配置。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系统必须支持规则的细分，将规则进行拆分变量，管理规则需要运算的参数，以及参数的来源，格式等。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要求提供管理规则变量的数据来源功能。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对同一种规则模式的大批量规则，可提供规则决策表支持，可以导入外部的规则表格，快速配置与维护规则。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 对于流程复杂的规则，能够提供可视化界面进行逻辑规则编辑的管理功能。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对于系统内已形成的规则，可以导出规则的工程文件，以供其他环境中导入复用该规则。</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完成规则的配置和编辑后，通过实时的热部署机制，把规则发布到服务器。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支持规则的版本管理功能，可以对任意两个版本规则进行比较。</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定义预警规则和医疗质量指标映射关系。</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提供规则调用接口，并返回规则执行结果。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提供获取规则执行结果的接口，业务系统、工具可通过该接口获取规则执行结果。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支持根据配置读取多层级XML数据源的管理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支持规则参数按业务规则读取不同数据源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支持的业务应用维度：</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要求系统能够灵活支持医院的各类业务应用，包括医疗类与管理类预警监控。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（1）面向医疗类预警与监管应用：危急值预警应用、医院感染管理应用、传染病预警监控应用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（2）面向管理类预警与监管应用：医保精细化监管、药品精细化监管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（3）提供至少20个规则流作为医院应用参考。</w:t>
      </w:r>
      <w:r/>
    </w:p>
    <w:p>
      <w:pPr>
        <w:numPr>
          <w:ilvl w:val="2"/>
          <w:numId w:val="8"/>
        </w:numPr>
        <w:keepLines/>
        <w:keepNext/>
        <w:spacing w:line="360" w:lineRule="auto"/>
        <w:rPr>
          <w:rFonts w:ascii="等线" w:hAnsi="等线"/>
          <w:b/>
          <w:bCs/>
          <w:sz w:val="30"/>
          <w:szCs w:val="32"/>
        </w:rPr>
        <w:outlineLvl w:val="2"/>
      </w:pPr>
      <w:r>
        <w:rPr>
          <w:rFonts w:ascii="等线" w:hAnsi="等线"/>
          <w:b/>
          <w:bCs/>
          <w:sz w:val="30"/>
          <w:szCs w:val="32"/>
        </w:rPr>
        <w:t xml:space="preserve">CA</w:t>
      </w:r>
      <w:r>
        <w:rPr>
          <w:rFonts w:ascii="等线" w:hAnsi="等线"/>
          <w:b/>
          <w:bCs/>
          <w:sz w:val="30"/>
          <w:szCs w:val="32"/>
        </w:rPr>
        <w:t xml:space="preserve">认证系统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医护人员电子签名证书服务 </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ab/>
        <w:t xml:space="preserve">采用第三方电子认证机构颁发X509 v3的数字证书提供电子签名服务，电子签名服务机构需要取得工信部的《电子认证服务许可证》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szCs w:val="22"/>
        </w:rPr>
        <w:tab/>
        <w:t xml:space="preserve">支持算法：支持RSA1024、RSA2048、SM2</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szCs w:val="22"/>
        </w:rPr>
        <w:tab/>
        <w:t xml:space="preserve">证书介质：移动终端作为认证与签名设备，利用终端与云服务的互动，实现应用的云认证与签名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ab/>
        <w:t xml:space="preserve">密钥管理服务：提供密钥管理云服务，支持密钥由移动终端和云认证服务协商产生。提供密钥生成、存储、销毁、归档、统计产销等功能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tab/>
        <w:t xml:space="preserve">实现证书在线更新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6</w:t>
      </w:r>
      <w:r>
        <w:rPr>
          <w:rFonts w:hint="eastAsia" w:ascii="宋体" w:hAnsi="宋体" w:cs="宋体"/>
          <w:sz w:val="24"/>
          <w:szCs w:val="22"/>
        </w:rPr>
        <w:tab/>
        <w:t xml:space="preserve">提供云电子签名服务，同时能满足数据的批量签名服务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7</w:t>
      </w:r>
      <w:r>
        <w:rPr>
          <w:rFonts w:hint="eastAsia" w:ascii="宋体" w:hAnsi="宋体" w:cs="宋体"/>
          <w:sz w:val="24"/>
          <w:szCs w:val="22"/>
        </w:rPr>
        <w:tab/>
        <w:t xml:space="preserve">提供电子签名PIN码记忆功能，并可配置记忆免PIN码时间的服务。同时可以关闭记忆PIN码的功能。</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全院级医学影像系统</w:t>
      </w:r>
      <w:r>
        <w:rPr>
          <w:rFonts w:ascii="等线" w:hAnsi="等线"/>
          <w:b/>
          <w:bCs/>
          <w:sz w:val="30"/>
          <w:szCs w:val="32"/>
        </w:rPr>
        <w:t xml:space="preserve">(PACS)</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DICOM影像接收</w:t>
      </w:r>
      <w:r>
        <w:rPr>
          <w:rFonts w:hint="eastAsia" w:ascii="宋体" w:hAnsi="宋体" w:cs="宋体"/>
          <w:sz w:val="24"/>
          <w:szCs w:val="22"/>
        </w:rPr>
        <w:tab/>
        <w:t xml:space="preserve">影像接收、存储</w:t>
      </w:r>
      <w:r>
        <w:rPr>
          <w:rFonts w:hint="eastAsia" w:ascii="宋体" w:hAnsi="宋体" w:cs="宋体"/>
          <w:sz w:val="24"/>
          <w:szCs w:val="22"/>
        </w:rPr>
        <w:tab/>
        <w:t xml:space="preserve">使用DICOM协议与标准DICOM影像检查设备连接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支持非标准DICOM设备影像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并发性支持</w:t>
      </w:r>
      <w:r>
        <w:rPr>
          <w:rFonts w:hint="eastAsia" w:ascii="宋体" w:hAnsi="宋体" w:cs="宋体"/>
          <w:sz w:val="24"/>
          <w:szCs w:val="22"/>
        </w:rPr>
        <w:tab/>
        <w:t xml:space="preserve">支持多线程接收影像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压缩</w:t>
      </w:r>
      <w:r>
        <w:rPr>
          <w:rFonts w:hint="eastAsia" w:ascii="宋体" w:hAnsi="宋体" w:cs="宋体"/>
          <w:sz w:val="24"/>
          <w:szCs w:val="22"/>
        </w:rPr>
        <w:tab/>
        <w:t xml:space="preserve">无损压缩</w:t>
      </w:r>
      <w:r>
        <w:rPr>
          <w:rFonts w:hint="eastAsia" w:ascii="宋体" w:hAnsi="宋体" w:cs="宋体"/>
          <w:sz w:val="24"/>
          <w:szCs w:val="22"/>
        </w:rPr>
        <w:tab/>
        <w:t xml:space="preserve">DICOM JPEG无损压缩</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接收能力</w:t>
      </w:r>
      <w:r>
        <w:rPr>
          <w:rFonts w:hint="eastAsia" w:ascii="宋体" w:hAnsi="宋体" w:cs="宋体"/>
          <w:sz w:val="24"/>
          <w:szCs w:val="22"/>
        </w:rPr>
        <w:tab/>
        <w:t xml:space="preserve">压缩和非压缩的DICOM图像接收能力数据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DICOM 影像查询与调阅</w:t>
      </w:r>
      <w:r>
        <w:rPr>
          <w:rFonts w:hint="eastAsia" w:ascii="宋体" w:hAnsi="宋体" w:cs="宋体"/>
          <w:sz w:val="24"/>
          <w:szCs w:val="22"/>
        </w:rPr>
        <w:tab/>
        <w:t xml:space="preserve">Storage Query/Retrieve</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SCP</w:t>
      </w:r>
      <w:r>
        <w:rPr>
          <w:rFonts w:hint="eastAsia" w:ascii="宋体" w:hAnsi="宋体" w:cs="宋体"/>
          <w:sz w:val="24"/>
          <w:szCs w:val="22"/>
        </w:rPr>
        <w:tab/>
        <w:t xml:space="preserve">使用DICOM协议向支持DICOM相同协议的影像检查设备提供影像查询与回送服务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查询层次</w:t>
      </w:r>
      <w:r>
        <w:rPr>
          <w:rFonts w:hint="eastAsia" w:ascii="宋体" w:hAnsi="宋体" w:cs="宋体"/>
          <w:sz w:val="24"/>
          <w:szCs w:val="22"/>
        </w:rPr>
        <w:tab/>
        <w:t xml:space="preserve">支持Patient、Study等多级查询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并发性能</w:t>
      </w:r>
      <w:r>
        <w:rPr>
          <w:rFonts w:hint="eastAsia" w:ascii="宋体" w:hAnsi="宋体" w:cs="宋体"/>
          <w:sz w:val="24"/>
          <w:szCs w:val="22"/>
        </w:rPr>
        <w:tab/>
        <w:t xml:space="preserve">支持多线程访问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DICOM PDI</w:t>
      </w:r>
      <w:r>
        <w:rPr>
          <w:rFonts w:hint="eastAsia" w:ascii="宋体" w:hAnsi="宋体" w:cs="宋体"/>
          <w:sz w:val="24"/>
          <w:szCs w:val="22"/>
        </w:rPr>
        <w:tab/>
        <w:t xml:space="preserve">PDI输出</w:t>
      </w:r>
      <w:r>
        <w:rPr>
          <w:rFonts w:hint="eastAsia" w:ascii="宋体" w:hAnsi="宋体" w:cs="宋体"/>
          <w:sz w:val="24"/>
          <w:szCs w:val="22"/>
        </w:rPr>
        <w:tab/>
        <w:t xml:space="preserve">支持DICOM PDI协议的输出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日志</w:t>
      </w:r>
      <w:r>
        <w:rPr>
          <w:rFonts w:hint="eastAsia" w:ascii="宋体" w:hAnsi="宋体" w:cs="宋体"/>
          <w:sz w:val="24"/>
          <w:szCs w:val="22"/>
        </w:rPr>
        <w:tab/>
        <w:t xml:space="preserve">运行日志</w:t>
      </w:r>
      <w:r>
        <w:rPr>
          <w:rFonts w:hint="eastAsia" w:ascii="宋体" w:hAnsi="宋体" w:cs="宋体"/>
          <w:sz w:val="24"/>
          <w:szCs w:val="22"/>
        </w:rPr>
        <w:tab/>
        <w:t xml:space="preserve">对于PACS的重要访问均将留有日志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影像管理</w:t>
      </w:r>
      <w:r>
        <w:rPr>
          <w:rFonts w:hint="eastAsia" w:ascii="宋体" w:hAnsi="宋体" w:cs="宋体"/>
          <w:sz w:val="24"/>
          <w:szCs w:val="22"/>
        </w:rPr>
        <w:tab/>
        <w:t xml:space="preserve">关联修正模块</w:t>
      </w:r>
      <w:r>
        <w:rPr>
          <w:rFonts w:hint="eastAsia" w:ascii="宋体" w:hAnsi="宋体" w:cs="宋体"/>
          <w:sz w:val="24"/>
          <w:szCs w:val="22"/>
        </w:rPr>
        <w:tab/>
        <w:t xml:space="preserve">可对不同患者、不同检查进行手动关联</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原始数据读入模块</w:t>
      </w:r>
      <w:r>
        <w:rPr>
          <w:rFonts w:hint="eastAsia" w:ascii="宋体" w:hAnsi="宋体" w:cs="宋体"/>
          <w:sz w:val="24"/>
          <w:szCs w:val="22"/>
        </w:rPr>
        <w:tab/>
        <w:t xml:space="preserve">可导入DICOM影像数据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影像维护</w:t>
      </w:r>
      <w:r>
        <w:rPr>
          <w:rFonts w:hint="eastAsia" w:ascii="宋体" w:hAnsi="宋体" w:cs="宋体"/>
          <w:sz w:val="24"/>
          <w:szCs w:val="22"/>
        </w:rPr>
        <w:tab/>
        <w:t xml:space="preserve">支持URL Link语法 </w:t>
      </w:r>
      <w:r>
        <w:rPr>
          <w:rFonts w:hint="eastAsia" w:ascii="宋体" w:hAnsi="宋体" w:cs="宋体"/>
          <w:sz w:val="24"/>
          <w:szCs w:val="22"/>
        </w:rPr>
        <w:tab/>
        <w:t xml:space="preserve">支持手动配置外部URL连接系统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PDI Viewer工具</w:t>
      </w:r>
      <w:r>
        <w:rPr>
          <w:rFonts w:hint="eastAsia" w:ascii="宋体" w:hAnsi="宋体" w:cs="宋体"/>
          <w:sz w:val="24"/>
          <w:szCs w:val="22"/>
        </w:rPr>
        <w:tab/>
        <w:t xml:space="preserve">可以查看PDI数据，并支持简单的图像处理功能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系统监视工具</w:t>
      </w:r>
      <w:r>
        <w:rPr>
          <w:rFonts w:hint="eastAsia" w:ascii="宋体" w:hAnsi="宋体" w:cs="宋体"/>
          <w:sz w:val="24"/>
          <w:szCs w:val="22"/>
        </w:rPr>
        <w:tab/>
        <w:t xml:space="preserve">确认服务器的运转情况和用户的连接情况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系统维护工具</w:t>
      </w:r>
      <w:r>
        <w:rPr>
          <w:rFonts w:hint="eastAsia" w:ascii="宋体" w:hAnsi="宋体" w:cs="宋体"/>
          <w:sz w:val="24"/>
          <w:szCs w:val="22"/>
        </w:rPr>
        <w:tab/>
        <w:t xml:space="preserve">进行PACS系统基本设置工具</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影像读取</w:t>
      </w:r>
      <w:r>
        <w:rPr>
          <w:rFonts w:hint="eastAsia" w:ascii="宋体" w:hAnsi="宋体" w:cs="宋体"/>
          <w:sz w:val="24"/>
          <w:szCs w:val="22"/>
        </w:rPr>
        <w:tab/>
        <w:t xml:space="preserve">查询影像数据库</w:t>
      </w:r>
      <w:r>
        <w:rPr>
          <w:rFonts w:hint="eastAsia" w:ascii="宋体" w:hAnsi="宋体" w:cs="宋体"/>
          <w:sz w:val="24"/>
          <w:szCs w:val="22"/>
        </w:rPr>
        <w:tab/>
        <w:t xml:space="preserve">通过PACS数据库查询已存贮于影像服务器的影像。查询条件可以是姓名、检查日期、医嘱号等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查询条件</w:t>
      </w:r>
      <w:r>
        <w:rPr>
          <w:rFonts w:hint="eastAsia" w:ascii="宋体" w:hAnsi="宋体" w:cs="宋体"/>
          <w:sz w:val="24"/>
          <w:szCs w:val="22"/>
        </w:rPr>
        <w:tab/>
        <w:t xml:space="preserve">动态自由设置查询条件，查询结果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结果排序</w:t>
      </w:r>
      <w:r>
        <w:rPr>
          <w:rFonts w:hint="eastAsia" w:ascii="宋体" w:hAnsi="宋体" w:cs="宋体"/>
          <w:sz w:val="24"/>
          <w:szCs w:val="22"/>
        </w:rPr>
        <w:tab/>
        <w:t xml:space="preserve">可自定义检查结果的排序方式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支持的影像类型</w:t>
      </w:r>
      <w:r>
        <w:rPr>
          <w:rFonts w:hint="eastAsia" w:ascii="宋体" w:hAnsi="宋体" w:cs="宋体"/>
          <w:sz w:val="24"/>
          <w:szCs w:val="22"/>
        </w:rPr>
        <w:tab/>
        <w:t xml:space="preserve">可以支持各类主要的医学影像类型。主要包括:CR、DR、DSA、CT、MRI、RF、显微镜等DICOM标准格式影像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影像文件格式</w:t>
      </w:r>
      <w:r>
        <w:rPr>
          <w:rFonts w:hint="eastAsia" w:ascii="宋体" w:hAnsi="宋体" w:cs="宋体"/>
          <w:sz w:val="24"/>
          <w:szCs w:val="22"/>
        </w:rPr>
        <w:tab/>
        <w:t xml:space="preserve">除了支持标准DICOM影像格式外，还支持JPG、BMP等通用影像格式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动态(多幅)图像</w:t>
      </w:r>
      <w:r>
        <w:rPr>
          <w:rFonts w:hint="eastAsia" w:ascii="宋体" w:hAnsi="宋体" w:cs="宋体"/>
          <w:sz w:val="24"/>
          <w:szCs w:val="22"/>
        </w:rPr>
        <w:tab/>
        <w:t xml:space="preserve">可打开并播放DICOM多幅影像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影像布局</w:t>
      </w:r>
      <w:r>
        <w:rPr>
          <w:rFonts w:hint="eastAsia" w:ascii="宋体" w:hAnsi="宋体" w:cs="宋体"/>
          <w:sz w:val="24"/>
          <w:szCs w:val="22"/>
        </w:rPr>
        <w:tab/>
        <w:t xml:space="preserve">影像分格显示</w:t>
      </w:r>
      <w:r>
        <w:rPr>
          <w:rFonts w:hint="eastAsia" w:ascii="宋体" w:hAnsi="宋体" w:cs="宋体"/>
          <w:sz w:val="24"/>
          <w:szCs w:val="22"/>
        </w:rPr>
        <w:tab/>
        <w:t xml:space="preserve">以1X1、1X2、2X2、2X3、3X3等方式及自定义分格数一屏显示多幅影像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影像缩略图显示</w:t>
      </w:r>
      <w:r>
        <w:rPr>
          <w:rFonts w:hint="eastAsia" w:ascii="宋体" w:hAnsi="宋体" w:cs="宋体"/>
          <w:sz w:val="24"/>
          <w:szCs w:val="22"/>
        </w:rPr>
        <w:tab/>
        <w:t xml:space="preserve">可以显示影像序列的缩略图</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多屏模式</w:t>
      </w:r>
      <w:r>
        <w:rPr>
          <w:rFonts w:hint="eastAsia" w:ascii="宋体" w:hAnsi="宋体" w:cs="宋体"/>
          <w:sz w:val="24"/>
          <w:szCs w:val="22"/>
        </w:rPr>
        <w:tab/>
        <w:t xml:space="preserve">支持两个以上显示器同时显示不同序列或检查的影像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对比模式</w:t>
      </w:r>
      <w:r>
        <w:rPr>
          <w:rFonts w:hint="eastAsia" w:ascii="宋体" w:hAnsi="宋体" w:cs="宋体"/>
          <w:sz w:val="24"/>
          <w:szCs w:val="22"/>
        </w:rPr>
        <w:tab/>
        <w:t xml:space="preserve">可以左右分屏显示对比同时也可互相操作而不相互影响</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堆叠模式</w:t>
      </w:r>
      <w:r>
        <w:rPr>
          <w:rFonts w:hint="eastAsia" w:ascii="宋体" w:hAnsi="宋体" w:cs="宋体"/>
          <w:sz w:val="24"/>
          <w:szCs w:val="22"/>
        </w:rPr>
        <w:tab/>
        <w:t xml:space="preserve">可以将多幅影像堆叠在一个分格内循环显示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显示翻页</w:t>
      </w:r>
      <w:r>
        <w:rPr>
          <w:rFonts w:hint="eastAsia" w:ascii="宋体" w:hAnsi="宋体" w:cs="宋体"/>
          <w:sz w:val="24"/>
          <w:szCs w:val="22"/>
        </w:rPr>
        <w:tab/>
        <w:t xml:space="preserve">在一同屏显示不下的影像可以鼠标滚轴翻页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影像显示调节</w:t>
      </w:r>
      <w:r>
        <w:rPr>
          <w:rFonts w:hint="eastAsia" w:ascii="宋体" w:hAnsi="宋体" w:cs="宋体"/>
          <w:sz w:val="24"/>
          <w:szCs w:val="22"/>
        </w:rPr>
        <w:tab/>
        <w:t xml:space="preserve">真实大小显示</w:t>
      </w:r>
      <w:r>
        <w:rPr>
          <w:rFonts w:hint="eastAsia" w:ascii="宋体" w:hAnsi="宋体" w:cs="宋体"/>
          <w:sz w:val="24"/>
          <w:szCs w:val="22"/>
        </w:rPr>
        <w:tab/>
        <w:t xml:space="preserve">在显示器上以人体真实大小显示影像</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调整窗宽、窗位</w:t>
      </w:r>
      <w:r>
        <w:rPr>
          <w:rFonts w:hint="eastAsia" w:ascii="宋体" w:hAnsi="宋体" w:cs="宋体"/>
          <w:sz w:val="24"/>
          <w:szCs w:val="22"/>
        </w:rPr>
        <w:tab/>
        <w:t xml:space="preserve">可选择预设的常用窗宽、窗位值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默认调窗</w:t>
      </w:r>
      <w:r>
        <w:rPr>
          <w:rFonts w:hint="eastAsia" w:ascii="宋体" w:hAnsi="宋体" w:cs="宋体"/>
          <w:sz w:val="24"/>
          <w:szCs w:val="22"/>
        </w:rPr>
        <w:tab/>
        <w:t xml:space="preserve">窗宽窗位值可以按照用户、设备、特定部位来缺省定义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用户自定义调窗</w:t>
      </w:r>
      <w:r>
        <w:rPr>
          <w:rFonts w:hint="eastAsia" w:ascii="宋体" w:hAnsi="宋体" w:cs="宋体"/>
          <w:sz w:val="24"/>
          <w:szCs w:val="22"/>
        </w:rPr>
        <w:tab/>
        <w:t xml:space="preserve">每个用户均可设定自己习惯的窗宽窗位值</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ROI处理</w:t>
      </w:r>
      <w:r>
        <w:rPr>
          <w:rFonts w:hint="eastAsia" w:ascii="宋体" w:hAnsi="宋体" w:cs="宋体"/>
          <w:sz w:val="24"/>
          <w:szCs w:val="22"/>
        </w:rPr>
        <w:tab/>
        <w:t xml:space="preserve">支持图像的感兴趣区域（ROI）的灰度反转处理，ROI放大功能</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应用到所有影像</w:t>
      </w:r>
      <w:r>
        <w:rPr>
          <w:rFonts w:hint="eastAsia" w:ascii="宋体" w:hAnsi="宋体" w:cs="宋体"/>
          <w:sz w:val="24"/>
          <w:szCs w:val="22"/>
        </w:rPr>
        <w:tab/>
        <w:t xml:space="preserve">对一幅影像所做的调节，可直接应用到其它所有影像</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移动护理、护理管理</w:t>
      </w:r>
      <w:r/>
    </w:p>
    <w:p>
      <w:pPr>
        <w:numPr>
          <w:ilvl w:val="3"/>
          <w:numId w:val="8"/>
        </w:numPr>
        <w:keepLines/>
        <w:keepNext/>
        <w:spacing w:line="360" w:lineRule="auto"/>
        <w:rPr>
          <w:rFonts w:ascii="宋体" w:hAnsi="宋体"/>
          <w:b/>
          <w:bCs/>
          <w:sz w:val="24"/>
          <w:szCs w:val="24"/>
        </w:rPr>
        <w:outlineLvl w:val="3"/>
      </w:pPr>
      <w:r>
        <w:rPr>
          <w:rFonts w:hint="eastAsia" w:ascii="宋体" w:hAnsi="宋体"/>
          <w:b/>
          <w:bCs/>
          <w:sz w:val="24"/>
          <w:szCs w:val="24"/>
        </w:rPr>
        <w:t xml:space="preserve">移动护理信息系统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显示病区患者列表，包括：床号、姓名、性别、年龄、护理级别、危重、过敏史及交费情况等，显示项目可灵活配置。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对于护理级别、过敏史、病危病重、高危患者，以及欠费、手术、输血等状态区分颜色高亮显示。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患者临床信息</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提供查询患者的医嘱信息，支持按医嘱状态筛选，支持按医嘱类型筛选。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提供查询患者检验报告，对于多次申请的检验项目，支持其结果的趋势分析。</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提供查询患者的检查报告(仅支持报告的文字部分)。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提供预览患者的变更医嘱，方面护士及时了解医嘱的变化情况。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支持新医嘱、变更医嘱的消息提醒。</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标本采集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提供在床边完成检验标本、用血标本及病理标本的采集工作。</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支持对于因故未能成功采集的申请项目，系统提供了字典说明、以便方便选择，(字典信息包括诸如未禁食、患者不配合、患者外出、标本量太少等)。</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支持扫描试管条码的自动跳转。</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支持扫描当前项目后的高亮显示。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支持重复扫描后的异常报警提示。</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药品医嘱执行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药品接收、病区配药登记</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医嘱执行</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功能条码医嘱执行、多通路输液执行、皮试医嘱执行、输液巡视、诊疗医嘱执行、护理文书采集、体征信息采集、护理巡房。</w:t>
      </w:r>
      <w:r/>
    </w:p>
    <w:p>
      <w:pPr>
        <w:numPr>
          <w:ilvl w:val="3"/>
          <w:numId w:val="8"/>
        </w:numPr>
        <w:keepLines/>
        <w:keepNext/>
        <w:spacing w:line="360" w:lineRule="auto"/>
        <w:rPr>
          <w:rFonts w:ascii="宋体" w:hAnsi="宋体"/>
          <w:b/>
          <w:bCs/>
          <w:sz w:val="24"/>
          <w:szCs w:val="24"/>
        </w:rPr>
        <w:outlineLvl w:val="3"/>
      </w:pPr>
      <w:r>
        <w:rPr>
          <w:rFonts w:hint="eastAsia" w:ascii="宋体" w:hAnsi="宋体"/>
          <w:b/>
          <w:bCs/>
          <w:sz w:val="24"/>
          <w:szCs w:val="24"/>
        </w:rPr>
        <w:t xml:space="preserve">护理管理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护</w:t>
      </w:r>
      <w:r>
        <w:rPr>
          <w:rFonts w:ascii="宋体" w:hAnsi="宋体" w:cs="宋体"/>
          <w:sz w:val="24"/>
          <w:szCs w:val="22"/>
        </w:rPr>
        <w:t xml:space="preserve">理部行政管理系统主要是为护理部管理而建设的系统。医院的护理人员都由护理部统一管理。</w:t>
      </w:r>
      <w:r/>
    </w:p>
    <w:p>
      <w:pPr>
        <w:ind w:firstLine="480"/>
        <w:jc w:val="left"/>
        <w:spacing w:line="360" w:lineRule="auto"/>
        <w:widowControl/>
        <w:rPr>
          <w:rFonts w:ascii="宋体" w:hAnsi="宋体" w:cs="宋体"/>
          <w:sz w:val="24"/>
          <w:szCs w:val="22"/>
        </w:rPr>
      </w:pPr>
      <w:r/>
      <w:bookmarkStart w:id="243" w:name="_Toc262128809"/>
      <w:r>
        <w:rPr>
          <w:rFonts w:ascii="宋体" w:hAnsi="宋体" w:cs="宋体"/>
          <w:sz w:val="24"/>
          <w:szCs w:val="22"/>
        </w:rPr>
        <w:t xml:space="preserve">人事管理</w:t>
      </w:r>
      <w:bookmarkEnd w:id="243"/>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人员信息：登记护理人员的基本信息。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护士信息：登记该人员从事护理工作岗位时需要记录的信息。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职工信息：登记护理人员在医院的人事变动上的信息。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学历学位：登记护理人员学历学位的变化过程明细。</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科室轮转：登记护士在病区轮转的信息。</w:t>
      </w:r>
      <w:r/>
    </w:p>
    <w:p>
      <w:pPr>
        <w:ind w:firstLine="480"/>
        <w:jc w:val="left"/>
        <w:spacing w:line="360" w:lineRule="auto"/>
        <w:widowControl/>
        <w:rPr>
          <w:rFonts w:ascii="宋体" w:hAnsi="宋体" w:cs="宋体"/>
          <w:sz w:val="24"/>
          <w:szCs w:val="22"/>
        </w:rPr>
      </w:pPr>
      <w:r/>
      <w:bookmarkStart w:id="244" w:name="_Toc262128810"/>
      <w:r>
        <w:rPr>
          <w:rFonts w:ascii="宋体" w:hAnsi="宋体" w:cs="宋体"/>
          <w:sz w:val="24"/>
          <w:szCs w:val="22"/>
        </w:rPr>
        <w:t xml:space="preserve">质量管理</w:t>
      </w:r>
      <w:bookmarkEnd w:id="244"/>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质量考核记录：建立多级护理质量考核指标</w:t>
      </w:r>
      <w:r>
        <w:rPr>
          <w:rFonts w:hint="eastAsia" w:ascii="宋体" w:hAnsi="宋体" w:cs="宋体"/>
          <w:sz w:val="24"/>
          <w:szCs w:val="22"/>
        </w:rPr>
        <w:t xml:space="preserve">。</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褥疮登记：接收、查询、登记、维护病人的褥疮登记及观察信息。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护理差错登记：接收、查询、登记、维护各种不良事件、护理事故、护理差错信息。</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查房记录：以评分项目的方式制定各类查房记录内容。查房类型可自由定义。</w:t>
      </w:r>
      <w:r/>
    </w:p>
    <w:p>
      <w:pPr>
        <w:ind w:firstLine="480"/>
        <w:jc w:val="left"/>
        <w:spacing w:line="360" w:lineRule="auto"/>
        <w:widowControl/>
        <w:rPr>
          <w:rFonts w:ascii="宋体" w:hAnsi="宋体" w:cs="宋体"/>
          <w:sz w:val="24"/>
          <w:szCs w:val="22"/>
        </w:rPr>
      </w:pPr>
      <w:r/>
      <w:bookmarkStart w:id="245" w:name="_Toc262128811"/>
      <w:r>
        <w:rPr>
          <w:rFonts w:ascii="宋体" w:hAnsi="宋体" w:cs="宋体"/>
          <w:sz w:val="24"/>
          <w:szCs w:val="22"/>
        </w:rPr>
        <w:t xml:space="preserve">病区事务管理</w:t>
      </w:r>
      <w:bookmarkEnd w:id="245"/>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护理工作计划：制定全院级或各病区护理工作计划。</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工作小结：记录各科室病区相关人员的工作小结。</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工作量统计：病区将每天的护理工作量进行汇总上报给护理部。</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排班查询：通过选择时间、科室、病区，查看指定科室病区的护士排班情况。</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会议记录：登记查看护理工作的各种会议记录。</w:t>
      </w:r>
      <w:r/>
    </w:p>
    <w:p>
      <w:pPr>
        <w:ind w:firstLine="480"/>
        <w:jc w:val="left"/>
        <w:spacing w:line="360" w:lineRule="auto"/>
        <w:widowControl/>
        <w:rPr>
          <w:rFonts w:ascii="宋体" w:hAnsi="宋体" w:cs="宋体"/>
          <w:sz w:val="24"/>
          <w:szCs w:val="22"/>
        </w:rPr>
      </w:pPr>
      <w:r/>
      <w:bookmarkStart w:id="246" w:name="_Toc262128812"/>
      <w:r>
        <w:rPr>
          <w:rFonts w:ascii="宋体" w:hAnsi="宋体" w:cs="宋体"/>
          <w:sz w:val="24"/>
          <w:szCs w:val="22"/>
        </w:rPr>
        <w:t xml:space="preserve">教育管理</w:t>
      </w:r>
      <w:bookmarkEnd w:id="246"/>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代教记录查询：实时查询实习学生和见习生在各病区的分布情况及代教老师。</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业务考核查询：业务考核记录由病区完成，护理部进行查询。</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业务学习记录：如果业务学习是由护理部组织的，则由护理部进行登记。</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授课记录：记录老师的讲课过程。</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双向评价：记录代教老师对学生的总体评价及学生对代教老师的评价。</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医务管理系统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务科管理系统帮助医务科处理日常管理工作，可以有效地控制医疗服务各环节的质量水平，提高医院的核心竞争力。同时，使医务科从以往大量的手工劳动中解脱出来，提高工作效率，减少人为差错，全力投入到本职工作中去。</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日常工作：质量检查、反馈登记、缺陷管理。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质量考核：考核业务、确认考核、取消考核。</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档案管理：医务档案管理、医疗纠纷管理。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审批管理：特殊药品/检查审批、新业务审批（包括：新技术、新项目、新设备）。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权限管理：手术权限、处方权限、药品等级权限管理。</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监控管理：病历监控、危重监控。</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报表统计：考核信息统计、综合报表。</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查询：考核信息查询。</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字典维护：质控项目字典维护、文档管理维护、基本字典维护。</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系统维护：用户管理、系统初始化。</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康复治疗系统</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康复师排班模块</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如果康复师请假未能出勤等则相关时间片段置为不可预约，已经预约患者则不允许再更改状态。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由相关人员统一管理排班，康复师可以自行修改不可预约状态。</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预约排班模版</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排班系统为合理安排患者治疗时间及优化院内各种资源利用率。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一个患者同一项目只能对应一个康复师或者一个设备；</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同一设备在同一时间段只能对应一个患者；</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住院医嘱排班医嘱问题</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长期医嘱排班方式：排班系统把住院医嘱取过来可以按照医嘱分类自由组合形成排班项目。比如当前时间段排班为中医，默认显示出当前患者中医对应的所有待排医嘱，可以勾选多个中医医嘱同时排到此时间段。</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长期医嘱排班规则：结束时间不选择时，默认排N天，N天可以配置，只需护士手动排第一天，点击复制功能可以将当前排班复制到未来N天。同时每天定时系统自动生成后一天数据</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住院临时医嘱直接由排班护士按照完成次数排当前医嘱。</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科研管理系统</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1</w:t>
      </w:r>
      <w:r>
        <w:rPr>
          <w:rFonts w:hint="eastAsia" w:ascii="宋体" w:hAnsi="宋体" w:cs="宋体"/>
          <w:sz w:val="24"/>
          <w:szCs w:val="22"/>
        </w:rPr>
        <w:t xml:space="preserve">、</w:t>
      </w:r>
      <w:r>
        <w:rPr>
          <w:rFonts w:ascii="宋体" w:hAnsi="宋体" w:cs="宋体"/>
          <w:sz w:val="24"/>
          <w:szCs w:val="22"/>
        </w:rPr>
        <w:t xml:space="preserve">教学管理系统</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实习生可以创建账号登录系统，登记轮转时间和科室带教老师，并且能对带教老师进行评价。</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学生个人档案能够查阅，历次考试成绩都能记录在册。社会人员可以通过登录系统申请进修。</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2、科研管理系统</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职工发表论文或获奖情况可以自己登记在个人档案里，年终和季度末可以汇总查看。论文和获奖情况登记能选择级别，国际，国家级，省级，市级。</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3、伦理管理系统</w:t>
      </w:r>
      <w:r/>
    </w:p>
    <w:p>
      <w:pPr>
        <w:ind w:firstLine="480"/>
        <w:jc w:val="left"/>
        <w:spacing w:line="360" w:lineRule="auto"/>
        <w:widowControl/>
        <w:rPr>
          <w:rFonts w:ascii="宋体" w:hAnsi="宋体" w:cs="宋体"/>
          <w:sz w:val="24"/>
          <w:szCs w:val="22"/>
        </w:rPr>
      </w:pPr>
      <w:r>
        <w:rPr>
          <w:rFonts w:ascii="宋体" w:hAnsi="宋体" w:cs="宋体"/>
          <w:sz w:val="24"/>
          <w:szCs w:val="22"/>
        </w:rPr>
        <w:t xml:space="preserve">可以申请伦理审查，并且能够在线回复，可以上传文件。</w:t>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统一支付平台</w:t>
      </w:r>
      <w:r/>
    </w:p>
    <w:p>
      <w:pPr>
        <w:ind w:firstLine="480"/>
        <w:spacing w:line="360" w:lineRule="auto"/>
        <w:rPr>
          <w:rFonts w:ascii="宋体" w:hAnsi="宋体"/>
          <w:sz w:val="24"/>
          <w:szCs w:val="24"/>
          <w:lang w:val="zh-CN"/>
        </w:rPr>
      </w:pPr>
      <w:r>
        <w:rPr>
          <w:rFonts w:ascii="宋体" w:hAnsi="宋体"/>
          <w:sz w:val="24"/>
          <w:szCs w:val="24"/>
        </w:rPr>
        <w:t xml:space="preserve">聚合</w:t>
      </w:r>
      <w:r>
        <w:rPr>
          <w:rFonts w:ascii="宋体" w:hAnsi="宋体"/>
          <w:sz w:val="24"/>
          <w:szCs w:val="24"/>
          <w:lang w:val="zh-CN"/>
        </w:rPr>
        <w:t xml:space="preserve">支付平台集成线上移动支付、线下移动支付（当面付、扫码付）、互联网网页支付等多应用模式于一体，接通支付宝支付、微信支付、银联卡支付3大支付渠道，以全新的支付系统理念服务医疗领域。</w:t>
      </w:r>
      <w:r/>
    </w:p>
    <w:p>
      <w:pPr>
        <w:ind w:firstLine="480"/>
        <w:spacing w:line="360" w:lineRule="auto"/>
        <w:rPr>
          <w:rFonts w:ascii="宋体" w:hAnsi="宋体"/>
          <w:sz w:val="24"/>
          <w:szCs w:val="24"/>
          <w:lang w:val="zh-CN"/>
        </w:rPr>
      </w:pPr>
      <w:r>
        <w:rPr>
          <w:rFonts w:ascii="宋体" w:hAnsi="宋体"/>
          <w:sz w:val="24"/>
          <w:szCs w:val="24"/>
          <w:lang w:val="zh-CN"/>
        </w:rPr>
        <w:t xml:space="preserve">平台统一接入微信、支付宝、银联、各银行、医保、商保等支付方式，为预约挂号缴费、诊间支付、住院费缴费等提供聚合支付、统一对账、统一客服等服务。</w:t>
      </w:r>
      <w:r/>
    </w:p>
    <w:p>
      <w:pPr>
        <w:ind w:firstLine="480"/>
        <w:spacing w:line="360" w:lineRule="auto"/>
        <w:rPr>
          <w:rFonts w:ascii="宋体" w:hAnsi="宋体"/>
          <w:sz w:val="24"/>
          <w:szCs w:val="24"/>
        </w:rPr>
      </w:pPr>
      <w:r>
        <w:rPr>
          <w:rFonts w:ascii="宋体" w:hAnsi="宋体"/>
          <w:sz w:val="24"/>
          <w:szCs w:val="24"/>
          <w:lang w:val="zh-CN"/>
        </w:rPr>
        <w:t xml:space="preserve">系统主要功能</w:t>
      </w:r>
      <w:r>
        <w:rPr>
          <w:rFonts w:hint="eastAsia" w:ascii="宋体" w:hAnsi="宋体"/>
          <w:sz w:val="24"/>
          <w:szCs w:val="24"/>
          <w:lang w:val="zh-CN"/>
        </w:rPr>
        <w:t xml:space="preserve">应</w:t>
      </w:r>
      <w:r>
        <w:rPr>
          <w:rFonts w:ascii="宋体" w:hAnsi="宋体"/>
          <w:sz w:val="24"/>
          <w:szCs w:val="24"/>
          <w:lang w:val="zh-CN"/>
        </w:rPr>
        <w:t xml:space="preserve">包括：</w:t>
      </w:r>
      <w:r/>
    </w:p>
    <w:p>
      <w:pPr>
        <w:spacing w:line="360" w:lineRule="auto"/>
        <w:rPr>
          <w:rFonts w:ascii="宋体" w:hAnsi="宋体"/>
          <w:b/>
          <w:bCs/>
          <w:sz w:val="24"/>
          <w:szCs w:val="24"/>
        </w:rPr>
      </w:pPr>
      <w:r/>
      <w:bookmarkStart w:id="247" w:name="_Toc517347549"/>
      <w:r>
        <w:rPr>
          <w:rFonts w:ascii="宋体" w:hAnsi="宋体"/>
          <w:b/>
          <w:bCs/>
          <w:sz w:val="24"/>
          <w:szCs w:val="24"/>
        </w:rPr>
        <w:t xml:space="preserve">交易处理</w:t>
      </w:r>
      <w:bookmarkEnd w:id="247"/>
      <w:r/>
      <w:r/>
    </w:p>
    <w:p>
      <w:pPr>
        <w:ind w:firstLine="480"/>
        <w:spacing w:line="360" w:lineRule="auto"/>
        <w:rPr>
          <w:rFonts w:ascii="宋体" w:hAnsi="宋体"/>
          <w:sz w:val="24"/>
          <w:szCs w:val="24"/>
          <w:lang w:val="zh-CN"/>
        </w:rPr>
      </w:pPr>
      <w:r>
        <w:rPr>
          <w:rFonts w:ascii="宋体" w:hAnsi="宋体"/>
          <w:sz w:val="24"/>
          <w:szCs w:val="24"/>
          <w:lang w:val="zh-CN"/>
        </w:rPr>
        <w:t xml:space="preserve">处理所有通过支付平台的交易请求指令，包括支付请求、查询结果请求，交易退款请求指令等，并且形成待对账流水</w:t>
      </w:r>
      <w:r/>
    </w:p>
    <w:p>
      <w:pPr>
        <w:spacing w:line="360" w:lineRule="auto"/>
        <w:rPr>
          <w:rFonts w:ascii="宋体" w:hAnsi="宋体"/>
          <w:b/>
          <w:bCs/>
          <w:sz w:val="24"/>
          <w:szCs w:val="24"/>
        </w:rPr>
      </w:pPr>
      <w:r/>
      <w:bookmarkStart w:id="248" w:name="_Toc517347550"/>
      <w:r>
        <w:rPr>
          <w:rFonts w:ascii="宋体" w:hAnsi="宋体"/>
          <w:b/>
          <w:bCs/>
          <w:sz w:val="24"/>
          <w:szCs w:val="24"/>
        </w:rPr>
        <w:t xml:space="preserve">渠道管理</w:t>
      </w:r>
      <w:bookmarkEnd w:id="248"/>
      <w:r/>
      <w:r/>
    </w:p>
    <w:p>
      <w:pPr>
        <w:ind w:firstLine="480"/>
        <w:spacing w:line="360" w:lineRule="auto"/>
        <w:rPr>
          <w:rFonts w:ascii="宋体" w:hAnsi="宋体"/>
          <w:sz w:val="24"/>
          <w:szCs w:val="24"/>
        </w:rPr>
      </w:pPr>
      <w:r>
        <w:rPr>
          <w:rFonts w:ascii="宋体" w:hAnsi="宋体"/>
          <w:sz w:val="24"/>
          <w:szCs w:val="24"/>
          <w:lang w:val="zh-CN"/>
        </w:rPr>
        <w:t xml:space="preserve">管理统一支付平台已对接开通的支付渠道，例如支付宝、微信、银联在线等渠道。</w:t>
      </w:r>
      <w:r/>
    </w:p>
    <w:p>
      <w:pPr>
        <w:spacing w:line="360" w:lineRule="auto"/>
        <w:rPr>
          <w:rFonts w:ascii="宋体" w:hAnsi="宋体"/>
          <w:b/>
          <w:bCs/>
          <w:sz w:val="24"/>
          <w:szCs w:val="24"/>
        </w:rPr>
      </w:pPr>
      <w:r/>
      <w:bookmarkStart w:id="249" w:name="_Toc517347551"/>
      <w:r>
        <w:rPr>
          <w:rFonts w:ascii="宋体" w:hAnsi="宋体"/>
          <w:b/>
          <w:bCs/>
          <w:sz w:val="24"/>
          <w:szCs w:val="24"/>
        </w:rPr>
        <w:t xml:space="preserve">渠道对账</w:t>
      </w:r>
      <w:bookmarkEnd w:id="249"/>
      <w:r/>
      <w:r/>
    </w:p>
    <w:p>
      <w:pPr>
        <w:ind w:firstLine="480"/>
        <w:spacing w:line="360" w:lineRule="auto"/>
        <w:rPr>
          <w:rFonts w:ascii="宋体" w:hAnsi="宋体"/>
          <w:sz w:val="24"/>
          <w:szCs w:val="24"/>
          <w:lang w:val="zh-CN"/>
        </w:rPr>
      </w:pPr>
      <w:r>
        <w:rPr>
          <w:rFonts w:ascii="宋体" w:hAnsi="宋体"/>
          <w:sz w:val="24"/>
          <w:szCs w:val="24"/>
          <w:lang w:val="zh-CN"/>
        </w:rPr>
        <w:t xml:space="preserve">聚合支付云平台每日自动向支付宝、微信、银联渠道发起下载对账清单，进行对账。并对单边张进行相应的调账处理。</w:t>
      </w:r>
      <w:r/>
    </w:p>
    <w:p>
      <w:pPr>
        <w:spacing w:line="360" w:lineRule="auto"/>
        <w:rPr>
          <w:rFonts w:ascii="宋体" w:hAnsi="宋体"/>
          <w:b/>
          <w:bCs/>
          <w:sz w:val="24"/>
          <w:szCs w:val="24"/>
        </w:rPr>
      </w:pPr>
      <w:r/>
      <w:bookmarkStart w:id="250" w:name="_Toc517347552"/>
      <w:r>
        <w:rPr>
          <w:rFonts w:ascii="宋体" w:hAnsi="宋体"/>
          <w:b/>
          <w:bCs/>
          <w:sz w:val="24"/>
          <w:szCs w:val="24"/>
        </w:rPr>
        <w:t xml:space="preserve">医院端web应用</w:t>
      </w:r>
      <w:bookmarkEnd w:id="250"/>
      <w:r/>
      <w:r/>
    </w:p>
    <w:p>
      <w:pPr>
        <w:ind w:firstLine="480"/>
        <w:spacing w:line="360" w:lineRule="auto"/>
        <w:rPr>
          <w:rFonts w:ascii="宋体" w:hAnsi="宋体"/>
          <w:sz w:val="24"/>
          <w:szCs w:val="24"/>
          <w:lang w:val="zh-CN"/>
        </w:rPr>
      </w:pPr>
      <w:r>
        <w:rPr>
          <w:rFonts w:ascii="宋体" w:hAnsi="宋体"/>
          <w:sz w:val="24"/>
          <w:szCs w:val="24"/>
          <w:lang w:val="zh-CN"/>
        </w:rPr>
        <w:t xml:space="preserve">为接入医院提供web端界面，查询所有需渠道交易流水、excel导出，以及相关统计分析。</w:t>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接口对接</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内部系统对接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医院第三方系统对接</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外部系统对接</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需提供省市医保接口、上级区域平台对接、江苏省影像云平台、电子票据接口、阳光采购平台接口、省妇幼专科电子病历平台、传染病上报接口、慢病上报接口、发热门诊数据上报接口、流感监测平台上报接口（包含但不仅限于以上各类接口）。</w:t>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咨询测评服务</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辅助医院进行电子病历五级测评、互联互通四甲测评</w:t>
      </w:r>
      <w:r/>
    </w:p>
    <w:p>
      <w:pPr>
        <w:ind w:firstLine="420"/>
        <w:spacing w:line="360" w:lineRule="auto"/>
        <w:rPr>
          <w:rFonts w:ascii="宋体" w:hAnsi="宋体" w:cs="宋体"/>
          <w:sz w:val="24"/>
          <w:szCs w:val="22"/>
        </w:rPr>
      </w:pPr>
      <w:r>
        <w:rPr>
          <w:rFonts w:hint="eastAsia" w:ascii="宋体" w:hAnsi="宋体" w:cs="宋体"/>
          <w:sz w:val="24"/>
          <w:szCs w:val="22"/>
        </w:rPr>
        <w:t xml:space="preserve">比对现状与评级标准的差距，列出差异表，根据采购人总体发展战略制定确定评级目标、确定改造范围</w:t>
      </w:r>
      <w:r/>
    </w:p>
    <w:p>
      <w:pPr>
        <w:ind w:firstLine="420"/>
        <w:spacing w:line="360" w:lineRule="auto"/>
        <w:rPr>
          <w:rFonts w:ascii="宋体" w:hAnsi="宋体" w:cs="宋体"/>
          <w:sz w:val="24"/>
          <w:szCs w:val="22"/>
        </w:rPr>
      </w:pPr>
      <w:r>
        <w:rPr>
          <w:rFonts w:hint="eastAsia" w:ascii="宋体" w:hAnsi="宋体" w:cs="宋体"/>
          <w:sz w:val="24"/>
          <w:szCs w:val="22"/>
        </w:rPr>
        <w:t xml:space="preserve">协助医院做文审材料编制，科室评级对应工作内容培训</w:t>
      </w:r>
      <w:r/>
    </w:p>
    <w:p>
      <w:pPr>
        <w:ind w:firstLine="420"/>
        <w:spacing w:line="360" w:lineRule="auto"/>
        <w:rPr>
          <w:rFonts w:ascii="宋体" w:hAnsi="宋体" w:cs="宋体"/>
          <w:sz w:val="24"/>
          <w:szCs w:val="22"/>
        </w:rPr>
      </w:pPr>
      <w:r>
        <w:rPr>
          <w:rFonts w:hint="eastAsia" w:ascii="宋体" w:hAnsi="宋体" w:cs="宋体"/>
          <w:sz w:val="24"/>
          <w:szCs w:val="22"/>
        </w:rPr>
        <w:t xml:space="preserve">按国家最新评测标准执行。</w:t>
      </w:r>
      <w:r/>
    </w:p>
    <w:p>
      <w:pPr>
        <w:numPr>
          <w:ilvl w:val="2"/>
          <w:numId w:val="8"/>
        </w:numPr>
        <w:keepLines/>
        <w:keepNext/>
        <w:spacing w:line="360" w:lineRule="auto"/>
        <w:rPr>
          <w:rFonts w:ascii="等线" w:hAnsi="等线"/>
          <w:b/>
          <w:bCs/>
          <w:sz w:val="30"/>
          <w:szCs w:val="32"/>
        </w:rPr>
        <w:outlineLvl w:val="2"/>
      </w:pPr>
      <w:r>
        <w:rPr>
          <w:rFonts w:hint="eastAsia" w:ascii="等线" w:hAnsi="等线"/>
          <w:b/>
          <w:bCs/>
          <w:sz w:val="30"/>
          <w:szCs w:val="32"/>
        </w:rPr>
        <w:t xml:space="preserve">智慧服务三级评测服务</w:t>
      </w:r>
      <w:r/>
    </w:p>
    <w:p>
      <w:pPr>
        <w:ind w:firstLine="420"/>
        <w:spacing w:line="360" w:lineRule="auto"/>
        <w:rPr>
          <w:rFonts w:ascii="宋体" w:hAnsi="宋体" w:cs="宋体"/>
          <w:sz w:val="24"/>
          <w:szCs w:val="22"/>
        </w:rPr>
      </w:pPr>
      <w:r>
        <w:rPr>
          <w:rFonts w:hint="eastAsia" w:ascii="宋体" w:hAnsi="宋体" w:cs="宋体"/>
          <w:sz w:val="24"/>
          <w:szCs w:val="22"/>
        </w:rPr>
        <w:t xml:space="preserve">提供系统数据，为测评做数据支撑，根据医院分析后的要求提供数据。</w:t>
      </w:r>
      <w:r/>
    </w:p>
    <w:p>
      <w:pPr>
        <w:ind w:firstLine="420"/>
        <w:spacing w:line="360" w:lineRule="auto"/>
        <w:rPr>
          <w:rFonts w:ascii="宋体" w:hAnsi="宋体" w:cs="宋体"/>
          <w:sz w:val="24"/>
          <w:szCs w:val="22"/>
        </w:rPr>
      </w:pPr>
      <w:r>
        <w:rPr>
          <w:rFonts w:ascii="宋体" w:hAnsi="宋体" w:cs="宋体"/>
          <w:sz w:val="24"/>
          <w:szCs w:val="22"/>
        </w:rPr>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运维服务</w:t>
      </w:r>
      <w:r/>
    </w:p>
    <w:p>
      <w:pPr>
        <w:ind w:firstLine="480"/>
        <w:jc w:val="left"/>
        <w:spacing w:line="360" w:lineRule="auto"/>
        <w:widowControl/>
        <w:rPr>
          <w:rFonts w:ascii="宋体" w:hAnsi="宋体" w:cs="宋体"/>
          <w:sz w:val="24"/>
          <w:szCs w:val="22"/>
        </w:rPr>
      </w:pPr>
      <w:r>
        <w:rPr>
          <w:rFonts w:hint="eastAsia" w:ascii="宋体" w:hAnsi="宋体" w:cs="宋体"/>
          <w:sz w:val="24"/>
          <w:szCs w:val="22"/>
        </w:rPr>
        <w:t xml:space="preserve">切换新系统前的过渡期须提供对现有系统的</w:t>
      </w:r>
      <w:r>
        <w:rPr>
          <w:rFonts w:ascii="宋体" w:hAnsi="宋体" w:cs="宋体"/>
          <w:sz w:val="24"/>
          <w:szCs w:val="22"/>
        </w:rPr>
        <w:t xml:space="preserve">运维服务</w:t>
      </w:r>
      <w:r>
        <w:rPr>
          <w:rFonts w:hint="eastAsia" w:ascii="宋体" w:hAnsi="宋体" w:cs="宋体"/>
          <w:sz w:val="24"/>
          <w:szCs w:val="22"/>
        </w:rPr>
        <w:t xml:space="preserve">。</w:t>
      </w:r>
      <w:r/>
    </w:p>
    <w:p>
      <w:pPr>
        <w:numPr>
          <w:ilvl w:val="0"/>
          <w:numId w:val="8"/>
        </w:numPr>
        <w:keepLines/>
        <w:keepNext/>
        <w:spacing w:line="360" w:lineRule="auto"/>
        <w:rPr>
          <w:rFonts w:ascii="等线" w:hAnsi="等线"/>
          <w:b/>
          <w:bCs/>
          <w:sz w:val="32"/>
          <w:szCs w:val="44"/>
        </w:rPr>
        <w:outlineLvl w:val="0"/>
      </w:pPr>
      <w:r/>
      <w:bookmarkStart w:id="251" w:name="_Toc106031062"/>
      <w:r>
        <w:rPr>
          <w:rFonts w:hint="eastAsia" w:ascii="等线" w:hAnsi="等线"/>
          <w:b/>
          <w:bCs/>
          <w:sz w:val="32"/>
          <w:szCs w:val="44"/>
        </w:rPr>
        <w:t xml:space="preserve">技术与服务要求</w:t>
      </w:r>
      <w:bookmarkEnd w:id="251"/>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设计方案要求</w:t>
      </w:r>
      <w:r/>
    </w:p>
    <w:p>
      <w:pPr>
        <w:ind w:firstLine="480"/>
        <w:spacing w:line="360" w:lineRule="auto"/>
        <w:rPr>
          <w:rFonts w:ascii="宋体" w:hAnsi="宋体"/>
          <w:sz w:val="24"/>
          <w:szCs w:val="24"/>
        </w:rPr>
      </w:pPr>
      <w:r>
        <w:rPr>
          <w:rFonts w:hint="eastAsia" w:ascii="宋体" w:hAnsi="宋体"/>
          <w:sz w:val="24"/>
          <w:szCs w:val="24"/>
        </w:rPr>
        <w:t xml:space="preserve">投标人应当提交总体设计方案，总体设计科学，充分理解本次项目的建设需求和目标，技术路线清晰可行。本次业务系统的主要投标产品是以智慧、医健卫一体化、生态应用平台为主题，注重多组织架构、流程调整、业务整合与协同、决策预警、战略管控。架构面向实现医院内部业务一体，外部医卫健一体以及支持集团管理的上下一体。</w:t>
      </w:r>
      <w:r/>
    </w:p>
    <w:p>
      <w:pPr>
        <w:ind w:firstLine="480"/>
        <w:spacing w:line="360" w:lineRule="auto"/>
        <w:rPr>
          <w:rFonts w:ascii="宋体" w:hAnsi="宋体"/>
          <w:sz w:val="24"/>
          <w:szCs w:val="24"/>
        </w:rPr>
      </w:pPr>
      <w:r>
        <w:rPr>
          <w:rFonts w:hint="eastAsia" w:ascii="宋体" w:hAnsi="宋体"/>
          <w:sz w:val="24"/>
          <w:szCs w:val="24"/>
        </w:rPr>
        <w:t xml:space="preserve">产品以医院基础信息系统为定位，采用一体化设计，按照高内聚、低耦合原则，构建全数字化的医院业务流程，实现功能一体化、数据一体化，为基础业务提供支撑、为系统集成提供主干、提供载体。</w:t>
      </w:r>
      <w:r/>
    </w:p>
    <w:p>
      <w:pPr>
        <w:ind w:firstLine="480"/>
        <w:spacing w:line="360" w:lineRule="auto"/>
        <w:rPr>
          <w:rFonts w:ascii="宋体" w:hAnsi="宋体"/>
          <w:sz w:val="24"/>
          <w:szCs w:val="24"/>
        </w:rPr>
      </w:pPr>
      <w:r>
        <w:rPr>
          <w:rFonts w:hint="eastAsia" w:ascii="宋体" w:hAnsi="宋体"/>
          <w:sz w:val="24"/>
          <w:szCs w:val="24"/>
        </w:rPr>
        <w:t xml:space="preserve">基于此前多年的业务积累，摆脱以往医院信息化系统面向单一流程独立建设、缺乏总体设计的问题，利用面向角色的领域模型设计，将系统的功能模块进行装配整合，实现业务在高效逻辑下的流程优化，提高临床业务的便捷性，最大限度提高工作效率</w:t>
      </w:r>
      <w:r>
        <w:rPr>
          <w:rFonts w:hint="eastAsia" w:ascii="宋体" w:hAnsi="宋体"/>
          <w:sz w:val="24"/>
          <w:szCs w:val="24"/>
        </w:rPr>
        <w:t xml:space="preserve">和协作能力。</w:t>
      </w:r>
      <w:r/>
    </w:p>
    <w:p>
      <w:pPr>
        <w:ind w:firstLine="480"/>
        <w:spacing w:line="360" w:lineRule="auto"/>
        <w:rPr>
          <w:rFonts w:ascii="宋体" w:hAnsi="宋体"/>
          <w:sz w:val="24"/>
          <w:szCs w:val="24"/>
        </w:rPr>
      </w:pPr>
      <w:r>
        <w:rPr>
          <w:rFonts w:ascii="宋体" w:hAnsi="宋体"/>
          <w:sz w:val="24"/>
          <w:szCs w:val="24"/>
        </w:rPr>
      </w:r>
      <w:r/>
    </w:p>
    <w:p>
      <w:pPr>
        <w:numPr>
          <w:ilvl w:val="1"/>
          <w:numId w:val="8"/>
        </w:numPr>
        <w:keepLines/>
        <w:keepNext/>
        <w:spacing w:line="360" w:lineRule="auto"/>
        <w:rPr>
          <w:rFonts w:ascii="宋体" w:hAnsi="宋体"/>
          <w:b/>
          <w:bCs/>
          <w:sz w:val="30"/>
          <w:szCs w:val="32"/>
        </w:rPr>
        <w:outlineLvl w:val="1"/>
      </w:pPr>
      <w:r/>
      <w:bookmarkStart w:id="252" w:name="_Toc24571257"/>
      <w:r/>
      <w:bookmarkStart w:id="253" w:name="_Toc42097365"/>
      <w:r/>
      <w:bookmarkStart w:id="254" w:name="_Toc65769130"/>
      <w:r/>
      <w:bookmarkStart w:id="255" w:name="_Toc38032938"/>
      <w:r/>
      <w:bookmarkStart w:id="256" w:name="_Toc106031063"/>
      <w:r/>
      <w:bookmarkStart w:id="257" w:name="_Toc51713674"/>
      <w:r/>
      <w:bookmarkStart w:id="258" w:name="_Toc39928964"/>
      <w:r/>
      <w:bookmarkStart w:id="259" w:name="_Toc75869854"/>
      <w:r>
        <w:rPr>
          <w:rFonts w:hint="eastAsia" w:ascii="宋体" w:hAnsi="宋体"/>
          <w:b/>
          <w:bCs/>
          <w:sz w:val="30"/>
          <w:szCs w:val="32"/>
        </w:rPr>
        <w:t xml:space="preserve">实施方案要求</w:t>
      </w:r>
      <w:bookmarkEnd w:id="252"/>
      <w:r/>
      <w:bookmarkEnd w:id="253"/>
      <w:r/>
      <w:bookmarkEnd w:id="254"/>
      <w:r/>
      <w:bookmarkEnd w:id="255"/>
      <w:r/>
      <w:bookmarkEnd w:id="256"/>
      <w:r/>
      <w:bookmarkEnd w:id="257"/>
      <w:r/>
      <w:bookmarkEnd w:id="258"/>
      <w:r/>
      <w:bookmarkEnd w:id="259"/>
      <w:r/>
      <w:r/>
    </w:p>
    <w:p>
      <w:pPr>
        <w:ind w:firstLine="480"/>
        <w:spacing w:line="360" w:lineRule="auto"/>
        <w:rPr>
          <w:rFonts w:ascii="宋体" w:hAnsi="宋体"/>
          <w:sz w:val="24"/>
          <w:szCs w:val="24"/>
        </w:rPr>
      </w:pPr>
      <w:r>
        <w:rPr>
          <w:rFonts w:hint="eastAsia" w:ascii="宋体" w:hAnsi="宋体"/>
          <w:sz w:val="24"/>
          <w:szCs w:val="24"/>
        </w:rPr>
        <w:t xml:space="preserve">投标人应提供项目实施方案，包括但不限于组织管理、管理规范、质量管理、实施计划、人员管理、项目风险应对、测试验收等，能保证项目正常稳定实施并保证产品稳定运行。</w:t>
      </w:r>
      <w:r/>
    </w:p>
    <w:p>
      <w:pPr>
        <w:ind w:firstLine="480"/>
        <w:spacing w:line="360" w:lineRule="auto"/>
        <w:rPr>
          <w:rFonts w:ascii="宋体" w:hAnsi="宋体"/>
          <w:sz w:val="24"/>
          <w:szCs w:val="24"/>
        </w:rPr>
      </w:pPr>
      <w:r>
        <w:rPr>
          <w:rFonts w:hint="eastAsia" w:ascii="宋体" w:hAnsi="宋体"/>
          <w:sz w:val="24"/>
          <w:szCs w:val="24"/>
        </w:rPr>
        <w:t xml:space="preserve">医院信息化的建设是一个庞大的系统工程，不可能一蹴而就，其是一个复杂的过程，是医院从传统模式走向数字化，信息化，智能化，现代化的磨合过程。医院信息化建设的过程是一个不会结束的过程，它将随着医院的发展，医学技术的发展，医院管理的发展而不断发展。因此需提供针对采购人本项目的组织架构层次、项目管理流程和质量管理体系，实现质量目标所必需的、系统的质量管理模式。投标人应遵照：</w:t>
      </w:r>
      <w:r>
        <w:rPr>
          <w:rFonts w:ascii="宋体" w:hAnsi="宋体"/>
          <w:sz w:val="24"/>
          <w:szCs w:val="24"/>
        </w:rPr>
        <w:t xml:space="preserve">1</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成熟可靠的标准规范；</w:t>
      </w:r>
      <w:r>
        <w:rPr>
          <w:rFonts w:ascii="宋体" w:hAnsi="宋体"/>
          <w:sz w:val="24"/>
          <w:szCs w:val="24"/>
        </w:rPr>
        <w:t xml:space="preserve">2 </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严格遵照质量管理体系、环境管理体系、信息技术服务管理体系进行。通过对各种体系的结合应用，来实现对项目的管理和质量保障管理</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（1）合同履行期限：自合同签订之日起12个月内完成开发、调试并交付使用；</w:t>
      </w:r>
      <w:r/>
    </w:p>
    <w:p>
      <w:pPr>
        <w:ind w:firstLine="480"/>
        <w:spacing w:line="360" w:lineRule="auto"/>
        <w:rPr>
          <w:rFonts w:ascii="宋体" w:hAnsi="宋体"/>
          <w:sz w:val="24"/>
          <w:szCs w:val="24"/>
        </w:rPr>
      </w:pPr>
      <w:r>
        <w:rPr>
          <w:rFonts w:hint="eastAsia" w:ascii="宋体" w:hAnsi="宋体"/>
          <w:sz w:val="24"/>
          <w:szCs w:val="24"/>
        </w:rPr>
        <w:t xml:space="preserve">（2）投标方需提供项目详尽的实施方案和实施进度表。</w:t>
      </w:r>
      <w:r/>
    </w:p>
    <w:p>
      <w:pPr>
        <w:ind w:firstLine="480"/>
        <w:spacing w:line="360" w:lineRule="auto"/>
        <w:rPr>
          <w:rFonts w:ascii="宋体" w:hAnsi="宋体"/>
          <w:sz w:val="24"/>
          <w:szCs w:val="24"/>
        </w:rPr>
      </w:pPr>
      <w:r>
        <w:rPr>
          <w:rFonts w:hint="eastAsia" w:ascii="宋体" w:hAnsi="宋体"/>
          <w:sz w:val="24"/>
          <w:szCs w:val="24"/>
        </w:rPr>
        <w:t xml:space="preserve">（3）投标人应在系统实施方案中描述具体的实施团队的组成、工作的内容、投入人员、项目进程表及采购人的配合等内容。在所有工作开展之前，公司的实施人员应制定一套完整科学可行的实施方案，作为工程实施的总体计划和步骤。实施方案内容大致包括：</w:t>
      </w:r>
      <w:r/>
    </w:p>
    <w:p>
      <w:pPr>
        <w:ind w:firstLine="480"/>
        <w:spacing w:line="360" w:lineRule="auto"/>
        <w:rPr>
          <w:rFonts w:ascii="宋体" w:hAnsi="宋体"/>
          <w:sz w:val="24"/>
          <w:szCs w:val="24"/>
        </w:rPr>
      </w:pPr>
      <w:r>
        <w:rPr>
          <w:rFonts w:hint="eastAsia" w:ascii="宋体" w:hAnsi="宋体"/>
          <w:sz w:val="24"/>
          <w:szCs w:val="24"/>
        </w:rPr>
        <w:t xml:space="preserve">①组织保障安排：成立领导小组，领导小组中的责任分工等</w:t>
      </w:r>
      <w:r>
        <w:rPr>
          <w:rFonts w:hint="eastAsia" w:ascii="宋体" w:hAnsi="宋体"/>
          <w:sz w:val="24"/>
          <w:szCs w:val="22"/>
        </w:rPr>
        <w:t xml:space="preserve">。项目经理、技术负责人应具备相关项目实施经验。项目实施人员需包括系统分析师、软件评测师、软件设计师、网络工程师、信息系统项目管理师、系统架构设计师、数据库系统工程师等。</w:t>
      </w:r>
      <w:r/>
    </w:p>
    <w:p>
      <w:pPr>
        <w:ind w:firstLine="480"/>
        <w:spacing w:line="360" w:lineRule="auto"/>
        <w:rPr>
          <w:rFonts w:ascii="宋体" w:hAnsi="宋体"/>
          <w:sz w:val="24"/>
          <w:szCs w:val="24"/>
        </w:rPr>
      </w:pPr>
      <w:r>
        <w:rPr>
          <w:rFonts w:hint="eastAsia" w:ascii="宋体" w:hAnsi="宋体"/>
          <w:sz w:val="24"/>
          <w:szCs w:val="24"/>
        </w:rPr>
        <w:t xml:space="preserve">②制定具体的实施流程、实施内容。</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（4）本项目实施期、免费维保期内免费完成电子病历五级和互联互通四甲对历史数据的抽取要求。（提供承诺函，格式自拟）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5）本项目实施期、免费维保期内免费完成所有涉及到信息系统间接口对接的工作（如医院更换第三方系统也须免费对接，不限次数），不再收取任何接口费。免费协助完成医院达标互联互通四甲，电子病历五级，医院智慧服务分级评估三级，国家公立医院绩效考核，《江苏省三级综合医院评审标准实施细则》（2023版及以上）等政</w:t>
      </w:r>
      <w:r>
        <w:rPr>
          <w:rFonts w:hint="eastAsia" w:ascii="宋体" w:hAnsi="宋体"/>
          <w:i/>
          <w:iCs/>
          <w:sz w:val="24"/>
          <w:szCs w:val="24"/>
          <w:u w:val="single"/>
        </w:rPr>
        <w:t xml:space="preserve">策规范要求，涉及到系统的功能改造。免费提供常用系统的表结构手册。（提供承诺函，格式自拟）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6）本项目实施期、免费维保期内免费完成软件功能的客户化调整，系统优化及升级，接口修改等医院需求，投标人应不再收取医院费用。经院方同意后，免费进行系统版本迭代升级。（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（7）本项目实施期、免费维保期内应免费完成因政策性要求，导致的接口或程序修改和对接各级监管平台、数据上报平台，完成数据上报并达标上报要求。（提供承诺函，格式自拟）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8）投标人在合同签定后，至少派驻3名工程师进场运维现有系统。在本项目系统上线初步验收前至少提供8名驻场技术人员（含项目经理）在医院正常上班，上线初步验收后现场至少提供3名驻场人员。以上人员除不可抗力之外均不得调换。（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9）本项目实施期、免费维保期内免费提供各类检查、检验类设备的对接（包括由原厂家提供的硬件，如PACS系统中的采集套件：采集卡，超声采集手柄，内镜脚踏,设备连接主机的视频线等）（提供承诺函，格式自拟）</w:t>
      </w:r>
      <w:r/>
    </w:p>
    <w:p>
      <w:pPr>
        <w:ind w:firstLine="240"/>
        <w:spacing w:line="360" w:lineRule="auto"/>
        <w:rPr>
          <w:rFonts w:ascii="宋体" w:hAnsi="宋体"/>
          <w:i/>
          <w:iCs/>
          <w:sz w:val="24"/>
          <w:szCs w:val="24"/>
          <w:u w:val="single"/>
        </w:rPr>
      </w:pPr>
      <w:r>
        <w:rPr>
          <w:rFonts w:hint="eastAsia" w:ascii="宋体" w:hAnsi="宋体"/>
          <w:i/>
          <w:iCs/>
          <w:sz w:val="24"/>
          <w:szCs w:val="24"/>
          <w:u w:val="single"/>
        </w:rPr>
        <w:t xml:space="preserve">(10)合同签订之日起至新系统正式上线，免费提供现有his、emr、集成平台系统的运维服务。（提供承诺函，格式自拟）</w:t>
      </w:r>
      <w:r/>
    </w:p>
    <w:p>
      <w:pPr>
        <w:numPr>
          <w:ilvl w:val="1"/>
          <w:numId w:val="8"/>
        </w:numPr>
        <w:keepLines/>
        <w:keepNext/>
        <w:spacing w:line="360" w:lineRule="auto"/>
        <w:rPr>
          <w:rFonts w:ascii="宋体" w:hAnsi="宋体"/>
          <w:b/>
          <w:bCs/>
          <w:sz w:val="30"/>
          <w:szCs w:val="32"/>
        </w:rPr>
        <w:outlineLvl w:val="1"/>
      </w:pPr>
      <w:r/>
      <w:bookmarkStart w:id="260" w:name="_Toc106031064"/>
      <w:r/>
      <w:bookmarkStart w:id="261" w:name="_Toc38032939"/>
      <w:r/>
      <w:bookmarkStart w:id="262" w:name="_Toc51713675"/>
      <w:r/>
      <w:bookmarkStart w:id="263" w:name="_Toc39928965"/>
      <w:r/>
      <w:bookmarkStart w:id="264" w:name="_Toc75869855"/>
      <w:r/>
      <w:bookmarkStart w:id="265" w:name="_Toc24571258"/>
      <w:r/>
      <w:bookmarkStart w:id="266" w:name="_Toc42097366"/>
      <w:r/>
      <w:bookmarkStart w:id="267" w:name="_Toc65769131"/>
      <w:r>
        <w:rPr>
          <w:rFonts w:hint="eastAsia" w:ascii="宋体" w:hAnsi="宋体"/>
          <w:b/>
          <w:bCs/>
          <w:sz w:val="30"/>
          <w:szCs w:val="32"/>
        </w:rPr>
        <w:t xml:space="preserve">安全应急</w:t>
      </w:r>
      <w:r/>
    </w:p>
    <w:p>
      <w:pPr>
        <w:ind w:firstLine="480"/>
        <w:spacing w:line="360" w:lineRule="auto"/>
        <w:rPr>
          <w:rFonts w:ascii="宋体" w:hAnsi="宋体"/>
          <w:sz w:val="24"/>
          <w:szCs w:val="24"/>
        </w:rPr>
      </w:pPr>
      <w:r>
        <w:rPr>
          <w:rFonts w:hint="eastAsia" w:ascii="宋体" w:hAnsi="宋体"/>
          <w:sz w:val="24"/>
          <w:szCs w:val="24"/>
        </w:rPr>
        <w:t xml:space="preserve">投标人根据可能发生的故障问题，提供有效可行的安全应急方案。</w:t>
      </w:r>
      <w:r/>
    </w:p>
    <w:p>
      <w:pPr>
        <w:ind w:firstLine="480"/>
        <w:spacing w:line="360" w:lineRule="auto"/>
        <w:rPr>
          <w:rFonts w:ascii="宋体" w:hAnsi="宋体"/>
          <w:sz w:val="24"/>
          <w:szCs w:val="24"/>
        </w:rPr>
      </w:pPr>
      <w:r>
        <w:rPr>
          <w:rFonts w:hint="eastAsia" w:ascii="宋体" w:hAnsi="宋体"/>
          <w:sz w:val="24"/>
          <w:szCs w:val="24"/>
        </w:rPr>
        <w:t xml:space="preserve">应根据不同程度的故障情况提出应急策略以及响应时间，并对突发性事件分析，提出合理的应急预案。投标人的服务人员产生的交通费、住宿费、出差补助等相关费用由投标人自行承担。服务时间为7*24小时。</w:t>
      </w:r>
      <w:r/>
    </w:p>
    <w:tbl>
      <w:tblPr>
        <w:tblW w:w="8345" w:type="dxa"/>
        <w:jc w:val="center"/>
        <w:tblLook w:val="04A0" w:firstRow="1" w:lastRow="0" w:firstColumn="1" w:lastColumn="0" w:noHBand="0" w:noVBand="1"/>
      </w:tblPr>
      <w:tblGrid>
        <w:gridCol w:w="8345"/>
      </w:tblGrid>
      <w:tr>
        <w:trPr>
          <w:jc w:val="center"/>
          <w:trHeight w:val="315"/>
        </w:trPr>
        <w:tc>
          <w:tcPr>
            <w:shd w:val="pct15" w:color="auto" w:fill="auto"/>
            <w:tcBorders>
              <w:top w:val="single" w:color="auto" w:sz="4" w:space="0"/>
              <w:left w:val="single" w:color="auto" w:sz="4" w:space="0"/>
              <w:bottom w:val="single" w:color="auto" w:sz="4" w:space="0"/>
              <w:right w:val="single" w:color="auto" w:sz="4" w:space="0"/>
            </w:tcBorders>
            <w:tcW w:w="83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故障级别</w:t>
            </w:r>
            <w:r/>
          </w:p>
        </w:tc>
      </w:tr>
      <w:tr>
        <w:trPr>
          <w:jc w:val="center"/>
          <w:trHeight w:val="707"/>
        </w:trPr>
        <w:tc>
          <w:tcPr>
            <w:tcBorders>
              <w:top w:val="none" w:color="000000" w:sz="4" w:space="0"/>
              <w:left w:val="single" w:color="auto" w:sz="4" w:space="0"/>
              <w:bottom w:val="single" w:color="auto" w:sz="4" w:space="0"/>
              <w:right w:val="single" w:color="auto" w:sz="4" w:space="0"/>
            </w:tcBorders>
            <w:tcW w:w="8345" w:type="dxa"/>
            <w:vAlign w:val="center"/>
            <w:textDirection w:val="lrTb"/>
            <w:noWrap w:val="false"/>
          </w:tcPr>
          <w:p>
            <w:pPr>
              <w:ind w:left="720" w:hanging="720"/>
              <w:spacing w:line="360" w:lineRule="auto"/>
              <w:rPr>
                <w:rFonts w:ascii="宋体" w:hAnsi="宋体"/>
                <w:sz w:val="24"/>
                <w:szCs w:val="24"/>
              </w:rPr>
            </w:pPr>
            <w:r>
              <w:rPr>
                <w:rFonts w:hint="eastAsia" w:ascii="宋体" w:hAnsi="宋体"/>
                <w:sz w:val="24"/>
                <w:szCs w:val="24"/>
              </w:rPr>
              <w:t xml:space="preserve">一级：属于紧急问题；其具体现象为：系统宕机、网络核心瘫痪导致核心业务停止、核心数据丢失。响应处理时间4小时内。</w:t>
            </w:r>
            <w:r/>
          </w:p>
        </w:tc>
      </w:tr>
      <w:tr>
        <w:trPr>
          <w:jc w:val="center"/>
          <w:trHeight w:val="942"/>
        </w:trPr>
        <w:tc>
          <w:tcPr>
            <w:tcBorders>
              <w:top w:val="none" w:color="000000" w:sz="4" w:space="0"/>
              <w:left w:val="single" w:color="auto" w:sz="4" w:space="0"/>
              <w:bottom w:val="single" w:color="auto" w:sz="4" w:space="0"/>
              <w:right w:val="single" w:color="auto" w:sz="4" w:space="0"/>
            </w:tcBorders>
            <w:tcW w:w="8345" w:type="dxa"/>
            <w:vAlign w:val="center"/>
            <w:textDirection w:val="lrTb"/>
            <w:noWrap w:val="false"/>
          </w:tcPr>
          <w:p>
            <w:pPr>
              <w:ind w:left="720" w:hanging="720"/>
              <w:spacing w:line="360" w:lineRule="auto"/>
              <w:rPr>
                <w:rFonts w:ascii="宋体" w:hAnsi="宋体"/>
                <w:sz w:val="24"/>
                <w:szCs w:val="24"/>
              </w:rPr>
            </w:pPr>
            <w:r>
              <w:rPr>
                <w:rFonts w:hint="eastAsia" w:ascii="宋体" w:hAnsi="宋体"/>
                <w:sz w:val="24"/>
                <w:szCs w:val="24"/>
              </w:rPr>
              <w:t xml:space="preserve">二级：属于严重问题；其具体现象为：出现部分系统故障、系统性能下降但能维持正常运行，功能严重削弱，不影响核心系统工作，仅对小范围科室造成影响。响应处理时间10小时内。</w:t>
            </w:r>
            <w:r/>
          </w:p>
        </w:tc>
      </w:tr>
      <w:tr>
        <w:trPr>
          <w:jc w:val="center"/>
          <w:trHeight w:val="912"/>
        </w:trPr>
        <w:tc>
          <w:tcPr>
            <w:tcBorders>
              <w:top w:val="none" w:color="000000" w:sz="4" w:space="0"/>
              <w:left w:val="single" w:color="auto" w:sz="4" w:space="0"/>
              <w:bottom w:val="single" w:color="auto" w:sz="4" w:space="0"/>
              <w:right w:val="single" w:color="auto" w:sz="4" w:space="0"/>
            </w:tcBorders>
            <w:tcW w:w="8345" w:type="dxa"/>
            <w:vAlign w:val="center"/>
            <w:textDirection w:val="lrTb"/>
            <w:noWrap w:val="false"/>
          </w:tcPr>
          <w:p>
            <w:pPr>
              <w:ind w:left="720" w:hanging="720"/>
              <w:spacing w:line="360" w:lineRule="auto"/>
              <w:rPr>
                <w:rFonts w:ascii="宋体" w:hAnsi="宋体"/>
                <w:sz w:val="24"/>
                <w:szCs w:val="24"/>
              </w:rPr>
            </w:pPr>
            <w:r>
              <w:rPr>
                <w:rFonts w:hint="eastAsia" w:ascii="宋体" w:hAnsi="宋体"/>
                <w:sz w:val="24"/>
                <w:szCs w:val="24"/>
              </w:rPr>
              <w:t xml:space="preserve">三级：属于较严重问题；其具体现象为：出现系统报错或警告，但业务系统能继续运行且性能不受影响。响应处理时间20小时内。</w:t>
            </w:r>
            <w:r/>
          </w:p>
        </w:tc>
      </w:tr>
      <w:tr>
        <w:trPr>
          <w:jc w:val="center"/>
          <w:trHeight w:val="302"/>
        </w:trPr>
        <w:tc>
          <w:tcPr>
            <w:tcBorders>
              <w:top w:val="none" w:color="000000" w:sz="4" w:space="0"/>
              <w:left w:val="single" w:color="auto" w:sz="4" w:space="0"/>
              <w:bottom w:val="single" w:color="auto" w:sz="4" w:space="0"/>
              <w:right w:val="single" w:color="auto" w:sz="4" w:space="0"/>
            </w:tcBorders>
            <w:tcW w:w="8345" w:type="dxa"/>
            <w:vAlign w:val="center"/>
            <w:textDirection w:val="lrTb"/>
            <w:noWrap w:val="false"/>
          </w:tcPr>
          <w:p>
            <w:pPr>
              <w:ind w:left="720" w:hanging="720"/>
              <w:spacing w:line="360" w:lineRule="auto"/>
              <w:rPr>
                <w:rFonts w:ascii="宋体" w:hAnsi="宋体"/>
                <w:sz w:val="24"/>
                <w:szCs w:val="24"/>
              </w:rPr>
            </w:pPr>
            <w:r>
              <w:rPr>
                <w:rFonts w:hint="eastAsia" w:ascii="宋体" w:hAnsi="宋体"/>
                <w:sz w:val="24"/>
                <w:szCs w:val="24"/>
              </w:rPr>
              <w:t xml:space="preserve">四级：属于普通问题；其具体现象为：系统技术功能、安装、配置或咨询。响应处理时间48小时内。</w:t>
            </w:r>
            <w:r/>
          </w:p>
        </w:tc>
      </w:tr>
    </w:tbl>
    <w:p>
      <w:pPr>
        <w:ind w:firstLine="480"/>
        <w:spacing w:line="360" w:lineRule="auto"/>
        <w:rPr>
          <w:rFonts w:ascii="宋体" w:hAnsi="宋体"/>
          <w:sz w:val="24"/>
          <w:szCs w:val="24"/>
        </w:rPr>
      </w:pPr>
      <w:r>
        <w:rPr>
          <w:rFonts w:ascii="宋体" w:hAnsi="宋体"/>
          <w:sz w:val="24"/>
          <w:szCs w:val="24"/>
        </w:rPr>
      </w:r>
      <w:r/>
    </w:p>
    <w:p>
      <w:pPr>
        <w:numPr>
          <w:ilvl w:val="1"/>
          <w:numId w:val="8"/>
        </w:numPr>
        <w:keepLines/>
        <w:keepNext/>
        <w:spacing w:line="360" w:lineRule="auto"/>
        <w:rPr>
          <w:rFonts w:ascii="等线 Light" w:hAnsi="等线 Light"/>
          <w:b/>
          <w:bCs/>
          <w:sz w:val="30"/>
          <w:szCs w:val="32"/>
        </w:rPr>
        <w:outlineLvl w:val="1"/>
      </w:pPr>
      <w:r>
        <w:rPr>
          <w:rFonts w:hint="eastAsia" w:ascii="等线 Light" w:hAnsi="等线 Light"/>
          <w:b/>
          <w:bCs/>
          <w:sz w:val="30"/>
          <w:szCs w:val="32"/>
        </w:rPr>
        <w:t xml:space="preserve">安全运维要求</w:t>
      </w:r>
      <w:r/>
    </w:p>
    <w:p>
      <w:pPr>
        <w:ind w:firstLine="480"/>
        <w:spacing w:line="360" w:lineRule="auto"/>
        <w:rPr>
          <w:rFonts w:ascii="宋体" w:hAnsi="宋体"/>
          <w:sz w:val="24"/>
          <w:szCs w:val="24"/>
        </w:rPr>
      </w:pPr>
      <w:r>
        <w:rPr>
          <w:rFonts w:hint="eastAsia" w:ascii="宋体" w:hAnsi="宋体"/>
          <w:sz w:val="24"/>
          <w:szCs w:val="24"/>
        </w:rPr>
        <w:t xml:space="preserve">运维体系是为保障管理措施和技术措施有效实现信息安全而采取的一系列活动的总和。</w:t>
      </w:r>
      <w:r/>
    </w:p>
    <w:p>
      <w:pPr>
        <w:ind w:firstLine="480"/>
        <w:spacing w:line="360" w:lineRule="auto"/>
        <w:rPr>
          <w:rFonts w:ascii="宋体" w:hAnsi="宋体"/>
          <w:sz w:val="24"/>
          <w:szCs w:val="24"/>
        </w:rPr>
      </w:pPr>
      <w:r>
        <w:rPr>
          <w:rFonts w:hint="eastAsia" w:ascii="宋体" w:hAnsi="宋体"/>
          <w:sz w:val="24"/>
          <w:szCs w:val="24"/>
        </w:rPr>
        <w:t xml:space="preserve">投标人应对系统的应用安全、隐私保护方面提出了切实可行的措施和解决方案。能根据物理和网络两方面进行分析并提出针对性解决方案。</w:t>
      </w:r>
      <w:r/>
    </w:p>
    <w:p>
      <w:pPr>
        <w:ind w:firstLine="480"/>
        <w:spacing w:line="360" w:lineRule="auto"/>
        <w:rPr>
          <w:rFonts w:ascii="宋体" w:hAnsi="宋体"/>
          <w:sz w:val="24"/>
          <w:szCs w:val="24"/>
        </w:rPr>
      </w:pPr>
      <w:r>
        <w:rPr>
          <w:rFonts w:ascii="宋体" w:hAnsi="宋体"/>
          <w:sz w:val="24"/>
          <w:szCs w:val="24"/>
        </w:rPr>
        <w:t xml:space="preserve">以下着重从如何保护</w:t>
      </w:r>
      <w:r>
        <w:rPr>
          <w:rFonts w:hint="eastAsia" w:ascii="宋体" w:hAnsi="宋体"/>
          <w:sz w:val="24"/>
          <w:szCs w:val="24"/>
        </w:rPr>
        <w:t xml:space="preserve">用户</w:t>
      </w:r>
      <w:r>
        <w:rPr>
          <w:rFonts w:ascii="宋体" w:hAnsi="宋体"/>
          <w:sz w:val="24"/>
          <w:szCs w:val="24"/>
        </w:rPr>
        <w:t xml:space="preserve">的重要数据免受任何类型的破坏——从简单系统崩溃，到诸如硬盘损坏等更为严重的问题进行介绍：</w:t>
      </w:r>
      <w:r/>
    </w:p>
    <w:p>
      <w:pPr>
        <w:numPr>
          <w:ilvl w:val="0"/>
          <w:numId w:val="9"/>
        </w:numPr>
        <w:spacing w:line="360" w:lineRule="auto"/>
        <w:rPr>
          <w:rFonts w:ascii="宋体" w:hAnsi="宋体"/>
          <w:b/>
          <w:sz w:val="24"/>
          <w:szCs w:val="24"/>
        </w:rPr>
      </w:pPr>
      <w:r>
        <w:rPr>
          <w:rFonts w:ascii="宋体" w:hAnsi="宋体"/>
          <w:b/>
          <w:sz w:val="24"/>
          <w:szCs w:val="24"/>
        </w:rPr>
        <w:t xml:space="preserve">系统崩溃或服务器崩溃</w:t>
      </w:r>
      <w:r/>
    </w:p>
    <w:p>
      <w:pPr>
        <w:ind w:firstLine="420"/>
        <w:spacing w:line="360" w:lineRule="auto"/>
        <w:rPr>
          <w:rFonts w:ascii="宋体" w:hAnsi="宋体"/>
          <w:sz w:val="24"/>
          <w:szCs w:val="24"/>
        </w:rPr>
      </w:pPr>
      <w:r>
        <w:rPr>
          <w:rFonts w:ascii="宋体" w:hAnsi="宋体"/>
          <w:sz w:val="24"/>
          <w:szCs w:val="24"/>
        </w:rPr>
        <w:t xml:space="preserve">影响计算机系统可用性最常见的问题或许是系统崩溃（crash），即有问题的系统突然失效。意外的电源失效、软件错误和操作系统失败通常是不可避免的问题，经常引起崩溃。例如，计算机操作系统的一个缺陷或许会引起一个数据库后台进程的突然失败，进而引起数据库服务器崩溃，也叫做数据库实例崩溃（InstanceCrash）。</w:t>
      </w:r>
      <w:r/>
    </w:p>
    <w:p>
      <w:pPr>
        <w:ind w:firstLine="420"/>
        <w:spacing w:line="360" w:lineRule="auto"/>
        <w:rPr>
          <w:rFonts w:ascii="宋体" w:hAnsi="宋体"/>
          <w:sz w:val="24"/>
          <w:szCs w:val="24"/>
        </w:rPr>
      </w:pPr>
      <w:r>
        <w:rPr>
          <w:rFonts w:ascii="宋体" w:hAnsi="宋体"/>
          <w:sz w:val="24"/>
          <w:szCs w:val="24"/>
        </w:rPr>
        <w:t xml:space="preserve">数据库实例崩溃通常不会永久地损坏物理数据结构。带来的主要问题是崩溃发生时该实例内存的所有工作和数据将丢失，除非数据已写入磁盘。例如，当一个实例崩溃时，实例缓存中所有没写入数据文件的数据将会永久丢失，但不必惊慌——根据数据库的事务日志将能够恢复在一个简单的实例崩溃中丢失的全部已提交的工作。</w:t>
      </w:r>
      <w:r/>
    </w:p>
    <w:p>
      <w:pPr>
        <w:numPr>
          <w:ilvl w:val="0"/>
          <w:numId w:val="9"/>
        </w:numPr>
        <w:spacing w:line="360" w:lineRule="auto"/>
        <w:rPr>
          <w:rFonts w:ascii="宋体" w:hAnsi="宋体"/>
          <w:b/>
          <w:sz w:val="24"/>
          <w:szCs w:val="24"/>
        </w:rPr>
      </w:pPr>
      <w:r>
        <w:rPr>
          <w:rFonts w:ascii="宋体" w:hAnsi="宋体"/>
          <w:b/>
          <w:sz w:val="24"/>
          <w:szCs w:val="24"/>
        </w:rPr>
        <w:t xml:space="preserve">用户误操作、冲突、或磁盘失效导致的文件丢失</w:t>
      </w:r>
      <w:r/>
    </w:p>
    <w:p>
      <w:pPr>
        <w:ind w:firstLine="420"/>
        <w:spacing w:line="360" w:lineRule="auto"/>
        <w:rPr>
          <w:rFonts w:ascii="宋体" w:hAnsi="宋体"/>
          <w:sz w:val="24"/>
          <w:szCs w:val="24"/>
        </w:rPr>
      </w:pPr>
      <w:r>
        <w:rPr>
          <w:rFonts w:ascii="宋体" w:hAnsi="宋体"/>
          <w:sz w:val="24"/>
          <w:szCs w:val="24"/>
        </w:rPr>
        <w:t xml:space="preserve">由于操作员的错误、文件冲突或磁盘失效等原因，导致丢失一个重要的数据库文件是一个严重的问题，尽管它有可能决不会发生，但必须有所准备。例如：系统管理人员偶然删除了一个数据文件。如果没有准备，将无法从这个用户错误中恢复该文件。</w:t>
      </w:r>
      <w:r/>
    </w:p>
    <w:p>
      <w:pPr>
        <w:ind w:firstLine="420"/>
        <w:spacing w:line="360" w:lineRule="auto"/>
        <w:rPr>
          <w:rFonts w:ascii="宋体" w:hAnsi="宋体"/>
          <w:sz w:val="24"/>
          <w:szCs w:val="24"/>
        </w:rPr>
      </w:pPr>
      <w:r>
        <w:rPr>
          <w:rFonts w:ascii="宋体" w:hAnsi="宋体"/>
          <w:sz w:val="24"/>
          <w:szCs w:val="24"/>
        </w:rPr>
        <w:t xml:space="preserve">要恢复丢失的数据文件，必须有一个包含已删除数据文件的数据备份；要恢复自备份以来提交的全部工作，必须有必要的事物日志组；数据库备份和恢复机制包含完全保护数据库免遭任何类型的文件丢失所需要的全部东西。</w:t>
      </w:r>
      <w:r/>
    </w:p>
    <w:p>
      <w:pPr>
        <w:numPr>
          <w:ilvl w:val="0"/>
          <w:numId w:val="9"/>
        </w:numPr>
        <w:spacing w:line="360" w:lineRule="auto"/>
        <w:rPr>
          <w:rFonts w:ascii="宋体" w:hAnsi="宋体"/>
          <w:b/>
          <w:sz w:val="24"/>
          <w:szCs w:val="24"/>
        </w:rPr>
      </w:pPr>
      <w:r>
        <w:rPr>
          <w:rFonts w:ascii="宋体" w:hAnsi="宋体"/>
          <w:b/>
          <w:sz w:val="24"/>
          <w:szCs w:val="24"/>
        </w:rPr>
        <w:t xml:space="preserve">场地灾难</w:t>
      </w:r>
      <w:r/>
    </w:p>
    <w:p>
      <w:pPr>
        <w:ind w:firstLine="420"/>
        <w:spacing w:line="360" w:lineRule="auto"/>
        <w:rPr>
          <w:rFonts w:ascii="宋体" w:hAnsi="宋体"/>
          <w:sz w:val="24"/>
          <w:szCs w:val="24"/>
        </w:rPr>
      </w:pPr>
      <w:r>
        <w:rPr>
          <w:rFonts w:ascii="宋体" w:hAnsi="宋体"/>
          <w:sz w:val="24"/>
          <w:szCs w:val="24"/>
        </w:rPr>
        <w:t xml:space="preserve">一个使用数据库的信息系统，对于数据保护应有严格的要求，甚至包括由于自然</w:t>
      </w:r>
      <w:r>
        <w:rPr>
          <w:rFonts w:ascii="宋体" w:hAnsi="宋体"/>
          <w:sz w:val="24"/>
          <w:szCs w:val="24"/>
        </w:rPr>
        <w:t xml:space="preserve">或非自然因素引起的整个场地灾难的应急计划。数据库对此也提供必要的防护。</w:t>
      </w:r>
      <w:r/>
    </w:p>
    <w:p>
      <w:pPr>
        <w:ind w:firstLine="480"/>
        <w:spacing w:line="360" w:lineRule="auto"/>
        <w:rPr>
          <w:rFonts w:ascii="宋体" w:hAnsi="宋体"/>
          <w:sz w:val="24"/>
          <w:szCs w:val="24"/>
        </w:rPr>
      </w:pPr>
      <w:r>
        <w:rPr>
          <w:rFonts w:ascii="宋体" w:hAnsi="宋体"/>
          <w:sz w:val="24"/>
          <w:szCs w:val="24"/>
        </w:rPr>
      </w:r>
      <w:r/>
    </w:p>
    <w:p>
      <w:pPr>
        <w:numPr>
          <w:ilvl w:val="1"/>
          <w:numId w:val="8"/>
        </w:numPr>
        <w:keepLines/>
        <w:keepNext/>
        <w:spacing w:line="360" w:lineRule="auto"/>
        <w:rPr>
          <w:rFonts w:ascii="宋体" w:hAnsi="宋体"/>
          <w:b/>
          <w:bCs/>
          <w:sz w:val="30"/>
          <w:szCs w:val="32"/>
        </w:rPr>
        <w:outlineLvl w:val="1"/>
      </w:pPr>
      <w:r>
        <w:rPr>
          <w:rFonts w:hint="eastAsia" w:ascii="宋体" w:hAnsi="宋体"/>
          <w:b/>
          <w:bCs/>
          <w:sz w:val="30"/>
          <w:szCs w:val="32"/>
        </w:rPr>
        <w:t xml:space="preserve">验收方案要求</w:t>
      </w:r>
      <w:bookmarkEnd w:id="260"/>
      <w:r/>
      <w:bookmarkEnd w:id="261"/>
      <w:r/>
      <w:bookmarkEnd w:id="262"/>
      <w:r/>
      <w:bookmarkEnd w:id="263"/>
      <w:r/>
      <w:bookmarkEnd w:id="264"/>
      <w:r/>
      <w:bookmarkEnd w:id="265"/>
      <w:r/>
      <w:bookmarkEnd w:id="266"/>
      <w:r/>
      <w:bookmarkEnd w:id="267"/>
      <w:r/>
      <w:r/>
    </w:p>
    <w:p>
      <w:pPr>
        <w:ind w:firstLine="480"/>
        <w:spacing w:line="360" w:lineRule="auto"/>
        <w:rPr>
          <w:rFonts w:ascii="宋体" w:hAnsi="宋体"/>
          <w:sz w:val="24"/>
          <w:szCs w:val="24"/>
        </w:rPr>
      </w:pPr>
      <w:r>
        <w:rPr>
          <w:rFonts w:hint="eastAsia" w:ascii="宋体" w:hAnsi="宋体"/>
          <w:sz w:val="24"/>
          <w:szCs w:val="24"/>
        </w:rPr>
        <w:t xml:space="preserve">投标人应在投标文件中提供验收方案，并按照采购人的要求，如期将软件送达指定的使用单位和场地进行安装调试并培训有关人员。</w:t>
      </w:r>
      <w:r/>
    </w:p>
    <w:p>
      <w:pPr>
        <w:ind w:firstLine="480"/>
        <w:spacing w:line="360" w:lineRule="auto"/>
        <w:rPr>
          <w:rFonts w:ascii="宋体" w:hAnsi="宋体"/>
          <w:sz w:val="24"/>
          <w:szCs w:val="24"/>
        </w:rPr>
      </w:pPr>
      <w:r>
        <w:rPr>
          <w:rFonts w:hint="eastAsia" w:ascii="宋体" w:hAnsi="宋体"/>
          <w:sz w:val="24"/>
          <w:szCs w:val="24"/>
        </w:rPr>
        <w:t xml:space="preserve">验收标准：本项目所提供的服务必须满足采购人的所有采购需求，系统运行状态优良，由投标人提出书面验收申请。</w:t>
      </w:r>
      <w:r/>
    </w:p>
    <w:p>
      <w:pPr>
        <w:ind w:firstLine="480"/>
        <w:spacing w:line="360" w:lineRule="auto"/>
        <w:rPr>
          <w:rFonts w:ascii="宋体" w:hAnsi="宋体"/>
          <w:sz w:val="24"/>
          <w:szCs w:val="24"/>
        </w:rPr>
      </w:pPr>
      <w:r>
        <w:rPr>
          <w:rFonts w:hint="eastAsia" w:ascii="宋体" w:hAnsi="宋体"/>
          <w:sz w:val="24"/>
          <w:szCs w:val="24"/>
        </w:rPr>
        <w:t xml:space="preserve">验收程序：（1）项目的验收内容、技术规格、验收标准等验收条款，依据前期的项目方案，投标人提供初稿，由甲乙双方共同确认；（2）正式验收日期十日前，投标人对照双方商定的项目验收条款，完成竣工自验，并向采购人递交自验文档，采购人根据需要组织复查。</w:t>
      </w:r>
      <w:r/>
    </w:p>
    <w:p>
      <w:pPr>
        <w:ind w:firstLine="480"/>
        <w:spacing w:line="360" w:lineRule="auto"/>
        <w:rPr>
          <w:rFonts w:ascii="宋体" w:hAnsi="宋体"/>
          <w:sz w:val="24"/>
          <w:szCs w:val="24"/>
        </w:rPr>
      </w:pPr>
      <w:r>
        <w:rPr>
          <w:rFonts w:hint="eastAsia" w:ascii="宋体" w:hAnsi="宋体"/>
          <w:sz w:val="24"/>
          <w:szCs w:val="24"/>
        </w:rPr>
        <w:t xml:space="preserve">验收指标：本项目验收标准：按照国家、地区相关标准，招投标文件、合同条款具体执行。</w:t>
      </w:r>
      <w:r/>
    </w:p>
    <w:p>
      <w:pPr>
        <w:ind w:firstLine="480"/>
        <w:spacing w:line="360" w:lineRule="auto"/>
        <w:rPr>
          <w:rFonts w:ascii="宋体" w:hAnsi="宋体"/>
          <w:sz w:val="24"/>
          <w:szCs w:val="24"/>
        </w:rPr>
      </w:pPr>
      <w:r>
        <w:rPr>
          <w:rFonts w:hint="eastAsia" w:ascii="宋体" w:hAnsi="宋体"/>
          <w:sz w:val="24"/>
          <w:szCs w:val="24"/>
        </w:rPr>
        <w:t xml:space="preserve">系统上线初步验收：投标人完成本项目采购范围内系统整体上线并正常运行3个月后，可向采购人书面申请本项目整体上线初步验收。</w:t>
      </w:r>
      <w:r/>
    </w:p>
    <w:p>
      <w:pPr>
        <w:ind w:firstLine="480"/>
        <w:spacing w:line="360" w:lineRule="auto"/>
        <w:rPr>
          <w:rFonts w:ascii="宋体" w:hAnsi="宋体"/>
          <w:sz w:val="24"/>
          <w:szCs w:val="24"/>
        </w:rPr>
      </w:pPr>
      <w:r>
        <w:rPr>
          <w:rFonts w:hint="eastAsia" w:ascii="宋体" w:hAnsi="宋体"/>
          <w:sz w:val="24"/>
          <w:szCs w:val="24"/>
        </w:rPr>
        <w:t xml:space="preserve">项目终验：完成本项目所有要求，包括通过互联互通四甲测评和电子病历五级测评后，可向采购人书面申请本项目整体终验。</w:t>
      </w:r>
      <w:r/>
    </w:p>
    <w:p>
      <w:pPr>
        <w:numPr>
          <w:ilvl w:val="1"/>
          <w:numId w:val="8"/>
        </w:numPr>
        <w:keepLines/>
        <w:keepNext/>
        <w:spacing w:line="360" w:lineRule="auto"/>
        <w:rPr>
          <w:rFonts w:ascii="宋体" w:hAnsi="宋体"/>
          <w:b/>
          <w:bCs/>
          <w:sz w:val="30"/>
          <w:szCs w:val="32"/>
        </w:rPr>
        <w:outlineLvl w:val="1"/>
      </w:pPr>
      <w:r/>
      <w:bookmarkStart w:id="268" w:name="_Toc106031066"/>
      <w:r/>
      <w:bookmarkStart w:id="269" w:name="_Toc24571260"/>
      <w:r/>
      <w:bookmarkStart w:id="270" w:name="_Toc42097368"/>
      <w:r/>
      <w:bookmarkStart w:id="271" w:name="_Toc75869857"/>
      <w:r/>
      <w:bookmarkStart w:id="272" w:name="_Toc39928967"/>
      <w:r/>
      <w:bookmarkStart w:id="273" w:name="_Toc38032941"/>
      <w:r/>
      <w:bookmarkStart w:id="274" w:name="_Toc65769133"/>
      <w:r/>
      <w:bookmarkStart w:id="275" w:name="_Toc51713677"/>
      <w:r/>
      <w:bookmarkStart w:id="276" w:name="_Toc24571259"/>
      <w:r/>
      <w:bookmarkStart w:id="277" w:name="_Toc65769132"/>
      <w:r/>
      <w:bookmarkStart w:id="278" w:name="_Toc39928966"/>
      <w:r/>
      <w:bookmarkStart w:id="279" w:name="_Toc51713676"/>
      <w:r/>
      <w:bookmarkStart w:id="280" w:name="_Toc38032940"/>
      <w:r/>
      <w:bookmarkStart w:id="281" w:name="_Toc42097367"/>
      <w:r/>
      <w:bookmarkStart w:id="282" w:name="_Toc75869856"/>
      <w:r/>
      <w:bookmarkStart w:id="283" w:name="_Toc106031065"/>
      <w:r>
        <w:rPr>
          <w:rFonts w:hint="eastAsia" w:ascii="宋体" w:hAnsi="宋体"/>
          <w:b/>
          <w:bCs/>
          <w:sz w:val="30"/>
          <w:szCs w:val="32"/>
        </w:rPr>
        <w:t xml:space="preserve">维保期及售后服务方案要求</w:t>
      </w:r>
      <w:bookmarkEnd w:id="268"/>
      <w:r/>
      <w:bookmarkEnd w:id="269"/>
      <w:r/>
      <w:bookmarkEnd w:id="270"/>
      <w:r/>
      <w:bookmarkEnd w:id="271"/>
      <w:r/>
      <w:bookmarkEnd w:id="272"/>
      <w:r/>
      <w:bookmarkEnd w:id="273"/>
      <w:r/>
      <w:bookmarkEnd w:id="274"/>
      <w:r/>
      <w:bookmarkEnd w:id="275"/>
      <w:r/>
      <w:r/>
    </w:p>
    <w:p>
      <w:pPr>
        <w:ind w:firstLine="480"/>
        <w:spacing w:line="360" w:lineRule="auto"/>
        <w:rPr>
          <w:rFonts w:ascii="宋体" w:hAnsi="宋体"/>
          <w:sz w:val="24"/>
          <w:szCs w:val="24"/>
        </w:rPr>
      </w:pPr>
      <w:r>
        <w:rPr>
          <w:rFonts w:hint="eastAsia" w:ascii="宋体" w:hAnsi="宋体"/>
          <w:sz w:val="24"/>
          <w:szCs w:val="24"/>
        </w:rPr>
        <w:t xml:space="preserve">投标人应在投标文件中提供维保期及售后服务方案，并具备与本项目匹配的服务能力，以响应采购人的技术服务要求。</w:t>
      </w:r>
      <w:r/>
    </w:p>
    <w:p>
      <w:pPr>
        <w:ind w:firstLine="480"/>
        <w:spacing w:line="360" w:lineRule="auto"/>
        <w:rPr>
          <w:rFonts w:ascii="宋体" w:hAnsi="宋体"/>
          <w:sz w:val="24"/>
          <w:szCs w:val="24"/>
        </w:rPr>
      </w:pPr>
      <w:r>
        <w:rPr>
          <w:rFonts w:hint="eastAsia" w:ascii="宋体" w:hAnsi="宋体"/>
          <w:sz w:val="24"/>
          <w:szCs w:val="24"/>
        </w:rPr>
        <w:t xml:space="preserve">免费维保期：自本项目终验后1年。维保期间免费提供系统维护服务，以及已有功能改进需求服务，个性化客户需求服务。后续维保期内投标人仍应提供与维保期内相同质量的售后服务。在售后服务过程中，投标人应具备较好的业务连续性管理体系，做好应急预案，减少业务活动的中断，使关键业务过程免受主要故障的影响，并确保及时恢复。</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本项目实施期、免费维保期内免费提供每季度至少1次（含国庆节与春节假期）的主动巡检服务对系统运行状况、数据库负荷等系统运行状况，进行现场巡检，针对问题隐患提前采取应对措施。每次巡检后出具巡检报告。在保修期内，根据用户的业务扩展情况及时调整软硬件配置，保证系统在最优的状态下稳定运行。（提供承诺函，</w:t>
      </w:r>
      <w:r>
        <w:rPr>
          <w:rFonts w:hint="eastAsia" w:ascii="宋体" w:hAnsi="宋体"/>
          <w:i/>
          <w:iCs/>
          <w:sz w:val="24"/>
          <w:szCs w:val="24"/>
          <w:u w:val="single"/>
        </w:rPr>
        <w:t xml:space="preserve">格式自拟）</w:t>
      </w:r>
      <w:r/>
    </w:p>
    <w:p>
      <w:pPr>
        <w:ind w:firstLine="480"/>
        <w:spacing w:line="360" w:lineRule="auto"/>
        <w:rPr>
          <w:rFonts w:ascii="宋体" w:hAnsi="宋体"/>
          <w:sz w:val="24"/>
          <w:szCs w:val="24"/>
        </w:rPr>
      </w:pPr>
      <w:r>
        <w:rPr>
          <w:rFonts w:ascii="宋体" w:hAnsi="宋体"/>
          <w:sz w:val="24"/>
          <w:szCs w:val="24"/>
        </w:rPr>
      </w:r>
      <w:r/>
    </w:p>
    <w:p>
      <w:pPr>
        <w:numPr>
          <w:ilvl w:val="1"/>
          <w:numId w:val="8"/>
        </w:numPr>
        <w:keepLines/>
        <w:keepNext/>
        <w:spacing w:line="360" w:lineRule="auto"/>
        <w:rPr>
          <w:rFonts w:ascii="宋体" w:hAnsi="宋体"/>
          <w:b/>
          <w:bCs/>
          <w:sz w:val="30"/>
          <w:szCs w:val="32"/>
        </w:rPr>
        <w:outlineLvl w:val="1"/>
      </w:pPr>
      <w:r>
        <w:rPr>
          <w:rFonts w:hint="eastAsia" w:ascii="宋体" w:hAnsi="宋体"/>
          <w:b/>
          <w:bCs/>
          <w:sz w:val="30"/>
          <w:szCs w:val="32"/>
        </w:rPr>
        <w:t xml:space="preserve">培训方案要求</w:t>
      </w:r>
      <w:bookmarkEnd w:id="276"/>
      <w:r/>
      <w:bookmarkEnd w:id="277"/>
      <w:r/>
      <w:bookmarkEnd w:id="278"/>
      <w:r/>
      <w:bookmarkEnd w:id="279"/>
      <w:r/>
      <w:bookmarkEnd w:id="280"/>
      <w:r/>
      <w:bookmarkEnd w:id="281"/>
      <w:r/>
      <w:bookmarkEnd w:id="282"/>
      <w:r/>
      <w:bookmarkEnd w:id="283"/>
      <w:r/>
      <w:r/>
    </w:p>
    <w:p>
      <w:pPr>
        <w:ind w:firstLine="480"/>
        <w:spacing w:line="360" w:lineRule="auto"/>
        <w:rPr>
          <w:rFonts w:ascii="宋体" w:hAnsi="宋体"/>
          <w:sz w:val="24"/>
          <w:szCs w:val="24"/>
        </w:rPr>
      </w:pPr>
      <w:r>
        <w:rPr>
          <w:rFonts w:hint="eastAsia" w:ascii="宋体" w:hAnsi="宋体"/>
          <w:sz w:val="24"/>
          <w:szCs w:val="24"/>
        </w:rPr>
        <w:t xml:space="preserve">投标人必须向采购人提供免费培训，培训方式应包括理论培训和现场培训。投标人须针对不同的培训对象，在投标文件中提出全面、详细的培训计划，包括但不限于培训内容、培训时间、地点、授课老师等。</w:t>
      </w:r>
      <w:r/>
    </w:p>
    <w:p>
      <w:pPr>
        <w:ind w:firstLine="480"/>
        <w:spacing w:line="360" w:lineRule="auto"/>
        <w:rPr>
          <w:rFonts w:ascii="宋体" w:hAnsi="宋体"/>
          <w:sz w:val="24"/>
          <w:szCs w:val="24"/>
        </w:rPr>
      </w:pPr>
      <w:r>
        <w:rPr>
          <w:rFonts w:hint="eastAsia" w:ascii="宋体" w:hAnsi="宋体"/>
          <w:sz w:val="24"/>
          <w:szCs w:val="24"/>
        </w:rPr>
        <w:t xml:space="preserve">投标人派出的培训教员应具备丰富的相同课程教学经验，所有的培训教员必须中文授课，投标人必须为所有被培训人员提供培训用文字资料和讲义等相关用品。</w:t>
      </w:r>
      <w:r/>
    </w:p>
    <w:p>
      <w:pPr>
        <w:ind w:firstLine="480"/>
        <w:spacing w:line="360" w:lineRule="auto"/>
        <w:rPr>
          <w:rFonts w:ascii="宋体" w:hAnsi="宋体"/>
          <w:sz w:val="24"/>
          <w:szCs w:val="24"/>
        </w:rPr>
      </w:pPr>
      <w:r>
        <w:rPr>
          <w:rFonts w:hint="eastAsia" w:ascii="宋体" w:hAnsi="宋体"/>
          <w:sz w:val="24"/>
          <w:szCs w:val="24"/>
        </w:rPr>
        <w:t xml:space="preserve">投标人应按采购人约定合理地安排培训时间。</w:t>
      </w:r>
      <w:r/>
    </w:p>
    <w:p>
      <w:pPr>
        <w:ind w:firstLine="480"/>
        <w:spacing w:line="360" w:lineRule="auto"/>
        <w:rPr>
          <w:rFonts w:ascii="宋体" w:hAnsi="宋体"/>
          <w:sz w:val="24"/>
          <w:szCs w:val="24"/>
        </w:rPr>
      </w:pPr>
      <w:r>
        <w:rPr>
          <w:rFonts w:hint="eastAsia" w:ascii="宋体" w:hAnsi="宋体"/>
          <w:sz w:val="24"/>
          <w:szCs w:val="24"/>
        </w:rPr>
        <w:t xml:space="preserve">培训目的：目的是使业务人员能够熟练掌握系统的操作使用方法，操作管理人员能对整个系统的组成、工作原理、功能、优点作全面的了解，熟悉日常基本维护工作，有能力处理一些常见的、简单的系统故障，避免不规范的操作，尽可能使系统稳定运行在最佳状态。</w:t>
      </w:r>
      <w:r/>
    </w:p>
    <w:p>
      <w:pPr>
        <w:ind w:firstLine="480"/>
        <w:spacing w:line="360" w:lineRule="auto"/>
        <w:rPr>
          <w:rFonts w:ascii="宋体" w:hAnsi="宋体"/>
          <w:sz w:val="24"/>
          <w:szCs w:val="24"/>
        </w:rPr>
      </w:pPr>
      <w:r>
        <w:rPr>
          <w:rFonts w:hint="eastAsia" w:ascii="宋体" w:hAnsi="宋体"/>
          <w:sz w:val="24"/>
          <w:szCs w:val="24"/>
        </w:rPr>
        <w:t xml:space="preserve">保证措施：为确保完成预定的培训目标，有以下几点强制保证措施：</w:t>
      </w:r>
      <w:r/>
    </w:p>
    <w:p>
      <w:pPr>
        <w:ind w:firstLine="480"/>
        <w:spacing w:line="360" w:lineRule="auto"/>
        <w:rPr>
          <w:rFonts w:ascii="宋体" w:hAnsi="宋体"/>
          <w:sz w:val="24"/>
          <w:szCs w:val="24"/>
        </w:rPr>
      </w:pPr>
      <w:r>
        <w:rPr>
          <w:rFonts w:ascii="宋体" w:hAnsi="宋体"/>
          <w:sz w:val="24"/>
          <w:szCs w:val="24"/>
        </w:rPr>
        <w:t xml:space="preserve">做出详细的培训计划，列出包括培训内容、地点、软件环境以</w:t>
      </w:r>
      <w:r>
        <w:rPr>
          <w:rFonts w:hint="eastAsia" w:ascii="宋体" w:hAnsi="宋体"/>
          <w:sz w:val="24"/>
          <w:szCs w:val="24"/>
        </w:rPr>
        <w:t xml:space="preserve">及教员资格、学员准备知识在内的详细培训计划。</w:t>
      </w:r>
      <w:r/>
    </w:p>
    <w:p>
      <w:pPr>
        <w:ind w:firstLine="480"/>
        <w:spacing w:line="360" w:lineRule="auto"/>
        <w:rPr>
          <w:rFonts w:ascii="宋体" w:hAnsi="宋体"/>
          <w:sz w:val="24"/>
          <w:szCs w:val="24"/>
        </w:rPr>
      </w:pPr>
      <w:r>
        <w:rPr>
          <w:rFonts w:ascii="宋体" w:hAnsi="宋体"/>
          <w:sz w:val="24"/>
          <w:szCs w:val="24"/>
        </w:rPr>
        <w:t xml:space="preserve">为每个受训者准备一套完整的培训材料，包括培训讲义、练习题、实</w:t>
      </w:r>
      <w:r>
        <w:rPr>
          <w:rFonts w:hint="eastAsia" w:ascii="宋体" w:hAnsi="宋体"/>
          <w:sz w:val="24"/>
          <w:szCs w:val="24"/>
        </w:rPr>
        <w:t xml:space="preserve">验题及推荐读物的条目等。</w:t>
      </w:r>
      <w:r/>
    </w:p>
    <w:p>
      <w:pPr>
        <w:ind w:firstLine="480"/>
        <w:spacing w:line="360" w:lineRule="auto"/>
        <w:rPr>
          <w:rFonts w:ascii="宋体" w:hAnsi="宋体"/>
          <w:sz w:val="24"/>
          <w:szCs w:val="24"/>
        </w:rPr>
      </w:pPr>
      <w:r>
        <w:rPr>
          <w:rFonts w:ascii="宋体" w:hAnsi="宋体"/>
          <w:sz w:val="24"/>
          <w:szCs w:val="24"/>
        </w:rPr>
        <w:t xml:space="preserve">在每次培训完成后，对受训者进行一次问卷调查，对培训的各个方面（如</w:t>
      </w:r>
      <w:r>
        <w:rPr>
          <w:rFonts w:hint="eastAsia" w:ascii="宋体" w:hAnsi="宋体"/>
          <w:sz w:val="24"/>
          <w:szCs w:val="24"/>
        </w:rPr>
        <w:t xml:space="preserve">培训内容、培训强度、教师能力、教师态度、听课效果、培训环境、组织安排等）进行调查，并将统计结果通报给项目经理，对反映较多的问题及时改正、反省，对问题较多的地方采取及时的补救措施。</w:t>
      </w:r>
      <w:r/>
    </w:p>
    <w:p>
      <w:pPr>
        <w:ind w:firstLine="480"/>
        <w:spacing w:line="360" w:lineRule="auto"/>
        <w:rPr>
          <w:rFonts w:ascii="宋体" w:hAnsi="宋体"/>
          <w:sz w:val="24"/>
          <w:szCs w:val="24"/>
        </w:rPr>
      </w:pPr>
      <w:r>
        <w:rPr>
          <w:rFonts w:ascii="宋体" w:hAnsi="宋体"/>
          <w:sz w:val="24"/>
          <w:szCs w:val="24"/>
        </w:rPr>
        <w:t xml:space="preserve">在培训过程中设立受训方和培训方的协调人制度，双方协调人可以就培</w:t>
      </w:r>
      <w:r>
        <w:rPr>
          <w:rFonts w:hint="eastAsia" w:ascii="宋体" w:hAnsi="宋体"/>
          <w:sz w:val="24"/>
          <w:szCs w:val="24"/>
        </w:rPr>
        <w:t xml:space="preserve">训的各个方面（如培训时间、地点、培训内容、强度等）的问题进行广泛磋商。</w:t>
      </w:r>
      <w:r/>
    </w:p>
    <w:p>
      <w:pPr>
        <w:numPr>
          <w:ilvl w:val="1"/>
          <w:numId w:val="8"/>
        </w:numPr>
        <w:keepLines/>
        <w:keepNext/>
        <w:spacing w:line="360" w:lineRule="auto"/>
        <w:rPr>
          <w:rFonts w:ascii="宋体" w:hAnsi="宋体"/>
          <w:b/>
          <w:bCs/>
          <w:sz w:val="30"/>
          <w:szCs w:val="32"/>
        </w:rPr>
        <w:outlineLvl w:val="1"/>
      </w:pPr>
      <w:r/>
      <w:bookmarkStart w:id="284" w:name="_Toc106031067"/>
      <w:r/>
      <w:bookmarkStart w:id="285" w:name="_Toc75869858"/>
      <w:r/>
      <w:bookmarkStart w:id="286" w:name="_Toc42097369"/>
      <w:r/>
      <w:bookmarkStart w:id="287" w:name="_Toc65769134"/>
      <w:r/>
      <w:bookmarkStart w:id="288" w:name="_Toc51713678"/>
      <w:r/>
      <w:bookmarkStart w:id="289" w:name="_Toc24571261"/>
      <w:r/>
      <w:bookmarkStart w:id="290" w:name="_Toc38032942"/>
      <w:r/>
      <w:bookmarkStart w:id="291" w:name="_Toc39928968"/>
      <w:r>
        <w:rPr>
          <w:rFonts w:hint="eastAsia" w:ascii="宋体" w:hAnsi="宋体"/>
          <w:b/>
          <w:bCs/>
          <w:sz w:val="30"/>
          <w:szCs w:val="32"/>
        </w:rPr>
        <w:t xml:space="preserve">知识产权 </w:t>
      </w:r>
      <w:r/>
    </w:p>
    <w:p>
      <w:pPr>
        <w:ind w:firstLine="480"/>
        <w:spacing w:line="360" w:lineRule="auto"/>
        <w:rPr>
          <w:rFonts w:ascii="宋体" w:hAnsi="宋体" w:cs="宋体"/>
          <w:sz w:val="24"/>
          <w:szCs w:val="24"/>
        </w:rPr>
      </w:pPr>
      <w:r>
        <w:rPr>
          <w:rFonts w:hint="eastAsia" w:ascii="宋体" w:hAnsi="宋体" w:cs="宋体"/>
          <w:i/>
          <w:iCs/>
          <w:sz w:val="24"/>
          <w:szCs w:val="24"/>
          <w:u w:val="single"/>
        </w:rPr>
        <w:t xml:space="preserve">本项目实施期、免费维保期内投标人须保证所提供的软件系统不侵害第三方的知识产权等合法权益。如提供的软件涉及到法律方面的纠纷，由投标人负全责；如因涉及到法律方面的纠纷造成采购人损失，由投标人承担。（提供承诺函，格式自拟）</w:t>
      </w:r>
      <w:r>
        <w:rPr>
          <w:rFonts w:hint="eastAsia" w:ascii="宋体" w:hAnsi="宋体" w:cs="宋体"/>
          <w:bCs/>
          <w:sz w:val="24"/>
          <w:szCs w:val="24"/>
        </w:rPr>
        <w:t xml:space="preserve">如投标人所交付和书面许可采购人使用的软件需经国家有关部门登记、备案、审批或许</w:t>
      </w:r>
      <w:r>
        <w:rPr>
          <w:rFonts w:hint="eastAsia" w:ascii="宋体" w:hAnsi="宋体" w:cs="宋体"/>
          <w:bCs/>
          <w:sz w:val="24"/>
          <w:szCs w:val="24"/>
        </w:rPr>
        <w:t xml:space="preserve">可的，投标人必须保证已完成了上述手续。投标人应当保证采购人在使用该物资或其任何一部分时，不受第三方侵权指控。同时，投标人不得向第三方泄露采购人提供的技术文件等材料。</w:t>
      </w:r>
      <w:r/>
    </w:p>
    <w:p>
      <w:pPr>
        <w:numPr>
          <w:ilvl w:val="1"/>
          <w:numId w:val="8"/>
        </w:numPr>
        <w:keepLines/>
        <w:keepNext/>
        <w:spacing w:line="360" w:lineRule="auto"/>
        <w:rPr>
          <w:rFonts w:ascii="宋体" w:hAnsi="宋体"/>
          <w:b/>
          <w:bCs/>
          <w:sz w:val="30"/>
          <w:szCs w:val="32"/>
        </w:rPr>
        <w:outlineLvl w:val="1"/>
      </w:pPr>
      <w:r>
        <w:rPr>
          <w:rFonts w:hint="eastAsia" w:ascii="宋体" w:hAnsi="宋体"/>
          <w:b/>
          <w:bCs/>
          <w:sz w:val="30"/>
          <w:szCs w:val="32"/>
        </w:rPr>
        <w:t xml:space="preserve">文档要求</w:t>
      </w:r>
      <w:bookmarkEnd w:id="284"/>
      <w:r/>
      <w:bookmarkEnd w:id="285"/>
      <w:r/>
      <w:bookmarkEnd w:id="286"/>
      <w:r/>
      <w:bookmarkEnd w:id="287"/>
      <w:r/>
      <w:bookmarkEnd w:id="288"/>
      <w:r/>
      <w:bookmarkEnd w:id="289"/>
      <w:r/>
      <w:bookmarkEnd w:id="290"/>
      <w:r/>
      <w:bookmarkEnd w:id="291"/>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投标人必须提供完整的软件安装、操作、使用、测试、控制和维护手册。</w:t>
      </w:r>
      <w:r/>
    </w:p>
    <w:p>
      <w:pPr>
        <w:ind w:firstLine="480"/>
        <w:jc w:val="left"/>
        <w:spacing w:line="360" w:lineRule="auto"/>
        <w:widowControl/>
        <w:rPr>
          <w:rFonts w:ascii="宋体" w:hAnsi="宋体"/>
          <w:sz w:val="24"/>
          <w:szCs w:val="24"/>
        </w:rPr>
      </w:pPr>
      <w:r>
        <w:rPr>
          <w:rFonts w:ascii="宋体" w:hAnsi="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pStyle w:val="919"/>
        <w:rPr>
          <w:b/>
          <w:bCs/>
        </w:rPr>
      </w:pPr>
      <w:r>
        <w:rPr>
          <w:rFonts w:hint="eastAsia"/>
          <w:b/>
          <w:bCs/>
        </w:rPr>
        <w:t xml:space="preserve">第五章评标方法与评标标准</w:t>
      </w:r>
      <w:bookmarkEnd w:id="183"/>
      <w:r/>
      <w:bookmarkEnd w:id="184"/>
      <w:r/>
      <w:r/>
    </w:p>
    <w:p>
      <w:r/>
      <w:r/>
    </w:p>
    <w:p>
      <w:pPr>
        <w:pStyle w:val="1015"/>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。本项目推荐中标候选人</w:t>
      </w:r>
      <w:r>
        <w:rPr>
          <w:rFonts w:hint="eastAsia" w:cs="Arial"/>
        </w:rPr>
        <w:t xml:space="preserve">3</w:t>
      </w:r>
      <w:r>
        <w:rPr>
          <w:rFonts w:hint="eastAsia" w:cs="Arial"/>
        </w:rPr>
        <w:t xml:space="preserve">家。</w:t>
      </w:r>
      <w:r/>
    </w:p>
    <w:p>
      <w:pPr>
        <w:pStyle w:val="1015"/>
        <w:ind w:firstLine="441"/>
        <w:rPr>
          <w:rFonts w:ascii="宋体" w:hAnsi="宋体"/>
          <w:b/>
        </w:rPr>
      </w:pPr>
      <w:r>
        <w:rPr>
          <w:rFonts w:hint="eastAsia" w:ascii="宋体" w:hAnsi="宋体"/>
          <w:b/>
        </w:rPr>
        <w:t xml:space="preserve">政府采购政策功能落实：</w:t>
      </w:r>
      <w:r/>
    </w:p>
    <w:p>
      <w:pPr>
        <w:pStyle w:val="1015"/>
        <w:spacing w:line="240" w:lineRule="auto"/>
        <w:rPr>
          <w:rFonts w:cs="Arial"/>
        </w:rPr>
      </w:pPr>
      <w:r>
        <w:rPr>
          <w:rFonts w:hint="eastAsia" w:cs="Arial"/>
        </w:rPr>
        <w:t xml:space="preserve">1</w:t>
      </w:r>
      <w:r>
        <w:rPr>
          <w:rFonts w:hint="eastAsia" w:cs="Arial"/>
        </w:rPr>
        <w:t xml:space="preserve">、小微型企业价格扣除</w:t>
      </w:r>
      <w:r/>
    </w:p>
    <w:p>
      <w:pPr>
        <w:pStyle w:val="1015"/>
        <w:ind w:firstLine="360"/>
        <w:spacing w:line="240" w:lineRule="auto"/>
        <w:rPr>
          <w:rFonts w:cs="Arial"/>
        </w:rPr>
      </w:pPr>
      <w:r>
        <w:rPr>
          <w:rFonts w:hint="eastAsia" w:cs="Arial"/>
        </w:rPr>
        <w:t xml:space="preserve">（</w:t>
      </w:r>
      <w:r>
        <w:rPr>
          <w:rFonts w:hint="eastAsia" w:cs="Arial"/>
        </w:rPr>
        <w:t xml:space="preserve">1</w:t>
      </w:r>
      <w:r>
        <w:rPr>
          <w:rFonts w:hint="eastAsia" w:cs="Arial"/>
        </w:rPr>
        <w:t xml:space="preserve">）本项目对小型和微型企业提供的服务给予</w:t>
      </w:r>
      <w:r>
        <w:rPr>
          <w:rFonts w:hint="eastAsia" w:cs="Arial"/>
        </w:rPr>
        <w:t xml:space="preserve">20%</w:t>
      </w:r>
      <w:r>
        <w:rPr>
          <w:rFonts w:hint="eastAsia" w:cs="Arial"/>
        </w:rPr>
        <w:t xml:space="preserve">的扣除价格，用扣除后的价格参与评审。</w:t>
      </w:r>
      <w:r/>
    </w:p>
    <w:p>
      <w:pPr>
        <w:pStyle w:val="1015"/>
        <w:ind w:firstLine="360"/>
        <w:spacing w:line="240" w:lineRule="auto"/>
        <w:rPr>
          <w:rFonts w:cs="Arial"/>
        </w:rPr>
      </w:pPr>
      <w:r>
        <w:rPr>
          <w:rFonts w:hint="eastAsia" w:cs="Arial"/>
        </w:rPr>
        <w:t xml:space="preserve">（</w:t>
      </w:r>
      <w:r>
        <w:rPr>
          <w:rFonts w:hint="eastAsia" w:cs="Arial"/>
        </w:rPr>
        <w:t xml:space="preserve">2</w:t>
      </w:r>
      <w:r>
        <w:rPr>
          <w:rFonts w:hint="eastAsia" w:cs="Arial"/>
        </w:rPr>
        <w:t xml:space="preserve">）供应商需按照采购文件的要求提供相应的《小微企业声明函》。</w:t>
      </w:r>
      <w:r/>
    </w:p>
    <w:p>
      <w:pPr>
        <w:pStyle w:val="1015"/>
        <w:ind w:firstLine="360"/>
        <w:spacing w:line="240" w:lineRule="auto"/>
        <w:rPr>
          <w:rFonts w:cs="Arial"/>
        </w:rPr>
      </w:pPr>
      <w:r>
        <w:rPr>
          <w:rFonts w:hint="eastAsia" w:cs="Arial"/>
        </w:rPr>
        <w:t xml:space="preserve">（</w:t>
      </w:r>
      <w:r>
        <w:rPr>
          <w:rFonts w:hint="eastAsia" w:cs="Arial"/>
        </w:rPr>
        <w:t xml:space="preserve">3</w:t>
      </w:r>
      <w:r>
        <w:rPr>
          <w:rFonts w:hint="eastAsia" w:cs="Arial"/>
        </w:rPr>
        <w:t xml:space="preserve">）企业标准请参照《关于印发中小企业划型标准规定的通知》（工信部联企业</w:t>
      </w:r>
      <w:r>
        <w:rPr>
          <w:rFonts w:hint="eastAsia" w:cs="Arial"/>
        </w:rPr>
        <w:t xml:space="preserve">[2011]300</w:t>
      </w:r>
      <w:r>
        <w:rPr>
          <w:rFonts w:hint="eastAsia" w:cs="Arial"/>
        </w:rPr>
        <w:t xml:space="preserve">号）文件规定自行填写。</w:t>
      </w:r>
      <w:r/>
    </w:p>
    <w:p>
      <w:pPr>
        <w:pStyle w:val="1015"/>
        <w:spacing w:line="240" w:lineRule="auto"/>
        <w:rPr>
          <w:rFonts w:cs="Arial"/>
        </w:rPr>
      </w:pPr>
      <w:r>
        <w:rPr>
          <w:rFonts w:hint="eastAsia" w:cs="Arial"/>
        </w:rPr>
        <w:t xml:space="preserve">2</w:t>
      </w:r>
      <w:r>
        <w:rPr>
          <w:rFonts w:hint="eastAsia" w:cs="Arial"/>
        </w:rPr>
        <w:t xml:space="preserve">、残疾人福利单位价格扣除</w:t>
      </w:r>
      <w:r/>
    </w:p>
    <w:p>
      <w:pPr>
        <w:pStyle w:val="1015"/>
        <w:ind w:left="120" w:firstLine="360"/>
        <w:spacing w:line="240" w:lineRule="auto"/>
        <w:rPr>
          <w:rFonts w:cs="Arial"/>
        </w:rPr>
      </w:pPr>
      <w:r>
        <w:rPr>
          <w:rFonts w:hint="eastAsia" w:cs="Arial"/>
        </w:rPr>
        <w:t xml:space="preserve">（</w:t>
      </w:r>
      <w:r>
        <w:rPr>
          <w:rFonts w:hint="eastAsia" w:cs="Arial"/>
        </w:rPr>
        <w:t xml:space="preserve">1</w:t>
      </w:r>
      <w:r>
        <w:rPr>
          <w:rFonts w:hint="eastAsia" w:cs="Arial"/>
        </w:rPr>
        <w:t xml:space="preserve">）本项目对残疾人福利性单位视同小型、微型企业，给予</w:t>
      </w:r>
      <w:r>
        <w:rPr>
          <w:rFonts w:hint="eastAsia" w:cs="Arial"/>
        </w:rPr>
        <w:t xml:space="preserve">20%</w:t>
      </w:r>
      <w:r>
        <w:rPr>
          <w:rFonts w:hint="eastAsia" w:cs="Arial"/>
        </w:rPr>
        <w:t xml:space="preserve">的价格扣除，用扣除后的价格参与评审。</w:t>
      </w:r>
      <w:r/>
    </w:p>
    <w:p>
      <w:pPr>
        <w:pStyle w:val="1015"/>
        <w:ind w:left="120" w:firstLine="360"/>
        <w:spacing w:line="240" w:lineRule="auto"/>
        <w:rPr>
          <w:rFonts w:cs="Arial"/>
        </w:rPr>
      </w:pPr>
      <w:r>
        <w:rPr>
          <w:rFonts w:hint="eastAsia" w:cs="Arial"/>
        </w:rPr>
        <w:t xml:space="preserve">（</w:t>
      </w:r>
      <w:r>
        <w:rPr>
          <w:rFonts w:hint="eastAsia" w:cs="Arial"/>
        </w:rPr>
        <w:t xml:space="preserve">2</w:t>
      </w:r>
      <w:r>
        <w:rPr>
          <w:rFonts w:hint="eastAsia" w:cs="Arial"/>
        </w:rPr>
        <w:t xml:space="preserve">）残疾人福利单位需按照采购文件的要求提供《残疾人福利性单位声明函》。</w:t>
      </w:r>
      <w:r/>
    </w:p>
    <w:p>
      <w:pPr>
        <w:pStyle w:val="1015"/>
        <w:ind w:left="120" w:firstLine="360"/>
        <w:spacing w:line="240" w:lineRule="auto"/>
        <w:rPr>
          <w:rFonts w:cs="Arial"/>
        </w:rPr>
      </w:pPr>
      <w:r>
        <w:rPr>
          <w:rFonts w:hint="eastAsia" w:cs="Arial"/>
        </w:rPr>
        <w:t xml:space="preserve">（</w:t>
      </w:r>
      <w:r>
        <w:rPr>
          <w:rFonts w:hint="eastAsia" w:cs="Arial"/>
        </w:rPr>
        <w:t xml:space="preserve">3</w:t>
      </w:r>
      <w:r>
        <w:rPr>
          <w:rFonts w:hint="eastAsia" w:cs="Arial"/>
        </w:rPr>
        <w:t xml:space="preserve">）残疾人福利单位标准请参照《关于促进残疾人就业政府采购政策的通知》（财库〔</w:t>
      </w:r>
      <w:r>
        <w:rPr>
          <w:rFonts w:hint="eastAsia" w:cs="Arial"/>
        </w:rPr>
        <w:t xml:space="preserve">2017</w:t>
      </w:r>
      <w:r>
        <w:rPr>
          <w:rFonts w:hint="eastAsia" w:cs="Arial"/>
        </w:rPr>
        <w:t xml:space="preserve">〕</w:t>
      </w:r>
      <w:r>
        <w:rPr>
          <w:rFonts w:hint="eastAsia" w:cs="Arial"/>
        </w:rPr>
        <w:t xml:space="preserve">141</w:t>
      </w:r>
      <w:r>
        <w:rPr>
          <w:rFonts w:hint="eastAsia" w:cs="Arial"/>
        </w:rPr>
        <w:t xml:space="preserve">号）。</w:t>
      </w:r>
      <w:r/>
    </w:p>
    <w:p>
      <w:pPr>
        <w:pStyle w:val="1015"/>
        <w:spacing w:line="240" w:lineRule="auto"/>
        <w:rPr>
          <w:rFonts w:cs="Arial"/>
        </w:rPr>
      </w:pPr>
      <w:r>
        <w:rPr>
          <w:rFonts w:hint="eastAsia" w:cs="Arial"/>
        </w:rPr>
        <w:t xml:space="preserve">3</w:t>
      </w:r>
      <w:r>
        <w:rPr>
          <w:rFonts w:hint="eastAsia" w:cs="Arial"/>
        </w:rPr>
        <w:t xml:space="preserve">、监狱和戒毒企业价格扣除</w:t>
      </w:r>
      <w:r/>
    </w:p>
    <w:p>
      <w:pPr>
        <w:pStyle w:val="1015"/>
        <w:spacing w:line="240" w:lineRule="auto"/>
        <w:rPr>
          <w:rFonts w:cs="Arial"/>
        </w:rPr>
      </w:pPr>
      <w:r>
        <w:rPr>
          <w:rFonts w:hint="eastAsia" w:cs="Arial"/>
        </w:rPr>
        <w:t xml:space="preserve">（</w:t>
      </w:r>
      <w:r>
        <w:rPr>
          <w:rFonts w:hint="eastAsia" w:cs="Arial"/>
        </w:rPr>
        <w:t xml:space="preserve">1</w:t>
      </w:r>
      <w:r>
        <w:rPr>
          <w:rFonts w:hint="eastAsia" w:cs="Arial"/>
        </w:rPr>
        <w:t xml:space="preserve">）本项目对监狱和戒毒企业（简称监狱企业）视同小型、微型企业，给予</w:t>
      </w:r>
      <w:r>
        <w:rPr>
          <w:rFonts w:hint="eastAsia" w:cs="Arial"/>
        </w:rPr>
        <w:t xml:space="preserve">20%</w:t>
      </w:r>
      <w:r>
        <w:rPr>
          <w:rFonts w:hint="eastAsia" w:cs="Arial"/>
        </w:rPr>
        <w:t xml:space="preserve">的价格扣除，用扣除后的价格参与评审。</w:t>
      </w:r>
      <w:r/>
    </w:p>
    <w:p>
      <w:pPr>
        <w:pStyle w:val="1015"/>
        <w:spacing w:line="240" w:lineRule="auto"/>
        <w:rPr>
          <w:rFonts w:cs="Arial"/>
        </w:rPr>
      </w:pPr>
      <w:r>
        <w:rPr>
          <w:rFonts w:hint="eastAsia" w:cs="Arial"/>
        </w:rPr>
        <w:t xml:space="preserve">（</w:t>
      </w:r>
      <w:r>
        <w:rPr>
          <w:rFonts w:hint="eastAsia" w:cs="Arial"/>
        </w:rPr>
        <w:t xml:space="preserve">2</w:t>
      </w:r>
      <w:r>
        <w:rPr>
          <w:rFonts w:hint="eastAsia" w:cs="Arial"/>
        </w:rPr>
        <w:t xml:space="preserve">）监狱企业参加政府采购活动时，需提供由省级以上监狱管理局、戒毒管理局</w:t>
      </w:r>
      <w:r>
        <w:rPr>
          <w:rFonts w:hint="eastAsia" w:cs="Arial"/>
        </w:rPr>
        <w:t xml:space="preserve">(</w:t>
      </w:r>
      <w:r>
        <w:rPr>
          <w:rFonts w:hint="eastAsia" w:cs="Arial"/>
        </w:rPr>
        <w:t xml:space="preserve">含新疆生产建设兵团</w:t>
      </w:r>
      <w:r>
        <w:rPr>
          <w:rFonts w:hint="eastAsia" w:cs="Arial"/>
        </w:rPr>
        <w:t xml:space="preserve">)</w:t>
      </w:r>
      <w:r>
        <w:rPr>
          <w:rFonts w:hint="eastAsia" w:cs="Arial"/>
        </w:rPr>
        <w:t xml:space="preserve">出具的属于监狱企业的证明文件。供应商如不提供上述证明文件，价格将不做相应扣除。</w:t>
      </w:r>
      <w:r/>
    </w:p>
    <w:p>
      <w:pPr>
        <w:pStyle w:val="1015"/>
        <w:spacing w:line="240" w:lineRule="auto"/>
        <w:rPr>
          <w:rFonts w:cs="Arial"/>
        </w:rPr>
      </w:pPr>
      <w:r>
        <w:rPr>
          <w:rFonts w:hint="eastAsia" w:cs="Arial"/>
        </w:rPr>
        <w:t xml:space="preserve">（</w:t>
      </w:r>
      <w:r>
        <w:rPr>
          <w:rFonts w:hint="eastAsia" w:cs="Arial"/>
        </w:rPr>
        <w:t xml:space="preserve">3</w:t>
      </w:r>
      <w:r>
        <w:rPr>
          <w:rFonts w:hint="eastAsia" w:cs="Arial"/>
        </w:rPr>
        <w:t xml:space="preserve">）监狱企业标准请参照《关于政府采购支持监狱企业发展有关问题的通知》（</w:t>
      </w:r>
      <w:r>
        <w:rPr>
          <w:rFonts w:cs="Arial"/>
        </w:rPr>
        <w:t xml:space="preserve">财库</w:t>
      </w:r>
      <w:r>
        <w:rPr>
          <w:rFonts w:cs="Arial"/>
        </w:rPr>
        <w:t xml:space="preserve">[2014]68</w:t>
      </w:r>
      <w:r>
        <w:rPr>
          <w:rFonts w:cs="Arial"/>
        </w:rPr>
        <w:t xml:space="preserve">号</w:t>
      </w:r>
      <w:r>
        <w:rPr>
          <w:rFonts w:hint="eastAsia" w:cs="Arial"/>
        </w:rPr>
        <w:t xml:space="preserve">）。</w:t>
      </w:r>
      <w:r/>
    </w:p>
    <w:p>
      <w:pPr>
        <w:pStyle w:val="1015"/>
        <w:spacing w:line="240" w:lineRule="auto"/>
        <w:rPr>
          <w:rFonts w:cs="Arial"/>
        </w:rPr>
      </w:pPr>
      <w:r>
        <w:rPr>
          <w:rFonts w:hint="eastAsia" w:cs="Arial"/>
        </w:rPr>
        <w:t xml:space="preserve">4</w:t>
      </w:r>
      <w:r>
        <w:rPr>
          <w:rFonts w:hint="eastAsia" w:cs="Arial"/>
        </w:rPr>
        <w:t xml:space="preserve">、残疾人福利单位、监狱企业属于小型、微型企业的，不重复享受政策。</w:t>
      </w:r>
      <w:r/>
    </w:p>
    <w:p>
      <w:pPr>
        <w:pStyle w:val="1015"/>
        <w:spacing w:line="240" w:lineRule="auto"/>
        <w:rPr>
          <w:rFonts w:cs="Arial"/>
        </w:rPr>
      </w:pPr>
      <w:r>
        <w:rPr>
          <w:rFonts w:hint="eastAsia" w:cs="Arial"/>
        </w:rPr>
        <w:t xml:space="preserve">5</w:t>
      </w:r>
      <w:r>
        <w:rPr>
          <w:rFonts w:hint="eastAsia" w:cs="Arial"/>
        </w:rPr>
        <w:t xml:space="preserve">、如果本项目同意联合体投标或同意分包履行合同的</w:t>
      </w:r>
      <w:r>
        <w:rPr>
          <w:rFonts w:hint="eastAsia" w:cs="Arial"/>
        </w:rPr>
        <w:t xml:space="preserve">,</w:t>
      </w:r>
      <w:r>
        <w:rPr>
          <w:rFonts w:hint="eastAsia" w:cs="Aria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Arial"/>
        </w:rPr>
        <w:t xml:space="preserve">30%</w:t>
      </w:r>
      <w:r>
        <w:rPr>
          <w:rFonts w:hint="eastAsia" w:cs="Arial"/>
        </w:rPr>
        <w:t xml:space="preserve">以上的，给予联合体或者大中型企业</w:t>
      </w:r>
      <w:r>
        <w:rPr>
          <w:rFonts w:hint="eastAsia" w:cs="Arial"/>
        </w:rPr>
        <w:t xml:space="preserve">6%</w:t>
      </w:r>
      <w:r>
        <w:rPr>
          <w:rFonts w:hint="eastAsia" w:cs="Arial"/>
        </w:rPr>
        <w:t xml:space="preserve">的价格扣除，</w:t>
      </w:r>
      <w:r>
        <w:rPr>
          <w:rFonts w:hint="eastAsia" w:cs="Arial"/>
        </w:rPr>
        <w:t xml:space="preserve">用扣除后的价格参与评审。</w:t>
      </w:r>
      <w:r/>
    </w:p>
    <w:p>
      <w:pPr>
        <w:pStyle w:val="1015"/>
        <w:spacing w:line="400" w:lineRule="exact"/>
        <w:rPr>
          <w:rFonts w:cs="Arial"/>
        </w:rPr>
      </w:pPr>
      <w:r>
        <w:rPr>
          <w:rFonts w:hint="eastAsia" w:cs="Arial"/>
        </w:rPr>
        <w:t xml:space="preserve">6</w:t>
      </w:r>
      <w:r>
        <w:rPr>
          <w:rFonts w:hint="eastAsia" w:cs="Arial"/>
        </w:rPr>
        <w:t xml:space="preserve">、联合体各方均为小型、微型企业（残疾人福利单位、监狱企业）的，联合体享受</w:t>
      </w:r>
      <w:r>
        <w:rPr>
          <w:rFonts w:hint="eastAsia" w:cs="Arial"/>
        </w:rPr>
        <w:t xml:space="preserve">20%</w:t>
      </w:r>
      <w:r>
        <w:rPr>
          <w:rFonts w:hint="eastAsia" w:cs="Arial"/>
        </w:rPr>
        <w:t xml:space="preserve">价格扣除，用扣除后的价格参与评审。</w:t>
      </w:r>
      <w:r/>
    </w:p>
    <w:p>
      <w:pPr>
        <w:pStyle w:val="751"/>
        <w:rPr>
          <w:rFonts w:hAnsi="宋体"/>
          <w:b/>
          <w:color w:val="auto"/>
        </w:rPr>
      </w:pPr>
      <w:r>
        <w:rPr>
          <w:rFonts w:hint="eastAsia" w:hAnsi="宋体"/>
          <w:b/>
          <w:color w:val="auto"/>
        </w:rPr>
        <w:t xml:space="preserve">评标方法与评标标准</w:t>
      </w:r>
      <w:r/>
    </w:p>
    <w:tbl>
      <w:tblPr>
        <w:tblpPr w:horzAnchor="page" w:tblpX="1545" w:vertAnchor="text" w:tblpY="356" w:leftFromText="180" w:topFromText="0" w:rightFromText="180" w:bottomFromText="0"/>
        <w:tblW w:w="8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7"/>
        <w:gridCol w:w="7211"/>
      </w:tblGrid>
      <w:tr>
        <w:trP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firstLine="241"/>
              <w:rPr>
                <w:rFonts w:ascii="宋体" w:hAnsi="宋体" w:cs="宋体"/>
                <w:b/>
                <w:sz w:val="24"/>
                <w:szCs w:val="24"/>
              </w:rPr>
            </w:pPr>
            <w:r>
              <w:rPr>
                <w:rFonts w:hint="eastAsia" w:ascii="宋体" w:hAnsi="宋体" w:cs="宋体"/>
                <w:b/>
                <w:sz w:val="24"/>
                <w:szCs w:val="24"/>
                <w:lang w:bidi="ar"/>
              </w:rPr>
              <w:t xml:space="preserve">项  目</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2"/>
              <w:jc w:val="center"/>
              <w:rPr>
                <w:rFonts w:ascii="宋体" w:hAnsi="宋体" w:cs="宋体"/>
                <w:b/>
                <w:sz w:val="24"/>
                <w:szCs w:val="24"/>
              </w:rPr>
            </w:pPr>
            <w:r>
              <w:rPr>
                <w:rFonts w:hint="eastAsia" w:ascii="宋体" w:hAnsi="宋体" w:cs="宋体"/>
                <w:b/>
                <w:sz w:val="24"/>
                <w:szCs w:val="24"/>
                <w:lang w:bidi="ar"/>
              </w:rPr>
              <w:t xml:space="preserve">评  分  标  准</w:t>
            </w:r>
            <w:r/>
          </w:p>
        </w:tc>
      </w:tr>
      <w:tr>
        <w:trPr>
          <w:trHeight w:val="1906"/>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价 格</w:t>
            </w:r>
            <w:r/>
          </w:p>
          <w:p>
            <w:pPr>
              <w:jc w:val="center"/>
              <w:rPr>
                <w:rFonts w:ascii="宋体" w:hAnsi="宋体" w:cs="宋体"/>
                <w:sz w:val="24"/>
                <w:szCs w:val="24"/>
              </w:rPr>
            </w:pPr>
            <w:r>
              <w:rPr>
                <w:rFonts w:hint="eastAsia" w:ascii="宋体" w:hAnsi="宋体" w:cs="宋体"/>
                <w:sz w:val="24"/>
                <w:szCs w:val="24"/>
                <w:lang w:bidi="ar"/>
              </w:rPr>
              <w:t xml:space="preserve">（10分）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满足招标文件要求投标价格最低的投标报价为评标基准价，其价格为满分10分，其他投标人的价格分按照下列公式计算：</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投标报价得分=（评标基准价/其他投标报价）×10×100%，小数点后保留2位。</w:t>
            </w:r>
            <w:r/>
          </w:p>
        </w:tc>
      </w:tr>
      <w:tr>
        <w:trP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技术性能</w:t>
            </w:r>
            <w:r/>
          </w:p>
          <w:p>
            <w:pPr>
              <w:jc w:val="center"/>
              <w:rPr>
                <w:rFonts w:ascii="宋体" w:hAnsi="宋体" w:cs="宋体"/>
                <w:sz w:val="24"/>
                <w:szCs w:val="24"/>
                <w:lang w:bidi="ar"/>
              </w:rPr>
            </w:pPr>
            <w:r>
              <w:rPr>
                <w:rFonts w:hint="eastAsia" w:ascii="宋体" w:hAnsi="宋体" w:cs="宋体"/>
                <w:sz w:val="24"/>
                <w:szCs w:val="24"/>
                <w:lang w:bidi="ar"/>
              </w:rPr>
              <w:t xml:space="preserve">（28分）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Calibri"/>
              </w:rPr>
              <w:t xml:space="preserve">本项演示需对下述7个评分项内容进行完整演示。以视频录制的方式对系统进行演示佐证，同时配以同期声提示该处视频所演示的相关功能点，未完整演示的该评分点不得分。</w:t>
            </w:r>
            <w:r>
              <w:rPr>
                <w:rFonts w:ascii="宋体" w:hAnsi="宋体" w:cs="Calibri"/>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Calibri"/>
              </w:rPr>
              <w:t xml:space="preserve">20</w:t>
            </w:r>
            <w:r>
              <w:rPr>
                <w:rFonts w:ascii="宋体" w:hAnsi="宋体" w:cs="Calibri"/>
              </w:rPr>
              <w:t xml:space="preserve">分钟</w:t>
            </w:r>
            <w:r>
              <w:rPr>
                <w:rFonts w:hint="eastAsia" w:ascii="宋体" w:hAnsi="宋体" w:cs="Calibri"/>
              </w:rPr>
              <w:t xml:space="preserve">。</w:t>
            </w:r>
            <w:r>
              <w:rPr>
                <w:rFonts w:hint="eastAsia" w:ascii="宋体" w:hAnsi="宋体" w:cs="宋体"/>
                <w:bCs/>
                <w:sz w:val="24"/>
                <w:szCs w:val="24"/>
              </w:rPr>
              <w:t xml:space="preserve">对以下功能参数进行完整的系统演示；使用真实系统演示的，每演示一个功能点得4分；使用DEMO演示的每个功能点最多得2分；使用PPT演示的每个功能点最多得1分，不演示或不符合要求不得分，本项总分28分。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1.以门诊诊疗需求与门诊精细化管理为依托，对门诊医生站功能与集成性提出要求，包括：门诊医生站应集成门诊医生日常工作，即在门诊医生站同一界面中处理门诊病历、诊断、门诊医嘱（药品、检查、检验、会诊等），无需界面跳转，并可以通过功能栏形式在同界面中展示复诊预约、诊断证明临床常用操作。</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2.住院医生站的医嘱应与门诊医嘱操作保持一致，并在同一录入界面中增加各型医嘱的录入，如支持饮食医嘱、会诊医嘱、转科医嘱等内容，方便医生操作。</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3､在住院医生工作站主页面，医生待办的事项在一个页面上进行集中展示，包括但不限于查看今日入院、今日出院、抗菌药物超期提醒、发起会诊、接受会诊、我的手术急需其他科室协助治疗等内容；点击“发起会诊”可以在该页面查看到当前医生发起的全部会诊申请，且点击任意一条会诊申请均可在该页面查看到“会诊记录单”和“会诊意见”。</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4.电子病历需在符合书写规范管理下为医生提供书写的便利，在引</w:t>
            </w:r>
            <w:r>
              <w:rPr>
                <w:rFonts w:hint="eastAsia" w:ascii="宋体" w:hAnsi="宋体" w:cs="宋体"/>
                <w:bCs/>
                <w:sz w:val="24"/>
                <w:szCs w:val="24"/>
              </w:rPr>
              <w:t xml:space="preserve">用模版时，可以选择需要的病种章节内容，例如只使用急性咳嗽的主诉及现病史，而不替换整份病历；可智能化扩展病历书写界面，通过扩展界面实现同屏病历、检查、检验数据引用。</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5.医务管理涉及医疗流程中的方方面面，医药结合及精细化管理是其中重要的组成部门，在医药管理中，每个药品可以通过业务属性配置设定他在某个科室、某个医生下使用的剂量及极量；可以设定某个或某类药品在业务流程中的流向管控。</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6.医院信息集成平台可以通过数据采集工具采集医院医疗及运营数据，并通过bi工具对各种数据进行分析及应用，请展示平台数据采集指挥台，对业务数据采集进行整体管理，包涵数据采集情况，采集错误情况内容。</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7.在住院护士工作站中选择任意一条医嘱，系统支持在住院护士工作站中能直接查看该条医嘱的闭环信息，且每个节点信息需包含执行人姓名和执行时间，当出现节点出现异常时，需用不同颜色进行提醒。</w:t>
            </w:r>
            <w:r/>
          </w:p>
        </w:tc>
      </w:tr>
      <w:tr>
        <w:trPr>
          <w:trHeight w:val="20"/>
        </w:trPr>
        <w:tc>
          <w:tcPr>
            <w:tcBorders>
              <w:left w:val="single" w:color="auto" w:sz="4" w:space="0"/>
              <w:right w:val="single" w:color="auto" w:sz="4" w:space="0"/>
            </w:tcBorders>
            <w:tcW w:w="1267" w:type="dxa"/>
            <w:vAlign w:val="center"/>
            <w:vMerge w:val="restart"/>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技术方案（20分）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1、总体设计：</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ascii="宋体" w:hAnsi="宋体" w:cs="宋体"/>
                <w:bCs/>
                <w:sz w:val="24"/>
                <w:szCs w:val="24"/>
              </w:rPr>
              <w:t xml:space="preserve">优于采购文件要求的得</w:t>
            </w:r>
            <w:r>
              <w:rPr>
                <w:rFonts w:hint="eastAsia" w:ascii="宋体" w:hAnsi="宋体" w:cs="宋体"/>
                <w:bCs/>
                <w:sz w:val="24"/>
                <w:szCs w:val="24"/>
              </w:rPr>
              <w:t xml:space="preserve">5</w:t>
            </w:r>
            <w:r>
              <w:rPr>
                <w:rFonts w:ascii="宋体" w:hAnsi="宋体" w:cs="宋体"/>
                <w:bCs/>
                <w:sz w:val="24"/>
                <w:szCs w:val="24"/>
              </w:rPr>
              <w:t xml:space="preserve">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ascii="宋体" w:hAnsi="宋体" w:cs="宋体"/>
                <w:bCs/>
                <w:sz w:val="24"/>
                <w:szCs w:val="24"/>
              </w:rPr>
              <w:t xml:space="preserve">完全符合采购文件要求的得</w:t>
            </w:r>
            <w:r>
              <w:rPr>
                <w:rFonts w:hint="eastAsia" w:ascii="宋体" w:hAnsi="宋体" w:cs="宋体"/>
                <w:bCs/>
                <w:sz w:val="24"/>
                <w:szCs w:val="24"/>
              </w:rPr>
              <w:t xml:space="preserve">3</w:t>
            </w:r>
            <w:r>
              <w:rPr>
                <w:rFonts w:ascii="宋体" w:hAnsi="宋体" w:cs="宋体"/>
                <w:bCs/>
                <w:sz w:val="24"/>
                <w:szCs w:val="24"/>
              </w:rPr>
              <w:t xml:space="preserve">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ascii="宋体" w:hAnsi="宋体" w:cs="宋体"/>
                <w:bCs/>
                <w:sz w:val="24"/>
                <w:szCs w:val="24"/>
              </w:rPr>
              <w:t xml:space="preserve">基本符合采购文件要求的得</w:t>
            </w:r>
            <w:r>
              <w:rPr>
                <w:rFonts w:hint="eastAsia" w:ascii="宋体" w:hAnsi="宋体" w:cs="宋体"/>
                <w:bCs/>
                <w:sz w:val="24"/>
                <w:szCs w:val="24"/>
              </w:rPr>
              <w:t xml:space="preserve">1</w:t>
            </w:r>
            <w:r>
              <w:rPr>
                <w:rFonts w:ascii="宋体" w:hAnsi="宋体" w:cs="宋体"/>
                <w:bCs/>
                <w:sz w:val="24"/>
                <w:szCs w:val="24"/>
              </w:rPr>
              <w:t xml:space="preserve">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ascii="宋体" w:hAnsi="宋体" w:cs="宋体"/>
                <w:bCs/>
                <w:sz w:val="24"/>
                <w:szCs w:val="24"/>
              </w:rPr>
              <w:t xml:space="preserve">不符合采购文件要求或未提供的不得分。</w:t>
            </w:r>
            <w:r/>
          </w:p>
        </w:tc>
      </w:tr>
      <w:tr>
        <w:trPr>
          <w:trHeight w:val="20"/>
        </w:trPr>
        <w:tc>
          <w:tcPr>
            <w:tcBorders>
              <w:left w:val="single" w:color="auto" w:sz="4" w:space="0"/>
              <w:right w:val="single" w:color="auto" w:sz="4" w:space="0"/>
            </w:tcBorders>
            <w:tcW w:w="1267"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numPr>
                <w:ilvl w:val="0"/>
                <w:numId w:val="10"/>
              </w:num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实施方案：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left w:val="single" w:color="auto" w:sz="4" w:space="0"/>
              <w:right w:val="single" w:color="auto" w:sz="4" w:space="0"/>
            </w:tcBorders>
            <w:tcW w:w="1267"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numPr>
                <w:ilvl w:val="0"/>
                <w:numId w:val="10"/>
              </w:num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应急方案: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left w:val="single" w:color="auto" w:sz="4" w:space="0"/>
              <w:right w:val="single" w:color="auto" w:sz="4" w:space="0"/>
            </w:tcBorders>
            <w:tcW w:w="1267"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安全运维方案：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top w:val="single" w:color="auto" w:sz="4" w:space="0"/>
              <w:left w:val="single" w:color="auto" w:sz="4" w:space="0"/>
              <w:right w:val="single" w:color="auto" w:sz="4" w:space="0"/>
            </w:tcBorders>
            <w:tcW w:w="1267" w:type="dxa"/>
            <w:vAlign w:val="center"/>
            <w:vMerge w:val="restart"/>
            <w:textDirection w:val="lrTb"/>
            <w:noWrap w:val="false"/>
          </w:tcPr>
          <w:p>
            <w:pPr>
              <w:jc w:val="left"/>
              <w:rPr>
                <w:rFonts w:ascii="宋体" w:hAnsi="宋体" w:cs="宋体"/>
                <w:sz w:val="24"/>
                <w:szCs w:val="24"/>
                <w:lang w:bidi="ar"/>
              </w:rPr>
            </w:pPr>
            <w:r>
              <w:rPr>
                <w:rFonts w:hint="eastAsia" w:ascii="宋体" w:hAnsi="宋体" w:cs="宋体"/>
                <w:sz w:val="24"/>
                <w:szCs w:val="24"/>
                <w:lang w:bidi="ar"/>
              </w:rPr>
              <w:t xml:space="preserve">服务方案</w:t>
            </w:r>
            <w:r/>
          </w:p>
          <w:p>
            <w:pPr>
              <w:jc w:val="left"/>
              <w:rPr>
                <w:rFonts w:ascii="宋体" w:hAnsi="宋体" w:cs="宋体"/>
                <w:sz w:val="24"/>
                <w:szCs w:val="24"/>
                <w:lang w:bidi="ar"/>
              </w:rPr>
            </w:pPr>
            <w:r>
              <w:rPr>
                <w:rFonts w:hint="eastAsia" w:ascii="宋体" w:hAnsi="宋体" w:cs="宋体"/>
                <w:sz w:val="24"/>
                <w:szCs w:val="24"/>
                <w:lang w:bidi="ar"/>
              </w:rPr>
              <w:t xml:space="preserve">（15分）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w:t>
            </w:r>
            <w:r>
              <w:rPr>
                <w:rFonts w:hint="eastAsia" w:ascii="宋体" w:hAnsi="宋体" w:cs="宋体"/>
                <w:bCs/>
                <w:sz w:val="24"/>
                <w:szCs w:val="24"/>
              </w:rPr>
              <w:t xml:space="preserve">验收</w:t>
            </w:r>
            <w:r>
              <w:rPr>
                <w:rFonts w:hint="eastAsia" w:ascii="宋体" w:hAnsi="宋体" w:cs="宋体"/>
                <w:bCs/>
                <w:sz w:val="24"/>
                <w:szCs w:val="24"/>
                <w:lang w:val="zh-CN"/>
              </w:rPr>
              <w:t xml:space="preserve">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left w:val="single" w:color="auto" w:sz="4" w:space="0"/>
              <w:right w:val="single" w:color="auto" w:sz="4" w:space="0"/>
            </w:tcBorders>
            <w:tcW w:w="1267" w:type="dxa"/>
            <w:vAlign w:val="center"/>
            <w:vMerge w:val="continue"/>
            <w:textDirection w:val="lrTb"/>
            <w:noWrap w:val="false"/>
          </w:tcPr>
          <w:p>
            <w:pPr>
              <w:jc w:val="left"/>
            </w:p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val="zh-CN"/>
              </w:rPr>
              <w:t xml:space="preserve">、</w:t>
            </w:r>
            <w:r>
              <w:rPr>
                <w:rFonts w:hint="eastAsia" w:ascii="宋体" w:hAnsi="宋体" w:cs="宋体"/>
                <w:bCs/>
                <w:sz w:val="24"/>
                <w:szCs w:val="24"/>
              </w:rPr>
              <w:t xml:space="preserve">维保期及售后服务方案：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left w:val="single" w:color="auto" w:sz="4" w:space="0"/>
              <w:bottom w:val="single" w:color="auto" w:sz="4" w:space="0"/>
              <w:right w:val="single" w:color="auto" w:sz="4" w:space="0"/>
            </w:tcBorders>
            <w:tcW w:w="1267" w:type="dxa"/>
            <w:vAlign w:val="center"/>
            <w:vMerge w:val="continue"/>
            <w:textDirection w:val="lrTb"/>
            <w:noWrap w:val="false"/>
          </w:tcPr>
          <w:p>
            <w:pPr>
              <w:jc w:val="left"/>
              <w:rPr>
                <w:rFonts w:ascii="宋体" w:hAnsi="宋体" w:cs="宋体"/>
                <w:sz w:val="24"/>
                <w:szCs w:val="24"/>
                <w:lang w:bidi="ar"/>
              </w:rPr>
            </w:pPr>
            <w:r>
              <w:rPr>
                <w:rFonts w:ascii="宋体" w:hAnsi="宋体" w:cs="宋体"/>
                <w:sz w:val="24"/>
                <w:szCs w:val="24"/>
                <w:lang w:bidi="ar"/>
              </w:rPr>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3、培训方案：</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优于采购文件要求的得5分；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完全符合采购文件要求的得3分；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基本符合采购文件要求的得1分；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不符合采购文件要求或未提供的不得分。</w:t>
            </w:r>
            <w:r/>
          </w:p>
        </w:tc>
      </w:tr>
      <w:tr>
        <w:trP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项目组成员（12分）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项目的投入和项目组人员素质情况：</w:t>
            </w:r>
            <w:r/>
          </w:p>
          <w:p>
            <w:pPr>
              <w:numPr>
                <w:ilvl w:val="0"/>
                <w:numId w:val="11"/>
              </w:num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拟派驻本项目的项目经理具有信息系统项目管理师证书的得1分；具有信息技术类高级工程师证书的得2分，具有信息技术类中级工程师证书的得1分，其他不得分；本项最高得3分。</w:t>
            </w:r>
            <w:r/>
          </w:p>
          <w:p>
            <w:pPr>
              <w:numPr>
                <w:ilvl w:val="0"/>
                <w:numId w:val="11"/>
              </w:num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拟派驻本项目的技术负责人（非项目经理）具有信息系统项目管理师证书、系统架构设计师证书，数据库系统工程师证书，每有一项得1分；最高得3分。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3、项目组成员（除项目经理、技术负责人外）</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具有系统分析师证书，每有一项得1分；最高得3分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具有软件评测师证书，每有一项得1分；最高得1分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具有软件设计师证书，每有一项得1分；最高得1分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具有网络工程师证书，每有一项得1分；最高得1分</w:t>
            </w:r>
            <w:r/>
          </w:p>
          <w:p>
            <w:pPr>
              <w:jc w:val="left"/>
              <w:rPr>
                <w:rFonts w:ascii="宋体" w:hAnsi="宋体" w:cs="宋体"/>
                <w:bCs/>
                <w:sz w:val="24"/>
                <w:szCs w:val="24"/>
              </w:rPr>
            </w:pPr>
            <w:r>
              <w:rPr>
                <w:rFonts w:hint="eastAsia" w:ascii="宋体" w:hAnsi="宋体" w:cs="宋体"/>
                <w:bCs/>
                <w:sz w:val="24"/>
                <w:szCs w:val="24"/>
              </w:rPr>
              <w:t xml:space="preserve">须提供符合上述要求人员的相关证书及近三个月内任意一个月在投标单位参保的社保缴费证明材料，</w:t>
            </w:r>
            <w:r>
              <w:rPr>
                <w:rFonts w:hint="eastAsia" w:ascii="宋体" w:hAnsi="宋体" w:cs="宋体"/>
                <w:sz w:val="24"/>
                <w:szCs w:val="24"/>
              </w:rPr>
              <w:t xml:space="preserve">相同人员的证书不可重复计分。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（原件扫描</w:t>
            </w:r>
            <w:r>
              <w:rPr>
                <w:rFonts w:hint="eastAsia" w:ascii="宋体" w:hAnsi="宋体" w:cs="宋体"/>
                <w:bCs/>
                <w:sz w:val="24"/>
                <w:szCs w:val="24"/>
              </w:rPr>
              <w:t xml:space="preserve">上传，未提供不得分）</w:t>
            </w:r>
            <w:r/>
          </w:p>
        </w:tc>
      </w:tr>
      <w:tr>
        <w:trP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企业实力（9分）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1、投标人具有信息安全服务资质认证证书。认证覆盖的业务范围包括软件安全开发服务、信息系统安全集成服务、信息系统安全运维服务。以上认证范围有一项得1分，最高得3分。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须</w:t>
            </w:r>
            <w:r>
              <w:rPr>
                <w:rFonts w:hint="eastAsia" w:ascii="宋体" w:hAnsi="宋体" w:cs="宋体"/>
                <w:bCs/>
                <w:sz w:val="24"/>
                <w:szCs w:val="24"/>
              </w:rPr>
            </w:r>
            <w:r>
              <w:rPr>
                <w:rFonts w:hint="eastAsia" w:ascii="宋体" w:hAnsi="宋体" w:cs="宋体"/>
                <w:bCs/>
                <w:sz w:val="24"/>
                <w:szCs w:val="24"/>
              </w:rPr>
              <w:t xml:space="preserve">提供证书原件扫描</w:t>
            </w:r>
            <w:r>
              <w:rPr>
                <w:rFonts w:hint="eastAsia" w:ascii="宋体" w:hAnsi="宋体" w:cs="宋体"/>
                <w:bCs/>
                <w:sz w:val="24"/>
                <w:szCs w:val="24"/>
              </w:rPr>
              <w:t xml:space="preserve">或国家认证认可监督管理委员会官网查询截图上传，未提供的不得分。）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hint="eastAsia" w:ascii="宋体" w:hAnsi="宋体" w:cs="宋体"/>
                <w:bCs/>
                <w:sz w:val="24"/>
                <w:szCs w:val="24"/>
              </w:rPr>
              <w:t xml:space="preserve">2、投标人具有（HIS系统、电子病历系统、集成平台系统、检验系统、临床路径系统、抗菌药物系统）或类似功能的软件著作权，每提供一类得</w:t>
            </w:r>
            <w:r>
              <w:rPr>
                <w:rFonts w:ascii="宋体" w:hAnsi="宋体" w:cs="宋体"/>
                <w:bCs/>
                <w:sz w:val="24"/>
                <w:szCs w:val="24"/>
              </w:rPr>
              <w:t xml:space="preserve">1</w:t>
            </w:r>
            <w:r>
              <w:rPr>
                <w:rFonts w:hint="eastAsia" w:ascii="宋体" w:hAnsi="宋体" w:cs="宋体"/>
                <w:bCs/>
                <w:sz w:val="24"/>
                <w:szCs w:val="24"/>
              </w:rPr>
              <w:t xml:space="preserve">分，最高得6分。</w:t>
            </w:r>
            <w:r/>
          </w:p>
          <w:p>
            <w:pPr>
              <w:jc w:val="left"/>
              <w:spacing w:line="38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宋体" w:hAnsi="宋体" w:cs="宋体"/>
                <w:bCs/>
                <w:sz w:val="24"/>
                <w:szCs w:val="24"/>
              </w:rPr>
            </w:pPr>
            <w:r>
              <w:rPr>
                <w:rFonts w:ascii="宋体" w:hAnsi="宋体" w:cs="宋体"/>
                <w:bCs/>
                <w:sz w:val="24"/>
                <w:szCs w:val="24"/>
              </w:rPr>
              <w:t xml:space="preserve">（</w:t>
            </w:r>
            <w:r>
              <w:rPr>
                <w:rFonts w:hint="eastAsia" w:ascii="宋体" w:hAnsi="宋体" w:cs="宋体"/>
                <w:bCs/>
                <w:sz w:val="24"/>
                <w:szCs w:val="24"/>
              </w:rPr>
            </w:r>
            <w:r>
              <w:rPr>
                <w:rFonts w:hint="eastAsia" w:ascii="宋体" w:hAnsi="宋体" w:cs="宋体"/>
                <w:bCs/>
                <w:sz w:val="24"/>
                <w:szCs w:val="24"/>
              </w:rPr>
              <w:t xml:space="preserve">须</w:t>
            </w:r>
            <w:r/>
            <w:r>
              <w:rPr>
                <w:rFonts w:ascii="宋体" w:hAnsi="宋体" w:cs="宋体"/>
                <w:bCs/>
                <w:sz w:val="24"/>
                <w:szCs w:val="24"/>
              </w:rPr>
              <w:t xml:space="preserve">提供证书原件扫描</w:t>
            </w:r>
            <w:bookmarkStart w:id="292" w:name="_GoBack"/>
            <w:r/>
            <w:bookmarkEnd w:id="292"/>
            <w:r>
              <w:rPr>
                <w:rFonts w:ascii="宋体" w:hAnsi="宋体" w:cs="宋体"/>
                <w:bCs/>
                <w:sz w:val="24"/>
                <w:szCs w:val="24"/>
              </w:rPr>
              <w:t xml:space="preserve">上传；提供类似功能的软件著作权的需提供证书原件及类似功能相关证明材料扫描件上传；未提供不得分）</w:t>
            </w:r>
            <w:r/>
          </w:p>
        </w:tc>
      </w:tr>
      <w:tr>
        <w:trPr>
          <w:trHeight w:val="2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ascii="宋体" w:hAnsi="宋体" w:cs="宋体"/>
                <w:sz w:val="24"/>
                <w:szCs w:val="24"/>
              </w:rPr>
            </w:pPr>
            <w:r>
              <w:rPr>
                <w:rFonts w:hint="eastAsia" w:ascii="宋体" w:hAnsi="宋体" w:cs="宋体"/>
                <w:bCs/>
                <w:sz w:val="24"/>
                <w:szCs w:val="24"/>
                <w:lang w:bidi="ar"/>
              </w:rPr>
              <w:t xml:space="preserve">类似业绩</w:t>
            </w:r>
            <w:r/>
          </w:p>
          <w:p>
            <w:pPr>
              <w:jc w:val="center"/>
              <w:rPr>
                <w:rFonts w:ascii="宋体" w:hAnsi="宋体" w:cs="宋体"/>
                <w:sz w:val="24"/>
                <w:szCs w:val="24"/>
              </w:rPr>
            </w:pPr>
            <w:r>
              <w:rPr>
                <w:rFonts w:hint="eastAsia" w:ascii="宋体" w:hAnsi="宋体" w:cs="宋体"/>
                <w:sz w:val="24"/>
                <w:szCs w:val="24"/>
                <w:lang w:bidi="ar"/>
              </w:rPr>
              <w:t xml:space="preserve">（6分）</w:t>
            </w:r>
            <w:r/>
          </w:p>
        </w:tc>
        <w:tc>
          <w:tcPr>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ascii="宋体" w:hAnsi="宋体" w:cs="宋体"/>
                <w:sz w:val="24"/>
                <w:szCs w:val="24"/>
                <w:lang w:bidi="ar"/>
              </w:rPr>
            </w:pPr>
            <w:r>
              <w:rPr>
                <w:rFonts w:hint="eastAsia" w:ascii="宋体" w:hAnsi="宋体" w:cs="宋体"/>
                <w:sz w:val="24"/>
                <w:szCs w:val="24"/>
                <w:lang w:bidi="ar"/>
              </w:rPr>
              <w:t xml:space="preserve">2021年1月以来（以合同签订时间为准）承担过类似项目业绩。每提供1份得2分，满分6分。</w:t>
            </w:r>
            <w:r/>
          </w:p>
          <w:p>
            <w:pPr>
              <w:spacing w:line="273" w:lineRule="auto"/>
              <w:rPr>
                <w:rFonts w:ascii="宋体" w:hAnsi="宋体" w:cs="宋体"/>
                <w:sz w:val="24"/>
                <w:szCs w:val="24"/>
                <w:lang w:bidi="ar"/>
              </w:rPr>
            </w:pPr>
            <w:r>
              <w:rPr>
                <w:rFonts w:hint="eastAsia" w:ascii="宋体" w:hAnsi="宋体" w:cs="宋体"/>
                <w:sz w:val="24"/>
                <w:szCs w:val="24"/>
              </w:rPr>
              <w:t xml:space="preserve">（</w:t>
            </w:r>
            <w:r>
              <w:rPr>
                <w:rFonts w:hint="eastAsia" w:ascii="宋体" w:hAnsi="宋体" w:cs="宋体"/>
                <w:sz w:val="24"/>
                <w:szCs w:val="24"/>
                <w:lang w:bidi="ar"/>
              </w:rPr>
            </w:r>
            <w:r>
              <w:rPr>
                <w:rFonts w:hint="eastAsia" w:ascii="宋体" w:hAnsi="宋体" w:cs="宋体"/>
                <w:bCs/>
                <w:sz w:val="24"/>
                <w:szCs w:val="24"/>
              </w:rPr>
            </w:r>
            <w:r>
              <w:rPr>
                <w:rFonts w:hint="eastAsia" w:ascii="宋体" w:hAnsi="宋体" w:cs="宋体"/>
                <w:bCs/>
                <w:sz w:val="24"/>
                <w:szCs w:val="24"/>
              </w:rPr>
              <w:t xml:space="preserve">须</w:t>
            </w:r>
            <w:r/>
            <w:r>
              <w:rPr>
                <w:rFonts w:hint="eastAsia" w:ascii="宋体" w:hAnsi="宋体" w:cs="宋体"/>
                <w:sz w:val="24"/>
                <w:szCs w:val="24"/>
                <w:lang w:bidi="ar"/>
              </w:rPr>
              <w:t xml:space="preserve">提供采购合同</w:t>
            </w:r>
            <w:r>
              <w:rPr>
                <w:rFonts w:hint="eastAsia" w:ascii="宋体" w:hAnsi="宋体" w:cs="宋体"/>
                <w:sz w:val="24"/>
                <w:szCs w:val="24"/>
              </w:rPr>
              <w:t xml:space="preserve">原件扫描上传，未提供不得分）</w:t>
            </w:r>
            <w:r/>
          </w:p>
        </w:tc>
      </w:tr>
    </w:tbl>
    <w:p>
      <w:pPr>
        <w:pStyle w:val="751"/>
        <w:rPr>
          <w:rFonts w:hAnsi="宋体"/>
          <w:b/>
          <w:color w:val="auto"/>
        </w:rPr>
      </w:pPr>
      <w:r>
        <w:rPr>
          <w:rFonts w:hAnsi="宋体"/>
          <w:b/>
          <w:color w:val="auto"/>
        </w:rPr>
      </w:r>
      <w:r/>
    </w:p>
    <w:p>
      <w:pPr>
        <w:pStyle w:val="1015"/>
        <w:ind w:firstLine="0"/>
        <w:spacing w:line="400" w:lineRule="exact"/>
        <w:rPr>
          <w:rFonts w:cs="Arial"/>
        </w:rPr>
      </w:pPr>
      <w:r>
        <w:rPr>
          <w:rFonts w:cs="Arial"/>
        </w:rPr>
      </w:r>
      <w:r/>
    </w:p>
    <w:p>
      <w:r/>
      <w:bookmarkStart w:id="293" w:name="_Toc27232"/>
      <w:r/>
      <w:bookmarkStart w:id="294" w:name="_Toc13255"/>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19"/>
        <w:rPr>
          <w:b/>
          <w:bCs/>
        </w:rPr>
      </w:pPr>
      <w:r>
        <w:rPr>
          <w:b/>
          <w:bCs/>
        </w:rPr>
      </w:r>
      <w:r/>
    </w:p>
    <w:p>
      <w:pPr>
        <w:rPr>
          <w:b/>
          <w:bCs/>
        </w:rPr>
      </w:pPr>
      <w:r>
        <w:rPr>
          <w:b/>
          <w:bCs/>
        </w:rPr>
      </w:r>
      <w:r/>
    </w:p>
    <w:p>
      <w:pPr>
        <w:rPr>
          <w:b/>
          <w:bCs/>
        </w:rPr>
      </w:pPr>
      <w:r>
        <w:rPr>
          <w:b/>
          <w:bCs/>
        </w:rPr>
      </w:r>
      <w:r/>
    </w:p>
    <w:p>
      <w:pPr>
        <w:rPr>
          <w:b/>
          <w:bCs/>
        </w:rPr>
      </w:pPr>
      <w:r>
        <w:rPr>
          <w:b/>
          <w:bCs/>
        </w:rPr>
      </w:r>
      <w:r/>
    </w:p>
    <w:p>
      <w:pPr>
        <w:pStyle w:val="919"/>
        <w:rPr>
          <w:b/>
          <w:bCs/>
        </w:rPr>
      </w:pPr>
      <w:r>
        <w:rPr>
          <w:rFonts w:hint="eastAsia"/>
          <w:b/>
          <w:bCs/>
        </w:rPr>
        <w:t xml:space="preserve">第六章投标文件格式</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ind w:firstLine="1084"/>
        <w:rPr>
          <w:rFonts w:ascii="宋体" w:hAnsi="宋体"/>
          <w:sz w:val="24"/>
        </w:rPr>
      </w:pPr>
      <w:r>
        <w:rPr>
          <w:rFonts w:hint="eastAsia" w:ascii="宋体" w:hAnsi="宋体"/>
          <w:b/>
          <w:bCs/>
          <w:sz w:val="32"/>
          <w:szCs w:val="32"/>
        </w:rPr>
        <w:t xml:space="preserve">         </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spacing w:line="44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投标文件目录</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一、 法人或者其他组织的营业执照等证明文件，自然人的身份证明；</w:t>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二、上一年度的财务状况报告（可提供“基本资格条件承诺函”）；</w:t>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三、依法缴纳税收和社会保障资金的相关材料（可提供“基本资格条件承诺函”）；</w:t>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四、具备履行合同所必需的设备和专业技术能力的书面声明（可提供“基本资格条件承诺函”）；</w:t>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五、参加政府采购活动前3年内在经营活动中没有重大违法记录的书面声明（可提供“基本资格条件承诺函”）。</w:t>
      </w:r>
      <w:r/>
    </w:p>
    <w:p>
      <w:pPr>
        <w:ind w:firstLine="480"/>
        <w:spacing w:line="360" w:lineRule="auto"/>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六、供应商信用承诺函。</w:t>
      </w:r>
      <w:r/>
    </w:p>
    <w:p>
      <w:pPr>
        <w:ind w:firstLine="480"/>
        <w:spacing w:line="440" w:lineRule="exact"/>
        <w:rPr>
          <w:rFonts w:asciiTheme="minorEastAsia" w:hAnsiTheme="minorEastAsia" w:eastAsiaTheme="minorEastAsia"/>
          <w:i/>
          <w:sz w:val="24"/>
          <w:u w:val="single"/>
        </w:rPr>
      </w:pPr>
      <w:r>
        <w:rPr>
          <w:rFonts w:hint="eastAsia" w:asciiTheme="minorEastAsia" w:hAnsiTheme="minorEastAsia" w:eastAsiaTheme="minorEastAsia"/>
          <w:i/>
          <w:sz w:val="24"/>
          <w:u w:val="single"/>
        </w:rPr>
        <w:t xml:space="preserve">七、特定资格要求的证明文件（如果本项目设置特定资格要求，则需要提供）</w:t>
      </w:r>
      <w:r/>
    </w:p>
    <w:p>
      <w:pPr>
        <w:ind w:firstLine="480"/>
        <w:spacing w:line="440" w:lineRule="exact"/>
        <w:rPr>
          <w:rFonts w:asciiTheme="minorEastAsia" w:hAnsiTheme="minorEastAsia" w:eastAsiaTheme="minorEastAsia"/>
          <w:i/>
          <w:sz w:val="24"/>
          <w:u w:val="single"/>
        </w:rPr>
      </w:pPr>
      <w:r>
        <w:rPr>
          <w:rFonts w:hint="eastAsia" w:asciiTheme="minorEastAsia" w:hAnsiTheme="minorEastAsia" w:eastAsiaTheme="minorEastAsia"/>
          <w:i/>
          <w:sz w:val="24"/>
          <w:u w:val="single"/>
        </w:rPr>
        <w:t xml:space="preserve">八、法人授权书</w:t>
      </w:r>
      <w:r/>
    </w:p>
    <w:p>
      <w:pPr>
        <w:ind w:firstLine="480"/>
        <w:spacing w:line="440" w:lineRule="exact"/>
        <w:rPr>
          <w:rFonts w:asciiTheme="minorEastAsia" w:hAnsiTheme="minorEastAsia" w:eastAsiaTheme="minorEastAsia"/>
          <w:i/>
          <w:sz w:val="24"/>
          <w:u w:val="single"/>
        </w:rPr>
      </w:pPr>
      <w:r>
        <w:rPr>
          <w:rFonts w:hint="eastAsia" w:asciiTheme="minorEastAsia" w:hAnsiTheme="minorEastAsia" w:eastAsiaTheme="minorEastAsia"/>
          <w:i/>
          <w:sz w:val="24"/>
          <w:u w:val="single"/>
        </w:rPr>
        <w:t xml:space="preserve">九、投标函</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十、企业报价折扣证明（中小企业声明函、残疾人福利性单位声明函）</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十一、联合体协议</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十二、投标分项报价表  </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十三、技术要求响应及偏离表</w:t>
      </w:r>
      <w:r/>
    </w:p>
    <w:p>
      <w:pPr>
        <w:ind w:firstLine="480"/>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十四、商务要求响应及偏离表</w:t>
      </w:r>
      <w:r/>
    </w:p>
    <w:p>
      <w:pPr>
        <w:ind w:firstLine="480"/>
        <w:spacing w:line="440" w:lineRule="exact"/>
        <w:rPr>
          <w:rFonts w:asciiTheme="minorEastAsia" w:hAnsiTheme="minorEastAsia" w:eastAsiaTheme="minorEastAsia"/>
          <w:i/>
          <w:sz w:val="24"/>
          <w:u w:val="single"/>
        </w:rPr>
      </w:pPr>
      <w:r>
        <w:rPr>
          <w:rFonts w:hint="eastAsia" w:asciiTheme="minorEastAsia" w:hAnsiTheme="minorEastAsia" w:eastAsiaTheme="minorEastAsia"/>
          <w:i/>
          <w:sz w:val="24"/>
          <w:u w:val="single"/>
        </w:rPr>
        <w:t xml:space="preserve">十五、开标一览表</w:t>
      </w:r>
      <w:r/>
    </w:p>
    <w:p>
      <w:pPr>
        <w:ind w:firstLine="480"/>
        <w:spacing w:line="440" w:lineRule="exact"/>
        <w:rPr>
          <w:rFonts w:asciiTheme="minorEastAsia" w:hAnsiTheme="minorEastAsia" w:eastAsiaTheme="minorEastAsia"/>
          <w:iCs/>
          <w:sz w:val="24"/>
        </w:rPr>
      </w:pPr>
      <w:r>
        <w:rPr>
          <w:rFonts w:hint="eastAsia" w:asciiTheme="minorEastAsia" w:hAnsiTheme="minorEastAsia" w:eastAsiaTheme="minorEastAsia"/>
          <w:iCs/>
          <w:sz w:val="24"/>
        </w:rPr>
        <w:t xml:space="preserve">十六、主要标的信息</w:t>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40" w:lineRule="exact"/>
        <w:rPr>
          <w:rFonts w:asciiTheme="minorEastAsia" w:hAnsiTheme="minorEastAsia" w:eastAsiaTheme="minorEastAsia"/>
          <w:sz w:val="24"/>
        </w:rPr>
      </w:pPr>
      <w:r>
        <w:rPr>
          <w:rFonts w:asciiTheme="minorEastAsia" w:hAnsiTheme="minorEastAsia" w:eastAsiaTheme="minorEastAsia"/>
          <w:sz w:val="24"/>
        </w:rPr>
      </w:r>
      <w:r/>
    </w:p>
    <w:p>
      <w:pPr>
        <w:spacing w:line="530" w:lineRule="exact"/>
        <w:tabs>
          <w:tab w:val="left" w:pos="6300" w:leader="none"/>
        </w:tabs>
        <w:rPr>
          <w:rFonts w:ascii="黑体" w:hAnsi="黑体" w:eastAsia="黑体"/>
          <w:i/>
          <w:sz w:val="32"/>
          <w:szCs w:val="32"/>
          <w:u w:val="single"/>
        </w:rPr>
      </w:pPr>
      <w:r>
        <w:rPr>
          <w:rFonts w:hint="eastAsia" w:ascii="黑体" w:hAnsi="黑体" w:eastAsia="黑体"/>
          <w:i/>
          <w:sz w:val="32"/>
          <w:szCs w:val="32"/>
          <w:u w:val="single"/>
        </w:rPr>
        <w:t xml:space="preserve">基本资格条件承诺函</w:t>
      </w:r>
      <w:r/>
    </w:p>
    <w:p>
      <w:pPr>
        <w:jc w:val="center"/>
        <w:spacing w:line="530" w:lineRule="exact"/>
        <w:tabs>
          <w:tab w:val="left" w:pos="6300" w:leader="none"/>
        </w:tabs>
        <w:rPr>
          <w:rFonts w:eastAsia="方正小标宋简体"/>
          <w:sz w:val="44"/>
        </w:rPr>
      </w:pPr>
      <w:r>
        <w:rPr>
          <w:rFonts w:hint="eastAsia" w:ascii="宋体" w:hAnsi="宋体"/>
          <w:b/>
        </w:rPr>
        <w:t xml:space="preserve">基本资格条件承诺函</w:t>
      </w:r>
      <w:r/>
    </w:p>
    <w:p>
      <w:pPr>
        <w:spacing w:line="530" w:lineRule="exact"/>
        <w:tabs>
          <w:tab w:val="left" w:pos="6300" w:leader="none"/>
        </w:tabs>
        <w:rPr>
          <w:sz w:val="24"/>
        </w:rPr>
      </w:pPr>
      <w:r>
        <w:rPr>
          <w:sz w:val="24"/>
        </w:rPr>
      </w:r>
      <w:r/>
    </w:p>
    <w:p>
      <w:pPr>
        <w:spacing w:line="360" w:lineRule="auto"/>
        <w:rPr>
          <w:rFonts w:ascii="宋体" w:hAnsi="宋体" w:cs="宋体"/>
          <w:sz w:val="24"/>
          <w:szCs w:val="24"/>
        </w:rPr>
      </w:pPr>
      <w:r>
        <w:rPr>
          <w:rFonts w:hint="eastAsia" w:ascii="宋体" w:hAnsi="宋体" w:cs="宋体"/>
          <w:sz w:val="24"/>
          <w:szCs w:val="24"/>
        </w:rPr>
        <w:t xml:space="preserve">致（采购代理机构名称）：</w:t>
      </w:r>
      <w:r/>
    </w:p>
    <w:p>
      <w:pPr>
        <w:ind w:firstLine="420"/>
        <w:spacing w:line="360" w:lineRule="auto"/>
        <w:rPr>
          <w:rFonts w:ascii="宋体" w:hAnsi="宋体" w:cs="宋体"/>
          <w:sz w:val="24"/>
          <w:szCs w:val="24"/>
        </w:rPr>
      </w:pPr>
      <w:r>
        <w:rPr>
          <w:rFonts w:hint="eastAsia" w:ascii="宋体" w:hAnsi="宋体" w:cs="宋体"/>
          <w:sz w:val="24"/>
          <w:szCs w:val="24"/>
        </w:rPr>
        <w:t xml:space="preserve">我公司自愿参加（项目名称）政府采购活动，并郑重承诺：</w:t>
      </w:r>
      <w:r/>
    </w:p>
    <w:p>
      <w:pPr>
        <w:ind w:firstLine="420"/>
        <w:spacing w:line="360" w:lineRule="auto"/>
        <w:rPr>
          <w:rFonts w:ascii="宋体" w:hAnsi="宋体" w:cs="宋体"/>
          <w:sz w:val="24"/>
          <w:szCs w:val="24"/>
        </w:rPr>
      </w:pPr>
      <w:r>
        <w:rPr>
          <w:rFonts w:hint="eastAsia" w:ascii="宋体" w:hAnsi="宋体" w:cs="宋体"/>
          <w:sz w:val="24"/>
          <w:szCs w:val="24"/>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360" w:lineRule="auto"/>
        <w:rPr>
          <w:rFonts w:ascii="宋体" w:hAnsi="宋体" w:cs="宋体"/>
          <w:sz w:val="24"/>
          <w:szCs w:val="24"/>
        </w:rPr>
      </w:pPr>
      <w:r>
        <w:rPr>
          <w:rFonts w:hint="eastAsia" w:ascii="宋体" w:hAnsi="宋体" w:cs="宋体"/>
          <w:sz w:val="24"/>
          <w:szCs w:val="24"/>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cs="宋体"/>
          <w:sz w:val="24"/>
          <w:szCs w:val="24"/>
        </w:rPr>
      </w:pPr>
      <w:r>
        <w:rPr>
          <w:rFonts w:hint="eastAsia" w:ascii="宋体" w:hAnsi="宋体" w:cs="宋体"/>
          <w:sz w:val="24"/>
          <w:szCs w:val="24"/>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rPr>
          <w:rFonts w:ascii="宋体" w:hAnsi="宋体" w:cs="宋体"/>
          <w:sz w:val="24"/>
          <w:szCs w:val="24"/>
        </w:rPr>
      </w:pPr>
      <w:r>
        <w:rPr>
          <w:rFonts w:hint="eastAsia" w:ascii="宋体" w:hAnsi="宋体" w:cs="宋体"/>
          <w:sz w:val="24"/>
          <w:szCs w:val="24"/>
        </w:rPr>
        <w:t xml:space="preserve">我方对以上承诺负全部法律责任。</w:t>
      </w:r>
      <w:r/>
    </w:p>
    <w:p>
      <w:pPr>
        <w:ind w:firstLine="420"/>
        <w:spacing w:line="360" w:lineRule="auto"/>
        <w:rPr>
          <w:rFonts w:ascii="宋体" w:hAnsi="宋体" w:cs="宋体"/>
          <w:sz w:val="24"/>
          <w:szCs w:val="24"/>
        </w:rPr>
      </w:pPr>
      <w:r>
        <w:rPr>
          <w:rFonts w:hint="eastAsia" w:ascii="宋体" w:hAnsi="宋体" w:cs="宋体"/>
          <w:sz w:val="24"/>
          <w:szCs w:val="24"/>
        </w:rPr>
        <w:t xml:space="preserve">特此承诺。</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                             法定代表人（签章）：</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                           供应商名称（签章）：</w:t>
      </w:r>
      <w:r/>
    </w:p>
    <w:p>
      <w:pPr>
        <w:jc w:val="center"/>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                                                 年   月   日</w:t>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ascii="宋体" w:hAnsi="宋体" w:eastAsia="等线"/>
          <w:b/>
          <w:sz w:val="24"/>
          <w:szCs w:val="24"/>
        </w:rPr>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w:t>
      </w:r>
      <w:r>
        <w:rPr>
          <w:rFonts w:hint="eastAsia" w:ascii="宋体" w:hAnsi="宋体" w:cs="宋体"/>
          <w:sz w:val="24"/>
          <w:szCs w:val="24"/>
        </w:rPr>
        <w:t xml:space="preserve">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十、本承诺函自签订之日起生效。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法人授权书</w:t>
      </w:r>
      <w:r/>
    </w:p>
    <w:p>
      <w:pPr>
        <w:rPr>
          <w:rFonts w:ascii="宋体" w:hAnsi="宋体"/>
          <w:sz w:val="24"/>
        </w:rPr>
      </w:pPr>
      <w:r>
        <w:rPr>
          <w:rFonts w:hint="eastAsia" w:ascii="宋体" w:hAnsi="宋体"/>
          <w:sz w:val="24"/>
        </w:rPr>
        <w:t xml:space="preserve">本授权书声明：____________（投标人名称）授权________________（被授权人的姓名）为我方就***号项目采购活动的合法代理人，以本单位名义全权处理一切与该项目采购有关的事务。</w:t>
      </w:r>
      <w:r/>
    </w:p>
    <w:p>
      <w:pPr>
        <w:rPr>
          <w:rFonts w:ascii="宋体" w:hAnsi="宋体"/>
          <w:sz w:val="24"/>
        </w:rPr>
      </w:pPr>
      <w:r>
        <w:rPr>
          <w:rFonts w:hint="eastAsia" w:ascii="宋体" w:hAnsi="宋体"/>
          <w:sz w:val="24"/>
        </w:rPr>
        <w:t xml:space="preserve">本授权书于______年____月____日起生效，特此声明。</w:t>
      </w:r>
      <w:r/>
    </w:p>
    <w:p>
      <w:pPr>
        <w:rPr>
          <w:rFonts w:ascii="宋体" w:hAnsi="宋体"/>
          <w:sz w:val="24"/>
        </w:rPr>
      </w:pPr>
      <w:r>
        <w:rPr>
          <w:rFonts w:hint="eastAsia" w:ascii="宋体" w:hAnsi="宋体"/>
          <w:sz w:val="24"/>
        </w:rPr>
        <w:t xml:space="preserve">          被授权人身份证号码：                              </w:t>
      </w:r>
      <w:r/>
    </w:p>
    <w:p>
      <w:pPr>
        <w:rPr>
          <w:rFonts w:ascii="宋体" w:hAnsi="宋体"/>
          <w:sz w:val="24"/>
        </w:rPr>
      </w:pPr>
      <w:r>
        <w:rPr>
          <w:rFonts w:hint="eastAsia" w:ascii="宋体" w:hAnsi="宋体"/>
          <w:sz w:val="24"/>
        </w:rPr>
        <w:t xml:space="preserve">          被授权人联系电话：（手机）                          </w:t>
      </w:r>
      <w:r/>
    </w:p>
    <w:p>
      <w:pPr>
        <w:rPr>
          <w:rFonts w:ascii="宋体" w:hAnsi="宋体"/>
          <w:sz w:val="24"/>
        </w:rPr>
      </w:pPr>
      <w:r>
        <w:rPr>
          <w:rFonts w:hint="eastAsia" w:ascii="宋体" w:hAnsi="宋体"/>
          <w:sz w:val="24"/>
        </w:rPr>
        <w:t xml:space="preserve">授权单位名称：（加盖CA电子公章）</w:t>
      </w:r>
      <w:r/>
    </w:p>
    <w:p>
      <w:pPr>
        <w:rPr>
          <w:rFonts w:ascii="宋体" w:hAnsi="宋体"/>
          <w:sz w:val="24"/>
        </w:rPr>
      </w:pPr>
      <w:r>
        <w:rPr>
          <w:rFonts w:hint="eastAsia" w:ascii="宋体" w:hAnsi="宋体"/>
          <w:sz w:val="24"/>
        </w:rPr>
        <w:t xml:space="preserve">      单位地址：                                         </w:t>
      </w:r>
      <w:r/>
    </w:p>
    <w:p>
      <w:pPr>
        <w:rPr>
          <w:rFonts w:ascii="黑体" w:hAnsi="黑体" w:eastAsia="黑体"/>
          <w:i/>
          <w:sz w:val="32"/>
          <w:szCs w:val="32"/>
          <w:u w:val="single"/>
        </w:rPr>
      </w:pPr>
      <w:r>
        <w:rPr>
          <w:rFonts w:hint="eastAsia" w:ascii="宋体" w:hAnsi="宋体"/>
          <w:sz w:val="24"/>
        </w:rPr>
        <w:t xml:space="preserve">      日期：                                         </w:t>
      </w:r>
      <w:r>
        <w:rPr>
          <w:rFonts w:ascii="宋体" w:hAnsi="宋体"/>
          <w:sz w:val="24"/>
        </w:rPr>
        <w:br w:type="page" w:clear="all"/>
      </w:r>
      <w:r>
        <w:rPr>
          <w:rFonts w:hint="eastAsia" w:ascii="黑体" w:hAnsi="黑体" w:eastAsia="黑体"/>
          <w:i/>
          <w:sz w:val="32"/>
          <w:szCs w:val="32"/>
          <w:u w:val="single"/>
        </w:rPr>
        <w:t xml:space="preserve">投标函</w:t>
      </w:r>
      <w:r/>
    </w:p>
    <w:p>
      <w:pPr>
        <w:pStyle w:val="1015"/>
        <w:ind w:firstLine="0"/>
        <w:spacing w:before="0" w:after="0" w:line="420" w:lineRule="exact"/>
        <w:rPr>
          <w:rFonts w:ascii="宋体" w:hAnsi="宋体"/>
          <w:szCs w:val="21"/>
        </w:rPr>
      </w:pPr>
      <w:r>
        <w:rPr>
          <w:rFonts w:hint="eastAsia" w:ascii="宋体" w:hAnsi="宋体"/>
          <w:szCs w:val="21"/>
        </w:rPr>
        <w:t xml:space="preserve">致：扬州市公共资源交易中心江都分中心</w:t>
      </w:r>
      <w:r/>
    </w:p>
    <w:p>
      <w:pPr>
        <w:pStyle w:val="1015"/>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15"/>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15"/>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5"/>
        <w:spacing w:before="0" w:after="0" w:line="420" w:lineRule="exact"/>
        <w:rPr>
          <w:rFonts w:ascii="宋体" w:hAnsi="宋体"/>
          <w:szCs w:val="21"/>
        </w:rPr>
      </w:pPr>
      <w:r>
        <w:rPr>
          <w:rFonts w:hint="eastAsia" w:ascii="宋体" w:hAnsi="宋体"/>
          <w:szCs w:val="21"/>
        </w:rPr>
        <w:t xml:space="preserve">7.我方为:口大型企业 口中型企业 口小型企业 口微型企业(在对应口内打“ √”）</w:t>
      </w:r>
      <w:r/>
    </w:p>
    <w:p>
      <w:pPr>
        <w:pStyle w:val="1015"/>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1015"/>
        <w:ind w:left="420"/>
        <w:spacing w:before="0" w:after="0" w:line="420" w:lineRule="exact"/>
        <w:rPr>
          <w:rFonts w:ascii="宋体" w:hAnsi="宋体"/>
          <w:szCs w:val="21"/>
        </w:rPr>
      </w:pPr>
      <w:r>
        <w:rPr>
          <w:rFonts w:hint="eastAsia" w:ascii="宋体" w:hAnsi="宋体"/>
          <w:szCs w:val="21"/>
        </w:rPr>
        <w:t xml:space="preserve">地          址：</w:t>
      </w:r>
      <w:r/>
    </w:p>
    <w:p>
      <w:pPr>
        <w:pStyle w:val="1015"/>
        <w:ind w:left="420"/>
        <w:spacing w:before="0" w:after="0" w:line="420" w:lineRule="exact"/>
        <w:rPr>
          <w:rFonts w:ascii="宋体" w:hAnsi="宋体"/>
          <w:szCs w:val="21"/>
        </w:rPr>
      </w:pPr>
      <w:r>
        <w:rPr>
          <w:rFonts w:hint="eastAsia" w:ascii="宋体" w:hAnsi="宋体"/>
          <w:szCs w:val="21"/>
        </w:rPr>
        <w:t xml:space="preserve">邮          编：</w:t>
      </w:r>
      <w:r/>
    </w:p>
    <w:p>
      <w:pPr>
        <w:pStyle w:val="1015"/>
        <w:ind w:left="420"/>
        <w:spacing w:before="0" w:after="0" w:line="420" w:lineRule="exact"/>
        <w:rPr>
          <w:rFonts w:ascii="宋体" w:hAnsi="宋体"/>
          <w:szCs w:val="21"/>
        </w:rPr>
      </w:pPr>
      <w:r>
        <w:rPr>
          <w:rFonts w:hint="eastAsia" w:ascii="宋体" w:hAnsi="宋体"/>
          <w:szCs w:val="21"/>
        </w:rPr>
        <w:t xml:space="preserve">电          话：</w:t>
      </w:r>
      <w:r/>
    </w:p>
    <w:p>
      <w:pPr>
        <w:pStyle w:val="1015"/>
        <w:ind w:left="420"/>
        <w:spacing w:before="0" w:after="0" w:line="420" w:lineRule="exact"/>
        <w:rPr>
          <w:rFonts w:ascii="宋体" w:hAnsi="宋体"/>
          <w:szCs w:val="21"/>
        </w:rPr>
      </w:pPr>
      <w:r>
        <w:rPr>
          <w:rFonts w:hint="eastAsia" w:ascii="宋体" w:hAnsi="宋体"/>
          <w:szCs w:val="21"/>
        </w:rPr>
        <w:t xml:space="preserve">传          真：</w:t>
      </w:r>
      <w:r/>
    </w:p>
    <w:p>
      <w:pPr>
        <w:pStyle w:val="1015"/>
        <w:ind w:left="420"/>
        <w:spacing w:before="0" w:after="0" w:line="420" w:lineRule="exact"/>
        <w:rPr>
          <w:rFonts w:ascii="宋体" w:hAnsi="宋体"/>
          <w:szCs w:val="21"/>
        </w:rPr>
      </w:pPr>
      <w:r>
        <w:rPr>
          <w:rFonts w:hint="eastAsia" w:ascii="宋体" w:hAnsi="宋体"/>
          <w:szCs w:val="21"/>
        </w:rPr>
        <w:t xml:space="preserve">投标人开户行：</w:t>
      </w:r>
      <w:r/>
    </w:p>
    <w:p>
      <w:pPr>
        <w:pStyle w:val="1015"/>
        <w:ind w:left="420"/>
        <w:spacing w:before="0" w:after="0" w:line="420" w:lineRule="exact"/>
        <w:rPr>
          <w:rFonts w:ascii="宋体" w:hAnsi="宋体"/>
          <w:szCs w:val="21"/>
        </w:rPr>
      </w:pPr>
      <w:r>
        <w:rPr>
          <w:rFonts w:hint="eastAsia" w:ascii="宋体" w:hAnsi="宋体"/>
          <w:szCs w:val="21"/>
        </w:rPr>
        <w:t xml:space="preserve">账          号： </w:t>
      </w:r>
      <w:r/>
    </w:p>
    <w:p>
      <w:pPr>
        <w:pStyle w:val="1015"/>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pStyle w:val="720"/>
        <w:numPr>
          <w:ilvl w:val="0"/>
          <w:numId w:val="0"/>
        </w:numP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中小企业声明函（服务）</w:t>
      </w:r>
      <w:r/>
    </w:p>
    <w:p>
      <w:pPr>
        <w:ind w:firstLine="360"/>
        <w:spacing w:line="56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本公司（联合体）郑重声明，根据《政府采购促进中小企业发展管理办法》(财库[2020]46号)的规定，本公司（联合体）参加扬州市公共资源交易中心江都分中心组织的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t xml:space="preserve">（项目名称）</w:t>
      </w:r>
      <w:r>
        <w:rPr>
          <w:rFonts w:hint="eastAsia" w:ascii="宋体" w:hAnsi="宋体" w:cs="宋体"/>
          <w:sz w:val="24"/>
          <w:szCs w:val="24"/>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bCs/>
          <w:sz w:val="24"/>
          <w:szCs w:val="24"/>
          <w:u w:val="single"/>
        </w:rPr>
        <w:t xml:space="preserve">软件和信息技术服务</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56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bCs/>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560" w:lineRule="exact"/>
        <w:rPr>
          <w:rFonts w:ascii="宋体" w:hAnsi="宋体" w:cs="宋体"/>
          <w:sz w:val="24"/>
          <w:szCs w:val="24"/>
        </w:rPr>
      </w:pPr>
      <w:r>
        <w:rPr>
          <w:rFonts w:hint="eastAsia" w:ascii="宋体" w:hAnsi="宋体" w:cs="宋体"/>
          <w:sz w:val="24"/>
          <w:szCs w:val="24"/>
        </w:rPr>
        <w:t xml:space="preserve">……</w:t>
      </w:r>
      <w:r/>
    </w:p>
    <w:p>
      <w:pPr>
        <w:ind w:firstLine="360"/>
        <w:spacing w:line="5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560" w:lineRule="exact"/>
        <w:rPr>
          <w:rFonts w:ascii="宋体" w:hAnsi="宋体" w:cs="宋体"/>
          <w:sz w:val="24"/>
          <w:szCs w:val="24"/>
        </w:rPr>
      </w:pPr>
      <w:r>
        <w:rPr>
          <w:rFonts w:ascii="宋体" w:hAnsi="宋体" w:cs="宋体"/>
          <w:sz w:val="24"/>
          <w:szCs w:val="24"/>
        </w:rPr>
      </w:r>
      <w:r/>
    </w:p>
    <w:p>
      <w:pPr>
        <w:ind w:right="180" w:firstLine="360"/>
        <w:jc w:val="right"/>
        <w:spacing w:line="560" w:lineRule="exact"/>
        <w:rPr>
          <w:rFonts w:ascii="宋体" w:hAnsi="宋体" w:cs="宋体"/>
          <w:sz w:val="24"/>
          <w:szCs w:val="24"/>
        </w:rPr>
      </w:pPr>
      <w:r>
        <w:rPr>
          <w:rFonts w:hint="eastAsia" w:ascii="宋体" w:hAnsi="宋体" w:cs="宋体"/>
          <w:sz w:val="24"/>
          <w:szCs w:val="24"/>
        </w:rPr>
        <w:t xml:space="preserve">企业名称（加盖CA电子公章）：</w:t>
      </w:r>
      <w:r/>
    </w:p>
    <w:p>
      <w:pPr>
        <w:ind w:right="480" w:firstLine="5400"/>
        <w:spacing w:line="560" w:lineRule="exact"/>
        <w:rPr>
          <w:rFonts w:ascii="宋体" w:hAnsi="宋体" w:cs="宋体"/>
          <w:sz w:val="24"/>
          <w:szCs w:val="24"/>
        </w:rPr>
      </w:pPr>
      <w:r>
        <w:rPr>
          <w:rFonts w:hint="eastAsia" w:ascii="宋体" w:hAnsi="宋体" w:cs="宋体"/>
          <w:sz w:val="24"/>
          <w:szCs w:val="24"/>
        </w:rPr>
        <w:t xml:space="preserve">日  期：</w:t>
      </w:r>
      <w:r/>
    </w:p>
    <w:p>
      <w:pPr>
        <w:ind w:firstLine="24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t xml:space="preserve">1.从业人员、营业收入、资产总额填报上一年度数据，无上一年度数据的新成立企业可不填报。</w:t>
      </w:r>
      <w:r/>
    </w:p>
    <w:p>
      <w:pPr>
        <w:jc w:val="center"/>
        <w:rPr>
          <w:b/>
          <w:bCs/>
        </w:rPr>
      </w:pPr>
      <w:r>
        <w:rPr>
          <w:rFonts w:hint="eastAsia" w:ascii="Arial" w:hAnsi="Arial" w:eastAsia="幼圆" w:cs="微软雅黑"/>
          <w:b/>
          <w:bCs/>
        </w:rPr>
        <w:br w:type="page" w:clear="all"/>
      </w:r>
      <w:r>
        <w:rPr>
          <w:rFonts w:hint="eastAsia"/>
          <w:b/>
          <w:bCs/>
        </w:rPr>
        <w:t xml:space="preserve">中小微企业划型标准</w:t>
      </w:r>
      <w:r/>
    </w:p>
    <w:p>
      <w:pPr>
        <w:jc w:val="center"/>
        <w:rPr>
          <w:b/>
          <w:bCs/>
        </w:rPr>
      </w:pPr>
      <w:r>
        <w:rPr>
          <w:b/>
          <w:bCs/>
        </w:rPr>
      </w:r>
      <w:r/>
    </w:p>
    <w:p>
      <w:pPr>
        <w:jc w:val="left"/>
        <w:spacing w:before="300" w:after="452" w:line="360" w:lineRule="auto"/>
        <w:widowControl/>
        <w:rPr>
          <w:rFonts w:ascii="宋体" w:hAnsi="宋体"/>
        </w:rPr>
      </w:pPr>
      <w:r>
        <w:rPr>
          <w:rFonts w:hint="eastAsia" w:ascii="宋体" w:hAnsi="宋体" w:eastAsia="等线" w:cs="仿宋"/>
          <w:b/>
        </w:rPr>
        <w:t xml:space="preserve">中小微企业划型标准如下：</w:t>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6000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5000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2000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300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营业收入（</w:t>
            </w:r>
            <w:r>
              <w:rPr>
                <w:rFonts w:hint="eastAsia" w:ascii="宋体" w:hAnsi="宋体" w:eastAsia="等线" w:cs="仿宋"/>
                <w:b/>
              </w:rPr>
              <w:t xml:space="preserve">Y</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500</w:t>
            </w:r>
            <w:r>
              <w:rPr>
                <w:rFonts w:hint="eastAsia" w:ascii="宋体" w:hAnsi="宋体" w:eastAsia="等线" w:cs="仿宋"/>
                <w:b/>
              </w:rPr>
              <w:t xml:space="preserve">≤</w:t>
            </w: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r>
        <w:trPr>
          <w:tblCellSpacing w:w="15" w:type="dxa"/>
          <w:trHeight w:val="914"/>
        </w:trPr>
        <w:tc>
          <w:tcPr>
            <w:tcW w:w="1446"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资产总额（</w:t>
            </w:r>
            <w:r>
              <w:rPr>
                <w:rFonts w:hint="eastAsia" w:ascii="宋体" w:hAnsi="宋体" w:eastAsia="等线" w:cs="仿宋"/>
                <w:b/>
              </w:rPr>
              <w:t xml:space="preserve">Z</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8000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Z</w:t>
            </w:r>
            <w:r>
              <w:rPr>
                <w:rFonts w:hint="eastAsia" w:ascii="宋体" w:hAnsi="宋体" w:eastAsia="等线" w:cs="仿宋"/>
                <w:b/>
              </w:rPr>
              <w:t xml:space="preserve">＜</w:t>
            </w:r>
            <w:r>
              <w:rPr>
                <w:rFonts w:hint="eastAsia" w:ascii="宋体" w:hAnsi="宋体" w:eastAsia="等线" w:cs="仿宋"/>
                <w:b/>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Y</w:t>
            </w:r>
            <w:r>
              <w:rPr>
                <w:rFonts w:hint="eastAsia" w:ascii="宋体" w:hAnsi="宋体" w:eastAsia="等线" w:cs="仿宋"/>
                <w:b/>
              </w:rPr>
              <w:t xml:space="preserve">＜</w:t>
            </w:r>
            <w:r>
              <w:rPr>
                <w:rFonts w:hint="eastAsia" w:ascii="宋体" w:hAnsi="宋体" w:eastAsia="等线" w:cs="仿宋"/>
                <w:b/>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从业人员（</w:t>
            </w:r>
            <w:r>
              <w:rPr>
                <w:rFonts w:hint="eastAsia" w:ascii="宋体" w:hAnsi="宋体" w:eastAsia="等线" w:cs="仿宋"/>
                <w:b/>
              </w:rPr>
              <w:t xml:space="preserve">X</w:t>
            </w:r>
            <w:r>
              <w:rPr>
                <w:rFonts w:hint="eastAsia" w:ascii="宋体" w:hAnsi="宋体" w:eastAsia="等线" w:cs="仿宋"/>
                <w:b/>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rPr>
            </w:pPr>
            <w:r>
              <w:rPr>
                <w:rFonts w:hint="eastAsia" w:ascii="宋体" w:hAnsi="宋体" w:eastAsia="等线" w:cs="仿宋"/>
                <w:b/>
              </w:rPr>
              <w:t xml:space="preserve">100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rPr>
            </w:pPr>
            <w:r>
              <w:rPr>
                <w:rFonts w:hint="eastAsia" w:ascii="宋体" w:hAnsi="宋体" w:eastAsia="等线" w:cs="仿宋"/>
                <w:b/>
              </w:rPr>
              <w:t xml:space="preserve">10</w:t>
            </w:r>
            <w:r>
              <w:rPr>
                <w:rFonts w:hint="eastAsia" w:ascii="宋体" w:hAnsi="宋体" w:eastAsia="等线" w:cs="仿宋"/>
                <w:b/>
              </w:rPr>
              <w:t xml:space="preserve">≤</w:t>
            </w: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rPr>
            </w:pPr>
            <w:r>
              <w:rPr>
                <w:rFonts w:hint="eastAsia" w:ascii="宋体" w:hAnsi="宋体" w:eastAsia="等线" w:cs="仿宋"/>
                <w:b/>
              </w:rPr>
              <w:t xml:space="preserve">X</w:t>
            </w:r>
            <w:r>
              <w:rPr>
                <w:rFonts w:hint="eastAsia" w:ascii="宋体" w:hAnsi="宋体" w:eastAsia="等线" w:cs="仿宋"/>
                <w:b/>
              </w:rPr>
              <w:t xml:space="preserve">＜</w:t>
            </w:r>
            <w:r>
              <w:rPr>
                <w:rFonts w:hint="eastAsia" w:ascii="宋体" w:hAnsi="宋体" w:eastAsia="等线" w:cs="仿宋"/>
                <w:b/>
              </w:rPr>
              <w:t xml:space="preserve">10</w:t>
            </w:r>
            <w:r/>
          </w:p>
        </w:tc>
      </w:tr>
    </w:tbl>
    <w:p>
      <w:pPr>
        <w:ind w:firstLine="810"/>
        <w:jc w:val="left"/>
        <w:spacing w:before="300" w:after="452" w:line="360" w:lineRule="auto"/>
        <w:widowControl/>
        <w:rPr>
          <w:rFonts w:ascii="宋体" w:hAnsi="宋体"/>
        </w:rPr>
      </w:pPr>
      <w:r>
        <w:rPr>
          <w:rFonts w:hint="eastAsia" w:ascii="宋体" w:hAnsi="宋体" w:eastAsia="等线" w:cs="仿宋"/>
          <w:b/>
        </w:rPr>
        <w:t xml:space="preserve">说明：上述标准参照《关于印发中小企业划型标准规定的通知》（工信部联企业</w:t>
      </w:r>
      <w:r>
        <w:rPr>
          <w:rFonts w:hint="eastAsia" w:ascii="宋体" w:hAnsi="宋体" w:eastAsia="等线" w:cs="仿宋"/>
          <w:b/>
        </w:rPr>
        <w:t xml:space="preserve">[2011]300</w:t>
      </w:r>
      <w:r>
        <w:rPr>
          <w:rFonts w:hint="eastAsia" w:ascii="宋体" w:hAnsi="宋体" w:eastAsia="等线" w:cs="仿宋"/>
          <w:b/>
        </w:rPr>
        <w:t xml:space="preserve">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自愿组成联合体，参加扬州市公共资源交易中心江都分中心组织的采购编号为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p>
    <w:p>
      <w:pPr>
        <w:ind w:firstLine="645"/>
        <w:spacing w:line="560" w:lineRule="exact"/>
        <w:rPr>
          <w:rFonts w:ascii="宋体" w:hAnsi="宋体"/>
          <w:sz w:val="24"/>
        </w:rPr>
      </w:pP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投标分项报价表（分包号：**）</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306"/>
        <w:gridCol w:w="906"/>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3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3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单价（元）</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标准体系建设</w:t>
            </w:r>
            <w:r>
              <w:rPr>
                <w:rFonts w:hint="eastAsia" w:ascii="宋体" w:hAnsi="宋体" w:cs="宋体"/>
                <w:sz w:val="24"/>
                <w:szCs w:val="24"/>
              </w:rPr>
              <w:br/>
              <w:t xml:space="preserve">（基础平台）</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医院集成服务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临床管理</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数据管理</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诊间服务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门诊业务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急诊业务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住院业务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护理业务</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10</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药事管理</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11</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预约中心</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12</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医技及管理系统</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13</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统一支付</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14</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内部系统对接</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15</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外部系统对接</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16</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cs="宋体"/>
                <w:sz w:val="24"/>
                <w:szCs w:val="24"/>
              </w:rPr>
              <w:t xml:space="preserve">电子病历测评</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spacing w:line="0" w:lineRule="atLeast"/>
              <w:rPr>
                <w:rFonts w:ascii="宋体" w:hAnsi="宋体"/>
                <w:sz w:val="24"/>
                <w:szCs w:val="24"/>
              </w:rPr>
            </w:pPr>
            <w:r>
              <w:rPr>
                <w:rFonts w:ascii="宋体" w:hAnsi="宋体"/>
                <w:sz w:val="24"/>
                <w:szCs w:val="24"/>
              </w:rPr>
              <w:t xml:space="preserve">……</w:t>
            </w:r>
            <w:r/>
          </w:p>
        </w:tc>
        <w:tc>
          <w:tcPr>
            <w:tcW w:w="13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rPr>
          <w:rFonts w:ascii="宋体" w:hAnsi="宋体"/>
          <w:sz w:val="24"/>
          <w:szCs w:val="24"/>
        </w:rPr>
      </w:pPr>
      <w:r>
        <w:rPr>
          <w:rFonts w:hint="eastAsia" w:ascii="宋体" w:hAnsi="宋体"/>
          <w:sz w:val="24"/>
          <w:szCs w:val="24"/>
        </w:rPr>
        <w:t xml:space="preserve">3.本项目包含但不限于以上内容，投标报价包括完成该项工作应包含的一切费用，包含但不限于人员工资、法定节假日加班费、社会保险费、行政办公费、软件费、安装调试费、系统集成费、技术培训费、现场实施等其他与软件相关的软件服务费、管理费用、利润、税金等所有报价。投标人可根据自身实际情况进行报价。</w:t>
      </w:r>
      <w:r/>
    </w:p>
    <w:p>
      <w:pPr>
        <w:pStyle w:val="703"/>
        <w:jc w:val="center"/>
        <w:spacing w:line="360" w:lineRule="auto"/>
        <w:rPr>
          <w:rFonts w:ascii="宋体" w:hAnsi="宋体" w:eastAsia="宋体" w:cs="宋体"/>
          <w:sz w:val="32"/>
        </w:rPr>
      </w:pPr>
      <w:r>
        <w:rPr>
          <w:rFonts w:ascii="宋体" w:hAnsi="宋体" w:eastAsia="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pStyle w:val="714"/>
        <w:rPr>
          <w:rFonts w:ascii="宋体" w:hAnsi="宋体" w:cs="宋体"/>
          <w:sz w:val="32"/>
        </w:rPr>
      </w:pPr>
      <w:r>
        <w:rPr>
          <w:rFonts w:ascii="宋体" w:hAnsi="宋体" w:cs="宋体"/>
          <w:sz w:val="32"/>
        </w:rPr>
      </w:r>
      <w:r/>
    </w:p>
    <w:p>
      <w:pPr>
        <w:rPr>
          <w:rFonts w:ascii="黑体" w:hAnsi="黑体" w:eastAsia="黑体"/>
          <w:b/>
          <w:sz w:val="32"/>
          <w:szCs w:val="32"/>
        </w:rPr>
      </w:pPr>
      <w:r>
        <w:rPr>
          <w:rFonts w:ascii="黑体" w:hAnsi="黑体" w:eastAsia="黑体"/>
          <w:b/>
          <w:sz w:val="32"/>
          <w:szCs w:val="32"/>
        </w:rPr>
      </w:r>
      <w:r/>
    </w:p>
    <w:p>
      <w:pPr>
        <w:pStyle w:val="74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4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46"/>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技术要求响应及偏离表（分包号：**）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40"/>
      </w:pPr>
      <w:r/>
      <w:r/>
    </w:p>
    <w:p>
      <w:pPr>
        <w:pStyle w:val="740"/>
      </w:pPr>
      <w:r/>
      <w:r/>
    </w:p>
    <w:p>
      <w:pPr>
        <w:pStyle w:val="740"/>
      </w:pPr>
      <w:r/>
      <w:r/>
    </w:p>
    <w:p>
      <w:pPr>
        <w:pStyle w:val="740"/>
      </w:pPr>
      <w:r/>
      <w:r/>
    </w:p>
    <w:p>
      <w:pPr>
        <w:pStyle w:val="740"/>
      </w:pPr>
      <w:r/>
      <w:r/>
    </w:p>
    <w:p>
      <w:pPr>
        <w:pStyle w:val="740"/>
      </w:pPr>
      <w:r/>
      <w:r/>
    </w:p>
    <w:p>
      <w:pPr>
        <w:jc w:val="center"/>
        <w:rPr>
          <w:rFonts w:ascii="黑体" w:hAnsi="黑体" w:eastAsia="黑体"/>
          <w:b/>
          <w:sz w:val="32"/>
          <w:szCs w:val="32"/>
        </w:rPr>
      </w:pPr>
      <w:r>
        <w:rPr>
          <w:rFonts w:hint="eastAsia" w:ascii="黑体" w:hAnsi="黑体" w:eastAsia="黑体"/>
          <w:b/>
          <w:sz w:val="32"/>
          <w:szCs w:val="32"/>
        </w:rPr>
        <w:t xml:space="preserve">商务要求响应及偏离表（分包号：**）</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922"/>
        <w:ind w:firstLine="0"/>
        <w:rPr>
          <w:rFonts w:ascii="宋体" w:hAnsi="宋体"/>
          <w:sz w:val="24"/>
        </w:rPr>
      </w:pPr>
      <w:r>
        <w:rPr>
          <w:rFonts w:ascii="宋体" w:hAnsi="宋体"/>
          <w:sz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40"/>
        <w:rPr>
          <w:rFonts w:ascii="黑体" w:hAnsi="黑体" w:eastAsia="黑体"/>
          <w:b/>
          <w:sz w:val="32"/>
          <w:szCs w:val="32"/>
        </w:rPr>
      </w:pPr>
      <w:r>
        <w:rPr>
          <w:rFonts w:ascii="黑体" w:hAnsi="黑体" w:eastAsia="黑体"/>
          <w:b/>
          <w:sz w:val="32"/>
          <w:szCs w:val="32"/>
        </w:rPr>
      </w:r>
      <w:r/>
    </w:p>
    <w:p>
      <w:pPr>
        <w:pStyle w:val="740"/>
        <w:rPr>
          <w:rFonts w:ascii="黑体" w:hAnsi="黑体" w:eastAsia="黑体"/>
          <w:b/>
          <w:sz w:val="32"/>
          <w:szCs w:val="32"/>
        </w:rPr>
      </w:pPr>
      <w:r>
        <w:rPr>
          <w:rFonts w:ascii="黑体" w:hAnsi="黑体" w:eastAsia="黑体"/>
          <w:b/>
          <w:sz w:val="32"/>
          <w:szCs w:val="32"/>
        </w:rPr>
      </w:r>
      <w:r/>
    </w:p>
    <w:p>
      <w:pPr>
        <w:pStyle w:val="740"/>
        <w:rPr>
          <w:rFonts w:ascii="黑体" w:hAnsi="黑体" w:eastAsia="黑体"/>
          <w:b/>
          <w:sz w:val="32"/>
          <w:szCs w:val="32"/>
        </w:rPr>
      </w:pPr>
      <w:r>
        <w:rPr>
          <w:rFonts w:ascii="黑体" w:hAnsi="黑体" w:eastAsia="黑体"/>
          <w:b/>
          <w:sz w:val="32"/>
          <w:szCs w:val="32"/>
        </w:rPr>
      </w:r>
      <w:r/>
    </w:p>
    <w:p>
      <w:pPr>
        <w:pStyle w:val="740"/>
        <w:rPr>
          <w:rFonts w:ascii="黑体" w:hAnsi="黑体" w:eastAsia="黑体"/>
          <w:b/>
          <w:sz w:val="32"/>
          <w:szCs w:val="32"/>
        </w:rPr>
      </w:pPr>
      <w:r>
        <w:rPr>
          <w:rFonts w:ascii="黑体" w:hAnsi="黑体" w:eastAsia="黑体"/>
          <w:b/>
          <w:sz w:val="32"/>
          <w:szCs w:val="32"/>
        </w:rPr>
      </w:r>
      <w:r/>
    </w:p>
    <w:p>
      <w:pPr>
        <w:pStyle w:val="74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ascii="黑体" w:hAnsi="黑体" w:eastAsia="黑体"/>
          <w:b/>
          <w:i/>
          <w:sz w:val="32"/>
          <w:szCs w:val="32"/>
          <w:u w:val="single"/>
        </w:rPr>
      </w:r>
      <w:r/>
    </w:p>
    <w:p>
      <w:pPr>
        <w:rPr>
          <w:rFonts w:eastAsia="仿宋_GB2312"/>
          <w:sz w:val="24"/>
          <w:szCs w:val="20"/>
        </w:rPr>
      </w:pPr>
      <w:r>
        <w:rPr>
          <w:rFonts w:hint="eastAsia" w:ascii="黑体" w:hAnsi="黑体" w:eastAsia="黑体"/>
          <w:b/>
          <w:i/>
          <w:sz w:val="32"/>
          <w:szCs w:val="32"/>
          <w:u w:val="single"/>
        </w:rPr>
        <w:t xml:space="preserve">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W w:w="8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5"/>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15"/>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年月日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br w:type="page" w:clear="all"/>
      </w:r>
      <w:r/>
    </w:p>
    <w:p>
      <w:pPr>
        <w:rPr>
          <w:rFonts w:ascii="黑体" w:hAnsi="黑体" w:eastAsia="黑体"/>
          <w:b/>
          <w:iCs/>
          <w:sz w:val="32"/>
          <w:szCs w:val="32"/>
        </w:rPr>
      </w:pPr>
      <w:r>
        <w:rPr>
          <w:rFonts w:hint="eastAsia" w:cs="宋体" w:asciiTheme="minorEastAsia" w:hAnsiTheme="minorEastAsia"/>
          <w:sz w:val="24"/>
        </w:rPr>
        <w:t xml:space="preserve">  </w:t>
      </w:r>
      <w:r>
        <w:rPr>
          <w:rFonts w:hint="eastAsia" w:ascii="黑体" w:hAnsi="黑体" w:eastAsia="黑体"/>
          <w:b/>
          <w:iCs/>
          <w:sz w:val="32"/>
          <w:szCs w:val="32"/>
        </w:rPr>
        <w:t xml:space="preserve">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2"/>
        <w:rPr>
          <w:sz w:val="24"/>
          <w:szCs w:val="24"/>
        </w:rPr>
      </w:pPr>
      <w:r>
        <w:rPr>
          <w:sz w:val="24"/>
          <w:szCs w:val="24"/>
        </w:rPr>
      </w:r>
      <w:bookmarkEnd w:id="176"/>
      <w:bookmarkEnd w:id="177"/>
      <w:bookmarkEnd w:id="181"/>
      <w:bookmarkEnd w:id="182"/>
      <w:bookmarkEnd w:id="185"/>
      <w:bookmarkEnd w:id="293"/>
      <w:bookmarkEnd w:id="294"/>
      <w:r/>
    </w:p>
    <w:p>
      <w:pPr>
        <w:pStyle w:val="92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Light">
    <w:panose1 w:val="0201060003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方正小标宋简体">
    <w:panose1 w:val="020B0503020202020204"/>
  </w:font>
  <w:font w:name="Noto Sans CJK JP Regular">
    <w:panose1 w:val="020B0503020202020204"/>
  </w:font>
  <w:font w:name="Courier New">
    <w:panose1 w:val="02070309020205020404"/>
  </w:font>
  <w:font w:name="Calibri">
    <w:panose1 w:val="020F0502020204030204"/>
  </w:font>
  <w:font w:name="微软雅黑">
    <w:panose1 w:val="020B0503020204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8"/>
        <w:rFonts w:ascii="宋体" w:hAnsi="宋体"/>
      </w:rPr>
      <w:framePr w:wrap="around" w:vAnchor="text" w:hAnchor="margin" w:xAlign="center" w:y="1"/>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139</w:t>
    </w:r>
    <w:r>
      <w:rPr>
        <w:rFonts w:ascii="宋体" w:hAnsi="宋体"/>
      </w:rPr>
      <w:fldChar w:fldCharType="end"/>
    </w:r>
    <w:r/>
  </w:p>
  <w:p>
    <w:pPr>
      <w:pStyle w:val="94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tab"/>
      <w:lvlText w:val="%1."/>
      <w:lvlJc w:val="left"/>
      <w:pPr>
        <w:ind w:left="1702" w:hanging="709"/>
        <w:tabs>
          <w:tab w:val="left" w:pos="1702" w:leader="none"/>
        </w:tabs>
      </w:pPr>
      <w:rPr>
        <w:rFonts w:hint="eastAsia"/>
      </w:rPr>
    </w:lvl>
    <w:lvl w:ilvl="1">
      <w:start w:val="1"/>
      <w:numFmt w:val="decimal"/>
      <w:isLgl w:val="false"/>
      <w:suff w:val="tab"/>
      <w:lvlText w:val="%1.%2"/>
      <w:lvlJc w:val="left"/>
      <w:pPr>
        <w:ind w:left="1702" w:hanging="709"/>
        <w:tabs>
          <w:tab w:val="left" w:pos="1702" w:leader="none"/>
        </w:tabs>
      </w:pPr>
      <w:rPr>
        <w:rFonts w:hint="eastAsia"/>
      </w:rPr>
    </w:lvl>
    <w:lvl w:ilvl="2">
      <w:start w:val="1"/>
      <w:numFmt w:val="decimal"/>
      <w:isLgl w:val="false"/>
      <w:suff w:val="tab"/>
      <w:lvlText w:val="%1.%2.%3."/>
      <w:lvlJc w:val="left"/>
      <w:pPr>
        <w:ind w:left="1418" w:hanging="425"/>
        <w:tabs>
          <w:tab w:val="left" w:pos="1418" w:leader="none"/>
        </w:tabs>
      </w:pPr>
      <w:rPr>
        <w:rFonts w:hint="eastAsia"/>
      </w:rPr>
    </w:lvl>
    <w:lvl w:ilvl="3">
      <w:start w:val="1"/>
      <w:numFmt w:val="decimal"/>
      <w:isLgl w:val="false"/>
      <w:suff w:val="tab"/>
      <w:lvlText w:val="%1.%2.%3.%4."/>
      <w:lvlJc w:val="left"/>
      <w:pPr>
        <w:ind w:left="1844" w:hanging="851"/>
        <w:tabs>
          <w:tab w:val="left" w:pos="1844" w:leader="none"/>
        </w:tabs>
      </w:pPr>
      <w:rPr>
        <w:rFonts w:hint="eastAsia"/>
      </w:rPr>
    </w:lvl>
    <w:lvl w:ilvl="4">
      <w:start w:val="1"/>
      <w:numFmt w:val="decimal"/>
      <w:isLgl w:val="false"/>
      <w:suff w:val="tab"/>
      <w:lvlText w:val="%1.%2.%3.%4.%5."/>
      <w:lvlJc w:val="left"/>
      <w:pPr>
        <w:ind w:left="1985" w:hanging="992"/>
        <w:tabs>
          <w:tab w:val="left" w:pos="1985" w:leader="none"/>
        </w:tabs>
      </w:pPr>
      <w:rPr>
        <w:rFonts w:hint="eastAsia"/>
      </w:rPr>
    </w:lvl>
    <w:lvl w:ilvl="5">
      <w:start w:val="1"/>
      <w:numFmt w:val="decimal"/>
      <w:isLgl w:val="false"/>
      <w:suff w:val="tab"/>
      <w:lvlText w:val="%1.%2.%3.%4.%5.%6."/>
      <w:lvlJc w:val="left"/>
      <w:pPr>
        <w:ind w:left="2127" w:hanging="1134"/>
        <w:tabs>
          <w:tab w:val="left" w:pos="2127" w:leader="none"/>
        </w:tabs>
      </w:pPr>
      <w:rPr>
        <w:rFonts w:hint="eastAsia"/>
      </w:rPr>
    </w:lvl>
    <w:lvl w:ilvl="6">
      <w:start w:val="1"/>
      <w:numFmt w:val="decimal"/>
      <w:isLgl w:val="false"/>
      <w:suff w:val="tab"/>
      <w:lvlText w:val="%1.%2.%3.%4.%5.%6.%7."/>
      <w:lvlJc w:val="left"/>
      <w:pPr>
        <w:ind w:left="2269" w:hanging="1276"/>
        <w:tabs>
          <w:tab w:val="left" w:pos="2269" w:leader="none"/>
        </w:tabs>
      </w:pPr>
      <w:rPr>
        <w:rFonts w:hint="eastAsia"/>
      </w:rPr>
    </w:lvl>
    <w:lvl w:ilvl="7">
      <w:start w:val="1"/>
      <w:numFmt w:val="decimal"/>
      <w:isLgl w:val="false"/>
      <w:suff w:val="tab"/>
      <w:lvlText w:val="%1.%2.%3.%4.%5.%6.%7.%8."/>
      <w:lvlJc w:val="left"/>
      <w:pPr>
        <w:ind w:left="2411" w:hanging="1418"/>
        <w:tabs>
          <w:tab w:val="left" w:pos="2411" w:leader="none"/>
        </w:tabs>
      </w:pPr>
      <w:rPr>
        <w:rFonts w:hint="eastAsia"/>
      </w:rPr>
    </w:lvl>
    <w:lvl w:ilvl="8">
      <w:start w:val="1"/>
      <w:numFmt w:val="decimal"/>
      <w:isLgl w:val="false"/>
      <w:suff w:val="tab"/>
      <w:lvlText w:val="%1.%2.%3.%4.%5.%6.%7.%8.%9."/>
      <w:lvlJc w:val="left"/>
      <w:pPr>
        <w:ind w:left="2552" w:hanging="1559"/>
        <w:tabs>
          <w:tab w:val="left" w:pos="2552" w:leader="none"/>
        </w:tabs>
      </w:pPr>
      <w:rPr>
        <w:rFonts w:hint="eastAsia"/>
      </w:rPr>
    </w:lvl>
  </w:abstractNum>
  <w:abstractNum w:abstractNumId="1">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21"/>
      <w:isLgl w:val="false"/>
      <w:suff w:val="tab"/>
      <w:lvlText w:val="%1、"/>
      <w:lvlJc w:val="left"/>
      <w:pPr>
        <w:ind w:left="360" w:hanging="360"/>
      </w:pPr>
      <w:rPr>
        <w:rFonts w:hint="default"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pStyle w:val="106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32" w:hanging="432"/>
      </w:pPr>
      <w:rPr>
        <w:rFonts w:hint="default" w:ascii="宋体" w:hAnsi="宋体" w:eastAsia="宋体" w:cs="宋体"/>
        <w:sz w:val="32"/>
        <w:szCs w:val="32"/>
      </w:rPr>
    </w:lvl>
    <w:lvl w:ilvl="1">
      <w:start w:val="1"/>
      <w:numFmt w:val="decimal"/>
      <w:isLgl w:val="false"/>
      <w:suff w:val="tab"/>
      <w:lvlText w:val="%1.%2"/>
      <w:lvlJc w:val="left"/>
      <w:pPr>
        <w:ind w:left="576" w:hanging="576"/>
      </w:pPr>
      <w:rPr>
        <w:rFonts w:hint="default" w:ascii="宋体" w:hAnsi="宋体" w:eastAsia="宋体" w:cs="宋体"/>
        <w:sz w:val="30"/>
        <w:szCs w:val="30"/>
      </w:rPr>
    </w:lvl>
    <w:lvl w:ilvl="2">
      <w:start w:val="1"/>
      <w:numFmt w:val="decimal"/>
      <w:isLgl w:val="false"/>
      <w:suff w:val="tab"/>
      <w:lvlText w:val="%1.%2.%3"/>
      <w:lvlJc w:val="left"/>
      <w:pPr>
        <w:ind w:left="720" w:hanging="720"/>
      </w:pPr>
      <w:rPr>
        <w:rFonts w:hint="default" w:ascii="宋体" w:hAnsi="宋体" w:eastAsia="宋体" w:cs="宋体"/>
        <w:sz w:val="30"/>
        <w:szCs w:val="30"/>
      </w:rPr>
    </w:lvl>
    <w:lvl w:ilvl="3">
      <w:start w:val="1"/>
      <w:numFmt w:val="decimal"/>
      <w:isLgl w:val="false"/>
      <w:suff w:val="tab"/>
      <w:lvlText w:val="%1.%2.%3.%4"/>
      <w:lvlJc w:val="left"/>
      <w:pPr>
        <w:ind w:left="864" w:hanging="864"/>
      </w:pPr>
      <w:rPr>
        <w:rFonts w:hint="default" w:ascii="宋体" w:hAnsi="宋体" w:eastAsia="宋体" w:cs="宋体"/>
        <w:sz w:val="30"/>
        <w:szCs w:val="30"/>
      </w:rPr>
    </w:lvl>
    <w:lvl w:ilvl="4">
      <w:start w:val="1"/>
      <w:numFmt w:val="decimal"/>
      <w:isLgl w:val="false"/>
      <w:suff w:val="tab"/>
      <w:lvlText w:val="%1.%2.%3.%4.%5"/>
      <w:lvlJc w:val="left"/>
      <w:pPr>
        <w:ind w:left="1716" w:hanging="1008"/>
      </w:pPr>
      <w:rPr>
        <w:rFonts w:hint="default" w:ascii="宋体" w:hAnsi="宋体" w:eastAsia="宋体" w:cs="宋体"/>
        <w:sz w:val="30"/>
        <w:szCs w:val="30"/>
      </w:r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num w:numId="1">
    <w:abstractNumId w:val="5"/>
  </w:num>
  <w:num w:numId="2">
    <w:abstractNumId w:val="3"/>
  </w:num>
  <w:num w:numId="3">
    <w:abstractNumId w:val="9"/>
  </w:num>
  <w:num w:numId="4">
    <w:abstractNumId w:val="1"/>
  </w:num>
  <w:num w:numId="5">
    <w:abstractNumId w:val="0"/>
  </w:num>
  <w:num w:numId="6">
    <w:abstractNumId w:val="6"/>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1" w:default="1">
    <w:name w:val="Normal"/>
    <w:qFormat/>
    <w:pPr>
      <w:jc w:val="both"/>
      <w:widowControl w:val="off"/>
    </w:pPr>
    <w:rPr>
      <w:sz w:val="21"/>
      <w:szCs w:val="21"/>
    </w:rPr>
  </w:style>
  <w:style w:type="paragraph" w:styleId="702">
    <w:name w:val="Heading 1"/>
    <w:basedOn w:val="701"/>
    <w:next w:val="701"/>
    <w:link w:val="772"/>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14"/>
    <w:link w:val="773"/>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4"/>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75"/>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76"/>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77"/>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7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80"/>
    <w:uiPriority w:val="9"/>
    <w:unhideWhenUsed/>
    <w:qFormat/>
    <w:pPr>
      <w:keepLines/>
      <w:keepNext/>
      <w:spacing w:before="320" w:after="200"/>
      <w:outlineLvl w:val="8"/>
    </w:pPr>
    <w:rPr>
      <w:rFonts w:ascii="Arial" w:hAnsi="Arial" w:eastAsia="Arial" w:cs="Arial"/>
      <w:i/>
      <w:iCs/>
    </w:rPr>
  </w:style>
  <w:style w:type="character" w:styleId="711" w:default="1">
    <w:name w:val="Default Paragraph Font"/>
    <w:uiPriority w:val="1"/>
    <w:semiHidden/>
    <w:unhideWhenUsed/>
  </w:style>
  <w:style w:type="table" w:styleId="712" w:default="1">
    <w:name w:val="Normal Table"/>
    <w:uiPriority w:val="99"/>
    <w:semiHidden/>
    <w:unhideWhenUsed/>
    <w:tblPr>
      <w:tblInd w:w="0" w:type="dxa"/>
      <w:tblCellMar>
        <w:left w:w="108" w:type="dxa"/>
        <w:top w:w="0" w:type="dxa"/>
        <w:right w:w="108" w:type="dxa"/>
        <w:bottom w:w="0" w:type="dxa"/>
      </w:tblCellMar>
    </w:tblPr>
  </w:style>
  <w:style w:type="numbering" w:styleId="713" w:default="1">
    <w:name w:val="No List"/>
    <w:uiPriority w:val="99"/>
    <w:semiHidden/>
    <w:unhideWhenUsed/>
  </w:style>
  <w:style w:type="paragraph" w:styleId="714">
    <w:name w:val="Normal Indent"/>
    <w:basedOn w:val="701"/>
    <w:qFormat/>
    <w:pPr>
      <w:ind w:firstLine="420"/>
    </w:pPr>
  </w:style>
  <w:style w:type="paragraph" w:styleId="715">
    <w:name w:val="toc 7"/>
    <w:basedOn w:val="701"/>
    <w:next w:val="701"/>
    <w:uiPriority w:val="39"/>
    <w:unhideWhenUsed/>
    <w:qFormat/>
    <w:pPr>
      <w:ind w:left="1701"/>
      <w:spacing w:after="57"/>
    </w:pPr>
  </w:style>
  <w:style w:type="paragraph" w:styleId="716">
    <w:name w:val="Caption"/>
    <w:basedOn w:val="701"/>
    <w:next w:val="701"/>
    <w:uiPriority w:val="35"/>
    <w:semiHidden/>
    <w:unhideWhenUsed/>
    <w:qFormat/>
    <w:pPr>
      <w:spacing w:line="276" w:lineRule="auto"/>
    </w:pPr>
    <w:rPr>
      <w:b/>
      <w:bCs/>
      <w:color w:val="4f81bd" w:themeColor="accent1"/>
      <w:sz w:val="18"/>
      <w:szCs w:val="18"/>
    </w:rPr>
  </w:style>
  <w:style w:type="paragraph" w:styleId="717">
    <w:name w:val="annotation text"/>
    <w:basedOn w:val="701"/>
    <w:qFormat/>
    <w:pPr>
      <w:jc w:val="left"/>
    </w:pPr>
  </w:style>
  <w:style w:type="paragraph" w:styleId="718">
    <w:name w:val="Body Text"/>
    <w:basedOn w:val="701"/>
    <w:next w:val="701"/>
    <w:uiPriority w:val="99"/>
    <w:unhideWhenUsed/>
    <w:qFormat/>
    <w:pPr>
      <w:spacing w:after="120"/>
    </w:pPr>
  </w:style>
  <w:style w:type="paragraph" w:styleId="719">
    <w:name w:val="Body Text Indent"/>
    <w:basedOn w:val="701"/>
    <w:qFormat/>
    <w:pPr>
      <w:ind w:firstLine="645"/>
    </w:pPr>
    <w:rPr>
      <w:rFonts w:ascii="楷体_GB2312" w:eastAsia="楷体_GB2312"/>
      <w:sz w:val="32"/>
      <w:szCs w:val="32"/>
    </w:rPr>
  </w:style>
  <w:style w:type="paragraph" w:styleId="720">
    <w:name w:val="List Bullet 2"/>
    <w:basedOn w:val="701"/>
    <w:uiPriority w:val="99"/>
    <w:semiHidden/>
    <w:unhideWhenUsed/>
    <w:qFormat/>
    <w:pPr>
      <w:numPr>
        <w:numId w:val="1"/>
      </w:numPr>
    </w:pPr>
  </w:style>
  <w:style w:type="paragraph" w:styleId="721">
    <w:name w:val="index 4"/>
    <w:basedOn w:val="701"/>
    <w:next w:val="701"/>
    <w:uiPriority w:val="99"/>
    <w:unhideWhenUsed/>
    <w:qFormat/>
    <w:pPr>
      <w:numPr>
        <w:numId w:val="2"/>
      </w:numPr>
      <w:ind w:left="907" w:hanging="907"/>
      <w:tabs>
        <w:tab w:val="left" w:pos="907" w:leader="none"/>
      </w:tabs>
    </w:pPr>
    <w:rPr>
      <w:rFonts w:ascii="Calibri" w:hAnsi="Calibri"/>
      <w:szCs w:val="24"/>
    </w:rPr>
  </w:style>
  <w:style w:type="paragraph" w:styleId="722">
    <w:name w:val="toc 5"/>
    <w:basedOn w:val="701"/>
    <w:next w:val="701"/>
    <w:uiPriority w:val="39"/>
    <w:unhideWhenUsed/>
    <w:qFormat/>
    <w:pPr>
      <w:ind w:left="1134"/>
      <w:spacing w:after="57"/>
    </w:pPr>
  </w:style>
  <w:style w:type="paragraph" w:styleId="723">
    <w:name w:val="toc 3"/>
    <w:basedOn w:val="701"/>
    <w:next w:val="701"/>
    <w:uiPriority w:val="39"/>
    <w:unhideWhenUsed/>
    <w:qFormat/>
    <w:pPr>
      <w:ind w:left="567"/>
      <w:spacing w:after="57"/>
    </w:pPr>
  </w:style>
  <w:style w:type="paragraph" w:styleId="724">
    <w:name w:val="Plain Text"/>
    <w:basedOn w:val="701"/>
    <w:qFormat/>
    <w:rPr>
      <w:rFonts w:ascii="宋体" w:hAnsi="Courier New" w:cs="Courier New"/>
    </w:rPr>
  </w:style>
  <w:style w:type="paragraph" w:styleId="725">
    <w:name w:val="toc 8"/>
    <w:basedOn w:val="701"/>
    <w:next w:val="701"/>
    <w:uiPriority w:val="39"/>
    <w:unhideWhenUsed/>
    <w:qFormat/>
    <w:pPr>
      <w:ind w:left="1984"/>
      <w:spacing w:after="57"/>
    </w:pPr>
  </w:style>
  <w:style w:type="paragraph" w:styleId="726">
    <w:name w:val="endnote text"/>
    <w:basedOn w:val="701"/>
    <w:link w:val="799"/>
    <w:uiPriority w:val="99"/>
    <w:semiHidden/>
    <w:unhideWhenUsed/>
    <w:qFormat/>
    <w:rPr>
      <w:sz w:val="20"/>
    </w:rPr>
  </w:style>
  <w:style w:type="paragraph" w:styleId="727">
    <w:name w:val="Balloon Text"/>
    <w:basedOn w:val="701"/>
    <w:link w:val="1028"/>
    <w:uiPriority w:val="99"/>
    <w:semiHidden/>
    <w:unhideWhenUsed/>
    <w:qFormat/>
    <w:rPr>
      <w:sz w:val="18"/>
      <w:szCs w:val="18"/>
    </w:rPr>
  </w:style>
  <w:style w:type="paragraph" w:styleId="728">
    <w:name w:val="Footer"/>
    <w:basedOn w:val="701"/>
    <w:link w:val="800"/>
    <w:uiPriority w:val="99"/>
    <w:unhideWhenUsed/>
    <w:qFormat/>
    <w:pPr>
      <w:tabs>
        <w:tab w:val="center" w:pos="7143" w:leader="none"/>
        <w:tab w:val="right" w:pos="14287" w:leader="none"/>
      </w:tabs>
    </w:pPr>
  </w:style>
  <w:style w:type="paragraph" w:styleId="729">
    <w:name w:val="Header"/>
    <w:basedOn w:val="701"/>
    <w:link w:val="801"/>
    <w:uiPriority w:val="99"/>
    <w:unhideWhenUsed/>
    <w:qFormat/>
    <w:pPr>
      <w:tabs>
        <w:tab w:val="center" w:pos="7143" w:leader="none"/>
        <w:tab w:val="right" w:pos="14287" w:leader="none"/>
      </w:tabs>
    </w:pPr>
  </w:style>
  <w:style w:type="paragraph" w:styleId="730">
    <w:name w:val="toc 1"/>
    <w:basedOn w:val="701"/>
    <w:next w:val="701"/>
    <w:uiPriority w:val="39"/>
    <w:unhideWhenUsed/>
    <w:qFormat/>
    <w:pPr>
      <w:spacing w:after="57"/>
    </w:pPr>
  </w:style>
  <w:style w:type="paragraph" w:styleId="731">
    <w:name w:val="toc 4"/>
    <w:basedOn w:val="701"/>
    <w:next w:val="701"/>
    <w:uiPriority w:val="39"/>
    <w:unhideWhenUsed/>
    <w:qFormat/>
    <w:pPr>
      <w:ind w:left="850"/>
      <w:spacing w:after="57"/>
    </w:pPr>
  </w:style>
  <w:style w:type="paragraph" w:styleId="732">
    <w:name w:val="Subtitle"/>
    <w:basedOn w:val="701"/>
    <w:next w:val="701"/>
    <w:link w:val="802"/>
    <w:uiPriority w:val="11"/>
    <w:qFormat/>
    <w:pPr>
      <w:spacing w:before="200" w:after="200"/>
    </w:pPr>
    <w:rPr>
      <w:sz w:val="24"/>
      <w:szCs w:val="24"/>
    </w:rPr>
  </w:style>
  <w:style w:type="paragraph" w:styleId="733">
    <w:name w:val="footnote text"/>
    <w:basedOn w:val="701"/>
    <w:link w:val="803"/>
    <w:uiPriority w:val="99"/>
    <w:semiHidden/>
    <w:unhideWhenUsed/>
    <w:qFormat/>
    <w:pPr>
      <w:spacing w:after="40"/>
    </w:pPr>
    <w:rPr>
      <w:sz w:val="18"/>
    </w:rPr>
  </w:style>
  <w:style w:type="paragraph" w:styleId="734">
    <w:name w:val="toc 6"/>
    <w:basedOn w:val="701"/>
    <w:next w:val="701"/>
    <w:uiPriority w:val="39"/>
    <w:unhideWhenUsed/>
    <w:qFormat/>
    <w:pPr>
      <w:ind w:left="1417"/>
      <w:spacing w:after="57"/>
    </w:pPr>
  </w:style>
  <w:style w:type="paragraph" w:styleId="735">
    <w:name w:val="table of figures"/>
    <w:basedOn w:val="701"/>
    <w:next w:val="701"/>
    <w:uiPriority w:val="99"/>
    <w:unhideWhenUsed/>
    <w:qFormat/>
  </w:style>
  <w:style w:type="paragraph" w:styleId="736">
    <w:name w:val="toc 2"/>
    <w:basedOn w:val="701"/>
    <w:next w:val="701"/>
    <w:uiPriority w:val="39"/>
    <w:unhideWhenUsed/>
    <w:qFormat/>
    <w:pPr>
      <w:ind w:left="283"/>
      <w:spacing w:after="57"/>
    </w:pPr>
  </w:style>
  <w:style w:type="paragraph" w:styleId="737">
    <w:name w:val="toc 9"/>
    <w:basedOn w:val="701"/>
    <w:next w:val="701"/>
    <w:uiPriority w:val="39"/>
    <w:unhideWhenUsed/>
    <w:qFormat/>
    <w:pPr>
      <w:ind w:left="2268"/>
      <w:spacing w:after="57"/>
    </w:pPr>
  </w:style>
  <w:style w:type="paragraph" w:styleId="738">
    <w:name w:val="Normal (Web)"/>
    <w:basedOn w:val="701"/>
    <w:uiPriority w:val="99"/>
    <w:unhideWhenUsed/>
    <w:qFormat/>
    <w:pPr>
      <w:jc w:val="left"/>
    </w:pPr>
    <w:rPr>
      <w:rFonts w:ascii="Calibri" w:hAnsi="Calibri"/>
      <w:sz w:val="24"/>
      <w:szCs w:val="24"/>
    </w:rPr>
  </w:style>
  <w:style w:type="paragraph" w:styleId="739">
    <w:name w:val="Title"/>
    <w:basedOn w:val="701"/>
    <w:next w:val="701"/>
    <w:link w:val="804"/>
    <w:uiPriority w:val="10"/>
    <w:qFormat/>
    <w:pPr>
      <w:contextualSpacing/>
      <w:spacing w:before="300" w:after="200"/>
    </w:pPr>
    <w:rPr>
      <w:sz w:val="48"/>
      <w:szCs w:val="48"/>
    </w:rPr>
  </w:style>
  <w:style w:type="paragraph" w:styleId="740">
    <w:name w:val="Body Text First Indent 2"/>
    <w:basedOn w:val="719"/>
    <w:qFormat/>
    <w:pPr>
      <w:ind w:firstLine="420"/>
      <w:spacing w:line="360" w:lineRule="auto"/>
    </w:pPr>
    <w:rPr>
      <w:rFonts w:ascii="宋体" w:hAnsi="宋体" w:eastAsia="宋体"/>
      <w:sz w:val="21"/>
      <w:szCs w:val="20"/>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rPr>
  </w:style>
  <w:style w:type="character" w:styleId="744">
    <w:name w:val="annotation reference"/>
    <w:basedOn w:val="711"/>
    <w:qFormat/>
    <w:rPr>
      <w:sz w:val="21"/>
      <w:szCs w:val="21"/>
    </w:rPr>
  </w:style>
  <w:style w:type="character" w:styleId="745">
    <w:name w:val="footnote reference"/>
    <w:uiPriority w:val="99"/>
    <w:unhideWhenUsed/>
    <w:qFormat/>
    <w:rPr>
      <w:vertAlign w:val="superscript"/>
    </w:rPr>
  </w:style>
  <w:style w:type="paragraph" w:styleId="746" w:customStyle="1">
    <w:name w:val="段"/>
    <w:basedOn w:val="747"/>
    <w:next w:val="701"/>
    <w:qFormat/>
    <w:pPr>
      <w:ind w:firstLine="200"/>
      <w:widowControl/>
    </w:pPr>
    <w:rPr>
      <w:sz w:val="20"/>
    </w:rPr>
  </w:style>
  <w:style w:type="paragraph" w:styleId="747" w:customStyle="1">
    <w:name w:val="正文1"/>
    <w:basedOn w:val="701"/>
    <w:next w:val="748"/>
    <w:qFormat/>
    <w:pPr>
      <w:jc w:val="left"/>
      <w:spacing w:line="360" w:lineRule="atLeast"/>
    </w:pPr>
    <w:rPr>
      <w:rFonts w:ascii="宋体" w:hAnsi="Calibri"/>
      <w:sz w:val="24"/>
      <w:szCs w:val="20"/>
    </w:rPr>
  </w:style>
  <w:style w:type="paragraph" w:styleId="748" w:customStyle="1">
    <w:name w:val="正文文本1"/>
    <w:basedOn w:val="701"/>
    <w:next w:val="749"/>
    <w:link w:val="978"/>
    <w:qFormat/>
    <w:rPr>
      <w:rFonts w:ascii="楷体_GB2312" w:hAnsi="Arial" w:eastAsia="楷体_GB2312"/>
      <w:sz w:val="28"/>
      <w:szCs w:val="28"/>
    </w:rPr>
  </w:style>
  <w:style w:type="paragraph" w:styleId="749" w:customStyle="1">
    <w:name w:val="一级条标题"/>
    <w:basedOn w:val="750"/>
    <w:next w:val="746"/>
    <w:qFormat/>
    <w:pPr>
      <w:ind w:left="907" w:hanging="907"/>
      <w:spacing w:before="0" w:after="0"/>
      <w:tabs>
        <w:tab w:val="left" w:pos="907" w:leader="none"/>
      </w:tabs>
      <w:outlineLvl w:val="2"/>
    </w:pPr>
    <w:rPr>
      <w:rFonts w:hAnsi="宋体"/>
      <w:sz w:val="20"/>
      <w:szCs w:val="20"/>
    </w:rPr>
  </w:style>
  <w:style w:type="paragraph" w:styleId="750" w:customStyle="1">
    <w:name w:val="章标题"/>
    <w:next w:val="70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51" w:customStyle="1">
    <w:name w:val="Default"/>
    <w:qFormat/>
    <w:pPr>
      <w:widowControl w:val="off"/>
    </w:pPr>
    <w:rPr>
      <w:rFonts w:ascii="宋体" w:cs="宋体"/>
      <w:color w:val="000000"/>
      <w:sz w:val="24"/>
      <w:szCs w:val="24"/>
    </w:rPr>
  </w:style>
  <w:style w:type="table" w:styleId="752" w:customStyle="1">
    <w:name w:val="无格式表格 11"/>
    <w:basedOn w:val="71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1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1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1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1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1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3" w:customStyle="1">
    <w:name w:val="网格表 7 彩色1"/>
    <w:basedOn w:val="71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12"/>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1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1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712"/>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712"/>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1" w:customStyle="1">
    <w:name w:val="font5 Char"/>
    <w:qFormat/>
    <w:rPr>
      <w:rFonts w:ascii="宋体" w:hAnsi="宋体" w:eastAsia="宋体"/>
      <w:sz w:val="28"/>
      <w:szCs w:val="28"/>
      <w:lang w:val="en-US" w:eastAsia="zh-CN" w:bidi="ar-SA"/>
    </w:rPr>
  </w:style>
  <w:style w:type="character" w:styleId="772" w:customStyle="1">
    <w:name w:val="标题 1 字符1"/>
    <w:link w:val="702"/>
    <w:uiPriority w:val="9"/>
    <w:qFormat/>
    <w:rPr>
      <w:rFonts w:ascii="Arial" w:hAnsi="Arial" w:eastAsia="Arial" w:cs="Arial"/>
      <w:sz w:val="40"/>
      <w:szCs w:val="40"/>
    </w:rPr>
  </w:style>
  <w:style w:type="character" w:styleId="773" w:customStyle="1">
    <w:name w:val="标题 2 字符1"/>
    <w:link w:val="703"/>
    <w:uiPriority w:val="9"/>
    <w:qFormat/>
    <w:rPr>
      <w:rFonts w:ascii="Arial" w:hAnsi="Arial" w:eastAsia="Arial" w:cs="Arial"/>
      <w:sz w:val="34"/>
    </w:rPr>
  </w:style>
  <w:style w:type="character" w:styleId="774" w:customStyle="1">
    <w:name w:val="标题 3 字符1"/>
    <w:link w:val="704"/>
    <w:uiPriority w:val="9"/>
    <w:qFormat/>
    <w:rPr>
      <w:rFonts w:ascii="Arial" w:hAnsi="Arial" w:eastAsia="Arial" w:cs="Arial"/>
      <w:sz w:val="30"/>
      <w:szCs w:val="30"/>
    </w:rPr>
  </w:style>
  <w:style w:type="character" w:styleId="775" w:customStyle="1">
    <w:name w:val="标题 4 字符1"/>
    <w:link w:val="705"/>
    <w:uiPriority w:val="9"/>
    <w:qFormat/>
    <w:rPr>
      <w:rFonts w:ascii="Arial" w:hAnsi="Arial" w:eastAsia="Arial" w:cs="Arial"/>
      <w:b/>
      <w:bCs/>
      <w:sz w:val="26"/>
      <w:szCs w:val="26"/>
    </w:rPr>
  </w:style>
  <w:style w:type="character" w:styleId="776" w:customStyle="1">
    <w:name w:val="标题 5 字符1"/>
    <w:link w:val="706"/>
    <w:uiPriority w:val="9"/>
    <w:qFormat/>
    <w:rPr>
      <w:rFonts w:ascii="Arial" w:hAnsi="Arial" w:eastAsia="Arial" w:cs="Arial"/>
      <w:b/>
      <w:bCs/>
      <w:sz w:val="24"/>
      <w:szCs w:val="24"/>
    </w:rPr>
  </w:style>
  <w:style w:type="character" w:styleId="777" w:customStyle="1">
    <w:name w:val="标题 6 字符1"/>
    <w:link w:val="707"/>
    <w:uiPriority w:val="9"/>
    <w:qFormat/>
    <w:rPr>
      <w:rFonts w:ascii="Arial" w:hAnsi="Arial" w:eastAsia="Arial" w:cs="Arial"/>
      <w:b/>
      <w:bCs/>
      <w:sz w:val="22"/>
      <w:szCs w:val="22"/>
    </w:rPr>
  </w:style>
  <w:style w:type="character" w:styleId="778" w:customStyle="1">
    <w:name w:val="标题 7 字符1"/>
    <w:link w:val="708"/>
    <w:uiPriority w:val="9"/>
    <w:qFormat/>
    <w:rPr>
      <w:rFonts w:ascii="Arial" w:hAnsi="Arial" w:eastAsia="Arial" w:cs="Arial"/>
      <w:b/>
      <w:bCs/>
      <w:i/>
      <w:iCs/>
      <w:sz w:val="22"/>
      <w:szCs w:val="22"/>
    </w:rPr>
  </w:style>
  <w:style w:type="character" w:styleId="779" w:customStyle="1">
    <w:name w:val="标题 8 字符1"/>
    <w:link w:val="709"/>
    <w:uiPriority w:val="9"/>
    <w:qFormat/>
    <w:rPr>
      <w:rFonts w:ascii="Arial" w:hAnsi="Arial" w:eastAsia="Arial" w:cs="Arial"/>
      <w:i/>
      <w:iCs/>
      <w:sz w:val="22"/>
      <w:szCs w:val="22"/>
    </w:rPr>
  </w:style>
  <w:style w:type="character" w:styleId="780" w:customStyle="1">
    <w:name w:val="标题 9 字符1"/>
    <w:link w:val="710"/>
    <w:uiPriority w:val="9"/>
    <w:qFormat/>
    <w:rPr>
      <w:rFonts w:ascii="Arial" w:hAnsi="Arial" w:eastAsia="Arial" w:cs="Arial"/>
      <w:i/>
      <w:iCs/>
      <w:sz w:val="21"/>
      <w:szCs w:val="21"/>
    </w:rPr>
  </w:style>
  <w:style w:type="character" w:styleId="781" w:customStyle="1">
    <w:name w:val="Heading 1 Char"/>
    <w:basedOn w:val="711"/>
    <w:uiPriority w:val="9"/>
    <w:qFormat/>
    <w:rPr>
      <w:rFonts w:ascii="Arial" w:hAnsi="Arial" w:eastAsia="Arial" w:cs="Arial"/>
      <w:sz w:val="40"/>
      <w:szCs w:val="40"/>
    </w:rPr>
  </w:style>
  <w:style w:type="character" w:styleId="782" w:customStyle="1">
    <w:name w:val="Heading 2 Char"/>
    <w:basedOn w:val="711"/>
    <w:uiPriority w:val="9"/>
    <w:qFormat/>
    <w:rPr>
      <w:rFonts w:ascii="Arial" w:hAnsi="Arial" w:eastAsia="Arial" w:cs="Arial"/>
      <w:sz w:val="34"/>
    </w:rPr>
  </w:style>
  <w:style w:type="character" w:styleId="783" w:customStyle="1">
    <w:name w:val="Heading 3 Char"/>
    <w:basedOn w:val="711"/>
    <w:uiPriority w:val="9"/>
    <w:qFormat/>
    <w:rPr>
      <w:rFonts w:ascii="Arial" w:hAnsi="Arial" w:eastAsia="Arial" w:cs="Arial"/>
      <w:sz w:val="30"/>
      <w:szCs w:val="30"/>
    </w:rPr>
  </w:style>
  <w:style w:type="character" w:styleId="784" w:customStyle="1">
    <w:name w:val="Heading 4 Char"/>
    <w:basedOn w:val="711"/>
    <w:uiPriority w:val="9"/>
    <w:qFormat/>
    <w:rPr>
      <w:rFonts w:ascii="Arial" w:hAnsi="Arial" w:eastAsia="Arial" w:cs="Arial"/>
      <w:b/>
      <w:bCs/>
      <w:sz w:val="26"/>
      <w:szCs w:val="26"/>
    </w:rPr>
  </w:style>
  <w:style w:type="character" w:styleId="785" w:customStyle="1">
    <w:name w:val="Heading 5 Char"/>
    <w:basedOn w:val="711"/>
    <w:uiPriority w:val="9"/>
    <w:qFormat/>
    <w:rPr>
      <w:rFonts w:ascii="Arial" w:hAnsi="Arial" w:eastAsia="Arial" w:cs="Arial"/>
      <w:b/>
      <w:bCs/>
      <w:sz w:val="24"/>
      <w:szCs w:val="24"/>
    </w:rPr>
  </w:style>
  <w:style w:type="character" w:styleId="786" w:customStyle="1">
    <w:name w:val="Heading 6 Char"/>
    <w:basedOn w:val="711"/>
    <w:uiPriority w:val="9"/>
    <w:qFormat/>
    <w:rPr>
      <w:rFonts w:ascii="Arial" w:hAnsi="Arial" w:eastAsia="Arial" w:cs="Arial"/>
      <w:b/>
      <w:bCs/>
      <w:sz w:val="22"/>
      <w:szCs w:val="22"/>
    </w:rPr>
  </w:style>
  <w:style w:type="character" w:styleId="787" w:customStyle="1">
    <w:name w:val="Heading 7 Char"/>
    <w:basedOn w:val="711"/>
    <w:uiPriority w:val="9"/>
    <w:qFormat/>
    <w:rPr>
      <w:rFonts w:ascii="Arial" w:hAnsi="Arial" w:eastAsia="Arial" w:cs="Arial"/>
      <w:b/>
      <w:bCs/>
      <w:i/>
      <w:iCs/>
      <w:sz w:val="22"/>
      <w:szCs w:val="22"/>
    </w:rPr>
  </w:style>
  <w:style w:type="character" w:styleId="788" w:customStyle="1">
    <w:name w:val="Heading 8 Char"/>
    <w:basedOn w:val="711"/>
    <w:uiPriority w:val="9"/>
    <w:qFormat/>
    <w:rPr>
      <w:rFonts w:ascii="Arial" w:hAnsi="Arial" w:eastAsia="Arial" w:cs="Arial"/>
      <w:i/>
      <w:iCs/>
      <w:sz w:val="22"/>
      <w:szCs w:val="22"/>
    </w:rPr>
  </w:style>
  <w:style w:type="character" w:styleId="789" w:customStyle="1">
    <w:name w:val="Heading 9 Char"/>
    <w:basedOn w:val="711"/>
    <w:uiPriority w:val="9"/>
    <w:qFormat/>
    <w:rPr>
      <w:rFonts w:ascii="Arial" w:hAnsi="Arial" w:eastAsia="Arial" w:cs="Arial"/>
      <w:i/>
      <w:iCs/>
      <w:sz w:val="21"/>
      <w:szCs w:val="21"/>
    </w:rPr>
  </w:style>
  <w:style w:type="character" w:styleId="790" w:customStyle="1">
    <w:name w:val="Title Char"/>
    <w:basedOn w:val="711"/>
    <w:uiPriority w:val="10"/>
    <w:qFormat/>
    <w:rPr>
      <w:sz w:val="48"/>
      <w:szCs w:val="48"/>
    </w:rPr>
  </w:style>
  <w:style w:type="character" w:styleId="791" w:customStyle="1">
    <w:name w:val="Subtitle Char"/>
    <w:basedOn w:val="711"/>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11"/>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style>
  <w:style w:type="character" w:styleId="799" w:customStyle="1">
    <w:name w:val="尾注文本 字符"/>
    <w:link w:val="726"/>
    <w:uiPriority w:val="99"/>
    <w:qFormat/>
    <w:rPr>
      <w:sz w:val="20"/>
    </w:rPr>
  </w:style>
  <w:style w:type="character" w:styleId="800" w:customStyle="1">
    <w:name w:val="页脚 字符1"/>
    <w:link w:val="728"/>
    <w:uiPriority w:val="99"/>
    <w:qFormat/>
  </w:style>
  <w:style w:type="character" w:styleId="801" w:customStyle="1">
    <w:name w:val="页眉 字符1"/>
    <w:link w:val="729"/>
    <w:uiPriority w:val="99"/>
    <w:qFormat/>
  </w:style>
  <w:style w:type="character" w:styleId="802" w:customStyle="1">
    <w:name w:val="副标题 字符"/>
    <w:link w:val="732"/>
    <w:uiPriority w:val="11"/>
    <w:qFormat/>
    <w:rPr>
      <w:sz w:val="24"/>
      <w:szCs w:val="24"/>
    </w:rPr>
  </w:style>
  <w:style w:type="character" w:styleId="803" w:customStyle="1">
    <w:name w:val="脚注文本 字符"/>
    <w:link w:val="733"/>
    <w:uiPriority w:val="99"/>
    <w:qFormat/>
    <w:rPr>
      <w:sz w:val="18"/>
    </w:rPr>
  </w:style>
  <w:style w:type="character" w:styleId="804" w:customStyle="1">
    <w:name w:val="标题 字符"/>
    <w:link w:val="739"/>
    <w:uiPriority w:val="10"/>
    <w:qFormat/>
    <w:rPr>
      <w:sz w:val="48"/>
      <w:szCs w:val="48"/>
    </w:rPr>
  </w:style>
  <w:style w:type="paragraph" w:styleId="805">
    <w:name w:val="List Paragraph"/>
    <w:basedOn w:val="701"/>
    <w:uiPriority w:val="34"/>
    <w:qFormat/>
    <w:pPr>
      <w:contextualSpacing/>
      <w:ind w:left="720"/>
    </w:pPr>
  </w:style>
  <w:style w:type="paragraph" w:styleId="806">
    <w:name w:val="No Spacing"/>
    <w:uiPriority w:val="1"/>
    <w:qFormat/>
  </w:style>
  <w:style w:type="paragraph" w:styleId="807">
    <w:name w:val="Quote"/>
    <w:basedOn w:val="701"/>
    <w:next w:val="701"/>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01"/>
    <w:next w:val="701"/>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Footer Char"/>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8" w:customStyle="1">
    <w:name w:val="TOC 标题11"/>
    <w:uiPriority w:val="39"/>
    <w:unhideWhenUsed/>
    <w:qFormat/>
  </w:style>
  <w:style w:type="paragraph" w:styleId="919" w:customStyle="1">
    <w:name w:val="标题 11"/>
    <w:basedOn w:val="701"/>
    <w:next w:val="701"/>
    <w:link w:val="920"/>
    <w:qFormat/>
    <w:pPr>
      <w:jc w:val="center"/>
      <w:keepNext/>
      <w:outlineLvl w:val="0"/>
    </w:pPr>
    <w:rPr>
      <w:rFonts w:ascii="楷体_GB2312" w:hAnsi="楷体_GB2312" w:eastAsia="黑体"/>
      <w:sz w:val="44"/>
      <w:szCs w:val="28"/>
    </w:rPr>
  </w:style>
  <w:style w:type="character" w:styleId="920" w:customStyle="1">
    <w:name w:val="标题 1 Char"/>
    <w:link w:val="919"/>
    <w:uiPriority w:val="9"/>
    <w:qFormat/>
    <w:rPr>
      <w:rFonts w:ascii="楷体_GB2312" w:hAnsi="楷体_GB2312" w:eastAsia="黑体" w:cs="Times New Roman"/>
      <w:sz w:val="44"/>
      <w:szCs w:val="28"/>
    </w:rPr>
  </w:style>
  <w:style w:type="paragraph" w:styleId="921" w:customStyle="1">
    <w:name w:val="标题 21"/>
    <w:basedOn w:val="701"/>
    <w:next w:val="922"/>
    <w:link w:val="924"/>
    <w:qFormat/>
    <w:pPr>
      <w:jc w:val="center"/>
      <w:keepLines/>
      <w:keepNext/>
      <w:spacing w:before="260" w:after="260" w:line="416" w:lineRule="auto"/>
      <w:outlineLvl w:val="1"/>
    </w:pPr>
    <w:rPr>
      <w:rFonts w:ascii="Arial" w:hAnsi="Arial" w:eastAsia="幼圆" w:cs="Arial"/>
      <w:b/>
      <w:bCs/>
      <w:sz w:val="44"/>
      <w:szCs w:val="44"/>
    </w:rPr>
  </w:style>
  <w:style w:type="paragraph" w:styleId="922" w:customStyle="1">
    <w:name w:val="正文缩进1"/>
    <w:basedOn w:val="701"/>
    <w:link w:val="923"/>
    <w:qFormat/>
    <w:pPr>
      <w:ind w:firstLine="420"/>
    </w:pPr>
  </w:style>
  <w:style w:type="character" w:styleId="923" w:customStyle="1">
    <w:name w:val="正文缩进 Char"/>
    <w:link w:val="922"/>
    <w:qFormat/>
    <w:rPr>
      <w:rFonts w:ascii="Times New Roman" w:hAnsi="Times New Roman" w:eastAsia="宋体" w:cs="Times New Roman"/>
      <w:szCs w:val="21"/>
    </w:rPr>
  </w:style>
  <w:style w:type="character" w:styleId="924" w:customStyle="1">
    <w:name w:val="标题 2 Char"/>
    <w:link w:val="921"/>
    <w:uiPriority w:val="9"/>
    <w:qFormat/>
    <w:rPr>
      <w:rFonts w:ascii="Arial" w:hAnsi="Arial" w:eastAsia="幼圆" w:cs="Arial"/>
      <w:b/>
      <w:bCs/>
      <w:sz w:val="44"/>
      <w:szCs w:val="44"/>
    </w:rPr>
  </w:style>
  <w:style w:type="paragraph" w:styleId="925" w:customStyle="1">
    <w:name w:val="标题 31"/>
    <w:basedOn w:val="701"/>
    <w:next w:val="922"/>
    <w:link w:val="926"/>
    <w:qFormat/>
    <w:pPr>
      <w:keepLines/>
      <w:keepNext/>
      <w:spacing w:before="260" w:after="260" w:line="416" w:lineRule="auto"/>
      <w:outlineLvl w:val="2"/>
    </w:pPr>
    <w:rPr>
      <w:b/>
      <w:bCs/>
      <w:sz w:val="32"/>
      <w:szCs w:val="32"/>
    </w:rPr>
  </w:style>
  <w:style w:type="character" w:styleId="926" w:customStyle="1">
    <w:name w:val="标题 3 Char"/>
    <w:link w:val="925"/>
    <w:uiPriority w:val="9"/>
    <w:qFormat/>
    <w:rPr>
      <w:rFonts w:ascii="Times New Roman" w:hAnsi="Times New Roman" w:eastAsia="宋体" w:cs="Times New Roman"/>
      <w:b/>
      <w:bCs/>
      <w:sz w:val="32"/>
      <w:szCs w:val="32"/>
    </w:rPr>
  </w:style>
  <w:style w:type="paragraph" w:styleId="927" w:customStyle="1">
    <w:name w:val="标题 41"/>
    <w:basedOn w:val="701"/>
    <w:next w:val="922"/>
    <w:link w:val="928"/>
    <w:qFormat/>
    <w:pPr>
      <w:keepLines/>
      <w:keepNext/>
      <w:spacing w:before="280" w:after="290" w:line="376" w:lineRule="auto"/>
      <w:outlineLvl w:val="3"/>
    </w:pPr>
    <w:rPr>
      <w:rFonts w:ascii="Arial" w:hAnsi="Arial" w:eastAsia="黑体" w:cs="Arial"/>
      <w:b/>
      <w:bCs/>
      <w:sz w:val="28"/>
      <w:szCs w:val="28"/>
    </w:rPr>
  </w:style>
  <w:style w:type="character" w:styleId="928" w:customStyle="1">
    <w:name w:val="标题 4 Char"/>
    <w:link w:val="927"/>
    <w:uiPriority w:val="9"/>
    <w:qFormat/>
    <w:rPr>
      <w:rFonts w:ascii="Arial" w:hAnsi="Arial" w:eastAsia="黑体" w:cs="Arial"/>
      <w:b/>
      <w:bCs/>
      <w:sz w:val="28"/>
      <w:szCs w:val="28"/>
    </w:rPr>
  </w:style>
  <w:style w:type="paragraph" w:styleId="929" w:customStyle="1">
    <w:name w:val="标题 51"/>
    <w:basedOn w:val="701"/>
    <w:next w:val="922"/>
    <w:link w:val="930"/>
    <w:qFormat/>
    <w:pPr>
      <w:keepNext/>
      <w:outlineLvl w:val="4"/>
    </w:pPr>
    <w:rPr>
      <w:rFonts w:ascii="宋体"/>
      <w:color w:val="000000"/>
      <w:sz w:val="28"/>
      <w:szCs w:val="28"/>
    </w:rPr>
  </w:style>
  <w:style w:type="character" w:styleId="930" w:customStyle="1">
    <w:name w:val="标题 5 Char"/>
    <w:link w:val="929"/>
    <w:uiPriority w:val="9"/>
    <w:qFormat/>
    <w:rPr>
      <w:rFonts w:ascii="宋体" w:hAnsi="Times New Roman" w:eastAsia="宋体" w:cs="Times New Roman"/>
      <w:color w:val="000000"/>
      <w:sz w:val="28"/>
      <w:szCs w:val="28"/>
    </w:rPr>
  </w:style>
  <w:style w:type="paragraph" w:styleId="931" w:customStyle="1">
    <w:name w:val="标题 61"/>
    <w:basedOn w:val="701"/>
    <w:next w:val="701"/>
    <w:link w:val="932"/>
    <w:qFormat/>
    <w:pPr>
      <w:numPr>
        <w:ilvl w:val="5"/>
        <w:numId w:val="3"/>
      </w:numPr>
      <w:keepLines/>
      <w:keepNext/>
      <w:spacing w:before="240" w:after="64" w:line="320" w:lineRule="auto"/>
      <w:outlineLvl w:val="5"/>
    </w:pPr>
    <w:rPr>
      <w:rFonts w:ascii="Arial" w:hAnsi="Arial" w:eastAsia="黑体"/>
      <w:b/>
      <w:bCs/>
      <w:sz w:val="24"/>
      <w:szCs w:val="24"/>
    </w:rPr>
  </w:style>
  <w:style w:type="character" w:styleId="932" w:customStyle="1">
    <w:name w:val="标题 6 Char"/>
    <w:link w:val="931"/>
    <w:uiPriority w:val="9"/>
    <w:qFormat/>
    <w:rPr>
      <w:rFonts w:ascii="Arial" w:hAnsi="Arial" w:eastAsia="黑体" w:cs="Times New Roman"/>
      <w:b/>
      <w:bCs/>
      <w:sz w:val="24"/>
      <w:szCs w:val="24"/>
    </w:rPr>
  </w:style>
  <w:style w:type="paragraph" w:styleId="933" w:customStyle="1">
    <w:name w:val="标题 71"/>
    <w:basedOn w:val="701"/>
    <w:next w:val="701"/>
    <w:link w:val="934"/>
    <w:qFormat/>
    <w:pPr>
      <w:numPr>
        <w:ilvl w:val="6"/>
        <w:numId w:val="3"/>
      </w:numPr>
      <w:keepLines/>
      <w:keepNext/>
      <w:spacing w:before="240" w:after="64" w:line="320" w:lineRule="auto"/>
      <w:outlineLvl w:val="6"/>
    </w:pPr>
    <w:rPr>
      <w:b/>
      <w:bCs/>
      <w:sz w:val="24"/>
      <w:szCs w:val="24"/>
    </w:rPr>
  </w:style>
  <w:style w:type="character" w:styleId="934" w:customStyle="1">
    <w:name w:val="标题 7 Char"/>
    <w:link w:val="933"/>
    <w:uiPriority w:val="9"/>
    <w:qFormat/>
    <w:rPr>
      <w:rFonts w:ascii="Times New Roman" w:hAnsi="Times New Roman" w:eastAsia="宋体" w:cs="Times New Roman"/>
      <w:b/>
      <w:bCs/>
      <w:sz w:val="24"/>
      <w:szCs w:val="24"/>
    </w:rPr>
  </w:style>
  <w:style w:type="paragraph" w:styleId="935" w:customStyle="1">
    <w:name w:val="标题 81"/>
    <w:basedOn w:val="701"/>
    <w:next w:val="701"/>
    <w:link w:val="936"/>
    <w:qFormat/>
    <w:pPr>
      <w:numPr>
        <w:ilvl w:val="7"/>
        <w:numId w:val="3"/>
      </w:numPr>
      <w:keepLines/>
      <w:keepNext/>
      <w:spacing w:before="240" w:after="64" w:line="320" w:lineRule="auto"/>
      <w:outlineLvl w:val="7"/>
    </w:pPr>
    <w:rPr>
      <w:rFonts w:ascii="Arial" w:hAnsi="Arial" w:eastAsia="黑体"/>
      <w:sz w:val="24"/>
      <w:szCs w:val="24"/>
    </w:rPr>
  </w:style>
  <w:style w:type="character" w:styleId="936" w:customStyle="1">
    <w:name w:val="标题 8 Char"/>
    <w:link w:val="935"/>
    <w:uiPriority w:val="9"/>
    <w:qFormat/>
    <w:rPr>
      <w:rFonts w:ascii="Arial" w:hAnsi="Arial" w:eastAsia="黑体" w:cs="Times New Roman"/>
      <w:sz w:val="24"/>
      <w:szCs w:val="24"/>
    </w:rPr>
  </w:style>
  <w:style w:type="paragraph" w:styleId="937" w:customStyle="1">
    <w:name w:val="标题 91"/>
    <w:basedOn w:val="701"/>
    <w:next w:val="701"/>
    <w:link w:val="938"/>
    <w:qFormat/>
    <w:pPr>
      <w:numPr>
        <w:ilvl w:val="8"/>
        <w:numId w:val="3"/>
      </w:numPr>
      <w:keepLines/>
      <w:keepNext/>
      <w:spacing w:before="240" w:after="64" w:line="320" w:lineRule="auto"/>
      <w:outlineLvl w:val="8"/>
    </w:pPr>
    <w:rPr>
      <w:rFonts w:ascii="Arial" w:hAnsi="Arial" w:eastAsia="黑体"/>
    </w:rPr>
  </w:style>
  <w:style w:type="character" w:styleId="938" w:customStyle="1">
    <w:name w:val="标题 9 Char"/>
    <w:link w:val="937"/>
    <w:uiPriority w:val="9"/>
    <w:qFormat/>
    <w:rPr>
      <w:rFonts w:ascii="Arial" w:hAnsi="Arial" w:eastAsia="黑体" w:cs="Times New Roman"/>
      <w:szCs w:val="21"/>
    </w:rPr>
  </w:style>
  <w:style w:type="character" w:styleId="939" w:customStyle="1">
    <w:name w:val="默认段落字体1"/>
    <w:uiPriority w:val="1"/>
    <w:unhideWhenUsed/>
    <w:qFormat/>
  </w:style>
  <w:style w:type="table" w:styleId="940" w:customStyle="1">
    <w:name w:val="普通表格1"/>
    <w:uiPriority w:val="99"/>
    <w:unhideWhenUsed/>
    <w:qFormat/>
    <w:tblPr>
      <w:tblCellMar>
        <w:left w:w="0" w:type="dxa"/>
        <w:top w:w="0" w:type="dxa"/>
        <w:right w:w="0" w:type="dxa"/>
        <w:bottom w:w="0" w:type="dxa"/>
      </w:tblCellMar>
    </w:tblPr>
  </w:style>
  <w:style w:type="character" w:styleId="941" w:customStyle="1">
    <w:name w:val="批注引用1"/>
    <w:semiHidden/>
    <w:qFormat/>
    <w:rPr>
      <w:sz w:val="21"/>
      <w:szCs w:val="21"/>
    </w:rPr>
  </w:style>
  <w:style w:type="character" w:styleId="942" w:customStyle="1">
    <w:name w:val="纯文本 Char"/>
    <w:link w:val="943"/>
    <w:qFormat/>
    <w:rPr>
      <w:rFonts w:ascii="宋体" w:hAnsi="Courier New" w:eastAsia="宋体" w:cs="Courier New"/>
      <w:szCs w:val="21"/>
    </w:rPr>
  </w:style>
  <w:style w:type="paragraph" w:styleId="943" w:customStyle="1">
    <w:name w:val="纯文本1"/>
    <w:basedOn w:val="701"/>
    <w:link w:val="942"/>
    <w:qFormat/>
    <w:rPr>
      <w:rFonts w:ascii="宋体" w:hAnsi="Courier New" w:cs="Courier New"/>
    </w:rPr>
  </w:style>
  <w:style w:type="character" w:styleId="944" w:customStyle="1">
    <w:name w:val="文档结构图 Char"/>
    <w:link w:val="945"/>
    <w:semiHidden/>
    <w:qFormat/>
    <w:rPr>
      <w:rFonts w:ascii="Times New Roman" w:hAnsi="Times New Roman" w:eastAsia="宋体" w:cs="Times New Roman"/>
      <w:szCs w:val="21"/>
      <w:shd w:val="clear" w:color="auto" w:fill="000080"/>
    </w:rPr>
  </w:style>
  <w:style w:type="paragraph" w:styleId="945" w:customStyle="1">
    <w:name w:val="文档结构图1"/>
    <w:basedOn w:val="701"/>
    <w:link w:val="944"/>
    <w:semiHidden/>
    <w:qFormat/>
    <w:pPr>
      <w:shd w:val="clear" w:color="auto" w:fill="000080"/>
    </w:pPr>
  </w:style>
  <w:style w:type="character" w:styleId="946" w:customStyle="1">
    <w:name w:val="要点1"/>
    <w:qFormat/>
    <w:rPr>
      <w:b/>
      <w:bCs/>
    </w:rPr>
  </w:style>
  <w:style w:type="character" w:styleId="947" w:customStyle="1">
    <w:name w:val="页脚 Char"/>
    <w:link w:val="948"/>
    <w:uiPriority w:val="99"/>
    <w:qFormat/>
    <w:rPr>
      <w:rFonts w:ascii="Times New Roman" w:hAnsi="Times New Roman" w:eastAsia="宋体" w:cs="Times New Roman"/>
      <w:sz w:val="18"/>
      <w:szCs w:val="18"/>
    </w:rPr>
  </w:style>
  <w:style w:type="paragraph" w:styleId="948" w:customStyle="1">
    <w:name w:val="页脚1"/>
    <w:basedOn w:val="701"/>
    <w:link w:val="947"/>
    <w:qFormat/>
    <w:pPr>
      <w:jc w:val="left"/>
      <w:tabs>
        <w:tab w:val="center" w:pos="4153" w:leader="none"/>
        <w:tab w:val="right" w:pos="8306" w:leader="none"/>
      </w:tabs>
    </w:pPr>
    <w:rPr>
      <w:sz w:val="18"/>
      <w:szCs w:val="18"/>
    </w:rPr>
  </w:style>
  <w:style w:type="character" w:styleId="949" w:customStyle="1">
    <w:name w:val="列出段落 Char"/>
    <w:link w:val="950"/>
    <w:qFormat/>
    <w:rPr>
      <w:rFonts w:ascii="Calibri" w:hAnsi="Calibri"/>
      <w:sz w:val="24"/>
      <w:szCs w:val="24"/>
      <w:lang w:eastAsia="en-US" w:bidi="en-US"/>
    </w:rPr>
  </w:style>
  <w:style w:type="paragraph" w:styleId="950" w:customStyle="1">
    <w:name w:val="列出段落1"/>
    <w:basedOn w:val="701"/>
    <w:link w:val="949"/>
    <w:qFormat/>
    <w:pPr>
      <w:contextualSpacing/>
      <w:ind w:left="720"/>
      <w:jc w:val="left"/>
      <w:widowControl/>
    </w:pPr>
    <w:rPr>
      <w:rFonts w:ascii="Calibri" w:hAnsi="Calibri"/>
      <w:sz w:val="24"/>
      <w:szCs w:val="24"/>
      <w:lang w:eastAsia="en-US" w:bidi="en-US"/>
    </w:rPr>
  </w:style>
  <w:style w:type="character" w:styleId="951" w:customStyle="1">
    <w:name w:val="批注主题 Char"/>
    <w:link w:val="952"/>
    <w:uiPriority w:val="99"/>
    <w:semiHidden/>
    <w:qFormat/>
    <w:rPr>
      <w:rFonts w:ascii="Times New Roman" w:hAnsi="Times New Roman" w:eastAsia="宋体" w:cs="Times New Roman"/>
      <w:b/>
      <w:bCs/>
      <w:szCs w:val="21"/>
    </w:rPr>
  </w:style>
  <w:style w:type="paragraph" w:styleId="952" w:customStyle="1">
    <w:name w:val="批注主题1"/>
    <w:basedOn w:val="953"/>
    <w:next w:val="953"/>
    <w:link w:val="951"/>
    <w:semiHidden/>
    <w:qFormat/>
    <w:rPr>
      <w:b/>
      <w:bCs/>
    </w:rPr>
  </w:style>
  <w:style w:type="paragraph" w:styleId="953" w:customStyle="1">
    <w:name w:val="批注文字1"/>
    <w:basedOn w:val="701"/>
    <w:link w:val="954"/>
    <w:semiHidden/>
    <w:qFormat/>
    <w:pPr>
      <w:jc w:val="left"/>
    </w:pPr>
  </w:style>
  <w:style w:type="character" w:styleId="954" w:customStyle="1">
    <w:name w:val="批注文字 Char"/>
    <w:link w:val="953"/>
    <w:uiPriority w:val="99"/>
    <w:semiHidden/>
    <w:qFormat/>
    <w:rPr>
      <w:rFonts w:ascii="Times New Roman" w:hAnsi="Times New Roman" w:eastAsia="宋体" w:cs="Times New Roman"/>
      <w:szCs w:val="21"/>
    </w:rPr>
  </w:style>
  <w:style w:type="character" w:styleId="955" w:customStyle="1">
    <w:name w:val="正文文本 2 Char"/>
    <w:link w:val="956"/>
    <w:qFormat/>
    <w:rPr>
      <w:rFonts w:ascii="楷体_GB2312" w:hAnsi="Times New Roman" w:eastAsia="楷体_GB2312" w:cs="Times New Roman"/>
      <w:sz w:val="28"/>
      <w:szCs w:val="28"/>
    </w:rPr>
  </w:style>
  <w:style w:type="paragraph" w:styleId="956" w:customStyle="1">
    <w:name w:val="正文文本 21"/>
    <w:basedOn w:val="701"/>
    <w:link w:val="955"/>
    <w:qFormat/>
    <w:pPr>
      <w:jc w:val="center"/>
      <w:widowControl/>
    </w:pPr>
    <w:rPr>
      <w:rFonts w:ascii="楷体_GB2312" w:eastAsia="楷体_GB2312"/>
      <w:sz w:val="28"/>
      <w:szCs w:val="28"/>
    </w:rPr>
  </w:style>
  <w:style w:type="character" w:styleId="957" w:customStyle="1">
    <w:name w:val="正文首行缩进 Char"/>
    <w:link w:val="958"/>
    <w:qFormat/>
    <w:rPr>
      <w:rFonts w:ascii="仿宋_GB2312" w:hAnsi="Times New Roman" w:eastAsia="仿宋_GB2312" w:cs="Times New Roman"/>
      <w:sz w:val="30"/>
      <w:szCs w:val="30"/>
    </w:rPr>
  </w:style>
  <w:style w:type="paragraph" w:styleId="958" w:customStyle="1">
    <w:name w:val="正文首行缩进1"/>
    <w:basedOn w:val="718"/>
    <w:link w:val="957"/>
    <w:qFormat/>
    <w:pPr>
      <w:ind w:firstLine="200"/>
      <w:spacing w:line="360" w:lineRule="auto"/>
    </w:pPr>
    <w:rPr>
      <w:rFonts w:ascii="仿宋_GB2312" w:eastAsia="仿宋_GB2312"/>
      <w:sz w:val="30"/>
      <w:szCs w:val="30"/>
    </w:rPr>
  </w:style>
  <w:style w:type="character" w:styleId="959" w:customStyle="1">
    <w:name w:val="正文首行缩进 2 Char"/>
    <w:link w:val="960"/>
    <w:qFormat/>
    <w:rPr>
      <w:rFonts w:ascii="宋体" w:hAnsi="宋体" w:eastAsia="宋体" w:cs="Times New Roman"/>
      <w:sz w:val="32"/>
      <w:szCs w:val="20"/>
    </w:rPr>
  </w:style>
  <w:style w:type="paragraph" w:styleId="960" w:customStyle="1">
    <w:name w:val="正文首行缩进 21"/>
    <w:basedOn w:val="961"/>
    <w:link w:val="959"/>
    <w:qFormat/>
    <w:pPr>
      <w:ind w:firstLine="420"/>
      <w:spacing w:line="360" w:lineRule="auto"/>
    </w:pPr>
    <w:rPr>
      <w:rFonts w:ascii="宋体" w:hAnsi="宋体" w:eastAsia="宋体"/>
      <w:sz w:val="21"/>
      <w:szCs w:val="20"/>
    </w:rPr>
  </w:style>
  <w:style w:type="paragraph" w:styleId="961" w:customStyle="1">
    <w:name w:val="正文文本缩进1"/>
    <w:basedOn w:val="701"/>
    <w:link w:val="962"/>
    <w:qFormat/>
    <w:pPr>
      <w:ind w:firstLine="645"/>
    </w:pPr>
    <w:rPr>
      <w:rFonts w:ascii="楷体_GB2312" w:eastAsia="楷体_GB2312"/>
      <w:sz w:val="32"/>
      <w:szCs w:val="32"/>
    </w:rPr>
  </w:style>
  <w:style w:type="character" w:styleId="962" w:customStyle="1">
    <w:name w:val="正文文本缩进 Char"/>
    <w:link w:val="961"/>
    <w:qFormat/>
    <w:rPr>
      <w:rFonts w:ascii="楷体_GB2312" w:hAnsi="Times New Roman" w:eastAsia="楷体_GB2312" w:cs="Times New Roman"/>
      <w:sz w:val="32"/>
      <w:szCs w:val="32"/>
    </w:rPr>
  </w:style>
  <w:style w:type="character" w:styleId="963" w:customStyle="1">
    <w:name w:val="已访问的超链接1"/>
    <w:qFormat/>
    <w:rPr>
      <w:color w:val="800080"/>
      <w:u w:val="single"/>
    </w:rPr>
  </w:style>
  <w:style w:type="character" w:styleId="964" w:customStyle="1">
    <w:name w:val="正文文本 3 Char"/>
    <w:link w:val="965"/>
    <w:qFormat/>
    <w:rPr>
      <w:rFonts w:ascii="仿宋_GB2312" w:hAnsi="Arial" w:eastAsia="仿宋_GB2312" w:cs="Times New Roman"/>
      <w:sz w:val="32"/>
      <w:szCs w:val="32"/>
    </w:rPr>
  </w:style>
  <w:style w:type="paragraph" w:styleId="965" w:customStyle="1">
    <w:name w:val="正文文本 31"/>
    <w:basedOn w:val="701"/>
    <w:link w:val="964"/>
    <w:qFormat/>
    <w:rPr>
      <w:rFonts w:ascii="仿宋_GB2312" w:hAnsi="Arial" w:eastAsia="仿宋_GB2312"/>
      <w:sz w:val="32"/>
      <w:szCs w:val="32"/>
    </w:rPr>
  </w:style>
  <w:style w:type="character" w:styleId="966" w:customStyle="1">
    <w:name w:val="二级目录 Char"/>
    <w:link w:val="967"/>
    <w:qFormat/>
    <w:rPr>
      <w:b/>
      <w:sz w:val="30"/>
      <w:szCs w:val="28"/>
    </w:rPr>
  </w:style>
  <w:style w:type="paragraph" w:styleId="967" w:customStyle="1">
    <w:name w:val="二级目录"/>
    <w:next w:val="701"/>
    <w:link w:val="966"/>
    <w:qFormat/>
    <w:pPr>
      <w:ind w:left="907" w:hanging="907"/>
      <w:tabs>
        <w:tab w:val="left" w:pos="907" w:leader="none"/>
        <w:tab w:val="left" w:pos="1145" w:leader="none"/>
      </w:tabs>
      <w:outlineLvl w:val="1"/>
    </w:pPr>
    <w:rPr>
      <w:b/>
      <w:sz w:val="30"/>
      <w:szCs w:val="28"/>
    </w:rPr>
  </w:style>
  <w:style w:type="character" w:styleId="968" w:customStyle="1">
    <w:name w:val="页码1"/>
    <w:qFormat/>
  </w:style>
  <w:style w:type="character" w:styleId="969" w:customStyle="1">
    <w:name w:val="正文文本缩进 2 Char"/>
    <w:link w:val="970"/>
    <w:qFormat/>
    <w:rPr>
      <w:rFonts w:ascii="Arial" w:hAnsi="Arial" w:eastAsia="仿宋_GB2312" w:cs="Arial"/>
      <w:sz w:val="32"/>
      <w:szCs w:val="32"/>
    </w:rPr>
  </w:style>
  <w:style w:type="paragraph" w:styleId="970" w:customStyle="1">
    <w:name w:val="正文文本缩进 21"/>
    <w:basedOn w:val="701"/>
    <w:link w:val="969"/>
    <w:qFormat/>
    <w:pPr>
      <w:ind w:left="630" w:firstLine="645"/>
    </w:pPr>
    <w:rPr>
      <w:rFonts w:ascii="Arial" w:hAnsi="Arial" w:eastAsia="仿宋_GB2312" w:cs="Arial"/>
      <w:sz w:val="32"/>
      <w:szCs w:val="32"/>
    </w:rPr>
  </w:style>
  <w:style w:type="character" w:styleId="971" w:customStyle="1">
    <w:name w:val="日期 Char"/>
    <w:link w:val="972"/>
    <w:qFormat/>
    <w:rPr>
      <w:rFonts w:ascii="Times New Roman" w:hAnsi="Times New Roman" w:eastAsia="宋体" w:cs="Times New Roman"/>
      <w:sz w:val="24"/>
      <w:szCs w:val="24"/>
    </w:rPr>
  </w:style>
  <w:style w:type="paragraph" w:styleId="972" w:customStyle="1">
    <w:name w:val="日期1"/>
    <w:basedOn w:val="701"/>
    <w:next w:val="701"/>
    <w:link w:val="971"/>
    <w:qFormat/>
    <w:rPr>
      <w:sz w:val="24"/>
      <w:szCs w:val="24"/>
    </w:rPr>
  </w:style>
  <w:style w:type="character" w:styleId="973" w:customStyle="1">
    <w:name w:val="超链接1"/>
    <w:qFormat/>
    <w:rPr>
      <w:color w:val="0000ff"/>
      <w:u w:val="single"/>
    </w:rPr>
  </w:style>
  <w:style w:type="character" w:styleId="974" w:customStyle="1">
    <w:name w:val="批注框文本 Char"/>
    <w:link w:val="975"/>
    <w:semiHidden/>
    <w:qFormat/>
    <w:rPr>
      <w:rFonts w:ascii="Times New Roman" w:hAnsi="Times New Roman" w:eastAsia="宋体" w:cs="Times New Roman"/>
      <w:sz w:val="18"/>
      <w:szCs w:val="18"/>
    </w:rPr>
  </w:style>
  <w:style w:type="paragraph" w:styleId="975" w:customStyle="1">
    <w:name w:val="批注框文本1"/>
    <w:basedOn w:val="701"/>
    <w:link w:val="974"/>
    <w:semiHidden/>
    <w:qFormat/>
    <w:rPr>
      <w:sz w:val="18"/>
      <w:szCs w:val="18"/>
    </w:rPr>
  </w:style>
  <w:style w:type="character" w:styleId="976" w:customStyle="1">
    <w:name w:val="页眉 Char"/>
    <w:link w:val="977"/>
    <w:uiPriority w:val="99"/>
    <w:qFormat/>
    <w:rPr>
      <w:rFonts w:ascii="Times New Roman" w:hAnsi="Times New Roman" w:eastAsia="宋体" w:cs="Times New Roman"/>
      <w:sz w:val="18"/>
      <w:szCs w:val="18"/>
    </w:rPr>
  </w:style>
  <w:style w:type="paragraph" w:styleId="977" w:customStyle="1">
    <w:name w:val="页眉1"/>
    <w:basedOn w:val="701"/>
    <w:link w:val="976"/>
    <w:qFormat/>
    <w:pPr>
      <w:jc w:val="center"/>
      <w:tabs>
        <w:tab w:val="center" w:pos="4153" w:leader="none"/>
        <w:tab w:val="right" w:pos="8306" w:leader="none"/>
      </w:tabs>
      <w:pBdr>
        <w:bottom w:val="single" w:color="000000" w:sz="6" w:space="1"/>
      </w:pBdr>
    </w:pPr>
    <w:rPr>
      <w:sz w:val="18"/>
      <w:szCs w:val="18"/>
    </w:rPr>
  </w:style>
  <w:style w:type="character" w:styleId="978" w:customStyle="1">
    <w:name w:val="正文文本 Char"/>
    <w:link w:val="748"/>
    <w:qFormat/>
    <w:rPr>
      <w:rFonts w:ascii="楷体_GB2312" w:hAnsi="Arial" w:eastAsia="楷体_GB2312" w:cs="Times New Roman"/>
      <w:sz w:val="28"/>
      <w:szCs w:val="28"/>
    </w:rPr>
  </w:style>
  <w:style w:type="character" w:styleId="979" w:customStyle="1">
    <w:name w:val="正文文本缩进 3 Char"/>
    <w:link w:val="980"/>
    <w:qFormat/>
    <w:rPr>
      <w:rFonts w:ascii="Arial" w:hAnsi="Arial" w:eastAsia="仿宋_GB2312" w:cs="Arial"/>
      <w:color w:val="ffff00"/>
      <w:sz w:val="32"/>
      <w:szCs w:val="32"/>
    </w:rPr>
  </w:style>
  <w:style w:type="paragraph" w:styleId="980" w:customStyle="1">
    <w:name w:val="正文文本缩进 31"/>
    <w:basedOn w:val="701"/>
    <w:link w:val="979"/>
    <w:qFormat/>
    <w:pPr>
      <w:ind w:left="645" w:firstLine="645"/>
    </w:pPr>
    <w:rPr>
      <w:rFonts w:ascii="Arial" w:hAnsi="Arial" w:eastAsia="仿宋_GB2312" w:cs="Arial"/>
      <w:color w:val="ffff00"/>
      <w:sz w:val="32"/>
      <w:szCs w:val="32"/>
    </w:rPr>
  </w:style>
  <w:style w:type="paragraph" w:styleId="981" w:customStyle="1">
    <w:name w:val="xl25"/>
    <w:basedOn w:val="7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xl27"/>
    <w:basedOn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标题1"/>
    <w:basedOn w:val="701"/>
    <w:next w:val="7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目录 31"/>
    <w:basedOn w:val="701"/>
    <w:next w:val="701"/>
    <w:semiHidden/>
    <w:qFormat/>
    <w:pPr>
      <w:ind w:left="420"/>
      <w:jc w:val="left"/>
    </w:pPr>
    <w:rPr>
      <w:i/>
      <w:iCs/>
      <w:szCs w:val="24"/>
    </w:rPr>
  </w:style>
  <w:style w:type="paragraph" w:styleId="985" w:customStyle="1">
    <w:name w:val="font6"/>
    <w:basedOn w:val="701"/>
    <w:qFormat/>
    <w:pPr>
      <w:jc w:val="left"/>
      <w:spacing w:before="100" w:beforeAutospacing="1" w:after="100" w:afterAutospacing="1"/>
      <w:widowControl/>
    </w:pPr>
    <w:rPr>
      <w:rFonts w:hint="eastAsia" w:ascii="宋体" w:hAnsi="宋体"/>
      <w:sz w:val="28"/>
      <w:szCs w:val="28"/>
      <w:u w:val="single"/>
    </w:rPr>
  </w:style>
  <w:style w:type="paragraph" w:styleId="986" w:customStyle="1">
    <w:name w:val="xl30"/>
    <w:basedOn w:val="701"/>
    <w:qFormat/>
    <w:pPr>
      <w:jc w:val="center"/>
      <w:spacing w:before="100" w:beforeAutospacing="1" w:after="100" w:afterAutospacing="1"/>
      <w:widowControl/>
    </w:pPr>
    <w:rPr>
      <w:rFonts w:ascii="宋体" w:hAnsi="宋体"/>
      <w:b/>
      <w:bCs/>
      <w:sz w:val="36"/>
      <w:szCs w:val="36"/>
    </w:rPr>
  </w:style>
  <w:style w:type="paragraph" w:styleId="987" w:customStyle="1">
    <w:name w:val="font5"/>
    <w:basedOn w:val="701"/>
    <w:qFormat/>
    <w:pPr>
      <w:jc w:val="left"/>
      <w:spacing w:before="100" w:beforeAutospacing="1" w:after="100" w:afterAutospacing="1"/>
      <w:widowControl/>
    </w:pPr>
    <w:rPr>
      <w:rFonts w:hint="eastAsia" w:ascii="宋体" w:hAnsi="宋体"/>
      <w:sz w:val="28"/>
      <w:szCs w:val="28"/>
    </w:rPr>
  </w:style>
  <w:style w:type="paragraph" w:styleId="988" w:customStyle="1">
    <w:name w:val="图标"/>
    <w:basedOn w:val="701"/>
    <w:next w:val="7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列表 31"/>
    <w:basedOn w:val="701"/>
    <w:qFormat/>
    <w:pPr>
      <w:ind w:left="100" w:hanging="200"/>
    </w:pPr>
  </w:style>
  <w:style w:type="paragraph" w:styleId="990" w:customStyle="1">
    <w:name w:val="列表1"/>
    <w:basedOn w:val="701"/>
    <w:qFormat/>
    <w:pPr>
      <w:ind w:left="200" w:hanging="200"/>
    </w:pPr>
  </w:style>
  <w:style w:type="paragraph" w:styleId="991" w:customStyle="1">
    <w:name w:val="Char Char Char Char"/>
    <w:basedOn w:val="945"/>
    <w:qFormat/>
    <w:pPr>
      <w:spacing w:line="360" w:lineRule="auto"/>
    </w:pPr>
    <w:rPr>
      <w:rFonts w:ascii="Tahoma" w:hAnsi="Tahoma"/>
      <w:sz w:val="24"/>
      <w:szCs w:val="24"/>
    </w:rPr>
  </w:style>
  <w:style w:type="paragraph" w:styleId="992" w:customStyle="1">
    <w:name w:val="目录 81"/>
    <w:basedOn w:val="701"/>
    <w:next w:val="701"/>
    <w:semiHidden/>
    <w:qFormat/>
    <w:pPr>
      <w:ind w:left="1470"/>
      <w:jc w:val="left"/>
    </w:pPr>
  </w:style>
  <w:style w:type="paragraph" w:styleId="993" w:customStyle="1">
    <w:name w:val="修订1"/>
    <w:uiPriority w:val="99"/>
    <w:semiHidden/>
    <w:qFormat/>
    <w:rPr>
      <w:sz w:val="21"/>
      <w:szCs w:val="21"/>
    </w:rPr>
  </w:style>
  <w:style w:type="paragraph" w:styleId="994" w:customStyle="1">
    <w:name w:val="列表 21"/>
    <w:basedOn w:val="701"/>
    <w:qFormat/>
    <w:pPr>
      <w:ind w:left="100" w:hanging="200"/>
    </w:pPr>
  </w:style>
  <w:style w:type="paragraph" w:styleId="995" w:customStyle="1">
    <w:name w:val="xl24"/>
    <w:basedOn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目录 51"/>
    <w:basedOn w:val="701"/>
    <w:next w:val="701"/>
    <w:semiHidden/>
    <w:qFormat/>
    <w:pPr>
      <w:ind w:left="840"/>
      <w:jc w:val="left"/>
    </w:pPr>
  </w:style>
  <w:style w:type="paragraph" w:styleId="997" w:customStyle="1">
    <w:name w:val="普通(网站)1"/>
    <w:basedOn w:val="701"/>
    <w:uiPriority w:val="99"/>
    <w:qFormat/>
    <w:pPr>
      <w:jc w:val="left"/>
      <w:spacing w:before="100" w:beforeAutospacing="1" w:after="100" w:afterAutospacing="1"/>
      <w:widowControl/>
    </w:pPr>
    <w:rPr>
      <w:rFonts w:ascii="宋体" w:hAnsi="宋体" w:cs="宋体"/>
      <w:sz w:val="24"/>
      <w:szCs w:val="24"/>
    </w:rPr>
  </w:style>
  <w:style w:type="paragraph" w:styleId="998" w:customStyle="1">
    <w:name w:val="Char Char Char Char Char Char Char Char"/>
    <w:basedOn w:val="701"/>
    <w:qFormat/>
    <w:pPr>
      <w:jc w:val="left"/>
      <w:spacing w:after="160" w:line="240" w:lineRule="exact"/>
      <w:widowControl/>
    </w:pPr>
    <w:rPr>
      <w:rFonts w:ascii="Verdana" w:hAnsi="Verdana"/>
      <w:sz w:val="20"/>
      <w:szCs w:val="20"/>
      <w:lang w:eastAsia="en-US"/>
    </w:rPr>
  </w:style>
  <w:style w:type="paragraph" w:styleId="999" w:customStyle="1">
    <w:name w:val="font7"/>
    <w:basedOn w:val="701"/>
    <w:qFormat/>
    <w:pPr>
      <w:jc w:val="left"/>
      <w:spacing w:before="100" w:beforeAutospacing="1" w:after="100" w:afterAutospacing="1"/>
      <w:widowControl/>
    </w:pPr>
    <w:rPr>
      <w:rFonts w:hint="eastAsia" w:ascii="宋体" w:hAnsi="宋体"/>
      <w:sz w:val="18"/>
      <w:szCs w:val="18"/>
    </w:rPr>
  </w:style>
  <w:style w:type="paragraph" w:styleId="1000" w:customStyle="1">
    <w:name w:val="索引 11"/>
    <w:basedOn w:val="701"/>
    <w:next w:val="701"/>
    <w:semiHidden/>
    <w:qFormat/>
    <w:pPr>
      <w:spacing w:line="240" w:lineRule="atLeast"/>
    </w:pPr>
    <w:rPr>
      <w:b/>
      <w:bCs/>
    </w:rPr>
  </w:style>
  <w:style w:type="paragraph" w:styleId="1001" w:customStyle="1">
    <w:name w:val="目录 61"/>
    <w:basedOn w:val="701"/>
    <w:next w:val="701"/>
    <w:semiHidden/>
    <w:qFormat/>
    <w:pPr>
      <w:ind w:left="1050"/>
      <w:jc w:val="left"/>
    </w:pPr>
  </w:style>
  <w:style w:type="paragraph" w:styleId="1002" w:customStyle="1">
    <w:name w:val="Char Char Char Char Char Char Char Char11"/>
    <w:basedOn w:val="701"/>
    <w:qFormat/>
    <w:pPr>
      <w:jc w:val="left"/>
      <w:spacing w:after="160" w:line="240" w:lineRule="exact"/>
      <w:widowControl/>
    </w:pPr>
    <w:rPr>
      <w:rFonts w:ascii="Verdana" w:hAnsi="Verdana"/>
      <w:sz w:val="20"/>
      <w:szCs w:val="20"/>
      <w:lang w:eastAsia="en-US"/>
    </w:rPr>
  </w:style>
  <w:style w:type="paragraph" w:styleId="1003" w:customStyle="1">
    <w:name w:val="table_lines"/>
    <w:basedOn w:val="701"/>
    <w:qFormat/>
    <w:pPr>
      <w:jc w:val="left"/>
      <w:widowControl/>
    </w:pPr>
    <w:rPr>
      <w:sz w:val="20"/>
      <w:szCs w:val="20"/>
      <w:lang w:val="de-DE" w:eastAsia="de-DE"/>
    </w:rPr>
  </w:style>
  <w:style w:type="paragraph" w:styleId="1004" w:customStyle="1">
    <w:name w:val="Char"/>
    <w:basedOn w:val="945"/>
    <w:qFormat/>
    <w:rPr>
      <w:rFonts w:ascii="Tahoma" w:hAnsi="Tahoma"/>
      <w:sz w:val="24"/>
      <w:szCs w:val="24"/>
    </w:rPr>
  </w:style>
  <w:style w:type="paragraph" w:styleId="1005" w:customStyle="1">
    <w:name w:val="附录1"/>
    <w:qFormat/>
    <w:pPr>
      <w:numPr>
        <w:numId w:val="4"/>
      </w:numPr>
      <w:spacing w:before="240" w:line="600" w:lineRule="atLeast"/>
    </w:pPr>
    <w:rPr>
      <w:b/>
      <w:i/>
      <w:sz w:val="28"/>
    </w:rPr>
  </w:style>
  <w:style w:type="paragraph" w:styleId="1006" w:customStyle="1">
    <w:name w:val="无间隔1"/>
    <w:uiPriority w:val="99"/>
    <w:qFormat/>
    <w:pPr>
      <w:jc w:val="both"/>
      <w:widowControl w:val="off"/>
    </w:pPr>
    <w:rPr>
      <w:sz w:val="21"/>
      <w:szCs w:val="21"/>
    </w:rPr>
  </w:style>
  <w:style w:type="paragraph" w:styleId="1007" w:customStyle="1">
    <w:name w:val="图表目录1"/>
    <w:basedOn w:val="701"/>
    <w:next w:val="701"/>
    <w:semiHidden/>
    <w:qFormat/>
    <w:pPr>
      <w:ind w:left="840" w:hanging="420"/>
    </w:pPr>
  </w:style>
  <w:style w:type="paragraph" w:styleId="1008" w:customStyle="1">
    <w:name w:val="Body Text(ch)"/>
    <w:basedOn w:val="701"/>
    <w:next w:val="748"/>
    <w:qFormat/>
    <w:pPr>
      <w:spacing w:after="120"/>
    </w:pPr>
    <w:rPr>
      <w:rFonts w:ascii="宋体" w:hAnsi="Arial"/>
      <w:bCs/>
      <w:iCs/>
      <w:szCs w:val="24"/>
    </w:rPr>
  </w:style>
  <w:style w:type="paragraph" w:styleId="1009" w:customStyle="1">
    <w:name w:val="目录 91"/>
    <w:basedOn w:val="701"/>
    <w:next w:val="701"/>
    <w:semiHidden/>
    <w:qFormat/>
    <w:pPr>
      <w:ind w:left="1680"/>
      <w:jc w:val="left"/>
    </w:pPr>
  </w:style>
  <w:style w:type="paragraph" w:styleId="1010" w:customStyle="1">
    <w:name w:val="目录 11"/>
    <w:basedOn w:val="701"/>
    <w:next w:val="701"/>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xl28"/>
    <w:basedOn w:val="7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目录 21"/>
    <w:basedOn w:val="701"/>
    <w:next w:val="701"/>
    <w:semiHidden/>
    <w:qFormat/>
    <w:pPr>
      <w:ind w:left="210"/>
      <w:jc w:val="left"/>
    </w:pPr>
    <w:rPr>
      <w:smallCaps/>
      <w:szCs w:val="24"/>
    </w:rPr>
  </w:style>
  <w:style w:type="paragraph" w:styleId="1013" w:customStyle="1">
    <w:name w:val="普通 (Web)"/>
    <w:basedOn w:val="701"/>
    <w:qFormat/>
    <w:pPr>
      <w:jc w:val="left"/>
      <w:spacing w:before="100" w:beforeAutospacing="1" w:after="100" w:afterAutospacing="1"/>
      <w:widowControl/>
    </w:pPr>
    <w:rPr>
      <w:rFonts w:ascii="宋体" w:hAnsi="宋体"/>
      <w:sz w:val="24"/>
      <w:szCs w:val="24"/>
    </w:rPr>
  </w:style>
  <w:style w:type="paragraph" w:styleId="1014" w:customStyle="1">
    <w:name w:val="列出段落2"/>
    <w:basedOn w:val="701"/>
    <w:qFormat/>
    <w:pPr>
      <w:contextualSpacing/>
      <w:ind w:left="720"/>
      <w:jc w:val="left"/>
      <w:widowControl/>
    </w:pPr>
    <w:rPr>
      <w:rFonts w:ascii="Calibri" w:hAnsi="Calibri"/>
      <w:sz w:val="24"/>
      <w:szCs w:val="24"/>
      <w:lang w:eastAsia="en-US" w:bidi="en-US"/>
    </w:rPr>
  </w:style>
  <w:style w:type="paragraph" w:styleId="1015" w:customStyle="1">
    <w:name w:val="普通正文"/>
    <w:basedOn w:val="701"/>
    <w:qFormat/>
    <w:pPr>
      <w:ind w:firstLine="480"/>
      <w:jc w:val="left"/>
      <w:spacing w:before="120" w:after="120" w:line="360" w:lineRule="auto"/>
    </w:pPr>
    <w:rPr>
      <w:rFonts w:ascii="Arial" w:hAnsi="Arial"/>
      <w:sz w:val="24"/>
      <w:szCs w:val="24"/>
    </w:rPr>
  </w:style>
  <w:style w:type="paragraph" w:styleId="1016" w:customStyle="1">
    <w:name w:val="目录 71"/>
    <w:basedOn w:val="701"/>
    <w:next w:val="701"/>
    <w:semiHidden/>
    <w:qFormat/>
    <w:pPr>
      <w:ind w:left="1260"/>
      <w:jc w:val="left"/>
    </w:pPr>
  </w:style>
  <w:style w:type="paragraph" w:styleId="1017" w:customStyle="1">
    <w:name w:val="目录 41"/>
    <w:basedOn w:val="701"/>
    <w:next w:val="701"/>
    <w:semiHidden/>
    <w:qFormat/>
    <w:pPr>
      <w:ind w:left="630"/>
      <w:jc w:val="left"/>
    </w:pPr>
  </w:style>
  <w:style w:type="paragraph" w:styleId="1018" w:customStyle="1">
    <w:name w:val="xl26"/>
    <w:basedOn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7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11"/>
    <w:basedOn w:val="701"/>
    <w:qFormat/>
    <w:pPr>
      <w:ind w:firstLine="200"/>
      <w:tabs>
        <w:tab w:val="left" w:pos="360" w:leader="none"/>
      </w:tabs>
    </w:pPr>
    <w:rPr>
      <w:sz w:val="28"/>
      <w:szCs w:val="30"/>
    </w:rPr>
  </w:style>
  <w:style w:type="paragraph" w:styleId="1021" w:customStyle="1">
    <w:name w:val="4"/>
    <w:basedOn w:val="701"/>
    <w:next w:val="980"/>
    <w:qFormat/>
    <w:pPr>
      <w:ind w:firstLine="420"/>
      <w:spacing w:line="360" w:lineRule="auto"/>
    </w:pPr>
    <w:rPr>
      <w:color w:val="ff0000"/>
      <w:sz w:val="24"/>
      <w:szCs w:val="24"/>
    </w:rPr>
  </w:style>
  <w:style w:type="paragraph" w:styleId="1022" w:customStyle="1">
    <w:name w:val="Char Char Char Char Char Char Char Char Char Char"/>
    <w:basedOn w:val="701"/>
    <w:qFormat/>
    <w:pPr>
      <w:spacing w:line="360" w:lineRule="auto"/>
    </w:pPr>
    <w:rPr>
      <w:sz w:val="24"/>
      <w:szCs w:val="20"/>
    </w:rPr>
  </w:style>
  <w:style w:type="paragraph" w:styleId="1023" w:customStyle="1">
    <w:name w:val="样式1"/>
    <w:basedOn w:val="701"/>
    <w:qFormat/>
    <w:pPr>
      <w:numPr>
        <w:numId w:val="5"/>
      </w:numPr>
    </w:pPr>
    <w:rPr>
      <w:rFonts w:ascii="宋体" w:hAnsi="宋体"/>
    </w:rPr>
  </w:style>
  <w:style w:type="paragraph" w:styleId="1024" w:customStyle="1">
    <w:name w:val="标题3"/>
    <w:basedOn w:val="701"/>
    <w:next w:val="701"/>
    <w:qFormat/>
    <w:pPr>
      <w:ind w:firstLine="624"/>
      <w:spacing w:line="590" w:lineRule="atLeast"/>
    </w:pPr>
    <w:rPr>
      <w:rFonts w:ascii="方正黑体_GBK" w:eastAsia="方正黑体_GBK"/>
      <w:sz w:val="32"/>
      <w:szCs w:val="32"/>
    </w:rPr>
  </w:style>
  <w:style w:type="paragraph" w:styleId="1025" w:customStyle="1">
    <w:name w:val="Char Char Char Char11"/>
    <w:basedOn w:val="945"/>
    <w:qFormat/>
    <w:pPr>
      <w:spacing w:line="360" w:lineRule="auto"/>
    </w:pPr>
    <w:rPr>
      <w:rFonts w:ascii="Tahoma" w:hAnsi="Tahoma"/>
      <w:sz w:val="24"/>
      <w:szCs w:val="24"/>
    </w:rPr>
  </w:style>
  <w:style w:type="paragraph" w:styleId="1026" w:customStyle="1">
    <w:name w:val="table_1stline"/>
    <w:basedOn w:val="701"/>
    <w:qFormat/>
    <w:pPr>
      <w:jc w:val="left"/>
      <w:spacing w:before="120"/>
      <w:widowControl/>
    </w:pPr>
    <w:rPr>
      <w:bCs/>
      <w:sz w:val="20"/>
      <w:szCs w:val="20"/>
      <w:lang w:val="de-DE" w:eastAsia="de-DE"/>
    </w:rPr>
  </w:style>
  <w:style w:type="table" w:styleId="1027" w:customStyle="1">
    <w:name w:val="网格型1"/>
    <w:basedOn w:val="940"/>
    <w:qFormat/>
    <w:pPr>
      <w:jc w:val="both"/>
      <w:widowControl w:val="off"/>
    </w:pPr>
    <w:tblPr/>
  </w:style>
  <w:style w:type="character" w:styleId="1028" w:customStyle="1">
    <w:name w:val="批注框文本 字符"/>
    <w:basedOn w:val="711"/>
    <w:link w:val="727"/>
    <w:uiPriority w:val="99"/>
    <w:semiHidden/>
    <w:qFormat/>
    <w:rPr>
      <w:sz w:val="18"/>
      <w:szCs w:val="18"/>
    </w:rPr>
  </w:style>
  <w:style w:type="character" w:styleId="1029" w:customStyle="1">
    <w:name w:val="批注文字 Char1"/>
    <w:basedOn w:val="711"/>
    <w:uiPriority w:val="99"/>
    <w:semiHidden/>
    <w:qFormat/>
    <w:rPr>
      <w:sz w:val="21"/>
      <w:szCs w:val="21"/>
    </w:rPr>
  </w:style>
  <w:style w:type="character" w:styleId="1030" w:customStyle="1">
    <w:name w:val="批注主题 Char1"/>
    <w:basedOn w:val="1029"/>
    <w:uiPriority w:val="99"/>
    <w:semiHidden/>
    <w:qFormat/>
    <w:rPr>
      <w:b/>
      <w:bCs/>
      <w:sz w:val="21"/>
      <w:szCs w:val="21"/>
    </w:rPr>
  </w:style>
  <w:style w:type="character" w:styleId="1031" w:customStyle="1">
    <w:name w:val="标题 4 字符"/>
    <w:qFormat/>
    <w:rPr>
      <w:rFonts w:ascii="Arial" w:hAnsi="Arial" w:eastAsia="黑体" w:cs="Arial"/>
      <w:b/>
      <w:bCs/>
      <w:sz w:val="28"/>
      <w:szCs w:val="28"/>
    </w:rPr>
  </w:style>
  <w:style w:type="character" w:styleId="1032" w:customStyle="1">
    <w:name w:val="日期 字符"/>
    <w:qFormat/>
    <w:rPr>
      <w:rFonts w:ascii="Times New Roman" w:hAnsi="Times New Roman" w:eastAsia="宋体" w:cs="Times New Roman"/>
      <w:sz w:val="24"/>
      <w:szCs w:val="24"/>
    </w:rPr>
  </w:style>
  <w:style w:type="character" w:styleId="1033" w:customStyle="1">
    <w:name w:val="标题 8 字符"/>
    <w:qFormat/>
    <w:rPr>
      <w:rFonts w:ascii="Arial" w:hAnsi="Arial" w:eastAsia="黑体" w:cs="Times New Roman"/>
      <w:sz w:val="24"/>
      <w:szCs w:val="24"/>
    </w:rPr>
  </w:style>
  <w:style w:type="character" w:styleId="1034" w:customStyle="1">
    <w:name w:val="正文文本 字符"/>
    <w:qFormat/>
    <w:rPr>
      <w:rFonts w:ascii="楷体_GB2312" w:hAnsi="Arial" w:eastAsia="楷体_GB2312" w:cs="Times New Roman"/>
      <w:sz w:val="28"/>
      <w:szCs w:val="28"/>
    </w:rPr>
  </w:style>
  <w:style w:type="character" w:styleId="1035" w:customStyle="1">
    <w:name w:val="标题 5 字符"/>
    <w:qFormat/>
    <w:rPr>
      <w:rFonts w:ascii="宋体" w:hAnsi="Times New Roman" w:eastAsia="宋体" w:cs="Times New Roman"/>
      <w:color w:val="000000"/>
      <w:sz w:val="28"/>
      <w:szCs w:val="28"/>
    </w:rPr>
  </w:style>
  <w:style w:type="character" w:styleId="1036" w:customStyle="1">
    <w:name w:val="正文缩进 字符"/>
    <w:qFormat/>
    <w:rPr>
      <w:rFonts w:ascii="Times New Roman" w:hAnsi="Times New Roman" w:eastAsia="宋体" w:cs="Times New Roman"/>
      <w:szCs w:val="21"/>
    </w:rPr>
  </w:style>
  <w:style w:type="character" w:styleId="1037" w:customStyle="1">
    <w:name w:val="标题 1 字符"/>
    <w:qFormat/>
    <w:rPr>
      <w:rFonts w:ascii="楷体_GB2312" w:hAnsi="Times New Roman" w:eastAsia="楷体_GB2312" w:cs="Times New Roman"/>
      <w:sz w:val="28"/>
      <w:szCs w:val="28"/>
    </w:rPr>
  </w:style>
  <w:style w:type="character" w:styleId="1038" w:customStyle="1">
    <w:name w:val="标题 2 字符"/>
    <w:qFormat/>
    <w:rPr>
      <w:rFonts w:ascii="Arial" w:hAnsi="Arial" w:eastAsia="幼圆" w:cs="Arial"/>
      <w:b/>
      <w:bCs/>
      <w:sz w:val="44"/>
      <w:szCs w:val="44"/>
    </w:rPr>
  </w:style>
  <w:style w:type="character" w:styleId="1039" w:customStyle="1">
    <w:name w:val="标题 3 字符"/>
    <w:qFormat/>
    <w:rPr>
      <w:rFonts w:ascii="Times New Roman" w:hAnsi="Times New Roman" w:eastAsia="宋体" w:cs="Times New Roman"/>
      <w:b/>
      <w:bCs/>
      <w:sz w:val="32"/>
      <w:szCs w:val="32"/>
    </w:rPr>
  </w:style>
  <w:style w:type="character" w:styleId="1040" w:customStyle="1">
    <w:name w:val="标题 6 字符"/>
    <w:qFormat/>
    <w:rPr>
      <w:rFonts w:ascii="Arial" w:hAnsi="Arial" w:eastAsia="黑体" w:cs="Times New Roman"/>
      <w:b/>
      <w:bCs/>
      <w:sz w:val="24"/>
      <w:szCs w:val="24"/>
    </w:rPr>
  </w:style>
  <w:style w:type="character" w:styleId="1041" w:customStyle="1">
    <w:name w:val="标题 7 字符"/>
    <w:qFormat/>
    <w:rPr>
      <w:rFonts w:ascii="Times New Roman" w:hAnsi="Times New Roman" w:eastAsia="宋体" w:cs="Times New Roman"/>
      <w:b/>
      <w:bCs/>
      <w:sz w:val="24"/>
      <w:szCs w:val="24"/>
    </w:rPr>
  </w:style>
  <w:style w:type="character" w:styleId="1042" w:customStyle="1">
    <w:name w:val="标题 9 字符"/>
    <w:qFormat/>
    <w:rPr>
      <w:rFonts w:ascii="Arial" w:hAnsi="Arial" w:eastAsia="黑体" w:cs="Times New Roman"/>
      <w:szCs w:val="21"/>
    </w:rPr>
  </w:style>
  <w:style w:type="character" w:styleId="1043" w:customStyle="1">
    <w:name w:val="正文文本 3 字符"/>
    <w:qFormat/>
    <w:rPr>
      <w:rFonts w:ascii="仿宋_GB2312" w:hAnsi="Arial" w:eastAsia="仿宋_GB2312" w:cs="Times New Roman"/>
      <w:sz w:val="32"/>
      <w:szCs w:val="32"/>
    </w:rPr>
  </w:style>
  <w:style w:type="character" w:styleId="1044" w:customStyle="1">
    <w:name w:val="正文文本缩进 字符"/>
    <w:qFormat/>
    <w:rPr>
      <w:rFonts w:ascii="楷体_GB2312" w:hAnsi="Times New Roman" w:eastAsia="楷体_GB2312" w:cs="Times New Roman"/>
      <w:sz w:val="32"/>
      <w:szCs w:val="32"/>
    </w:rPr>
  </w:style>
  <w:style w:type="character" w:styleId="1045" w:customStyle="1">
    <w:name w:val="纯文本 字符"/>
    <w:qFormat/>
    <w:rPr>
      <w:rFonts w:ascii="宋体" w:hAnsi="Courier New" w:eastAsia="宋体" w:cs="Courier New"/>
      <w:szCs w:val="21"/>
    </w:rPr>
  </w:style>
  <w:style w:type="character" w:styleId="1046" w:customStyle="1">
    <w:name w:val="正文文本缩进 2 字符"/>
    <w:qFormat/>
    <w:rPr>
      <w:rFonts w:ascii="Arial" w:hAnsi="Arial" w:eastAsia="仿宋_GB2312" w:cs="Arial"/>
      <w:sz w:val="32"/>
      <w:szCs w:val="32"/>
    </w:rPr>
  </w:style>
  <w:style w:type="character" w:styleId="1047" w:customStyle="1">
    <w:name w:val="页脚 字符"/>
    <w:qFormat/>
    <w:rPr>
      <w:rFonts w:ascii="Times New Roman" w:hAnsi="Times New Roman" w:eastAsia="宋体" w:cs="Times New Roman"/>
      <w:sz w:val="18"/>
      <w:szCs w:val="18"/>
    </w:rPr>
  </w:style>
  <w:style w:type="character" w:styleId="1048" w:customStyle="1">
    <w:name w:val="页眉 字符"/>
    <w:qFormat/>
    <w:rPr>
      <w:rFonts w:ascii="Times New Roman" w:hAnsi="Times New Roman" w:eastAsia="宋体" w:cs="Times New Roman"/>
      <w:sz w:val="18"/>
      <w:szCs w:val="18"/>
    </w:rPr>
  </w:style>
  <w:style w:type="character" w:styleId="1049" w:customStyle="1">
    <w:name w:val="正文文本缩进 3 字符"/>
    <w:qFormat/>
    <w:rPr>
      <w:rFonts w:ascii="Arial" w:hAnsi="Arial" w:eastAsia="仿宋_GB2312" w:cs="Arial"/>
      <w:color w:val="ffff00"/>
      <w:sz w:val="32"/>
      <w:szCs w:val="32"/>
    </w:rPr>
  </w:style>
  <w:style w:type="character" w:styleId="1050" w:customStyle="1">
    <w:name w:val="正文文本 2 字符"/>
    <w:qFormat/>
    <w:rPr>
      <w:rFonts w:ascii="楷体_GB2312" w:hAnsi="Times New Roman" w:eastAsia="楷体_GB2312" w:cs="Times New Roman"/>
      <w:sz w:val="28"/>
      <w:szCs w:val="28"/>
    </w:rPr>
  </w:style>
  <w:style w:type="character" w:styleId="1051" w:customStyle="1">
    <w:name w:val="正文文本首行缩进 字符"/>
    <w:qFormat/>
    <w:rPr>
      <w:rFonts w:ascii="仿宋_GB2312" w:hAnsi="Times New Roman" w:eastAsia="仿宋_GB2312" w:cs="Times New Roman"/>
      <w:sz w:val="30"/>
      <w:szCs w:val="30"/>
    </w:rPr>
  </w:style>
  <w:style w:type="character" w:styleId="1052" w:customStyle="1">
    <w:name w:val="正文文本首行缩进 2 字符"/>
    <w:qFormat/>
    <w:rPr>
      <w:rFonts w:ascii="宋体" w:hAnsi="宋体" w:eastAsia="宋体" w:cs="Times New Roman"/>
      <w:sz w:val="32"/>
      <w:szCs w:val="20"/>
    </w:rPr>
  </w:style>
  <w:style w:type="character" w:styleId="1053" w:customStyle="1">
    <w:name w:val="列表段落 字符"/>
    <w:link w:val="1054"/>
    <w:uiPriority w:val="34"/>
    <w:qFormat/>
    <w:rPr>
      <w:sz w:val="24"/>
      <w:szCs w:val="24"/>
      <w:lang w:eastAsia="en-US" w:bidi="en-US"/>
    </w:rPr>
  </w:style>
  <w:style w:type="paragraph" w:styleId="1054" w:customStyle="1">
    <w:name w:val="列表段落1"/>
    <w:basedOn w:val="701"/>
    <w:link w:val="1053"/>
    <w:uiPriority w:val="34"/>
    <w:qFormat/>
    <w:pPr>
      <w:contextualSpacing/>
      <w:ind w:left="720"/>
      <w:jc w:val="left"/>
      <w:widowControl/>
    </w:pPr>
    <w:rPr>
      <w:sz w:val="24"/>
      <w:szCs w:val="24"/>
      <w:lang w:eastAsia="en-US" w:bidi="en-US"/>
    </w:rPr>
  </w:style>
  <w:style w:type="paragraph" w:styleId="1055" w:customStyle="1">
    <w:name w:val="题注1"/>
    <w:next w:val="1056"/>
    <w:uiPriority w:val="35"/>
    <w:qFormat/>
    <w:pPr>
      <w:jc w:val="center"/>
      <w:spacing w:before="240" w:after="120"/>
      <w:widowControl w:val="off"/>
    </w:pPr>
    <w:rPr>
      <w:sz w:val="21"/>
    </w:rPr>
  </w:style>
  <w:style w:type="paragraph" w:styleId="1056" w:customStyle="1">
    <w:name w:val="正文样式"/>
    <w:qFormat/>
    <w:pPr>
      <w:ind w:firstLine="200"/>
      <w:jc w:val="both"/>
      <w:spacing w:line="360" w:lineRule="auto"/>
      <w:widowControl w:val="off"/>
    </w:pPr>
    <w:rPr>
      <w:rFonts w:ascii="宋体"/>
      <w:bCs/>
      <w:sz w:val="24"/>
      <w:szCs w:val="44"/>
    </w:rPr>
  </w:style>
  <w:style w:type="paragraph" w:styleId="1057" w:customStyle="1">
    <w:name w:val="题注-图"/>
    <w:next w:val="701"/>
    <w:qFormat/>
    <w:pPr>
      <w:jc w:val="center"/>
    </w:pPr>
    <w:rPr>
      <w:sz w:val="21"/>
      <w:szCs w:val="24"/>
      <w:lang w:val="zh-CN"/>
    </w:rPr>
  </w:style>
  <w:style w:type="paragraph" w:styleId="1058" w:customStyle="1">
    <w:name w:val="正文:缩进"/>
    <w:basedOn w:val="701"/>
    <w:qFormat/>
    <w:pPr>
      <w:jc w:val="left"/>
    </w:pPr>
    <w:rPr>
      <w:rFonts w:ascii="Calibri" w:hAnsi="Calibri"/>
    </w:rPr>
  </w:style>
  <w:style w:type="paragraph" w:styleId="1059" w:customStyle="1">
    <w:name w:val="题注-表格"/>
    <w:qFormat/>
    <w:pPr>
      <w:jc w:val="center"/>
      <w:spacing w:before="240" w:after="50"/>
    </w:pPr>
    <w:rPr>
      <w:rFonts w:cs="宋体"/>
      <w:color w:val="000000"/>
      <w:sz w:val="21"/>
      <w:szCs w:val="18"/>
    </w:rPr>
  </w:style>
  <w:style w:type="paragraph" w:styleId="1060" w:customStyle="1">
    <w:name w:val="Char Char Char Char1"/>
    <w:basedOn w:val="945"/>
    <w:qFormat/>
    <w:pPr>
      <w:spacing w:line="360" w:lineRule="auto"/>
    </w:pPr>
    <w:rPr>
      <w:rFonts w:ascii="Tahoma" w:hAnsi="Tahoma"/>
      <w:sz w:val="24"/>
      <w:szCs w:val="24"/>
    </w:rPr>
  </w:style>
  <w:style w:type="paragraph" w:styleId="1061" w:customStyle="1">
    <w:name w:val="Char1"/>
    <w:basedOn w:val="945"/>
    <w:qFormat/>
    <w:rPr>
      <w:rFonts w:ascii="Tahoma" w:hAnsi="Tahoma"/>
      <w:sz w:val="24"/>
      <w:szCs w:val="24"/>
    </w:rPr>
  </w:style>
  <w:style w:type="paragraph" w:styleId="1062" w:customStyle="1">
    <w:name w:val="Char Char Char Char Char Char Char Char1"/>
    <w:basedOn w:val="701"/>
    <w:qFormat/>
    <w:pPr>
      <w:jc w:val="left"/>
      <w:spacing w:after="160" w:line="240" w:lineRule="exact"/>
      <w:widowControl/>
    </w:pPr>
    <w:rPr>
      <w:rFonts w:ascii="Verdana" w:hAnsi="Verdana"/>
      <w:sz w:val="20"/>
      <w:szCs w:val="20"/>
      <w:lang w:eastAsia="en-US"/>
    </w:rPr>
  </w:style>
  <w:style w:type="paragraph" w:styleId="1063" w:customStyle="1">
    <w:name w:val="*正文"/>
    <w:basedOn w:val="701"/>
    <w:qFormat/>
    <w:rPr>
      <w:color w:val="000000"/>
    </w:rPr>
  </w:style>
  <w:style w:type="character" w:styleId="1064" w:customStyle="1">
    <w:name w:val="NormalCharacter"/>
    <w:link w:val="1065"/>
    <w:qFormat/>
  </w:style>
  <w:style w:type="paragraph" w:styleId="1065" w:customStyle="1">
    <w:name w:val="UserStyle_3"/>
    <w:basedOn w:val="701"/>
    <w:link w:val="1064"/>
    <w:qFormat/>
    <w:pPr>
      <w:jc w:val="left"/>
      <w:spacing w:after="160" w:line="240" w:lineRule="exact"/>
      <w:widowControl/>
    </w:pPr>
    <w:rPr>
      <w:sz w:val="20"/>
      <w:szCs w:val="20"/>
    </w:rPr>
  </w:style>
  <w:style w:type="paragraph" w:styleId="1066" w:customStyle="1">
    <w:name w:val="Table Text"/>
    <w:semiHidden/>
    <w:qFormat/>
    <w:pPr>
      <w:jc w:val="both"/>
      <w:widowControl w:val="off"/>
    </w:pPr>
    <w:rPr>
      <w:rFonts w:ascii="微软雅黑" w:hAnsi="微软雅黑" w:eastAsia="微软雅黑" w:cs="微软雅黑"/>
      <w:sz w:val="24"/>
      <w:szCs w:val="24"/>
      <w:lang w:eastAsia="en-US"/>
    </w:rPr>
  </w:style>
  <w:style w:type="paragraph" w:styleId="1067" w:customStyle="1">
    <w:name w:val="列表内容"/>
    <w:next w:val="701"/>
    <w:qFormat/>
    <w:pPr>
      <w:numPr>
        <w:numId w:val="6"/>
      </w:numPr>
      <w:tabs>
        <w:tab w:val="left" w:pos="0" w:leader="none"/>
        <w:tab w:val="left" w:pos="840" w:leader="none"/>
      </w:tabs>
    </w:pPr>
    <w:rPr>
      <w:sz w:val="18"/>
      <w:szCs w:val="18"/>
      <w:lang w:bidi="hi-IN"/>
    </w:rPr>
  </w:style>
  <w:style w:type="character" w:styleId="1068" w:customStyle="1">
    <w:name w:val="font41"/>
    <w:basedOn w:val="711"/>
    <w:qFormat/>
    <w:rPr>
      <w:rFonts w:hint="default" w:ascii="Times New Roman" w:hAnsi="Times New Roman" w:cs="Times New Roman"/>
      <w:color w:val="000000"/>
      <w:sz w:val="18"/>
      <w:szCs w:val="18"/>
      <w:u w:val="none"/>
    </w:rPr>
  </w:style>
  <w:style w:type="character" w:styleId="1069" w:customStyle="1">
    <w:name w:val="font31"/>
    <w:basedOn w:val="711"/>
    <w:qFormat/>
    <w:rPr>
      <w:rFonts w:hint="eastAsia" w:ascii="宋体" w:hAnsi="宋体" w:eastAsia="宋体" w:cs="宋体"/>
      <w:color w:val="000000"/>
      <w:sz w:val="18"/>
      <w:szCs w:val="18"/>
      <w:u w:val="none"/>
    </w:rPr>
  </w:style>
  <w:style w:type="paragraph" w:styleId="1070" w:customStyle="1">
    <w:name w:val="正文_0_0_0"/>
    <w:qFormat/>
    <w:pPr>
      <w:widowControl w:val="off"/>
    </w:pPr>
    <w:rPr>
      <w:rFonts w:ascii="Noto Sans CJK JP Regular" w:hAnsi="Noto Sans CJK JP Regular" w:eastAsia="Noto Sans CJK JP Regular" w:cs="Noto Sans CJK JP Regular"/>
      <w:sz w:val="22"/>
      <w:szCs w:val="22"/>
      <w:lang w:eastAsia="en-US"/>
    </w:rPr>
  </w:style>
  <w:style w:type="paragraph" w:styleId="1071" w:customStyle="1">
    <w:name w:val="UserStyle_5"/>
    <w:qFormat/>
    <w:pPr>
      <w:jc w:val="both"/>
    </w:pPr>
    <w:rPr>
      <w:sz w:val="21"/>
      <w:szCs w:val="24"/>
    </w:rPr>
  </w:style>
  <w:style w:type="paragraph" w:styleId="1072" w:customStyle="1">
    <w:name w:val="UserStyle_4"/>
    <w:basedOn w:val="701"/>
    <w:qFormat/>
    <w:pPr>
      <w:ind w:firstLine="480"/>
    </w:pPr>
    <w:rPr>
      <w:sz w:val="20"/>
      <w:szCs w:val="24"/>
    </w:rPr>
  </w:style>
  <w:style w:type="paragraph" w:styleId="1073" w:customStyle="1">
    <w:name w:val="0正文"/>
    <w:basedOn w:val="701"/>
    <w:qFormat/>
    <w:pPr>
      <w:ind w:firstLine="480"/>
      <w:spacing w:line="360" w:lineRule="auto"/>
    </w:pPr>
    <w:rPr>
      <w:rFonts w:ascii="Verdana" w:hAnsi="Verdan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圣敏</cp:lastModifiedBy>
  <cp:revision>53</cp:revision>
  <dcterms:created xsi:type="dcterms:W3CDTF">2024-06-04T03:45:00Z</dcterms:created>
  <dcterms:modified xsi:type="dcterms:W3CDTF">2024-11-20T07:12:31Z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C09119AA321A4289AB5EAE0F72B9D1F6_13</vt:lpwstr>
  </property>
</Properties>
</file>