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rPr>
          <w:color w:val="auto"/>
          <w:highlight w:val="none"/>
        </w:rPr>
      </w:r>
    </w:p>
    <w:p>
      <w:pPr>
        <w:pStyle w:val="989"/>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rPr>
          <w:color w:val="auto"/>
          <w:highlight w:val="none"/>
        </w:rPr>
      </w:r>
    </w:p>
    <w:p>
      <w:pPr>
        <w:pStyle w:val="989"/>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rPr>
          <w:color w:val="auto"/>
          <w:highlight w:val="none"/>
        </w:rPr>
      </w:r>
    </w:p>
    <w:p>
      <w:pPr>
        <w:pStyle w:val="989"/>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989"/>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989"/>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901"/>
        <w:ind w:firstLine="192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rPr>
        <w:t xml:space="preserve">JSZC-320200-JZCG-G2024-0151</w:t>
      </w:r>
      <w:r>
        <w:rPr>
          <w:rFonts w:ascii="黑体" w:hAnsi="华文中宋" w:eastAsia="黑体"/>
          <w:bCs/>
          <w:color w:val="auto"/>
          <w:sz w:val="32"/>
          <w:szCs w:val="32"/>
          <w:highlight w:val="none"/>
        </w:rPr>
      </w:r>
      <w:r>
        <w:rPr>
          <w:color w:val="auto"/>
          <w:highlight w:val="none"/>
        </w:rPr>
      </w:r>
    </w:p>
    <w:p>
      <w:pPr>
        <w:pStyle w:val="901"/>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rPr>
        <w:t xml:space="preserve">东南大学无锡国际校区算力中心设备采购项目</w:t>
      </w:r>
      <w:r>
        <w:rPr>
          <w:rFonts w:hint="eastAsia" w:ascii="黑体" w:hAnsi="华文中宋" w:eastAsia="黑体"/>
          <w:bCs/>
          <w:color w:val="auto"/>
          <w:sz w:val="32"/>
          <w:szCs w:val="32"/>
          <w:highlight w:val="none"/>
        </w:rPr>
      </w:r>
      <w:r>
        <w:rPr>
          <w:color w:val="auto"/>
          <w:highlight w:val="none"/>
        </w:rPr>
      </w:r>
    </w:p>
    <w:p>
      <w:pPr>
        <w:pStyle w:val="901"/>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rPr>
        <w:t xml:space="preserve">无锡高等教育发展服务中心</w:t>
      </w:r>
      <w:r>
        <w:rPr>
          <w:rFonts w:hint="eastAsia" w:ascii="黑体" w:hAnsi="华文中宋" w:eastAsia="黑体"/>
          <w:bCs/>
          <w:color w:val="auto"/>
          <w:sz w:val="32"/>
          <w:szCs w:val="32"/>
          <w:highlight w:val="none"/>
        </w:rPr>
      </w:r>
      <w:r>
        <w:rPr>
          <w:color w:val="auto"/>
          <w:highlight w:val="none"/>
        </w:rPr>
      </w:r>
    </w:p>
    <w:p>
      <w:pPr>
        <w:pStyle w:val="901"/>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rPr>
          <w:color w:val="auto"/>
          <w:highlight w:val="none"/>
        </w:rPr>
      </w:r>
    </w:p>
    <w:p>
      <w:pPr>
        <w:pStyle w:val="98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98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98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989"/>
        <w:ind w:firstLine="0"/>
        <w:jc w:val="center"/>
        <w:spacing w:before="0" w:after="0"/>
        <w:rPr>
          <w:rFonts w:hint="eastAsia" w:ascii="宋体" w:hAnsi="宋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采购代理机构：无锡市公共资源交易中心</w:t>
      </w:r>
      <w:r>
        <w:rPr>
          <w:rFonts w:hint="eastAsia" w:ascii="宋体" w:hAnsi="宋体"/>
          <w:color w:val="auto"/>
          <w:sz w:val="32"/>
          <w:szCs w:val="32"/>
          <w:highlight w:val="none"/>
          <w:shd w:val="clear" w:color="ffffff" w:fill="d9d9d9"/>
        </w:rPr>
      </w:r>
      <w:r>
        <w:rPr>
          <w:color w:val="auto"/>
          <w:highlight w:val="none"/>
        </w:rPr>
      </w:r>
    </w:p>
    <w:p>
      <w:pPr>
        <w:pStyle w:val="989"/>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二○二四年十</w:t>
      </w:r>
      <w:r>
        <w:rPr>
          <w:rFonts w:hint="eastAsia" w:ascii="黑体" w:hAnsi="华文中宋" w:eastAsia="黑体"/>
          <w:bCs/>
          <w:color w:val="auto"/>
          <w:sz w:val="32"/>
          <w:szCs w:val="32"/>
          <w:highlight w:val="none"/>
        </w:rPr>
        <w:t xml:space="preserve">月</w:t>
      </w:r>
      <w:r>
        <w:rPr>
          <w:rFonts w:ascii="黑体" w:hAnsi="华文中宋" w:eastAsia="黑体"/>
          <w:bCs/>
          <w:color w:val="auto"/>
          <w:sz w:val="32"/>
          <w:szCs w:val="32"/>
          <w:highlight w:val="none"/>
        </w:rPr>
      </w:r>
      <w:r>
        <w:rPr>
          <w:color w:val="auto"/>
          <w:highlight w:val="none"/>
        </w:rPr>
      </w:r>
    </w:p>
    <w:p>
      <w:pPr>
        <w:pStyle w:val="989"/>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rPr>
          <w:color w:val="auto"/>
          <w:highlight w:val="none"/>
        </w:rPr>
      </w:r>
      <w:bookmarkStart w:id="1" w:name="_Toc479757206"/>
      <w:r>
        <w:rPr>
          <w:color w:val="auto"/>
          <w:highlight w:val="none"/>
        </w:rPr>
      </w:r>
      <w:bookmarkStart w:id="2" w:name="_Toc513029200"/>
      <w:r>
        <w:rPr>
          <w:color w:val="auto"/>
          <w:highlight w:val="none"/>
        </w:rPr>
      </w:r>
      <w:bookmarkStart w:id="3" w:name="_Toc523127445"/>
      <w:r>
        <w:rPr>
          <w:color w:val="auto"/>
          <w:highlight w:val="none"/>
        </w:rPr>
      </w:r>
      <w:bookmarkStart w:id="4" w:name="_Toc20823272"/>
      <w:r>
        <w:rPr>
          <w:color w:val="auto"/>
          <w:highlight w:val="none"/>
        </w:rPr>
      </w:r>
      <w:bookmarkStart w:id="5" w:name="_Toc16938516"/>
      <w:r>
        <w:rPr>
          <w:rFonts w:hint="eastAsia" w:ascii="黑体" w:hAnsi="黑体" w:eastAsia="黑体"/>
          <w:color w:val="auto"/>
          <w:sz w:val="36"/>
          <w:szCs w:val="36"/>
          <w:highlight w:val="none"/>
        </w:rPr>
        <w:t xml:space="preserve">总  目  录</w:t>
      </w:r>
      <w:r>
        <w:rPr>
          <w:color w:val="auto"/>
          <w:highlight w:val="none"/>
        </w:rPr>
      </w:r>
    </w:p>
    <w:p>
      <w:pPr>
        <w:pStyle w:val="901"/>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rPr>
          <w:color w:val="auto"/>
          <w:highlight w:val="none"/>
        </w:rPr>
      </w:r>
    </w:p>
    <w:p>
      <w:pPr>
        <w:pStyle w:val="901"/>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color w:val="auto"/>
          <w:highlight w:val="none"/>
        </w:rPr>
      </w:r>
    </w:p>
    <w:p>
      <w:pPr>
        <w:pStyle w:val="901"/>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color w:val="auto"/>
          <w:highlight w:val="none"/>
        </w:rPr>
      </w:r>
    </w:p>
    <w:p>
      <w:pPr>
        <w:pStyle w:val="901"/>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color w:val="auto"/>
          <w:highlight w:val="none"/>
        </w:rPr>
      </w:r>
    </w:p>
    <w:p>
      <w:pPr>
        <w:pStyle w:val="901"/>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color w:val="auto"/>
          <w:highlight w:val="none"/>
        </w:rPr>
      </w:r>
    </w:p>
    <w:p>
      <w:pPr>
        <w:pStyle w:val="901"/>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color w:val="auto"/>
          <w:highlight w:val="none"/>
        </w:rPr>
      </w:r>
    </w:p>
    <w:p>
      <w:pPr>
        <w:pStyle w:val="901"/>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color w:val="auto"/>
          <w:highlight w:val="none"/>
        </w:rPr>
      </w:r>
    </w:p>
    <w:p>
      <w:pPr>
        <w:pStyle w:val="901"/>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r>
        <w:rPr>
          <w:color w:val="auto"/>
          <w:highlight w:val="none"/>
        </w:rPr>
      </w:r>
    </w:p>
    <w:p>
      <w:pPr>
        <w:pStyle w:val="901"/>
        <w:ind w:firstLine="480"/>
        <w:spacing w:line="500" w:lineRule="exact"/>
        <w:rPr>
          <w:rFonts w:ascii="宋体" w:hAnsi="宋体"/>
          <w:color w:val="auto"/>
          <w:sz w:val="24"/>
          <w:szCs w:val="24"/>
          <w:highlight w:val="none"/>
          <w:shd w:val="clear" w:color="ffffff" w:fill="d9d9d9"/>
        </w:rPr>
      </w:pPr>
      <w:r>
        <w:rPr>
          <w:color w:val="auto"/>
          <w:highlight w:val="none"/>
        </w:rPr>
      </w:r>
      <w:bookmarkEnd w:id="0"/>
      <w:r>
        <w:rPr>
          <w:rFonts w:hint="eastAsia" w:ascii="宋体" w:hAnsi="宋体"/>
          <w:color w:val="auto"/>
          <w:sz w:val="24"/>
          <w:szCs w:val="24"/>
          <w:highlight w:val="none"/>
        </w:rPr>
        <w:t xml:space="preserve">受</w:t>
      </w:r>
      <w:r>
        <w:rPr>
          <w:rFonts w:hint="eastAsia" w:ascii="宋体" w:hAnsi="宋体"/>
          <w:color w:val="auto"/>
          <w:sz w:val="24"/>
          <w:szCs w:val="24"/>
          <w:highlight w:val="none"/>
        </w:rPr>
        <w:t xml:space="preserve">无锡高等教育发展服务中心</w:t>
      </w:r>
      <w:r>
        <w:rPr>
          <w:rFonts w:hint="eastAsia" w:ascii="宋体" w:hAnsi="宋体"/>
          <w:color w:val="auto"/>
          <w:sz w:val="24"/>
          <w:szCs w:val="24"/>
          <w:highlight w:val="none"/>
        </w:rPr>
        <w:t xml:space="preserve">的委托，无锡市公共资源交易中心就</w:t>
      </w:r>
      <w:r>
        <w:rPr>
          <w:rFonts w:hint="eastAsia" w:ascii="宋体" w:hAnsi="宋体"/>
          <w:color w:val="auto"/>
          <w:sz w:val="24"/>
          <w:szCs w:val="24"/>
          <w:highlight w:val="none"/>
        </w:rPr>
        <w:t xml:space="preserve">东南大学无锡国际校区算力中心设备采购项目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JSZC-320200-JZCG-G2024-0151</w:t>
      </w:r>
      <w:r>
        <w:rPr>
          <w:rFonts w:hint="eastAsia" w:ascii="宋体" w:hAnsi="宋体"/>
          <w:color w:val="auto"/>
          <w:sz w:val="24"/>
          <w:szCs w:val="24"/>
          <w:highlight w:val="none"/>
        </w:rPr>
        <w:t xml:space="preserve">）进行公开招标采购，欢迎符合条件的供应商投标。</w:t>
      </w:r>
      <w:r>
        <w:rPr>
          <w:rFonts w:ascii="宋体" w:hAnsi="宋体"/>
          <w:color w:val="auto"/>
          <w:sz w:val="24"/>
          <w:szCs w:val="24"/>
          <w:highlight w:val="none"/>
          <w:shd w:val="clear" w:color="ffffff" w:fill="d9d9d9"/>
        </w:rPr>
      </w:r>
      <w:r>
        <w:rPr>
          <w:color w:val="auto"/>
          <w:highlight w:val="none"/>
        </w:rPr>
      </w:r>
    </w:p>
    <w:p>
      <w:pPr>
        <w:pStyle w:val="901"/>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rPr>
          <w:rFonts w:ascii="宋体" w:hAnsi="宋体"/>
          <w:color w:val="auto"/>
          <w:sz w:val="24"/>
          <w:szCs w:val="24"/>
          <w:highlight w:val="none"/>
          <w:shd w:val="clear" w:color="ffffff" w:fill="d9d9d9"/>
        </w:rPr>
      </w:r>
      <w:r>
        <w:rPr>
          <w:color w:val="auto"/>
          <w:highlight w:val="none"/>
        </w:rPr>
      </w:r>
    </w:p>
    <w:p>
      <w:pPr>
        <w:pStyle w:val="901"/>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东南大学无锡国际校区算力中心设备采购项目</w:t>
      </w:r>
      <w:r>
        <w:rPr>
          <w:rFonts w:hint="eastAsia" w:ascii="宋体" w:hAnsi="宋体"/>
          <w:color w:val="auto"/>
          <w:sz w:val="24"/>
          <w:szCs w:val="24"/>
          <w:highlight w:val="none"/>
        </w:rPr>
        <w:t xml:space="preserve">采购项目的潜在投标人应在“无锡政府采购网”“江苏政府采购网”自行浏览招标文件，如有投标意向须在本招标文件有效获取期内通过</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w:t>
      </w:r>
      <w:r>
        <w:rPr>
          <w:rFonts w:hint="eastAsia" w:ascii="宋体" w:hAnsi="宋体"/>
          <w:color w:val="auto"/>
          <w:sz w:val="24"/>
          <w:szCs w:val="24"/>
          <w:highlight w:val="none"/>
        </w:rPr>
        <w:t xml:space="preserve">依法</w:t>
      </w:r>
      <w:r>
        <w:rPr>
          <w:rFonts w:hint="eastAsia" w:ascii="宋体" w:hAnsi="宋体"/>
          <w:color w:val="auto"/>
          <w:sz w:val="24"/>
          <w:szCs w:val="24"/>
          <w:highlight w:val="none"/>
        </w:rPr>
        <w:t xml:space="preserve">获取招标文件，并于2024年</w:t>
      </w:r>
      <w:r>
        <w:rPr>
          <w:rFonts w:hint="eastAsia" w:ascii="宋体" w:hAnsi="宋体"/>
          <w:color w:val="auto"/>
          <w:sz w:val="24"/>
          <w:szCs w:val="24"/>
          <w:highlight w:val="none"/>
        </w:rPr>
        <w:t xml:space="preserve">11</w:t>
      </w:r>
      <w:r>
        <w:rPr>
          <w:rFonts w:hint="eastAsia" w:ascii="宋体" w:hAnsi="宋体"/>
          <w:color w:val="auto"/>
          <w:sz w:val="24"/>
          <w:szCs w:val="24"/>
          <w:highlight w:val="none"/>
        </w:rPr>
        <w:t xml:space="preserve">月</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日</w:t>
      </w:r>
      <w:r>
        <w:rPr>
          <w:rFonts w:hint="eastAsia" w:ascii="宋体" w:hAnsi="宋体"/>
          <w:color w:val="auto"/>
          <w:sz w:val="24"/>
          <w:szCs w:val="24"/>
          <w:highlight w:val="none"/>
        </w:rPr>
        <w:t xml:space="preserve">0</w:t>
      </w:r>
      <w:r>
        <w:rPr>
          <w:rFonts w:hint="eastAsia" w:ascii="宋体" w:hAnsi="宋体"/>
          <w:color w:val="auto"/>
          <w:sz w:val="24"/>
          <w:szCs w:val="24"/>
          <w:highlight w:val="none"/>
        </w:rPr>
        <w:t xml:space="preserve">9</w:t>
      </w:r>
      <w:r>
        <w:rPr>
          <w:rFonts w:hint="eastAsia" w:ascii="宋体" w:hAnsi="宋体"/>
          <w:color w:val="auto"/>
          <w:sz w:val="24"/>
          <w:szCs w:val="24"/>
          <w:highlight w:val="none"/>
        </w:rPr>
        <w:t xml:space="preserve">点</w:t>
      </w:r>
      <w:r>
        <w:rPr>
          <w:rFonts w:hint="eastAsia" w:ascii="宋体" w:hAnsi="宋体"/>
          <w:color w:val="auto"/>
          <w:sz w:val="24"/>
          <w:szCs w:val="24"/>
          <w:highlight w:val="none"/>
        </w:rPr>
        <w:t xml:space="preserve">30</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rPr>
          <w:rFonts w:ascii="宋体" w:hAnsi="宋体"/>
          <w:color w:val="auto"/>
          <w:sz w:val="24"/>
          <w:szCs w:val="24"/>
          <w:highlight w:val="none"/>
          <w:shd w:val="clear" w:color="ffffff" w:fill="d9d9d9"/>
        </w:rPr>
      </w:r>
      <w:r>
        <w:rPr>
          <w:color w:val="auto"/>
          <w:highlight w:val="none"/>
        </w:rPr>
      </w:r>
    </w:p>
    <w:p>
      <w:pPr>
        <w:pStyle w:val="904"/>
        <w:ind w:firstLine="452"/>
        <w:keepLines w:val="0"/>
        <w:keepNext w:val="0"/>
        <w:spacing w:before="0" w:after="0" w:line="500" w:lineRule="exact"/>
        <w:rPr>
          <w:color w:val="auto"/>
          <w:sz w:val="30"/>
          <w:szCs w:val="30"/>
          <w:highlight w:val="none"/>
        </w:rPr>
      </w:pPr>
      <w:r>
        <w:rPr>
          <w:color w:val="auto"/>
          <w:highlight w:val="none"/>
        </w:rPr>
      </w:r>
      <w:bookmarkStart w:id="6" w:name="_Toc35393790"/>
      <w:r>
        <w:rPr>
          <w:color w:val="auto"/>
          <w:highlight w:val="none"/>
        </w:rPr>
      </w:r>
      <w:bookmarkStart w:id="7" w:name="_Toc38985263"/>
      <w:r>
        <w:rPr>
          <w:color w:val="auto"/>
          <w:highlight w:val="none"/>
        </w:rPr>
      </w:r>
      <w:bookmarkStart w:id="8" w:name="_Toc28359079"/>
      <w:r>
        <w:rPr>
          <w:color w:val="auto"/>
          <w:highlight w:val="none"/>
        </w:rPr>
      </w:r>
      <w:bookmarkStart w:id="9" w:name="_Toc28359002"/>
      <w:r>
        <w:rPr>
          <w:color w:val="auto"/>
          <w:highlight w:val="none"/>
        </w:rPr>
      </w:r>
      <w:bookmarkStart w:id="10" w:name="_Toc35393621"/>
      <w:r>
        <w:rPr>
          <w:color w:val="auto"/>
          <w:highlight w:val="none"/>
        </w:rPr>
      </w:r>
      <w:bookmarkStart w:id="11" w:name="_Hlk24379207"/>
      <w:r>
        <w:rPr>
          <w:rFonts w:hint="eastAsia"/>
          <w:color w:val="auto"/>
          <w:sz w:val="30"/>
          <w:szCs w:val="30"/>
          <w:highlight w:val="none"/>
        </w:rPr>
        <w:t xml:space="preserve">一、项目基本情况</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sz w:val="30"/>
          <w:szCs w:val="30"/>
          <w:highlight w:val="none"/>
        </w:rPr>
      </w:r>
      <w:r>
        <w:rPr>
          <w:color w:val="auto"/>
          <w:highlight w:val="none"/>
        </w:rPr>
      </w:r>
    </w:p>
    <w:p>
      <w:pPr>
        <w:pStyle w:val="90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rPr>
        <w:t xml:space="preserve">JSZC-320200-JZCG-G2024-0151</w:t>
      </w:r>
      <w:r>
        <w:rPr>
          <w:rFonts w:ascii="宋体" w:hAnsi="宋体"/>
          <w:color w:val="auto"/>
          <w:sz w:val="24"/>
          <w:szCs w:val="24"/>
          <w:highlight w:val="none"/>
        </w:rPr>
      </w:r>
      <w:r>
        <w:rPr>
          <w:color w:val="auto"/>
          <w:highlight w:val="none"/>
        </w:rPr>
      </w:r>
    </w:p>
    <w:p>
      <w:pPr>
        <w:pStyle w:val="90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rPr>
        <w:t xml:space="preserve">东南大学无锡国际校区算力中心设备采购项目</w:t>
      </w:r>
      <w:r>
        <w:rPr>
          <w:rFonts w:ascii="宋体" w:hAnsi="宋体"/>
          <w:color w:val="auto"/>
          <w:sz w:val="24"/>
          <w:szCs w:val="24"/>
          <w:highlight w:val="none"/>
        </w:rPr>
      </w:r>
      <w:r>
        <w:rPr>
          <w:color w:val="auto"/>
          <w:highlight w:val="none"/>
        </w:rPr>
      </w:r>
    </w:p>
    <w:p>
      <w:pPr>
        <w:pStyle w:val="901"/>
        <w:ind w:firstLine="480"/>
        <w:spacing w:line="500" w:lineRule="exact"/>
        <w:rPr>
          <w:rFonts w:ascii="宋体" w:hAnsi="宋体"/>
          <w:color w:val="auto"/>
          <w:sz w:val="24"/>
          <w:szCs w:val="24"/>
          <w:highlight w:val="none"/>
        </w:rPr>
      </w:pPr>
      <w:r>
        <w:rPr>
          <w:color w:val="auto"/>
          <w:highlight w:val="none"/>
        </w:rPr>
      </w:r>
      <w:bookmarkEnd w:id="11"/>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rPr>
        <w:t xml:space="preserve">126</w:t>
      </w:r>
      <w:r>
        <w:rPr>
          <w:rFonts w:hint="eastAsia" w:ascii="宋体" w:hAnsi="宋体"/>
          <w:color w:val="auto"/>
          <w:sz w:val="24"/>
          <w:szCs w:val="24"/>
          <w:highlight w:val="none"/>
        </w:rPr>
        <w:t xml:space="preserve">万元</w:t>
      </w:r>
      <w:r>
        <w:rPr>
          <w:rFonts w:ascii="宋体" w:hAnsi="宋体"/>
          <w:color w:val="auto"/>
          <w:sz w:val="24"/>
          <w:szCs w:val="24"/>
          <w:highlight w:val="none"/>
        </w:rPr>
      </w:r>
      <w:r>
        <w:rPr>
          <w:color w:val="auto"/>
          <w:highlight w:val="none"/>
        </w:rPr>
      </w:r>
    </w:p>
    <w:p>
      <w:pPr>
        <w:pStyle w:val="90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rPr>
        <w:t xml:space="preserve">126</w:t>
      </w:r>
      <w:r>
        <w:rPr>
          <w:rFonts w:hint="eastAsia" w:ascii="宋体" w:hAnsi="宋体"/>
          <w:color w:val="auto"/>
          <w:sz w:val="24"/>
          <w:szCs w:val="24"/>
          <w:highlight w:val="none"/>
        </w:rPr>
        <w:t xml:space="preserve">万元</w:t>
      </w:r>
      <w:r>
        <w:rPr>
          <w:rFonts w:ascii="宋体" w:hAnsi="宋体"/>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rPr>
        <w:t xml:space="preserve">.采购需求：</w:t>
      </w:r>
      <w:r>
        <w:rPr>
          <w:rFonts w:hint="eastAsia" w:ascii="宋体" w:hAnsi="宋体" w:cs="宋体"/>
          <w:color w:val="auto"/>
          <w:sz w:val="24"/>
          <w:szCs w:val="24"/>
          <w:highlight w:val="none"/>
        </w:rPr>
        <w:t xml:space="preserve">详见招标文件第四章《采购需求》</w:t>
      </w:r>
      <w:r>
        <w:rPr>
          <w:rFonts w:hint="eastAsia" w:ascii="宋体" w:hAnsi="宋体"/>
          <w:color w:val="auto"/>
          <w:sz w:val="24"/>
          <w:szCs w:val="24"/>
          <w:highlight w:val="none"/>
        </w:rPr>
      </w:r>
      <w:r>
        <w:rPr>
          <w:color w:val="auto"/>
          <w:highlight w:val="none"/>
        </w:rPr>
      </w:r>
    </w:p>
    <w:p>
      <w:pPr>
        <w:pStyle w:val="901"/>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.合同履行期限：</w:t>
      </w:r>
      <w:r>
        <w:rPr>
          <w:rFonts w:hint="eastAsia" w:ascii="宋体" w:hAnsi="宋体" w:cs="宋体"/>
          <w:color w:val="auto"/>
          <w:sz w:val="24"/>
          <w:szCs w:val="24"/>
          <w:highlight w:val="none"/>
        </w:rPr>
        <w:t xml:space="preserve">详见招标文件第四章《采购需求》</w:t>
      </w:r>
      <w:r>
        <w:rPr>
          <w:color w:val="auto"/>
          <w:highlight w:val="none"/>
        </w:rPr>
      </w:r>
    </w:p>
    <w:p>
      <w:pPr>
        <w:pStyle w:val="90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ascii="宋体" w:hAnsi="宋体" w:cs="宋体"/>
          <w:color w:val="auto"/>
          <w:sz w:val="24"/>
          <w:szCs w:val="24"/>
          <w:highlight w:val="none"/>
        </w:rPr>
      </w:r>
      <w:r>
        <w:rPr>
          <w:color w:val="auto"/>
          <w:highlight w:val="none"/>
        </w:rPr>
      </w:r>
    </w:p>
    <w:p>
      <w:pPr>
        <w:pStyle w:val="904"/>
        <w:ind w:firstLine="452"/>
        <w:keepLines w:val="0"/>
        <w:keepNext w:val="0"/>
        <w:spacing w:before="0" w:after="0" w:line="500" w:lineRule="exact"/>
        <w:rPr>
          <w:color w:val="auto"/>
          <w:sz w:val="30"/>
          <w:szCs w:val="30"/>
          <w:highlight w:val="none"/>
        </w:rPr>
      </w:pPr>
      <w:r>
        <w:rPr>
          <w:color w:val="auto"/>
          <w:highlight w:val="none"/>
        </w:rPr>
      </w:r>
      <w:bookmarkStart w:id="12" w:name="_Toc38985264"/>
      <w:r>
        <w:rPr>
          <w:color w:val="auto"/>
          <w:highlight w:val="none"/>
        </w:rPr>
      </w:r>
      <w:bookmarkStart w:id="13" w:name="_Toc35393791"/>
      <w:r>
        <w:rPr>
          <w:color w:val="auto"/>
          <w:highlight w:val="none"/>
        </w:rPr>
      </w:r>
      <w:bookmarkStart w:id="14" w:name="_Toc28359080"/>
      <w:r>
        <w:rPr>
          <w:color w:val="auto"/>
          <w:highlight w:val="none"/>
        </w:rPr>
      </w:r>
      <w:bookmarkStart w:id="15" w:name="_Toc28359003"/>
      <w:r>
        <w:rPr>
          <w:color w:val="auto"/>
          <w:highlight w:val="none"/>
        </w:rPr>
      </w:r>
      <w:bookmarkStart w:id="16" w:name="_Toc35393622"/>
      <w:r>
        <w:rPr>
          <w:rFonts w:hint="eastAsia"/>
          <w:color w:val="auto"/>
          <w:sz w:val="30"/>
          <w:szCs w:val="30"/>
          <w:highlight w:val="none"/>
        </w:rPr>
        <w:t xml:space="preserve">二、申请人的资格要求</w:t>
      </w:r>
      <w:bookmarkEnd w:id="12"/>
      <w:r>
        <w:rPr>
          <w:color w:val="auto"/>
          <w:highlight w:val="none"/>
        </w:rPr>
      </w:r>
      <w:bookmarkEnd w:id="13"/>
      <w:r>
        <w:rPr>
          <w:color w:val="auto"/>
          <w:highlight w:val="none"/>
        </w:rPr>
      </w:r>
      <w:bookmarkEnd w:id="14"/>
      <w:r>
        <w:rPr>
          <w:color w:val="auto"/>
          <w:highlight w:val="none"/>
        </w:rPr>
      </w:r>
      <w:bookmarkEnd w:id="15"/>
      <w:r>
        <w:rPr>
          <w:color w:val="auto"/>
          <w:highlight w:val="none"/>
        </w:rPr>
      </w:r>
      <w:bookmarkEnd w:id="16"/>
      <w:r>
        <w:rPr>
          <w:color w:val="auto"/>
          <w:sz w:val="30"/>
          <w:szCs w:val="30"/>
          <w:highlight w:val="none"/>
        </w:rPr>
      </w:r>
      <w:r>
        <w:rPr>
          <w:color w:val="auto"/>
          <w:highlight w:val="none"/>
        </w:rPr>
      </w:r>
    </w:p>
    <w:p>
      <w:pPr>
        <w:pStyle w:val="901"/>
        <w:ind w:firstLine="480"/>
        <w:spacing w:line="500" w:lineRule="exact"/>
        <w:rPr>
          <w:rFonts w:ascii="宋体" w:hAnsi="宋体"/>
          <w:color w:val="auto"/>
          <w:sz w:val="24"/>
          <w:szCs w:val="24"/>
          <w:highlight w:val="none"/>
        </w:rPr>
      </w:pPr>
      <w:r>
        <w:rPr>
          <w:color w:val="auto"/>
          <w:highlight w:val="none"/>
        </w:rPr>
      </w:r>
      <w:bookmarkStart w:id="17" w:name="_Toc28359004"/>
      <w:r>
        <w:rPr>
          <w:color w:val="auto"/>
          <w:highlight w:val="none"/>
        </w:rPr>
      </w:r>
      <w:bookmarkStart w:id="18" w:name="_Toc35393792"/>
      <w:r>
        <w:rPr>
          <w:color w:val="auto"/>
          <w:highlight w:val="none"/>
        </w:rPr>
      </w:r>
      <w:bookmarkStart w:id="19" w:name="_Toc28359081"/>
      <w:r>
        <w:rPr>
          <w:color w:val="auto"/>
          <w:highlight w:val="none"/>
        </w:rPr>
      </w:r>
      <w:bookmarkStart w:id="20" w:name="_Toc38985265"/>
      <w:r>
        <w:rPr>
          <w:color w:val="auto"/>
          <w:highlight w:val="none"/>
        </w:rPr>
      </w:r>
      <w:bookmarkStart w:id="21" w:name="_Toc35393623"/>
      <w:r>
        <w:rPr>
          <w:rFonts w:hint="eastAsia" w:ascii="宋体" w:hAnsi="宋体"/>
          <w:color w:val="auto"/>
          <w:sz w:val="24"/>
          <w:szCs w:val="24"/>
          <w:highlight w:val="none"/>
        </w:rPr>
        <w:t xml:space="preserve">1.满足《中华人民共和国政府采购法》第二十二条规定；</w:t>
      </w:r>
      <w:r>
        <w:rPr>
          <w:rFonts w:ascii="宋体" w:hAnsi="宋体"/>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 xml:space="preserve">落实政府采购政策需满足的资格要求：</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2.1中小企业政策：无；</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auto"/>
          <w:highlight w:val="none"/>
        </w:rPr>
      </w:r>
    </w:p>
    <w:p>
      <w:pPr>
        <w:pStyle w:val="901"/>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rPr>
        <w:t xml:space="preserve">.本项目的特定资格要求：无</w:t>
      </w:r>
      <w:r>
        <w:rPr>
          <w:rFonts w:hint="eastAsia" w:ascii="宋体" w:hAnsi="宋体"/>
          <w:color w:val="auto"/>
          <w:sz w:val="24"/>
          <w:szCs w:val="24"/>
          <w:highlight w:val="none"/>
        </w:rPr>
        <w:t xml:space="preserve">。</w:t>
      </w:r>
      <w:r>
        <w:rPr>
          <w:rFonts w:ascii="宋体" w:hAnsi="宋体" w:cs="宋体"/>
          <w:color w:val="auto"/>
          <w:sz w:val="24"/>
          <w:szCs w:val="24"/>
          <w:highlight w:val="none"/>
        </w:rPr>
      </w:r>
      <w:r>
        <w:rPr>
          <w:color w:val="auto"/>
          <w:highlight w:val="none"/>
        </w:rPr>
      </w:r>
    </w:p>
    <w:p>
      <w:pPr>
        <w:pStyle w:val="90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bookmarkEnd w:id="21"/>
      <w:r>
        <w:rPr>
          <w:color w:val="auto"/>
          <w:sz w:val="30"/>
          <w:szCs w:val="30"/>
          <w:highlight w:val="none"/>
        </w:rPr>
      </w:r>
      <w:r>
        <w:rPr>
          <w:color w:val="auto"/>
          <w:highlight w:val="none"/>
        </w:rPr>
      </w:r>
    </w:p>
    <w:p>
      <w:pPr>
        <w:pStyle w:val="901"/>
        <w:ind w:firstLine="540"/>
        <w:spacing w:line="500" w:lineRule="exact"/>
        <w:rPr>
          <w:rFonts w:hint="eastAsia" w:ascii="宋体" w:hAnsi="宋体"/>
          <w:color w:val="auto"/>
          <w:sz w:val="24"/>
          <w:szCs w:val="24"/>
          <w:highlight w:val="none"/>
        </w:rPr>
      </w:pPr>
      <w:r>
        <w:rPr>
          <w:color w:val="auto"/>
          <w:highlight w:val="none"/>
        </w:rPr>
      </w:r>
      <w:bookmarkStart w:id="22" w:name="_Toc28359005"/>
      <w:r>
        <w:rPr>
          <w:color w:val="auto"/>
          <w:highlight w:val="none"/>
        </w:rPr>
      </w:r>
      <w:bookmarkStart w:id="23" w:name="_Toc28359082"/>
      <w:r>
        <w:rPr>
          <w:color w:val="auto"/>
          <w:highlight w:val="none"/>
        </w:rPr>
      </w:r>
      <w:bookmarkStart w:id="24" w:name="_Toc35393793"/>
      <w:r>
        <w:rPr>
          <w:color w:val="auto"/>
          <w:highlight w:val="none"/>
        </w:rPr>
      </w:r>
      <w:bookmarkStart w:id="25" w:name="_Toc35393624"/>
      <w:r>
        <w:rPr>
          <w:color w:val="auto"/>
          <w:highlight w:val="none"/>
        </w:rPr>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w:t>
      </w:r>
      <w:r>
        <w:rPr>
          <w:rFonts w:hint="eastAsia" w:ascii="宋体" w:hAnsi="宋体"/>
          <w:color w:val="auto"/>
          <w:sz w:val="24"/>
          <w:szCs w:val="24"/>
          <w:highlight w:val="none"/>
        </w:rPr>
        <w:t xml:space="preserve">以本项目招标公告中规定的获取招标文件时间为准。</w:t>
      </w:r>
      <w:r>
        <w:rPr>
          <w:color w:val="auto"/>
          <w:highlight w:val="none"/>
        </w:rPr>
      </w:r>
    </w:p>
    <w:p>
      <w:pPr>
        <w:pStyle w:val="901"/>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bCs/>
          <w:color w:val="auto"/>
          <w:sz w:val="24"/>
          <w:szCs w:val="24"/>
          <w:highlight w:val="none"/>
        </w:rPr>
      </w:r>
      <w:r>
        <w:rPr>
          <w:color w:val="auto"/>
          <w:highlight w:val="none"/>
        </w:rPr>
      </w:r>
    </w:p>
    <w:p>
      <w:pPr>
        <w:pStyle w:val="901"/>
        <w:ind w:firstLine="540"/>
        <w:spacing w:line="500" w:lineRule="exact"/>
        <w:rPr>
          <w:rStyle w:val="978"/>
          <w:color w:val="auto"/>
          <w:highlight w:val="none"/>
        </w:rPr>
      </w:pPr>
      <w:r>
        <w:rPr>
          <w:rFonts w:hint="eastAsia" w:ascii="宋体" w:hAnsi="宋体"/>
          <w:bCs/>
          <w:color w:val="auto"/>
          <w:sz w:val="24"/>
          <w:szCs w:val="24"/>
          <w:highlight w:val="none"/>
        </w:rPr>
        <w:t xml:space="preserve">3.方式：</w:t>
      </w:r>
      <w:r>
        <w:rPr>
          <w:rFonts w:hint="eastAsia" w:ascii="宋体" w:hAnsi="宋体"/>
          <w:bCs/>
          <w:color w:val="auto"/>
          <w:sz w:val="24"/>
          <w:szCs w:val="24"/>
          <w:highlight w:val="none"/>
        </w:rPr>
        <w:t xml:space="preserve">请有投标意向的供应商在招标文件有效获取期内及时至</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（http://jszfcg.jscz.gov.cn/jszc/login）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w:t>
      </w:r>
      <w:r>
        <w:rPr>
          <w:rFonts w:hint="eastAsia" w:ascii="宋体" w:hAnsi="宋体"/>
          <w:bCs/>
          <w:color w:val="auto"/>
          <w:sz w:val="24"/>
          <w:szCs w:val="24"/>
          <w:highlight w:val="none"/>
        </w:rPr>
        <w:t xml:space="preserve">有效获取</w:t>
      </w:r>
      <w:r>
        <w:rPr>
          <w:rFonts w:hint="eastAsia" w:ascii="宋体" w:hAnsi="宋体"/>
          <w:bCs/>
          <w:color w:val="auto"/>
          <w:sz w:val="24"/>
          <w:szCs w:val="24"/>
          <w:highlight w:val="none"/>
        </w:rPr>
        <w:t xml:space="preserve">期限内，从</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获取的</w:t>
      </w:r>
      <w:r>
        <w:rPr>
          <w:rFonts w:hint="eastAsia" w:ascii="宋体" w:hAnsi="宋体"/>
          <w:bCs/>
          <w:color w:val="auto"/>
          <w:sz w:val="24"/>
          <w:szCs w:val="24"/>
          <w:highlight w:val="none"/>
        </w:rPr>
        <w:t xml:space="preserve">招标文件，视为依法获取的招标文件。</w:t>
      </w:r>
      <w:r>
        <w:rPr>
          <w:rStyle w:val="978"/>
          <w:color w:val="auto"/>
          <w:highlight w:val="none"/>
        </w:rPr>
      </w:r>
      <w:r>
        <w:rPr>
          <w:color w:val="auto"/>
          <w:highlight w:val="none"/>
        </w:rPr>
      </w:r>
    </w:p>
    <w:p>
      <w:pPr>
        <w:pStyle w:val="901"/>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招标文件</w:t>
      </w:r>
      <w:r>
        <w:rPr>
          <w:rFonts w:hint="eastAsia" w:ascii="宋体" w:hAnsi="宋体"/>
          <w:bCs/>
          <w:color w:val="auto"/>
          <w:sz w:val="24"/>
          <w:szCs w:val="24"/>
          <w:highlight w:val="none"/>
        </w:rPr>
        <w:t xml:space="preserve">免费。</w:t>
      </w:r>
      <w:r>
        <w:rPr>
          <w:rFonts w:ascii="宋体" w:hAnsi="宋体"/>
          <w:bCs/>
          <w:color w:val="auto"/>
          <w:sz w:val="24"/>
          <w:szCs w:val="24"/>
          <w:highlight w:val="none"/>
        </w:rPr>
      </w:r>
      <w:r>
        <w:rPr>
          <w:color w:val="auto"/>
          <w:highlight w:val="none"/>
        </w:rPr>
      </w:r>
    </w:p>
    <w:p>
      <w:pPr>
        <w:pStyle w:val="90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rPr>
          <w:color w:val="auto"/>
          <w:highlight w:val="none"/>
        </w:rPr>
      </w:r>
      <w:bookmarkEnd w:id="23"/>
      <w:r>
        <w:rPr>
          <w:rFonts w:hint="eastAsia"/>
          <w:color w:val="auto"/>
          <w:sz w:val="30"/>
          <w:szCs w:val="30"/>
          <w:highlight w:val="none"/>
        </w:rPr>
        <w:t xml:space="preserve">截止时间、开标时间和地点</w:t>
      </w:r>
      <w:bookmarkEnd w:id="24"/>
      <w:r>
        <w:rPr>
          <w:color w:val="auto"/>
          <w:highlight w:val="none"/>
        </w:rPr>
      </w:r>
      <w:bookmarkEnd w:id="25"/>
      <w:r>
        <w:rPr>
          <w:color w:val="auto"/>
          <w:highlight w:val="none"/>
        </w:rPr>
      </w:r>
      <w:bookmarkEnd w:id="26"/>
      <w:r>
        <w:rPr>
          <w:color w:val="auto"/>
          <w:sz w:val="30"/>
          <w:szCs w:val="30"/>
          <w:highlight w:val="none"/>
        </w:rPr>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1.时间：2024年</w:t>
      </w:r>
      <w:r>
        <w:rPr>
          <w:rFonts w:hint="eastAsia" w:ascii="宋体" w:hAnsi="宋体"/>
          <w:bCs/>
          <w:color w:val="auto"/>
          <w:sz w:val="24"/>
          <w:szCs w:val="24"/>
          <w:highlight w:val="none"/>
        </w:rPr>
        <w:t xml:space="preserve">11</w:t>
      </w:r>
      <w:r>
        <w:rPr>
          <w:rFonts w:hint="eastAsia" w:ascii="宋体" w:hAnsi="宋体"/>
          <w:bCs/>
          <w:color w:val="auto"/>
          <w:sz w:val="24"/>
          <w:szCs w:val="24"/>
          <w:highlight w:val="none"/>
        </w:rPr>
        <w:t xml:space="preserve">月1</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rPr>
        <w:t xml:space="preserve">09点30分（北京时间）</w:t>
      </w:r>
      <w:r>
        <w:rPr>
          <w:color w:val="auto"/>
          <w:highlight w:val="none"/>
        </w:rPr>
      </w:r>
    </w:p>
    <w:p>
      <w:pPr>
        <w:pStyle w:val="901"/>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rPr>
          <w:rFonts w:hint="eastAsia" w:ascii="宋体" w:hAnsi="宋体"/>
          <w:bCs/>
          <w:color w:val="auto"/>
          <w:sz w:val="24"/>
          <w:szCs w:val="24"/>
          <w:highlight w:val="none"/>
          <w:u w:val="single"/>
        </w:rPr>
      </w:r>
      <w:r>
        <w:rPr>
          <w:color w:val="auto"/>
          <w:highlight w:val="none"/>
        </w:rPr>
      </w:r>
    </w:p>
    <w:p>
      <w:pPr>
        <w:pStyle w:val="904"/>
        <w:ind w:firstLine="452"/>
        <w:keepLines w:val="0"/>
        <w:keepNext w:val="0"/>
        <w:spacing w:before="0" w:after="0" w:line="500" w:lineRule="exact"/>
        <w:rPr>
          <w:color w:val="auto"/>
          <w:sz w:val="30"/>
          <w:szCs w:val="30"/>
          <w:highlight w:val="none"/>
        </w:rPr>
      </w:pPr>
      <w:r>
        <w:rPr>
          <w:color w:val="auto"/>
          <w:highlight w:val="none"/>
        </w:rPr>
      </w:r>
      <w:bookmarkStart w:id="27" w:name="_Toc28359084"/>
      <w:r>
        <w:rPr>
          <w:color w:val="auto"/>
          <w:highlight w:val="none"/>
        </w:rPr>
      </w:r>
      <w:bookmarkStart w:id="28" w:name="_Toc28359007"/>
      <w:r>
        <w:rPr>
          <w:color w:val="auto"/>
          <w:highlight w:val="none"/>
        </w:rPr>
      </w:r>
      <w:bookmarkStart w:id="29" w:name="_Toc35393625"/>
      <w:r>
        <w:rPr>
          <w:color w:val="auto"/>
          <w:highlight w:val="none"/>
        </w:rPr>
      </w:r>
      <w:bookmarkStart w:id="30" w:name="_Toc35393794"/>
      <w:r>
        <w:rPr>
          <w:color w:val="auto"/>
          <w:highlight w:val="none"/>
        </w:rPr>
      </w:r>
      <w:bookmarkStart w:id="31" w:name="_Toc38985267"/>
      <w:r>
        <w:rPr>
          <w:rFonts w:hint="eastAsia"/>
          <w:color w:val="auto"/>
          <w:sz w:val="30"/>
          <w:szCs w:val="30"/>
          <w:highlight w:val="none"/>
        </w:rPr>
        <w:t xml:space="preserve">五、公告期限</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31"/>
      <w:r>
        <w:rPr>
          <w:color w:val="auto"/>
          <w:sz w:val="30"/>
          <w:szCs w:val="30"/>
          <w:highlight w:val="none"/>
        </w:rPr>
      </w:r>
      <w:r>
        <w:rPr>
          <w:color w:val="auto"/>
          <w:highlight w:val="none"/>
        </w:rPr>
      </w:r>
    </w:p>
    <w:p>
      <w:pPr>
        <w:pStyle w:val="901"/>
        <w:ind w:firstLine="480"/>
        <w:spacing w:line="500" w:lineRule="exact"/>
        <w:rPr>
          <w:rFonts w:ascii="宋体" w:hAnsi="宋体" w:cs="宋体"/>
          <w:color w:val="auto"/>
          <w:sz w:val="24"/>
          <w:szCs w:val="24"/>
          <w:highlight w:val="none"/>
        </w:rPr>
      </w:pPr>
      <w:r>
        <w:rPr>
          <w:color w:val="auto"/>
          <w:highlight w:val="none"/>
        </w:rPr>
      </w:r>
      <w:bookmarkStart w:id="32" w:name="_Toc35393795"/>
      <w:r>
        <w:rPr>
          <w:color w:val="auto"/>
          <w:highlight w:val="none"/>
        </w:rPr>
      </w:r>
      <w:bookmarkStart w:id="33" w:name="_Toc38985268"/>
      <w:r>
        <w:rPr>
          <w:color w:val="auto"/>
          <w:highlight w:val="none"/>
        </w:rPr>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rPr>
          <w:rFonts w:ascii="宋体" w:hAnsi="宋体" w:cs="宋体"/>
          <w:color w:val="auto"/>
          <w:sz w:val="24"/>
          <w:szCs w:val="24"/>
          <w:highlight w:val="none"/>
        </w:rPr>
      </w:r>
      <w:r>
        <w:rPr>
          <w:color w:val="auto"/>
          <w:highlight w:val="none"/>
        </w:rPr>
      </w:r>
    </w:p>
    <w:p>
      <w:pPr>
        <w:pStyle w:val="90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rPr>
          <w:color w:val="auto"/>
          <w:highlight w:val="none"/>
        </w:rPr>
      </w:r>
      <w:bookmarkEnd w:id="33"/>
      <w:r>
        <w:rPr>
          <w:color w:val="auto"/>
          <w:highlight w:val="none"/>
        </w:rPr>
      </w:r>
      <w:bookmarkEnd w:id="34"/>
      <w:r>
        <w:rPr>
          <w:color w:val="auto"/>
          <w:sz w:val="30"/>
          <w:szCs w:val="30"/>
          <w:highlight w:val="none"/>
        </w:rPr>
      </w:r>
      <w:r>
        <w:rPr>
          <w:color w:val="auto"/>
          <w:highlight w:val="none"/>
        </w:rPr>
      </w:r>
    </w:p>
    <w:p>
      <w:pPr>
        <w:pStyle w:val="90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rPr>
          <w:rFonts w:ascii="宋体" w:hAnsi="宋体" w:cs="宋体"/>
          <w:color w:val="auto"/>
          <w:sz w:val="24"/>
          <w:szCs w:val="24"/>
          <w:highlight w:val="none"/>
        </w:rPr>
      </w:r>
      <w:r>
        <w:rPr>
          <w:color w:val="auto"/>
          <w:highlight w:val="none"/>
        </w:rPr>
      </w:r>
    </w:p>
    <w:p>
      <w:pPr>
        <w:pStyle w:val="904"/>
        <w:ind w:firstLine="452"/>
        <w:keepLines w:val="0"/>
        <w:keepNext w:val="0"/>
        <w:spacing w:before="0" w:after="0" w:line="500" w:lineRule="exact"/>
        <w:rPr>
          <w:color w:val="auto"/>
          <w:sz w:val="30"/>
          <w:szCs w:val="30"/>
          <w:highlight w:val="none"/>
        </w:rPr>
      </w:pPr>
      <w:r>
        <w:rPr>
          <w:color w:val="auto"/>
          <w:highlight w:val="none"/>
        </w:rPr>
      </w:r>
      <w:bookmarkStart w:id="35" w:name="_Toc28359008"/>
      <w:r>
        <w:rPr>
          <w:color w:val="auto"/>
          <w:highlight w:val="none"/>
        </w:rPr>
      </w:r>
      <w:bookmarkStart w:id="36" w:name="_Toc35393627"/>
      <w:r>
        <w:rPr>
          <w:color w:val="auto"/>
          <w:highlight w:val="none"/>
        </w:rPr>
      </w:r>
      <w:bookmarkStart w:id="37" w:name="_Toc28359085"/>
      <w:r>
        <w:rPr>
          <w:color w:val="auto"/>
          <w:highlight w:val="none"/>
        </w:rPr>
      </w:r>
      <w:bookmarkStart w:id="38" w:name="_Toc35393796"/>
      <w:r>
        <w:rPr>
          <w:color w:val="auto"/>
          <w:highlight w:val="none"/>
        </w:rPr>
      </w:r>
      <w:bookmarkStart w:id="39" w:name="_Toc38985269"/>
      <w:r>
        <w:rPr>
          <w:rFonts w:hint="eastAsia"/>
          <w:color w:val="auto"/>
          <w:sz w:val="30"/>
          <w:szCs w:val="30"/>
          <w:highlight w:val="none"/>
        </w:rPr>
        <w:t xml:space="preserve">七、本项目联系方式</w:t>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sz w:val="30"/>
          <w:szCs w:val="30"/>
          <w:highlight w:val="none"/>
        </w:rPr>
      </w:r>
      <w:r>
        <w:rPr>
          <w:color w:val="auto"/>
          <w:highlight w:val="none"/>
        </w:rPr>
      </w:r>
    </w:p>
    <w:p>
      <w:pPr>
        <w:pStyle w:val="90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rPr>
          <w:rFonts w:ascii="宋体" w:hAnsi="宋体" w:cs="宋体"/>
          <w:color w:val="auto"/>
          <w:sz w:val="24"/>
          <w:szCs w:val="24"/>
          <w:highlight w:val="none"/>
        </w:rPr>
      </w:r>
      <w:r>
        <w:rPr>
          <w:color w:val="auto"/>
          <w:highlight w:val="none"/>
        </w:rPr>
      </w:r>
    </w:p>
    <w:p>
      <w:pPr>
        <w:pStyle w:val="90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rPr>
        <w:t xml:space="preserve">无锡高等教育发展服务中心</w:t>
      </w:r>
      <w:r>
        <w:rPr>
          <w:rFonts w:ascii="宋体" w:hAnsi="宋体" w:cs="宋体"/>
          <w:color w:val="auto"/>
          <w:sz w:val="24"/>
          <w:szCs w:val="24"/>
          <w:highlight w:val="none"/>
        </w:rPr>
      </w:r>
      <w:r>
        <w:rPr>
          <w:color w:val="auto"/>
          <w:highlight w:val="none"/>
        </w:rPr>
      </w:r>
    </w:p>
    <w:p>
      <w:pPr>
        <w:pStyle w:val="90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rPr>
        <w:t xml:space="preserve">无锡市学前街27号</w:t>
      </w:r>
      <w:r>
        <w:rPr>
          <w:rFonts w:ascii="宋体" w:hAnsi="宋体" w:cs="宋体"/>
          <w:color w:val="auto"/>
          <w:sz w:val="24"/>
          <w:szCs w:val="24"/>
          <w:highlight w:val="none"/>
        </w:rPr>
      </w:r>
      <w:r>
        <w:rPr>
          <w:color w:val="auto"/>
          <w:highlight w:val="none"/>
        </w:rPr>
      </w:r>
    </w:p>
    <w:p>
      <w:pPr>
        <w:pStyle w:val="90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rPr>
          <w:color w:val="auto"/>
          <w:highlight w:val="none"/>
        </w:rPr>
      </w:r>
      <w:bookmarkStart w:id="41" w:name="_Toc28359086"/>
      <w:r>
        <w:rPr>
          <w:rFonts w:hint="eastAsia" w:ascii="宋体" w:hAnsi="宋体" w:cs="宋体"/>
          <w:color w:val="auto"/>
          <w:sz w:val="24"/>
          <w:szCs w:val="24"/>
          <w:highlight w:val="none"/>
        </w:rPr>
        <w:t xml:space="preserve">见“项目联系方式”</w:t>
      </w:r>
      <w:r>
        <w:rPr>
          <w:rFonts w:ascii="宋体" w:hAnsi="宋体" w:cs="宋体"/>
          <w:color w:val="auto"/>
          <w:sz w:val="24"/>
          <w:szCs w:val="24"/>
          <w:highlight w:val="none"/>
        </w:rPr>
      </w:r>
      <w:r>
        <w:rPr>
          <w:color w:val="auto"/>
          <w:highlight w:val="none"/>
        </w:rPr>
      </w:r>
    </w:p>
    <w:p>
      <w:pPr>
        <w:pStyle w:val="90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rPr>
          <w:color w:val="auto"/>
          <w:highlight w:val="none"/>
        </w:rPr>
      </w:r>
      <w:bookmarkEnd w:id="41"/>
      <w:r>
        <w:rPr>
          <w:rFonts w:hint="eastAsia" w:ascii="宋体" w:hAnsi="宋体" w:cs="宋体"/>
          <w:color w:val="auto"/>
          <w:sz w:val="24"/>
          <w:szCs w:val="24"/>
          <w:highlight w:val="none"/>
        </w:rPr>
        <w:t xml:space="preserve">采购代理机构信息</w:t>
      </w:r>
      <w:r>
        <w:rPr>
          <w:rFonts w:ascii="宋体" w:hAnsi="宋体" w:cs="宋体"/>
          <w:color w:val="auto"/>
          <w:sz w:val="24"/>
          <w:szCs w:val="24"/>
          <w:highlight w:val="none"/>
        </w:rPr>
      </w:r>
      <w:r>
        <w:rPr>
          <w:color w:val="auto"/>
          <w:highlight w:val="none"/>
        </w:rPr>
      </w:r>
    </w:p>
    <w:p>
      <w:pPr>
        <w:pStyle w:val="901"/>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称：无锡市公共资源交易中心</w:t>
      </w:r>
      <w:r>
        <w:rPr>
          <w:color w:val="auto"/>
          <w:highlight w:val="none"/>
        </w:rPr>
      </w:r>
    </w:p>
    <w:p>
      <w:pPr>
        <w:pStyle w:val="90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址：无锡市滨湖区观山路199号10号3楼</w:t>
      </w:r>
      <w:r>
        <w:rPr>
          <w:rFonts w:ascii="宋体" w:hAnsi="宋体" w:cs="宋体"/>
          <w:color w:val="auto"/>
          <w:sz w:val="24"/>
          <w:szCs w:val="24"/>
          <w:highlight w:val="none"/>
        </w:rPr>
      </w:r>
      <w:r>
        <w:rPr>
          <w:color w:val="auto"/>
          <w:highlight w:val="none"/>
        </w:rPr>
      </w:r>
    </w:p>
    <w:p>
      <w:pPr>
        <w:pStyle w:val="901"/>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rPr>
          <w:color w:val="auto"/>
          <w:highlight w:val="none"/>
        </w:rPr>
      </w:r>
    </w:p>
    <w:p>
      <w:pPr>
        <w:pStyle w:val="901"/>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color w:val="auto"/>
          <w:highlight w:val="none"/>
        </w:rPr>
      </w:r>
    </w:p>
    <w:p>
      <w:pPr>
        <w:pStyle w:val="901"/>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rPr>
        <w:t xml:space="preserve">项目咨询联系人：</w:t>
      </w:r>
      <w:r>
        <w:rPr>
          <w:rFonts w:hint="eastAsia" w:ascii="宋体" w:hAnsi="宋体" w:cs="宋体"/>
          <w:color w:val="auto"/>
          <w:sz w:val="24"/>
          <w:szCs w:val="24"/>
          <w:highlight w:val="none"/>
        </w:rPr>
        <w:t xml:space="preserve">王东</w:t>
      </w:r>
      <w:r>
        <w:rPr>
          <w:rFonts w:hint="eastAsia" w:ascii="宋体" w:hAnsi="宋体" w:cs="宋体"/>
          <w:color w:val="auto"/>
          <w:sz w:val="24"/>
          <w:szCs w:val="24"/>
          <w:highlight w:val="none"/>
        </w:rPr>
        <w:t xml:space="preserve">；电话：0510-</w:t>
      </w:r>
      <w:r>
        <w:rPr>
          <w:rFonts w:ascii="宋体" w:hAnsi="宋体" w:cs="宋体"/>
          <w:color w:val="auto"/>
          <w:sz w:val="24"/>
          <w:szCs w:val="24"/>
          <w:highlight w:val="none"/>
        </w:rPr>
        <w:t xml:space="preserve">85178585</w:t>
      </w:r>
      <w:r>
        <w:rPr>
          <w:rFonts w:hint="eastAsia" w:ascii="宋体" w:hAnsi="宋体" w:cs="宋体"/>
          <w:color w:val="auto"/>
          <w:sz w:val="24"/>
          <w:szCs w:val="24"/>
          <w:highlight w:val="none"/>
        </w:rPr>
      </w:r>
      <w:r>
        <w:rPr>
          <w:color w:val="auto"/>
          <w:highlight w:val="none"/>
        </w:rPr>
      </w:r>
    </w:p>
    <w:p>
      <w:pPr>
        <w:pStyle w:val="901"/>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rPr>
        <w:t xml:space="preserve">王东；电话：0510-</w:t>
      </w:r>
      <w:r>
        <w:rPr>
          <w:rFonts w:ascii="宋体" w:hAnsi="宋体" w:cs="宋体"/>
          <w:color w:val="auto"/>
          <w:sz w:val="24"/>
          <w:szCs w:val="24"/>
          <w:highlight w:val="none"/>
        </w:rPr>
        <w:t xml:space="preserve">85178585</w:t>
      </w:r>
      <w:r>
        <w:rPr>
          <w:rFonts w:hint="eastAsia" w:ascii="宋体" w:hAnsi="宋体" w:cs="宋体"/>
          <w:color w:val="auto"/>
          <w:sz w:val="24"/>
          <w:szCs w:val="24"/>
          <w:highlight w:val="none"/>
        </w:rPr>
      </w:r>
      <w:r>
        <w:rPr>
          <w:color w:val="auto"/>
          <w:highlight w:val="none"/>
        </w:rPr>
      </w:r>
    </w:p>
    <w:p>
      <w:pPr>
        <w:pStyle w:val="901"/>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交易中心项目</w:t>
      </w: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rPr>
        <w:t xml:space="preserve">李洋</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rPr>
        <w:t xml:space="preserve">81827759</w:t>
      </w:r>
      <w:r>
        <w:rPr>
          <w:rFonts w:hint="eastAsia" w:ascii="宋体" w:hAnsi="宋体" w:cs="宋体"/>
          <w:color w:val="auto"/>
          <w:sz w:val="24"/>
          <w:szCs w:val="24"/>
          <w:highlight w:val="none"/>
        </w:rPr>
      </w:r>
      <w:r>
        <w:rPr>
          <w:color w:val="auto"/>
          <w:highlight w:val="none"/>
        </w:rPr>
      </w:r>
    </w:p>
    <w:p>
      <w:pPr>
        <w:pStyle w:val="90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rPr>
          <w:color w:val="auto"/>
          <w:sz w:val="30"/>
          <w:szCs w:val="30"/>
          <w:highlight w:val="none"/>
        </w:rPr>
      </w:r>
      <w:r>
        <w:rPr>
          <w:color w:val="auto"/>
          <w:highlight w:val="none"/>
        </w:rPr>
      </w:r>
    </w:p>
    <w:p>
      <w:pPr>
        <w:pStyle w:val="901"/>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rPr>
          <w:rFonts w:ascii="宋体" w:hAnsi="宋体" w:cs="宋体"/>
          <w:color w:val="auto"/>
          <w:sz w:val="24"/>
          <w:szCs w:val="24"/>
          <w:highlight w:val="none"/>
        </w:rPr>
      </w:r>
      <w:r>
        <w:rPr>
          <w:color w:val="auto"/>
          <w:highlight w:val="none"/>
        </w:rPr>
      </w:r>
    </w:p>
    <w:p>
      <w:pPr>
        <w:pStyle w:val="901"/>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rPr>
          <w:color w:val="auto"/>
          <w:highlight w:val="none"/>
        </w:rPr>
      </w:r>
    </w:p>
    <w:p>
      <w:pPr>
        <w:pStyle w:val="901"/>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rPr>
          <w:rFonts w:ascii="宋体" w:hAnsi="宋体"/>
          <w:color w:val="auto"/>
          <w:sz w:val="24"/>
          <w:szCs w:val="24"/>
          <w:highlight w:val="none"/>
        </w:rPr>
      </w:r>
      <w:r>
        <w:rPr>
          <w:color w:val="auto"/>
          <w:highlight w:val="none"/>
        </w:rPr>
      </w:r>
    </w:p>
    <w:p>
      <w:pPr>
        <w:pStyle w:val="901"/>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rPr>
          <w:color w:val="auto"/>
          <w:highlight w:val="none"/>
        </w:rPr>
      </w:r>
    </w:p>
    <w:p>
      <w:pPr>
        <w:pStyle w:val="901"/>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rPr>
          <w:color w:val="auto"/>
          <w:highlight w:val="none"/>
        </w:rPr>
      </w:r>
    </w:p>
    <w:p>
      <w:pPr>
        <w:pStyle w:val="901"/>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w:t>
      </w:r>
      <w:r>
        <w:rPr>
          <w:rFonts w:ascii="宋体" w:hAnsi="宋体"/>
          <w:color w:val="auto"/>
          <w:sz w:val="24"/>
          <w:szCs w:val="24"/>
          <w:highlight w:val="none"/>
        </w:rPr>
        <w:t xml:space="preserve">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rPr>
          <w:color w:val="auto"/>
          <w:highlight w:val="none"/>
        </w:rPr>
      </w:r>
    </w:p>
    <w:p>
      <w:pPr>
        <w:pStyle w:val="901"/>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rPr>
          <w:color w:val="auto"/>
          <w:highlight w:val="none"/>
        </w:rPr>
      </w:r>
    </w:p>
    <w:p>
      <w:pPr>
        <w:pStyle w:val="901"/>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rPr>
          <w:color w:val="auto"/>
          <w:highlight w:val="none"/>
        </w:rPr>
      </w:r>
    </w:p>
    <w:p>
      <w:pPr>
        <w:pStyle w:val="901"/>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rPr>
          <w:color w:val="auto"/>
          <w:highlight w:val="none"/>
        </w:rPr>
      </w:r>
    </w:p>
    <w:p>
      <w:pPr>
        <w:pStyle w:val="901"/>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rPr>
          <w:rFonts w:ascii="宋体" w:hAnsi="宋体"/>
          <w:color w:val="auto"/>
          <w:sz w:val="24"/>
          <w:szCs w:val="24"/>
          <w:highlight w:val="none"/>
        </w:rPr>
      </w:r>
      <w:r>
        <w:rPr>
          <w:color w:val="auto"/>
          <w:highlight w:val="none"/>
        </w:rPr>
      </w:r>
    </w:p>
    <w:p>
      <w:pPr>
        <w:pStyle w:val="901"/>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rPr>
          <w:rFonts w:ascii="宋体" w:hAnsi="宋体"/>
          <w:color w:val="auto"/>
          <w:sz w:val="24"/>
          <w:szCs w:val="24"/>
          <w:highlight w:val="none"/>
        </w:rPr>
      </w:r>
      <w:r>
        <w:rPr>
          <w:color w:val="auto"/>
          <w:highlight w:val="none"/>
        </w:rPr>
      </w:r>
    </w:p>
    <w:p>
      <w:pPr>
        <w:pStyle w:val="901"/>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rPr>
          <w:rFonts w:ascii="宋体" w:hAnsi="宋体" w:cs="宋体"/>
          <w:color w:val="auto"/>
          <w:sz w:val="24"/>
          <w:szCs w:val="24"/>
          <w:highlight w:val="none"/>
        </w:rPr>
      </w:r>
      <w:r>
        <w:rPr>
          <w:color w:val="auto"/>
          <w:highlight w:val="none"/>
        </w:rPr>
      </w:r>
    </w:p>
    <w:p>
      <w:pPr>
        <w:pStyle w:val="901"/>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rPr>
          <w:color w:val="auto"/>
          <w:highlight w:val="none"/>
        </w:rPr>
      </w:r>
    </w:p>
    <w:p>
      <w:pPr>
        <w:pStyle w:val="901"/>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（三）有关本次采购的事项若存在变动或修改，敬请及时关注无锡市公共资源交易中心在“无锡政府采购网”“江苏政府采购网”发布的更正公告。</w:t>
      </w:r>
      <w:r>
        <w:rPr>
          <w:color w:val="auto"/>
          <w:highlight w:val="none"/>
        </w:rPr>
      </w:r>
    </w:p>
    <w:p>
      <w:pPr>
        <w:pStyle w:val="901"/>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rPr>
          <w:rFonts w:hint="eastAsia" w:ascii="宋体" w:hAnsi="宋体"/>
          <w:bCs/>
          <w:color w:val="auto"/>
          <w:sz w:val="24"/>
          <w:szCs w:val="24"/>
          <w:highlight w:val="none"/>
          <w:shd w:val="clear" w:color="ffffff" w:fill="d9d9d9"/>
        </w:rPr>
      </w:r>
      <w:r>
        <w:rPr>
          <w:color w:val="auto"/>
          <w:highlight w:val="none"/>
        </w:rPr>
      </w:r>
    </w:p>
    <w:p>
      <w:pPr>
        <w:pStyle w:val="901"/>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42"/>
      <w:r>
        <w:rPr>
          <w:color w:val="auto"/>
          <w:highlight w:val="none"/>
        </w:rPr>
      </w:r>
      <w:bookmarkStart w:id="43" w:name="_Toc16938518"/>
      <w:r>
        <w:rPr>
          <w:color w:val="auto"/>
          <w:highlight w:val="none"/>
        </w:rPr>
      </w:r>
      <w:bookmarkStart w:id="44" w:name="_Toc20823274"/>
      <w:r>
        <w:rPr>
          <w:color w:val="auto"/>
          <w:highlight w:val="none"/>
        </w:rPr>
      </w:r>
      <w:bookmarkStart w:id="45" w:name="_Toc513029202"/>
      <w:r>
        <w:rPr>
          <w:color w:val="auto"/>
          <w:highlight w:val="none"/>
        </w:rPr>
      </w:r>
      <w:bookmarkStart w:id="46" w:name="_Toc120614213"/>
      <w:r>
        <w:rPr>
          <w:rFonts w:hint="eastAsia" w:ascii="黑体" w:hAnsi="黑体" w:eastAsia="黑体"/>
          <w:color w:val="auto"/>
          <w:sz w:val="36"/>
          <w:szCs w:val="36"/>
          <w:highlight w:val="none"/>
        </w:rPr>
        <w:t xml:space="preserve">投标人须知</w:t>
      </w:r>
      <w:bookmarkEnd w:id="43"/>
      <w:r>
        <w:rPr>
          <w:color w:val="auto"/>
          <w:highlight w:val="none"/>
        </w:rPr>
      </w:r>
      <w:bookmarkEnd w:id="44"/>
      <w:r>
        <w:rPr>
          <w:color w:val="auto"/>
          <w:highlight w:val="none"/>
        </w:rPr>
      </w:r>
      <w:bookmarkEnd w:id="45"/>
      <w:r>
        <w:rPr>
          <w:color w:val="auto"/>
          <w:highlight w:val="none"/>
        </w:rPr>
      </w:r>
      <w:bookmarkEnd w:id="46"/>
      <w:r>
        <w:rPr>
          <w:rFonts w:hint="eastAsia" w:ascii="黑体" w:hAnsi="黑体" w:eastAsia="黑体"/>
          <w:color w:val="auto"/>
          <w:sz w:val="36"/>
          <w:szCs w:val="36"/>
          <w:highlight w:val="none"/>
        </w:rPr>
      </w:r>
      <w:r>
        <w:rPr>
          <w:color w:val="auto"/>
          <w:highlight w:val="none"/>
        </w:rPr>
      </w:r>
    </w:p>
    <w:p>
      <w:pPr>
        <w:pStyle w:val="904"/>
        <w:ind w:firstLine="452"/>
        <w:keepLines w:val="0"/>
        <w:keepNext w:val="0"/>
        <w:spacing w:before="0" w:after="0" w:line="500" w:lineRule="exact"/>
        <w:rPr>
          <w:rFonts w:hint="eastAsia"/>
          <w:color w:val="auto"/>
          <w:sz w:val="30"/>
          <w:szCs w:val="30"/>
          <w:highlight w:val="none"/>
        </w:rPr>
      </w:pPr>
      <w:r>
        <w:rPr>
          <w:color w:val="auto"/>
          <w:highlight w:val="none"/>
        </w:rPr>
      </w:r>
      <w:bookmarkStart w:id="47" w:name="_Toc513029203"/>
      <w:r>
        <w:rPr>
          <w:color w:val="auto"/>
          <w:highlight w:val="none"/>
        </w:rPr>
      </w:r>
      <w:bookmarkStart w:id="48" w:name="_Toc120614214"/>
      <w:r>
        <w:rPr>
          <w:color w:val="auto"/>
          <w:highlight w:val="none"/>
        </w:rPr>
      </w:r>
      <w:bookmarkStart w:id="49" w:name="_Toc20823275"/>
      <w:r>
        <w:rPr>
          <w:color w:val="auto"/>
          <w:highlight w:val="none"/>
        </w:rPr>
      </w:r>
      <w:bookmarkStart w:id="50" w:name="_Toc16938519"/>
      <w:r>
        <w:rPr>
          <w:rFonts w:hint="eastAsia"/>
          <w:color w:val="auto"/>
          <w:sz w:val="30"/>
          <w:szCs w:val="30"/>
          <w:highlight w:val="none"/>
        </w:rPr>
        <w:t xml:space="preserve">一、总则</w:t>
      </w:r>
      <w:bookmarkEnd w:id="47"/>
      <w:r>
        <w:rPr>
          <w:color w:val="auto"/>
          <w:highlight w:val="none"/>
        </w:rPr>
      </w:r>
      <w:bookmarkEnd w:id="48"/>
      <w:r>
        <w:rPr>
          <w:color w:val="auto"/>
          <w:highlight w:val="none"/>
        </w:rPr>
      </w:r>
      <w:bookmarkEnd w:id="49"/>
      <w:r>
        <w:rPr>
          <w:color w:val="auto"/>
          <w:highlight w:val="none"/>
        </w:rPr>
      </w:r>
      <w:bookmarkEnd w:id="50"/>
      <w:r>
        <w:rPr>
          <w:rFonts w:hint="eastAsia"/>
          <w:color w:val="auto"/>
          <w:sz w:val="30"/>
          <w:szCs w:val="30"/>
          <w:highlight w:val="none"/>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1" w:name="_Hlt16619475"/>
      <w:r>
        <w:rPr>
          <w:color w:val="auto"/>
          <w:highlight w:val="none"/>
        </w:rPr>
      </w:r>
      <w:bookmarkEnd w:id="51"/>
      <w:r>
        <w:rPr>
          <w:color w:val="auto"/>
          <w:highlight w:val="none"/>
        </w:rPr>
      </w:r>
      <w:bookmarkStart w:id="52" w:name="_Toc16938520"/>
      <w:r>
        <w:rPr>
          <w:color w:val="auto"/>
          <w:highlight w:val="none"/>
        </w:rPr>
      </w:r>
      <w:bookmarkStart w:id="53" w:name="_Toc513029204"/>
      <w:r>
        <w:rPr>
          <w:color w:val="auto"/>
          <w:highlight w:val="none"/>
        </w:rPr>
      </w:r>
      <w:bookmarkStart w:id="54" w:name="_Toc20823276"/>
      <w:r>
        <w:rPr>
          <w:rFonts w:hint="eastAsia" w:ascii="宋体" w:hAnsi="宋体" w:eastAsia="宋体"/>
          <w:bCs w:val="0"/>
          <w:color w:val="auto"/>
          <w:highlight w:val="none"/>
        </w:rPr>
        <w:t xml:space="preserve">1.招标方式</w:t>
      </w:r>
      <w:bookmarkEnd w:id="52"/>
      <w:r>
        <w:rPr>
          <w:color w:val="auto"/>
          <w:highlight w:val="none"/>
        </w:rPr>
      </w:r>
      <w:bookmarkEnd w:id="53"/>
      <w:r>
        <w:rPr>
          <w:color w:val="auto"/>
          <w:highlight w:val="none"/>
        </w:rPr>
      </w:r>
      <w:bookmarkEnd w:id="54"/>
      <w:r>
        <w:rPr>
          <w:rFonts w:hint="eastAsia" w:ascii="宋体" w:hAnsi="宋体" w:eastAsia="宋体"/>
          <w:bCs w:val="0"/>
          <w:color w:val="auto"/>
          <w:highlight w:val="none"/>
        </w:rPr>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5" w:name="_Toc16938521"/>
      <w:r>
        <w:rPr>
          <w:color w:val="auto"/>
          <w:highlight w:val="none"/>
        </w:rPr>
      </w:r>
      <w:bookmarkStart w:id="56" w:name="_Toc20823277"/>
      <w:r>
        <w:rPr>
          <w:color w:val="auto"/>
          <w:highlight w:val="none"/>
        </w:rPr>
      </w:r>
      <w:bookmarkStart w:id="57" w:name="_Toc513029205"/>
      <w:r>
        <w:rPr>
          <w:rFonts w:hint="eastAsia" w:ascii="宋体" w:hAnsi="宋体" w:eastAsia="宋体"/>
          <w:bCs w:val="0"/>
          <w:color w:val="auto"/>
          <w:highlight w:val="none"/>
        </w:rPr>
        <w:t xml:space="preserve">2.</w:t>
      </w:r>
      <w:bookmarkEnd w:id="55"/>
      <w:r>
        <w:rPr>
          <w:color w:val="auto"/>
          <w:highlight w:val="none"/>
        </w:rPr>
      </w:r>
      <w:bookmarkEnd w:id="56"/>
      <w:r>
        <w:rPr>
          <w:color w:val="auto"/>
          <w:highlight w:val="none"/>
        </w:rPr>
      </w:r>
      <w:bookmarkEnd w:id="57"/>
      <w:r>
        <w:rPr>
          <w:rFonts w:hint="eastAsia" w:ascii="宋体" w:hAnsi="宋体" w:eastAsia="宋体"/>
          <w:bCs w:val="0"/>
          <w:color w:val="auto"/>
          <w:highlight w:val="none"/>
        </w:rPr>
        <w:t xml:space="preserve">采购人、采购代理机构、投标人、联合体</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auto"/>
          <w:highlight w:val="none"/>
        </w:rPr>
      </w:r>
    </w:p>
    <w:p>
      <w:pPr>
        <w:pStyle w:val="90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8" w:name="_Toc513029206"/>
      <w:r>
        <w:rPr>
          <w:color w:val="auto"/>
          <w:highlight w:val="none"/>
        </w:rPr>
      </w:r>
      <w:bookmarkStart w:id="59" w:name="_Toc16938522"/>
      <w:r>
        <w:rPr>
          <w:color w:val="auto"/>
          <w:highlight w:val="none"/>
        </w:rPr>
      </w:r>
      <w:bookmarkStart w:id="60" w:name="_Toc20823278"/>
      <w:r>
        <w:rPr>
          <w:rFonts w:hint="eastAsia" w:ascii="宋体" w:hAnsi="宋体" w:eastAsia="宋体"/>
          <w:bCs w:val="0"/>
          <w:color w:val="auto"/>
          <w:highlight w:val="none"/>
        </w:rPr>
        <w:t xml:space="preserve">3.适用法律</w:t>
      </w:r>
      <w:bookmarkEnd w:id="58"/>
      <w:r>
        <w:rPr>
          <w:color w:val="auto"/>
          <w:highlight w:val="none"/>
        </w:rPr>
      </w:r>
      <w:bookmarkEnd w:id="59"/>
      <w:r>
        <w:rPr>
          <w:color w:val="auto"/>
          <w:highlight w:val="none"/>
        </w:rPr>
      </w:r>
      <w:bookmarkEnd w:id="60"/>
      <w:r>
        <w:rPr>
          <w:rFonts w:hint="eastAsia" w:ascii="宋体" w:hAnsi="宋体" w:eastAsia="宋体"/>
          <w:bCs w:val="0"/>
          <w:color w:val="auto"/>
          <w:highlight w:val="none"/>
        </w:rPr>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rPr>
        <w:t xml:space="preserve">本次招标及由此产生的合同受中华人民共和国法律的制约和保护。</w:t>
      </w:r>
      <w:r>
        <w:rPr>
          <w:rFonts w:hint="eastAsia" w:ascii="宋体" w:hAnsi="宋体"/>
          <w:color w:val="auto"/>
          <w:sz w:val="24"/>
          <w:highlight w:val="none"/>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1" w:name="_Toc20823279"/>
      <w:r>
        <w:rPr>
          <w:color w:val="auto"/>
          <w:highlight w:val="none"/>
        </w:rPr>
      </w:r>
      <w:bookmarkStart w:id="62" w:name="_Toc513029207"/>
      <w:r>
        <w:rPr>
          <w:color w:val="auto"/>
          <w:highlight w:val="none"/>
        </w:rPr>
      </w:r>
      <w:bookmarkStart w:id="63" w:name="_Toc462564067"/>
      <w:r>
        <w:rPr>
          <w:color w:val="auto"/>
          <w:highlight w:val="none"/>
        </w:rPr>
      </w:r>
      <w:bookmarkStart w:id="64" w:name="_Toc16938523"/>
      <w:r>
        <w:rPr>
          <w:rFonts w:hint="eastAsia" w:ascii="宋体" w:hAnsi="宋体" w:eastAsia="宋体"/>
          <w:bCs w:val="0"/>
          <w:color w:val="auto"/>
          <w:highlight w:val="none"/>
        </w:rPr>
        <w:t xml:space="preserve">4.投标费用</w:t>
      </w:r>
      <w:bookmarkEnd w:id="61"/>
      <w:r>
        <w:rPr>
          <w:color w:val="auto"/>
          <w:highlight w:val="none"/>
        </w:rPr>
      </w:r>
      <w:bookmarkEnd w:id="62"/>
      <w:r>
        <w:rPr>
          <w:color w:val="auto"/>
          <w:highlight w:val="none"/>
        </w:rPr>
      </w:r>
      <w:bookmarkEnd w:id="63"/>
      <w:r>
        <w:rPr>
          <w:color w:val="auto"/>
          <w:highlight w:val="none"/>
        </w:rPr>
      </w:r>
      <w:bookmarkEnd w:id="64"/>
      <w:r>
        <w:rPr>
          <w:rFonts w:hint="eastAsia" w:ascii="宋体" w:hAnsi="宋体" w:eastAsia="宋体"/>
          <w:bCs w:val="0"/>
          <w:color w:val="auto"/>
          <w:highlight w:val="none"/>
        </w:rPr>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w:t>
      </w:r>
      <w:r>
        <w:rPr>
          <w:rFonts w:hint="eastAsia" w:ascii="宋体" w:hAnsi="宋体"/>
          <w:color w:val="auto"/>
          <w:sz w:val="24"/>
          <w:highlight w:val="none"/>
        </w:rPr>
        <w:t xml:space="preserve">、</w:t>
      </w:r>
      <w:r>
        <w:rPr>
          <w:rFonts w:hint="eastAsia" w:ascii="宋体" w:hAnsi="宋体"/>
          <w:color w:val="auto"/>
          <w:sz w:val="24"/>
          <w:highlight w:val="none"/>
        </w:rPr>
        <w:t xml:space="preserve">中标服务费</w:t>
      </w:r>
      <w:r>
        <w:rPr>
          <w:rFonts w:hint="eastAsia" w:ascii="宋体" w:hAnsi="宋体"/>
          <w:color w:val="auto"/>
          <w:sz w:val="24"/>
          <w:highlight w:val="none"/>
        </w:rPr>
        <w:t xml:space="preserve">、招标文件均免费</w:t>
      </w:r>
      <w:r>
        <w:rPr>
          <w:rFonts w:hint="eastAsia" w:ascii="宋体" w:hAnsi="宋体"/>
          <w:color w:val="auto"/>
          <w:sz w:val="24"/>
          <w:highlight w:val="none"/>
        </w:rPr>
        <w:t xml:space="preserve">。</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rPr>
          <w:color w:val="auto"/>
          <w:highlight w:val="none"/>
        </w:rPr>
      </w:r>
    </w:p>
    <w:p>
      <w:pPr>
        <w:pStyle w:val="904"/>
        <w:ind w:firstLine="452"/>
        <w:keepLines w:val="0"/>
        <w:keepNext w:val="0"/>
        <w:spacing w:before="0" w:after="0" w:line="500" w:lineRule="exact"/>
        <w:rPr>
          <w:rFonts w:hint="eastAsia"/>
          <w:color w:val="auto"/>
          <w:sz w:val="30"/>
          <w:szCs w:val="30"/>
          <w:highlight w:val="none"/>
        </w:rPr>
      </w:pPr>
      <w:r>
        <w:rPr>
          <w:color w:val="auto"/>
          <w:highlight w:val="none"/>
        </w:rPr>
      </w:r>
      <w:bookmarkStart w:id="65" w:name="_Toc16938525"/>
      <w:r>
        <w:rPr>
          <w:color w:val="auto"/>
          <w:highlight w:val="none"/>
        </w:rPr>
      </w:r>
      <w:bookmarkStart w:id="66" w:name="_Toc513029209"/>
      <w:r>
        <w:rPr>
          <w:color w:val="auto"/>
          <w:highlight w:val="none"/>
        </w:rPr>
      </w:r>
      <w:bookmarkStart w:id="67" w:name="_Toc120614215"/>
      <w:r>
        <w:rPr>
          <w:color w:val="auto"/>
          <w:highlight w:val="none"/>
        </w:rPr>
      </w:r>
      <w:bookmarkStart w:id="68" w:name="_Toc20823281"/>
      <w:r>
        <w:rPr>
          <w:rFonts w:hint="eastAsia"/>
          <w:color w:val="auto"/>
          <w:sz w:val="30"/>
          <w:szCs w:val="30"/>
          <w:highlight w:val="none"/>
        </w:rPr>
        <w:t xml:space="preserve">二、招标文件</w:t>
      </w:r>
      <w:bookmarkEnd w:id="65"/>
      <w:r>
        <w:rPr>
          <w:color w:val="auto"/>
          <w:highlight w:val="none"/>
        </w:rPr>
      </w:r>
      <w:bookmarkEnd w:id="66"/>
      <w:r>
        <w:rPr>
          <w:color w:val="auto"/>
          <w:highlight w:val="none"/>
        </w:rPr>
      </w:r>
      <w:bookmarkEnd w:id="67"/>
      <w:r>
        <w:rPr>
          <w:color w:val="auto"/>
          <w:highlight w:val="none"/>
        </w:rPr>
      </w:r>
      <w:bookmarkEnd w:id="68"/>
      <w:r>
        <w:rPr>
          <w:rFonts w:hint="eastAsia"/>
          <w:color w:val="auto"/>
          <w:sz w:val="30"/>
          <w:szCs w:val="30"/>
          <w:highlight w:val="none"/>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9" w:name="_Toc20823282"/>
      <w:r>
        <w:rPr>
          <w:color w:val="auto"/>
          <w:highlight w:val="none"/>
        </w:rPr>
      </w:r>
      <w:bookmarkStart w:id="70" w:name="_Toc513029210"/>
      <w:r>
        <w:rPr>
          <w:color w:val="auto"/>
          <w:highlight w:val="none"/>
        </w:rPr>
      </w:r>
      <w:bookmarkStart w:id="71" w:name="_Toc16938526"/>
      <w:r>
        <w:rPr>
          <w:rFonts w:hint="eastAsia" w:ascii="宋体" w:hAnsi="宋体" w:eastAsia="宋体"/>
          <w:bCs w:val="0"/>
          <w:color w:val="auto"/>
          <w:highlight w:val="none"/>
        </w:rPr>
        <w:t xml:space="preserve">6.招标文件构成</w:t>
      </w:r>
      <w:bookmarkEnd w:id="69"/>
      <w:r>
        <w:rPr>
          <w:color w:val="auto"/>
          <w:highlight w:val="none"/>
        </w:rPr>
      </w:r>
      <w:bookmarkEnd w:id="70"/>
      <w:r>
        <w:rPr>
          <w:color w:val="auto"/>
          <w:highlight w:val="none"/>
        </w:rPr>
      </w:r>
      <w:bookmarkEnd w:id="71"/>
      <w:r>
        <w:rPr>
          <w:rFonts w:hint="eastAsia" w:ascii="宋体" w:hAnsi="宋体" w:eastAsia="宋体"/>
          <w:bCs w:val="0"/>
          <w:color w:val="auto"/>
          <w:highlight w:val="none"/>
        </w:rPr>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rPr>
          <w:rFonts w:hint="eastAsia" w:ascii="宋体" w:hAnsi="宋体"/>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rPr>
          <w:color w:val="auto"/>
          <w:highlight w:val="none"/>
        </w:rPr>
      </w:r>
    </w:p>
    <w:p>
      <w:pPr>
        <w:pStyle w:val="901"/>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rPr>
          <w:rFonts w:hint="eastAsia"/>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请仔细检查招标文件是否齐全，如有缺漏请立即与交易中心联系解决。</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2" w:name="_Toc16938527"/>
      <w:r>
        <w:rPr>
          <w:color w:val="auto"/>
          <w:highlight w:val="none"/>
        </w:rPr>
      </w:r>
      <w:bookmarkStart w:id="73" w:name="_Toc20823283"/>
      <w:r>
        <w:rPr>
          <w:color w:val="auto"/>
          <w:highlight w:val="none"/>
        </w:rPr>
      </w:r>
      <w:bookmarkStart w:id="74" w:name="_Toc462564070"/>
      <w:r>
        <w:rPr>
          <w:color w:val="auto"/>
          <w:highlight w:val="none"/>
        </w:rPr>
      </w:r>
      <w:bookmarkStart w:id="75" w:name="_Toc513029211"/>
      <w:r>
        <w:rPr>
          <w:rFonts w:hint="eastAsia" w:ascii="宋体" w:hAnsi="宋体" w:eastAsia="宋体"/>
          <w:bCs w:val="0"/>
          <w:color w:val="auto"/>
          <w:highlight w:val="none"/>
        </w:rPr>
        <w:t xml:space="preserve">7.招标文件的澄清</w:t>
      </w:r>
      <w:bookmarkEnd w:id="72"/>
      <w:r>
        <w:rPr>
          <w:color w:val="auto"/>
          <w:highlight w:val="none"/>
        </w:rPr>
      </w:r>
      <w:bookmarkEnd w:id="73"/>
      <w:r>
        <w:rPr>
          <w:color w:val="auto"/>
          <w:highlight w:val="none"/>
        </w:rPr>
      </w:r>
      <w:bookmarkEnd w:id="74"/>
      <w:r>
        <w:rPr>
          <w:color w:val="auto"/>
          <w:highlight w:val="none"/>
        </w:rPr>
      </w:r>
      <w:bookmarkEnd w:id="75"/>
      <w:r>
        <w:rPr>
          <w:rFonts w:hint="eastAsia" w:ascii="宋体" w:hAnsi="宋体" w:eastAsia="宋体"/>
          <w:bCs w:val="0"/>
          <w:color w:val="auto"/>
          <w:highlight w:val="none"/>
        </w:rPr>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auto"/>
          <w:sz w:val="24"/>
          <w:highlight w:val="none"/>
        </w:rPr>
        <w:t xml:space="preserve">参照</w:t>
      </w:r>
      <w:r>
        <w:rPr>
          <w:rFonts w:hint="eastAsia" w:ascii="宋体" w:hAnsi="宋体"/>
          <w:bCs/>
          <w:color w:val="auto"/>
          <w:sz w:val="24"/>
          <w:highlight w:val="none"/>
        </w:rPr>
        <w:t xml:space="preserve">本章</w:t>
      </w:r>
      <w:r>
        <w:rPr>
          <w:rFonts w:hint="eastAsia" w:ascii="宋体" w:hAnsi="宋体"/>
          <w:bCs/>
          <w:color w:val="auto"/>
          <w:sz w:val="24"/>
          <w:highlight w:val="none"/>
        </w:rPr>
        <w:t xml:space="preserve">下述28.4条款的规定向采购人或交易中心以书面形式提出。</w:t>
      </w:r>
      <w:r>
        <w:rPr>
          <w:rFonts w:hint="eastAsia" w:ascii="宋体" w:hAnsi="宋体"/>
          <w:bCs/>
          <w:color w:val="auto"/>
          <w:sz w:val="24"/>
          <w:highlight w:val="none"/>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6" w:name="_Toc20823284"/>
      <w:r>
        <w:rPr>
          <w:color w:val="auto"/>
          <w:highlight w:val="none"/>
        </w:rPr>
      </w:r>
      <w:bookmarkStart w:id="77" w:name="_Toc462564071"/>
      <w:r>
        <w:rPr>
          <w:color w:val="auto"/>
          <w:highlight w:val="none"/>
        </w:rPr>
      </w:r>
      <w:bookmarkStart w:id="78" w:name="_Toc16938528"/>
      <w:r>
        <w:rPr>
          <w:color w:val="auto"/>
          <w:highlight w:val="none"/>
        </w:rPr>
      </w:r>
      <w:bookmarkStart w:id="79" w:name="_Toc513029212"/>
      <w:r>
        <w:rPr>
          <w:rFonts w:hint="eastAsia" w:ascii="宋体" w:hAnsi="宋体" w:eastAsia="宋体"/>
          <w:bCs w:val="0"/>
          <w:color w:val="auto"/>
          <w:highlight w:val="none"/>
        </w:rPr>
        <w:t xml:space="preserve">8.招标文件的修改</w:t>
      </w:r>
      <w:bookmarkEnd w:id="76"/>
      <w:r>
        <w:rPr>
          <w:color w:val="auto"/>
          <w:highlight w:val="none"/>
        </w:rPr>
      </w:r>
      <w:bookmarkEnd w:id="77"/>
      <w:r>
        <w:rPr>
          <w:color w:val="auto"/>
          <w:highlight w:val="none"/>
        </w:rPr>
      </w:r>
      <w:bookmarkEnd w:id="78"/>
      <w:r>
        <w:rPr>
          <w:color w:val="auto"/>
          <w:highlight w:val="none"/>
        </w:rPr>
      </w:r>
      <w:bookmarkEnd w:id="79"/>
      <w:r>
        <w:rPr>
          <w:rFonts w:hint="eastAsia" w:ascii="宋体" w:hAnsi="宋体" w:eastAsia="宋体"/>
          <w:bCs w:val="0"/>
          <w:color w:val="auto"/>
          <w:highlight w:val="none"/>
        </w:rPr>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8.1交易中心可在投标截止时间十五日前对招标文件进行必要的澄清或者修改，不足十五日的，将顺延提交投标文件的截止时间和开标日期。</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auto"/>
          <w:sz w:val="24"/>
          <w:highlight w:val="none"/>
        </w:rPr>
      </w:r>
      <w:r>
        <w:rPr>
          <w:color w:val="auto"/>
          <w:highlight w:val="none"/>
        </w:rPr>
      </w:r>
    </w:p>
    <w:p>
      <w:pPr>
        <w:pStyle w:val="904"/>
        <w:ind w:firstLine="452"/>
        <w:keepLines w:val="0"/>
        <w:keepNext w:val="0"/>
        <w:spacing w:before="0" w:after="0" w:line="500" w:lineRule="exact"/>
        <w:rPr>
          <w:rFonts w:hint="eastAsia"/>
          <w:color w:val="auto"/>
          <w:sz w:val="30"/>
          <w:szCs w:val="30"/>
          <w:highlight w:val="none"/>
        </w:rPr>
      </w:pPr>
      <w:r>
        <w:rPr>
          <w:color w:val="auto"/>
          <w:highlight w:val="none"/>
        </w:rPr>
      </w:r>
      <w:bookmarkStart w:id="80" w:name="_Toc120614216"/>
      <w:r>
        <w:rPr>
          <w:color w:val="auto"/>
          <w:highlight w:val="none"/>
        </w:rPr>
      </w:r>
      <w:bookmarkStart w:id="81" w:name="_Toc462564072"/>
      <w:r>
        <w:rPr>
          <w:color w:val="auto"/>
          <w:highlight w:val="none"/>
        </w:rPr>
      </w:r>
      <w:bookmarkStart w:id="82" w:name="_Toc20823285"/>
      <w:r>
        <w:rPr>
          <w:color w:val="auto"/>
          <w:highlight w:val="none"/>
        </w:rPr>
      </w:r>
      <w:bookmarkStart w:id="83" w:name="_Toc16938529"/>
      <w:r>
        <w:rPr>
          <w:color w:val="auto"/>
          <w:highlight w:val="none"/>
        </w:rPr>
      </w:r>
      <w:bookmarkStart w:id="84" w:name="_Toc513029213"/>
      <w:r>
        <w:rPr>
          <w:rFonts w:hint="eastAsia"/>
          <w:color w:val="auto"/>
          <w:sz w:val="30"/>
          <w:szCs w:val="30"/>
          <w:highlight w:val="none"/>
        </w:rPr>
        <w:t xml:space="preserve">三、投标文件的编制</w:t>
      </w:r>
      <w:bookmarkEnd w:id="80"/>
      <w:r>
        <w:rPr>
          <w:color w:val="auto"/>
          <w:highlight w:val="none"/>
        </w:rPr>
      </w:r>
      <w:bookmarkEnd w:id="81"/>
      <w:r>
        <w:rPr>
          <w:color w:val="auto"/>
          <w:highlight w:val="none"/>
        </w:rPr>
      </w:r>
      <w:bookmarkEnd w:id="82"/>
      <w:r>
        <w:rPr>
          <w:color w:val="auto"/>
          <w:highlight w:val="none"/>
        </w:rPr>
      </w:r>
      <w:bookmarkEnd w:id="83"/>
      <w:r>
        <w:rPr>
          <w:color w:val="auto"/>
          <w:highlight w:val="none"/>
        </w:rPr>
      </w:r>
      <w:bookmarkEnd w:id="84"/>
      <w:r>
        <w:rPr>
          <w:rFonts w:hint="eastAsia"/>
          <w:color w:val="auto"/>
          <w:sz w:val="30"/>
          <w:szCs w:val="30"/>
          <w:highlight w:val="none"/>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5" w:name="_Toc462564073"/>
      <w:r>
        <w:rPr>
          <w:color w:val="auto"/>
          <w:highlight w:val="none"/>
        </w:rPr>
      </w:r>
      <w:bookmarkStart w:id="86" w:name="_Toc513029214"/>
      <w:r>
        <w:rPr>
          <w:color w:val="auto"/>
          <w:highlight w:val="none"/>
        </w:rPr>
      </w:r>
      <w:bookmarkStart w:id="87" w:name="_Toc20823286"/>
      <w:r>
        <w:rPr>
          <w:color w:val="auto"/>
          <w:highlight w:val="none"/>
        </w:rPr>
      </w:r>
      <w:bookmarkStart w:id="88" w:name="_Toc16938530"/>
      <w:r>
        <w:rPr>
          <w:rFonts w:hint="eastAsia" w:ascii="宋体" w:hAnsi="宋体" w:eastAsia="宋体"/>
          <w:bCs w:val="0"/>
          <w:color w:val="auto"/>
          <w:highlight w:val="none"/>
        </w:rPr>
        <w:t xml:space="preserve">9.投标文件的语言及度量衡单位</w:t>
      </w:r>
      <w:bookmarkEnd w:id="85"/>
      <w:r>
        <w:rPr>
          <w:color w:val="auto"/>
          <w:highlight w:val="none"/>
        </w:rPr>
      </w:r>
      <w:bookmarkEnd w:id="86"/>
      <w:r>
        <w:rPr>
          <w:color w:val="auto"/>
          <w:highlight w:val="none"/>
        </w:rPr>
      </w:r>
      <w:bookmarkEnd w:id="87"/>
      <w:r>
        <w:rPr>
          <w:color w:val="auto"/>
          <w:highlight w:val="none"/>
        </w:rPr>
      </w:r>
      <w:bookmarkEnd w:id="88"/>
      <w:r>
        <w:rPr>
          <w:rFonts w:hint="eastAsia" w:ascii="宋体" w:hAnsi="宋体" w:eastAsia="宋体"/>
          <w:bCs w:val="0"/>
          <w:color w:val="auto"/>
          <w:highlight w:val="none"/>
        </w:rPr>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投标人提交的投标文件以及投标人与交易中心就有关投标的所有来往通知、函件和文件均应使用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9" w:name="_Toc462564074"/>
      <w:r>
        <w:rPr>
          <w:color w:val="auto"/>
          <w:highlight w:val="none"/>
        </w:rPr>
      </w:r>
      <w:bookmarkStart w:id="90" w:name="_Toc16938531"/>
      <w:r>
        <w:rPr>
          <w:color w:val="auto"/>
          <w:highlight w:val="none"/>
        </w:rPr>
      </w:r>
      <w:bookmarkStart w:id="91" w:name="_Toc20823287"/>
      <w:r>
        <w:rPr>
          <w:color w:val="auto"/>
          <w:highlight w:val="none"/>
        </w:rPr>
      </w:r>
      <w:bookmarkStart w:id="92" w:name="_Toc513029215"/>
      <w:r>
        <w:rPr>
          <w:rFonts w:hint="eastAsia" w:ascii="宋体" w:hAnsi="宋体" w:eastAsia="宋体"/>
          <w:bCs w:val="0"/>
          <w:color w:val="auto"/>
          <w:highlight w:val="none"/>
        </w:rPr>
        <w:t xml:space="preserve">10.投标文件构成</w:t>
      </w:r>
      <w:bookmarkEnd w:id="89"/>
      <w:r>
        <w:rPr>
          <w:color w:val="auto"/>
          <w:highlight w:val="none"/>
        </w:rPr>
      </w:r>
      <w:bookmarkEnd w:id="90"/>
      <w:r>
        <w:rPr>
          <w:color w:val="auto"/>
          <w:highlight w:val="none"/>
        </w:rPr>
      </w:r>
      <w:bookmarkEnd w:id="91"/>
      <w:r>
        <w:rPr>
          <w:color w:val="auto"/>
          <w:highlight w:val="none"/>
        </w:rPr>
      </w:r>
      <w:bookmarkEnd w:id="92"/>
      <w:r>
        <w:rPr>
          <w:rFonts w:hint="eastAsia" w:ascii="宋体" w:hAnsi="宋体" w:eastAsia="宋体"/>
          <w:bCs w:val="0"/>
          <w:color w:val="auto"/>
          <w:highlight w:val="none"/>
        </w:rPr>
      </w:r>
      <w:r>
        <w:rPr>
          <w:color w:val="auto"/>
          <w:highlight w:val="none"/>
        </w:rPr>
      </w:r>
    </w:p>
    <w:p>
      <w:pPr>
        <w:pStyle w:val="901"/>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auto"/>
          <w:sz w:val="24"/>
          <w:highlight w:val="none"/>
        </w:rPr>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93" w:name="_Hlt26670360"/>
      <w:r>
        <w:rPr>
          <w:color w:val="auto"/>
          <w:highlight w:val="none"/>
        </w:rPr>
      </w:r>
      <w:bookmarkEnd w:id="93"/>
      <w:r>
        <w:rPr>
          <w:color w:val="auto"/>
          <w:highlight w:val="none"/>
        </w:rPr>
      </w:r>
      <w:bookmarkStart w:id="94" w:name="_Hlt26668975"/>
      <w:r>
        <w:rPr>
          <w:color w:val="auto"/>
          <w:highlight w:val="none"/>
        </w:rPr>
      </w:r>
      <w:bookmarkEnd w:id="94"/>
      <w:r>
        <w:rPr>
          <w:color w:val="auto"/>
          <w:highlight w:val="none"/>
        </w:rPr>
      </w:r>
      <w:bookmarkStart w:id="95" w:name="_Hlt26954838"/>
      <w:r>
        <w:rPr>
          <w:color w:val="auto"/>
          <w:highlight w:val="none"/>
        </w:rPr>
      </w:r>
      <w:bookmarkEnd w:id="95"/>
      <w:r>
        <w:rPr>
          <w:color w:val="auto"/>
          <w:highlight w:val="none"/>
        </w:rPr>
      </w:r>
      <w:bookmarkStart w:id="96" w:name="_Toc49090509"/>
      <w:r>
        <w:rPr>
          <w:color w:val="auto"/>
          <w:highlight w:val="none"/>
        </w:rPr>
      </w:r>
      <w:bookmarkStart w:id="97" w:name="_Toc513029219"/>
      <w:r>
        <w:rPr>
          <w:color w:val="auto"/>
          <w:highlight w:val="none"/>
        </w:rPr>
      </w:r>
      <w:bookmarkStart w:id="98" w:name="_Toc14577357"/>
      <w:r>
        <w:rPr>
          <w:color w:val="auto"/>
          <w:highlight w:val="none"/>
        </w:rPr>
      </w:r>
      <w:bookmarkStart w:id="99" w:name="_Toc513029216"/>
      <w:r>
        <w:rPr>
          <w:color w:val="auto"/>
          <w:highlight w:val="none"/>
        </w:rPr>
      </w:r>
      <w:bookmarkStart w:id="100" w:name="_Toc49090507"/>
      <w:r>
        <w:rPr>
          <w:color w:val="auto"/>
          <w:highlight w:val="none"/>
        </w:rPr>
      </w:r>
      <w:bookmarkStart w:id="101" w:name="_Toc14577354"/>
      <w:r>
        <w:rPr>
          <w:rFonts w:hint="eastAsia" w:ascii="宋体" w:hAnsi="宋体" w:eastAsia="宋体"/>
          <w:bCs w:val="0"/>
          <w:color w:val="auto"/>
          <w:highlight w:val="none"/>
        </w:rPr>
        <w:t xml:space="preserve">11.证明投标人及投标标的符合招标文件规定的文件</w:t>
      </w:r>
      <w:bookmarkEnd w:id="96"/>
      <w:r>
        <w:rPr>
          <w:color w:val="auto"/>
          <w:highlight w:val="none"/>
        </w:rPr>
      </w:r>
      <w:bookmarkEnd w:id="97"/>
      <w:r>
        <w:rPr>
          <w:color w:val="auto"/>
          <w:highlight w:val="none"/>
        </w:rPr>
      </w:r>
      <w:bookmarkEnd w:id="98"/>
      <w:r>
        <w:rPr>
          <w:rFonts w:hint="eastAsia" w:ascii="宋体" w:hAnsi="宋体" w:eastAsia="宋体"/>
          <w:bCs w:val="0"/>
          <w:color w:val="auto"/>
          <w:highlight w:val="none"/>
        </w:rPr>
      </w:r>
      <w:r>
        <w:rPr>
          <w:color w:val="auto"/>
          <w:highlight w:val="none"/>
        </w:rPr>
      </w:r>
    </w:p>
    <w:p>
      <w:pPr>
        <w:pStyle w:val="901"/>
        <w:ind w:firstLine="480"/>
        <w:spacing w:line="500" w:lineRule="exact"/>
        <w:rPr>
          <w:rFonts w:hint="eastAsia" w:ascii="宋体" w:hAnsi="宋体"/>
          <w:bCs/>
          <w:color w:val="auto"/>
          <w:sz w:val="24"/>
          <w:highlight w:val="none"/>
        </w:rPr>
      </w:pPr>
      <w:r>
        <w:rPr>
          <w:color w:val="auto"/>
          <w:highlight w:val="none"/>
        </w:rPr>
      </w:r>
      <w:bookmarkEnd w:id="99"/>
      <w:r>
        <w:rPr>
          <w:color w:val="auto"/>
          <w:highlight w:val="none"/>
        </w:rPr>
      </w:r>
      <w:bookmarkEnd w:id="100"/>
      <w:r>
        <w:rPr>
          <w:color w:val="auto"/>
          <w:highlight w:val="none"/>
        </w:rPr>
      </w:r>
      <w:bookmarkEnd w:id="101"/>
      <w:r>
        <w:rPr>
          <w:color w:val="auto"/>
          <w:highlight w:val="none"/>
        </w:rPr>
      </w:r>
      <w:bookmarkStart w:id="102" w:name="_Toc14577355"/>
      <w:r>
        <w:rPr>
          <w:color w:val="auto"/>
          <w:highlight w:val="none"/>
        </w:rPr>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4" w:name="_Toc14577359"/>
      <w:r>
        <w:rPr>
          <w:color w:val="auto"/>
          <w:highlight w:val="none"/>
        </w:rPr>
      </w:r>
      <w:bookmarkStart w:id="105" w:name="_Toc49090510"/>
      <w:r>
        <w:rPr>
          <w:rFonts w:hint="eastAsia" w:ascii="宋体" w:hAnsi="宋体" w:eastAsia="宋体"/>
          <w:bCs w:val="0"/>
          <w:color w:val="auto"/>
          <w:highlight w:val="none"/>
        </w:rPr>
        <w:t xml:space="preserve">12.投标函、承诺书和开标一览表</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auto"/>
          <w:sz w:val="24"/>
          <w:highlight w:val="none"/>
        </w:rPr>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auto"/>
          <w:sz w:val="24"/>
          <w:highlight w:val="none"/>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04"/>
      <w:r>
        <w:rPr>
          <w:color w:val="auto"/>
          <w:highlight w:val="none"/>
        </w:rPr>
      </w:r>
      <w:bookmarkEnd w:id="105"/>
      <w:r>
        <w:rPr>
          <w:rFonts w:hint="eastAsia" w:ascii="宋体" w:hAnsi="宋体" w:eastAsia="宋体"/>
          <w:bCs w:val="0"/>
          <w:color w:val="auto"/>
          <w:highlight w:val="none"/>
        </w:rPr>
        <w:t xml:space="preserve">13.</w:t>
      </w:r>
      <w:bookmarkEnd w:id="102"/>
      <w:r>
        <w:rPr>
          <w:color w:val="auto"/>
          <w:highlight w:val="none"/>
        </w:rPr>
      </w:r>
      <w:bookmarkEnd w:id="103"/>
      <w:r>
        <w:rPr>
          <w:rFonts w:hint="eastAsia" w:ascii="宋体" w:hAnsi="宋体" w:eastAsia="宋体"/>
          <w:bCs w:val="0"/>
          <w:color w:val="auto"/>
          <w:highlight w:val="none"/>
        </w:rPr>
        <w:t xml:space="preserve">分项报价表</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rPr>
          <w:color w:val="auto"/>
          <w:highlight w:val="none"/>
        </w:rPr>
      </w:r>
      <w:bookmarkEnd w:id="106"/>
      <w:r>
        <w:rPr>
          <w:rFonts w:hint="eastAsia" w:ascii="宋体" w:hAnsi="宋体"/>
          <w:color w:val="auto"/>
          <w:sz w:val="24"/>
          <w:highlight w:val="none"/>
        </w:rPr>
        <w:t xml:space="preserve">标人应按照招标文件规定格式填报</w:t>
      </w:r>
      <w:bookmarkStart w:id="107" w:name="_Hlt26670399"/>
      <w:r>
        <w:rPr>
          <w:color w:val="auto"/>
          <w:highlight w:val="none"/>
        </w:rPr>
      </w:r>
      <w:bookmarkEnd w:id="107"/>
      <w:r>
        <w:rPr>
          <w:rFonts w:hint="eastAsia" w:ascii="宋体" w:hAnsi="宋体"/>
          <w:color w:val="auto"/>
          <w:sz w:val="24"/>
          <w:highlight w:val="none"/>
        </w:rPr>
        <w:t xml:space="preserve">分项报价表。</w:t>
      </w:r>
      <w:r>
        <w:rPr>
          <w:rFonts w:hint="eastAsia" w:ascii="宋体" w:hAnsi="宋体"/>
          <w:bCs/>
          <w:color w:val="auto"/>
          <w:sz w:val="24"/>
          <w:highlight w:val="none"/>
        </w:rPr>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rPr>
          <w:rFonts w:hint="eastAsia" w:ascii="宋体" w:hAnsi="宋体"/>
          <w:bCs/>
          <w:color w:val="auto"/>
          <w:sz w:val="24"/>
          <w:highlight w:val="none"/>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8" w:name="_Hlt26954848"/>
      <w:r>
        <w:rPr>
          <w:color w:val="auto"/>
          <w:highlight w:val="none"/>
        </w:rPr>
      </w:r>
      <w:bookmarkEnd w:id="108"/>
      <w:r>
        <w:rPr>
          <w:color w:val="auto"/>
          <w:highlight w:val="none"/>
        </w:rPr>
      </w:r>
      <w:bookmarkStart w:id="109" w:name="_Hlt26670425"/>
      <w:r>
        <w:rPr>
          <w:color w:val="auto"/>
          <w:highlight w:val="none"/>
        </w:rPr>
      </w:r>
      <w:bookmarkEnd w:id="109"/>
      <w:r>
        <w:rPr>
          <w:color w:val="auto"/>
          <w:highlight w:val="none"/>
        </w:rPr>
      </w:r>
      <w:bookmarkStart w:id="110" w:name="_Hlt26670403"/>
      <w:r>
        <w:rPr>
          <w:color w:val="auto"/>
          <w:highlight w:val="none"/>
        </w:rPr>
      </w:r>
      <w:bookmarkEnd w:id="110"/>
      <w:r>
        <w:rPr>
          <w:color w:val="auto"/>
          <w:highlight w:val="none"/>
        </w:rPr>
      </w:r>
      <w:bookmarkStart w:id="111" w:name="_Hlt26954846"/>
      <w:r>
        <w:rPr>
          <w:color w:val="auto"/>
          <w:highlight w:val="none"/>
        </w:rPr>
      </w:r>
      <w:bookmarkEnd w:id="111"/>
      <w:r>
        <w:rPr>
          <w:color w:val="auto"/>
          <w:highlight w:val="none"/>
        </w:rPr>
      </w:r>
      <w:bookmarkStart w:id="112" w:name="_Hlt26668983"/>
      <w:r>
        <w:rPr>
          <w:color w:val="auto"/>
          <w:highlight w:val="none"/>
        </w:rPr>
      </w:r>
      <w:bookmarkEnd w:id="112"/>
      <w:r>
        <w:rPr>
          <w:color w:val="auto"/>
          <w:highlight w:val="none"/>
        </w:rPr>
      </w:r>
      <w:bookmarkStart w:id="113" w:name="_Hlt26954731"/>
      <w:r>
        <w:rPr>
          <w:color w:val="auto"/>
          <w:highlight w:val="none"/>
        </w:rPr>
      </w:r>
      <w:bookmarkEnd w:id="113"/>
      <w:r>
        <w:rPr>
          <w:color w:val="auto"/>
          <w:highlight w:val="none"/>
        </w:rPr>
      </w:r>
      <w:bookmarkStart w:id="114" w:name="_Hlt26670486"/>
      <w:r>
        <w:rPr>
          <w:color w:val="auto"/>
          <w:highlight w:val="none"/>
        </w:rPr>
      </w:r>
      <w:bookmarkEnd w:id="114"/>
      <w:r>
        <w:rPr>
          <w:color w:val="auto"/>
          <w:highlight w:val="none"/>
        </w:rPr>
      </w:r>
      <w:bookmarkStart w:id="115" w:name="_Hlt26954842"/>
      <w:r>
        <w:rPr>
          <w:color w:val="auto"/>
          <w:highlight w:val="none"/>
        </w:rPr>
      </w:r>
      <w:bookmarkEnd w:id="115"/>
      <w:r>
        <w:rPr>
          <w:color w:val="auto"/>
          <w:highlight w:val="none"/>
        </w:rPr>
      </w:r>
      <w:bookmarkStart w:id="116" w:name="_Hlt26954844"/>
      <w:r>
        <w:rPr>
          <w:color w:val="auto"/>
          <w:highlight w:val="none"/>
        </w:rPr>
      </w:r>
      <w:bookmarkEnd w:id="116"/>
      <w:r>
        <w:rPr>
          <w:color w:val="auto"/>
          <w:highlight w:val="none"/>
        </w:rPr>
      </w:r>
      <w:bookmarkStart w:id="117" w:name="_Hlt26670482"/>
      <w:r>
        <w:rPr>
          <w:color w:val="auto"/>
          <w:highlight w:val="none"/>
        </w:rPr>
      </w:r>
      <w:bookmarkEnd w:id="117"/>
      <w:r>
        <w:rPr>
          <w:rFonts w:hint="eastAsia" w:ascii="宋体" w:hAnsi="宋体" w:eastAsia="宋体"/>
          <w:bCs w:val="0"/>
          <w:color w:val="auto"/>
          <w:highlight w:val="none"/>
        </w:rPr>
        <w:t xml:space="preserve">14.投标偏离表</w:t>
      </w:r>
      <w:r>
        <w:rPr>
          <w:color w:val="auto"/>
          <w:highlight w:val="none"/>
        </w:rPr>
      </w:r>
    </w:p>
    <w:p>
      <w:pPr>
        <w:pStyle w:val="901"/>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rPr>
          <w:rFonts w:ascii="宋体" w:hAnsi="Arial" w:cs="宋体"/>
          <w:color w:val="auto"/>
          <w:sz w:val="24"/>
          <w:highlight w:val="none"/>
          <w:lang w:val="zh-CN"/>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18" w:name="_Hlt26954734"/>
      <w:r>
        <w:rPr>
          <w:color w:val="auto"/>
          <w:highlight w:val="none"/>
        </w:rPr>
      </w:r>
      <w:bookmarkEnd w:id="118"/>
      <w:r>
        <w:rPr>
          <w:color w:val="auto"/>
          <w:highlight w:val="none"/>
        </w:rPr>
      </w:r>
      <w:bookmarkStart w:id="119" w:name="_Hlt26670489"/>
      <w:r>
        <w:rPr>
          <w:color w:val="auto"/>
          <w:highlight w:val="none"/>
        </w:rPr>
      </w:r>
      <w:bookmarkEnd w:id="119"/>
      <w:r>
        <w:rPr>
          <w:color w:val="auto"/>
          <w:highlight w:val="none"/>
        </w:rPr>
      </w:r>
      <w:bookmarkStart w:id="120" w:name="_Hlt26954850"/>
      <w:r>
        <w:rPr>
          <w:color w:val="auto"/>
          <w:highlight w:val="none"/>
        </w:rPr>
      </w:r>
      <w:bookmarkEnd w:id="120"/>
      <w:r>
        <w:rPr>
          <w:color w:val="auto"/>
          <w:highlight w:val="none"/>
        </w:rPr>
      </w:r>
      <w:bookmarkStart w:id="121" w:name="_Toc49090511"/>
      <w:r>
        <w:rPr>
          <w:color w:val="auto"/>
          <w:highlight w:val="none"/>
        </w:rPr>
      </w:r>
      <w:bookmarkStart w:id="122" w:name="_Toc14577360"/>
      <w:r>
        <w:rPr>
          <w:rFonts w:hint="eastAsia" w:ascii="宋体" w:hAnsi="宋体" w:eastAsia="宋体"/>
          <w:bCs w:val="0"/>
          <w:color w:val="auto"/>
          <w:highlight w:val="none"/>
        </w:rPr>
        <w:t xml:space="preserve">15.投标有效期</w:t>
      </w:r>
      <w:bookmarkEnd w:id="121"/>
      <w:r>
        <w:rPr>
          <w:color w:val="auto"/>
          <w:highlight w:val="none"/>
        </w:rPr>
      </w:r>
      <w:bookmarkEnd w:id="122"/>
      <w:r>
        <w:rPr>
          <w:rFonts w:hint="eastAsia" w:ascii="宋体" w:hAnsi="宋体" w:eastAsia="宋体"/>
          <w:bCs w:val="0"/>
          <w:color w:val="auto"/>
          <w:highlight w:val="none"/>
        </w:rPr>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rPr>
          <w:color w:val="auto"/>
          <w:highlight w:val="none"/>
        </w:rPr>
      </w:r>
    </w:p>
    <w:p>
      <w:pPr>
        <w:pStyle w:val="904"/>
        <w:ind w:firstLine="452"/>
        <w:keepLines w:val="0"/>
        <w:keepNext w:val="0"/>
        <w:spacing w:before="0" w:after="0" w:line="500" w:lineRule="exact"/>
        <w:rPr>
          <w:rFonts w:hint="eastAsia"/>
          <w:color w:val="auto"/>
          <w:sz w:val="30"/>
          <w:szCs w:val="30"/>
          <w:highlight w:val="none"/>
        </w:rPr>
      </w:pPr>
      <w:r>
        <w:rPr>
          <w:color w:val="auto"/>
          <w:highlight w:val="none"/>
        </w:rPr>
      </w:r>
      <w:bookmarkStart w:id="123" w:name="_Hlt26954852"/>
      <w:r>
        <w:rPr>
          <w:color w:val="auto"/>
          <w:highlight w:val="none"/>
        </w:rPr>
      </w:r>
      <w:bookmarkEnd w:id="123"/>
      <w:r>
        <w:rPr>
          <w:color w:val="auto"/>
          <w:highlight w:val="none"/>
        </w:rPr>
      </w:r>
      <w:bookmarkStart w:id="124" w:name="_Hlt26954739"/>
      <w:r>
        <w:rPr>
          <w:color w:val="auto"/>
          <w:highlight w:val="none"/>
        </w:rPr>
      </w:r>
      <w:bookmarkEnd w:id="124"/>
      <w:r>
        <w:rPr>
          <w:color w:val="auto"/>
          <w:highlight w:val="none"/>
        </w:rPr>
      </w:r>
      <w:bookmarkStart w:id="125" w:name="_Toc16938540"/>
      <w:r>
        <w:rPr>
          <w:color w:val="auto"/>
          <w:highlight w:val="none"/>
        </w:rPr>
      </w:r>
      <w:bookmarkStart w:id="126" w:name="_Toc20823296"/>
      <w:r>
        <w:rPr>
          <w:color w:val="auto"/>
          <w:highlight w:val="none"/>
        </w:rPr>
      </w:r>
      <w:bookmarkStart w:id="127" w:name="_Toc120614217"/>
      <w:r>
        <w:rPr>
          <w:color w:val="auto"/>
          <w:highlight w:val="none"/>
        </w:rPr>
      </w:r>
      <w:bookmarkStart w:id="128" w:name="_Toc513029224"/>
      <w:r>
        <w:rPr>
          <w:rFonts w:hint="eastAsia"/>
          <w:color w:val="auto"/>
          <w:sz w:val="30"/>
          <w:szCs w:val="30"/>
          <w:highlight w:val="none"/>
        </w:rPr>
        <w:t xml:space="preserve">四、投标文件的递交</w:t>
      </w:r>
      <w:bookmarkEnd w:id="125"/>
      <w:r>
        <w:rPr>
          <w:color w:val="auto"/>
          <w:highlight w:val="none"/>
        </w:rPr>
      </w:r>
      <w:bookmarkEnd w:id="126"/>
      <w:r>
        <w:rPr>
          <w:color w:val="auto"/>
          <w:highlight w:val="none"/>
        </w:rPr>
      </w:r>
      <w:bookmarkEnd w:id="127"/>
      <w:r>
        <w:rPr>
          <w:color w:val="auto"/>
          <w:highlight w:val="none"/>
        </w:rPr>
      </w:r>
      <w:bookmarkEnd w:id="128"/>
      <w:r>
        <w:rPr>
          <w:rFonts w:hint="eastAsia"/>
          <w:color w:val="auto"/>
          <w:sz w:val="30"/>
          <w:szCs w:val="30"/>
          <w:highlight w:val="none"/>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29" w:name="_Toc16938541"/>
      <w:r>
        <w:rPr>
          <w:color w:val="auto"/>
          <w:highlight w:val="none"/>
        </w:rPr>
      </w:r>
      <w:bookmarkStart w:id="130" w:name="_Toc462564084"/>
      <w:r>
        <w:rPr>
          <w:color w:val="auto"/>
          <w:highlight w:val="none"/>
        </w:rPr>
      </w:r>
      <w:bookmarkStart w:id="131" w:name="_Toc20823297"/>
      <w:r>
        <w:rPr>
          <w:color w:val="auto"/>
          <w:highlight w:val="none"/>
        </w:rPr>
      </w:r>
      <w:bookmarkStart w:id="132" w:name="_Toc513029225"/>
      <w:r>
        <w:rPr>
          <w:rFonts w:hint="eastAsia" w:ascii="宋体" w:hAnsi="宋体" w:eastAsia="宋体"/>
          <w:bCs w:val="0"/>
          <w:color w:val="auto"/>
          <w:highlight w:val="none"/>
        </w:rPr>
        <w:t xml:space="preserve">17.投标文件</w:t>
      </w:r>
      <w:bookmarkEnd w:id="129"/>
      <w:r>
        <w:rPr>
          <w:color w:val="auto"/>
          <w:highlight w:val="none"/>
        </w:rPr>
      </w:r>
      <w:bookmarkEnd w:id="130"/>
      <w:r>
        <w:rPr>
          <w:color w:val="auto"/>
          <w:highlight w:val="none"/>
        </w:rPr>
      </w:r>
      <w:bookmarkEnd w:id="131"/>
      <w:r>
        <w:rPr>
          <w:color w:val="auto"/>
          <w:highlight w:val="none"/>
        </w:rPr>
      </w:r>
      <w:bookmarkEnd w:id="132"/>
      <w:r>
        <w:rPr>
          <w:rFonts w:hint="eastAsia" w:ascii="宋体" w:hAnsi="宋体" w:eastAsia="宋体"/>
          <w:bCs w:val="0"/>
          <w:color w:val="auto"/>
          <w:highlight w:val="none"/>
        </w:rPr>
        <w:t xml:space="preserve">的递交</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rPr>
          <w:color w:val="auto"/>
          <w:highlight w:val="none"/>
        </w:rPr>
      </w:r>
    </w:p>
    <w:p>
      <w:pPr>
        <w:pStyle w:val="1014"/>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rPr>
          <w:color w:val="auto"/>
          <w:highlight w:val="none"/>
        </w:rPr>
      </w:r>
      <w:bookmarkStart w:id="134" w:name="_Toc20823298"/>
      <w:r>
        <w:rPr>
          <w:color w:val="auto"/>
          <w:highlight w:val="none"/>
        </w:rPr>
      </w:r>
      <w:bookmarkStart w:id="135" w:name="_Toc16938542"/>
      <w:r>
        <w:rPr>
          <w:rFonts w:hint="eastAsia" w:ascii="宋体" w:hAnsi="宋体"/>
          <w:bCs/>
          <w:color w:val="auto"/>
          <w:sz w:val="24"/>
          <w:highlight w:val="none"/>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rPr>
          <w:color w:val="auto"/>
          <w:highlight w:val="none"/>
        </w:rPr>
      </w:r>
      <w:bookmarkEnd w:id="134"/>
      <w:r>
        <w:rPr>
          <w:color w:val="auto"/>
          <w:highlight w:val="none"/>
        </w:rPr>
      </w:r>
      <w:bookmarkEnd w:id="135"/>
      <w:r>
        <w:rPr>
          <w:rFonts w:hint="eastAsia" w:ascii="宋体" w:hAnsi="宋体" w:eastAsia="宋体"/>
          <w:bCs w:val="0"/>
          <w:color w:val="auto"/>
          <w:highlight w:val="none"/>
        </w:rPr>
        <w:t xml:space="preserve">时间</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交易中心可以按照规定，通过更正公告修改投标截止时间，投标人的所有权利和义务以及投标人受制的截止时间均应以延长后新的截止时间为准。</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6" w:name="_Toc20823299"/>
      <w:r>
        <w:rPr>
          <w:color w:val="auto"/>
          <w:highlight w:val="none"/>
        </w:rPr>
      </w:r>
      <w:bookmarkStart w:id="137" w:name="_Toc16938543"/>
      <w:r>
        <w:rPr>
          <w:color w:val="auto"/>
          <w:highlight w:val="none"/>
        </w:rPr>
      </w:r>
      <w:bookmarkStart w:id="138" w:name="_Toc513029227"/>
      <w:r>
        <w:rPr>
          <w:rFonts w:hint="eastAsia" w:ascii="宋体" w:hAnsi="宋体" w:eastAsia="宋体"/>
          <w:bCs w:val="0"/>
          <w:color w:val="auto"/>
          <w:highlight w:val="none"/>
        </w:rPr>
        <w:t xml:space="preserve">19.投标文件</w:t>
      </w:r>
      <w:bookmarkEnd w:id="136"/>
      <w:r>
        <w:rPr>
          <w:color w:val="auto"/>
          <w:highlight w:val="none"/>
        </w:rPr>
      </w:r>
      <w:bookmarkEnd w:id="137"/>
      <w:r>
        <w:rPr>
          <w:color w:val="auto"/>
          <w:highlight w:val="none"/>
        </w:rPr>
      </w:r>
      <w:bookmarkEnd w:id="138"/>
      <w:r>
        <w:rPr>
          <w:rFonts w:hint="eastAsia" w:ascii="宋体" w:hAnsi="宋体" w:eastAsia="宋体"/>
          <w:bCs w:val="0"/>
          <w:color w:val="auto"/>
          <w:highlight w:val="none"/>
        </w:rPr>
        <w:t xml:space="preserve">的拒收</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交易中心拒绝接收在其规定的投标截止时间后上传的任何投标文件。</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9" w:name="_Toc16938544"/>
      <w:r>
        <w:rPr>
          <w:color w:val="auto"/>
          <w:highlight w:val="none"/>
        </w:rPr>
      </w:r>
      <w:bookmarkStart w:id="140" w:name="_Toc513029228"/>
      <w:r>
        <w:rPr>
          <w:color w:val="auto"/>
          <w:highlight w:val="none"/>
        </w:rPr>
      </w:r>
      <w:bookmarkStart w:id="141" w:name="_Toc20823300"/>
      <w:r>
        <w:rPr>
          <w:rFonts w:hint="eastAsia" w:ascii="宋体" w:hAnsi="宋体" w:eastAsia="宋体"/>
          <w:bCs w:val="0"/>
          <w:color w:val="auto"/>
          <w:highlight w:val="none"/>
        </w:rPr>
        <w:t xml:space="preserve">20.投标文件的撤回和修改</w:t>
      </w:r>
      <w:bookmarkEnd w:id="139"/>
      <w:r>
        <w:rPr>
          <w:color w:val="auto"/>
          <w:highlight w:val="none"/>
        </w:rPr>
      </w:r>
      <w:bookmarkEnd w:id="140"/>
      <w:r>
        <w:rPr>
          <w:color w:val="auto"/>
          <w:highlight w:val="none"/>
        </w:rPr>
      </w:r>
      <w:bookmarkEnd w:id="141"/>
      <w:r>
        <w:rPr>
          <w:rFonts w:hint="eastAsia" w:ascii="宋体" w:hAnsi="宋体" w:eastAsia="宋体"/>
          <w:bCs w:val="0"/>
          <w:color w:val="auto"/>
          <w:highlight w:val="none"/>
        </w:rPr>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rPr>
          <w:color w:val="auto"/>
          <w:highlight w:val="none"/>
        </w:rPr>
      </w:r>
    </w:p>
    <w:p>
      <w:pPr>
        <w:pStyle w:val="904"/>
        <w:ind w:firstLine="452"/>
        <w:keepLines w:val="0"/>
        <w:keepNext w:val="0"/>
        <w:spacing w:before="0" w:after="0" w:line="500" w:lineRule="exact"/>
        <w:rPr>
          <w:rFonts w:hint="eastAsia"/>
          <w:color w:val="auto"/>
          <w:sz w:val="30"/>
          <w:szCs w:val="30"/>
          <w:highlight w:val="none"/>
        </w:rPr>
      </w:pPr>
      <w:r>
        <w:rPr>
          <w:color w:val="auto"/>
          <w:highlight w:val="none"/>
        </w:rPr>
      </w:r>
      <w:bookmarkStart w:id="142" w:name="_Toc16938545"/>
      <w:r>
        <w:rPr>
          <w:color w:val="auto"/>
          <w:highlight w:val="none"/>
        </w:rPr>
      </w:r>
      <w:bookmarkStart w:id="143" w:name="_Toc120614218"/>
      <w:r>
        <w:rPr>
          <w:color w:val="auto"/>
          <w:highlight w:val="none"/>
        </w:rPr>
      </w:r>
      <w:bookmarkStart w:id="144" w:name="_Toc20823301"/>
      <w:r>
        <w:rPr>
          <w:color w:val="auto"/>
          <w:highlight w:val="none"/>
        </w:rPr>
      </w:r>
      <w:bookmarkStart w:id="145" w:name="_Toc513029229"/>
      <w:r>
        <w:rPr>
          <w:rFonts w:hint="eastAsia"/>
          <w:color w:val="auto"/>
          <w:sz w:val="30"/>
          <w:szCs w:val="30"/>
          <w:highlight w:val="none"/>
        </w:rPr>
        <w:t xml:space="preserve">五、开标与评标</w:t>
      </w:r>
      <w:bookmarkEnd w:id="142"/>
      <w:r>
        <w:rPr>
          <w:color w:val="auto"/>
          <w:highlight w:val="none"/>
        </w:rPr>
      </w:r>
      <w:bookmarkEnd w:id="143"/>
      <w:r>
        <w:rPr>
          <w:color w:val="auto"/>
          <w:highlight w:val="none"/>
        </w:rPr>
      </w:r>
      <w:bookmarkEnd w:id="144"/>
      <w:r>
        <w:rPr>
          <w:color w:val="auto"/>
          <w:highlight w:val="none"/>
        </w:rPr>
      </w:r>
      <w:bookmarkEnd w:id="145"/>
      <w:r>
        <w:rPr>
          <w:rFonts w:hint="eastAsia"/>
          <w:color w:val="auto"/>
          <w:sz w:val="30"/>
          <w:szCs w:val="30"/>
          <w:highlight w:val="none"/>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6" w:name="_Toc16938546"/>
      <w:r>
        <w:rPr>
          <w:color w:val="auto"/>
          <w:highlight w:val="none"/>
        </w:rPr>
      </w:r>
      <w:bookmarkStart w:id="147" w:name="_Toc513029230"/>
      <w:r>
        <w:rPr>
          <w:color w:val="auto"/>
          <w:highlight w:val="none"/>
        </w:rPr>
      </w:r>
      <w:bookmarkStart w:id="148" w:name="_Toc20823302"/>
      <w:r>
        <w:rPr>
          <w:rFonts w:hint="eastAsia" w:ascii="宋体" w:hAnsi="宋体" w:eastAsia="宋体"/>
          <w:bCs w:val="0"/>
          <w:color w:val="auto"/>
          <w:highlight w:val="none"/>
        </w:rPr>
        <w:t xml:space="preserve">21.开标</w:t>
      </w:r>
      <w:bookmarkEnd w:id="146"/>
      <w:r>
        <w:rPr>
          <w:color w:val="auto"/>
          <w:highlight w:val="none"/>
        </w:rPr>
      </w:r>
      <w:bookmarkEnd w:id="147"/>
      <w:r>
        <w:rPr>
          <w:color w:val="auto"/>
          <w:highlight w:val="none"/>
        </w:rPr>
      </w:r>
      <w:bookmarkEnd w:id="148"/>
      <w:r>
        <w:rPr>
          <w:rFonts w:hint="eastAsia" w:ascii="宋体" w:hAnsi="宋体" w:eastAsia="宋体"/>
          <w:bCs w:val="0"/>
          <w:color w:val="auto"/>
          <w:highlight w:val="none"/>
        </w:rPr>
      </w:r>
      <w:r>
        <w:rPr>
          <w:color w:val="auto"/>
          <w:highlight w:val="none"/>
        </w:rPr>
      </w:r>
    </w:p>
    <w:p>
      <w:pPr>
        <w:pStyle w:val="901"/>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交易中心将在招标公告中规定的时间和地点组织公开开标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rPr>
          <w:rFonts w:hint="eastAsia"/>
          <w:color w:val="auto"/>
          <w:highlight w:val="none"/>
        </w:rPr>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21.2开标仪式由交易中心组织。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color w:val="auto"/>
          <w:sz w:val="24"/>
          <w:highlight w:val="none"/>
        </w:rPr>
        <w:t xml:space="preserve">涉及</w:t>
      </w:r>
      <w:r>
        <w:rPr>
          <w:rFonts w:hint="eastAsia" w:ascii="宋体" w:hAnsi="宋体"/>
          <w:color w:val="auto"/>
          <w:sz w:val="24"/>
          <w:highlight w:val="none"/>
        </w:rPr>
        <w:t xml:space="preserve">的投标文件解密、开标结果确认等工作，应按照《操作手册》规定执行。</w:t>
      </w:r>
      <w:r>
        <w:rPr>
          <w:color w:val="auto"/>
          <w:highlight w:val="none"/>
        </w:rPr>
      </w:r>
    </w:p>
    <w:p>
      <w:pPr>
        <w:pStyle w:val="901"/>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rPr>
          <w:rFonts w:ascii="宋体" w:hAnsi="宋体"/>
          <w:color w:val="auto"/>
          <w:sz w:val="24"/>
          <w:highlight w:val="none"/>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9" w:name="_Toc20823303"/>
      <w:r>
        <w:rPr>
          <w:color w:val="auto"/>
          <w:highlight w:val="none"/>
        </w:rPr>
      </w:r>
      <w:bookmarkStart w:id="150" w:name="_Toc513029231"/>
      <w:r>
        <w:rPr>
          <w:color w:val="auto"/>
          <w:highlight w:val="none"/>
        </w:rPr>
      </w:r>
      <w:bookmarkStart w:id="151" w:name="_Toc16938547"/>
      <w:r>
        <w:rPr>
          <w:rFonts w:hint="eastAsia" w:ascii="宋体" w:hAnsi="宋体" w:eastAsia="宋体"/>
          <w:bCs w:val="0"/>
          <w:color w:val="auto"/>
          <w:highlight w:val="none"/>
        </w:rPr>
        <w:t xml:space="preserve">22.评标委员会</w:t>
      </w:r>
      <w:r>
        <w:rPr>
          <w:color w:val="auto"/>
          <w:highlight w:val="none"/>
        </w:rPr>
      </w:r>
    </w:p>
    <w:p>
      <w:pPr>
        <w:pStyle w:val="901"/>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22.1开标后，交易中心将立即组织评标委员会（以下简称评委会）进行评标。</w:t>
      </w:r>
      <w:r>
        <w:rPr>
          <w:rFonts w:hint="eastAsia" w:ascii="宋体" w:hAnsi="宋体"/>
          <w:b/>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w:t>
      </w:r>
      <w:r>
        <w:rPr>
          <w:rFonts w:hint="eastAsia" w:ascii="宋体" w:hAnsi="宋体"/>
          <w:color w:val="auto"/>
          <w:sz w:val="24"/>
          <w:szCs w:val="24"/>
          <w:highlight w:val="none"/>
        </w:rPr>
        <w:t xml:space="preserve">候选人</w:t>
      </w:r>
      <w:r>
        <w:rPr>
          <w:rFonts w:hint="eastAsia" w:ascii="宋体" w:hAnsi="宋体"/>
          <w:color w:val="auto"/>
          <w:sz w:val="24"/>
          <w:szCs w:val="24"/>
          <w:highlight w:val="none"/>
        </w:rPr>
        <w:t xml:space="preserve">。</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r>
        <w:rPr>
          <w:color w:val="auto"/>
          <w:highlight w:val="none"/>
        </w:rPr>
      </w:r>
    </w:p>
    <w:p>
      <w:pPr>
        <w:pStyle w:val="901"/>
        <w:ind w:firstLine="480"/>
        <w:spacing w:line="500" w:lineRule="exact"/>
        <w:rPr>
          <w:rFonts w:hint="eastAsia" w:ascii="宋体" w:hAnsi="宋体"/>
          <w:bCs/>
          <w:color w:val="auto"/>
          <w:sz w:val="24"/>
          <w:highlight w:val="none"/>
        </w:rPr>
      </w:pPr>
      <w:r>
        <w:rPr>
          <w:color w:val="auto"/>
          <w:highlight w:val="none"/>
        </w:rPr>
      </w:r>
      <w:bookmarkEnd w:id="149"/>
      <w:r>
        <w:rPr>
          <w:color w:val="auto"/>
          <w:highlight w:val="none"/>
        </w:rPr>
      </w:r>
      <w:bookmarkEnd w:id="150"/>
      <w:r>
        <w:rPr>
          <w:color w:val="auto"/>
          <w:highlight w:val="none"/>
        </w:rPr>
      </w:r>
      <w:bookmarkEnd w:id="151"/>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凡是与审查、澄清、评价和比较投标的有关资料以及授标建议等，采购人、评委、交易中心均不得向投标人或与评标无关的其他人员透露。</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交易中心和评标委员会不向未中标的投标人解释未中标原因，也不公布评标过程中的相关细节。</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2" w:name="_Toc513029232"/>
      <w:r>
        <w:rPr>
          <w:color w:val="auto"/>
          <w:highlight w:val="none"/>
        </w:rPr>
      </w:r>
      <w:bookmarkStart w:id="153" w:name="_Toc16938548"/>
      <w:r>
        <w:rPr>
          <w:color w:val="auto"/>
          <w:highlight w:val="none"/>
        </w:rPr>
      </w:r>
      <w:bookmarkStart w:id="154" w:name="_Toc20823304"/>
      <w:r>
        <w:rPr>
          <w:rFonts w:hint="eastAsia" w:ascii="宋体" w:hAnsi="宋体" w:eastAsia="宋体"/>
          <w:bCs w:val="0"/>
          <w:color w:val="auto"/>
          <w:highlight w:val="none"/>
        </w:rPr>
        <w:t xml:space="preserve">24.投标文件的澄清</w:t>
      </w:r>
      <w:bookmarkEnd w:id="152"/>
      <w:r>
        <w:rPr>
          <w:color w:val="auto"/>
          <w:highlight w:val="none"/>
        </w:rPr>
      </w:r>
      <w:bookmarkEnd w:id="153"/>
      <w:r>
        <w:rPr>
          <w:color w:val="auto"/>
          <w:highlight w:val="none"/>
        </w:rPr>
      </w:r>
      <w:bookmarkEnd w:id="154"/>
      <w:r>
        <w:rPr>
          <w:rFonts w:hint="eastAsia" w:ascii="宋体" w:hAnsi="宋体" w:eastAsia="宋体"/>
          <w:bCs w:val="0"/>
          <w:color w:val="auto"/>
          <w:highlight w:val="none"/>
        </w:rPr>
      </w:r>
      <w:r>
        <w:rPr>
          <w:color w:val="auto"/>
          <w:highlight w:val="none"/>
        </w:rPr>
      </w:r>
    </w:p>
    <w:p>
      <w:pPr>
        <w:pStyle w:val="901"/>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auto"/>
          <w:sz w:val="24"/>
          <w:szCs w:val="24"/>
          <w:highlight w:val="none"/>
        </w:rPr>
      </w:r>
      <w:r>
        <w:rPr>
          <w:color w:val="auto"/>
          <w:highlight w:val="none"/>
        </w:rPr>
      </w:r>
    </w:p>
    <w:p>
      <w:pPr>
        <w:pStyle w:val="90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rPr>
          <w:rFonts w:ascii="宋体" w:hAnsi="宋体"/>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w:t>
      </w:r>
      <w:r>
        <w:rPr>
          <w:rFonts w:hint="eastAsia" w:ascii="宋体" w:hAnsi="宋体"/>
          <w:color w:val="auto"/>
          <w:sz w:val="24"/>
          <w:szCs w:val="24"/>
          <w:highlight w:val="none"/>
        </w:rPr>
        <w:t xml:space="preserve">及时</w:t>
      </w:r>
      <w:r>
        <w:rPr>
          <w:rFonts w:hint="eastAsia" w:ascii="宋体" w:hAnsi="宋体"/>
          <w:color w:val="auto"/>
          <w:sz w:val="24"/>
          <w:szCs w:val="24"/>
          <w:highlight w:val="none"/>
        </w:rPr>
        <w:t xml:space="preserve">做出澄清、说明和补正，其风险由投标人自行承担。</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5" w:name="_Toc513029233"/>
      <w:r>
        <w:rPr>
          <w:color w:val="auto"/>
          <w:highlight w:val="none"/>
        </w:rPr>
      </w:r>
      <w:bookmarkStart w:id="156" w:name="_Toc20823305"/>
      <w:r>
        <w:rPr>
          <w:color w:val="auto"/>
          <w:highlight w:val="none"/>
        </w:rPr>
      </w:r>
      <w:bookmarkStart w:id="157" w:name="_Toc16938549"/>
      <w:r>
        <w:rPr>
          <w:rFonts w:hint="eastAsia" w:ascii="宋体" w:hAnsi="宋体" w:eastAsia="宋体"/>
          <w:bCs w:val="0"/>
          <w:color w:val="auto"/>
          <w:highlight w:val="none"/>
        </w:rPr>
        <w:t xml:space="preserve">25.对投标文件的初审</w:t>
      </w:r>
      <w:bookmarkEnd w:id="155"/>
      <w:r>
        <w:rPr>
          <w:color w:val="auto"/>
          <w:highlight w:val="none"/>
        </w:rPr>
      </w:r>
      <w:bookmarkEnd w:id="156"/>
      <w:r>
        <w:rPr>
          <w:color w:val="auto"/>
          <w:highlight w:val="none"/>
        </w:rPr>
      </w:r>
      <w:bookmarkEnd w:id="157"/>
      <w:r>
        <w:rPr>
          <w:rFonts w:hint="eastAsia" w:ascii="宋体" w:hAnsi="宋体" w:eastAsia="宋体"/>
          <w:bCs w:val="0"/>
          <w:color w:val="auto"/>
          <w:highlight w:val="none"/>
        </w:rPr>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rPr>
          <w:color w:val="auto"/>
          <w:highlight w:val="none"/>
        </w:rPr>
      </w:r>
    </w:p>
    <w:p>
      <w:pPr>
        <w:pStyle w:val="901"/>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highlight w:val="none"/>
        </w:rPr>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auto"/>
          <w:sz w:val="24"/>
          <w:highlight w:val="none"/>
        </w:rPr>
        <w:t xml:space="preserve">不良信用</w:t>
      </w:r>
      <w:r>
        <w:rPr>
          <w:rFonts w:hint="eastAsia" w:ascii="宋体" w:hAnsi="宋体"/>
          <w:bCs/>
          <w:color w:val="auto"/>
          <w:sz w:val="24"/>
          <w:highlight w:val="none"/>
        </w:rPr>
        <w:t xml:space="preserve">记录。</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rPr>
          <w:rFonts w:hint="eastAsia" w:ascii="宋体" w:hAnsi="宋体"/>
          <w:bCs/>
          <w:color w:val="auto"/>
          <w:sz w:val="24"/>
          <w:highlight w:val="none"/>
        </w:rPr>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highlight w:val="none"/>
        </w:rPr>
      </w:r>
    </w:p>
    <w:p>
      <w:pPr>
        <w:pStyle w:val="901"/>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auto"/>
          <w:sz w:val="24"/>
          <w:highlight w:val="none"/>
        </w:rPr>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rPr>
          <w:color w:val="auto"/>
          <w:highlight w:val="none"/>
        </w:rPr>
      </w:r>
    </w:p>
    <w:p>
      <w:pPr>
        <w:pStyle w:val="901"/>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rPr>
          <w:rFonts w:ascii="宋体" w:hAnsi="宋体"/>
          <w:bCs/>
          <w:color w:val="auto"/>
          <w:sz w:val="24"/>
          <w:highlight w:val="none"/>
        </w:rPr>
      </w:r>
      <w:r>
        <w:rPr>
          <w:color w:val="auto"/>
          <w:highlight w:val="none"/>
        </w:rPr>
      </w:r>
    </w:p>
    <w:p>
      <w:pPr>
        <w:pStyle w:val="901"/>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rPr>
          <w:rFonts w:ascii="宋体" w:hAnsi="宋体"/>
          <w:bCs/>
          <w:color w:val="auto"/>
          <w:sz w:val="24"/>
          <w:highlight w:val="none"/>
        </w:rPr>
      </w:r>
      <w:r>
        <w:rPr>
          <w:color w:val="auto"/>
          <w:highlight w:val="none"/>
        </w:rPr>
      </w:r>
    </w:p>
    <w:p>
      <w:pPr>
        <w:pStyle w:val="901"/>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rPr>
          <w:rFonts w:ascii="宋体" w:hAnsi="宋体"/>
          <w:bCs/>
          <w:color w:val="auto"/>
          <w:sz w:val="24"/>
          <w:highlight w:val="none"/>
        </w:rPr>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rPr>
          <w:color w:val="auto"/>
          <w:highlight w:val="none"/>
        </w:rPr>
      </w:r>
    </w:p>
    <w:p>
      <w:pPr>
        <w:pStyle w:val="901"/>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rPr>
          <w:rFonts w:ascii="宋体" w:hAnsi="宋体"/>
          <w:bCs/>
          <w:color w:val="auto"/>
          <w:sz w:val="24"/>
          <w:highlight w:val="none"/>
        </w:rPr>
      </w:r>
      <w:r>
        <w:rPr>
          <w:color w:val="auto"/>
          <w:highlight w:val="none"/>
        </w:rPr>
      </w:r>
    </w:p>
    <w:p>
      <w:pPr>
        <w:pStyle w:val="901"/>
        <w:ind w:firstLine="420"/>
        <w:spacing w:line="500" w:lineRule="exact"/>
        <w:rPr>
          <w:rFonts w:hint="eastAsia" w:ascii="宋体" w:hAnsi="宋体"/>
          <w:color w:val="auto"/>
          <w:sz w:val="24"/>
          <w:highlight w:val="none"/>
        </w:rPr>
      </w:pPr>
      <w:r>
        <w:rPr>
          <w:color w:val="auto"/>
          <w:highlight w:val="none"/>
        </w:rPr>
      </w:r>
      <w:bookmarkStart w:id="158" w:name="_Toc16938550"/>
      <w:r>
        <w:rPr>
          <w:color w:val="auto"/>
          <w:highlight w:val="none"/>
        </w:rPr>
      </w:r>
      <w:bookmarkStart w:id="159" w:name="_Toc513029234"/>
      <w:r>
        <w:rPr>
          <w:color w:val="auto"/>
          <w:highlight w:val="none"/>
        </w:rPr>
      </w:r>
      <w:bookmarkStart w:id="160"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rPr>
          <w:color w:val="auto"/>
          <w:highlight w:val="none"/>
        </w:rPr>
      </w:r>
      <w:bookmarkEnd w:id="159"/>
      <w:r>
        <w:rPr>
          <w:color w:val="auto"/>
          <w:highlight w:val="none"/>
        </w:rPr>
      </w:r>
      <w:bookmarkEnd w:id="160"/>
      <w:r>
        <w:rPr>
          <w:rFonts w:hint="eastAsia" w:ascii="宋体" w:hAnsi="宋体" w:eastAsia="宋体"/>
          <w:bCs w:val="0"/>
          <w:color w:val="auto"/>
          <w:highlight w:val="none"/>
        </w:rPr>
        <w:t xml:space="preserve">.无效投标条款和废标条款</w:t>
      </w:r>
      <w:r>
        <w:rPr>
          <w:color w:val="auto"/>
          <w:highlight w:val="none"/>
        </w:rPr>
      </w:r>
    </w:p>
    <w:p>
      <w:pPr>
        <w:pStyle w:val="901"/>
        <w:ind w:left="479"/>
        <w:spacing w:line="500" w:lineRule="exact"/>
        <w:rPr>
          <w:rFonts w:hint="eastAsia" w:ascii="宋体" w:hAnsi="宋体"/>
          <w:bCs/>
          <w:color w:val="auto"/>
          <w:sz w:val="24"/>
          <w:highlight w:val="none"/>
        </w:rPr>
      </w:pPr>
      <w:r>
        <w:rPr>
          <w:color w:val="auto"/>
          <w:highlight w:val="none"/>
        </w:rPr>
      </w:r>
      <w:bookmarkStart w:id="161" w:name="_Toc20823307"/>
      <w:r>
        <w:rPr>
          <w:color w:val="auto"/>
          <w:highlight w:val="none"/>
        </w:rPr>
      </w:r>
      <w:bookmarkStart w:id="162" w:name="_Toc513029235"/>
      <w:r>
        <w:rPr>
          <w:color w:val="auto"/>
          <w:highlight w:val="none"/>
        </w:rPr>
      </w:r>
      <w:bookmarkStart w:id="163" w:name="_Toc16938551"/>
      <w:r>
        <w:rPr>
          <w:rFonts w:hint="eastAsia" w:ascii="宋体" w:hAnsi="宋体"/>
          <w:bCs/>
          <w:color w:val="auto"/>
          <w:sz w:val="24"/>
          <w:highlight w:val="none"/>
        </w:rPr>
        <w:t xml:space="preserve">26.1无效投标条款</w:t>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rPr>
          <w:rFonts w:hint="eastAsia" w:ascii="宋体" w:hAnsi="宋体"/>
          <w:bCs/>
          <w:color w:val="auto"/>
          <w:sz w:val="24"/>
          <w:szCs w:val="24"/>
          <w:highlight w:val="none"/>
        </w:rPr>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w:t>
      </w:r>
      <w:r>
        <w:rPr>
          <w:rFonts w:hint="eastAsia" w:ascii="宋体" w:hAnsi="宋体"/>
          <w:bCs/>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（含两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）以上不同的投标报价的。</w:t>
      </w:r>
      <w:r>
        <w:rPr>
          <w:rFonts w:hint="eastAsia" w:ascii="宋体" w:hAnsi="宋体"/>
          <w:bCs/>
          <w:color w:val="auto"/>
          <w:sz w:val="24"/>
          <w:szCs w:val="24"/>
          <w:highlight w:val="none"/>
        </w:rPr>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rPr>
          <w:rFonts w:hint="eastAsia" w:ascii="宋体" w:hAnsi="宋体"/>
          <w:bCs/>
          <w:color w:val="auto"/>
          <w:sz w:val="24"/>
          <w:szCs w:val="24"/>
          <w:highlight w:val="none"/>
        </w:rPr>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采购包、</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标段）投标总价超过本项目（</w:t>
      </w:r>
      <w:r>
        <w:rPr>
          <w:rFonts w:hint="eastAsia" w:ascii="宋体" w:hAnsi="宋体"/>
          <w:bCs/>
          <w:color w:val="auto"/>
          <w:sz w:val="24"/>
          <w:szCs w:val="24"/>
          <w:highlight w:val="none"/>
        </w:rPr>
        <w:t xml:space="preserve">本采购包、本</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标段）预算或最高限价的。</w:t>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rPr>
          <w:rFonts w:hint="eastAsia" w:ascii="宋体" w:hAnsi="宋体"/>
          <w:bCs/>
          <w:color w:val="auto"/>
          <w:sz w:val="24"/>
          <w:highlight w:val="none"/>
        </w:rPr>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rPr>
          <w:rFonts w:hint="eastAsia" w:ascii="宋体" w:hAnsi="宋体"/>
          <w:bCs/>
          <w:color w:val="auto"/>
          <w:sz w:val="24"/>
          <w:highlight w:val="none"/>
        </w:rPr>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rPr>
          <w:rFonts w:hint="eastAsia" w:ascii="宋体" w:hAnsi="宋体"/>
          <w:bCs/>
          <w:color w:val="auto"/>
          <w:sz w:val="24"/>
          <w:highlight w:val="none"/>
        </w:rPr>
      </w:r>
      <w:r>
        <w:rPr>
          <w:color w:val="auto"/>
          <w:highlight w:val="none"/>
        </w:rPr>
      </w:r>
    </w:p>
    <w:p>
      <w:pPr>
        <w:pStyle w:val="901"/>
        <w:ind w:firstLine="480"/>
        <w:spacing w:line="500" w:lineRule="exact"/>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rPr>
          <w:rFonts w:hint="eastAsia" w:ascii="宋体" w:hAnsi="宋体"/>
          <w:bCs/>
          <w:color w:val="auto"/>
          <w:sz w:val="24"/>
          <w:highlight w:val="none"/>
          <w:shd w:val="clear" w:color="ffffff" w:fill="d9d9d9"/>
        </w:rPr>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w:t>
      </w:r>
      <w:r>
        <w:rPr>
          <w:rFonts w:hint="eastAsia" w:ascii="宋体" w:hAnsi="宋体"/>
          <w:bCs/>
          <w:color w:val="auto"/>
          <w:sz w:val="24"/>
          <w:szCs w:val="24"/>
          <w:highlight w:val="none"/>
        </w:rPr>
        <w:t xml:space="preserve">其他实质性</w:t>
      </w:r>
      <w:r>
        <w:rPr>
          <w:rFonts w:hint="eastAsia" w:ascii="宋体" w:hAnsi="宋体"/>
          <w:bCs/>
          <w:color w:val="auto"/>
          <w:sz w:val="24"/>
          <w:szCs w:val="24"/>
          <w:highlight w:val="none"/>
        </w:rPr>
        <w:t xml:space="preserve">要求和条件的</w:t>
      </w:r>
      <w:r>
        <w:rPr>
          <w:rFonts w:hint="eastAsia" w:ascii="宋体" w:hAnsi="宋体"/>
          <w:bCs/>
          <w:color w:val="auto"/>
          <w:sz w:val="24"/>
          <w:highlight w:val="none"/>
        </w:rPr>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rPr>
          <w:color w:val="auto"/>
          <w:highlight w:val="none"/>
        </w:rPr>
      </w:r>
    </w:p>
    <w:p>
      <w:pPr>
        <w:pStyle w:val="901"/>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rPr>
          <w:color w:val="auto"/>
          <w:highlight w:val="none"/>
        </w:rPr>
      </w:r>
    </w:p>
    <w:p>
      <w:pPr>
        <w:pStyle w:val="901"/>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rPr>
          <w:color w:val="auto"/>
          <w:highlight w:val="none"/>
        </w:rPr>
      </w:r>
    </w:p>
    <w:p>
      <w:pPr>
        <w:pStyle w:val="901"/>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rPr>
          <w:color w:val="auto"/>
          <w:highlight w:val="none"/>
        </w:rPr>
      </w:r>
    </w:p>
    <w:p>
      <w:pPr>
        <w:pStyle w:val="901"/>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rPr>
          <w:rFonts w:ascii="宋体" w:hAnsi="宋体"/>
          <w:bCs/>
          <w:color w:val="auto"/>
          <w:sz w:val="24"/>
          <w:highlight w:val="none"/>
        </w:rPr>
      </w:r>
      <w:r>
        <w:rPr>
          <w:color w:val="auto"/>
          <w:highlight w:val="none"/>
        </w:rPr>
      </w:r>
    </w:p>
    <w:p>
      <w:pPr>
        <w:pStyle w:val="901"/>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rPr>
          <w:color w:val="auto"/>
          <w:highlight w:val="none"/>
        </w:rPr>
      </w:r>
    </w:p>
    <w:p>
      <w:pPr>
        <w:pStyle w:val="901"/>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rPr>
          <w:rFonts w:hint="eastAsia" w:ascii="宋体" w:hAnsi="宋体"/>
          <w:bCs/>
          <w:color w:val="auto"/>
          <w:sz w:val="24"/>
          <w:highlight w:val="none"/>
        </w:rPr>
      </w:r>
      <w:r>
        <w:rPr>
          <w:color w:val="auto"/>
          <w:highlight w:val="none"/>
        </w:rPr>
      </w:r>
    </w:p>
    <w:p>
      <w:pPr>
        <w:pStyle w:val="901"/>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rPr>
          <w:color w:val="auto"/>
          <w:highlight w:val="none"/>
        </w:rPr>
      </w:r>
    </w:p>
    <w:p>
      <w:pPr>
        <w:pStyle w:val="904"/>
        <w:ind w:firstLine="452"/>
        <w:keepLines w:val="0"/>
        <w:keepNext w:val="0"/>
        <w:spacing w:before="0" w:after="0" w:line="500" w:lineRule="exact"/>
        <w:rPr>
          <w:rFonts w:hint="eastAsia"/>
          <w:color w:val="auto"/>
          <w:sz w:val="30"/>
          <w:szCs w:val="30"/>
          <w:highlight w:val="none"/>
        </w:rPr>
      </w:pPr>
      <w:r>
        <w:rPr>
          <w:color w:val="auto"/>
          <w:highlight w:val="none"/>
        </w:rPr>
      </w:r>
      <w:bookmarkStart w:id="164" w:name="_Toc120614219"/>
      <w:r>
        <w:rPr>
          <w:rFonts w:hint="eastAsia"/>
          <w:color w:val="auto"/>
          <w:sz w:val="30"/>
          <w:szCs w:val="30"/>
          <w:highlight w:val="none"/>
        </w:rPr>
        <w:t xml:space="preserve">六、</w:t>
      </w:r>
      <w:bookmarkEnd w:id="161"/>
      <w:r>
        <w:rPr>
          <w:color w:val="auto"/>
          <w:highlight w:val="none"/>
        </w:rPr>
      </w:r>
      <w:bookmarkEnd w:id="162"/>
      <w:r>
        <w:rPr>
          <w:color w:val="auto"/>
          <w:highlight w:val="none"/>
        </w:rPr>
      </w:r>
      <w:bookmarkEnd w:id="163"/>
      <w:r>
        <w:rPr>
          <w:rFonts w:hint="eastAsia"/>
          <w:color w:val="auto"/>
          <w:sz w:val="30"/>
          <w:szCs w:val="30"/>
          <w:highlight w:val="none"/>
        </w:rPr>
        <w:t xml:space="preserve">定标</w:t>
      </w:r>
      <w:bookmarkEnd w:id="164"/>
      <w:r>
        <w:rPr>
          <w:rFonts w:hint="eastAsia"/>
          <w:color w:val="auto"/>
          <w:sz w:val="30"/>
          <w:szCs w:val="30"/>
          <w:highlight w:val="none"/>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65" w:name="_Toc513029238"/>
      <w:r>
        <w:rPr>
          <w:color w:val="auto"/>
          <w:highlight w:val="none"/>
        </w:rPr>
      </w:r>
      <w:bookmarkStart w:id="166" w:name="_Toc20823310"/>
      <w:r>
        <w:rPr>
          <w:color w:val="auto"/>
          <w:highlight w:val="none"/>
        </w:rPr>
      </w:r>
      <w:bookmarkStart w:id="167" w:name="_Toc16938554"/>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rPr>
          <w:color w:val="auto"/>
          <w:highlight w:val="none"/>
        </w:rPr>
      </w:r>
      <w:bookmarkEnd w:id="167"/>
      <w:r>
        <w:rPr>
          <w:rFonts w:hint="eastAsia" w:ascii="宋体" w:hAnsi="宋体" w:eastAsia="宋体"/>
          <w:bCs w:val="0"/>
          <w:color w:val="auto"/>
          <w:highlight w:val="none"/>
        </w:rPr>
        <w:t xml:space="preserve">中标单位</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auto"/>
          <w:highlight w:val="none"/>
        </w:rPr>
      </w:r>
    </w:p>
    <w:p>
      <w:pPr>
        <w:pStyle w:val="90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w:t>
      </w:r>
      <w:r>
        <w:rPr>
          <w:rFonts w:hint="eastAsia" w:ascii="宋体" w:hAnsi="宋体"/>
          <w:bCs/>
          <w:color w:val="auto"/>
          <w:sz w:val="24"/>
          <w:highlight w:val="none"/>
        </w:rPr>
        <w:t xml:space="preserve">名单中按</w:t>
      </w:r>
      <w:r>
        <w:rPr>
          <w:rFonts w:hint="eastAsia" w:ascii="宋体" w:hAnsi="宋体"/>
          <w:bCs/>
          <w:color w:val="auto"/>
          <w:sz w:val="24"/>
          <w:highlight w:val="none"/>
        </w:rPr>
        <w:t xml:space="preserve">排名先后</w:t>
      </w:r>
      <w:r>
        <w:rPr>
          <w:rFonts w:hint="eastAsia" w:ascii="宋体" w:hAnsi="宋体"/>
          <w:bCs/>
          <w:color w:val="auto"/>
          <w:sz w:val="24"/>
          <w:highlight w:val="none"/>
        </w:rPr>
        <w:t xml:space="preserve">顺序</w:t>
      </w:r>
      <w:r>
        <w:rPr>
          <w:rFonts w:hint="eastAsia" w:ascii="宋体" w:hAnsi="宋体"/>
          <w:bCs/>
          <w:color w:val="auto"/>
          <w:sz w:val="24"/>
          <w:highlight w:val="none"/>
        </w:rPr>
        <w:t xml:space="preserve">确定一个投标人</w:t>
      </w:r>
      <w:r>
        <w:rPr>
          <w:rFonts w:hint="eastAsia" w:ascii="宋体" w:hAnsi="宋体"/>
          <w:bCs/>
          <w:color w:val="auto"/>
          <w:sz w:val="24"/>
          <w:highlight w:val="none"/>
        </w:rPr>
        <w:t xml:space="preserve">为</w:t>
      </w:r>
      <w:r>
        <w:rPr>
          <w:rFonts w:hint="eastAsia" w:ascii="宋体" w:hAnsi="宋体"/>
          <w:bCs/>
          <w:color w:val="auto"/>
          <w:sz w:val="24"/>
          <w:highlight w:val="none"/>
        </w:rPr>
        <w:t xml:space="preserve">中标</w:t>
      </w:r>
      <w:r>
        <w:rPr>
          <w:rFonts w:hint="eastAsia" w:ascii="宋体" w:hAnsi="宋体"/>
          <w:bCs/>
          <w:color w:val="auto"/>
          <w:sz w:val="24"/>
          <w:highlight w:val="none"/>
        </w:rPr>
        <w:t xml:space="preserve">单位</w:t>
      </w:r>
      <w:r>
        <w:rPr>
          <w:rFonts w:hint="eastAsia" w:ascii="宋体" w:hAnsi="宋体"/>
          <w:bCs/>
          <w:color w:val="auto"/>
          <w:sz w:val="24"/>
          <w:highlight w:val="none"/>
        </w:rPr>
        <w:t xml:space="preserve">。联合体中标的，联合体各方应当共同与采购人签订合同，就中标项目向采购人承担连带责任。</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交易中心将在“无锡政府采购网”“江苏政府采购网”发布中标公告，公告期限为1个工作日。</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27.4.2向采购人、交易中心行贿或者提供其他不正当利益的。</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rPr>
          <w:color w:val="auto"/>
          <w:highlight w:val="none"/>
        </w:rPr>
      </w:r>
    </w:p>
    <w:p>
      <w:pPr>
        <w:pStyle w:val="901"/>
        <w:ind w:firstLine="480"/>
        <w:spacing w:line="500" w:lineRule="exact"/>
        <w:rPr>
          <w:rFonts w:hint="eastAsia" w:ascii="宋体" w:hAnsi="宋体"/>
          <w:color w:val="auto"/>
          <w:sz w:val="24"/>
          <w:szCs w:val="24"/>
          <w:highlight w:val="none"/>
        </w:rPr>
      </w:pPr>
      <w:r>
        <w:rPr>
          <w:color w:val="auto"/>
          <w:highlight w:val="none"/>
        </w:r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rPr>
          <w:rFonts w:hint="eastAsia" w:ascii="宋体" w:hAnsi="宋体"/>
          <w:color w:val="auto"/>
          <w:sz w:val="24"/>
          <w:szCs w:val="24"/>
          <w:highlight w:val="none"/>
        </w:rPr>
      </w:r>
      <w:r>
        <w:rPr>
          <w:color w:val="auto"/>
          <w:highlight w:val="none"/>
        </w:rPr>
      </w:r>
    </w:p>
    <w:p>
      <w:pPr>
        <w:pStyle w:val="90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rPr>
          <w:rFonts w:ascii="宋体" w:hAnsi="宋体"/>
          <w:color w:val="auto"/>
          <w:sz w:val="24"/>
          <w:szCs w:val="24"/>
          <w:highlight w:val="none"/>
        </w:rPr>
      </w:r>
      <w:r>
        <w:rPr>
          <w:color w:val="auto"/>
          <w:highlight w:val="none"/>
        </w:rPr>
      </w:r>
    </w:p>
    <w:p>
      <w:pPr>
        <w:pStyle w:val="90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rPr>
          <w:rFonts w:ascii="宋体" w:hAnsi="宋体"/>
          <w:color w:val="auto"/>
          <w:sz w:val="24"/>
          <w:szCs w:val="24"/>
          <w:highlight w:val="none"/>
        </w:rPr>
      </w:r>
      <w:r>
        <w:rPr>
          <w:color w:val="auto"/>
          <w:highlight w:val="none"/>
        </w:rPr>
      </w:r>
    </w:p>
    <w:p>
      <w:pPr>
        <w:pStyle w:val="90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rPr>
          <w:rFonts w:ascii="宋体" w:hAnsi="宋体"/>
          <w:color w:val="auto"/>
          <w:sz w:val="24"/>
          <w:szCs w:val="24"/>
          <w:highlight w:val="none"/>
        </w:rPr>
      </w:r>
      <w:r>
        <w:rPr>
          <w:color w:val="auto"/>
          <w:highlight w:val="none"/>
        </w:rPr>
      </w:r>
    </w:p>
    <w:p>
      <w:pPr>
        <w:pStyle w:val="90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rPr>
          <w:rFonts w:ascii="宋体" w:hAnsi="宋体"/>
          <w:color w:val="auto"/>
          <w:sz w:val="24"/>
          <w:szCs w:val="24"/>
          <w:highlight w:val="none"/>
        </w:rPr>
      </w:r>
      <w:r>
        <w:rPr>
          <w:color w:val="auto"/>
          <w:highlight w:val="none"/>
        </w:rPr>
      </w:r>
    </w:p>
    <w:p>
      <w:pPr>
        <w:pStyle w:val="90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rPr>
          <w:rFonts w:ascii="宋体" w:hAnsi="宋体"/>
          <w:color w:val="auto"/>
          <w:sz w:val="24"/>
          <w:szCs w:val="24"/>
          <w:highlight w:val="none"/>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Pr>
          <w:rFonts w:hint="eastAsia" w:ascii="宋体" w:hAnsi="宋体" w:eastAsia="宋体"/>
          <w:bCs w:val="0"/>
          <w:color w:val="auto"/>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w:t>
      </w:r>
      <w:r>
        <w:rPr>
          <w:rFonts w:hint="eastAsia" w:ascii="宋体" w:hAnsi="宋体"/>
          <w:color w:val="auto"/>
          <w:sz w:val="24"/>
          <w:szCs w:val="24"/>
          <w:highlight w:val="none"/>
        </w:rPr>
        <w:t xml:space="preserve">针对采购文件</w:t>
      </w:r>
      <w:r>
        <w:rPr>
          <w:rFonts w:hint="eastAsia" w:ascii="宋体" w:hAnsi="宋体"/>
          <w:color w:val="auto"/>
          <w:sz w:val="24"/>
          <w:szCs w:val="24"/>
          <w:highlight w:val="none"/>
        </w:rPr>
        <w:t xml:space="preserve">提出书面质疑的，须同时</w:t>
      </w:r>
      <w:r>
        <w:rPr>
          <w:rFonts w:hint="eastAsia" w:ascii="宋体" w:hAnsi="宋体"/>
          <w:color w:val="auto"/>
          <w:sz w:val="24"/>
          <w:szCs w:val="24"/>
          <w:highlight w:val="none"/>
        </w:rPr>
        <w:t xml:space="preserve">提供</w:t>
      </w:r>
      <w:r>
        <w:rPr>
          <w:rFonts w:hint="eastAsia" w:ascii="宋体" w:hAnsi="宋体"/>
          <w:color w:val="auto"/>
          <w:sz w:val="24"/>
          <w:szCs w:val="24"/>
          <w:highlight w:val="none"/>
        </w:rPr>
        <w:t xml:space="preserve">对可质疑的采购文件已进行依法获取的证明，</w:t>
      </w:r>
      <w:r>
        <w:rPr>
          <w:rFonts w:hint="eastAsia" w:ascii="宋体" w:hAnsi="宋体"/>
          <w:color w:val="auto"/>
          <w:sz w:val="24"/>
          <w:szCs w:val="24"/>
          <w:highlight w:val="none"/>
        </w:rPr>
        <w:t xml:space="preserve">且</w:t>
      </w:r>
      <w:r>
        <w:rPr>
          <w:rFonts w:hint="eastAsia" w:ascii="宋体" w:hAnsi="宋体"/>
          <w:color w:val="auto"/>
          <w:sz w:val="24"/>
          <w:szCs w:val="24"/>
          <w:highlight w:val="none"/>
        </w:rPr>
        <w:t xml:space="preserve">采购人或交易中心有权向“苏采云”系统平台方进行核实。供应商对可质疑的采购文件已进行依法获取的证明是指：本项目的</w:t>
      </w:r>
      <w:r>
        <w:rPr>
          <w:rFonts w:hint="eastAsia" w:ascii="宋体" w:hAnsi="宋体"/>
          <w:color w:val="auto"/>
          <w:sz w:val="24"/>
          <w:szCs w:val="24"/>
          <w:highlight w:val="none"/>
        </w:rPr>
        <w:t xml:space="preserve">《投标供应商确认函》</w:t>
      </w:r>
      <w:r>
        <w:rPr>
          <w:rFonts w:hint="eastAsia" w:ascii="宋体" w:hAnsi="宋体"/>
          <w:color w:val="auto"/>
          <w:sz w:val="24"/>
          <w:szCs w:val="24"/>
          <w:highlight w:val="none"/>
        </w:rPr>
        <w:t xml:space="preserve">和已在“苏采云”系统中对本项目采购文件进行有效获取的</w:t>
      </w:r>
      <w:r>
        <w:rPr>
          <w:rFonts w:hint="eastAsia" w:ascii="宋体" w:hAnsi="宋体"/>
          <w:color w:val="auto"/>
          <w:sz w:val="24"/>
          <w:szCs w:val="24"/>
          <w:highlight w:val="none"/>
        </w:rPr>
        <w:t xml:space="preserve">界面</w:t>
      </w:r>
      <w:r>
        <w:rPr>
          <w:rFonts w:hint="eastAsia" w:ascii="宋体" w:hAnsi="宋体"/>
          <w:color w:val="auto"/>
          <w:sz w:val="24"/>
          <w:szCs w:val="24"/>
          <w:highlight w:val="none"/>
        </w:rPr>
        <w:t xml:space="preserve">截图（</w:t>
      </w:r>
      <w:r>
        <w:rPr>
          <w:rFonts w:hint="eastAsia" w:ascii="宋体" w:hAnsi="宋体"/>
          <w:color w:val="auto"/>
          <w:sz w:val="24"/>
          <w:szCs w:val="24"/>
          <w:highlight w:val="none"/>
        </w:rPr>
        <w:t xml:space="preserve">截图上显示供应商名称以及</w:t>
      </w:r>
      <w:r>
        <w:rPr>
          <w:rFonts w:hint="eastAsia" w:ascii="宋体" w:hAnsi="宋体"/>
          <w:color w:val="auto"/>
          <w:sz w:val="24"/>
          <w:szCs w:val="24"/>
          <w:highlight w:val="none"/>
        </w:rPr>
        <w:t xml:space="preserve">在供应商的</w:t>
      </w:r>
      <w:r>
        <w:rPr>
          <w:rFonts w:hint="eastAsia" w:ascii="宋体" w:hAnsi="宋体"/>
          <w:color w:val="auto"/>
          <w:sz w:val="24"/>
          <w:szCs w:val="24"/>
          <w:highlight w:val="none"/>
        </w:rPr>
        <w:t xml:space="preserve">界面操作</w:t>
      </w:r>
      <w:r>
        <w:rPr>
          <w:rFonts w:hint="eastAsia" w:ascii="宋体" w:hAnsi="宋体"/>
          <w:color w:val="auto"/>
          <w:sz w:val="24"/>
          <w:szCs w:val="24"/>
          <w:highlight w:val="none"/>
        </w:rPr>
        <w:t xml:space="preserve">一栏处</w:t>
      </w:r>
      <w:r>
        <w:rPr>
          <w:rFonts w:hint="eastAsia" w:ascii="宋体" w:hAnsi="宋体"/>
          <w:color w:val="auto"/>
          <w:sz w:val="24"/>
          <w:szCs w:val="24"/>
          <w:highlight w:val="none"/>
        </w:rPr>
        <w:t xml:space="preserve">能够显示“上传文件”按钮的，代表该供应商在</w:t>
      </w:r>
      <w:r>
        <w:rPr>
          <w:rFonts w:hint="eastAsia" w:ascii="宋体" w:hAnsi="宋体"/>
          <w:color w:val="auto"/>
          <w:sz w:val="24"/>
          <w:szCs w:val="24"/>
          <w:highlight w:val="none"/>
        </w:rPr>
        <w:t xml:space="preserve">本文件</w:t>
      </w:r>
      <w:r>
        <w:rPr>
          <w:rFonts w:hint="eastAsia" w:ascii="宋体" w:hAnsi="宋体"/>
          <w:color w:val="auto"/>
          <w:sz w:val="24"/>
          <w:szCs w:val="24"/>
          <w:highlight w:val="none"/>
        </w:rPr>
        <w:t xml:space="preserve">有效获取期限内已从“苏采云”系统</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进行了获取）</w:t>
      </w:r>
      <w:r>
        <w:rPr>
          <w:rFonts w:hint="eastAsia" w:ascii="宋体" w:hAnsi="宋体"/>
          <w:color w:val="auto"/>
          <w:sz w:val="24"/>
          <w:szCs w:val="24"/>
          <w:highlight w:val="none"/>
        </w:rPr>
        <w:t xml:space="preserve">。</w:t>
      </w:r>
      <w:r>
        <w:rPr>
          <w:rFonts w:hint="eastAsia" w:ascii="宋体" w:hAnsi="宋体"/>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rPr>
          <w:rFonts w:hint="eastAsia" w:ascii="宋体" w:hAnsi="宋体"/>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rPr>
          <w:rFonts w:hint="eastAsia" w:ascii="宋体" w:hAnsi="宋体"/>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rPr>
          <w:rFonts w:hint="eastAsia" w:ascii="宋体" w:hAnsi="宋体"/>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rPr>
          <w:color w:val="auto"/>
          <w:highlight w:val="none"/>
        </w:rPr>
      </w:r>
    </w:p>
    <w:p>
      <w:pPr>
        <w:pStyle w:val="901"/>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auto"/>
          <w:sz w:val="24"/>
          <w:szCs w:val="24"/>
          <w:highlight w:val="none"/>
          <w:shd w:val="clear" w:color="ffffff" w:fill="d9d9d9"/>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采购人、交易中心只接收以纸质原件形式送达的质疑,质疑供应商可通过面交或邮寄方式送达（采购人和交易中心不接受未填写快递运单的快件）。</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采购人、交易中心联系人、联系方式、通信地址见招标文件第一章。</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rPr>
          <w:color w:val="auto"/>
          <w:highlight w:val="none"/>
        </w:rPr>
      </w:r>
    </w:p>
    <w:p>
      <w:pPr>
        <w:pStyle w:val="901"/>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一经查实，交易中心有权依据政府采购的有关规定，报请政府采购监管部门对该供应商进行相应的行政处罚和记录该供应商的失信信息。</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auto"/>
          <w:highlight w:val="none"/>
        </w:rPr>
      </w:r>
    </w:p>
    <w:p>
      <w:pPr>
        <w:pStyle w:val="904"/>
        <w:ind w:firstLine="452"/>
        <w:keepLines w:val="0"/>
        <w:keepNext w:val="0"/>
        <w:spacing w:before="0" w:after="0" w:line="500" w:lineRule="exact"/>
        <w:rPr>
          <w:rFonts w:hint="eastAsia"/>
          <w:color w:val="auto"/>
          <w:sz w:val="30"/>
          <w:szCs w:val="30"/>
          <w:highlight w:val="none"/>
        </w:rPr>
      </w:pPr>
      <w:r>
        <w:rPr>
          <w:color w:val="auto"/>
          <w:highlight w:val="none"/>
        </w:rPr>
      </w:r>
      <w:bookmarkStart w:id="169" w:name="_Toc120614220"/>
      <w:r>
        <w:rPr>
          <w:color w:val="auto"/>
          <w:highlight w:val="none"/>
        </w:rPr>
      </w:r>
      <w:bookmarkStart w:id="170" w:name="_Toc20823308"/>
      <w:r>
        <w:rPr>
          <w:color w:val="auto"/>
          <w:highlight w:val="none"/>
        </w:rPr>
      </w:r>
      <w:bookmarkStart w:id="171" w:name="_Toc16938552"/>
      <w:r>
        <w:rPr>
          <w:color w:val="auto"/>
          <w:highlight w:val="none"/>
        </w:rPr>
      </w:r>
      <w:bookmarkStart w:id="172" w:name="_Toc513029236"/>
      <w:r>
        <w:rPr>
          <w:rFonts w:hint="eastAsia"/>
          <w:color w:val="auto"/>
          <w:sz w:val="30"/>
          <w:szCs w:val="30"/>
          <w:highlight w:val="none"/>
        </w:rPr>
        <w:t xml:space="preserve">七、授予合同</w:t>
      </w:r>
      <w:bookmarkEnd w:id="169"/>
      <w:r>
        <w:rPr>
          <w:rFonts w:hint="eastAsia"/>
          <w:color w:val="auto"/>
          <w:sz w:val="30"/>
          <w:szCs w:val="30"/>
          <w:highlight w:val="none"/>
        </w:rPr>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70"/>
      <w:r>
        <w:rPr>
          <w:color w:val="auto"/>
          <w:highlight w:val="none"/>
        </w:rPr>
      </w:r>
      <w:bookmarkEnd w:id="171"/>
      <w:r>
        <w:rPr>
          <w:color w:val="auto"/>
          <w:highlight w:val="none"/>
        </w:rPr>
      </w:r>
      <w:bookmarkEnd w:id="172"/>
      <w:r>
        <w:rPr>
          <w:color w:val="auto"/>
          <w:highlight w:val="none"/>
        </w:rPr>
      </w:r>
      <w:bookmarkStart w:id="173" w:name="_Toc16938553"/>
      <w:r>
        <w:rPr>
          <w:color w:val="auto"/>
          <w:highlight w:val="none"/>
        </w:rPr>
      </w:r>
      <w:bookmarkStart w:id="174" w:name="_Toc513029237"/>
      <w:r>
        <w:rPr>
          <w:color w:val="auto"/>
          <w:highlight w:val="none"/>
        </w:rPr>
      </w:r>
      <w:bookmarkStart w:id="175" w:name="_Toc20823309"/>
      <w:r>
        <w:rPr>
          <w:rFonts w:hint="eastAsia" w:ascii="宋体" w:hAnsi="宋体" w:eastAsia="宋体"/>
          <w:bCs w:val="0"/>
          <w:color w:val="auto"/>
          <w:highlight w:val="none"/>
        </w:rPr>
        <w:t xml:space="preserve">30.签订合同</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30.2中标人非因不可抗力未履行招、投标文件和合同规定的义务，一经查实，交易中心将根据具体情况提请政府采购管理部门作出相应处理。</w:t>
      </w:r>
      <w:r>
        <w:rPr>
          <w:color w:val="auto"/>
          <w:highlight w:val="none"/>
        </w:rPr>
      </w:r>
    </w:p>
    <w:p>
      <w:pPr>
        <w:pStyle w:val="901"/>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auto"/>
          <w:highlight w:val="none"/>
        </w:rPr>
      </w:r>
    </w:p>
    <w:p>
      <w:pPr>
        <w:pStyle w:val="90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auto"/>
          <w:highlight w:val="none"/>
        </w:rPr>
      </w:r>
    </w:p>
    <w:p>
      <w:pPr>
        <w:pStyle w:val="916"/>
        <w:jc w:val="center"/>
        <w:spacing w:line="500" w:lineRule="exact"/>
        <w:rPr>
          <w:rFonts w:hint="eastAsia" w:ascii="黑体" w:eastAsia="黑体"/>
          <w:bCs/>
          <w:color w:val="auto"/>
          <w:sz w:val="36"/>
          <w:szCs w:val="36"/>
          <w:highlight w:val="none"/>
        </w:rPr>
      </w:pPr>
      <w:r>
        <w:rPr>
          <w:color w:val="auto"/>
          <w:highlight w:val="none"/>
        </w:rPr>
      </w:r>
      <w:bookmarkEnd w:id="173"/>
      <w:r>
        <w:rPr>
          <w:color w:val="auto"/>
          <w:highlight w:val="none"/>
        </w:rPr>
      </w:r>
      <w:bookmarkEnd w:id="174"/>
      <w:r>
        <w:rPr>
          <w:color w:val="auto"/>
          <w:highlight w:val="none"/>
        </w:rPr>
      </w:r>
      <w:bookmarkEnd w:id="175"/>
      <w:r>
        <w:rPr>
          <w:color w:val="auto"/>
          <w:highlight w:val="none"/>
        </w:rPr>
      </w:r>
      <w:bookmarkStart w:id="176" w:name="_Toc479757207"/>
      <w:r>
        <w:rPr>
          <w:color w:val="auto"/>
          <w:highlight w:val="none"/>
        </w:rPr>
      </w:r>
      <w:bookmarkStart w:id="177" w:name="_Toc20823314"/>
      <w:r>
        <w:rPr>
          <w:color w:val="auto"/>
          <w:highlight w:val="none"/>
        </w:rPr>
      </w:r>
      <w:bookmarkStart w:id="178" w:name="_Toc120614221"/>
      <w:r>
        <w:rPr>
          <w:color w:val="auto"/>
          <w:highlight w:val="none"/>
        </w:rPr>
      </w:r>
      <w:bookmarkStart w:id="179" w:name="_Toc16938558"/>
      <w:r>
        <w:rPr>
          <w:color w:val="auto"/>
          <w:highlight w:val="none"/>
        </w:rPr>
      </w:r>
      <w:bookmarkStart w:id="180" w:name="_Toc513029242"/>
      <w:r>
        <w:rPr>
          <w:rFonts w:ascii="宋体" w:hAnsi="宋体"/>
          <w:bCs/>
          <w:color w:val="auto"/>
          <w:sz w:val="24"/>
          <w:highlight w:val="none"/>
          <w:shd w:val="clear" w:color="ffffff" w:fill="d9d9d9"/>
        </w:rPr>
        <w:br w:type="page" w:clear="all"/>
      </w:r>
      <w:r>
        <w:rPr>
          <w:rFonts w:hint="eastAsia" w:ascii="黑体" w:eastAsia="黑体"/>
          <w:bCs/>
          <w:color w:val="auto"/>
          <w:sz w:val="36"/>
          <w:szCs w:val="36"/>
          <w:highlight w:val="none"/>
        </w:rPr>
        <w:t xml:space="preserve">第三章  合同</w:t>
      </w:r>
      <w:bookmarkEnd w:id="176"/>
      <w:r>
        <w:rPr>
          <w:color w:val="auto"/>
          <w:highlight w:val="none"/>
        </w:rPr>
      </w:r>
      <w:bookmarkEnd w:id="177"/>
      <w:r>
        <w:rPr>
          <w:color w:val="auto"/>
          <w:highlight w:val="none"/>
        </w:rPr>
      </w:r>
      <w:bookmarkEnd w:id="178"/>
      <w:r>
        <w:rPr>
          <w:color w:val="auto"/>
          <w:highlight w:val="none"/>
        </w:rPr>
      </w:r>
      <w:bookmarkEnd w:id="179"/>
      <w:r>
        <w:rPr>
          <w:color w:val="auto"/>
          <w:highlight w:val="none"/>
        </w:rPr>
      </w:r>
      <w:bookmarkEnd w:id="180"/>
      <w:r>
        <w:rPr>
          <w:rFonts w:hint="eastAsia" w:ascii="黑体" w:eastAsia="黑体"/>
          <w:bCs/>
          <w:color w:val="auto"/>
          <w:sz w:val="36"/>
          <w:szCs w:val="36"/>
          <w:highlight w:val="none"/>
        </w:rPr>
        <w:t xml:space="preserve">文本</w:t>
      </w:r>
      <w:r>
        <w:rPr>
          <w:color w:val="auto"/>
          <w:highlight w:val="none"/>
        </w:rPr>
      </w:r>
    </w:p>
    <w:p>
      <w:pPr>
        <w:pStyle w:val="901"/>
        <w:ind w:firstLine="480"/>
        <w:spacing w:line="400" w:lineRule="exact"/>
        <w:rPr>
          <w:rFonts w:hint="eastAsia" w:ascii="宋体" w:hAnsi="宋体"/>
          <w:bCs/>
          <w:color w:val="auto"/>
          <w:sz w:val="24"/>
          <w:highlight w:val="none"/>
        </w:rPr>
      </w:pPr>
      <w:r>
        <w:rPr>
          <w:color w:val="auto"/>
          <w:highlight w:val="none"/>
        </w:rPr>
      </w:r>
      <w:bookmarkStart w:id="181" w:name="_Toc20823315"/>
      <w:r>
        <w:rPr>
          <w:color w:val="auto"/>
          <w:highlight w:val="none"/>
        </w:rPr>
      </w:r>
      <w:bookmarkStart w:id="182" w:name="_Toc16938559"/>
      <w:r>
        <w:rPr>
          <w:color w:val="auto"/>
          <w:highlight w:val="none"/>
        </w:rPr>
      </w:r>
      <w:bookmarkStart w:id="183" w:name="_Toc513029243"/>
      <w:r>
        <w:rPr>
          <w:rFonts w:hint="eastAsia" w:ascii="宋体" w:hAnsi="宋体"/>
          <w:bCs/>
          <w:color w:val="auto"/>
          <w:sz w:val="24"/>
          <w:highlight w:val="none"/>
        </w:rPr>
        <w:t xml:space="preserve">以下为中标后</w:t>
      </w:r>
      <w:r>
        <w:rPr>
          <w:rFonts w:hint="eastAsia" w:ascii="宋体" w:hAnsi="宋体"/>
          <w:bCs/>
          <w:color w:val="auto"/>
          <w:sz w:val="24"/>
          <w:highlight w:val="none"/>
        </w:rPr>
        <w:t xml:space="preserve">签订</w:t>
      </w:r>
      <w:r>
        <w:rPr>
          <w:rFonts w:hint="eastAsia" w:ascii="宋体" w:hAnsi="宋体"/>
          <w:bCs/>
          <w:color w:val="auto"/>
          <w:sz w:val="24"/>
          <w:highlight w:val="none"/>
        </w:rPr>
        <w:t xml:space="preserve">本项目合同的通用条款，中标人不得提出实质性的修改。</w:t>
      </w:r>
      <w:r>
        <w:rPr>
          <w:color w:val="auto"/>
          <w:highlight w:val="none"/>
        </w:rPr>
      </w:r>
    </w:p>
    <w:p>
      <w:pPr>
        <w:pStyle w:val="901"/>
        <w:ind w:firstLine="602"/>
        <w:jc w:val="center"/>
        <w:spacing w:line="400" w:lineRule="exact"/>
        <w:rPr>
          <w:rFonts w:ascii="宋体" w:hAnsi="宋体"/>
          <w:b/>
          <w:bCs/>
          <w:color w:val="auto"/>
          <w:sz w:val="30"/>
          <w:szCs w:val="20"/>
          <w:highlight w:val="none"/>
        </w:rPr>
      </w:pPr>
      <w:r>
        <w:rPr>
          <w:rFonts w:hint="eastAsia" w:ascii="宋体" w:hAnsi="宋体"/>
          <w:b/>
          <w:color w:val="auto"/>
          <w:sz w:val="30"/>
          <w:highlight w:val="none"/>
        </w:rPr>
        <w:t xml:space="preserve">江苏省政府采购合同（货物）（合同编号）</w:t>
      </w:r>
      <w:r>
        <w:rPr>
          <w:rFonts w:ascii="宋体" w:hAnsi="宋体"/>
          <w:b/>
          <w:bCs/>
          <w:color w:val="auto"/>
          <w:sz w:val="30"/>
          <w:szCs w:val="20"/>
          <w:highlight w:val="none"/>
        </w:rPr>
      </w:r>
      <w:r>
        <w:rPr>
          <w:color w:val="auto"/>
          <w:highlight w:val="none"/>
        </w:rPr>
      </w:r>
    </w:p>
    <w:p>
      <w:pPr>
        <w:pStyle w:val="901"/>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rPr>
          <w:color w:val="auto"/>
          <w:highlight w:val="none"/>
        </w:rPr>
      </w:r>
    </w:p>
    <w:p>
      <w:pPr>
        <w:pStyle w:val="901"/>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甲方：（买方</w:t>
      </w:r>
      <w:r>
        <w:rPr>
          <w:rFonts w:ascii="宋体" w:hAnsi="宋体" w:cs="Courier New"/>
          <w:color w:val="auto"/>
          <w:sz w:val="24"/>
          <w:szCs w:val="24"/>
          <w:highlight w:val="none"/>
        </w:rPr>
        <w:t xml:space="preserve">、</w:t>
      </w:r>
      <w:r>
        <w:rPr>
          <w:rFonts w:ascii="宋体" w:hAnsi="宋体" w:cs="Courier New"/>
          <w:color w:val="auto"/>
          <w:sz w:val="24"/>
          <w:szCs w:val="24"/>
          <w:highlight w:val="none"/>
        </w:rPr>
        <w:t xml:space="preserve">需方、</w:t>
      </w:r>
      <w:r>
        <w:rPr>
          <w:rFonts w:ascii="宋体" w:hAnsi="宋体" w:cs="Courier New"/>
          <w:color w:val="auto"/>
          <w:sz w:val="24"/>
          <w:szCs w:val="24"/>
          <w:highlight w:val="none"/>
        </w:rPr>
        <w:t xml:space="preserve">采购人</w:t>
      </w:r>
      <w:r>
        <w:rPr>
          <w:rFonts w:ascii="宋体" w:hAnsi="宋体" w:cs="Courier New"/>
          <w:color w:val="auto"/>
          <w:sz w:val="24"/>
          <w:szCs w:val="24"/>
          <w:highlight w:val="none"/>
        </w:rPr>
        <w:t xml:space="preserve">）_________</w:t>
      </w:r>
      <w:r>
        <w:rPr>
          <w:color w:val="auto"/>
          <w:highlight w:val="none"/>
        </w:rPr>
      </w:r>
    </w:p>
    <w:p>
      <w:pPr>
        <w:pStyle w:val="901"/>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w:t>
      </w:r>
      <w:r>
        <w:rPr>
          <w:rFonts w:ascii="宋体" w:hAnsi="宋体" w:cs="Courier New"/>
          <w:color w:val="auto"/>
          <w:sz w:val="24"/>
          <w:szCs w:val="24"/>
          <w:highlight w:val="none"/>
        </w:rPr>
        <w:t xml:space="preserve">、</w:t>
      </w:r>
      <w:r>
        <w:rPr>
          <w:rFonts w:ascii="宋体" w:hAnsi="宋体" w:cs="Courier New"/>
          <w:color w:val="auto"/>
          <w:sz w:val="24"/>
          <w:szCs w:val="24"/>
          <w:highlight w:val="none"/>
        </w:rPr>
        <w:t xml:space="preserve">供方、</w:t>
      </w:r>
      <w:r>
        <w:rPr>
          <w:rFonts w:ascii="宋体" w:hAnsi="宋体" w:cs="Courier New"/>
          <w:color w:val="auto"/>
          <w:sz w:val="24"/>
          <w:szCs w:val="24"/>
          <w:highlight w:val="none"/>
        </w:rPr>
        <w:t xml:space="preserve">供应商</w:t>
      </w:r>
      <w:r>
        <w:rPr>
          <w:rFonts w:ascii="宋体" w:hAnsi="宋体" w:cs="Courier New"/>
          <w:color w:val="auto"/>
          <w:sz w:val="24"/>
          <w:szCs w:val="24"/>
          <w:highlight w:val="none"/>
        </w:rPr>
        <w:t xml:space="preserve">）_________</w:t>
      </w:r>
      <w:r>
        <w:rPr>
          <w:rFonts w:hint="eastAsia" w:ascii="宋体" w:hAnsi="宋体" w:cs="Courier New"/>
          <w:color w:val="auto"/>
          <w:sz w:val="24"/>
          <w:szCs w:val="24"/>
          <w:highlight w:val="none"/>
        </w:rPr>
      </w:r>
      <w:r>
        <w:rPr>
          <w:color w:val="auto"/>
          <w:highlight w:val="none"/>
        </w:rPr>
      </w:r>
    </w:p>
    <w:p>
      <w:pPr>
        <w:pStyle w:val="901"/>
        <w:ind w:firstLine="480"/>
        <w:spacing w:line="400" w:lineRule="exact"/>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无锡市公共资源交易中心</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rPr>
          <w:rFonts w:ascii="宋体" w:hAnsi="宋体" w:cs="Courier New"/>
          <w:b/>
          <w:color w:val="auto"/>
          <w:sz w:val="24"/>
          <w:szCs w:val="24"/>
          <w:highlight w:val="none"/>
        </w:rPr>
      </w:r>
      <w:r>
        <w:rPr>
          <w:color w:val="auto"/>
          <w:highlight w:val="none"/>
        </w:rPr>
      </w:r>
    </w:p>
    <w:p>
      <w:pPr>
        <w:pStyle w:val="901"/>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rPr>
          <w:color w:val="auto"/>
          <w:highlight w:val="none"/>
        </w:rPr>
      </w:r>
    </w:p>
    <w:p>
      <w:pPr>
        <w:pStyle w:val="901"/>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rPr>
          <w:rFonts w:ascii="宋体" w:hAnsi="宋体" w:cs="Courier New"/>
          <w:color w:val="auto"/>
          <w:sz w:val="24"/>
          <w:szCs w:val="24"/>
          <w:highlight w:val="none"/>
        </w:rPr>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rPr>
          <w:color w:val="auto"/>
          <w:highlight w:val="none"/>
        </w:rPr>
      </w:r>
    </w:p>
    <w:p>
      <w:pPr>
        <w:pStyle w:val="901"/>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rPr>
          <w:rFonts w:ascii="宋体" w:hAnsi="宋体" w:cs="Courier New"/>
          <w:color w:val="auto"/>
          <w:sz w:val="24"/>
          <w:szCs w:val="24"/>
          <w:highlight w:val="none"/>
        </w:rPr>
      </w:r>
      <w:r>
        <w:rPr>
          <w:color w:val="auto"/>
          <w:highlight w:val="none"/>
        </w:rPr>
      </w:r>
    </w:p>
    <w:p>
      <w:pPr>
        <w:pStyle w:val="901"/>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 _____________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rPr>
          <w:rFonts w:ascii="宋体" w:hAnsi="宋体" w:cs="Courier New"/>
          <w:color w:val="auto"/>
          <w:sz w:val="24"/>
          <w:szCs w:val="24"/>
          <w:highlight w:val="none"/>
        </w:rPr>
      </w:r>
      <w:r>
        <w:rPr>
          <w:color w:val="auto"/>
          <w:highlight w:val="none"/>
        </w:rPr>
      </w:r>
    </w:p>
    <w:p>
      <w:pPr>
        <w:pStyle w:val="901"/>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rPr>
          <w:rFonts w:hint="eastAsia" w:ascii="宋体" w:hAnsi="宋体" w:cs="Courier New"/>
          <w:color w:val="auto"/>
          <w:sz w:val="24"/>
          <w:szCs w:val="24"/>
          <w:highlight w:val="none"/>
        </w:rPr>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highlight w:val="none"/>
        </w:rPr>
      </w:r>
    </w:p>
    <w:p>
      <w:pPr>
        <w:pStyle w:val="901"/>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rPr>
          <w:color w:val="auto"/>
          <w:highlight w:val="none"/>
        </w:rPr>
      </w:r>
    </w:p>
    <w:p>
      <w:pPr>
        <w:pStyle w:val="901"/>
        <w:ind w:firstLine="480"/>
        <w:spacing w:line="400" w:lineRule="exact"/>
        <w:rPr>
          <w:rFonts w:hint="eastAsia" w:ascii="宋体" w:hAnsi="宋体"/>
          <w:color w:val="auto"/>
          <w:sz w:val="24"/>
          <w:highlight w:val="none"/>
        </w:rPr>
      </w:pPr>
      <w:r>
        <w:rPr>
          <w:rFonts w:hAnsi="宋体"/>
          <w:color w:val="auto"/>
          <w:sz w:val="24"/>
          <w:szCs w:val="24"/>
          <w:highlight w:val="none"/>
        </w:rPr>
        <w:t xml:space="preserve">4.1乙</w:t>
      </w:r>
      <w:r>
        <w:rPr>
          <w:rFonts w:hint="eastAsia" w:ascii="宋体" w:hAnsi="宋体"/>
          <w:color w:val="auto"/>
          <w:sz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rPr>
          <w:color w:val="auto"/>
          <w:highlight w:val="none"/>
        </w:rPr>
      </w:r>
    </w:p>
    <w:p>
      <w:pPr>
        <w:pStyle w:val="901"/>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auto"/>
          <w:sz w:val="24"/>
          <w:szCs w:val="24"/>
          <w:highlight w:val="none"/>
        </w:rPr>
      </w:r>
      <w:r>
        <w:rPr>
          <w:color w:val="auto"/>
          <w:highlight w:val="none"/>
        </w:rPr>
      </w:r>
    </w:p>
    <w:p>
      <w:pPr>
        <w:pStyle w:val="901"/>
        <w:ind w:firstLine="482"/>
        <w:spacing w:line="400" w:lineRule="exact"/>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rPr>
          <w:rFonts w:ascii="宋体" w:hAnsi="宋体" w:cs="Courier New"/>
          <w:color w:val="auto"/>
          <w:sz w:val="24"/>
          <w:szCs w:val="24"/>
          <w:highlight w:val="none"/>
          <w:u w:val="single"/>
        </w:rPr>
      </w:r>
      <w:r>
        <w:rPr>
          <w:color w:val="auto"/>
          <w:highlight w:val="none"/>
        </w:rPr>
      </w:r>
    </w:p>
    <w:p>
      <w:pPr>
        <w:pStyle w:val="901"/>
        <w:ind w:firstLine="480"/>
        <w:spacing w:line="400" w:lineRule="exact"/>
        <w:rPr>
          <w:rFonts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的所有权完全属于乙方且无任何抵押、查封等产权瑕疵。</w:t>
      </w:r>
      <w:r>
        <w:rPr>
          <w:rFonts w:ascii="宋体" w:hAnsi="宋体" w:cs="Courier New"/>
          <w:color w:val="auto"/>
          <w:sz w:val="24"/>
          <w:szCs w:val="24"/>
          <w:highlight w:val="none"/>
          <w:u w:val="single"/>
        </w:rPr>
      </w:r>
      <w:r>
        <w:rPr>
          <w:color w:val="auto"/>
          <w:highlight w:val="none"/>
        </w:rPr>
      </w:r>
    </w:p>
    <w:p>
      <w:pPr>
        <w:pStyle w:val="901"/>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6.1 乙方交纳人民币__元作为本合同的履约保证金。</w:t>
      </w:r>
      <w:r>
        <w:rPr>
          <w:rFonts w:hint="eastAsia" w:ascii="宋体" w:hAnsi="宋体" w:cs="Courier New"/>
          <w:color w:val="auto"/>
          <w:sz w:val="24"/>
          <w:szCs w:val="24"/>
          <w:highlight w:val="none"/>
        </w:rPr>
        <w:t xml:space="preserve">（不得超过合同金额的10%）</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6.2合同履行结束后，甲方应及时退还交纳的履约保证金。</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6.2.1履约保证金退还方式：</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6.2.2履约保证金退还时间：</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6.2.3履约保证金退还条件：</w:t>
      </w:r>
      <w:r>
        <w:rPr>
          <w:color w:val="auto"/>
          <w:highlight w:val="none"/>
        </w:rPr>
      </w:r>
    </w:p>
    <w:p>
      <w:pPr>
        <w:pStyle w:val="901"/>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6.2.4履约保证金不予退还的情形：</w:t>
      </w:r>
      <w:r>
        <w:rPr>
          <w:rFonts w:ascii="宋体" w:hAnsi="宋体" w:cs="Courier New"/>
          <w:color w:val="auto"/>
          <w:sz w:val="24"/>
          <w:szCs w:val="24"/>
          <w:highlight w:val="none"/>
        </w:rPr>
      </w:r>
      <w:r>
        <w:rPr>
          <w:color w:val="auto"/>
          <w:highlight w:val="none"/>
        </w:rPr>
      </w:r>
    </w:p>
    <w:p>
      <w:pPr>
        <w:pStyle w:val="901"/>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rPr>
          <w:rFonts w:ascii="宋体" w:hAnsi="宋体" w:eastAsia="仿宋_GB2312"/>
          <w:b/>
          <w:color w:val="auto"/>
          <w:sz w:val="24"/>
          <w:szCs w:val="24"/>
          <w:highlight w:val="none"/>
        </w:rPr>
      </w:r>
      <w:r>
        <w:rPr>
          <w:color w:val="auto"/>
          <w:highlight w:val="none"/>
        </w:rPr>
      </w:r>
    </w:p>
    <w:p>
      <w:pPr>
        <w:pStyle w:val="901"/>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rPr>
          <w:color w:val="auto"/>
          <w:highlight w:val="none"/>
        </w:rPr>
      </w:r>
    </w:p>
    <w:p>
      <w:pPr>
        <w:pStyle w:val="901"/>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auto"/>
          <w:sz w:val="24"/>
          <w:szCs w:val="24"/>
          <w:highlight w:val="none"/>
        </w:rPr>
      </w:r>
      <w:r>
        <w:rPr>
          <w:color w:val="auto"/>
          <w:highlight w:val="none"/>
        </w:rPr>
      </w:r>
    </w:p>
    <w:p>
      <w:pPr>
        <w:pStyle w:val="901"/>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rPr>
          <w:rFonts w:ascii="宋体" w:hAnsi="宋体" w:eastAsia="仿宋_GB2312"/>
          <w:color w:val="auto"/>
          <w:sz w:val="24"/>
          <w:szCs w:val="24"/>
          <w:highlight w:val="none"/>
        </w:rPr>
      </w:r>
      <w:r>
        <w:rPr>
          <w:color w:val="auto"/>
          <w:highlight w:val="none"/>
        </w:rPr>
      </w:r>
    </w:p>
    <w:p>
      <w:pPr>
        <w:pStyle w:val="901"/>
        <w:ind w:firstLine="482"/>
        <w:spacing w:line="40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rPr>
          <w:color w:val="auto"/>
          <w:highlight w:val="none"/>
        </w:rPr>
      </w:r>
    </w:p>
    <w:p>
      <w:pPr>
        <w:pStyle w:val="901"/>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rPr>
          <w:color w:val="auto"/>
          <w:highlight w:val="none"/>
        </w:rPr>
      </w:r>
    </w:p>
    <w:p>
      <w:pPr>
        <w:pStyle w:val="901"/>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8．1.1预付款支付时间：合同签订后</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日内，预付款支付比例：合同金额的</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bCs/>
          <w:color w:val="auto"/>
          <w:sz w:val="24"/>
          <w:szCs w:val="24"/>
          <w:highlight w:val="none"/>
        </w:rPr>
        <w:t xml:space="preserve">8.1.2尾款支付时间：产品验收通过,采购人收到发票后</w:t>
      </w:r>
      <w:r>
        <w:rPr>
          <w:rFonts w:hint="eastAsia" w:ascii="宋体" w:hAnsi="宋体" w:cs="Courier New"/>
          <w:bCs/>
          <w:color w:val="auto"/>
          <w:sz w:val="24"/>
          <w:szCs w:val="24"/>
          <w:highlight w:val="none"/>
        </w:rPr>
        <w:t xml:space="preserve">10个工作</w:t>
      </w:r>
      <w:r>
        <w:rPr>
          <w:rFonts w:hint="eastAsia" w:ascii="宋体" w:hAnsi="宋体" w:cs="Courier New"/>
          <w:bCs/>
          <w:color w:val="auto"/>
          <w:sz w:val="24"/>
          <w:szCs w:val="24"/>
          <w:highlight w:val="none"/>
        </w:rPr>
        <w:t xml:space="preserve">日内，尾款支付比例：合同金额的</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rPr>
          <w:rFonts w:hint="eastAsia" w:ascii="宋体" w:hAnsi="宋体" w:cs="Courier New"/>
          <w:color w:val="auto"/>
          <w:sz w:val="24"/>
          <w:szCs w:val="24"/>
          <w:highlight w:val="none"/>
        </w:rPr>
      </w:r>
      <w:r>
        <w:rPr>
          <w:color w:val="auto"/>
          <w:highlight w:val="none"/>
        </w:rPr>
      </w:r>
    </w:p>
    <w:p>
      <w:pPr>
        <w:pStyle w:val="901"/>
        <w:spacing w:line="400" w:lineRule="exact"/>
        <w:rPr>
          <w:rFonts w:ascii="宋体" w:hAnsi="宋体" w:cs="Courier New"/>
          <w:bCs/>
          <w:color w:val="auto"/>
          <w:sz w:val="24"/>
          <w:szCs w:val="24"/>
          <w:highlight w:val="none"/>
        </w:rPr>
      </w:pPr>
      <w:r>
        <w:rPr>
          <w:rFonts w:hint="eastAsia" w:hAnsi="宋体"/>
          <w:bCs/>
          <w:color w:val="auto"/>
          <w:sz w:val="24"/>
          <w:szCs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auto"/>
          <w:sz w:val="24"/>
          <w:szCs w:val="24"/>
          <w:highlight w:val="none"/>
        </w:rPr>
      </w:r>
      <w:r>
        <w:rPr>
          <w:color w:val="auto"/>
          <w:highlight w:val="none"/>
        </w:rPr>
      </w:r>
    </w:p>
    <w:p>
      <w:pPr>
        <w:pStyle w:val="901"/>
        <w:ind w:firstLine="480"/>
        <w:spacing w:line="40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rPr>
          <w:rFonts w:ascii="宋体" w:hAnsi="宋体" w:cs="Courier New"/>
          <w:bCs/>
          <w:color w:val="auto"/>
          <w:sz w:val="24"/>
          <w:szCs w:val="24"/>
          <w:highlight w:val="none"/>
        </w:rPr>
      </w:r>
      <w:r>
        <w:rPr>
          <w:color w:val="auto"/>
          <w:highlight w:val="none"/>
        </w:rPr>
      </w:r>
    </w:p>
    <w:p>
      <w:pPr>
        <w:pStyle w:val="901"/>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rPr>
          <w:rFonts w:ascii="宋体" w:hAnsi="宋体" w:eastAsia="仿宋_GB2312"/>
          <w:b/>
          <w:color w:val="auto"/>
          <w:sz w:val="24"/>
          <w:szCs w:val="24"/>
          <w:highlight w:val="none"/>
        </w:rPr>
      </w:r>
      <w:r>
        <w:rPr>
          <w:color w:val="auto"/>
          <w:highlight w:val="none"/>
        </w:rPr>
      </w:r>
    </w:p>
    <w:p>
      <w:pPr>
        <w:pStyle w:val="901"/>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rPr>
          <w:rFonts w:ascii="宋体" w:hAnsi="宋体" w:eastAsia="仿宋_GB2312"/>
          <w:color w:val="auto"/>
          <w:sz w:val="24"/>
          <w:szCs w:val="24"/>
          <w:highlight w:val="none"/>
        </w:rPr>
      </w:r>
      <w:r>
        <w:rPr>
          <w:color w:val="auto"/>
          <w:highlight w:val="none"/>
        </w:rPr>
      </w:r>
    </w:p>
    <w:p>
      <w:pPr>
        <w:pStyle w:val="901"/>
        <w:ind w:firstLine="482"/>
        <w:spacing w:line="400" w:lineRule="exact"/>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rPr>
          <w:rFonts w:ascii="宋体" w:hAnsi="宋体" w:cs="Courier New"/>
          <w:color w:val="auto"/>
          <w:sz w:val="24"/>
          <w:szCs w:val="24"/>
          <w:highlight w:val="none"/>
        </w:rPr>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在质保期内，乙方应对货物出现的质量及安全问题负责处理解决并承担一切费用。</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.5上述的货物免费保修期为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年（自交货验收合格之日起计），因人为因素出现的故障不在免费保修范围内。超过保修期的机器设备，终生维修，维修时只收部件成本费。</w:t>
      </w:r>
      <w:r>
        <w:rPr>
          <w:color w:val="auto"/>
          <w:highlight w:val="none"/>
        </w:rPr>
      </w:r>
    </w:p>
    <w:p>
      <w:pPr>
        <w:pStyle w:val="901"/>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auto"/>
          <w:sz w:val="24"/>
          <w:szCs w:val="24"/>
          <w:highlight w:val="none"/>
        </w:rPr>
        <w:t xml:space="preserve">中华人民共和国民法典</w:t>
      </w:r>
      <w:r>
        <w:rPr>
          <w:rFonts w:hint="eastAsia" w:ascii="宋体" w:hAnsi="宋体" w:cs="Courier New"/>
          <w:color w:val="auto"/>
          <w:sz w:val="24"/>
          <w:szCs w:val="24"/>
          <w:highlight w:val="none"/>
        </w:rPr>
        <w:t xml:space="preserve">》。乙方在履约过程中有政府采购法律法规规定的违法违规情形的,甲方将及时报告本级财政部门。</w:t>
      </w:r>
      <w:r>
        <w:rPr>
          <w:color w:val="auto"/>
          <w:highlight w:val="none"/>
        </w:rPr>
      </w:r>
    </w:p>
    <w:p>
      <w:pPr>
        <w:pStyle w:val="901"/>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乙方对货物的包装应符合《商品包装政府采购需求标准（试行）》、《快递包装政府采购需求标准（试行）》的规定。</w:t>
      </w:r>
      <w:r>
        <w:rPr>
          <w:rFonts w:ascii="宋体" w:hAnsi="宋体" w:cs="Courier New"/>
          <w:color w:val="auto"/>
          <w:sz w:val="24"/>
          <w:szCs w:val="24"/>
          <w:highlight w:val="none"/>
        </w:rPr>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rPr>
          <w:color w:val="auto"/>
          <w:highlight w:val="none"/>
        </w:rPr>
      </w:r>
    </w:p>
    <w:p>
      <w:pPr>
        <w:pStyle w:val="901"/>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三</w:t>
      </w:r>
      <w:r>
        <w:rPr>
          <w:rFonts w:ascii="宋体" w:hAnsi="宋体" w:cs="Courier New"/>
          <w:b/>
          <w:color w:val="auto"/>
          <w:sz w:val="24"/>
          <w:szCs w:val="24"/>
          <w:highlight w:val="none"/>
        </w:rPr>
        <w:t xml:space="preserve">、违约责任</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.2 甲方无故逾期验收和办理货款支付手续的,甲方应按逾期付款总额每日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向乙方支付违约金。</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color w:val="auto"/>
          <w:highlight w:val="none"/>
        </w:rPr>
      </w:r>
    </w:p>
    <w:p>
      <w:pPr>
        <w:pStyle w:val="901"/>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、不可抗力事件处理</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不可抗力事件发生后，应立即通知对方，并寄送有关权威机构出具的证明。</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不可抗力事件延续120天以上，双方应通过友好协商，确定是否继续履行合同。</w:t>
      </w:r>
      <w:r>
        <w:rPr>
          <w:color w:val="auto"/>
          <w:highlight w:val="none"/>
        </w:rPr>
      </w:r>
    </w:p>
    <w:p>
      <w:pPr>
        <w:pStyle w:val="901"/>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rPr>
          <w:rFonts w:ascii="宋体" w:hAnsi="宋体" w:cs="Courier New"/>
          <w:b/>
          <w:color w:val="auto"/>
          <w:sz w:val="24"/>
          <w:szCs w:val="24"/>
          <w:highlight w:val="none"/>
        </w:rPr>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rPr>
          <w:color w:val="auto"/>
          <w:highlight w:val="none"/>
        </w:rPr>
      </w:r>
    </w:p>
    <w:p>
      <w:pPr>
        <w:pStyle w:val="901"/>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、合同生效及其它</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中华人民共和国民法典</w:t>
      </w:r>
      <w:r>
        <w:rPr>
          <w:rFonts w:hint="eastAsia"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《中华人民共和国政府采购法》</w:t>
      </w:r>
      <w:r>
        <w:rPr>
          <w:rFonts w:ascii="宋体" w:hAnsi="宋体" w:cs="Courier New"/>
          <w:color w:val="auto"/>
          <w:sz w:val="24"/>
          <w:szCs w:val="24"/>
          <w:highlight w:val="none"/>
        </w:rPr>
        <w:t xml:space="preserve">有关条文执行。</w:t>
      </w:r>
      <w:r>
        <w:rPr>
          <w:color w:val="auto"/>
          <w:highlight w:val="none"/>
        </w:rPr>
      </w:r>
    </w:p>
    <w:p>
      <w:pPr>
        <w:pStyle w:val="901"/>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两</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乙方各执一份。</w:t>
      </w:r>
      <w:r>
        <w:rPr>
          <w:color w:val="auto"/>
          <w:highlight w:val="none"/>
        </w:rPr>
      </w:r>
    </w:p>
    <w:p>
      <w:pPr>
        <w:pStyle w:val="901"/>
        <w:ind w:left="480" w:hanging="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rPr>
          <w:color w:val="auto"/>
          <w:highlight w:val="none"/>
        </w:rPr>
      </w:r>
    </w:p>
    <w:p>
      <w:pPr>
        <w:pStyle w:val="901"/>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rPr>
          <w:color w:val="auto"/>
          <w:highlight w:val="none"/>
        </w:rPr>
      </w:r>
    </w:p>
    <w:p>
      <w:pPr>
        <w:pStyle w:val="901"/>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rPr>
          <w:color w:val="auto"/>
          <w:highlight w:val="none"/>
        </w:rPr>
      </w:r>
    </w:p>
    <w:p>
      <w:pPr>
        <w:pStyle w:val="901"/>
        <w:ind w:firstLine="240"/>
        <w:spacing w:line="400" w:lineRule="exact"/>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r>
        <w:rPr>
          <w:rFonts w:hint="eastAsia" w:ascii="宋体" w:hAnsi="Courier New" w:cs="Courier New"/>
          <w:color w:val="auto"/>
          <w:highlight w:val="none"/>
        </w:rPr>
      </w:r>
      <w:r>
        <w:rPr>
          <w:color w:val="auto"/>
          <w:highlight w:val="none"/>
        </w:rPr>
      </w:r>
    </w:p>
    <w:p>
      <w:pPr>
        <w:pStyle w:val="901"/>
        <w:jc w:val="center"/>
        <w:spacing w:line="400" w:lineRule="exact"/>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r>
        <w:rPr>
          <w:color w:val="auto"/>
          <w:highlight w:val="none"/>
        </w:rPr>
      </w:r>
    </w:p>
    <w:p>
      <w:pPr>
        <w:pStyle w:val="901"/>
        <w:jc w:val="center"/>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rPr>
          <w:rFonts w:hint="eastAsia" w:ascii="宋体" w:hAnsi="宋体" w:cs="Courier New"/>
          <w:color w:val="auto"/>
          <w:sz w:val="24"/>
          <w:szCs w:val="24"/>
          <w:highlight w:val="none"/>
        </w:rPr>
      </w:r>
      <w:r>
        <w:rPr>
          <w:color w:val="auto"/>
          <w:highlight w:val="none"/>
        </w:rPr>
      </w:r>
    </w:p>
    <w:p>
      <w:pPr>
        <w:pStyle w:val="901"/>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rPr>
          <w:color w:val="auto"/>
          <w:highlight w:val="none"/>
        </w:rPr>
      </w:r>
    </w:p>
    <w:p>
      <w:pPr>
        <w:pStyle w:val="901"/>
        <w:ind w:firstLine="480"/>
        <w:spacing w:line="400" w:lineRule="exact"/>
        <w:rPr>
          <w:rFonts w:ascii="宋体" w:hAnsi="宋体"/>
          <w:bCs/>
          <w:color w:val="auto"/>
          <w:sz w:val="24"/>
          <w:szCs w:val="24"/>
          <w:highlight w:val="none"/>
        </w:rPr>
      </w:pPr>
      <w:r>
        <w:rPr>
          <w:rFonts w:hint="eastAsia" w:ascii="宋体" w:hAnsi="宋体" w:cs="Courier New"/>
          <w:color w:val="auto"/>
          <w:sz w:val="24"/>
          <w:szCs w:val="24"/>
          <w:highlight w:val="none"/>
        </w:rPr>
        <w:t xml:space="preserve">注：采购人也可参考财政部制定的《政府采购货物买卖合同（试行）》使用，《政府采购货物买卖合同（试行）》电子版请登录中国政府采购网（www.ccgp.gov.cn）下载。</w:t>
      </w:r>
      <w:r>
        <w:rPr>
          <w:rFonts w:ascii="宋体" w:hAnsi="宋体"/>
          <w:bCs/>
          <w:color w:val="auto"/>
          <w:sz w:val="24"/>
          <w:szCs w:val="24"/>
          <w:highlight w:val="none"/>
        </w:rPr>
      </w:r>
      <w:r>
        <w:rPr>
          <w:color w:val="auto"/>
          <w:highlight w:val="none"/>
        </w:rPr>
      </w:r>
    </w:p>
    <w:p>
      <w:pPr>
        <w:pStyle w:val="901"/>
        <w:jc w:val="center"/>
        <w:spacing w:line="400" w:lineRule="exact"/>
        <w:rPr>
          <w:rFonts w:hint="eastAsia" w:hAnsi="宋体"/>
          <w:color w:val="auto"/>
          <w:sz w:val="36"/>
          <w:szCs w:val="36"/>
          <w:highlight w:val="none"/>
        </w:rPr>
        <w:outlineLvl w:val="0"/>
      </w:pPr>
      <w:r>
        <w:rPr>
          <w:rFonts w:ascii="宋体" w:hAnsi="宋体"/>
          <w:bCs/>
          <w:color w:val="auto"/>
          <w:sz w:val="24"/>
          <w:szCs w:val="24"/>
          <w:highlight w:val="none"/>
        </w:rPr>
        <w:br w:type="page" w:clear="all"/>
      </w:r>
      <w:bookmarkEnd w:id="181"/>
      <w:r>
        <w:rPr>
          <w:color w:val="auto"/>
          <w:highlight w:val="none"/>
        </w:rPr>
      </w:r>
      <w:bookmarkEnd w:id="182"/>
      <w:r>
        <w:rPr>
          <w:color w:val="auto"/>
          <w:highlight w:val="none"/>
        </w:rPr>
      </w:r>
      <w:bookmarkEnd w:id="183"/>
      <w:r>
        <w:rPr>
          <w:color w:val="auto"/>
          <w:highlight w:val="none"/>
        </w:rPr>
      </w:r>
      <w:bookmarkStart w:id="184" w:name="_Hlt16619369"/>
      <w:r>
        <w:rPr>
          <w:color w:val="auto"/>
          <w:highlight w:val="none"/>
        </w:rPr>
      </w:r>
      <w:bookmarkEnd w:id="184"/>
      <w:r>
        <w:rPr>
          <w:color w:val="auto"/>
          <w:highlight w:val="none"/>
        </w:rPr>
      </w:r>
      <w:bookmarkStart w:id="185" w:name="_Hlt16619350"/>
      <w:r>
        <w:rPr>
          <w:color w:val="auto"/>
          <w:highlight w:val="none"/>
        </w:rPr>
      </w:r>
      <w:bookmarkStart w:id="186" w:name="_Toc20823346"/>
      <w:r>
        <w:rPr>
          <w:color w:val="auto"/>
          <w:highlight w:val="none"/>
        </w:rPr>
      </w:r>
      <w:bookmarkStart w:id="187" w:name="_Toc16938590"/>
      <w:r>
        <w:rPr>
          <w:color w:val="auto"/>
          <w:highlight w:val="none"/>
        </w:rPr>
      </w:r>
      <w:bookmarkStart w:id="188" w:name="_Toc120614244"/>
      <w:r>
        <w:rPr>
          <w:rFonts w:hint="eastAsia" w:ascii="黑体" w:eastAsia="黑体"/>
          <w:bCs/>
          <w:color w:val="auto"/>
          <w:sz w:val="36"/>
          <w:szCs w:val="36"/>
          <w:highlight w:val="none"/>
        </w:rPr>
        <w:t xml:space="preserve">第</w:t>
      </w:r>
      <w:bookmarkEnd w:id="185"/>
      <w:r>
        <w:rPr>
          <w:rFonts w:hint="eastAsia" w:ascii="黑体" w:eastAsia="黑体"/>
          <w:bCs/>
          <w:color w:val="auto"/>
          <w:sz w:val="36"/>
          <w:szCs w:val="36"/>
          <w:highlight w:val="none"/>
        </w:rPr>
        <w:t xml:space="preserve">四章 采购需求</w:t>
      </w:r>
      <w:bookmarkEnd w:id="186"/>
      <w:r>
        <w:rPr>
          <w:color w:val="auto"/>
          <w:highlight w:val="none"/>
        </w:rPr>
      </w:r>
      <w:bookmarkEnd w:id="187"/>
      <w:r>
        <w:rPr>
          <w:color w:val="auto"/>
          <w:highlight w:val="none"/>
        </w:rPr>
      </w:r>
      <w:bookmarkEnd w:id="188"/>
      <w:r>
        <w:rPr>
          <w:rFonts w:hint="eastAsia" w:hAnsi="宋体"/>
          <w:color w:val="auto"/>
          <w:sz w:val="36"/>
          <w:szCs w:val="36"/>
          <w:highlight w:val="none"/>
        </w:rPr>
      </w:r>
      <w:r>
        <w:rPr>
          <w:color w:val="auto"/>
          <w:highlight w:val="none"/>
        </w:rPr>
      </w:r>
    </w:p>
    <w:p>
      <w:pPr>
        <w:pStyle w:val="901"/>
        <w:ind w:firstLine="600"/>
        <w:jc w:val="left"/>
        <w:spacing w:line="360" w:lineRule="auto"/>
        <w:rPr>
          <w:rFonts w:hint="eastAsia" w:ascii="黑体" w:hAnsi="黑体" w:eastAsia="黑体"/>
          <w:color w:val="auto"/>
          <w:sz w:val="30"/>
          <w:szCs w:val="30"/>
          <w:highlight w:val="none"/>
        </w:rPr>
      </w:pPr>
      <w:r>
        <w:rPr>
          <w:color w:val="auto"/>
          <w:highlight w:val="none"/>
        </w:rPr>
      </w:r>
      <w:bookmarkStart w:id="191" w:name="_Toc49090575"/>
      <w:r>
        <w:rPr>
          <w:color w:val="auto"/>
          <w:highlight w:val="none"/>
        </w:rPr>
      </w:r>
      <w:bookmarkStart w:id="192" w:name="_Toc26554093"/>
      <w:r>
        <w:rPr>
          <w:rFonts w:hint="eastAsia" w:ascii="黑体" w:hAnsi="黑体" w:eastAsia="黑体"/>
          <w:color w:val="auto"/>
          <w:sz w:val="30"/>
          <w:szCs w:val="30"/>
          <w:highlight w:val="none"/>
        </w:rPr>
        <w:t xml:space="preserve">本项目属性：货物类项目</w:t>
      </w:r>
      <w:r>
        <w:rPr>
          <w:color w:val="auto"/>
          <w:highlight w:val="none"/>
        </w:rPr>
      </w:r>
    </w:p>
    <w:p>
      <w:pPr>
        <w:pStyle w:val="901"/>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rPr>
          <w:color w:val="auto"/>
          <w:highlight w:val="none"/>
        </w:rPr>
      </w:r>
    </w:p>
    <w:p>
      <w:pPr>
        <w:pStyle w:val="90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本项目标的物所属行业：详见项目技术要求</w:t>
      </w:r>
      <w:r>
        <w:rPr>
          <w:color w:val="auto"/>
          <w:highlight w:val="none"/>
        </w:rPr>
      </w:r>
    </w:p>
    <w:p>
      <w:pPr>
        <w:pStyle w:val="90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color w:val="auto"/>
          <w:sz w:val="24"/>
          <w:szCs w:val="24"/>
          <w:highlight w:val="none"/>
        </w:rPr>
        <w:t xml:space="preserve">算力服务器</w:t>
      </w:r>
      <w:r>
        <w:rPr>
          <w:rFonts w:hint="eastAsia" w:ascii="宋体" w:hAnsi="宋体"/>
          <w:color w:val="auto"/>
          <w:sz w:val="24"/>
          <w:szCs w:val="24"/>
          <w:highlight w:val="none"/>
        </w:rPr>
        <w:t xml:space="preserve">为核心产品。</w:t>
      </w:r>
      <w:r>
        <w:rPr>
          <w:rFonts w:ascii="宋体" w:hAnsi="宋体"/>
          <w:color w:val="auto"/>
          <w:sz w:val="24"/>
          <w:szCs w:val="24"/>
          <w:highlight w:val="none"/>
        </w:rPr>
      </w:r>
      <w:r>
        <w:rPr>
          <w:color w:val="auto"/>
          <w:highlight w:val="none"/>
        </w:rPr>
      </w:r>
    </w:p>
    <w:p>
      <w:pPr>
        <w:pStyle w:val="901"/>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rPr>
          <w:color w:val="auto"/>
          <w:highlight w:val="none"/>
        </w:rPr>
      </w:r>
    </w:p>
    <w:p>
      <w:pPr>
        <w:pStyle w:val="901"/>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1.建设内容</w:t>
      </w:r>
      <w:r>
        <w:rPr>
          <w:color w:val="auto"/>
          <w:highlight w:val="none"/>
        </w:rPr>
      </w:r>
    </w:p>
    <w:p>
      <w:pPr>
        <w:pStyle w:val="90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本次高性能算力中心系统建设共包含4台GPU双路计算节点算力服务器资源池,单台配置3张Nvidia A30 24GB GPU模块的算力显卡，集群一共提供12块 Nvidia A30 24GB GPU模块卡，总显存容量为288GB，网络采用千兆网络进行互联，服务器采用部分虚拟化技术实现业务系统的可扩展性。</w:t>
      </w:r>
      <w:r>
        <w:rPr>
          <w:rFonts w:hint="eastAsia" w:ascii="宋体" w:hAnsi="宋体"/>
          <w:bCs/>
          <w:color w:val="auto"/>
          <w:sz w:val="24"/>
          <w:szCs w:val="24"/>
          <w:highlight w:val="none"/>
        </w:rPr>
      </w:r>
      <w:r>
        <w:rPr>
          <w:color w:val="auto"/>
          <w:highlight w:val="none"/>
        </w:rPr>
      </w:r>
    </w:p>
    <w:p>
      <w:pPr>
        <w:pStyle w:val="90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完备的集群调度系统软件，包括：节点之间的算力调度和管理，Linux操作系统；作业调度系统；GNU、Intel等编译环境，BLAS、LAPACK、FFTWIntelMKL等常用数学函数库，OpenMP及MPI并行开发环境以及其它相关的HPC开发运行环境。</w:t>
      </w:r>
      <w:r>
        <w:rPr>
          <w:rFonts w:hint="eastAsia" w:ascii="宋体" w:hAnsi="宋体"/>
          <w:bCs/>
          <w:color w:val="auto"/>
          <w:sz w:val="24"/>
          <w:szCs w:val="24"/>
          <w:highlight w:val="none"/>
        </w:rPr>
      </w:r>
      <w:r>
        <w:rPr>
          <w:color w:val="auto"/>
          <w:highlight w:val="none"/>
        </w:rPr>
      </w:r>
    </w:p>
    <w:p>
      <w:pPr>
        <w:pStyle w:val="90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运行软件包括（YOLO、BiSeNet、DETR、SegFormer、OpenPCDet、 Hugging Face 、Transformers、AllenNLP、Stanza）。</w:t>
      </w:r>
      <w:r>
        <w:rPr>
          <w:color w:val="auto"/>
          <w:highlight w:val="none"/>
        </w:rPr>
      </w:r>
    </w:p>
    <w:p>
      <w:pPr>
        <w:pStyle w:val="90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提供完善的服务，包括安装调试、系统优化、用户培训等，同时提供全系统硬件5年，软件3年质保服务。</w:t>
      </w:r>
      <w:r>
        <w:rPr>
          <w:color w:val="auto"/>
          <w:highlight w:val="none"/>
        </w:rPr>
      </w:r>
    </w:p>
    <w:p>
      <w:pPr>
        <w:pStyle w:val="90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本次采购设备部署在东南大学无锡国际校区校园中心机房。</w:t>
      </w:r>
      <w:r>
        <w:rPr>
          <w:color w:val="auto"/>
          <w:highlight w:val="none"/>
        </w:rPr>
      </w:r>
    </w:p>
    <w:p>
      <w:pPr>
        <w:pStyle w:val="901"/>
        <w:ind w:firstLine="482"/>
        <w:spacing w:line="360" w:lineRule="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2.建设内容清单</w:t>
      </w:r>
      <w:r>
        <w:rPr>
          <w:rFonts w:hint="eastAsia" w:ascii="宋体" w:hAnsi="宋体"/>
          <w:bCs/>
          <w:color w:val="auto"/>
          <w:sz w:val="24"/>
          <w:szCs w:val="24"/>
          <w:highlight w:val="none"/>
        </w:rPr>
      </w:r>
      <w:r>
        <w:rPr>
          <w:color w:val="auto"/>
          <w:highlight w:val="none"/>
        </w:rPr>
      </w:r>
    </w:p>
    <w:tbl>
      <w:tblPr>
        <w:tblW w:w="9923" w:type="dxa"/>
        <w:jc w:val="center"/>
        <w:tblInd w:w="-34" w:type="dxa"/>
        <w:tblLayout w:type="fixed"/>
        <w:tblCellMar>
          <w:left w:w="108" w:type="dxa"/>
          <w:top w:w="0" w:type="dxa"/>
          <w:right w:w="108" w:type="dxa"/>
          <w:bottom w:w="0" w:type="dxa"/>
        </w:tblCellMar>
        <w:tblLook w:val="04A0" w:firstRow="1" w:lastRow="0" w:firstColumn="1" w:lastColumn="0" w:noHBand="0" w:noVBand="1"/>
      </w:tblPr>
      <w:tblGrid>
        <w:gridCol w:w="709"/>
        <w:gridCol w:w="993"/>
        <w:gridCol w:w="4677"/>
        <w:gridCol w:w="709"/>
        <w:gridCol w:w="709"/>
        <w:gridCol w:w="992"/>
        <w:gridCol w:w="1134"/>
      </w:tblGrid>
      <w:t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01"/>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序号</w:t>
            </w:r>
            <w:r>
              <w:rPr>
                <w:rFonts w:ascii="宋体" w:hAnsi="宋体" w:cs="宋体"/>
                <w:b/>
                <w:bCs/>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01"/>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分项名称</w:t>
            </w:r>
            <w:r>
              <w:rPr>
                <w:rFonts w:ascii="宋体" w:hAnsi="宋体" w:cs="宋体"/>
                <w:b/>
                <w:bCs/>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pStyle w:val="901"/>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性能指标</w:t>
            </w:r>
            <w:r>
              <w:rPr>
                <w:rFonts w:ascii="宋体" w:hAnsi="宋体" w:cs="宋体"/>
                <w:b/>
                <w:bCs/>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01"/>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单位</w:t>
            </w:r>
            <w:r>
              <w:rPr>
                <w:rFonts w:ascii="宋体" w:hAnsi="宋体" w:cs="宋体"/>
                <w:b/>
                <w:bCs/>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01"/>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数量</w:t>
            </w:r>
            <w:r>
              <w:rPr>
                <w:rFonts w:ascii="宋体" w:hAnsi="宋体" w:cs="宋体"/>
                <w:b/>
                <w:bCs/>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1"/>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货物部分标的及其所属行业</w:t>
            </w:r>
            <w:r>
              <w:rPr>
                <w:rFonts w:ascii="宋体" w:hAnsi="宋体" w:cs="宋体"/>
                <w:b/>
                <w:bCs/>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1"/>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备注</w:t>
            </w:r>
            <w:r>
              <w:rPr>
                <w:rFonts w:ascii="宋体" w:hAnsi="宋体" w:cs="宋体"/>
                <w:b/>
                <w:bCs/>
                <w:color w:val="auto"/>
                <w:sz w:val="18"/>
                <w:szCs w:val="18"/>
                <w:highlight w:val="none"/>
              </w:rPr>
            </w:r>
            <w:r>
              <w:rPr>
                <w:color w:val="auto"/>
                <w:highlight w:val="none"/>
              </w:rPr>
            </w:r>
          </w:p>
        </w:tc>
      </w:tr>
      <w:tr>
        <w:trPr>
          <w:trHeight w:val="269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01"/>
              <w:jc w:val="center"/>
              <w:widowControl/>
              <w:rPr>
                <w:rFonts w:ascii="宋体" w:hAnsi="宋体" w:cs="宋体"/>
                <w:color w:val="auto"/>
                <w:sz w:val="18"/>
                <w:szCs w:val="18"/>
                <w:highlight w:val="none"/>
              </w:rPr>
            </w:pPr>
            <w:r>
              <w:rPr>
                <w:rFonts w:ascii="宋体" w:hAnsi="宋体" w:cs="宋体"/>
                <w:color w:val="auto"/>
                <w:sz w:val="18"/>
                <w:szCs w:val="18"/>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01"/>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算力服务器</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1、</w:t>
              <w:tab/>
              <w:t xml:space="preserve">≥两颗国产CPU，单CPU核数≥32，主频≥2.2GHz</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2、 支持内存数量≥4根，本次配置内存数量≥16根，内存规格为≥DDR4, 支持多个内存接口通道，每个通道，可支持1DPC 或2DPC</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3、 非板载内存的可扩展插槽数量应不少于4个，PCIe 插槽或接口应不少于5个</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4、 符合PCle43.0或以上的高速串行计算机扩展总线标准，PCle的接口速率与位宽需保证向下兼容</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5、 配置≥8个3.5寸热插拔硬盘槽位，可扩展至16个3.5寸硬盘槽位，同时可扩展4个2.5寸小盘。全部硬盘可在不打开主机箱盖的情况下热插拔维护。硬盘配置≥2块18 TB 3.5寸硬盘，配置≥2块 960G SSD 3.5寸硬盘</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6、</w:t>
              <w:tab/>
              <w:t xml:space="preserve">配备网口数量不少于1 个，且网口速率不少于1GE，配置≥4个千兆电口</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7、 配置≥2块</w:t>
            </w:r>
            <w:r>
              <w:rPr>
                <w:rFonts w:hint="eastAsia" w:ascii="宋体" w:hAnsi="宋体"/>
                <w:color w:val="auto"/>
                <w:sz w:val="18"/>
                <w:szCs w:val="18"/>
                <w:highlight w:val="none"/>
              </w:rPr>
              <w:t xml:space="preserve">两个</w:t>
            </w:r>
            <w:r>
              <w:rPr>
                <w:rFonts w:hint="eastAsia" w:ascii="宋体" w:hAnsi="宋体"/>
                <w:color w:val="auto"/>
                <w:sz w:val="18"/>
                <w:szCs w:val="18"/>
                <w:highlight w:val="none"/>
              </w:rPr>
              <w:t xml:space="preserve">端口</w:t>
            </w:r>
            <w:r>
              <w:rPr>
                <w:rFonts w:hint="eastAsia" w:ascii="宋体" w:hAnsi="宋体"/>
                <w:color w:val="auto"/>
                <w:sz w:val="18"/>
                <w:szCs w:val="18"/>
                <w:highlight w:val="none"/>
              </w:rPr>
              <w:t xml:space="preserve">10Gb网卡（含多模光模块）</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8、</w:t>
              <w:tab/>
              <w:t xml:space="preserve">内置或适配符合PCIe的功能卡，本次配置NVIDIA A30 24G GPU模块共3块GPU卡</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9、</w:t>
              <w:tab/>
              <w:t xml:space="preserve">显示接口类型应不少于1种，如：VGA、DP、HDMI 等</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10、</w:t>
              <w:tab/>
              <w:t xml:space="preserve">配备 USB 接口，如USB2.0、USB3.0等</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11、</w:t>
              <w:tab/>
              <w:t xml:space="preserve">电源模块数量≥2，单电源模块功率≥2000W，整机电源模块应具备热插拔功能，支持过流及短路保护的功能</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12、</w:t>
              <w:tab/>
              <w:t xml:space="preserve">a)服务器的零部件应紧固无松动，可插拔部件应可靠连接，开关、按钮和其它控制部件应灵活可靠，布局应方便使用；</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13、</w:t>
              <w:tab/>
              <w:t xml:space="preserve">b) 产品表面不应有明显的凹痕、划伤、裂缝、变形和污染等。表面涂层均匀，不应起泡、龟裂、脱落和磨损，金属零部件无锈蚀及其它机械损伤；</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14、</w:t>
              <w:tab/>
              <w:t xml:space="preserve">c) 产品表面说明功能的文字、符号和标志应清晰、端正且牢固；</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15、</w:t>
              <w:tab/>
              <w:t xml:space="preserve">d) 应在服务器的显著位置提供运行状态的指示功能，；</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16、</w:t>
              <w:tab/>
              <w:t xml:space="preserve">e) 机架、机箱的尺寸应符合通用机柜的安装要求，插入总线插座的电路板接口外形尺寸应符合有关总线标准的规定，将机箱固定在机柜上，机箱底面最大下垂变形不得干涉相邻机体； </w:t>
            </w:r>
            <w:r>
              <w:rPr>
                <w:color w:val="auto"/>
                <w:highlight w:val="none"/>
              </w:rPr>
            </w:r>
          </w:p>
          <w:p>
            <w:pPr>
              <w:pStyle w:val="1017"/>
              <w:rPr>
                <w:color w:val="auto"/>
                <w:highlight w:val="none"/>
              </w:rPr>
            </w:pPr>
            <w:r>
              <w:rPr>
                <w:rFonts w:hint="eastAsia" w:ascii="宋体" w:hAnsi="宋体"/>
                <w:color w:val="auto"/>
                <w:sz w:val="18"/>
                <w:szCs w:val="18"/>
                <w:highlight w:val="none"/>
              </w:rPr>
              <w:t xml:space="preserve">17、</w:t>
              <w:tab/>
              <w:t xml:space="preserve">气候环境适应性应符合GB/T9813.3 标准</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18、</w:t>
              <w:tab/>
              <w:t xml:space="preserve">机械环境适应性应符合 GB/T9813.3标准</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19、</w:t>
              <w:tab/>
              <w:t xml:space="preserve">配置1张SAS RAID卡，≥1GB缓存，支持RAID 0/1/10/5/6，含掉电保护模块</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20、</w:t>
              <w:tab/>
              <w:t xml:space="preserve">符合GB/T 9813.3的有关标准</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21、</w:t>
              <w:tab/>
              <w:t xml:space="preserve">CPU 芯片应符合 GM/T 0008 的相关规定，或芯片密码模块应符合 GB/T37092 或 GM/T 0028 的相关规定</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22、</w:t>
              <w:tab/>
              <w:t xml:space="preserve">支持风冷散热方式</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23、服务器管理平台</w:t>
              <w:tab/>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 BMC 管理软件应能够按报警的严重程度进行区分；7)支持 IPMI2.0、SNMP 或 Redfish等接口功能；8)支持键盘、鼠标和视</w:t>
            </w:r>
            <w:r>
              <w:rPr>
                <w:rFonts w:hint="eastAsia" w:ascii="宋体" w:hAnsi="宋体"/>
                <w:color w:val="auto"/>
                <w:sz w:val="18"/>
                <w:szCs w:val="18"/>
                <w:highlight w:val="none"/>
              </w:rPr>
              <w:t xml:space="preserve">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设置功能，</w:t>
            </w:r>
            <w:r>
              <w:rPr>
                <w:rFonts w:hint="eastAsia" w:ascii="宋体" w:hAnsi="宋体"/>
                <w:color w:val="auto"/>
                <w:sz w:val="18"/>
                <w:szCs w:val="18"/>
                <w:highlight w:val="none"/>
              </w:rPr>
              <w:t xml:space="preserve">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BMC参数设置的功能，并可基于网络通过外部管理工具对 BMC 进行管理；21)应支持固件版本查询、固件升级22)支持基于网络实现开关机和复位控制的功能；23)BMC 启动时间应不超过 180s，实现功能包括网络、IPMI、散热、传感器服务可用；24)支持 BMC 固件设置的恢复出厂功能</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24、</w:t>
              <w:tab/>
              <w:t xml:space="preserve">a）支持查看固件版本、内存信息、主板信息、处理器信息和系统时间信息功能；b）支持上电初始化界面显示 CPU 信息、内存信息、固件</w:t>
            </w:r>
            <w:r>
              <w:rPr>
                <w:rFonts w:hint="eastAsia" w:ascii="宋体" w:hAnsi="宋体"/>
                <w:color w:val="auto"/>
                <w:sz w:val="18"/>
                <w:szCs w:val="18"/>
                <w:highlight w:val="none"/>
              </w:rPr>
              <w:t xml:space="preserve">版本和部分快捷键信息功能；c）支持设置界面中英文显示切换功能；d）支持查看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25、</w:t>
              <w:tab/>
              <w:t xml:space="preserve">支持远程关机和重新启动功能，支持通过网络、闪存盘对操作系统、驱动进行升级</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26、</w:t>
              <w:tab/>
              <w:t xml:space="preserve">符合 GB 18030 的标准</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27、</w:t>
              <w:tab/>
              <w:t xml:space="preserve">支持故障检测功能，可以检测到具体的 FRU（内存、硬盘等）的故障并发出告警</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28、</w:t>
              <w:tab/>
              <w:t xml:space="preserve">支持弱口令字典检查功能，出现在弱口令字典中的字符串不能被设置为用户口令</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29、</w:t>
              <w:tab/>
              <w:t xml:space="preserve">支持基于时间、IP 或 MAC 白名单访问控制</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30、</w:t>
              <w:tab/>
              <w:t xml:space="preserve">支持二次鉴别功能。对于用户配置、权限配置、公钥导入等重要的管理操作，已登录用户应通过二次鉴别后，才能执行操作</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31、</w:t>
              <w:tab/>
              <w:t xml:space="preserve">支持对带外管理系统中的用户口令和证书等敏感信息进行加密存储，禁止使用私有的和业界已知不安全的密码算法</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32、</w:t>
              <w:tab/>
              <w:t xml:space="preserve">支持使用安全的传输加密协议（如SSH 或 HTTPS 等）传输用户的敏感信息</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33、</w:t>
              <w:tab/>
              <w:t xml:space="preserve">安全要求应符合 GB 4943.1 的规定</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34、</w:t>
              <w:tab/>
              <w:t xml:space="preserve">兼容多种主流生产商的外部设备，包括显示器、键盘、鼠标、闪存盘、移动硬盘、USB 光驱及 KVM 等，要求使用不同厂商的外部设备时，系统均能正常识别和安装驱动</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35、</w:t>
              <w:tab/>
              <w:t xml:space="preserve">m1 值（MTBF 的不可接受值）不得低于 30000h</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36、</w:t>
              <w:tab/>
              <w:t xml:space="preserve">风扇寿命应不低于 40000h</w:t>
            </w:r>
            <w:r>
              <w:rPr>
                <w:color w:val="auto"/>
                <w:highlight w:val="none"/>
              </w:rPr>
            </w:r>
          </w:p>
          <w:p>
            <w:pPr>
              <w:pStyle w:val="1017"/>
              <w:rPr>
                <w:rFonts w:hint="eastAsia" w:ascii="宋体" w:hAnsi="宋体"/>
                <w:color w:val="auto"/>
                <w:sz w:val="18"/>
                <w:szCs w:val="18"/>
                <w:highlight w:val="none"/>
              </w:rPr>
            </w:pPr>
            <w:r>
              <w:rPr>
                <w:rFonts w:hint="eastAsia" w:ascii="宋体" w:hAnsi="宋体"/>
                <w:color w:val="auto"/>
                <w:sz w:val="18"/>
                <w:szCs w:val="18"/>
                <w:highlight w:val="none"/>
              </w:rPr>
              <w:t xml:space="preserve">37、</w:t>
              <w:tab/>
              <w:t xml:space="preserve">支持硬盘、电源、风扇热插拔(内置风扇除外)</w:t>
            </w:r>
            <w:r>
              <w:rPr>
                <w:color w:val="auto"/>
                <w:highlight w:val="none"/>
              </w:rPr>
            </w:r>
          </w:p>
          <w:p>
            <w:pPr>
              <w:pStyle w:val="1017"/>
              <w:rPr>
                <w:rFonts w:hint="eastAsia" w:ascii="宋体" w:hAnsi="宋体"/>
                <w:b/>
                <w:bCs/>
                <w:color w:val="auto"/>
                <w:sz w:val="18"/>
                <w:szCs w:val="18"/>
                <w:highlight w:val="none"/>
              </w:rPr>
            </w:pPr>
            <w:r>
              <w:rPr>
                <w:rFonts w:hint="eastAsia" w:ascii="宋体" w:hAnsi="宋体"/>
                <w:color w:val="auto"/>
                <w:sz w:val="18"/>
                <w:szCs w:val="18"/>
                <w:highlight w:val="none"/>
              </w:rPr>
              <w:t xml:space="preserve">38、</w:t>
              <w:tab/>
              <w:t xml:space="preserve">符合 GB/T 9813.3 和商品包装政府采购需求标准的相关规定</w:t>
            </w:r>
            <w:r>
              <w:rPr>
                <w:rFonts w:hint="eastAsia" w:ascii="宋体" w:hAnsi="宋体"/>
                <w:b/>
                <w:bCs/>
                <w:color w:val="auto"/>
                <w:sz w:val="18"/>
                <w:szCs w:val="18"/>
                <w:highlight w:val="none"/>
              </w:rPr>
            </w:r>
            <w:r>
              <w:rPr>
                <w:color w:val="auto"/>
                <w:highlight w:val="none"/>
              </w:rPr>
            </w:r>
          </w:p>
          <w:p>
            <w:pPr>
              <w:pStyle w:val="1017"/>
              <w:ind w:firstLine="0"/>
              <w:rPr>
                <w:rFonts w:hint="eastAsia" w:ascii="宋体" w:hAnsi="宋体"/>
                <w:color w:val="auto"/>
                <w:sz w:val="18"/>
                <w:szCs w:val="18"/>
                <w:highlight w:val="none"/>
              </w:rPr>
            </w:pPr>
            <w:r>
              <w:rPr>
                <w:rFonts w:hint="eastAsia" w:ascii="宋体" w:hAnsi="宋体"/>
                <w:color w:val="auto"/>
                <w:sz w:val="18"/>
                <w:szCs w:val="18"/>
                <w:highlight w:val="none"/>
              </w:rPr>
              <w:t xml:space="preserve">39、</w:t>
            </w:r>
            <w:r>
              <w:rPr>
                <w:rFonts w:hint="eastAsia" w:ascii="宋体" w:hAnsi="宋体"/>
                <w:color w:val="auto"/>
                <w:sz w:val="18"/>
                <w:szCs w:val="18"/>
                <w:highlight w:val="none"/>
              </w:rPr>
              <w:t xml:space="preserve">服务器支持系统管理员、租户管理员、普通用户多种角色权限管理特性</w:t>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40、支持海量文件、大文件FTP上传，支持NFS和GPFS文件。</w:t>
            </w:r>
            <w:r>
              <w:rPr>
                <w:rFonts w:hint="eastAsia" w:ascii="宋体" w:hAnsi="宋体"/>
                <w:color w:val="auto"/>
                <w:sz w:val="18"/>
                <w:szCs w:val="18"/>
                <w:highlight w:val="none"/>
              </w:rPr>
              <w:t xml:space="preserve">支持私有镜像、公共镜像、外部镜像等多种镜像管理方式</w:t>
            </w:r>
            <w:r>
              <w:rPr>
                <w:rFonts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4</w:t>
            </w:r>
            <w:r>
              <w:rPr>
                <w:rFonts w:hint="eastAsia" w:ascii="宋体" w:hAnsi="宋体"/>
                <w:color w:val="auto"/>
                <w:sz w:val="18"/>
                <w:szCs w:val="18"/>
                <w:highlight w:val="none"/>
              </w:rPr>
              <w:t xml:space="preserve">1</w:t>
            </w:r>
            <w:r>
              <w:rPr>
                <w:rFonts w:hint="eastAsia" w:ascii="宋体" w:hAnsi="宋体"/>
                <w:color w:val="auto"/>
                <w:sz w:val="18"/>
                <w:szCs w:val="18"/>
                <w:highlight w:val="none"/>
              </w:rPr>
              <w:t xml:space="preserve">、支持对CPU、GPU、内存等资源进行计量计费，支持预付费、后付费等多种计费策略。支持对国内外主流AI加速卡进行统一管理</w:t>
            </w:r>
            <w:r>
              <w:rPr>
                <w:rFonts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42</w:t>
            </w:r>
            <w:r>
              <w:rPr>
                <w:rFonts w:hint="eastAsia" w:ascii="宋体" w:hAnsi="宋体"/>
                <w:color w:val="auto"/>
                <w:sz w:val="18"/>
                <w:szCs w:val="18"/>
                <w:highlight w:val="none"/>
              </w:rPr>
              <w:t xml:space="preserve">、支持mig物理切分和vgpu虚拟切分</w:t>
            </w:r>
            <w:r>
              <w:rPr>
                <w:rFonts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4</w:t>
            </w:r>
            <w:r>
              <w:rPr>
                <w:rFonts w:hint="eastAsia" w:ascii="宋体" w:hAnsi="宋体"/>
                <w:color w:val="auto"/>
                <w:sz w:val="18"/>
                <w:szCs w:val="18"/>
                <w:highlight w:val="none"/>
              </w:rPr>
              <w:t xml:space="preserve">3</w:t>
            </w:r>
            <w:r>
              <w:rPr>
                <w:rFonts w:hint="eastAsia" w:ascii="宋体" w:hAnsi="宋体"/>
                <w:color w:val="auto"/>
                <w:sz w:val="18"/>
                <w:szCs w:val="18"/>
                <w:highlight w:val="none"/>
              </w:rPr>
              <w:t xml:space="preserve">、支持集群资源监控；支持CPU、内存、GPU、网络带宽等资源</w:t>
            </w:r>
            <w:r>
              <w:rPr>
                <w:rFonts w:hint="eastAsia" w:ascii="宋体" w:hAnsi="宋体"/>
                <w:color w:val="auto"/>
                <w:sz w:val="18"/>
                <w:szCs w:val="18"/>
                <w:highlight w:val="none"/>
              </w:rPr>
              <w:t xml:space="preserve">的实时使用曲线图；支持单节点的资源实时监控；支持多维度资源统计</w:t>
            </w:r>
            <w:r>
              <w:rPr>
                <w:rFonts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44</w:t>
            </w:r>
            <w:r>
              <w:rPr>
                <w:rFonts w:hint="eastAsia" w:ascii="宋体" w:hAnsi="宋体"/>
                <w:color w:val="auto"/>
                <w:sz w:val="18"/>
                <w:szCs w:val="18"/>
                <w:highlight w:val="none"/>
              </w:rPr>
              <w:t xml:space="preserve">、机柜监控视图中的设备可以通过拖拉拽方式进行组网，设备可以在机架内部、机架间在机架空</w:t>
            </w:r>
            <w:r>
              <w:rPr>
                <w:rFonts w:hint="eastAsia" w:ascii="宋体" w:hAnsi="宋体"/>
                <w:color w:val="auto"/>
                <w:sz w:val="18"/>
                <w:szCs w:val="18"/>
                <w:highlight w:val="none"/>
              </w:rPr>
              <w:t xml:space="preserve">间尺寸允许的条件下任意拖放</w:t>
            </w:r>
            <w:r>
              <w:rPr>
                <w:rFonts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45</w:t>
            </w:r>
            <w:r>
              <w:rPr>
                <w:rFonts w:hint="eastAsia" w:ascii="宋体" w:hAnsi="宋体"/>
                <w:color w:val="auto"/>
                <w:sz w:val="18"/>
                <w:szCs w:val="18"/>
                <w:highlight w:val="none"/>
              </w:rPr>
              <w:t xml:space="preserve">、系统统一管理AI和HPC分区的资源池资源。</w:t>
            </w:r>
            <w:r>
              <w:rPr>
                <w:rFonts w:hint="eastAsia" w:ascii="宋体" w:hAnsi="宋体"/>
                <w:color w:val="auto"/>
                <w:sz w:val="18"/>
                <w:szCs w:val="18"/>
                <w:highlight w:val="none"/>
              </w:rPr>
              <w:t xml:space="preserve">支持数据标注功能，支持个人标注和团队标注，支持标注任务审核</w:t>
            </w:r>
            <w:r>
              <w:rPr>
                <w:rFonts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46</w:t>
            </w:r>
            <w:r>
              <w:rPr>
                <w:rFonts w:hint="eastAsia" w:ascii="宋体" w:hAnsi="宋体"/>
                <w:color w:val="auto"/>
                <w:sz w:val="18"/>
                <w:szCs w:val="18"/>
                <w:highlight w:val="none"/>
              </w:rPr>
              <w:t xml:space="preserve">、平台内置TensorFlow、Pytorch、等常见深度学习框架和scikit-learn机器学习框架。支持编码式建模和任务流拖拽式深度学习可视化建模。提供70种以上</w:t>
            </w:r>
            <w:r>
              <w:rPr>
                <w:rFonts w:hint="eastAsia" w:ascii="宋体" w:hAnsi="宋体"/>
                <w:color w:val="auto"/>
                <w:sz w:val="18"/>
                <w:szCs w:val="18"/>
                <w:highlight w:val="none"/>
              </w:rPr>
              <w:t xml:space="preserve">的</w:t>
            </w:r>
            <w:r>
              <w:rPr>
                <w:rFonts w:hint="eastAsia" w:ascii="宋体" w:hAnsi="宋体"/>
                <w:color w:val="auto"/>
                <w:sz w:val="18"/>
                <w:szCs w:val="18"/>
                <w:highlight w:val="none"/>
              </w:rPr>
              <w:t xml:space="preserve">组件</w:t>
            </w:r>
            <w:r>
              <w:rPr>
                <w:rFonts w:hint="eastAsia" w:ascii="宋体" w:hAnsi="宋体"/>
                <w:color w:val="auto"/>
                <w:sz w:val="18"/>
                <w:szCs w:val="18"/>
                <w:highlight w:val="none"/>
              </w:rPr>
              <w:t xml:space="preserve">，包</w:t>
            </w:r>
            <w:r>
              <w:rPr>
                <w:rFonts w:hint="eastAsia" w:ascii="宋体" w:hAnsi="宋体"/>
                <w:color w:val="auto"/>
                <w:sz w:val="18"/>
                <w:szCs w:val="18"/>
                <w:highlight w:val="none"/>
              </w:rPr>
              <w:t xml:space="preserve">括数据预处理、特征工程、统计分析、机器学习、深度学习六大类组件</w:t>
            </w:r>
            <w:r>
              <w:rPr>
                <w:rFonts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47</w:t>
            </w:r>
            <w:r>
              <w:rPr>
                <w:rFonts w:hint="eastAsia" w:ascii="宋体" w:hAnsi="宋体"/>
                <w:color w:val="auto"/>
                <w:sz w:val="18"/>
                <w:szCs w:val="18"/>
                <w:highlight w:val="none"/>
              </w:rPr>
              <w:t xml:space="preserve">、</w:t>
              <w:tab/>
              <w:t xml:space="preserve">支持任意框架作业运行，支持单机单卡、单机多卡、多机多卡，支持多种框架的分布式建模训练，如Tensorflow单机多机，Pytorch单机多机，Horovod分布式训练等</w:t>
            </w:r>
            <w:r>
              <w:rPr>
                <w:rFonts w:hint="eastAsia" w:ascii="宋体" w:hAnsi="宋体"/>
                <w:color w:val="auto"/>
                <w:sz w:val="18"/>
                <w:szCs w:val="18"/>
                <w:highlight w:val="none"/>
              </w:rPr>
              <w:t xml:space="preserve">，</w:t>
            </w:r>
            <w:r>
              <w:rPr>
                <w:rFonts w:hint="eastAsia" w:ascii="宋体" w:hAnsi="宋体"/>
                <w:color w:val="auto"/>
                <w:sz w:val="18"/>
                <w:szCs w:val="18"/>
                <w:highlight w:val="none"/>
              </w:rPr>
              <w:t xml:space="preserve">内置LLAMA2、ChatGLM2、baichuan2等40+</w:t>
            </w:r>
            <w:r>
              <w:rPr>
                <w:rFonts w:hint="eastAsia" w:ascii="宋体" w:hAnsi="宋体"/>
                <w:color w:val="auto"/>
                <w:sz w:val="18"/>
                <w:szCs w:val="18"/>
                <w:highlight w:val="none"/>
              </w:rPr>
              <w:t xml:space="preserve">种常用大模型，支持模型导入、导出</w:t>
            </w:r>
            <w:r>
              <w:rPr>
                <w:rFonts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48</w:t>
            </w:r>
            <w:r>
              <w:rPr>
                <w:rFonts w:hint="eastAsia" w:ascii="宋体" w:hAnsi="宋体"/>
                <w:color w:val="auto"/>
                <w:sz w:val="18"/>
                <w:szCs w:val="18"/>
                <w:highlight w:val="none"/>
              </w:rPr>
              <w:t xml:space="preserve">、内置微调脚本和参数调优工具，支持checkpoint断点续训</w:t>
            </w:r>
            <w:r>
              <w:rPr>
                <w:rFonts w:hint="eastAsia" w:ascii="宋体" w:hAnsi="宋体"/>
                <w:color w:val="auto"/>
                <w:sz w:val="18"/>
                <w:szCs w:val="18"/>
                <w:highlight w:val="none"/>
              </w:rPr>
              <w:t xml:space="preserve">，</w:t>
            </w:r>
            <w:r>
              <w:rPr>
                <w:rFonts w:hint="eastAsia" w:ascii="宋体" w:hAnsi="宋体"/>
                <w:color w:val="auto"/>
                <w:sz w:val="18"/>
                <w:szCs w:val="18"/>
                <w:highlight w:val="none"/>
              </w:rPr>
              <w:t xml:space="preserve">支持将TensorFlow、Pytorch等开源框架模型格式转换为ONNX格式，也可以将ONNX格式模型转换为TensorFlow、Pytorch格式</w:t>
            </w:r>
            <w:r>
              <w:rPr>
                <w:rFonts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49</w:t>
            </w:r>
            <w:r>
              <w:rPr>
                <w:rFonts w:hint="eastAsia" w:ascii="宋体" w:hAnsi="宋体"/>
                <w:color w:val="auto"/>
                <w:sz w:val="18"/>
                <w:szCs w:val="18"/>
                <w:highlight w:val="none"/>
              </w:rPr>
              <w:t xml:space="preserve">、集成业界常用模型评估工具</w:t>
            </w:r>
            <w:r>
              <w:rPr>
                <w:rFonts w:hint="eastAsia" w:ascii="宋体" w:hAnsi="宋体"/>
                <w:color w:val="auto"/>
                <w:sz w:val="18"/>
                <w:szCs w:val="18"/>
                <w:highlight w:val="none"/>
              </w:rPr>
              <w:t xml:space="preserve">，</w:t>
            </w:r>
            <w:r>
              <w:rPr>
                <w:rFonts w:hint="eastAsia" w:ascii="宋体" w:hAnsi="宋体"/>
                <w:color w:val="auto"/>
                <w:sz w:val="18"/>
                <w:szCs w:val="18"/>
                <w:highlight w:val="none"/>
              </w:rPr>
              <w:t xml:space="preserve">推理过程支持弹性扩缩容</w:t>
            </w:r>
            <w:r>
              <w:rPr>
                <w:rFonts w:hint="eastAsia" w:ascii="宋体" w:hAnsi="宋体"/>
                <w:color w:val="auto"/>
                <w:sz w:val="18"/>
                <w:szCs w:val="18"/>
                <w:highlight w:val="none"/>
              </w:rPr>
              <w:t xml:space="preserve">，</w:t>
            </w:r>
            <w:r>
              <w:rPr>
                <w:rFonts w:hint="eastAsia" w:ascii="宋体" w:hAnsi="宋体"/>
                <w:color w:val="auto"/>
                <w:sz w:val="18"/>
                <w:szCs w:val="18"/>
                <w:highlight w:val="none"/>
              </w:rPr>
              <w:t xml:space="preserve">集成jupyter lab；支持与本地IDE</w:t>
            </w:r>
            <w:r>
              <w:rPr>
                <w:rFonts w:hint="eastAsia" w:ascii="宋体" w:hAnsi="宋体"/>
                <w:color w:val="auto"/>
                <w:sz w:val="18"/>
                <w:szCs w:val="18"/>
                <w:highlight w:val="none"/>
              </w:rPr>
              <w:t xml:space="preserve">互通</w:t>
            </w:r>
            <w:r>
              <w:rPr>
                <w:rFonts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50</w:t>
            </w:r>
            <w:r>
              <w:rPr>
                <w:rFonts w:hint="eastAsia" w:ascii="宋体" w:hAnsi="宋体"/>
                <w:color w:val="auto"/>
                <w:sz w:val="18"/>
                <w:szCs w:val="18"/>
                <w:highlight w:val="none"/>
              </w:rPr>
              <w:t xml:space="preserve">、支持报表系统，能够对已完成作业、用户作业吞吐量、资源使用统计和存储等进行统计，按用户、用户组、队列、时段等纬度进行显示，能够生成统计报表，报表支持pdf、html和excel格式，支持导出报表</w:t>
            </w:r>
            <w:r>
              <w:rPr>
                <w:rFonts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51</w:t>
            </w:r>
            <w:r>
              <w:rPr>
                <w:rFonts w:hint="eastAsia" w:ascii="宋体" w:hAnsi="宋体"/>
                <w:color w:val="auto"/>
                <w:sz w:val="18"/>
                <w:szCs w:val="18"/>
                <w:highlight w:val="none"/>
              </w:rPr>
              <w:t xml:space="preserve">、支持备份软件内嵌数据库的备份与灾难恢复，为防止勒索病</w:t>
            </w:r>
            <w:r>
              <w:rPr>
                <w:rFonts w:hint="eastAsia" w:ascii="宋体" w:hAnsi="宋体"/>
                <w:color w:val="auto"/>
                <w:sz w:val="18"/>
                <w:szCs w:val="18"/>
                <w:highlight w:val="none"/>
              </w:rPr>
              <w:t xml:space="preserve">毒或者磁盘设备故障，需支持直接将内嵌数据库备份到物理带库和云端</w:t>
            </w:r>
            <w:r>
              <w:rPr>
                <w:rFonts w:ascii="宋体" w:hAnsi="宋体"/>
                <w:color w:val="auto"/>
                <w:sz w:val="18"/>
                <w:szCs w:val="18"/>
                <w:highlight w:val="none"/>
              </w:rPr>
            </w:r>
            <w:r>
              <w:rPr>
                <w:color w:val="auto"/>
                <w:highlight w:val="none"/>
              </w:rPr>
            </w:r>
          </w:p>
          <w:p>
            <w:pPr>
              <w:pStyle w:val="1017"/>
              <w:ind w:firstLine="0"/>
              <w:rPr>
                <w:rFonts w:hint="eastAsia" w:ascii="宋体" w:hAnsi="宋体"/>
                <w:color w:val="auto"/>
                <w:sz w:val="18"/>
                <w:szCs w:val="18"/>
                <w:highlight w:val="none"/>
              </w:rPr>
            </w:pPr>
            <w:r>
              <w:rPr>
                <w:rFonts w:hint="eastAsia" w:ascii="宋体" w:hAnsi="宋体"/>
                <w:color w:val="auto"/>
                <w:sz w:val="18"/>
                <w:szCs w:val="18"/>
                <w:highlight w:val="none"/>
              </w:rPr>
              <w:t xml:space="preserve">52</w:t>
            </w:r>
            <w:r>
              <w:rPr>
                <w:rFonts w:hint="eastAsia" w:ascii="宋体" w:hAnsi="宋体"/>
                <w:color w:val="auto"/>
                <w:sz w:val="18"/>
                <w:szCs w:val="18"/>
                <w:highlight w:val="none"/>
              </w:rPr>
              <w:t xml:space="preserve">、Exchange、sharepoint、Domino、AD等企业应用热备份；对以上数据库可以实现自识别集成备份，无需借助第三方工具或定制脚本，配置海量小文件卷级备份功能，在备份拥有大量小文件的文件</w:t>
            </w:r>
            <w:r>
              <w:rPr>
                <w:rFonts w:hint="eastAsia" w:ascii="宋体" w:hAnsi="宋体"/>
                <w:color w:val="auto"/>
                <w:sz w:val="18"/>
                <w:szCs w:val="18"/>
                <w:highlight w:val="none"/>
              </w:rPr>
              <w:t xml:space="preserve">系统时，可以对文件系统进行逻辑卷块级备份，并能从中恢复单个文件</w:t>
            </w:r>
            <w:r>
              <w:rPr>
                <w:rFonts w:hint="eastAsia"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53、备份软件支持对存储厂家的磁盘阵列快照技</w:t>
            </w:r>
            <w:r>
              <w:rPr>
                <w:rFonts w:hint="eastAsia" w:ascii="宋体" w:hAnsi="宋体"/>
                <w:color w:val="auto"/>
                <w:sz w:val="18"/>
                <w:szCs w:val="18"/>
                <w:highlight w:val="none"/>
              </w:rPr>
              <w:t xml:space="preserve">术备份，直接通过存储阵列的快照进行备份，降低生产系统的资源消耗</w:t>
            </w:r>
            <w:r>
              <w:rPr>
                <w:rFonts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54</w:t>
            </w:r>
            <w:r>
              <w:rPr>
                <w:rFonts w:hint="eastAsia" w:ascii="宋体" w:hAnsi="宋体"/>
                <w:color w:val="auto"/>
                <w:sz w:val="18"/>
                <w:szCs w:val="18"/>
                <w:highlight w:val="none"/>
              </w:rPr>
              <w:t xml:space="preserve">、可进行备份数据加密，支持全过程端到端传送加密；能够支持256</w:t>
            </w:r>
            <w:r>
              <w:rPr>
                <w:rFonts w:hint="eastAsia" w:ascii="宋体" w:hAnsi="宋体"/>
                <w:color w:val="auto"/>
                <w:sz w:val="18"/>
                <w:szCs w:val="18"/>
                <w:highlight w:val="none"/>
              </w:rPr>
              <w:t xml:space="preserve">位的数据加密，使用秘钥方式进行数据恢复</w:t>
            </w:r>
            <w:r>
              <w:rPr>
                <w:rFonts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55</w:t>
            </w:r>
            <w:r>
              <w:rPr>
                <w:rFonts w:hint="eastAsia" w:ascii="宋体" w:hAnsi="宋体"/>
                <w:color w:val="auto"/>
                <w:sz w:val="18"/>
                <w:szCs w:val="18"/>
                <w:highlight w:val="none"/>
              </w:rPr>
              <w:t xml:space="preserve">、虚拟化平台提供统一的虚拟化管理界面，支持管理所有虚拟化计算节点，在同一界面上提供虚拟机启动、休眠、恢复、重启、安全关闭、关闭电源、迁移、备份、快照、克隆、克隆为模板、修改等生命周期管理功能。</w:t>
            </w:r>
            <w:r>
              <w:rPr>
                <w:rFonts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56</w:t>
            </w:r>
            <w:r>
              <w:rPr>
                <w:rFonts w:hint="eastAsia" w:ascii="宋体" w:hAnsi="宋体"/>
                <w:color w:val="auto"/>
                <w:sz w:val="18"/>
                <w:szCs w:val="18"/>
                <w:highlight w:val="none"/>
              </w:rPr>
              <w:t xml:space="preserve">、支持虚拟机迁移历史记录功能，记录中包含迁移的操作员、迁移方式、源主机、目的主机、开始时间、迁移耗时等信息，便于对虚拟机的迁移路径进行回溯。</w:t>
            </w:r>
            <w:r>
              <w:rPr>
                <w:rFonts w:ascii="宋体" w:hAnsi="宋体"/>
                <w:color w:val="auto"/>
                <w:sz w:val="18"/>
                <w:szCs w:val="18"/>
                <w:highlight w:val="none"/>
              </w:rPr>
            </w:r>
            <w:r>
              <w:rPr>
                <w:color w:val="auto"/>
                <w:highlight w:val="none"/>
              </w:rPr>
            </w:r>
          </w:p>
          <w:p>
            <w:pPr>
              <w:pStyle w:val="1017"/>
              <w:ind w:firstLine="0"/>
              <w:rPr>
                <w:rFonts w:hint="eastAsia" w:ascii="宋体" w:hAnsi="宋体"/>
                <w:color w:val="auto"/>
                <w:sz w:val="18"/>
                <w:szCs w:val="18"/>
                <w:highlight w:val="none"/>
              </w:rPr>
            </w:pPr>
            <w:r>
              <w:rPr>
                <w:rFonts w:hint="eastAsia" w:ascii="宋体" w:hAnsi="宋体"/>
                <w:color w:val="auto"/>
                <w:sz w:val="18"/>
                <w:szCs w:val="18"/>
                <w:highlight w:val="none"/>
              </w:rPr>
              <w:t xml:space="preserve">57</w:t>
            </w:r>
            <w:r>
              <w:rPr>
                <w:rFonts w:hint="eastAsia" w:ascii="宋体" w:hAnsi="宋体"/>
                <w:color w:val="auto"/>
                <w:sz w:val="18"/>
                <w:szCs w:val="18"/>
                <w:highlight w:val="none"/>
              </w:rPr>
              <w:t xml:space="preserve">、虚拟化平台应提供虚拟交换机的图形化展示，集中化展示虚拟交换机端口使用情况，通过点击虚拟交换机端口，可以快速查看端口详细信息和端口流量实时监控</w:t>
            </w:r>
            <w:r>
              <w:rPr>
                <w:rFonts w:hint="eastAsia" w:ascii="宋体" w:hAnsi="宋体"/>
                <w:color w:val="auto"/>
                <w:sz w:val="18"/>
                <w:szCs w:val="18"/>
                <w:highlight w:val="none"/>
              </w:rPr>
              <w:t xml:space="preserve">。</w:t>
            </w:r>
            <w:r>
              <w:rPr>
                <w:rFonts w:hint="eastAsia" w:ascii="宋体" w:hAnsi="宋体"/>
                <w:color w:val="auto"/>
                <w:sz w:val="18"/>
                <w:szCs w:val="18"/>
                <w:highlight w:val="none"/>
              </w:rPr>
            </w:r>
            <w:r>
              <w:rPr>
                <w:color w:val="auto"/>
                <w:highlight w:val="none"/>
              </w:rPr>
            </w:r>
          </w:p>
          <w:p>
            <w:pPr>
              <w:pStyle w:val="1017"/>
              <w:ind w:firstLine="0"/>
              <w:rPr>
                <w:rFonts w:ascii="宋体" w:hAnsi="宋体"/>
                <w:color w:val="auto"/>
                <w:sz w:val="18"/>
                <w:szCs w:val="18"/>
                <w:highlight w:val="none"/>
              </w:rPr>
            </w:pPr>
            <w:r>
              <w:rPr>
                <w:rFonts w:hint="eastAsia" w:ascii="宋体" w:hAnsi="宋体"/>
                <w:color w:val="auto"/>
                <w:sz w:val="18"/>
                <w:szCs w:val="18"/>
                <w:highlight w:val="none"/>
              </w:rPr>
              <w:t xml:space="preserve">58、虚拟化平台支持集群动态资源调度功能，可基于主机的算力（CPU利用率、内存利用率）、存储（磁盘I/O、磁盘容量利用率、磁盘请求）、网络（网络流量）等资源对虚拟机进行动态资源调度。</w:t>
            </w:r>
            <w:r>
              <w:rPr>
                <w:rFonts w:ascii="宋体" w:hAnsi="宋体"/>
                <w:color w:val="auto"/>
                <w:sz w:val="18"/>
                <w:szCs w:val="18"/>
                <w:highlight w:val="none"/>
              </w:rPr>
            </w:r>
            <w:r>
              <w:rPr>
                <w:color w:val="auto"/>
                <w:highlight w:val="none"/>
              </w:rPr>
            </w:r>
          </w:p>
          <w:p>
            <w:pPr>
              <w:pStyle w:val="1017"/>
              <w:ind w:firstLine="0"/>
              <w:rPr>
                <w:rFonts w:hint="eastAsia" w:ascii="宋体" w:hAnsi="宋体"/>
                <w:color w:val="auto"/>
                <w:sz w:val="18"/>
                <w:szCs w:val="18"/>
                <w:highlight w:val="none"/>
              </w:rPr>
            </w:pPr>
            <w:r>
              <w:rPr>
                <w:rFonts w:hint="eastAsia" w:ascii="宋体" w:hAnsi="宋体"/>
                <w:color w:val="auto"/>
                <w:sz w:val="18"/>
                <w:szCs w:val="18"/>
                <w:highlight w:val="none"/>
              </w:rPr>
              <w:t xml:space="preserve">59</w:t>
            </w:r>
            <w:r>
              <w:rPr>
                <w:rFonts w:hint="eastAsia" w:ascii="宋体" w:hAnsi="宋体"/>
                <w:color w:val="auto"/>
                <w:sz w:val="18"/>
                <w:szCs w:val="18"/>
                <w:highlight w:val="none"/>
              </w:rPr>
              <w:t xml:space="preserve">、支持宿主机自治功能，在虚拟化管理平台故障时，可以通过主机自治平台对所在宿主机和虚拟机进行管理运维，提供虚拟机启动、配置、关闭、重启、休眠、删除等生命周期管理。</w:t>
            </w:r>
            <w:r>
              <w:rPr>
                <w:color w:val="auto"/>
                <w:highlight w:val="none"/>
              </w:rPr>
            </w:r>
          </w:p>
          <w:p>
            <w:pPr>
              <w:pStyle w:val="1017"/>
              <w:ind w:firstLine="0"/>
              <w:rPr>
                <w:rFonts w:hint="eastAsia" w:ascii="宋体" w:hAnsi="宋体"/>
                <w:color w:val="auto"/>
                <w:sz w:val="18"/>
                <w:szCs w:val="18"/>
                <w:highlight w:val="none"/>
              </w:rPr>
            </w:pPr>
            <w:r>
              <w:rPr>
                <w:rFonts w:hint="eastAsia" w:ascii="宋体" w:hAnsi="宋体"/>
                <w:color w:val="auto"/>
                <w:sz w:val="18"/>
                <w:szCs w:val="18"/>
                <w:highlight w:val="none"/>
              </w:rPr>
              <w:t xml:space="preserve">60、配置要求：a）配置支持所采购服务器的超算集群管理软件授权并且提供独立部署管理服务器；b）本次配置管理服务器处理器的虚拟化软件管理授权；c）本次配置不少于400TB容量的数据备份软件授权。</w:t>
            </w:r>
            <w:r>
              <w:rPr>
                <w:color w:val="auto"/>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01"/>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01"/>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1"/>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工业</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01"/>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本产品属于财政部、工业和信息化部共同发布的便携式计算机、操作系统、工作站、数据库、台式计算机、通用服务器、一体式计算机七种IT软硬件，</w:t>
            </w:r>
            <w:r>
              <w:rPr>
                <w:rFonts w:hint="eastAsia" w:ascii="宋体" w:hAnsi="宋体" w:cs="宋体"/>
                <w:color w:val="auto"/>
                <w:sz w:val="18"/>
                <w:szCs w:val="18"/>
                <w:highlight w:val="none"/>
              </w:rPr>
              <w:t xml:space="preserve">采购人已</w:t>
            </w:r>
            <w:r>
              <w:rPr>
                <w:rFonts w:hint="eastAsia" w:ascii="宋体" w:hAnsi="宋体" w:cs="宋体"/>
                <w:color w:val="auto"/>
                <w:sz w:val="18"/>
                <w:szCs w:val="18"/>
                <w:highlight w:val="none"/>
              </w:rPr>
              <w:t xml:space="preserve">根据《需求标准》（</w:t>
            </w:r>
            <w:r>
              <w:rPr>
                <w:rFonts w:hint="eastAsia" w:ascii="宋体" w:hAnsi="宋体" w:cs="宋体"/>
                <w:color w:val="auto"/>
                <w:sz w:val="18"/>
                <w:szCs w:val="18"/>
                <w:highlight w:val="none"/>
              </w:rPr>
              <w:t xml:space="preserve">将</w:t>
            </w:r>
            <w:r>
              <w:rPr>
                <w:rFonts w:hint="eastAsia" w:ascii="宋体" w:hAnsi="宋体" w:cs="宋体"/>
                <w:color w:val="auto"/>
                <w:sz w:val="18"/>
                <w:szCs w:val="18"/>
                <w:highlight w:val="none"/>
              </w:rPr>
              <w:t xml:space="preserve">加“*”的指标纳入</w:t>
            </w:r>
            <w:r>
              <w:rPr>
                <w:rFonts w:hint="eastAsia" w:ascii="宋体" w:hAnsi="宋体" w:cs="宋体"/>
                <w:color w:val="auto"/>
                <w:sz w:val="18"/>
                <w:szCs w:val="18"/>
                <w:highlight w:val="none"/>
              </w:rPr>
              <w:t xml:space="preserve">了</w:t>
            </w:r>
            <w:r>
              <w:rPr>
                <w:rFonts w:hint="eastAsia" w:ascii="宋体" w:hAnsi="宋体" w:cs="宋体"/>
                <w:color w:val="auto"/>
                <w:sz w:val="18"/>
                <w:szCs w:val="18"/>
                <w:highlight w:val="none"/>
              </w:rPr>
              <w:t xml:space="preserve">采购需求）及相关</w:t>
            </w:r>
            <w:r>
              <w:rPr>
                <w:rFonts w:hint="eastAsia" w:ascii="宋体" w:hAnsi="宋体" w:cs="宋体"/>
                <w:color w:val="auto"/>
                <w:sz w:val="18"/>
                <w:szCs w:val="18"/>
                <w:highlight w:val="none"/>
              </w:rPr>
              <w:t xml:space="preserve">采购需求</w:t>
            </w:r>
            <w:r>
              <w:rPr>
                <w:rFonts w:hint="eastAsia" w:ascii="宋体" w:hAnsi="宋体" w:cs="宋体"/>
                <w:color w:val="auto"/>
                <w:sz w:val="18"/>
                <w:szCs w:val="18"/>
                <w:highlight w:val="none"/>
              </w:rPr>
              <w:t xml:space="preserve">设定</w:t>
            </w:r>
            <w:r>
              <w:rPr>
                <w:rFonts w:hint="eastAsia" w:ascii="宋体" w:hAnsi="宋体" w:cs="宋体"/>
                <w:color w:val="auto"/>
                <w:sz w:val="18"/>
                <w:szCs w:val="18"/>
                <w:highlight w:val="none"/>
              </w:rPr>
              <w:t xml:space="preserve">了</w:t>
            </w:r>
            <w:r>
              <w:rPr>
                <w:rFonts w:hint="eastAsia" w:ascii="宋体" w:hAnsi="宋体" w:cs="宋体"/>
                <w:color w:val="auto"/>
                <w:sz w:val="18"/>
                <w:szCs w:val="18"/>
                <w:highlight w:val="none"/>
              </w:rPr>
              <w:t xml:space="preserve">相应参数。</w:t>
            </w:r>
            <w:r>
              <w:rPr>
                <w:rFonts w:ascii="宋体" w:hAnsi="宋体" w:cs="宋体"/>
                <w:color w:val="auto"/>
                <w:sz w:val="18"/>
                <w:szCs w:val="18"/>
                <w:highlight w:val="none"/>
              </w:rPr>
            </w:r>
            <w:r>
              <w:rPr>
                <w:color w:val="auto"/>
                <w:highlight w:val="none"/>
              </w:rPr>
            </w:r>
          </w:p>
        </w:tc>
      </w:tr>
    </w:tbl>
    <w:p>
      <w:pPr>
        <w:pStyle w:val="901"/>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3.项目其他要求</w:t>
      </w:r>
      <w:r>
        <w:rPr>
          <w:color w:val="auto"/>
          <w:highlight w:val="none"/>
        </w:rPr>
      </w:r>
    </w:p>
    <w:p>
      <w:pPr>
        <w:pStyle w:val="90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本项目中标人需要提供集群调度软件群的安装物理环境，确保能够满足调度软件的管理节点和登录节点使用以及其他相关配套环境的搭建。</w:t>
      </w:r>
      <w:r>
        <w:rPr>
          <w:color w:val="auto"/>
          <w:highlight w:val="none"/>
        </w:rPr>
      </w:r>
    </w:p>
    <w:p>
      <w:pPr>
        <w:pStyle w:val="90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设备客户注册信息：东南大学无锡国际校区。</w:t>
      </w:r>
      <w:r>
        <w:rPr>
          <w:color w:val="auto"/>
          <w:highlight w:val="none"/>
        </w:rPr>
      </w:r>
    </w:p>
    <w:p>
      <w:pPr>
        <w:pStyle w:val="90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中标单位供货时提供所投品牌原厂售后服务承诺函并加盖原厂公章交于采购人备案。</w:t>
      </w:r>
      <w:r>
        <w:rPr>
          <w:rFonts w:hint="eastAsia" w:ascii="宋体" w:hAnsi="宋体"/>
          <w:bCs/>
          <w:color w:val="auto"/>
          <w:sz w:val="24"/>
          <w:szCs w:val="24"/>
          <w:highlight w:val="none"/>
        </w:rPr>
      </w:r>
      <w:r>
        <w:rPr>
          <w:color w:val="auto"/>
          <w:highlight w:val="none"/>
        </w:rPr>
      </w:r>
    </w:p>
    <w:p>
      <w:pPr>
        <w:pStyle w:val="901"/>
        <w:ind w:firstLine="480"/>
        <w:spacing w:line="360" w:lineRule="auto"/>
        <w:rPr>
          <w:rFonts w:ascii="宋体" w:hAnsi="宋体"/>
          <w:b/>
          <w:color w:val="auto"/>
          <w:sz w:val="30"/>
          <w:szCs w:val="30"/>
          <w:highlight w:val="none"/>
        </w:rPr>
      </w:pPr>
      <w:r>
        <w:rPr>
          <w:rFonts w:ascii="宋体" w:hAnsi="宋体"/>
          <w:bCs/>
          <w:color w:val="auto"/>
          <w:sz w:val="24"/>
          <w:szCs w:val="24"/>
          <w:highlight w:val="none"/>
        </w:rPr>
        <w:br w:type="page" w:clear="all"/>
      </w:r>
      <w:r>
        <w:rPr>
          <w:rFonts w:hint="eastAsia" w:ascii="宋体" w:hAnsi="宋体"/>
          <w:b/>
          <w:color w:val="auto"/>
          <w:sz w:val="30"/>
          <w:szCs w:val="30"/>
          <w:highlight w:val="none"/>
        </w:rPr>
        <w:t xml:space="preserve">第二部分  有关说明</w:t>
      </w:r>
      <w:r>
        <w:rPr>
          <w:rFonts w:ascii="宋体" w:hAnsi="宋体"/>
          <w:b/>
          <w:color w:val="auto"/>
          <w:sz w:val="30"/>
          <w:szCs w:val="30"/>
          <w:highlight w:val="none"/>
        </w:rPr>
      </w:r>
      <w:r>
        <w:rPr>
          <w:color w:val="auto"/>
          <w:highlight w:val="none"/>
        </w:rPr>
      </w:r>
    </w:p>
    <w:p>
      <w:pPr>
        <w:pStyle w:val="901"/>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rPr>
          <w:rFonts w:ascii="宋体"/>
          <w:bCs/>
          <w:color w:val="auto"/>
          <w:sz w:val="24"/>
          <w:szCs w:val="24"/>
          <w:highlight w:val="none"/>
        </w:rPr>
      </w:r>
      <w:r>
        <w:rPr>
          <w:color w:val="auto"/>
          <w:highlight w:val="none"/>
        </w:rPr>
      </w:r>
    </w:p>
    <w:p>
      <w:pPr>
        <w:pStyle w:val="901"/>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rPr>
          <w:rFonts w:ascii="宋体"/>
          <w:bCs/>
          <w:color w:val="auto"/>
          <w:sz w:val="24"/>
          <w:szCs w:val="24"/>
          <w:highlight w:val="none"/>
        </w:rPr>
      </w:r>
      <w:r>
        <w:rPr>
          <w:color w:val="auto"/>
          <w:highlight w:val="none"/>
        </w:rPr>
      </w:r>
    </w:p>
    <w:p>
      <w:pPr>
        <w:pStyle w:val="901"/>
        <w:numPr>
          <w:ilvl w:val="1"/>
          <w:numId w:val="7"/>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color w:val="auto"/>
          <w:highlight w:val="none"/>
        </w:rPr>
      </w:r>
    </w:p>
    <w:p>
      <w:pPr>
        <w:pStyle w:val="901"/>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rPr>
          <w:rFonts w:ascii="宋体"/>
          <w:bCs/>
          <w:color w:val="auto"/>
          <w:sz w:val="24"/>
          <w:szCs w:val="24"/>
          <w:highlight w:val="none"/>
        </w:rPr>
      </w:r>
      <w:r>
        <w:rPr>
          <w:color w:val="auto"/>
          <w:highlight w:val="none"/>
        </w:rP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完工期：</w:t>
      </w:r>
      <w:r>
        <w:rPr>
          <w:rFonts w:hint="eastAsia" w:ascii="宋体" w:hAnsi="宋体"/>
          <w:bCs/>
          <w:color w:val="auto"/>
          <w:sz w:val="24"/>
          <w:szCs w:val="24"/>
          <w:highlight w:val="none"/>
        </w:rPr>
        <w:t xml:space="preserve">合同签订生效后30天内完成安装调试。</w:t>
      </w:r>
      <w:r>
        <w:rPr>
          <w:rFonts w:ascii="宋体"/>
          <w:bCs/>
          <w:color w:val="auto"/>
          <w:sz w:val="24"/>
          <w:szCs w:val="24"/>
          <w:highlight w:val="none"/>
        </w:rPr>
      </w:r>
      <w:r>
        <w:rPr>
          <w:color w:val="auto"/>
          <w:highlight w:val="none"/>
        </w:rP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项目整体质保期：</w:t>
      </w:r>
      <w:r>
        <w:rPr>
          <w:rFonts w:hint="eastAsia" w:ascii="宋体"/>
          <w:bCs/>
          <w:color w:val="auto"/>
          <w:sz w:val="24"/>
          <w:szCs w:val="24"/>
          <w:highlight w:val="none"/>
        </w:rPr>
        <w:t xml:space="preserve">项目验收合格之日起提供全系统硬件5年，软件3年质保服务。</w:t>
      </w:r>
      <w:r>
        <w:rPr>
          <w:rFonts w:ascii="宋体"/>
          <w:bCs/>
          <w:color w:val="auto"/>
          <w:sz w:val="24"/>
          <w:szCs w:val="24"/>
          <w:highlight w:val="none"/>
        </w:rPr>
      </w:r>
      <w:r>
        <w:rPr>
          <w:color w:val="auto"/>
          <w:highlight w:val="none"/>
        </w:rP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付款方式：</w:t>
      </w:r>
      <w:r>
        <w:rPr>
          <w:rFonts w:hint="eastAsia" w:ascii="宋体" w:hAnsi="宋体"/>
          <w:bCs/>
          <w:color w:val="auto"/>
          <w:sz w:val="24"/>
          <w:szCs w:val="24"/>
          <w:highlight w:val="none"/>
        </w:rPr>
        <w:t xml:space="preserve">合同签订生效后，采购单位于10个日历天内向中标方支付合同总价的30%作为预付款；全部货物运至现场，并经采购单位验收确认后付至合同总价的60%；所有货物全部安装调试结束，提交所需单据，并经采购单位组织验收合格后10</w:t>
      </w:r>
      <w:r>
        <w:rPr>
          <w:rFonts w:hint="eastAsia" w:ascii="宋体" w:hAnsi="宋体"/>
          <w:bCs/>
          <w:color w:val="auto"/>
          <w:sz w:val="24"/>
          <w:szCs w:val="24"/>
          <w:highlight w:val="none"/>
        </w:rPr>
        <w:t xml:space="preserve">个</w:t>
      </w:r>
      <w:r>
        <w:rPr>
          <w:rFonts w:hint="eastAsia" w:ascii="宋体" w:hAnsi="宋体"/>
          <w:bCs/>
          <w:color w:val="auto"/>
          <w:sz w:val="24"/>
          <w:szCs w:val="24"/>
          <w:highlight w:val="none"/>
        </w:rPr>
        <w:t xml:space="preserve">日历天内付至合同总价的95%；剩余合同总价的5％</w:t>
      </w:r>
      <w:r>
        <w:rPr>
          <w:rFonts w:hint="eastAsia" w:ascii="宋体" w:hAnsi="宋体"/>
          <w:bCs/>
          <w:color w:val="auto"/>
          <w:sz w:val="24"/>
          <w:szCs w:val="24"/>
          <w:highlight w:val="none"/>
        </w:rPr>
        <w:t xml:space="preserve">项目验收合格满</w:t>
      </w:r>
      <w:r>
        <w:rPr>
          <w:rFonts w:hint="eastAsia" w:ascii="宋体" w:hAnsi="宋体"/>
          <w:bCs/>
          <w:color w:val="auto"/>
          <w:sz w:val="24"/>
          <w:szCs w:val="24"/>
          <w:highlight w:val="none"/>
        </w:rPr>
        <w:t xml:space="preserve">一年后采购单位在一个月内付清余款。</w:t>
      </w:r>
      <w:r>
        <w:rPr>
          <w:rFonts w:ascii="宋体"/>
          <w:bCs/>
          <w:color w:val="auto"/>
          <w:sz w:val="24"/>
          <w:szCs w:val="24"/>
          <w:highlight w:val="none"/>
        </w:rPr>
      </w:r>
      <w:r>
        <w:rPr>
          <w:color w:val="auto"/>
          <w:highlight w:val="none"/>
        </w:rP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w:t>
      </w:r>
      <w:r>
        <w:rPr>
          <w:rFonts w:hint="eastAsia" w:ascii="宋体"/>
          <w:bCs/>
          <w:color w:val="auto"/>
          <w:sz w:val="24"/>
          <w:szCs w:val="24"/>
          <w:highlight w:val="none"/>
        </w:rPr>
        <w:t xml:space="preserve">1.5</w:t>
      </w:r>
      <w:r>
        <w:rPr>
          <w:rFonts w:hint="eastAsia" w:ascii="宋体"/>
          <w:bCs/>
          <w:color w:val="auto"/>
          <w:sz w:val="24"/>
          <w:szCs w:val="24"/>
          <w:highlight w:val="none"/>
        </w:rPr>
        <w:t xml:space="preserve">%提供履约担保。中标（成交）供应商可采用电子履约保函（保险）形式,具体操作可登录江苏政府采购网的保险保函模块进行办理。</w:t>
      </w:r>
      <w:r>
        <w:rPr>
          <w:color w:val="auto"/>
          <w:highlight w:val="none"/>
        </w:rP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highlight w:val="none"/>
        </w:rPr>
        <w:t xml:space="preserve">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auto"/>
          <w:sz w:val="24"/>
          <w:szCs w:val="24"/>
          <w:highlight w:val="none"/>
        </w:rPr>
      </w:r>
      <w:r>
        <w:rPr>
          <w:color w:val="auto"/>
          <w:highlight w:val="none"/>
        </w:rP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rPr>
        <w:t xml:space="preserve">《中华人民共和国政府采购法》</w:t>
      </w:r>
      <w:r>
        <w:rPr>
          <w:rFonts w:hint="eastAsia" w:ascii="宋体" w:hAnsi="宋体"/>
          <w:bCs/>
          <w:color w:val="auto"/>
          <w:sz w:val="24"/>
          <w:highlight w:val="none"/>
        </w:rPr>
        <w:t xml:space="preserve">第七十七条第一款的规定追究法律责任。</w:t>
      </w:r>
      <w:r>
        <w:rPr>
          <w:rFonts w:hint="eastAsia" w:ascii="宋体"/>
          <w:bCs/>
          <w:color w:val="auto"/>
          <w:sz w:val="24"/>
          <w:szCs w:val="24"/>
          <w:highlight w:val="none"/>
        </w:rPr>
      </w:r>
      <w:r>
        <w:rPr>
          <w:color w:val="auto"/>
          <w:highlight w:val="none"/>
        </w:rP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auto"/>
          <w:highlight w:val="none"/>
        </w:rP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auto"/>
          <w:sz w:val="24"/>
          <w:highlight w:val="none"/>
        </w:rPr>
      </w:r>
      <w:r>
        <w:rPr>
          <w:color w:val="auto"/>
          <w:highlight w:val="none"/>
        </w:rPr>
      </w:r>
    </w:p>
    <w:p>
      <w:pPr>
        <w:pStyle w:val="901"/>
        <w:ind w:firstLine="480"/>
        <w:spacing w:line="360" w:lineRule="auto"/>
        <w:rPr>
          <w:rFonts w:hint="eastAsia" w:ascii="宋体" w:hAnsi="宋体"/>
          <w:b/>
          <w:bCs/>
          <w:color w:val="auto"/>
          <w:sz w:val="30"/>
          <w:szCs w:val="30"/>
          <w:highlight w:val="none"/>
        </w:rPr>
      </w:pPr>
      <w:r>
        <w:rPr>
          <w:rFonts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rPr>
          <w:rFonts w:hint="eastAsia" w:ascii="宋体" w:hAnsi="宋体"/>
          <w:b/>
          <w:bCs/>
          <w:color w:val="auto"/>
          <w:sz w:val="30"/>
          <w:szCs w:val="30"/>
          <w:highlight w:val="none"/>
        </w:rPr>
      </w:r>
      <w:r>
        <w:rPr>
          <w:color w:val="auto"/>
          <w:highlight w:val="none"/>
        </w:rP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auto"/>
          <w:highlight w:val="none"/>
        </w:rP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auto"/>
          <w:highlight w:val="none"/>
        </w:rP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auto"/>
          <w:highlight w:val="none"/>
        </w:rP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rPr>
          <w:color w:val="auto"/>
          <w:highlight w:val="none"/>
        </w:rP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auto"/>
          <w:sz w:val="24"/>
          <w:szCs w:val="24"/>
          <w:highlight w:val="none"/>
        </w:rPr>
      </w:r>
      <w:r>
        <w:rPr>
          <w:color w:val="auto"/>
          <w:highlight w:val="none"/>
        </w:rP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auto"/>
          <w:sz w:val="24"/>
          <w:szCs w:val="24"/>
          <w:highlight w:val="none"/>
        </w:rPr>
      </w:r>
      <w:r>
        <w:rPr>
          <w:color w:val="auto"/>
          <w:highlight w:val="none"/>
        </w:rP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auto"/>
          <w:sz w:val="24"/>
          <w:szCs w:val="24"/>
          <w:highlight w:val="none"/>
        </w:rPr>
      </w:r>
      <w:r>
        <w:rPr>
          <w:color w:val="auto"/>
          <w:highlight w:val="none"/>
        </w:rP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auto"/>
          <w:sz w:val="24"/>
          <w:szCs w:val="24"/>
          <w:highlight w:val="none"/>
        </w:rPr>
      </w:r>
      <w:r>
        <w:rPr>
          <w:color w:val="auto"/>
          <w:highlight w:val="none"/>
        </w:rP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auto"/>
          <w:sz w:val="24"/>
          <w:szCs w:val="24"/>
          <w:highlight w:val="none"/>
        </w:rPr>
      </w:r>
      <w:r>
        <w:rPr>
          <w:color w:val="auto"/>
          <w:highlight w:val="none"/>
        </w:rP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w:t>
      </w:r>
      <w:r>
        <w:rPr>
          <w:rFonts w:hint="eastAsia" w:ascii="宋体" w:hAnsi="宋体" w:cs="宋体"/>
          <w:color w:val="auto"/>
          <w:sz w:val="24"/>
          <w:szCs w:val="24"/>
          <w:highlight w:val="none"/>
        </w:rPr>
        <w:t xml:space="preserve">涉及</w:t>
      </w:r>
      <w:r>
        <w:rPr>
          <w:rFonts w:hint="eastAsia" w:ascii="宋体" w:hAnsi="宋体" w:cs="宋体"/>
          <w:color w:val="auto"/>
          <w:sz w:val="24"/>
          <w:szCs w:val="24"/>
          <w:highlight w:val="none"/>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auto"/>
          <w:sz w:val="24"/>
          <w:szCs w:val="24"/>
          <w:highlight w:val="none"/>
        </w:rPr>
        <w:t xml:space="preserve">在满足《需求标准》的</w:t>
      </w:r>
      <w:r>
        <w:rPr>
          <w:rFonts w:hint="eastAsia" w:ascii="宋体" w:hAnsi="宋体" w:cs="宋体"/>
          <w:color w:val="auto"/>
          <w:sz w:val="24"/>
          <w:szCs w:val="24"/>
          <w:highlight w:val="none"/>
        </w:rPr>
        <w:t xml:space="preserve">前提</w:t>
      </w:r>
      <w:r>
        <w:rPr>
          <w:rFonts w:hint="eastAsia" w:ascii="宋体" w:hAnsi="宋体" w:cs="宋体"/>
          <w:color w:val="auto"/>
          <w:sz w:val="24"/>
          <w:szCs w:val="24"/>
          <w:highlight w:val="none"/>
        </w:rPr>
        <w:t xml:space="preserve">下，如招标文件中有其他要求的，投标人应</w:t>
      </w:r>
      <w:r>
        <w:rPr>
          <w:rFonts w:hint="eastAsia" w:ascii="宋体" w:hAnsi="宋体" w:cs="宋体"/>
          <w:color w:val="auto"/>
          <w:sz w:val="24"/>
          <w:szCs w:val="24"/>
          <w:highlight w:val="none"/>
        </w:rPr>
        <w:t xml:space="preserve">满足</w:t>
      </w:r>
      <w:r>
        <w:rPr>
          <w:rFonts w:hint="eastAsia" w:ascii="宋体" w:hAnsi="宋体" w:cs="宋体"/>
          <w:color w:val="auto"/>
          <w:sz w:val="24"/>
          <w:szCs w:val="24"/>
          <w:highlight w:val="none"/>
        </w:rPr>
        <w:t xml:space="preserve">招标文件要求。</w:t>
      </w:r>
      <w:r>
        <w:rPr>
          <w:rFonts w:hint="eastAsia" w:ascii="宋体"/>
          <w:bCs/>
          <w:color w:val="auto"/>
          <w:sz w:val="24"/>
          <w:szCs w:val="24"/>
          <w:highlight w:val="none"/>
        </w:rPr>
        <w:t xml:space="preserve">采购人可在合同中约定</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w:t>
      </w:r>
      <w:r>
        <w:rPr>
          <w:rFonts w:hint="eastAsia" w:ascii="宋体"/>
          <w:bCs/>
          <w:color w:val="auto"/>
          <w:sz w:val="24"/>
          <w:szCs w:val="24"/>
          <w:highlight w:val="none"/>
        </w:rPr>
        <w:t xml:space="preserve">可</w:t>
      </w:r>
      <w:r>
        <w:rPr>
          <w:rFonts w:hint="eastAsia" w:ascii="宋体"/>
          <w:bCs/>
          <w:color w:val="auto"/>
          <w:sz w:val="24"/>
          <w:szCs w:val="24"/>
          <w:highlight w:val="none"/>
        </w:rPr>
        <w:t xml:space="preserve">对所提供的七种软硬件进行验收，必要时</w:t>
      </w:r>
      <w:r>
        <w:rPr>
          <w:rFonts w:hint="eastAsia" w:ascii="宋体"/>
          <w:bCs/>
          <w:color w:val="auto"/>
          <w:sz w:val="24"/>
          <w:szCs w:val="24"/>
          <w:highlight w:val="none"/>
        </w:rPr>
        <w:t xml:space="preserve">可以</w:t>
      </w:r>
      <w:r>
        <w:rPr>
          <w:rFonts w:hint="eastAsia" w:ascii="宋体"/>
          <w:bCs/>
          <w:color w:val="auto"/>
          <w:sz w:val="24"/>
          <w:szCs w:val="24"/>
          <w:highlight w:val="none"/>
        </w:rPr>
        <w:t xml:space="preserve">委托依法取得检测、认证资质的机构进行检测、认证。</w:t>
      </w:r>
      <w:r>
        <w:rPr>
          <w:rFonts w:hint="eastAsia" w:ascii="宋体"/>
          <w:bCs/>
          <w:color w:val="auto"/>
          <w:sz w:val="24"/>
          <w:szCs w:val="24"/>
          <w:highlight w:val="none"/>
        </w:rPr>
      </w:r>
      <w:r>
        <w:rPr>
          <w:color w:val="auto"/>
          <w:highlight w:val="none"/>
        </w:rP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r>
        <w:rPr>
          <w:rFonts w:hint="eastAsia" w:ascii="宋体"/>
          <w:bCs/>
          <w:color w:val="auto"/>
          <w:sz w:val="24"/>
          <w:szCs w:val="24"/>
          <w:highlight w:val="none"/>
        </w:rPr>
        <w:t xml:space="preserve">苏财办购〔2024〕1号</w:t>
      </w:r>
      <w:r>
        <w:rPr>
          <w:rFonts w:hint="eastAsia" w:ascii="宋体"/>
          <w:bCs/>
          <w:color w:val="auto"/>
          <w:sz w:val="24"/>
          <w:szCs w:val="24"/>
          <w:highlight w:val="none"/>
        </w:rPr>
        <w:t xml:space="preserve">相关</w:t>
      </w:r>
      <w:r>
        <w:rPr>
          <w:rFonts w:hint="eastAsia" w:ascii="宋体"/>
          <w:bCs/>
          <w:color w:val="auto"/>
          <w:sz w:val="24"/>
          <w:szCs w:val="24"/>
          <w:highlight w:val="none"/>
        </w:rPr>
        <w:t xml:space="preserve">要求</w:t>
      </w:r>
      <w:r>
        <w:rPr>
          <w:rFonts w:hint="eastAsia" w:ascii="宋体"/>
          <w:bCs/>
          <w:color w:val="auto"/>
          <w:sz w:val="24"/>
          <w:szCs w:val="24"/>
          <w:highlight w:val="none"/>
        </w:rPr>
        <w:t xml:space="preserve">，采购人应当严格按照政府采购法有关规定，在中标、成交通知书发出之日起30日内，按照采购文件确定的事项与中标、成交供应商签订政府采购合同</w:t>
      </w:r>
      <w:r>
        <w:rPr>
          <w:rFonts w:hint="eastAsia" w:ascii="宋体"/>
          <w:bCs/>
          <w:color w:val="auto"/>
          <w:sz w:val="24"/>
          <w:szCs w:val="24"/>
          <w:highlight w:val="none"/>
        </w:rPr>
        <w:t xml:space="preserve">。采购人因不可抗力原因迟延签订合同的，应当自不可抗力事由消除之日起7日内完成合同签订事宜。</w:t>
      </w:r>
      <w:r>
        <w:rPr>
          <w:rFonts w:hint="eastAsia" w:ascii="宋体"/>
          <w:bCs/>
          <w:color w:val="auto"/>
          <w:sz w:val="24"/>
          <w:szCs w:val="24"/>
          <w:highlight w:val="none"/>
        </w:rPr>
      </w:r>
      <w:r>
        <w:rPr>
          <w:color w:val="auto"/>
          <w:highlight w:val="none"/>
        </w:rP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auto"/>
          <w:highlight w:val="none"/>
        </w:rP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w:t>
      </w:r>
      <w:r>
        <w:rPr>
          <w:rFonts w:hint="eastAsia" w:ascii="宋体"/>
          <w:bCs/>
          <w:color w:val="auto"/>
          <w:sz w:val="24"/>
          <w:szCs w:val="24"/>
          <w:highlight w:val="none"/>
          <w:lang w:val="en"/>
        </w:rPr>
        <w:t xml:space="preserve">个工作日内将资金支付到合同约定的供应商账户</w:t>
      </w:r>
      <w:r>
        <w:rPr>
          <w:rFonts w:hint="eastAsia" w:ascii="宋体"/>
          <w:bCs/>
          <w:color w:val="auto"/>
          <w:sz w:val="24"/>
          <w:szCs w:val="24"/>
          <w:highlight w:val="none"/>
          <w:lang w:val="en"/>
        </w:rPr>
        <w:t xml:space="preserve">。</w:t>
      </w:r>
      <w:r>
        <w:rPr>
          <w:rFonts w:hint="eastAsia" w:ascii="宋体"/>
          <w:bCs/>
          <w:color w:val="auto"/>
          <w:sz w:val="24"/>
          <w:szCs w:val="24"/>
          <w:highlight w:val="none"/>
          <w:lang w:val="en"/>
        </w:rPr>
      </w:r>
      <w:r>
        <w:rPr>
          <w:color w:val="auto"/>
          <w:highlight w:val="none"/>
        </w:rPr>
      </w:r>
    </w:p>
    <w:p>
      <w:pPr>
        <w:pStyle w:val="901"/>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ascii="宋体"/>
          <w:bCs/>
          <w:color w:val="auto"/>
          <w:sz w:val="24"/>
          <w:szCs w:val="24"/>
          <w:highlight w:val="none"/>
        </w:rPr>
        <w:br w:type="page" w:clear="all"/>
      </w:r>
      <w:bookmarkStart w:id="193"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rPr>
          <w:rFonts w:hint="eastAsia" w:ascii="黑体" w:hAnsi="黑体" w:eastAsia="黑体"/>
          <w:bCs/>
          <w:color w:val="auto"/>
          <w:sz w:val="36"/>
          <w:szCs w:val="36"/>
          <w:highlight w:val="none"/>
        </w:rPr>
      </w:r>
      <w:r>
        <w:rPr>
          <w:color w:val="auto"/>
          <w:highlight w:val="none"/>
        </w:rPr>
      </w:r>
    </w:p>
    <w:p>
      <w:pPr>
        <w:pStyle w:val="989"/>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rPr>
          <w:color w:val="auto"/>
          <w:highlight w:val="none"/>
        </w:rPr>
      </w:r>
    </w:p>
    <w:p>
      <w:pPr>
        <w:pStyle w:val="989"/>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rPr>
          <w:color w:val="auto"/>
          <w:highlight w:val="none"/>
        </w:rPr>
      </w:r>
    </w:p>
    <w:p>
      <w:pPr>
        <w:pStyle w:val="989"/>
        <w:spacing w:before="0" w:after="0" w:line="500" w:lineRule="exact"/>
        <w:rPr>
          <w:rFonts w:hint="eastAsia" w:cs="Arial"/>
          <w:color w:val="auto"/>
          <w:highlight w:val="none"/>
        </w:rPr>
      </w:pPr>
      <w:r>
        <w:rPr>
          <w:rFonts w:hint="eastAsia" w:cs="Arial"/>
          <w:color w:val="auto"/>
          <w:highlight w:val="none"/>
        </w:rPr>
        <w:t xml:space="preserve">比较与评价采用综合评分法。</w:t>
      </w:r>
      <w:r>
        <w:rPr>
          <w:color w:val="auto"/>
          <w:highlight w:val="none"/>
        </w:rPr>
      </w:r>
    </w:p>
    <w:p>
      <w:pPr>
        <w:pStyle w:val="989"/>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rPr>
        <w:t xml:space="preserve">得分相同且投标</w:t>
      </w:r>
      <w:r>
        <w:rPr>
          <w:rFonts w:hint="eastAsia" w:ascii="宋体" w:hAnsi="宋体"/>
          <w:bCs/>
          <w:color w:val="auto"/>
          <w:highlight w:val="none"/>
        </w:rPr>
        <w:t xml:space="preserve">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auto"/>
          <w:highlight w:val="none"/>
        </w:rPr>
      </w:r>
      <w:r>
        <w:rPr>
          <w:color w:val="auto"/>
          <w:highlight w:val="none"/>
        </w:rPr>
      </w:r>
    </w:p>
    <w:p>
      <w:pPr>
        <w:pStyle w:val="989"/>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auto"/>
          <w:highlight w:val="none"/>
        </w:rPr>
      </w:r>
    </w:p>
    <w:p>
      <w:pPr>
        <w:pStyle w:val="989"/>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rPr>
          <w:color w:val="auto"/>
          <w:highlight w:val="none"/>
        </w:rPr>
      </w:r>
    </w:p>
    <w:p>
      <w:pPr>
        <w:pStyle w:val="989"/>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rPr>
          <w:color w:val="auto"/>
          <w:highlight w:val="none"/>
        </w:rPr>
      </w:r>
    </w:p>
    <w:p>
      <w:pPr>
        <w:pStyle w:val="901"/>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rPr>
          <w:color w:val="auto"/>
          <w:highlight w:val="none"/>
        </w:rPr>
      </w:r>
    </w:p>
    <w:p>
      <w:pPr>
        <w:pStyle w:val="901"/>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rPr>
          <w:rFonts w:ascii="宋体" w:hAnsi="宋体"/>
          <w:bCs/>
          <w:color w:val="auto"/>
          <w:sz w:val="24"/>
          <w:szCs w:val="24"/>
          <w:highlight w:val="none"/>
        </w:rPr>
      </w:r>
      <w:r>
        <w:rPr>
          <w:color w:val="auto"/>
          <w:highlight w:val="none"/>
        </w:rPr>
      </w:r>
    </w:p>
    <w:p>
      <w:pPr>
        <w:pStyle w:val="901"/>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auto"/>
          <w:sz w:val="24"/>
          <w:szCs w:val="24"/>
          <w:highlight w:val="none"/>
        </w:rPr>
      </w:r>
      <w:r>
        <w:rPr>
          <w:color w:val="auto"/>
          <w:highlight w:val="none"/>
        </w:rPr>
      </w:r>
    </w:p>
    <w:p>
      <w:pPr>
        <w:pStyle w:val="901"/>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auto"/>
          <w:sz w:val="24"/>
          <w:szCs w:val="24"/>
          <w:highlight w:val="none"/>
        </w:rPr>
      </w:r>
      <w:r>
        <w:rPr>
          <w:color w:val="auto"/>
          <w:highlight w:val="none"/>
        </w:rPr>
      </w:r>
    </w:p>
    <w:p>
      <w:pPr>
        <w:pStyle w:val="901"/>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rPr>
          <w:color w:val="auto"/>
          <w:highlight w:val="none"/>
        </w:rPr>
      </w:r>
    </w:p>
    <w:p>
      <w:pPr>
        <w:pStyle w:val="901"/>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rPr>
          <w:rFonts w:ascii="宋体" w:hAnsi="宋体"/>
          <w:bCs/>
          <w:color w:val="auto"/>
          <w:sz w:val="24"/>
          <w:szCs w:val="24"/>
          <w:highlight w:val="none"/>
        </w:rPr>
      </w:r>
      <w:r>
        <w:rPr>
          <w:color w:val="auto"/>
          <w:highlight w:val="none"/>
        </w:rPr>
      </w:r>
    </w:p>
    <w:p>
      <w:pPr>
        <w:pStyle w:val="901"/>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rPr>
          <w:rFonts w:ascii="宋体" w:hAnsi="宋体"/>
          <w:bCs/>
          <w:color w:val="auto"/>
          <w:sz w:val="24"/>
          <w:szCs w:val="24"/>
          <w:highlight w:val="none"/>
        </w:rPr>
      </w:r>
      <w:r>
        <w:rPr>
          <w:color w:val="auto"/>
          <w:highlight w:val="none"/>
        </w:rPr>
      </w:r>
    </w:p>
    <w:p>
      <w:pPr>
        <w:pStyle w:val="901"/>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rPr>
          <w:color w:val="auto"/>
          <w:highlight w:val="none"/>
        </w:rPr>
      </w:r>
    </w:p>
    <w:p>
      <w:pPr>
        <w:pStyle w:val="989"/>
        <w:ind w:firstLine="360"/>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rPr>
          <w:rFonts w:hint="eastAsia" w:ascii="宋体" w:hAnsi="宋体"/>
          <w:color w:val="auto"/>
          <w:highlight w:val="none"/>
          <w:shd w:val="clear" w:color="ffffff" w:fill="d9d9d9"/>
        </w:rPr>
      </w:r>
      <w:r>
        <w:rPr>
          <w:color w:val="auto"/>
          <w:highlight w:val="none"/>
        </w:rP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rPr>
        <w:t xml:space="preserve">30</w:t>
      </w:r>
      <w:r>
        <w:rPr>
          <w:rFonts w:hint="eastAsia" w:ascii="宋体" w:hAnsi="宋体"/>
          <w:b/>
          <w:bCs/>
          <w:color w:val="auto"/>
          <w:sz w:val="24"/>
          <w:szCs w:val="24"/>
          <w:highlight w:val="none"/>
        </w:rPr>
        <w:t xml:space="preserve">分）：</w:t>
      </w:r>
      <w:r>
        <w:rPr>
          <w:rFonts w:ascii="宋体" w:hAnsi="宋体"/>
          <w:b/>
          <w:bCs/>
          <w:color w:val="auto"/>
          <w:sz w:val="24"/>
          <w:szCs w:val="24"/>
          <w:highlight w:val="none"/>
        </w:rPr>
      </w:r>
      <w:r>
        <w:rPr>
          <w:color w:val="auto"/>
          <w:highlight w:val="none"/>
        </w:rPr>
      </w:r>
    </w:p>
    <w:p>
      <w:pPr>
        <w:pStyle w:val="901"/>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auto"/>
          <w:sz w:val="24"/>
          <w:szCs w:val="24"/>
          <w:highlight w:val="none"/>
        </w:rPr>
      </w:r>
      <w:r>
        <w:rPr>
          <w:color w:val="auto"/>
          <w:highlight w:val="none"/>
        </w:rPr>
      </w:r>
    </w:p>
    <w:p>
      <w:pPr>
        <w:pStyle w:val="901"/>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rPr>
          <w:rFonts w:ascii="宋体"/>
          <w:bCs/>
          <w:color w:val="auto"/>
          <w:sz w:val="24"/>
          <w:szCs w:val="24"/>
          <w:highlight w:val="none"/>
        </w:rPr>
      </w:r>
      <w:r>
        <w:rPr>
          <w:color w:val="auto"/>
          <w:highlight w:val="none"/>
        </w:rPr>
      </w:r>
    </w:p>
    <w:p>
      <w:pPr>
        <w:pStyle w:val="901"/>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rPr>
          <w:color w:val="auto"/>
          <w:highlight w:val="none"/>
        </w:rP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投标人综合情况（</w:t>
      </w:r>
      <w:r>
        <w:rPr>
          <w:rFonts w:hint="eastAsia" w:ascii="宋体" w:hAnsi="宋体"/>
          <w:b/>
          <w:bCs/>
          <w:color w:val="auto"/>
          <w:sz w:val="24"/>
          <w:szCs w:val="24"/>
          <w:highlight w:val="none"/>
        </w:rPr>
        <w:t xml:space="preserve">9</w:t>
      </w:r>
      <w:r>
        <w:rPr>
          <w:rFonts w:hint="eastAsia" w:ascii="宋体" w:hAnsi="宋体"/>
          <w:b/>
          <w:bCs/>
          <w:color w:val="auto"/>
          <w:sz w:val="24"/>
          <w:szCs w:val="24"/>
          <w:highlight w:val="none"/>
        </w:rPr>
        <w:t xml:space="preserve">分）：</w:t>
      </w:r>
      <w:r>
        <w:rPr>
          <w:rFonts w:ascii="宋体" w:hAnsi="宋体"/>
          <w:b/>
          <w:bCs/>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rPr>
        <w:t xml:space="preserve">.1  </w:t>
      </w:r>
      <w:r>
        <w:rPr>
          <w:rFonts w:hint="eastAsia" w:ascii="宋体" w:hAnsi="宋体"/>
          <w:color w:val="auto"/>
          <w:sz w:val="24"/>
          <w:highlight w:val="none"/>
        </w:rPr>
        <w:t xml:space="preserve">业绩（6分）：</w:t>
      </w:r>
      <w:r>
        <w:rPr>
          <w:rFonts w:hint="eastAsia" w:ascii="宋体" w:hAnsi="宋体"/>
          <w:color w:val="auto"/>
          <w:sz w:val="24"/>
          <w:highlight w:val="none"/>
        </w:rPr>
        <w:t xml:space="preserve">投标人自2021年1月1日以来（以合同签订日期为准）具有与本项目类似项目案例的，每有一个得2分，最高6分；须提供相应有效合同扫描件。</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2.2  体系认证（3分）：投标人具有有效期内的</w:t>
      </w:r>
      <w:r>
        <w:rPr>
          <w:rFonts w:hint="eastAsia" w:ascii="宋体" w:hAnsi="宋体"/>
          <w:color w:val="auto"/>
          <w:sz w:val="24"/>
          <w:highlight w:val="none"/>
        </w:rPr>
        <w:t xml:space="preserve">：</w:t>
      </w:r>
      <w:r>
        <w:rPr>
          <w:rFonts w:hint="eastAsia" w:ascii="宋体" w:hAnsi="宋体"/>
          <w:color w:val="auto"/>
          <w:sz w:val="24"/>
          <w:highlight w:val="none"/>
        </w:rPr>
        <w:t xml:space="preserve">质量管理体系认证证书</w:t>
      </w:r>
      <w:r>
        <w:rPr>
          <w:rFonts w:hint="eastAsia" w:ascii="宋体" w:hAnsi="宋体"/>
          <w:color w:val="auto"/>
          <w:sz w:val="24"/>
          <w:highlight w:val="none"/>
        </w:rPr>
        <w:t xml:space="preserve">的得1分</w:t>
      </w:r>
      <w:r>
        <w:rPr>
          <w:rFonts w:hint="eastAsia" w:ascii="宋体" w:hAnsi="宋体"/>
          <w:color w:val="auto"/>
          <w:sz w:val="24"/>
          <w:highlight w:val="none"/>
        </w:rPr>
        <w:t xml:space="preserve">、</w:t>
      </w:r>
      <w:r>
        <w:rPr>
          <w:rFonts w:hint="eastAsia" w:ascii="宋体" w:hAnsi="宋体"/>
          <w:color w:val="auto"/>
          <w:sz w:val="24"/>
          <w:highlight w:val="none"/>
        </w:rPr>
        <w:t xml:space="preserve">环境管理体系认证证书的得1分、</w:t>
      </w:r>
      <w:r>
        <w:rPr>
          <w:rFonts w:hint="eastAsia" w:ascii="宋体" w:hAnsi="宋体"/>
          <w:color w:val="auto"/>
          <w:sz w:val="24"/>
          <w:highlight w:val="none"/>
        </w:rPr>
        <w:t xml:space="preserve">信息技术服务管理体系认证证书</w:t>
      </w:r>
      <w:r>
        <w:rPr>
          <w:rFonts w:hint="eastAsia" w:ascii="宋体" w:hAnsi="宋体"/>
          <w:color w:val="auto"/>
          <w:sz w:val="24"/>
          <w:highlight w:val="none"/>
        </w:rPr>
        <w:t xml:space="preserve">的得1分；须提供相应有效体系认证证书扫描件，同时还须提供该证书在“国家市场监督管理总局-全国认证认可信息公共服务平台”网站查询到的有效认证截图并加盖投标人公章。</w:t>
      </w:r>
      <w:r>
        <w:rPr>
          <w:rFonts w:hint="eastAsia" w:ascii="宋体" w:hAnsi="宋体"/>
          <w:color w:val="auto"/>
          <w:sz w:val="24"/>
          <w:highlight w:val="none"/>
        </w:rPr>
      </w:r>
      <w:r>
        <w:rPr>
          <w:color w:val="auto"/>
          <w:highlight w:val="none"/>
        </w:rP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产品技术</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rPr>
        <w:t xml:space="preserve">6</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rPr>
        <w:t xml:space="preserve">：</w:t>
      </w:r>
      <w:r>
        <w:rPr>
          <w:rFonts w:ascii="宋体" w:hAnsi="宋体"/>
          <w:b/>
          <w:bCs/>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olor w:val="auto"/>
          <w:sz w:val="24"/>
          <w:highlight w:val="none"/>
        </w:rPr>
        <w:t xml:space="preserve">1</w:t>
      </w:r>
      <w:r>
        <w:rPr>
          <w:rFonts w:hint="eastAsia" w:ascii="宋体" w:hAnsi="宋体"/>
          <w:color w:val="auto"/>
          <w:sz w:val="24"/>
          <w:highlight w:val="none"/>
        </w:rPr>
        <w:t xml:space="preserve">  算力服务器-管理功能（1分）：所投算力服务器的管理软件平台BMC可以根据主机系统工作负载的特性，自动推荐和场景匹配的性能模板的，得1分；须提供产品功能截图并加盖投标人公章。</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olor w:val="auto"/>
          <w:sz w:val="24"/>
          <w:highlight w:val="none"/>
        </w:rPr>
        <w:t xml:space="preserve">2</w:t>
      </w:r>
      <w:r>
        <w:rPr>
          <w:rFonts w:hint="eastAsia" w:ascii="宋体" w:hAnsi="宋体"/>
          <w:color w:val="auto"/>
          <w:sz w:val="24"/>
          <w:highlight w:val="none"/>
        </w:rPr>
        <w:t xml:space="preserve">  服务器算力集群调度软件-计费管理（1分）：支持对CPU、GPU、内存等资源进行计量计费，支持预付费、后付费等多种计费策略的，得1分；须提供产品功能截图并加盖投标人公章。</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olor w:val="auto"/>
          <w:sz w:val="24"/>
          <w:highlight w:val="none"/>
        </w:rPr>
        <w:t xml:space="preserve">3</w:t>
      </w:r>
      <w:r>
        <w:rPr>
          <w:rFonts w:hint="eastAsia" w:ascii="宋体" w:hAnsi="宋体"/>
          <w:color w:val="auto"/>
          <w:sz w:val="24"/>
          <w:highlight w:val="none"/>
        </w:rPr>
        <w:t xml:space="preserve">  服务器算力集群调度软件-算力管理（1分）：同时可以管理AI和HPC分区的资源池资源的，得1分；须提供产品功能截图并加盖投标人公章。</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rPr>
        <w:t xml:space="preserve">.4</w:t>
      </w:r>
      <w:r>
        <w:rPr>
          <w:rFonts w:hint="eastAsia" w:ascii="宋体" w:hAnsi="宋体"/>
          <w:color w:val="auto"/>
          <w:sz w:val="24"/>
          <w:highlight w:val="none"/>
        </w:rPr>
        <w:t xml:space="preserve">  服务器算力集群调度软件-内置工具（1分）：所投集群调度软件内置微调脚本和参数调优工具，支持checkpoint</w:t>
      </w:r>
      <w:r>
        <w:rPr>
          <w:rFonts w:hint="eastAsia" w:ascii="宋体" w:hAnsi="宋体"/>
          <w:color w:val="auto"/>
          <w:sz w:val="24"/>
          <w:highlight w:val="none"/>
        </w:rPr>
        <w:t xml:space="preserve">断点</w:t>
      </w:r>
      <w:r>
        <w:rPr>
          <w:rFonts w:hint="eastAsia" w:ascii="宋体" w:hAnsi="宋体"/>
          <w:color w:val="auto"/>
          <w:sz w:val="24"/>
          <w:highlight w:val="none"/>
        </w:rPr>
        <w:t xml:space="preserve">后持续训练的</w:t>
      </w:r>
      <w:r>
        <w:rPr>
          <w:rFonts w:hint="eastAsia" w:ascii="宋体" w:hAnsi="宋体"/>
          <w:color w:val="auto"/>
          <w:sz w:val="24"/>
          <w:highlight w:val="none"/>
        </w:rPr>
        <w:t xml:space="preserve">，得1分；须提供产品功能截图并加盖投标人公章。</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olor w:val="auto"/>
          <w:sz w:val="24"/>
          <w:highlight w:val="none"/>
        </w:rPr>
        <w:t xml:space="preserve">5</w:t>
      </w:r>
      <w:r>
        <w:rPr>
          <w:rFonts w:hint="eastAsia" w:ascii="宋体" w:hAnsi="宋体"/>
          <w:color w:val="auto"/>
          <w:sz w:val="24"/>
          <w:highlight w:val="none"/>
        </w:rPr>
        <w:t xml:space="preserve">  算力服务器备份软件-备份恢复（1分）：</w:t>
      </w:r>
      <w:r>
        <w:rPr>
          <w:rFonts w:hint="eastAsia" w:ascii="宋体" w:hAnsi="宋体"/>
          <w:color w:val="auto"/>
          <w:sz w:val="24"/>
          <w:highlight w:val="none"/>
        </w:rPr>
        <w:t xml:space="preserve">所投服务器备份软件支持通过图形界面进行数据库的备份与恢复(本机和异机恢复)，并支持恢复时开启数据库的</w:t>
      </w:r>
      <w:r>
        <w:rPr>
          <w:rFonts w:hint="eastAsia" w:ascii="宋体" w:hAnsi="宋体"/>
          <w:color w:val="auto"/>
          <w:sz w:val="24"/>
          <w:highlight w:val="none"/>
        </w:rPr>
        <w:t xml:space="preserve">，</w:t>
      </w:r>
      <w:r>
        <w:rPr>
          <w:rFonts w:hint="eastAsia" w:ascii="宋体" w:hAnsi="宋体"/>
          <w:color w:val="auto"/>
          <w:sz w:val="24"/>
          <w:highlight w:val="none"/>
        </w:rPr>
        <w:t xml:space="preserve">得1分；须提供产品功能截图并加盖投标人公章。</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olor w:val="auto"/>
          <w:sz w:val="24"/>
          <w:highlight w:val="none"/>
        </w:rPr>
        <w:t xml:space="preserve">6</w:t>
      </w:r>
      <w:r>
        <w:rPr>
          <w:rFonts w:hint="eastAsia" w:ascii="宋体" w:hAnsi="宋体"/>
          <w:color w:val="auto"/>
          <w:sz w:val="24"/>
          <w:highlight w:val="none"/>
        </w:rPr>
        <w:t xml:space="preserve">  虚拟化管理软件-数据展示（1分）：数据备份、虚拟化平台应提供虚拟交换机的图形化展示，集中化展示虚拟交换机端口使用情况，通过点击虚拟交换机端口，可以快速查看端口详细信息和端口流量实时监控，提供可视化的监控降低运维难度，快速掌握网络情况</w:t>
      </w:r>
      <w:r>
        <w:rPr>
          <w:rFonts w:hint="eastAsia" w:ascii="宋体" w:hAnsi="宋体"/>
          <w:color w:val="auto"/>
          <w:sz w:val="24"/>
          <w:highlight w:val="none"/>
        </w:rPr>
        <w:t xml:space="preserve">的，</w:t>
      </w:r>
      <w:r>
        <w:rPr>
          <w:rFonts w:hint="eastAsia" w:ascii="宋体" w:hAnsi="宋体"/>
          <w:color w:val="auto"/>
          <w:sz w:val="24"/>
          <w:highlight w:val="none"/>
        </w:rPr>
        <w:t xml:space="preserve">得1分；须提供产品功能截图并加盖投标人公章。</w:t>
      </w:r>
      <w:r>
        <w:rPr>
          <w:color w:val="auto"/>
          <w:highlight w:val="none"/>
        </w:rP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节能、环保产品</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分）</w:t>
      </w:r>
      <w:r>
        <w:rPr>
          <w:rFonts w:hint="eastAsia" w:ascii="宋体" w:hAnsi="宋体"/>
          <w:b/>
          <w:bCs/>
          <w:color w:val="auto"/>
          <w:sz w:val="24"/>
          <w:szCs w:val="24"/>
          <w:highlight w:val="none"/>
        </w:rPr>
        <w:t xml:space="preserve">：</w:t>
      </w:r>
      <w:r>
        <w:rPr>
          <w:rFonts w:hint="eastAsia" w:ascii="宋体" w:hAnsi="宋体"/>
          <w:color w:val="auto"/>
          <w:sz w:val="24"/>
          <w:highlight w:val="none"/>
        </w:rPr>
        <w:t xml:space="preserve">依据财政部、发展改革委发布的《节能产品政府采购品目清单》和财政部、生态环境部发布的《</w:t>
      </w:r>
      <w:r>
        <w:rPr>
          <w:rFonts w:ascii="宋体" w:hAnsi="宋体"/>
          <w:color w:val="auto"/>
          <w:sz w:val="24"/>
          <w:highlight w:val="none"/>
        </w:rPr>
        <w:t xml:space="preserve">环境标志产品政府采购品目清单</w:t>
      </w:r>
      <w:r>
        <w:rPr>
          <w:rFonts w:hint="eastAsia" w:ascii="宋体" w:hAnsi="宋体"/>
          <w:color w:val="auto"/>
          <w:sz w:val="24"/>
          <w:highlight w:val="none"/>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b/>
          <w:bCs/>
          <w:color w:val="auto"/>
          <w:sz w:val="24"/>
          <w:szCs w:val="24"/>
          <w:highlight w:val="none"/>
        </w:rPr>
      </w:r>
      <w:r>
        <w:rPr>
          <w:color w:val="auto"/>
          <w:highlight w:val="none"/>
        </w:rP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项目方案（</w:t>
      </w:r>
      <w:r>
        <w:rPr>
          <w:rFonts w:hint="eastAsia" w:ascii="宋体" w:hAnsi="宋体"/>
          <w:b/>
          <w:bCs/>
          <w:color w:val="auto"/>
          <w:sz w:val="24"/>
          <w:szCs w:val="24"/>
          <w:highlight w:val="none"/>
        </w:rPr>
        <w:t xml:space="preserve">53</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rPr>
        <w:t xml:space="preserve">）：无方案不得分。</w:t>
      </w:r>
      <w:r>
        <w:rPr>
          <w:rFonts w:hint="eastAsia" w:ascii="宋体" w:hAnsi="宋体"/>
          <w:b/>
          <w:bCs/>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rPr>
        <w:t xml:space="preserve">.1  </w:t>
      </w:r>
      <w:r>
        <w:rPr>
          <w:rFonts w:hint="eastAsia" w:ascii="宋体" w:hAnsi="宋体"/>
          <w:color w:val="auto"/>
          <w:sz w:val="24"/>
          <w:highlight w:val="none"/>
        </w:rPr>
        <w:t xml:space="preserve">项目管理实施方案（</w:t>
      </w:r>
      <w:r>
        <w:rPr>
          <w:rFonts w:ascii="宋体" w:hAnsi="宋体"/>
          <w:color w:val="auto"/>
          <w:sz w:val="24"/>
          <w:highlight w:val="none"/>
        </w:rPr>
        <w:t xml:space="preserve">22</w:t>
      </w:r>
      <w:r>
        <w:rPr>
          <w:rFonts w:hint="eastAsia" w:ascii="宋体" w:hAnsi="宋体"/>
          <w:color w:val="auto"/>
          <w:sz w:val="24"/>
          <w:highlight w:val="none"/>
        </w:rPr>
        <w:t xml:space="preserve">分）：需包括①针对本项目的实施计划方案分析；②分析本项目实施过程中存在的实施风险及对应的控制措施；③针对实施工作的进度保障措施；④针对实施工作的质量保障措施；⑤针对实施工作的安全保障措施；⑥针对实施工作的环境保障措施；⑦针对整个项目系统的建设调试方案；⑧需要的劳动力需求计划及保证措施方案；⑨需要的主要施工机械设备需求计划及保证措施方案；⑩针对项目中实施方法和技术措施；</w:t>
      </w:r>
      <w:r>
        <w:rPr>
          <w:rFonts w:ascii="Cambria Math" w:hAnsi="Cambria Math" w:cs="Cambria Math"/>
          <w:color w:val="auto"/>
          <w:sz w:val="24"/>
          <w:highlight w:val="none"/>
        </w:rPr>
        <w:t xml:space="preserve">⑪</w:t>
      </w:r>
      <w:r>
        <w:rPr>
          <w:rFonts w:hint="eastAsia" w:ascii="宋体" w:hAnsi="宋体" w:cs="宋体"/>
          <w:color w:val="auto"/>
          <w:sz w:val="24"/>
          <w:highlight w:val="none"/>
        </w:rPr>
        <w:t xml:space="preserve">针对项目实施过程中</w:t>
      </w:r>
      <w:r>
        <w:rPr>
          <w:rFonts w:hint="eastAsia" w:ascii="宋体" w:hAnsi="宋体" w:cs="宋体"/>
          <w:color w:val="auto"/>
          <w:sz w:val="24"/>
          <w:highlight w:val="none"/>
        </w:rPr>
        <w:t xml:space="preserve">可能遇到的公共卫生突发事件的应急预案。</w:t>
      </w:r>
      <w:r>
        <w:rPr>
          <w:rFonts w:hint="eastAsia" w:ascii="宋体" w:hAnsi="宋体"/>
          <w:color w:val="auto"/>
          <w:sz w:val="24"/>
          <w:highlight w:val="none"/>
        </w:rPr>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供应商根据项目需求书提供对上述内容合理的表述，内容包括但不限于对项目现状理解分析、对项目要达成的目标、服务工作的专业性、规范性、创新性，要求表述内容完整、合理、可行性强。</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以上内容不存在瑕疵：22分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以上内容存在1处瑕疵：18分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以上内容存在2处瑕疵：14分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以上内容存在3处瑕疵：10分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未提供方案或不满足项目需求书要求或内容存在4处及以上瑕疵的不得分。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rPr>
        <w:t xml:space="preserve">.2  培训及验收方案（</w:t>
      </w:r>
      <w:r>
        <w:rPr>
          <w:rFonts w:hint="eastAsia" w:ascii="宋体" w:hAnsi="宋体"/>
          <w:color w:val="auto"/>
          <w:sz w:val="24"/>
          <w:highlight w:val="none"/>
        </w:rPr>
        <w:t xml:space="preserve">16</w:t>
      </w:r>
      <w:r>
        <w:rPr>
          <w:rFonts w:hint="eastAsia" w:ascii="宋体" w:hAnsi="宋体"/>
          <w:color w:val="auto"/>
          <w:sz w:val="24"/>
          <w:highlight w:val="none"/>
        </w:rPr>
        <w:t xml:space="preserve">分</w:t>
      </w:r>
      <w:r>
        <w:rPr>
          <w:rFonts w:hint="eastAsia" w:ascii="宋体" w:hAnsi="宋体"/>
          <w:color w:val="auto"/>
          <w:sz w:val="24"/>
          <w:highlight w:val="none"/>
        </w:rPr>
        <w:t xml:space="preserve">）：需包括①针对项目日常使用人员的培训内容概述；②使用人员的详细培训计划安排；③培训流程质量保障详述；④该项目系统的验收准测，详细验收流程与方法。</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以上内容不存在瑕疵：</w:t>
      </w:r>
      <w:r>
        <w:rPr>
          <w:rFonts w:hint="eastAsia" w:ascii="宋体" w:hAnsi="宋体"/>
          <w:color w:val="auto"/>
          <w:sz w:val="24"/>
          <w:highlight w:val="none"/>
        </w:rPr>
        <w:t xml:space="preserve">16</w:t>
      </w:r>
      <w:r>
        <w:rPr>
          <w:rFonts w:hint="eastAsia" w:ascii="宋体" w:hAnsi="宋体"/>
          <w:color w:val="auto"/>
          <w:sz w:val="24"/>
          <w:highlight w:val="none"/>
        </w:rPr>
        <w:t xml:space="preserve">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以上内容存在1处瑕疵：</w:t>
      </w:r>
      <w:r>
        <w:rPr>
          <w:rFonts w:hint="eastAsia" w:ascii="宋体" w:hAnsi="宋体"/>
          <w:color w:val="auto"/>
          <w:sz w:val="24"/>
          <w:highlight w:val="none"/>
        </w:rPr>
        <w:t xml:space="preserve">13</w:t>
      </w:r>
      <w:r>
        <w:rPr>
          <w:rFonts w:hint="eastAsia" w:ascii="宋体" w:hAnsi="宋体"/>
          <w:color w:val="auto"/>
          <w:sz w:val="24"/>
          <w:highlight w:val="none"/>
        </w:rPr>
        <w:t xml:space="preserve">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以上内容存在2处瑕疵：</w:t>
      </w:r>
      <w:r>
        <w:rPr>
          <w:rFonts w:hint="eastAsia" w:ascii="宋体" w:hAnsi="宋体"/>
          <w:color w:val="auto"/>
          <w:sz w:val="24"/>
          <w:highlight w:val="none"/>
        </w:rPr>
        <w:t xml:space="preserve">10</w:t>
      </w:r>
      <w:r>
        <w:rPr>
          <w:rFonts w:hint="eastAsia" w:ascii="宋体" w:hAnsi="宋体"/>
          <w:color w:val="auto"/>
          <w:sz w:val="24"/>
          <w:highlight w:val="none"/>
        </w:rPr>
        <w:t xml:space="preserve">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以上内容存在3处瑕疵：</w:t>
      </w:r>
      <w:r>
        <w:rPr>
          <w:rFonts w:hint="eastAsia" w:ascii="宋体" w:hAnsi="宋体"/>
          <w:color w:val="auto"/>
          <w:sz w:val="24"/>
          <w:highlight w:val="none"/>
        </w:rPr>
        <w:t xml:space="preserve">7</w:t>
      </w:r>
      <w:r>
        <w:rPr>
          <w:rFonts w:hint="eastAsia" w:ascii="宋体" w:hAnsi="宋体"/>
          <w:color w:val="auto"/>
          <w:sz w:val="24"/>
          <w:highlight w:val="none"/>
        </w:rPr>
        <w:t xml:space="preserve">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未提供方案或不满足项目需求书要求或内容存在4处及以上瑕疵的不得分。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rPr>
        <w:t xml:space="preserve">.3  售后服务方案（</w:t>
      </w:r>
      <w:r>
        <w:rPr>
          <w:rFonts w:hint="eastAsia" w:ascii="宋体" w:hAnsi="宋体"/>
          <w:color w:val="auto"/>
          <w:sz w:val="24"/>
          <w:highlight w:val="none"/>
        </w:rPr>
        <w:t xml:space="preserve">15</w:t>
      </w:r>
      <w:r>
        <w:rPr>
          <w:rFonts w:hint="eastAsia" w:ascii="宋体" w:hAnsi="宋体"/>
          <w:color w:val="auto"/>
          <w:sz w:val="24"/>
          <w:highlight w:val="none"/>
        </w:rPr>
        <w:t xml:space="preserve">分</w:t>
      </w:r>
      <w:r>
        <w:rPr>
          <w:rFonts w:hint="eastAsia" w:ascii="宋体" w:hAnsi="宋体"/>
          <w:color w:val="auto"/>
          <w:sz w:val="24"/>
          <w:highlight w:val="none"/>
        </w:rPr>
        <w:t xml:space="preserve">）：需包括①详细的售后服务组织架构及售后服务保障制度说明；②详细的售后服务内容和形式介绍方案；③该项目系统的日常维护计划及方案；④故障响应时间及处理流程；⑤重大故障的应急预案和处理措施。</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以上内容不存在瑕疵：</w:t>
      </w:r>
      <w:r>
        <w:rPr>
          <w:rFonts w:hint="eastAsia" w:ascii="宋体" w:hAnsi="宋体"/>
          <w:color w:val="auto"/>
          <w:sz w:val="24"/>
          <w:highlight w:val="none"/>
        </w:rPr>
        <w:t xml:space="preserve">15</w:t>
      </w:r>
      <w:r>
        <w:rPr>
          <w:rFonts w:hint="eastAsia" w:ascii="宋体" w:hAnsi="宋体"/>
          <w:color w:val="auto"/>
          <w:sz w:val="24"/>
          <w:highlight w:val="none"/>
        </w:rPr>
        <w:t xml:space="preserve">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以上内容存在1处瑕疵：</w:t>
      </w:r>
      <w:r>
        <w:rPr>
          <w:rFonts w:hint="eastAsia" w:ascii="宋体" w:hAnsi="宋体"/>
          <w:color w:val="auto"/>
          <w:sz w:val="24"/>
          <w:highlight w:val="none"/>
        </w:rPr>
        <w:t xml:space="preserve">12</w:t>
      </w:r>
      <w:r>
        <w:rPr>
          <w:rFonts w:hint="eastAsia" w:ascii="宋体" w:hAnsi="宋体"/>
          <w:color w:val="auto"/>
          <w:sz w:val="24"/>
          <w:highlight w:val="none"/>
        </w:rPr>
        <w:t xml:space="preserve">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以上内容存在2处瑕疵：</w:t>
      </w:r>
      <w:r>
        <w:rPr>
          <w:rFonts w:hint="eastAsia" w:ascii="宋体" w:hAnsi="宋体"/>
          <w:color w:val="auto"/>
          <w:sz w:val="24"/>
          <w:highlight w:val="none"/>
        </w:rPr>
        <w:t xml:space="preserve">9</w:t>
      </w:r>
      <w:r>
        <w:rPr>
          <w:rFonts w:hint="eastAsia" w:ascii="宋体" w:hAnsi="宋体"/>
          <w:color w:val="auto"/>
          <w:sz w:val="24"/>
          <w:highlight w:val="none"/>
        </w:rPr>
        <w:t xml:space="preserve">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以上内容存在3处瑕疵：</w:t>
      </w:r>
      <w:r>
        <w:rPr>
          <w:rFonts w:hint="eastAsia" w:ascii="宋体" w:hAnsi="宋体"/>
          <w:color w:val="auto"/>
          <w:sz w:val="24"/>
          <w:highlight w:val="none"/>
        </w:rPr>
        <w:t xml:space="preserve">6</w:t>
      </w:r>
      <w:r>
        <w:rPr>
          <w:rFonts w:hint="eastAsia" w:ascii="宋体" w:hAnsi="宋体"/>
          <w:color w:val="auto"/>
          <w:sz w:val="24"/>
          <w:highlight w:val="none"/>
        </w:rPr>
        <w:t xml:space="preserve">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未提供方案或不满足项目需求书要求或内容存在4处及以上瑕疵的不得分。</w:t>
      </w:r>
      <w:r>
        <w:rPr>
          <w:color w:val="auto"/>
          <w:highlight w:val="none"/>
        </w:rPr>
      </w:r>
    </w:p>
    <w:p>
      <w:pPr>
        <w:pStyle w:val="90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auto"/>
          <w:highlight w:val="none"/>
        </w:rPr>
      </w:r>
    </w:p>
    <w:p>
      <w:pPr>
        <w:pStyle w:val="901"/>
        <w:ind w:left="480"/>
        <w:spacing w:line="500" w:lineRule="exact"/>
        <w:tabs>
          <w:tab w:val="left" w:pos="945" w:leader="none"/>
          <w:tab w:val="left" w:pos="1155" w:leader="none"/>
          <w:tab w:val="left" w:pos="3823" w:leader="none"/>
        </w:tabs>
        <w:rPr>
          <w:rFonts w:ascii="宋体" w:hAnsi="宋体"/>
          <w:b/>
          <w:bCs/>
          <w:color w:val="auto"/>
          <w:sz w:val="24"/>
          <w:szCs w:val="24"/>
          <w:highlight w:val="none"/>
        </w:rPr>
      </w:pPr>
      <w:r>
        <w:rPr>
          <w:rFonts w:ascii="宋体" w:hAnsi="宋体"/>
          <w:b/>
          <w:bCs/>
          <w:color w:val="auto"/>
          <w:sz w:val="24"/>
          <w:szCs w:val="24"/>
          <w:highlight w:val="none"/>
        </w:rPr>
      </w:r>
      <w:r>
        <w:rPr>
          <w:color w:val="auto"/>
          <w:highlight w:val="none"/>
        </w:rPr>
      </w:r>
    </w:p>
    <w:p>
      <w:pPr>
        <w:pStyle w:val="989"/>
        <w:jc w:val="center"/>
        <w:spacing w:before="0" w:after="0" w:line="500" w:lineRule="exact"/>
        <w:rPr>
          <w:rFonts w:hint="eastAsia" w:ascii="黑体" w:eastAsia="黑体"/>
          <w:bCs/>
          <w:color w:val="auto"/>
          <w:sz w:val="36"/>
          <w:szCs w:val="36"/>
          <w:highlight w:val="none"/>
        </w:rPr>
      </w:pPr>
      <w:r>
        <w:rPr>
          <w:rFonts w:ascii="宋体" w:hAnsi="宋体"/>
          <w:color w:val="auto"/>
          <w:highlight w:val="none"/>
        </w:rPr>
        <w:br w:type="page" w:clear="all"/>
      </w:r>
      <w:r>
        <w:rPr>
          <w:rFonts w:hint="eastAsia" w:ascii="黑体" w:eastAsia="黑体"/>
          <w:bCs/>
          <w:color w:val="auto"/>
          <w:sz w:val="36"/>
          <w:szCs w:val="36"/>
          <w:highlight w:val="none"/>
        </w:rPr>
        <w:t xml:space="preserve">第六章  </w:t>
      </w:r>
      <w:bookmarkEnd w:id="191"/>
      <w:r>
        <w:rPr>
          <w:color w:val="auto"/>
          <w:highlight w:val="none"/>
        </w:rPr>
      </w:r>
      <w:bookmarkEnd w:id="192"/>
      <w:r>
        <w:rPr>
          <w:color w:val="auto"/>
          <w:highlight w:val="none"/>
        </w:rPr>
      </w:r>
      <w:bookmarkEnd w:id="193"/>
      <w:r>
        <w:rPr>
          <w:rFonts w:hint="eastAsia" w:ascii="黑体" w:eastAsia="黑体"/>
          <w:bCs/>
          <w:color w:val="auto"/>
          <w:sz w:val="36"/>
          <w:szCs w:val="36"/>
          <w:highlight w:val="none"/>
        </w:rPr>
        <w:t xml:space="preserve">投标文件内容与格式</w:t>
      </w:r>
      <w:r>
        <w:rPr>
          <w:color w:val="auto"/>
          <w:highlight w:val="none"/>
        </w:rPr>
      </w:r>
    </w:p>
    <w:p>
      <w:pPr>
        <w:pStyle w:val="989"/>
        <w:ind w:firstLine="602"/>
        <w:spacing w:before="0" w:after="0" w:line="500" w:lineRule="exact"/>
        <w:rPr>
          <w:rFonts w:hint="eastAsia" w:cs="Arial"/>
          <w:b/>
          <w:color w:val="auto"/>
          <w:sz w:val="30"/>
          <w:szCs w:val="30"/>
          <w:highlight w:val="none"/>
        </w:rPr>
      </w:pPr>
      <w:r>
        <w:rPr>
          <w:color w:val="auto"/>
          <w:highlight w:val="none"/>
        </w:rPr>
      </w:r>
      <w:bookmarkStart w:id="194" w:name="_Hlt26955039"/>
      <w:r>
        <w:rPr>
          <w:color w:val="auto"/>
          <w:highlight w:val="none"/>
        </w:rPr>
      </w:r>
      <w:bookmarkEnd w:id="194"/>
      <w:r>
        <w:rPr>
          <w:color w:val="auto"/>
          <w:highlight w:val="none"/>
        </w:rPr>
      </w:r>
      <w:bookmarkStart w:id="195" w:name="_Toc49090576"/>
      <w:r>
        <w:rPr>
          <w:color w:val="auto"/>
          <w:highlight w:val="none"/>
        </w:rPr>
      </w:r>
      <w:bookmarkStart w:id="196" w:name="_Toc120614282"/>
      <w:r>
        <w:rPr>
          <w:color w:val="auto"/>
          <w:highlight w:val="none"/>
        </w:rPr>
      </w:r>
      <w:bookmarkStart w:id="197" w:name="_Toc26554094"/>
      <w:r>
        <w:rPr>
          <w:color w:val="auto"/>
          <w:highlight w:val="none"/>
        </w:rPr>
      </w:r>
      <w:bookmarkStart w:id="198" w:name="_Hlt26671244"/>
      <w:r>
        <w:rPr>
          <w:color w:val="auto"/>
          <w:highlight w:val="none"/>
        </w:rPr>
      </w:r>
      <w:bookmarkEnd w:id="198"/>
      <w:r>
        <w:rPr>
          <w:rFonts w:hint="eastAsia" w:cs="Arial"/>
          <w:b/>
          <w:color w:val="auto"/>
          <w:sz w:val="30"/>
          <w:szCs w:val="30"/>
          <w:highlight w:val="none"/>
        </w:rPr>
        <w:t xml:space="preserve">第一部分  投标文件内容</w:t>
      </w:r>
      <w:r>
        <w:rPr>
          <w:color w:val="auto"/>
          <w:highlight w:val="none"/>
        </w:rPr>
      </w:r>
    </w:p>
    <w:p>
      <w:pPr>
        <w:pStyle w:val="989"/>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rPr>
          <w:rFonts w:hint="eastAsia" w:cs="Arial"/>
          <w:b/>
          <w:color w:val="auto"/>
          <w:sz w:val="28"/>
          <w:szCs w:val="28"/>
          <w:highlight w:val="none"/>
        </w:rPr>
      </w:r>
      <w:r>
        <w:rPr>
          <w:color w:val="auto"/>
          <w:highlight w:val="none"/>
        </w:rP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9"/>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rPr>
                <w:color w:val="auto"/>
                <w:highlight w:val="none"/>
              </w:rPr>
            </w:r>
          </w:p>
        </w:tc>
        <w:tc>
          <w:tcPr>
            <w:tcW w:w="6104" w:type="dxa"/>
            <w:vAlign w:val="center"/>
            <w:textDirection w:val="lrTb"/>
            <w:noWrap w:val="false"/>
          </w:tcPr>
          <w:p>
            <w:pPr>
              <w:pStyle w:val="989"/>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color w:val="auto"/>
                <w:highlight w:val="none"/>
              </w:rPr>
            </w:r>
          </w:p>
        </w:tc>
        <w:tc>
          <w:tcPr>
            <w:tcW w:w="2449" w:type="dxa"/>
            <w:vAlign w:val="center"/>
            <w:textDirection w:val="lrTb"/>
            <w:noWrap w:val="false"/>
          </w:tcPr>
          <w:p>
            <w:pPr>
              <w:pStyle w:val="989"/>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rPr>
                <w:color w:val="auto"/>
                <w:highlight w:val="none"/>
              </w:rPr>
            </w:r>
          </w:p>
        </w:tc>
      </w:tr>
      <w:tr>
        <w:trPr>
          <w:cantSplit/>
          <w:trHeight w:val="1335"/>
        </w:trPr>
        <w:tc>
          <w:tcPr>
            <w:tcW w:w="719" w:type="dxa"/>
            <w:vAlign w:val="center"/>
            <w:textDirection w:val="lrTb"/>
            <w:noWrap w:val="false"/>
          </w:tcPr>
          <w:p>
            <w:pPr>
              <w:pStyle w:val="98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rPr>
                <w:color w:val="auto"/>
                <w:highlight w:val="none"/>
              </w:rPr>
            </w:r>
          </w:p>
        </w:tc>
        <w:tc>
          <w:tcPr>
            <w:tcW w:w="6104" w:type="dxa"/>
            <w:vAlign w:val="center"/>
            <w:textDirection w:val="lrTb"/>
            <w:noWrap w:val="false"/>
          </w:tcPr>
          <w:p>
            <w:pPr>
              <w:pStyle w:val="98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color w:val="auto"/>
                <w:highlight w:val="none"/>
              </w:rPr>
            </w:r>
          </w:p>
        </w:tc>
        <w:tc>
          <w:tcPr>
            <w:tcW w:w="2449" w:type="dxa"/>
            <w:vAlign w:val="center"/>
            <w:vMerge w:val="restart"/>
            <w:textDirection w:val="lrTb"/>
            <w:noWrap w:val="false"/>
          </w:tcPr>
          <w:p>
            <w:pPr>
              <w:pStyle w:val="98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rPr>
                <w:rFonts w:hint="eastAsia" w:ascii="宋体" w:hAnsi="宋体" w:cs="宋体"/>
                <w:color w:val="auto"/>
                <w:highlight w:val="none"/>
              </w:rPr>
            </w:r>
            <w:r>
              <w:rPr>
                <w:color w:val="auto"/>
                <w:highlight w:val="none"/>
              </w:rPr>
            </w:r>
          </w:p>
        </w:tc>
      </w:tr>
      <w:tr>
        <w:trPr>
          <w:cantSplit/>
          <w:trHeight w:val="812"/>
        </w:trPr>
        <w:tc>
          <w:tcPr>
            <w:tcW w:w="719" w:type="dxa"/>
            <w:vAlign w:val="center"/>
            <w:textDirection w:val="lrTb"/>
            <w:noWrap w:val="false"/>
          </w:tcPr>
          <w:p>
            <w:pPr>
              <w:pStyle w:val="98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rPr>
                <w:color w:val="auto"/>
                <w:highlight w:val="none"/>
              </w:rPr>
            </w:r>
          </w:p>
        </w:tc>
        <w:tc>
          <w:tcPr>
            <w:tcW w:w="6104" w:type="dxa"/>
            <w:vAlign w:val="center"/>
            <w:textDirection w:val="lrTb"/>
            <w:noWrap w:val="false"/>
          </w:tcPr>
          <w:p>
            <w:pPr>
              <w:pStyle w:val="98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rPr>
                <w:color w:val="auto"/>
                <w:highlight w:val="none"/>
              </w:rP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8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rPr>
                <w:color w:val="auto"/>
                <w:highlight w:val="none"/>
              </w:rPr>
            </w:r>
          </w:p>
        </w:tc>
        <w:tc>
          <w:tcPr>
            <w:tcW w:w="6104" w:type="dxa"/>
            <w:vAlign w:val="center"/>
            <w:textDirection w:val="lrTb"/>
            <w:noWrap w:val="false"/>
          </w:tcPr>
          <w:p>
            <w:pPr>
              <w:pStyle w:val="98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8"/>
                <w:rFonts w:hint="eastAsia" w:ascii="宋体" w:hAnsi="宋体" w:cs="宋体"/>
                <w:color w:val="auto"/>
                <w:sz w:val="24"/>
                <w:szCs w:val="24"/>
                <w:highlight w:val="none"/>
              </w:rPr>
              <w:t xml:space="preserve">。</w:t>
            </w:r>
            <w:r>
              <w:rPr>
                <w:rFonts w:hint="eastAsia" w:ascii="宋体" w:hAnsi="宋体" w:cs="宋体"/>
                <w:color w:val="auto"/>
                <w:highlight w:val="none"/>
              </w:rPr>
            </w:r>
            <w:r>
              <w:rPr>
                <w:color w:val="auto"/>
                <w:highlight w:val="none"/>
              </w:rP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8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rPr>
                <w:color w:val="auto"/>
                <w:highlight w:val="none"/>
              </w:rPr>
            </w:r>
          </w:p>
        </w:tc>
        <w:tc>
          <w:tcPr>
            <w:tcW w:w="6104" w:type="dxa"/>
            <w:vAlign w:val="center"/>
            <w:textDirection w:val="lrTb"/>
            <w:noWrap w:val="false"/>
          </w:tcPr>
          <w:p>
            <w:pPr>
              <w:pStyle w:val="98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rPr>
                <w:color w:val="auto"/>
                <w:highlight w:val="none"/>
              </w:rP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8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rPr>
                <w:color w:val="auto"/>
                <w:highlight w:val="none"/>
              </w:rPr>
            </w:r>
          </w:p>
        </w:tc>
        <w:tc>
          <w:tcPr>
            <w:tcW w:w="6104" w:type="dxa"/>
            <w:vAlign w:val="center"/>
            <w:textDirection w:val="lrTb"/>
            <w:noWrap w:val="false"/>
          </w:tcPr>
          <w:p>
            <w:pPr>
              <w:pStyle w:val="98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rPr>
                <w:color w:val="auto"/>
                <w:highlight w:val="none"/>
              </w:rP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8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rPr>
                <w:color w:val="auto"/>
                <w:highlight w:val="none"/>
              </w:rPr>
            </w:r>
          </w:p>
        </w:tc>
        <w:tc>
          <w:tcPr>
            <w:tcBorders>
              <w:bottom w:val="single" w:color="000000" w:sz="4" w:space="0"/>
            </w:tcBorders>
            <w:tcW w:w="6104" w:type="dxa"/>
            <w:vAlign w:val="center"/>
            <w:textDirection w:val="lrTb"/>
            <w:noWrap w:val="false"/>
          </w:tcPr>
          <w:p>
            <w:pPr>
              <w:pStyle w:val="98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rPr>
                <w:color w:val="auto"/>
                <w:highlight w:val="none"/>
              </w:rP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rPr>
                <w:color w:val="auto"/>
                <w:highlight w:val="none"/>
              </w:rPr>
            </w:r>
          </w:p>
        </w:tc>
        <w:tc>
          <w:tcPr>
            <w:tcW w:w="6104" w:type="dxa"/>
            <w:vAlign w:val="center"/>
            <w:textDirection w:val="lrTb"/>
            <w:noWrap w:val="false"/>
          </w:tcPr>
          <w:p>
            <w:pPr>
              <w:pStyle w:val="98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w:t>
            </w:r>
            <w:r>
              <w:rPr>
                <w:rFonts w:hint="eastAsia" w:ascii="宋体" w:hAnsi="宋体" w:cs="宋体"/>
                <w:color w:val="auto"/>
                <w:highlight w:val="none"/>
              </w:rPr>
              <w:t xml:space="preserve">中小企业政策</w:t>
            </w:r>
            <w:r>
              <w:rPr>
                <w:rFonts w:hint="eastAsia" w:ascii="宋体" w:hAnsi="宋体" w:cs="宋体"/>
                <w:color w:val="auto"/>
                <w:highlight w:val="none"/>
              </w:rPr>
              <w:t xml:space="preserve">的</w:t>
            </w:r>
            <w:r>
              <w:rPr>
                <w:rFonts w:hint="eastAsia" w:ascii="宋体" w:hAnsi="宋体" w:cs="宋体"/>
                <w:color w:val="auto"/>
                <w:highlight w:val="none"/>
              </w:rPr>
              <w:t xml:space="preserve">证明文件</w:t>
            </w:r>
            <w:r>
              <w:rPr>
                <w:rFonts w:hint="eastAsia" w:ascii="宋体" w:hAnsi="宋体" w:cs="宋体"/>
                <w:color w:val="auto"/>
                <w:highlight w:val="none"/>
              </w:rPr>
              <w:t xml:space="preserve">（如有</w:t>
            </w:r>
            <w:r>
              <w:rPr>
                <w:rFonts w:hint="eastAsia" w:ascii="宋体" w:hAnsi="宋体" w:cs="宋体"/>
                <w:color w:val="auto"/>
                <w:highlight w:val="none"/>
              </w:rPr>
              <w:t xml:space="preserve">中小企业政策</w:t>
            </w:r>
            <w:r>
              <w:rPr>
                <w:rFonts w:hint="eastAsia" w:ascii="宋体" w:hAnsi="宋体" w:cs="宋体"/>
                <w:color w:val="auto"/>
                <w:highlight w:val="none"/>
              </w:rPr>
              <w:t xml:space="preserve">要求</w:t>
            </w:r>
            <w:r>
              <w:rPr>
                <w:rFonts w:hint="eastAsia" w:ascii="宋体" w:hAnsi="宋体" w:cs="宋体"/>
                <w:color w:val="auto"/>
                <w:highlight w:val="none"/>
              </w:rPr>
              <w:t xml:space="preserve">的</w:t>
            </w:r>
            <w:r>
              <w:rPr>
                <w:rFonts w:hint="eastAsia"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color w:val="auto"/>
                <w:highlight w:val="none"/>
              </w:rPr>
            </w:r>
            <w:r>
              <w:rPr>
                <w:color w:val="auto"/>
                <w:highlight w:val="none"/>
              </w:rPr>
            </w:r>
          </w:p>
        </w:tc>
        <w:tc>
          <w:tcPr>
            <w:tcW w:w="2449" w:type="dxa"/>
            <w:vAlign w:val="center"/>
            <w:textDirection w:val="lrTb"/>
            <w:noWrap w:val="false"/>
          </w:tcPr>
          <w:p>
            <w:pPr>
              <w:pStyle w:val="989"/>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rPr>
                <w:rFonts w:ascii="宋体" w:hAnsi="宋体" w:cs="宋体"/>
                <w:color w:val="auto"/>
                <w:highlight w:val="none"/>
              </w:rPr>
            </w:r>
            <w:r>
              <w:rPr>
                <w:color w:val="auto"/>
                <w:highlight w:val="none"/>
              </w:rPr>
            </w:r>
          </w:p>
        </w:tc>
      </w:tr>
      <w:tr>
        <w:trPr>
          <w:trHeight w:val="726"/>
        </w:trPr>
        <w:tc>
          <w:tcPr>
            <w:tcW w:w="719" w:type="dxa"/>
            <w:vAlign w:val="center"/>
            <w:textDirection w:val="lrTb"/>
            <w:noWrap w:val="false"/>
          </w:tcPr>
          <w:p>
            <w:pPr>
              <w:pStyle w:val="989"/>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rPr>
                <w:rFonts w:hint="eastAsia" w:ascii="宋体" w:hAnsi="宋体" w:cs="宋体"/>
                <w:bCs/>
                <w:color w:val="auto"/>
                <w:highlight w:val="none"/>
              </w:rPr>
            </w:r>
            <w:r>
              <w:rPr>
                <w:color w:val="auto"/>
                <w:highlight w:val="none"/>
              </w:rPr>
            </w:r>
          </w:p>
        </w:tc>
        <w:tc>
          <w:tcPr>
            <w:tcW w:w="6104" w:type="dxa"/>
            <w:vAlign w:val="center"/>
            <w:textDirection w:val="lrTb"/>
            <w:noWrap w:val="false"/>
          </w:tcPr>
          <w:p>
            <w:pPr>
              <w:pStyle w:val="989"/>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rPr>
                <w:rFonts w:hint="eastAsia"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bCs/>
                <w:color w:val="auto"/>
                <w:highlight w:val="none"/>
              </w:rPr>
            </w:r>
            <w:r>
              <w:rPr>
                <w:color w:val="auto"/>
                <w:highlight w:val="none"/>
              </w:rPr>
            </w:r>
          </w:p>
        </w:tc>
        <w:tc>
          <w:tcPr>
            <w:tcW w:w="2449" w:type="dxa"/>
            <w:vAlign w:val="center"/>
            <w:textDirection w:val="lrTb"/>
            <w:noWrap w:val="false"/>
          </w:tcPr>
          <w:p>
            <w:pPr>
              <w:pStyle w:val="989"/>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rPr>
              <w:t xml:space="preserve">，</w:t>
            </w:r>
            <w:r>
              <w:rPr>
                <w:rFonts w:hint="eastAsia" w:ascii="宋体" w:hAnsi="宋体" w:cs="宋体"/>
                <w:color w:val="auto"/>
                <w:highlight w:val="none"/>
              </w:rPr>
              <w:t xml:space="preserve">详见第一章《投标邀请》</w:t>
            </w:r>
            <w:r>
              <w:rPr>
                <w:rFonts w:hint="eastAsia" w:ascii="宋体" w:hAnsi="宋体" w:cs="宋体"/>
                <w:bCs/>
                <w:color w:val="auto"/>
                <w:highlight w:val="none"/>
              </w:rPr>
            </w:r>
            <w:r>
              <w:rPr>
                <w:color w:val="auto"/>
                <w:highlight w:val="none"/>
              </w:rPr>
            </w:r>
          </w:p>
        </w:tc>
      </w:tr>
      <w:tr>
        <w:trPr>
          <w:trHeight w:val="632"/>
        </w:trPr>
        <w:tc>
          <w:tcPr>
            <w:tcW w:w="719" w:type="dxa"/>
            <w:vAlign w:val="center"/>
            <w:textDirection w:val="lrTb"/>
            <w:noWrap w:val="false"/>
          </w:tcPr>
          <w:p>
            <w:pPr>
              <w:pStyle w:val="989"/>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rPr>
                <w:color w:val="auto"/>
                <w:highlight w:val="none"/>
              </w:rPr>
            </w:r>
          </w:p>
        </w:tc>
        <w:tc>
          <w:tcPr>
            <w:gridSpan w:val="2"/>
            <w:tcW w:w="8553" w:type="dxa"/>
            <w:vAlign w:val="center"/>
            <w:textDirection w:val="lrTb"/>
            <w:noWrap w:val="false"/>
          </w:tcPr>
          <w:p>
            <w:pPr>
              <w:pStyle w:val="989"/>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rPr>
                <w:rFonts w:hint="eastAsia" w:ascii="宋体" w:hAnsi="宋体" w:cs="宋体"/>
                <w:color w:val="auto"/>
                <w:highlight w:val="none"/>
              </w:rPr>
            </w:r>
            <w:r>
              <w:rPr>
                <w:color w:val="auto"/>
                <w:highlight w:val="none"/>
              </w:rPr>
            </w:r>
          </w:p>
        </w:tc>
      </w:tr>
    </w:tbl>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pStyle w:val="901"/>
        <w:numPr>
          <w:ilvl w:val="0"/>
          <w:numId w:val="10"/>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color w:val="auto"/>
          <w:sz w:val="24"/>
          <w:szCs w:val="24"/>
          <w:highlight w:val="none"/>
        </w:rPr>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auto"/>
          <w:highlight w:val="none"/>
        </w:rPr>
      </w:r>
    </w:p>
    <w:p>
      <w:pPr>
        <w:pStyle w:val="901"/>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w:t>
      </w:r>
      <w:r>
        <w:rPr>
          <w:rFonts w:hint="eastAsia" w:ascii="宋体" w:hAnsi="宋体"/>
          <w:color w:val="auto"/>
          <w:sz w:val="24"/>
          <w:szCs w:val="24"/>
          <w:highlight w:val="none"/>
        </w:rPr>
        <w:t xml:space="preserve">落实政府采购政策需满足的资格要求中</w:t>
      </w:r>
      <w:r>
        <w:rPr>
          <w:rFonts w:hint="eastAsia" w:ascii="宋体" w:hAnsi="宋体"/>
          <w:color w:val="auto"/>
          <w:sz w:val="24"/>
          <w:szCs w:val="24"/>
          <w:highlight w:val="none"/>
        </w:rPr>
        <w:t xml:space="preserve">有</w:t>
      </w:r>
      <w:r>
        <w:rPr>
          <w:rFonts w:hint="eastAsia" w:ascii="宋体" w:hAnsi="宋体"/>
          <w:color w:val="auto"/>
          <w:sz w:val="24"/>
          <w:szCs w:val="24"/>
          <w:highlight w:val="none"/>
        </w:rPr>
        <w:t xml:space="preserve">中小企业政策</w:t>
      </w:r>
      <w:r>
        <w:rPr>
          <w:rFonts w:hint="eastAsia" w:ascii="宋体" w:hAnsi="宋体"/>
          <w:color w:val="auto"/>
          <w:sz w:val="24"/>
          <w:szCs w:val="24"/>
          <w:highlight w:val="none"/>
        </w:rPr>
        <w:t xml:space="preserve">要求</w:t>
      </w:r>
      <w:r>
        <w:rPr>
          <w:rFonts w:hint="eastAsia" w:ascii="宋体" w:hAnsi="宋体"/>
          <w:color w:val="auto"/>
          <w:sz w:val="24"/>
          <w:szCs w:val="24"/>
          <w:highlight w:val="none"/>
        </w:rPr>
        <w:t xml:space="preserve">的（详见第一章《投标邀请》），必须提供相应证明文件，否则投标文件无效。</w:t>
      </w:r>
      <w:r>
        <w:rPr>
          <w:color w:val="auto"/>
          <w:highlight w:val="none"/>
        </w:rPr>
      </w:r>
    </w:p>
    <w:p>
      <w:pPr>
        <w:pStyle w:val="901"/>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小</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微</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企业、监狱企业或残疾人福利性单位；专门面向小微企业，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专门面向小型、微型企业</w:t>
      </w:r>
      <w:r>
        <w:rPr>
          <w:rFonts w:hint="eastAsia" w:ascii="宋体" w:hAnsi="宋体"/>
          <w:color w:val="auto"/>
          <w:sz w:val="24"/>
          <w:szCs w:val="24"/>
          <w:highlight w:val="none"/>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auto"/>
          <w:sz w:val="24"/>
          <w:szCs w:val="24"/>
          <w:highlight w:val="none"/>
        </w:rPr>
      </w:r>
      <w:r>
        <w:rPr>
          <w:color w:val="auto"/>
          <w:highlight w:val="none"/>
        </w:rPr>
      </w:r>
    </w:p>
    <w:p>
      <w:pPr>
        <w:pStyle w:val="901"/>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项，如本项目有特定资格要求的（详见第一章《投标邀请》），须提供相应的特定资格证明文件。</w:t>
      </w:r>
      <w:r>
        <w:rPr>
          <w:color w:val="auto"/>
          <w:highlight w:val="none"/>
        </w:rPr>
      </w:r>
    </w:p>
    <w:p>
      <w:pPr>
        <w:pStyle w:val="901"/>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auto"/>
          <w:highlight w:val="none"/>
        </w:rPr>
      </w:r>
    </w:p>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w:t>
      </w:r>
      <w:r>
        <w:rPr>
          <w:rFonts w:hint="eastAsia" w:ascii="宋体" w:hAnsi="宋体"/>
          <w:color w:val="auto"/>
          <w:sz w:val="24"/>
          <w:szCs w:val="24"/>
          <w:highlight w:val="none"/>
        </w:rPr>
        <w:t xml:space="preserve">（如有</w:t>
      </w:r>
      <w:r>
        <w:rPr>
          <w:rFonts w:hint="eastAsia" w:ascii="宋体" w:hAnsi="宋体"/>
          <w:color w:val="auto"/>
          <w:sz w:val="24"/>
          <w:szCs w:val="24"/>
          <w:highlight w:val="none"/>
        </w:rPr>
        <w:t xml:space="preserve">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项，联合体各方均须提供。</w:t>
      </w:r>
      <w:r>
        <w:rPr>
          <w:color w:val="auto"/>
          <w:highlight w:val="none"/>
        </w:rPr>
      </w:r>
    </w:p>
    <w:p>
      <w:pPr>
        <w:pStyle w:val="901"/>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w:t>
      </w:r>
      <w:r>
        <w:rPr>
          <w:rFonts w:hint="eastAsia"/>
          <w:b/>
          <w:color w:val="auto"/>
          <w:sz w:val="28"/>
          <w:szCs w:val="28"/>
          <w:highlight w:val="none"/>
        </w:rPr>
        <w:t xml:space="preserve">及其他证明文件</w:t>
      </w:r>
      <w:r>
        <w:rPr>
          <w:rFonts w:hint="eastAsia"/>
          <w:b/>
          <w:color w:val="auto"/>
          <w:sz w:val="28"/>
          <w:szCs w:val="28"/>
          <w:highlight w:val="none"/>
        </w:rPr>
      </w:r>
      <w:r>
        <w:rPr>
          <w:color w:val="auto"/>
          <w:highlight w:val="none"/>
        </w:rPr>
      </w:r>
    </w:p>
    <w:p>
      <w:pPr>
        <w:pStyle w:val="901"/>
        <w:rPr>
          <w:b/>
          <w:color w:val="auto"/>
          <w:sz w:val="28"/>
          <w:szCs w:val="28"/>
          <w:highlight w:val="none"/>
        </w:rPr>
      </w:pPr>
      <w:r>
        <w:rPr>
          <w:rFonts w:hint="eastAsia"/>
          <w:b/>
          <w:color w:val="auto"/>
          <w:sz w:val="28"/>
          <w:szCs w:val="28"/>
          <w:highlight w:val="none"/>
        </w:rPr>
        <w:t xml:space="preserve">（一）符合性证明文件</w:t>
      </w:r>
      <w:r>
        <w:rPr>
          <w:b/>
          <w:color w:val="auto"/>
          <w:sz w:val="28"/>
          <w:szCs w:val="28"/>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9"/>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rPr>
                <w:color w:val="auto"/>
                <w:highlight w:val="none"/>
              </w:rPr>
            </w:r>
          </w:p>
        </w:tc>
        <w:tc>
          <w:tcPr>
            <w:tcW w:w="6095" w:type="dxa"/>
            <w:vAlign w:val="center"/>
            <w:textDirection w:val="lrTb"/>
            <w:noWrap w:val="false"/>
          </w:tcPr>
          <w:p>
            <w:pPr>
              <w:pStyle w:val="989"/>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rFonts w:hint="eastAsia" w:cs="Arial"/>
                <w:b/>
                <w:color w:val="auto"/>
                <w:highlight w:val="none"/>
              </w:rPr>
            </w:r>
            <w:r>
              <w:rPr>
                <w:color w:val="auto"/>
                <w:highlight w:val="none"/>
              </w:rPr>
            </w:r>
          </w:p>
        </w:tc>
        <w:tc>
          <w:tcPr>
            <w:tcW w:w="1979" w:type="dxa"/>
            <w:vAlign w:val="center"/>
            <w:textDirection w:val="lrTb"/>
            <w:noWrap w:val="false"/>
          </w:tcPr>
          <w:p>
            <w:pPr>
              <w:pStyle w:val="989"/>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rPr>
                <w:color w:val="auto"/>
                <w:highlight w:val="none"/>
              </w:rP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rPr>
                <w:color w:val="auto"/>
                <w:highlight w:val="none"/>
              </w:rPr>
            </w:r>
          </w:p>
        </w:tc>
        <w:tc>
          <w:tcPr>
            <w:tcW w:w="6095" w:type="dxa"/>
            <w:vAlign w:val="center"/>
            <w:textDirection w:val="lrTb"/>
            <w:noWrap w:val="false"/>
          </w:tcPr>
          <w:p>
            <w:pPr>
              <w:pStyle w:val="989"/>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rPr>
                <w:color w:val="auto"/>
                <w:highlight w:val="none"/>
              </w:rPr>
            </w:r>
          </w:p>
        </w:tc>
        <w:tc>
          <w:tcPr>
            <w:tcW w:w="1979" w:type="dxa"/>
            <w:vAlign w:val="center"/>
            <w:vMerge w:val="restart"/>
            <w:textDirection w:val="lrTb"/>
            <w:noWrap w:val="false"/>
          </w:tcPr>
          <w:p>
            <w:pPr>
              <w:pStyle w:val="989"/>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rPr>
                <w:color w:val="auto"/>
                <w:highlight w:val="none"/>
              </w:rP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rPr>
                <w:color w:val="auto"/>
                <w:highlight w:val="none"/>
              </w:rPr>
            </w:r>
          </w:p>
        </w:tc>
        <w:tc>
          <w:tcPr>
            <w:tcW w:w="6095" w:type="dxa"/>
            <w:vAlign w:val="center"/>
            <w:textDirection w:val="lrTb"/>
            <w:noWrap w:val="false"/>
          </w:tcPr>
          <w:p>
            <w:pPr>
              <w:pStyle w:val="989"/>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rPr>
                <w:color w:val="auto"/>
                <w:highlight w:val="none"/>
              </w:rP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rPr>
                <w:color w:val="auto"/>
                <w:highlight w:val="none"/>
              </w:rPr>
            </w:r>
          </w:p>
        </w:tc>
        <w:tc>
          <w:tcPr>
            <w:tcW w:w="6095" w:type="dxa"/>
            <w:vAlign w:val="center"/>
            <w:textDirection w:val="lrTb"/>
            <w:noWrap w:val="false"/>
          </w:tcPr>
          <w:p>
            <w:pPr>
              <w:pStyle w:val="989"/>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开标一览表（“苏采云”系统中给定格式）</w:t>
            </w:r>
            <w:r>
              <w:rPr>
                <w:rFonts w:hint="eastAsia" w:ascii="宋体" w:hAnsi="宋体" w:cs="Arial"/>
                <w:color w:val="auto"/>
                <w:highlight w:val="none"/>
              </w:rPr>
            </w:r>
            <w:r>
              <w:rPr>
                <w:color w:val="auto"/>
                <w:highlight w:val="none"/>
              </w:rPr>
            </w:r>
          </w:p>
        </w:tc>
        <w:tc>
          <w:tcPr>
            <w:tcW w:w="1979" w:type="dxa"/>
            <w:vAlign w:val="center"/>
            <w:vMerge w:val="restart"/>
            <w:textDirection w:val="lrTb"/>
            <w:noWrap w:val="false"/>
          </w:tcPr>
          <w:p>
            <w:pPr>
              <w:pStyle w:val="989"/>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rPr>
                <w:color w:val="auto"/>
                <w:highlight w:val="none"/>
              </w:rP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rPr>
                <w:color w:val="auto"/>
                <w:highlight w:val="none"/>
              </w:rPr>
            </w:r>
          </w:p>
        </w:tc>
        <w:tc>
          <w:tcPr>
            <w:tcW w:w="6095" w:type="dxa"/>
            <w:vAlign w:val="center"/>
            <w:textDirection w:val="lrTb"/>
            <w:noWrap w:val="false"/>
          </w:tcPr>
          <w:p>
            <w:pPr>
              <w:pStyle w:val="989"/>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rPr>
                <w:rFonts w:hint="eastAsia" w:ascii="宋体" w:hAnsi="宋体" w:cs="Arial"/>
                <w:color w:val="auto"/>
                <w:highlight w:val="none"/>
              </w:rPr>
            </w:r>
            <w:r>
              <w:rPr>
                <w:color w:val="auto"/>
                <w:highlight w:val="none"/>
              </w:rP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rPr>
                <w:color w:val="auto"/>
                <w:highlight w:val="none"/>
              </w:rPr>
            </w:r>
          </w:p>
        </w:tc>
        <w:tc>
          <w:tcPr>
            <w:tcW w:w="6095" w:type="dxa"/>
            <w:vAlign w:val="center"/>
            <w:textDirection w:val="lrTb"/>
            <w:noWrap w:val="false"/>
          </w:tcPr>
          <w:p>
            <w:pPr>
              <w:pStyle w:val="989"/>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rPr>
                <w:rFonts w:ascii="宋体" w:hAnsi="宋体" w:cs="Arial"/>
                <w:color w:val="auto"/>
                <w:highlight w:val="none"/>
              </w:rPr>
            </w:r>
            <w:r>
              <w:rPr>
                <w:color w:val="auto"/>
                <w:highlight w:val="none"/>
              </w:rPr>
            </w:r>
          </w:p>
        </w:tc>
        <w:tc>
          <w:tcPr>
            <w:tcW w:w="1979" w:type="dxa"/>
            <w:vAlign w:val="center"/>
            <w:vMerge w:val="restart"/>
            <w:textDirection w:val="lrTb"/>
            <w:noWrap w:val="false"/>
          </w:tcPr>
          <w:p>
            <w:pPr>
              <w:pStyle w:val="989"/>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rPr>
                <w:color w:val="auto"/>
                <w:highlight w:val="none"/>
              </w:rP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rPr>
                <w:color w:val="auto"/>
                <w:highlight w:val="none"/>
              </w:rPr>
            </w:r>
          </w:p>
        </w:tc>
        <w:tc>
          <w:tcPr>
            <w:tcW w:w="6095" w:type="dxa"/>
            <w:vAlign w:val="center"/>
            <w:textDirection w:val="lrTb"/>
            <w:noWrap w:val="false"/>
          </w:tcPr>
          <w:p>
            <w:pPr>
              <w:pStyle w:val="989"/>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rPr>
                <w:color w:val="auto"/>
                <w:highlight w:val="none"/>
              </w:rP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bl>
    <w:p>
      <w:pPr>
        <w:pStyle w:val="90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pStyle w:val="901"/>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w:t>
      </w:r>
      <w:r>
        <w:rPr>
          <w:rFonts w:hint="eastAsia" w:cs="Arial"/>
          <w:color w:val="auto"/>
          <w:sz w:val="24"/>
          <w:szCs w:val="24"/>
          <w:highlight w:val="none"/>
        </w:rPr>
        <w:t xml:space="preserve">第</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rPr>
          <w:color w:val="auto"/>
          <w:highlight w:val="none"/>
        </w:rPr>
      </w:r>
    </w:p>
    <w:p>
      <w:pPr>
        <w:pStyle w:val="901"/>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w:t>
      </w:r>
      <w:r>
        <w:rPr>
          <w:rFonts w:hint="eastAsia" w:ascii="宋体" w:hAnsi="宋体" w:cs="Arial"/>
          <w:color w:val="auto"/>
          <w:sz w:val="24"/>
          <w:szCs w:val="24"/>
          <w:highlight w:val="none"/>
        </w:rPr>
        <w:t xml:space="preserve">的</w:t>
      </w:r>
      <w:r>
        <w:rPr>
          <w:rFonts w:hint="eastAsia" w:ascii="宋体" w:hAnsi="宋体" w:cs="Arial"/>
          <w:color w:val="auto"/>
          <w:sz w:val="24"/>
          <w:szCs w:val="24"/>
          <w:highlight w:val="none"/>
        </w:rPr>
        <w:t xml:space="preserve">，须按要求提供，否则投标文件无效。</w:t>
      </w:r>
      <w:r>
        <w:rPr>
          <w:rFonts w:hint="eastAsia" w:ascii="宋体" w:hAnsi="宋体"/>
          <w:color w:val="auto"/>
          <w:sz w:val="24"/>
          <w:szCs w:val="24"/>
          <w:highlight w:val="none"/>
        </w:rPr>
      </w:r>
      <w:r>
        <w:rPr>
          <w:color w:val="auto"/>
          <w:highlight w:val="none"/>
        </w:rPr>
      </w:r>
    </w:p>
    <w:p>
      <w:pPr>
        <w:pStyle w:val="901"/>
        <w:numPr>
          <w:ilvl w:val="0"/>
          <w:numId w:val="1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w:t>
      </w:r>
      <w:r>
        <w:rPr>
          <w:rFonts w:hint="eastAsia" w:ascii="宋体" w:hAnsi="宋体" w:cs="宋体"/>
          <w:color w:val="auto"/>
          <w:sz w:val="24"/>
          <w:szCs w:val="24"/>
          <w:highlight w:val="none"/>
        </w:rPr>
        <w:t xml:space="preserve">第6项按《采购需求》中的相应要求</w:t>
      </w:r>
      <w:r>
        <w:rPr>
          <w:rFonts w:hint="eastAsia" w:ascii="宋体" w:hAnsi="宋体" w:cs="宋体"/>
          <w:color w:val="auto"/>
          <w:sz w:val="24"/>
          <w:szCs w:val="24"/>
          <w:highlight w:val="none"/>
        </w:rPr>
        <w:t xml:space="preserve">（如有）进行</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rPr>
      </w:r>
      <w:r>
        <w:rPr>
          <w:color w:val="auto"/>
          <w:highlight w:val="none"/>
        </w:rPr>
      </w:r>
    </w:p>
    <w:p>
      <w:pPr>
        <w:pStyle w:val="901"/>
        <w:rPr>
          <w:rFonts w:hint="eastAsia"/>
          <w:b/>
          <w:color w:val="auto"/>
          <w:sz w:val="28"/>
          <w:szCs w:val="28"/>
          <w:highlight w:val="none"/>
        </w:rPr>
      </w:pPr>
      <w:r>
        <w:rPr>
          <w:rFonts w:hint="eastAsia"/>
          <w:b/>
          <w:color w:val="auto"/>
          <w:sz w:val="28"/>
          <w:szCs w:val="28"/>
          <w:highlight w:val="none"/>
        </w:rPr>
      </w:r>
      <w:r>
        <w:rPr>
          <w:color w:val="auto"/>
          <w:highlight w:val="none"/>
        </w:rPr>
      </w:r>
    </w:p>
    <w:p>
      <w:pPr>
        <w:pStyle w:val="901"/>
        <w:rPr>
          <w:rFonts w:hint="eastAsia"/>
          <w:b/>
          <w:color w:val="auto"/>
          <w:sz w:val="28"/>
          <w:szCs w:val="28"/>
          <w:highlight w:val="none"/>
        </w:rPr>
      </w:pPr>
      <w:r>
        <w:rPr>
          <w:rFonts w:hint="eastAsia"/>
          <w:b/>
          <w:color w:val="auto"/>
          <w:sz w:val="28"/>
          <w:szCs w:val="28"/>
          <w:highlight w:val="none"/>
        </w:rPr>
        <w:t xml:space="preserve">（二）其他证明文件</w:t>
      </w:r>
      <w:r>
        <w:rPr>
          <w:rFonts w:hint="eastAsia"/>
          <w:b/>
          <w:color w:val="auto"/>
          <w:sz w:val="28"/>
          <w:szCs w:val="28"/>
          <w:highlight w:val="none"/>
        </w:rPr>
      </w:r>
      <w:r>
        <w:rPr>
          <w:color w:val="auto"/>
          <w:highlight w:val="none"/>
        </w:rPr>
      </w:r>
    </w:p>
    <w:p>
      <w:pPr>
        <w:pStyle w:val="901"/>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rPr>
          <w:color w:val="auto"/>
          <w:highlight w:val="none"/>
        </w:rPr>
      </w:r>
    </w:p>
    <w:p>
      <w:pPr>
        <w:pStyle w:val="901"/>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rPr>
          <w:color w:val="auto"/>
          <w:highlight w:val="none"/>
        </w:rPr>
      </w:r>
    </w:p>
    <w:p>
      <w:pPr>
        <w:pStyle w:val="901"/>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rPr>
          <w:color w:val="auto"/>
          <w:highlight w:val="none"/>
        </w:rPr>
      </w:r>
    </w:p>
    <w:p>
      <w:pPr>
        <w:pStyle w:val="989"/>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w:t>
      </w:r>
      <w:r>
        <w:rPr>
          <w:rFonts w:hint="eastAsia" w:cs="Arial"/>
          <w:b/>
          <w:color w:val="auto"/>
          <w:sz w:val="28"/>
          <w:szCs w:val="28"/>
          <w:highlight w:val="none"/>
        </w:rPr>
        <w:t xml:space="preserve">（参考格式）</w:t>
      </w:r>
      <w:r>
        <w:rPr>
          <w:rFonts w:hint="eastAsia" w:cs="Arial"/>
          <w:b/>
          <w:color w:val="auto"/>
          <w:sz w:val="28"/>
          <w:szCs w:val="28"/>
          <w:highlight w:val="none"/>
        </w:rPr>
        <w:t xml:space="preserve">：</w:t>
      </w:r>
      <w:r>
        <w:rPr>
          <w:rFonts w:cs="Arial"/>
          <w:b/>
          <w:color w:val="auto"/>
          <w:sz w:val="28"/>
          <w:szCs w:val="28"/>
          <w:highlight w:val="none"/>
        </w:rPr>
      </w:r>
      <w:r>
        <w:rPr>
          <w:color w:val="auto"/>
          <w:highlight w:val="none"/>
        </w:rPr>
      </w:r>
    </w:p>
    <w:p>
      <w:pPr>
        <w:pStyle w:val="901"/>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01"/>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01"/>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rPr>
          <w:color w:val="auto"/>
          <w:highlight w:val="none"/>
        </w:rPr>
      </w:r>
    </w:p>
    <w:p>
      <w:pPr>
        <w:pStyle w:val="901"/>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01"/>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01"/>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01"/>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01"/>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rPr>
        <w:t xml:space="preserve">JSZC-320200-JZCG-G2024-0151</w:t>
      </w:r>
      <w:r>
        <w:rPr>
          <w:rFonts w:ascii="黑体" w:hAnsi="华文中宋" w:eastAsia="黑体"/>
          <w:bCs/>
          <w:color w:val="auto"/>
          <w:sz w:val="30"/>
          <w:szCs w:val="30"/>
          <w:highlight w:val="none"/>
        </w:rPr>
      </w:r>
      <w:r>
        <w:rPr>
          <w:color w:val="auto"/>
          <w:highlight w:val="none"/>
        </w:rPr>
      </w:r>
    </w:p>
    <w:p>
      <w:pPr>
        <w:pStyle w:val="901"/>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rPr>
        <w:t xml:space="preserve">东南大学无锡国际校区算力中心设备采购项目</w:t>
      </w:r>
      <w:r>
        <w:rPr>
          <w:rFonts w:hint="eastAsia" w:ascii="黑体" w:hAnsi="华文中宋" w:eastAsia="黑体"/>
          <w:bCs/>
          <w:color w:val="auto"/>
          <w:sz w:val="30"/>
          <w:szCs w:val="30"/>
          <w:highlight w:val="none"/>
        </w:rPr>
      </w:r>
      <w:r>
        <w:rPr>
          <w:color w:val="auto"/>
          <w:highlight w:val="none"/>
        </w:rPr>
      </w:r>
    </w:p>
    <w:p>
      <w:pPr>
        <w:pStyle w:val="901"/>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rPr>
          <w:color w:val="auto"/>
          <w:highlight w:val="none"/>
        </w:rPr>
      </w:r>
    </w:p>
    <w:p>
      <w:pPr>
        <w:pStyle w:val="901"/>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rPr>
          <w:rFonts w:ascii="黑体" w:hAnsi="华文中宋" w:eastAsia="黑体"/>
          <w:bCs/>
          <w:color w:val="auto"/>
          <w:sz w:val="30"/>
          <w:szCs w:val="30"/>
          <w:highlight w:val="none"/>
        </w:rPr>
      </w:r>
      <w:r>
        <w:rPr>
          <w:color w:val="auto"/>
          <w:highlight w:val="none"/>
        </w:rPr>
      </w:r>
    </w:p>
    <w:p>
      <w:pPr>
        <w:pStyle w:val="901"/>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rPr>
          <w:rFonts w:hint="eastAsia" w:ascii="Arial" w:hAnsi="Arial"/>
          <w:b/>
          <w:color w:val="auto"/>
          <w:sz w:val="28"/>
          <w:szCs w:val="28"/>
          <w:highlight w:val="none"/>
        </w:rPr>
      </w:r>
      <w:r>
        <w:rPr>
          <w:color w:val="auto"/>
          <w:highlight w:val="none"/>
        </w:rPr>
      </w:r>
    </w:p>
    <w:p>
      <w:pPr>
        <w:pStyle w:val="901"/>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rPr>
          <w:rFonts w:ascii="宋体" w:hAnsi="宋体"/>
          <w:color w:val="auto"/>
          <w:sz w:val="24"/>
          <w:highlight w:val="none"/>
          <w:shd w:val="clear" w:color="ffffff" w:fill="d9d9d9"/>
        </w:rPr>
      </w:r>
      <w:r>
        <w:rPr>
          <w:color w:val="auto"/>
          <w:highlight w:val="none"/>
        </w:rPr>
      </w:r>
    </w:p>
    <w:p>
      <w:pPr>
        <w:pStyle w:val="987"/>
        <w:ind w:firstLine="480"/>
        <w:rPr>
          <w:rFonts w:hint="eastAsia"/>
          <w:color w:val="auto"/>
          <w:sz w:val="24"/>
          <w:szCs w:val="24"/>
          <w:highlight w:val="none"/>
        </w:rPr>
      </w:pPr>
      <w:r>
        <w:rPr>
          <w:rFonts w:hint="eastAsia"/>
          <w:color w:val="auto"/>
          <w:sz w:val="24"/>
          <w:szCs w:val="24"/>
          <w:highlight w:val="none"/>
        </w:rPr>
        <w:t xml:space="preserve">我公司（单位</w:t>
      </w:r>
      <w:r>
        <w:rPr>
          <w:rFonts w:hint="eastAsia"/>
          <w:color w:val="auto"/>
          <w:sz w:val="24"/>
          <w:szCs w:val="24"/>
          <w:highlight w:val="none"/>
        </w:rPr>
        <w:t xml:space="preserve">、联合体</w:t>
      </w:r>
      <w:r>
        <w:rPr>
          <w:rFonts w:hint="eastAsia"/>
          <w:color w:val="auto"/>
          <w:sz w:val="24"/>
          <w:szCs w:val="24"/>
          <w:highlight w:val="none"/>
        </w:rPr>
        <w:t xml:space="preserve">）针对</w:t>
      </w:r>
      <w:r>
        <w:rPr>
          <w:rFonts w:hint="eastAsia" w:ascii="宋体" w:hAnsi="宋体"/>
          <w:bCs/>
          <w:color w:val="auto"/>
          <w:sz w:val="24"/>
          <w:szCs w:val="24"/>
          <w:highlight w:val="none"/>
        </w:rPr>
        <w:t xml:space="preserve">JSZC-320200-JZCG-G2024-0151</w:t>
      </w:r>
      <w:r>
        <w:rPr>
          <w:rFonts w:hint="eastAsia" w:ascii="宋体" w:hAnsi="宋体"/>
          <w:bCs/>
          <w:color w:val="auto"/>
          <w:sz w:val="24"/>
          <w:szCs w:val="24"/>
          <w:highlight w:val="none"/>
        </w:rPr>
        <w:t xml:space="preserve">项目，兹授权：</w:t>
      </w:r>
      <w:r>
        <w:rPr>
          <w:rFonts w:hint="eastAsia"/>
          <w:color w:val="auto"/>
          <w:sz w:val="24"/>
          <w:szCs w:val="24"/>
          <w:highlight w:val="none"/>
        </w:rPr>
      </w:r>
      <w:r>
        <w:rPr>
          <w:color w:val="auto"/>
          <w:highlight w:val="none"/>
        </w:rPr>
      </w:r>
    </w:p>
    <w:p>
      <w:pPr>
        <w:pStyle w:val="987"/>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p>
    <w:p>
      <w:pPr>
        <w:pStyle w:val="987"/>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p>
    <w:p>
      <w:pPr>
        <w:pStyle w:val="987"/>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rPr>
          <w:color w:val="auto"/>
          <w:highlight w:val="none"/>
        </w:rPr>
      </w:r>
    </w:p>
    <w:p>
      <w:pPr>
        <w:pStyle w:val="987"/>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rPr>
          <w:color w:val="auto"/>
          <w:highlight w:val="none"/>
        </w:rPr>
      </w:r>
    </w:p>
    <w:p>
      <w:pPr>
        <w:pStyle w:val="987"/>
        <w:ind w:firstLine="480"/>
        <w:rPr>
          <w:rFonts w:hint="eastAsia"/>
          <w:color w:val="auto"/>
          <w:sz w:val="24"/>
          <w:szCs w:val="24"/>
          <w:highlight w:val="none"/>
        </w:rPr>
      </w:pPr>
      <w:r>
        <w:rPr>
          <w:rFonts w:hint="eastAsia"/>
          <w:color w:val="auto"/>
          <w:sz w:val="24"/>
          <w:szCs w:val="24"/>
          <w:highlight w:val="none"/>
        </w:rPr>
        <w:t xml:space="preserve">特此授权委托。</w:t>
      </w:r>
      <w:r>
        <w:rPr>
          <w:color w:val="auto"/>
          <w:highlight w:val="none"/>
        </w:rPr>
      </w:r>
    </w:p>
    <w:p>
      <w:pPr>
        <w:pStyle w:val="987"/>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rPr>
          <w:rFonts w:hint="eastAsia"/>
          <w:color w:val="auto"/>
          <w:sz w:val="24"/>
          <w:szCs w:val="24"/>
          <w:highlight w:val="none"/>
          <w:u w:val="single"/>
        </w:rPr>
      </w:r>
      <w:r>
        <w:rPr>
          <w:color w:val="auto"/>
          <w:highlight w:val="none"/>
        </w:rPr>
      </w:r>
    </w:p>
    <w:p>
      <w:pPr>
        <w:pStyle w:val="987"/>
        <w:ind w:firstLine="0"/>
        <w:rPr>
          <w:rFonts w:hint="eastAsia"/>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r>
      <w:r>
        <w:rPr>
          <w:color w:val="auto"/>
          <w:highlight w:val="none"/>
        </w:rPr>
      </w:r>
    </w:p>
    <w:p>
      <w:pPr>
        <w:pStyle w:val="987"/>
        <w:ind w:firstLine="0"/>
        <w:rPr>
          <w:rFonts w:hint="eastAsia"/>
          <w:color w:val="auto"/>
          <w:sz w:val="24"/>
          <w:szCs w:val="24"/>
          <w:highlight w:val="none"/>
        </w:rPr>
      </w:pPr>
      <w:r>
        <w:rPr>
          <w:rFonts w:hint="eastAsia" w:ascii="宋体" w:hAnsi="宋体" w:cs="宋体"/>
          <w:b/>
          <w:color w:val="auto"/>
          <w:sz w:val="30"/>
          <w:highlight w:val="none"/>
        </w:rPr>
        <w:t xml:space="preserve">(被授权人身份证原件扫描件附后)</w:t>
      </w:r>
      <w:r>
        <w:rPr>
          <w:rFonts w:hint="eastAsia"/>
          <w:color w:val="auto"/>
          <w:sz w:val="24"/>
          <w:szCs w:val="24"/>
          <w:highlight w:val="none"/>
        </w:rPr>
      </w:r>
      <w:r>
        <w:rPr>
          <w:color w:val="auto"/>
          <w:highlight w:val="none"/>
        </w:rPr>
      </w:r>
    </w:p>
    <w:p>
      <w:pPr>
        <w:pStyle w:val="987"/>
        <w:ind w:firstLine="0"/>
        <w:rPr>
          <w:rFonts w:hint="eastAsia"/>
          <w:color w:val="auto"/>
          <w:sz w:val="24"/>
          <w:szCs w:val="24"/>
          <w:highlight w:val="none"/>
        </w:rPr>
      </w:pPr>
      <w:r>
        <w:rPr>
          <w:rFonts w:hint="eastAsia"/>
          <w:color w:val="auto"/>
          <w:sz w:val="24"/>
          <w:szCs w:val="24"/>
          <w:highlight w:val="none"/>
        </w:rPr>
        <w:t xml:space="preserve">说明：</w:t>
      </w:r>
      <w:r>
        <w:rPr>
          <w:color w:val="auto"/>
          <w:highlight w:val="none"/>
        </w:rPr>
      </w:r>
    </w:p>
    <w:p>
      <w:pPr>
        <w:pStyle w:val="987"/>
        <w:numPr>
          <w:ilvl w:val="0"/>
          <w:numId w:val="12"/>
        </w:numPr>
        <w:ind w:firstLine="480"/>
        <w:rPr>
          <w:rFonts w:hint="eastAsia"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rPr>
          <w:color w:val="auto"/>
          <w:highlight w:val="none"/>
        </w:rPr>
      </w:r>
    </w:p>
    <w:p>
      <w:pPr>
        <w:pStyle w:val="987"/>
        <w:numPr>
          <w:ilvl w:val="0"/>
          <w:numId w:val="12"/>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w:t>
      </w:r>
      <w:r>
        <w:rPr>
          <w:rFonts w:hint="eastAsia"/>
          <w:color w:val="auto"/>
          <w:sz w:val="24"/>
          <w:szCs w:val="24"/>
          <w:highlight w:val="none"/>
        </w:rPr>
        <w:t xml:space="preserve">或盖章</w:t>
      </w:r>
      <w:r>
        <w:rPr>
          <w:rFonts w:hint="eastAsia" w:ascii="宋体" w:hAnsi="宋体"/>
          <w:color w:val="auto"/>
          <w:sz w:val="24"/>
          <w:szCs w:val="20"/>
          <w:highlight w:val="none"/>
        </w:rPr>
        <w:t xml:space="preserve">即可。</w:t>
      </w:r>
      <w:r>
        <w:rPr>
          <w:color w:val="auto"/>
          <w:highlight w:val="none"/>
        </w:rPr>
      </w:r>
    </w:p>
    <w:p>
      <w:pPr>
        <w:pStyle w:val="987"/>
        <w:numPr>
          <w:ilvl w:val="0"/>
          <w:numId w:val="12"/>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rPr>
          <w:color w:val="auto"/>
          <w:highlight w:val="none"/>
        </w:rPr>
      </w:r>
    </w:p>
    <w:p>
      <w:pPr>
        <w:pStyle w:val="987"/>
        <w:numPr>
          <w:ilvl w:val="0"/>
          <w:numId w:val="12"/>
        </w:numPr>
        <w:ind w:firstLine="480"/>
        <w:rPr>
          <w:rFonts w:hint="eastAsia"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auto"/>
          <w:sz w:val="24"/>
          <w:szCs w:val="20"/>
          <w:highlight w:val="none"/>
        </w:rPr>
      </w:r>
      <w:r>
        <w:rPr>
          <w:color w:val="auto"/>
          <w:highlight w:val="none"/>
        </w:rPr>
      </w:r>
    </w:p>
    <w:p>
      <w:pPr>
        <w:pStyle w:val="987"/>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rPr>
          <w:color w:val="auto"/>
          <w:highlight w:val="none"/>
        </w:rPr>
      </w:r>
    </w:p>
    <w:p>
      <w:pPr>
        <w:pStyle w:val="901"/>
        <w:jc w:val="center"/>
        <w:rPr>
          <w:rFonts w:ascii="黑体" w:eastAsia="黑体"/>
          <w:bCs/>
          <w:color w:val="auto"/>
          <w:sz w:val="28"/>
          <w:szCs w:val="28"/>
          <w:highlight w:val="none"/>
        </w:rPr>
        <w:outlineLvl w:val="0"/>
      </w:pPr>
      <w:r>
        <w:rPr>
          <w:color w:val="auto"/>
          <w:highlight w:val="none"/>
        </w:rPr>
      </w:r>
      <w:bookmarkStart w:id="199" w:name="报价方关于资格的声明函（格式）"/>
      <w:r>
        <w:rPr>
          <w:color w:val="auto"/>
          <w:highlight w:val="none"/>
        </w:rPr>
      </w:r>
      <w:bookmarkEnd w:id="199"/>
      <w:r>
        <w:rPr>
          <w:rFonts w:hint="eastAsia" w:ascii="黑体" w:eastAsia="黑体"/>
          <w:bCs/>
          <w:color w:val="auto"/>
          <w:sz w:val="28"/>
          <w:szCs w:val="28"/>
          <w:highlight w:val="none"/>
        </w:rPr>
        <w:t xml:space="preserve">资格声明函</w:t>
      </w:r>
      <w:r>
        <w:rPr>
          <w:rFonts w:ascii="黑体" w:eastAsia="黑体"/>
          <w:bCs/>
          <w:color w:val="auto"/>
          <w:sz w:val="28"/>
          <w:szCs w:val="28"/>
          <w:highlight w:val="none"/>
        </w:rPr>
      </w:r>
      <w:r>
        <w:rPr>
          <w:color w:val="auto"/>
          <w:highlight w:val="none"/>
        </w:rPr>
      </w:r>
    </w:p>
    <w:p>
      <w:pPr>
        <w:pStyle w:val="901"/>
        <w:jc w:val="center"/>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01"/>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无锡市公共资源交易中心：</w:t>
      </w:r>
      <w:r>
        <w:rPr>
          <w:rFonts w:ascii="宋体"/>
          <w:bCs/>
          <w:color w:val="auto"/>
          <w:sz w:val="24"/>
          <w:szCs w:val="24"/>
          <w:highlight w:val="none"/>
        </w:rPr>
      </w:r>
      <w:r>
        <w:rPr>
          <w:color w:val="auto"/>
          <w:highlight w:val="none"/>
        </w:rPr>
      </w:r>
    </w:p>
    <w:p>
      <w:pPr>
        <w:pStyle w:val="901"/>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w:t>
      </w:r>
      <w:r>
        <w:rPr>
          <w:rFonts w:hint="eastAsia" w:ascii="宋体" w:hAnsi="宋体"/>
          <w:bCs/>
          <w:color w:val="auto"/>
          <w:sz w:val="24"/>
          <w:szCs w:val="24"/>
          <w:highlight w:val="none"/>
        </w:rPr>
        <w:t xml:space="preserve">JSZC-320200-JZCG-G2024-0151</w:t>
      </w:r>
      <w:r>
        <w:rPr>
          <w:rFonts w:hint="eastAsia" w:ascii="宋体" w:hAnsi="宋体"/>
          <w:bCs/>
          <w:color w:val="auto"/>
          <w:sz w:val="24"/>
          <w:szCs w:val="24"/>
          <w:highlight w:val="none"/>
        </w:rPr>
        <w:t xml:space="preserve">进行投标，并作如下声明</w:t>
      </w:r>
      <w:r>
        <w:rPr>
          <w:rFonts w:ascii="宋体" w:hAnsi="宋体"/>
          <w:bCs/>
          <w:color w:val="auto"/>
          <w:sz w:val="24"/>
          <w:szCs w:val="24"/>
          <w:highlight w:val="none"/>
        </w:rPr>
      </w:r>
      <w:r>
        <w:rPr>
          <w:color w:val="auto"/>
          <w:highlight w:val="none"/>
        </w:rPr>
      </w:r>
    </w:p>
    <w:p>
      <w:pPr>
        <w:pStyle w:val="901"/>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）参加本次项目政府采购活动前三年内，在经营活动中没有重大违法（因违法经营受到刑事处罚或者责令停产停业、吊销许可证或者执照、较大数额罚款等行政处罚）记录。</w:t>
      </w:r>
      <w:r>
        <w:rPr>
          <w:color w:val="auto"/>
          <w:highlight w:val="none"/>
        </w:rPr>
      </w:r>
    </w:p>
    <w:p>
      <w:pPr>
        <w:pStyle w:val="901"/>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）具备本次项目履行合同所必需的设备和专业技术能力。</w:t>
      </w:r>
      <w:r>
        <w:rPr>
          <w:color w:val="auto"/>
          <w:highlight w:val="none"/>
        </w:rPr>
      </w:r>
    </w:p>
    <w:p>
      <w:pPr>
        <w:pStyle w:val="901"/>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auto"/>
          <w:highlight w:val="none"/>
        </w:rPr>
      </w:r>
    </w:p>
    <w:p>
      <w:pPr>
        <w:pStyle w:val="901"/>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）针对本次项目的上述声明以及投标文件中所有关于投标资格的文件、证明、陈述均是真实的、准确的。若有违背，我公司（单位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）愿意承担由此而产生的一切后果。</w:t>
      </w:r>
      <w:r>
        <w:rPr>
          <w:rFonts w:ascii="宋体"/>
          <w:bCs/>
          <w:color w:val="auto"/>
          <w:sz w:val="24"/>
          <w:szCs w:val="24"/>
          <w:highlight w:val="none"/>
        </w:rPr>
      </w:r>
      <w:r>
        <w:rPr>
          <w:color w:val="auto"/>
          <w:highlight w:val="none"/>
        </w:rPr>
      </w:r>
    </w:p>
    <w:p>
      <w:pPr>
        <w:pStyle w:val="901"/>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01"/>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rPr>
          <w:rFonts w:ascii="宋体"/>
          <w:bCs/>
          <w:color w:val="auto"/>
          <w:sz w:val="24"/>
          <w:szCs w:val="24"/>
          <w:highlight w:val="none"/>
        </w:rPr>
      </w:r>
      <w:r>
        <w:rPr>
          <w:color w:val="auto"/>
          <w:highlight w:val="none"/>
        </w:rPr>
      </w:r>
    </w:p>
    <w:p>
      <w:pPr>
        <w:pStyle w:val="901"/>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rPr>
          <w:color w:val="auto"/>
          <w:highlight w:val="none"/>
        </w:rPr>
      </w:r>
    </w:p>
    <w:p>
      <w:pPr>
        <w:pStyle w:val="901"/>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中小企业声明函（货物）</w:t>
      </w:r>
      <w:r>
        <w:rPr>
          <w:color w:val="auto"/>
          <w:highlight w:val="none"/>
        </w:rPr>
      </w:r>
    </w:p>
    <w:p>
      <w:pPr>
        <w:pStyle w:val="901"/>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rPr>
          <w:color w:val="auto"/>
          <w:highlight w:val="none"/>
        </w:rPr>
      </w:r>
    </w:p>
    <w:p>
      <w:pPr>
        <w:pStyle w:val="901"/>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rPr>
          <w:color w:val="auto"/>
          <w:highlight w:val="none"/>
        </w:rPr>
      </w:r>
    </w:p>
    <w:p>
      <w:pPr>
        <w:pStyle w:val="901"/>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rPr>
          <w:color w:val="auto"/>
          <w:highlight w:val="none"/>
        </w:rPr>
      </w:r>
    </w:p>
    <w:p>
      <w:pPr>
        <w:pStyle w:val="901"/>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color w:val="auto"/>
          <w:highlight w:val="none"/>
        </w:rPr>
      </w:r>
    </w:p>
    <w:p>
      <w:pPr>
        <w:pStyle w:val="901"/>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color w:val="auto"/>
          <w:highlight w:val="none"/>
        </w:rPr>
      </w:r>
    </w:p>
    <w:p>
      <w:pPr>
        <w:pStyle w:val="901"/>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rPr>
          <w:rFonts w:ascii="宋体" w:hAnsi="宋体"/>
          <w:bCs/>
          <w:color w:val="auto"/>
          <w:sz w:val="24"/>
          <w:szCs w:val="24"/>
          <w:highlight w:val="none"/>
        </w:rPr>
      </w:r>
      <w:r>
        <w:rPr>
          <w:color w:val="auto"/>
          <w:highlight w:val="none"/>
        </w:rPr>
      </w:r>
    </w:p>
    <w:p>
      <w:pPr>
        <w:pStyle w:val="901"/>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rFonts w:ascii="宋体" w:hAnsi="宋体"/>
          <w:bCs/>
          <w:color w:val="auto"/>
          <w:sz w:val="24"/>
          <w:szCs w:val="24"/>
          <w:highlight w:val="none"/>
        </w:rPr>
      </w:r>
      <w:r>
        <w:rPr>
          <w:color w:val="auto"/>
          <w:highlight w:val="none"/>
        </w:rPr>
      </w:r>
    </w:p>
    <w:p>
      <w:pPr>
        <w:pStyle w:val="901"/>
        <w:spacing w:line="360" w:lineRule="auto"/>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01"/>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color w:val="auto"/>
          <w:highlight w:val="none"/>
        </w:rPr>
      </w:r>
    </w:p>
    <w:p>
      <w:pPr>
        <w:pStyle w:val="901"/>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rPr>
          <w:color w:val="auto"/>
          <w:highlight w:val="none"/>
        </w:rPr>
      </w:r>
    </w:p>
    <w:p>
      <w:pPr>
        <w:pStyle w:val="901"/>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w:t>
      </w:r>
      <w:r>
        <w:rPr>
          <w:rFonts w:hint="eastAsia"/>
          <w:color w:val="auto"/>
          <w:highlight w:val="none"/>
        </w:rPr>
        <w:t xml:space="preserve">货物</w:t>
      </w:r>
      <w:r>
        <w:rPr>
          <w:rFonts w:hint="eastAsia"/>
          <w:color w:val="auto"/>
          <w:highlight w:val="none"/>
        </w:rPr>
        <w:t xml:space="preserve">的，不享受本办法规定的中小企业扶持政策。</w:t>
      </w:r>
      <w:r>
        <w:rPr>
          <w:color w:val="auto"/>
          <w:highlight w:val="none"/>
        </w:rPr>
      </w:r>
    </w:p>
    <w:p>
      <w:pPr>
        <w:pStyle w:val="901"/>
        <w:ind w:firstLine="420"/>
        <w:spacing w:line="360" w:lineRule="auto"/>
        <w:rPr>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auto"/>
          <w:highlight w:val="none"/>
        </w:rPr>
      </w:r>
    </w:p>
    <w:p>
      <w:pPr>
        <w:pStyle w:val="901"/>
        <w:spacing w:line="360" w:lineRule="auto"/>
        <w:rPr>
          <w:rFonts w:hint="eastAsia" w:ascii="宋体" w:hAnsi="宋体" w:cs="宋体"/>
          <w:b/>
          <w:color w:val="auto"/>
          <w:sz w:val="28"/>
          <w:szCs w:val="28"/>
          <w:highlight w:val="none"/>
        </w:rPr>
      </w:pPr>
      <w:r>
        <w:rPr>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rPr>
          <w:color w:val="auto"/>
          <w:highlight w:val="none"/>
        </w:rPr>
      </w:r>
    </w:p>
    <w:p>
      <w:pPr>
        <w:pStyle w:val="901"/>
        <w:ind w:firstLine="482"/>
        <w:spacing w:line="440" w:lineRule="exact"/>
        <w:rPr>
          <w:rFonts w:ascii="Arial" w:hAnsi="Arial"/>
          <w:b/>
          <w:color w:val="auto"/>
          <w:sz w:val="24"/>
          <w:highlight w:val="none"/>
        </w:rPr>
      </w:pPr>
      <w:r>
        <w:rPr>
          <w:rFonts w:ascii="Arial" w:hAnsi="Arial"/>
          <w:b/>
          <w:color w:val="auto"/>
          <w:sz w:val="24"/>
          <w:highlight w:val="none"/>
        </w:rPr>
      </w:r>
      <w:r>
        <w:rPr>
          <w:color w:val="auto"/>
          <w:highlight w:val="none"/>
        </w:rPr>
      </w:r>
    </w:p>
    <w:p>
      <w:pPr>
        <w:pStyle w:val="901"/>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rPr>
          <w:rFonts w:ascii="黑体" w:eastAsia="黑体"/>
          <w:bCs/>
          <w:color w:val="auto"/>
          <w:sz w:val="28"/>
          <w:szCs w:val="28"/>
          <w:highlight w:val="none"/>
        </w:rPr>
      </w:r>
      <w:r>
        <w:rPr>
          <w:color w:val="auto"/>
          <w:highlight w:val="none"/>
        </w:rPr>
      </w:r>
    </w:p>
    <w:p>
      <w:pPr>
        <w:pStyle w:val="901"/>
        <w:jc w:val="center"/>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01"/>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auto"/>
          <w:sz w:val="24"/>
          <w:szCs w:val="24"/>
          <w:highlight w:val="none"/>
        </w:rPr>
      </w:r>
      <w:r>
        <w:rPr>
          <w:color w:val="auto"/>
          <w:highlight w:val="none"/>
        </w:rPr>
      </w:r>
    </w:p>
    <w:p>
      <w:pPr>
        <w:pStyle w:val="901"/>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rPr>
          <w:rFonts w:ascii="宋体" w:hAnsi="宋体"/>
          <w:bCs/>
          <w:color w:val="auto"/>
          <w:sz w:val="24"/>
          <w:szCs w:val="24"/>
          <w:highlight w:val="none"/>
        </w:rPr>
      </w:r>
      <w:r>
        <w:rPr>
          <w:color w:val="auto"/>
          <w:highlight w:val="none"/>
        </w:rPr>
      </w:r>
    </w:p>
    <w:p>
      <w:pPr>
        <w:pStyle w:val="901"/>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01"/>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01"/>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rPr>
          <w:rFonts w:ascii="宋体" w:hAnsi="宋体"/>
          <w:bCs/>
          <w:color w:val="auto"/>
          <w:sz w:val="24"/>
          <w:szCs w:val="24"/>
          <w:highlight w:val="none"/>
        </w:rPr>
      </w:r>
      <w:r>
        <w:rPr>
          <w:color w:val="auto"/>
          <w:highlight w:val="none"/>
        </w:rPr>
      </w:r>
    </w:p>
    <w:p>
      <w:pPr>
        <w:pStyle w:val="901"/>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rFonts w:ascii="宋体" w:hAnsi="宋体"/>
          <w:bCs/>
          <w:color w:val="auto"/>
          <w:sz w:val="24"/>
          <w:szCs w:val="24"/>
          <w:highlight w:val="none"/>
        </w:rPr>
      </w:r>
      <w:r>
        <w:rPr>
          <w:color w:val="auto"/>
          <w:highlight w:val="none"/>
        </w:rPr>
      </w:r>
    </w:p>
    <w:p>
      <w:pPr>
        <w:pStyle w:val="901"/>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rPr>
          <w:color w:val="auto"/>
          <w:highlight w:val="none"/>
        </w:rPr>
      </w:r>
    </w:p>
    <w:p>
      <w:pPr>
        <w:pStyle w:val="901"/>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p>
    <w:p>
      <w:pPr>
        <w:pStyle w:val="901"/>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rPr>
          <w:rFonts w:ascii="宋体"/>
          <w:bCs/>
          <w:color w:val="auto"/>
          <w:sz w:val="24"/>
          <w:szCs w:val="24"/>
          <w:highlight w:val="none"/>
        </w:rPr>
      </w:r>
      <w:r>
        <w:rPr>
          <w:color w:val="auto"/>
          <w:highlight w:val="none"/>
        </w:rPr>
      </w:r>
    </w:p>
    <w:p>
      <w:pPr>
        <w:pStyle w:val="901"/>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致无锡市公共资源交易中心：</w:t>
      </w:r>
      <w:r>
        <w:rPr>
          <w:rFonts w:ascii="宋体"/>
          <w:bCs/>
          <w:color w:val="auto"/>
          <w:sz w:val="24"/>
          <w:szCs w:val="24"/>
          <w:highlight w:val="none"/>
        </w:rPr>
      </w:r>
      <w:r>
        <w:rPr>
          <w:color w:val="auto"/>
          <w:highlight w:val="none"/>
        </w:rPr>
      </w:r>
    </w:p>
    <w:p>
      <w:pPr>
        <w:pStyle w:val="901"/>
        <w:ind w:firstLine="48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01"/>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rPr>
        <w:t xml:space="preserve">JSZC-320200-JZCG-G2024-0151</w:t>
      </w:r>
      <w:r>
        <w:rPr>
          <w:rFonts w:hint="eastAsia" w:ascii="宋体" w:hAnsi="宋体"/>
          <w:bCs/>
          <w:color w:val="auto"/>
          <w:sz w:val="24"/>
          <w:szCs w:val="24"/>
          <w:highlight w:val="none"/>
        </w:rPr>
        <w:t xml:space="preserve">招标文件，经仔细阅读和研究，我方决定参加此项目的投标。</w:t>
      </w:r>
      <w:r>
        <w:rPr>
          <w:rFonts w:ascii="宋体"/>
          <w:bCs/>
          <w:color w:val="auto"/>
          <w:sz w:val="24"/>
          <w:szCs w:val="24"/>
          <w:highlight w:val="none"/>
        </w:rPr>
      </w:r>
      <w:r>
        <w:rPr>
          <w:color w:val="auto"/>
          <w:highlight w:val="none"/>
        </w:rPr>
      </w:r>
    </w:p>
    <w:p>
      <w:pPr>
        <w:pStyle w:val="901"/>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rPr>
          <w:rFonts w:ascii="宋体"/>
          <w:bCs/>
          <w:color w:val="auto"/>
          <w:sz w:val="24"/>
          <w:szCs w:val="24"/>
          <w:highlight w:val="none"/>
        </w:rPr>
      </w:r>
      <w:r>
        <w:rPr>
          <w:color w:val="auto"/>
          <w:highlight w:val="none"/>
        </w:rP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76"/>
          <w:bCs/>
          <w:color w:val="auto"/>
          <w:highlight w:val="none"/>
        </w:rPr>
      </w:pPr>
      <w:r>
        <w:rPr>
          <w:rFonts w:hint="eastAsia" w:ascii="宋体" w:hAnsi="宋体"/>
          <w:bCs/>
          <w:color w:val="auto"/>
          <w:sz w:val="24"/>
          <w:szCs w:val="24"/>
          <w:highlight w:val="none"/>
        </w:rPr>
        <w:t xml:space="preserve">我方愿意提供无锡市公共资源交易中心在招标文件中要求的文件、资料。</w:t>
      </w:r>
      <w:r>
        <w:rPr>
          <w:rStyle w:val="976"/>
          <w:bCs/>
          <w:color w:val="auto"/>
          <w:highlight w:val="none"/>
        </w:rPr>
      </w:r>
      <w:r>
        <w:rPr>
          <w:color w:val="auto"/>
          <w:highlight w:val="none"/>
        </w:rP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rPr>
          <w:rFonts w:ascii="宋体"/>
          <w:bCs/>
          <w:color w:val="auto"/>
          <w:sz w:val="24"/>
          <w:szCs w:val="24"/>
          <w:highlight w:val="none"/>
        </w:rPr>
      </w:r>
      <w:r>
        <w:rPr>
          <w:color w:val="auto"/>
          <w:highlight w:val="none"/>
        </w:rP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rPr>
          <w:rFonts w:ascii="宋体"/>
          <w:bCs/>
          <w:color w:val="auto"/>
          <w:sz w:val="24"/>
          <w:szCs w:val="24"/>
          <w:highlight w:val="none"/>
        </w:rPr>
      </w:r>
      <w:r>
        <w:rPr>
          <w:color w:val="auto"/>
          <w:highlight w:val="none"/>
        </w:rP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rPr>
          <w:rFonts w:ascii="宋体"/>
          <w:bCs/>
          <w:color w:val="auto"/>
          <w:sz w:val="24"/>
          <w:szCs w:val="24"/>
          <w:highlight w:val="none"/>
        </w:rPr>
      </w:r>
      <w:r>
        <w:rPr>
          <w:color w:val="auto"/>
          <w:highlight w:val="none"/>
        </w:rP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bCs/>
          <w:color w:val="auto"/>
          <w:sz w:val="24"/>
          <w:szCs w:val="24"/>
          <w:highlight w:val="none"/>
        </w:rPr>
        <w:t xml:space="preserve">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rPr>
          <w:rFonts w:ascii="宋体"/>
          <w:bCs/>
          <w:color w:val="auto"/>
          <w:sz w:val="24"/>
          <w:szCs w:val="24"/>
          <w:highlight w:val="none"/>
        </w:rPr>
      </w:r>
      <w:r>
        <w:rPr>
          <w:color w:val="auto"/>
          <w:highlight w:val="none"/>
        </w:rP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rPr>
          <w:rFonts w:ascii="宋体"/>
          <w:bCs/>
          <w:color w:val="auto"/>
          <w:sz w:val="24"/>
          <w:szCs w:val="24"/>
          <w:highlight w:val="none"/>
        </w:rPr>
      </w:r>
      <w:r>
        <w:rPr>
          <w:color w:val="auto"/>
          <w:highlight w:val="none"/>
        </w:rP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auto"/>
          <w:sz w:val="24"/>
          <w:szCs w:val="24"/>
          <w:highlight w:val="none"/>
        </w:rPr>
      </w:r>
      <w:r>
        <w:rPr>
          <w:color w:val="auto"/>
          <w:highlight w:val="none"/>
        </w:rP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bCs/>
          <w:color w:val="auto"/>
          <w:sz w:val="24"/>
          <w:szCs w:val="24"/>
          <w:highlight w:val="none"/>
        </w:rPr>
        <w:t xml:space="preserve">按采购人要求</w:t>
      </w:r>
      <w:r>
        <w:rPr>
          <w:rFonts w:hint="eastAsia" w:ascii="宋体" w:hAnsi="宋体"/>
          <w:bCs/>
          <w:color w:val="auto"/>
          <w:sz w:val="24"/>
          <w:szCs w:val="24"/>
          <w:highlight w:val="none"/>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auto"/>
          <w:sz w:val="24"/>
          <w:szCs w:val="24"/>
          <w:highlight w:val="none"/>
        </w:rPr>
      </w:r>
      <w:r>
        <w:rPr>
          <w:color w:val="auto"/>
          <w:highlight w:val="none"/>
        </w:rP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auto"/>
          <w:sz w:val="24"/>
          <w:szCs w:val="24"/>
          <w:highlight w:val="none"/>
        </w:rPr>
      </w:r>
      <w:r>
        <w:rPr>
          <w:color w:val="auto"/>
          <w:highlight w:val="none"/>
        </w:rPr>
      </w:r>
    </w:p>
    <w:p>
      <w:pPr>
        <w:pStyle w:val="901"/>
        <w:ind w:firstLine="72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01"/>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rPr>
          <w:rFonts w:ascii="宋体"/>
          <w:bCs/>
          <w:color w:val="auto"/>
          <w:sz w:val="24"/>
          <w:szCs w:val="24"/>
          <w:highlight w:val="none"/>
        </w:rPr>
      </w:r>
      <w:r>
        <w:rPr>
          <w:color w:val="auto"/>
          <w:highlight w:val="none"/>
        </w:rPr>
      </w:r>
    </w:p>
    <w:p>
      <w:pPr>
        <w:pStyle w:val="901"/>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rPr>
          <w:color w:val="auto"/>
          <w:highlight w:val="none"/>
        </w:rPr>
      </w:r>
    </w:p>
    <w:p>
      <w:pPr>
        <w:pStyle w:val="901"/>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color w:val="auto"/>
          <w:highlight w:val="none"/>
        </w:rPr>
      </w:r>
    </w:p>
    <w:p>
      <w:pPr>
        <w:pStyle w:val="901"/>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rPr>
          <w:color w:val="auto"/>
          <w:highlight w:val="none"/>
        </w:rPr>
      </w:r>
    </w:p>
    <w:p>
      <w:pPr>
        <w:pStyle w:val="901"/>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rPr>
          <w:color w:val="auto"/>
          <w:highlight w:val="none"/>
        </w:rPr>
      </w:r>
    </w:p>
    <w:p>
      <w:pPr>
        <w:pStyle w:val="901"/>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JSZC-320200-JZCG-G2024-0151</w:t>
      </w:r>
      <w:r>
        <w:rPr>
          <w:rFonts w:hint="eastAsia" w:ascii="宋体" w:hAnsi="宋体"/>
          <w:color w:val="auto"/>
          <w:sz w:val="24"/>
          <w:szCs w:val="24"/>
          <w:highlight w:val="none"/>
        </w:rPr>
        <w:t xml:space="preserve">在此承诺：</w:t>
      </w:r>
      <w:r>
        <w:rPr>
          <w:rFonts w:ascii="宋体" w:hAnsi="宋体"/>
          <w:color w:val="auto"/>
          <w:sz w:val="24"/>
          <w:szCs w:val="24"/>
          <w:highlight w:val="none"/>
        </w:rPr>
      </w:r>
      <w:r>
        <w:rPr>
          <w:color w:val="auto"/>
          <w:highlight w:val="none"/>
        </w:rPr>
      </w:r>
    </w:p>
    <w:p>
      <w:pPr>
        <w:pStyle w:val="901"/>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rPr>
        <w:t xml:space="preserve">所提供的货物均为原厂全新合格品，提供的服务符合招标文件要求。</w:t>
      </w:r>
      <w:r>
        <w:rPr>
          <w:rFonts w:ascii="宋体" w:hAnsi="宋体"/>
          <w:bCs/>
          <w:color w:val="auto"/>
          <w:sz w:val="24"/>
          <w:szCs w:val="24"/>
          <w:highlight w:val="none"/>
        </w:rPr>
      </w:r>
      <w:r>
        <w:rPr>
          <w:color w:val="auto"/>
          <w:highlight w:val="none"/>
        </w:rPr>
      </w:r>
    </w:p>
    <w:p>
      <w:pPr>
        <w:pStyle w:val="901"/>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rPr>
          <w:color w:val="auto"/>
          <w:highlight w:val="none"/>
        </w:rPr>
      </w:r>
    </w:p>
    <w:p>
      <w:pPr>
        <w:pStyle w:val="901"/>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auto"/>
          <w:highlight w:val="none"/>
        </w:rPr>
      </w:r>
    </w:p>
    <w:p>
      <w:pPr>
        <w:pStyle w:val="901"/>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rPr>
        <w:t xml:space="preserve">优先</w:t>
      </w:r>
      <w:r>
        <w:rPr>
          <w:rFonts w:hint="eastAsia" w:ascii="宋体" w:hAnsi="宋体"/>
          <w:bCs/>
          <w:color w:val="auto"/>
          <w:sz w:val="24"/>
          <w:szCs w:val="24"/>
          <w:highlight w:val="none"/>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auto"/>
          <w:sz w:val="24"/>
          <w:szCs w:val="24"/>
          <w:highlight w:val="none"/>
        </w:rPr>
      </w:r>
      <w:r>
        <w:rPr>
          <w:color w:val="auto"/>
          <w:highlight w:val="none"/>
        </w:rPr>
      </w:r>
    </w:p>
    <w:p>
      <w:pPr>
        <w:pStyle w:val="901"/>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根据财库〔2023〕29号、30号、31号、32号、33号、34号、35号</w:t>
      </w:r>
      <w:r>
        <w:rPr>
          <w:rFonts w:hint="eastAsia" w:ascii="宋体" w:hAnsi="宋体" w:cs="宋体"/>
          <w:color w:val="auto"/>
          <w:sz w:val="24"/>
          <w:szCs w:val="24"/>
          <w:highlight w:val="none"/>
        </w:rPr>
        <w:t xml:space="preserve">（简称《需求标准》）</w:t>
      </w:r>
      <w:r>
        <w:rPr>
          <w:rFonts w:hint="eastAsia" w:ascii="宋体" w:hAnsi="宋体" w:cs="宋体"/>
          <w:color w:val="auto"/>
          <w:sz w:val="24"/>
          <w:szCs w:val="24"/>
          <w:highlight w:val="none"/>
        </w:rPr>
        <w:t xml:space="preserve">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w:t>
      </w:r>
      <w:r>
        <w:rPr>
          <w:rFonts w:hint="eastAsia" w:ascii="宋体"/>
          <w:bCs/>
          <w:color w:val="auto"/>
          <w:sz w:val="24"/>
          <w:szCs w:val="24"/>
          <w:highlight w:val="none"/>
        </w:rPr>
        <w:t xml:space="preserve">，</w:t>
      </w:r>
      <w:r>
        <w:rPr>
          <w:rFonts w:hint="eastAsia" w:ascii="宋体"/>
          <w:bCs/>
          <w:color w:val="auto"/>
          <w:sz w:val="24"/>
          <w:szCs w:val="24"/>
          <w:highlight w:val="none"/>
        </w:rPr>
        <w:t xml:space="preserve">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rPr>
          <w:rFonts w:hint="eastAsia" w:ascii="宋体" w:hAnsi="宋体" w:cs="宋体"/>
          <w:color w:val="auto"/>
          <w:sz w:val="24"/>
          <w:szCs w:val="24"/>
          <w:highlight w:val="none"/>
        </w:rPr>
      </w:r>
      <w:r>
        <w:rPr>
          <w:color w:val="auto"/>
          <w:highlight w:val="none"/>
        </w:rPr>
      </w:r>
    </w:p>
    <w:p>
      <w:pPr>
        <w:pStyle w:val="901"/>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p>
    <w:p>
      <w:pPr>
        <w:pStyle w:val="901"/>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w:t>
      </w:r>
      <w:r>
        <w:rPr>
          <w:rFonts w:hint="eastAsia" w:ascii="宋体"/>
          <w:bCs/>
          <w:color w:val="auto"/>
          <w:sz w:val="24"/>
          <w:szCs w:val="24"/>
          <w:highlight w:val="none"/>
        </w:rPr>
        <w:t xml:space="preserve">如</w:t>
      </w:r>
      <w:r>
        <w:rPr>
          <w:rFonts w:hint="eastAsia" w:ascii="宋体"/>
          <w:bCs/>
          <w:color w:val="auto"/>
          <w:sz w:val="24"/>
          <w:szCs w:val="24"/>
          <w:highlight w:val="none"/>
        </w:rPr>
        <w:t xml:space="preserve">有其他承诺的可在此处添加）</w:t>
      </w:r>
      <w:r>
        <w:rPr>
          <w:rFonts w:hint="eastAsia" w:ascii="宋体"/>
          <w:bCs/>
          <w:color w:val="auto"/>
          <w:sz w:val="24"/>
          <w:szCs w:val="24"/>
          <w:highlight w:val="none"/>
        </w:rPr>
      </w:r>
      <w:r>
        <w:rPr>
          <w:color w:val="auto"/>
          <w:highlight w:val="none"/>
        </w:rPr>
      </w:r>
    </w:p>
    <w:p>
      <w:pPr>
        <w:pStyle w:val="901"/>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p>
    <w:p>
      <w:pPr>
        <w:pStyle w:val="901"/>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rPr>
          <w:rFonts w:ascii="宋体" w:hAnsi="宋体"/>
          <w:color w:val="auto"/>
          <w:sz w:val="24"/>
          <w:szCs w:val="20"/>
          <w:highlight w:val="none"/>
        </w:rPr>
      </w:r>
      <w:r>
        <w:rPr>
          <w:color w:val="auto"/>
          <w:highlight w:val="none"/>
        </w:rPr>
      </w:r>
    </w:p>
    <w:p>
      <w:pPr>
        <w:pStyle w:val="901"/>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01"/>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r>
      <w:r>
        <w:rPr>
          <w:color w:val="auto"/>
          <w:highlight w:val="none"/>
        </w:rPr>
      </w:r>
    </w:p>
    <w:p>
      <w:pPr>
        <w:pStyle w:val="901"/>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八、开标一览表（给定格式）：</w:t>
      </w:r>
      <w:r>
        <w:rPr>
          <w:color w:val="auto"/>
          <w:highlight w:val="none"/>
        </w:rPr>
      </w:r>
    </w:p>
    <w:p>
      <w:pPr>
        <w:pStyle w:val="901"/>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rPr>
          <w:color w:val="auto"/>
          <w:highlight w:val="none"/>
        </w:rPr>
      </w:r>
    </w:p>
    <w:p>
      <w:pPr>
        <w:pStyle w:val="901"/>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r>
      <w:r>
        <w:rPr>
          <w:color w:val="auto"/>
          <w:highlight w:val="none"/>
        </w:rPr>
      </w:r>
    </w:p>
    <w:p>
      <w:pPr>
        <w:pStyle w:val="901"/>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01"/>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rPr>
        <w:t xml:space="preserve">JSZC-320200-JZCG-G2024-0151</w:t>
      </w:r>
      <w:r>
        <w:rPr>
          <w:rFonts w:ascii="黑体" w:eastAsia="黑体"/>
          <w:bCs/>
          <w:color w:val="auto"/>
          <w:sz w:val="24"/>
          <w:szCs w:val="24"/>
          <w:highlight w:val="none"/>
        </w:rPr>
      </w:r>
      <w:r>
        <w:rPr>
          <w:color w:val="auto"/>
          <w:highlight w:val="none"/>
        </w:rP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01"/>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rPr>
                <w:rFonts w:ascii="宋体"/>
                <w:b/>
                <w:bCs/>
                <w:color w:val="auto"/>
                <w:sz w:val="24"/>
                <w:szCs w:val="24"/>
                <w:highlight w:val="none"/>
              </w:rPr>
            </w:r>
            <w:r>
              <w:rPr>
                <w:color w:val="auto"/>
                <w:highlight w:val="none"/>
              </w:rPr>
            </w:r>
          </w:p>
        </w:tc>
        <w:tc>
          <w:tcPr>
            <w:tcW w:w="3188" w:type="dxa"/>
            <w:vAlign w:val="center"/>
            <w:textDirection w:val="lrTb"/>
            <w:noWrap w:val="false"/>
          </w:tcPr>
          <w:p>
            <w:pPr>
              <w:pStyle w:val="901"/>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rPr>
                <w:rFonts w:ascii="宋体"/>
                <w:b/>
                <w:bCs/>
                <w:color w:val="auto"/>
                <w:sz w:val="24"/>
                <w:szCs w:val="24"/>
                <w:highlight w:val="none"/>
              </w:rPr>
            </w:r>
            <w:r>
              <w:rPr>
                <w:color w:val="auto"/>
                <w:highlight w:val="none"/>
              </w:rPr>
            </w:r>
          </w:p>
        </w:tc>
      </w:tr>
      <w:tr>
        <w:trPr>
          <w:cantSplit/>
          <w:trHeight w:val="1630"/>
        </w:trPr>
        <w:tc>
          <w:tcPr>
            <w:tcW w:w="5697" w:type="dxa"/>
            <w:vAlign w:val="center"/>
            <w:textDirection w:val="lrTb"/>
            <w:noWrap w:val="false"/>
          </w:tcPr>
          <w:p>
            <w:pPr>
              <w:pStyle w:val="1015"/>
              <w:jc w:val="center"/>
              <w:spacing w:line="400" w:lineRule="exact"/>
              <w:rPr>
                <w:rFonts w:hAnsi="宋体"/>
                <w:bCs/>
                <w:color w:val="auto"/>
                <w:szCs w:val="24"/>
                <w:highlight w:val="none"/>
              </w:rPr>
            </w:pPr>
            <w:r>
              <w:rPr>
                <w:rFonts w:hint="eastAsia" w:hAnsi="宋体"/>
                <w:bCs/>
                <w:color w:val="auto"/>
                <w:szCs w:val="24"/>
                <w:highlight w:val="none"/>
              </w:rPr>
              <w:t xml:space="preserve">东南大学无锡国际校区算力中心设备采购项目</w:t>
            </w:r>
            <w:r>
              <w:rPr>
                <w:rFonts w:hAnsi="宋体"/>
                <w:bCs/>
                <w:color w:val="auto"/>
                <w:szCs w:val="24"/>
                <w:highlight w:val="none"/>
              </w:rPr>
            </w:r>
            <w:r>
              <w:rPr>
                <w:color w:val="auto"/>
                <w:highlight w:val="none"/>
              </w:rPr>
            </w:r>
          </w:p>
        </w:tc>
        <w:tc>
          <w:tcPr>
            <w:tcW w:w="3188" w:type="dxa"/>
            <w:vAlign w:val="center"/>
            <w:textDirection w:val="lrTb"/>
            <w:noWrap w:val="false"/>
          </w:tcPr>
          <w:p>
            <w:pPr>
              <w:pStyle w:val="1015"/>
              <w:rPr>
                <w:rFonts w:hAnsi="宋体"/>
                <w:b/>
                <w:color w:val="auto"/>
                <w:szCs w:val="24"/>
                <w:highlight w:val="none"/>
              </w:rPr>
            </w:pPr>
            <w:r>
              <w:rPr>
                <w:rFonts w:hAnsi="宋体"/>
                <w:b/>
                <w:color w:val="auto"/>
                <w:szCs w:val="24"/>
                <w:highlight w:val="none"/>
              </w:rPr>
            </w:r>
            <w:r>
              <w:rPr>
                <w:color w:val="auto"/>
                <w:highlight w:val="none"/>
              </w:rPr>
            </w:r>
          </w:p>
        </w:tc>
      </w:tr>
      <w:tr>
        <w:trPr>
          <w:cantSplit/>
          <w:trHeight w:val="780"/>
        </w:trPr>
        <w:tc>
          <w:tcPr>
            <w:gridSpan w:val="2"/>
            <w:tcW w:w="8885" w:type="dxa"/>
            <w:vAlign w:val="center"/>
            <w:textDirection w:val="lrTb"/>
            <w:noWrap w:val="false"/>
          </w:tcPr>
          <w:p>
            <w:pPr>
              <w:pStyle w:val="901"/>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rPr>
                <w:rFonts w:ascii="宋体"/>
                <w:bCs/>
                <w:color w:val="auto"/>
                <w:sz w:val="24"/>
                <w:szCs w:val="24"/>
                <w:highlight w:val="none"/>
              </w:rPr>
            </w:r>
            <w:r>
              <w:rPr>
                <w:color w:val="auto"/>
                <w:highlight w:val="none"/>
              </w:rPr>
            </w:r>
          </w:p>
        </w:tc>
      </w:tr>
    </w:tbl>
    <w:p>
      <w:pPr>
        <w:pStyle w:val="901"/>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rPr>
          <w:rFonts w:hint="eastAsia" w:ascii="黑体" w:eastAsia="黑体"/>
          <w:bCs/>
          <w:color w:val="auto"/>
          <w:sz w:val="24"/>
          <w:szCs w:val="24"/>
          <w:highlight w:val="none"/>
        </w:rPr>
      </w:r>
      <w:r>
        <w:rPr>
          <w:color w:val="auto"/>
          <w:highlight w:val="none"/>
        </w:rPr>
      </w:r>
    </w:p>
    <w:p>
      <w:pPr>
        <w:pStyle w:val="901"/>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901"/>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901"/>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color w:val="auto"/>
          <w:highlight w:val="none"/>
        </w:rPr>
      </w:r>
    </w:p>
    <w:p>
      <w:pPr>
        <w:pStyle w:val="901"/>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901"/>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rPr>
          <w:color w:val="auto"/>
          <w:highlight w:val="none"/>
        </w:rPr>
      </w:r>
    </w:p>
    <w:p>
      <w:pPr>
        <w:pStyle w:val="901"/>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rPr>
          <w:rFonts w:ascii="黑体" w:eastAsia="黑体"/>
          <w:bCs/>
          <w:color w:val="auto"/>
          <w:sz w:val="28"/>
          <w:szCs w:val="28"/>
          <w:highlight w:val="none"/>
        </w:rPr>
      </w:r>
      <w:r>
        <w:rPr>
          <w:color w:val="auto"/>
          <w:highlight w:val="none"/>
        </w:rPr>
      </w:r>
    </w:p>
    <w:p>
      <w:pPr>
        <w:pStyle w:val="901"/>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JSZC-320200-JZCG-G2024-0151</w:t>
      </w:r>
      <w:r>
        <w:rPr>
          <w:rFonts w:ascii="黑体" w:eastAsia="黑体"/>
          <w:bCs/>
          <w:color w:val="auto"/>
          <w:sz w:val="24"/>
          <w:szCs w:val="24"/>
          <w:highlight w:val="none"/>
        </w:rPr>
      </w:r>
      <w:r>
        <w:rPr>
          <w:color w:val="auto"/>
          <w:highlight w:val="none"/>
        </w:rP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901"/>
              <w:jc w:val="center"/>
              <w:spacing w:before="5"/>
              <w:rPr>
                <w:color w:val="auto"/>
                <w:sz w:val="18"/>
                <w:highlight w:val="none"/>
              </w:rPr>
            </w:pPr>
            <w:r>
              <w:rPr>
                <w:rFonts w:hint="eastAsia"/>
                <w:color w:val="auto"/>
                <w:sz w:val="18"/>
                <w:highlight w:val="none"/>
              </w:rPr>
              <w:t xml:space="preserve">序号</w:t>
            </w:r>
            <w:r>
              <w:rPr>
                <w:color w:val="auto"/>
                <w:sz w:val="18"/>
                <w:highlight w:val="none"/>
              </w:rPr>
            </w:r>
            <w:r>
              <w:rPr>
                <w:color w:val="auto"/>
                <w:highlight w:val="none"/>
              </w:rPr>
            </w:r>
          </w:p>
        </w:tc>
        <w:tc>
          <w:tcPr>
            <w:tcMar>
              <w:left w:w="15" w:type="dxa"/>
              <w:top w:w="15" w:type="dxa"/>
              <w:right w:w="15" w:type="dxa"/>
              <w:bottom w:w="0" w:type="dxa"/>
            </w:tcMar>
            <w:tcW w:w="1050" w:type="dxa"/>
            <w:vAlign w:val="center"/>
            <w:textDirection w:val="lrTb"/>
            <w:noWrap/>
          </w:tcPr>
          <w:p>
            <w:pPr>
              <w:pStyle w:val="901"/>
              <w:jc w:val="center"/>
              <w:spacing w:before="5"/>
              <w:rPr>
                <w:color w:val="auto"/>
                <w:sz w:val="18"/>
                <w:highlight w:val="none"/>
              </w:rPr>
            </w:pPr>
            <w:r>
              <w:rPr>
                <w:rFonts w:hint="eastAsia"/>
                <w:color w:val="auto"/>
                <w:sz w:val="18"/>
                <w:highlight w:val="none"/>
              </w:rPr>
              <w:t xml:space="preserve">名称</w:t>
            </w:r>
            <w:r>
              <w:rPr>
                <w:color w:val="auto"/>
                <w:sz w:val="18"/>
                <w:highlight w:val="none"/>
              </w:rPr>
            </w:r>
            <w:r>
              <w:rPr>
                <w:color w:val="auto"/>
                <w:highlight w:val="none"/>
              </w:rPr>
            </w:r>
          </w:p>
        </w:tc>
        <w:tc>
          <w:tcPr>
            <w:tcMar>
              <w:left w:w="15" w:type="dxa"/>
              <w:top w:w="15" w:type="dxa"/>
              <w:right w:w="15" w:type="dxa"/>
              <w:bottom w:w="0" w:type="dxa"/>
            </w:tcMar>
            <w:tcW w:w="945" w:type="dxa"/>
            <w:vAlign w:val="center"/>
            <w:textDirection w:val="lrTb"/>
            <w:noWrap/>
          </w:tcPr>
          <w:p>
            <w:pPr>
              <w:pStyle w:val="901"/>
              <w:jc w:val="center"/>
              <w:spacing w:before="5"/>
              <w:rPr>
                <w:color w:val="auto"/>
                <w:sz w:val="18"/>
                <w:highlight w:val="none"/>
              </w:rPr>
            </w:pPr>
            <w:r>
              <w:rPr>
                <w:rFonts w:hint="eastAsia"/>
                <w:color w:val="auto"/>
                <w:sz w:val="18"/>
                <w:highlight w:val="none"/>
              </w:rPr>
              <w:t xml:space="preserve">品牌型号</w:t>
            </w:r>
            <w:r>
              <w:rPr>
                <w:color w:val="auto"/>
                <w:sz w:val="18"/>
                <w:highlight w:val="none"/>
              </w:rPr>
            </w:r>
            <w:r>
              <w:rPr>
                <w:color w:val="auto"/>
                <w:highlight w:val="none"/>
              </w:rPr>
            </w:r>
          </w:p>
        </w:tc>
        <w:tc>
          <w:tcPr>
            <w:tcMar>
              <w:left w:w="15" w:type="dxa"/>
              <w:top w:w="15" w:type="dxa"/>
              <w:right w:w="15" w:type="dxa"/>
              <w:bottom w:w="0" w:type="dxa"/>
            </w:tcMar>
            <w:tcW w:w="3045" w:type="dxa"/>
            <w:vAlign w:val="center"/>
            <w:textDirection w:val="lrTb"/>
            <w:noWrap/>
          </w:tcPr>
          <w:p>
            <w:pPr>
              <w:pStyle w:val="901"/>
              <w:jc w:val="center"/>
              <w:spacing w:before="5"/>
              <w:rPr>
                <w:color w:val="auto"/>
                <w:sz w:val="18"/>
                <w:highlight w:val="none"/>
              </w:rPr>
            </w:pPr>
            <w:r>
              <w:rPr>
                <w:rFonts w:hint="eastAsia"/>
                <w:color w:val="auto"/>
                <w:sz w:val="18"/>
                <w:highlight w:val="none"/>
              </w:rPr>
              <w:t xml:space="preserve">性能指标</w:t>
            </w:r>
            <w:r>
              <w:rPr>
                <w:color w:val="auto"/>
                <w:sz w:val="18"/>
                <w:highlight w:val="none"/>
              </w:rPr>
            </w:r>
            <w:r>
              <w:rPr>
                <w:color w:val="auto"/>
                <w:highlight w:val="none"/>
              </w:rPr>
            </w:r>
          </w:p>
        </w:tc>
        <w:tc>
          <w:tcPr>
            <w:tcMar>
              <w:left w:w="15" w:type="dxa"/>
              <w:top w:w="15" w:type="dxa"/>
              <w:right w:w="15" w:type="dxa"/>
              <w:bottom w:w="0" w:type="dxa"/>
            </w:tcMar>
            <w:tcW w:w="599" w:type="dxa"/>
            <w:vAlign w:val="center"/>
            <w:textDirection w:val="lrTb"/>
            <w:noWrap w:val="false"/>
          </w:tcPr>
          <w:p>
            <w:pPr>
              <w:pStyle w:val="901"/>
              <w:jc w:val="center"/>
              <w:spacing w:before="5"/>
              <w:rPr>
                <w:color w:val="auto"/>
                <w:sz w:val="18"/>
                <w:highlight w:val="none"/>
              </w:rPr>
            </w:pPr>
            <w:r>
              <w:rPr>
                <w:rFonts w:hint="eastAsia"/>
                <w:color w:val="auto"/>
                <w:sz w:val="18"/>
                <w:highlight w:val="none"/>
              </w:rPr>
              <w:t xml:space="preserve">数量</w:t>
            </w:r>
            <w:r>
              <w:rPr>
                <w:color w:val="auto"/>
                <w:sz w:val="18"/>
                <w:highlight w:val="none"/>
              </w:rPr>
            </w:r>
            <w:r>
              <w:rPr>
                <w:color w:val="auto"/>
                <w:highlight w:val="none"/>
              </w:rPr>
            </w:r>
          </w:p>
        </w:tc>
        <w:tc>
          <w:tcPr>
            <w:tcW w:w="1276" w:type="dxa"/>
            <w:vAlign w:val="center"/>
            <w:textDirection w:val="lrTb"/>
            <w:noWrap w:val="false"/>
          </w:tcPr>
          <w:p>
            <w:pPr>
              <w:pStyle w:val="901"/>
              <w:jc w:val="center"/>
              <w:spacing w:before="5"/>
              <w:rPr>
                <w:color w:val="auto"/>
                <w:sz w:val="18"/>
                <w:highlight w:val="none"/>
              </w:rPr>
            </w:pPr>
            <w:r>
              <w:rPr>
                <w:rFonts w:hint="eastAsia"/>
                <w:color w:val="auto"/>
                <w:sz w:val="18"/>
                <w:highlight w:val="none"/>
              </w:rPr>
              <w:t xml:space="preserve">产地</w:t>
            </w:r>
            <w:r>
              <w:rPr>
                <w:color w:val="auto"/>
                <w:sz w:val="18"/>
                <w:highlight w:val="none"/>
              </w:rPr>
            </w:r>
            <w:r>
              <w:rPr>
                <w:color w:val="auto"/>
                <w:highlight w:val="none"/>
              </w:rPr>
            </w:r>
          </w:p>
        </w:tc>
        <w:tc>
          <w:tcPr>
            <w:tcMar>
              <w:left w:w="15" w:type="dxa"/>
              <w:top w:w="15" w:type="dxa"/>
              <w:right w:w="15" w:type="dxa"/>
              <w:bottom w:w="0" w:type="dxa"/>
            </w:tcMar>
            <w:tcW w:w="992" w:type="dxa"/>
            <w:vAlign w:val="center"/>
            <w:textDirection w:val="lrTb"/>
            <w:noWrap/>
          </w:tcPr>
          <w:p>
            <w:pPr>
              <w:pStyle w:val="901"/>
              <w:jc w:val="center"/>
              <w:spacing w:before="5"/>
              <w:rPr>
                <w:color w:val="auto"/>
                <w:sz w:val="18"/>
                <w:highlight w:val="none"/>
              </w:rPr>
            </w:pPr>
            <w:r>
              <w:rPr>
                <w:rFonts w:hint="eastAsia"/>
                <w:color w:val="auto"/>
                <w:sz w:val="18"/>
                <w:highlight w:val="none"/>
              </w:rPr>
              <w:t xml:space="preserve">质保期</w:t>
            </w:r>
            <w:r>
              <w:rPr>
                <w:color w:val="auto"/>
                <w:sz w:val="18"/>
                <w:highlight w:val="none"/>
              </w:rPr>
            </w:r>
            <w:r>
              <w:rPr>
                <w:color w:val="auto"/>
                <w:highlight w:val="none"/>
              </w:rPr>
            </w:r>
          </w:p>
        </w:tc>
        <w:tc>
          <w:tcPr>
            <w:tcW w:w="709" w:type="dxa"/>
            <w:vAlign w:val="center"/>
            <w:textDirection w:val="lrTb"/>
            <w:noWrap w:val="false"/>
          </w:tcPr>
          <w:p>
            <w:pPr>
              <w:pStyle w:val="901"/>
              <w:jc w:val="center"/>
              <w:spacing w:before="5"/>
              <w:rPr>
                <w:color w:val="auto"/>
                <w:sz w:val="18"/>
                <w:highlight w:val="none"/>
              </w:rPr>
            </w:pPr>
            <w:r>
              <w:rPr>
                <w:rFonts w:hint="eastAsia"/>
                <w:color w:val="auto"/>
                <w:sz w:val="18"/>
                <w:highlight w:val="none"/>
              </w:rPr>
              <w:t xml:space="preserve">单报价</w:t>
            </w:r>
            <w:r>
              <w:rPr>
                <w:color w:val="auto"/>
                <w:sz w:val="18"/>
                <w:highlight w:val="none"/>
              </w:rPr>
            </w:r>
            <w:r>
              <w:rPr>
                <w:color w:val="auto"/>
                <w:highlight w:val="none"/>
              </w:rPr>
            </w:r>
          </w:p>
        </w:tc>
        <w:tc>
          <w:tcPr>
            <w:tcW w:w="939" w:type="dxa"/>
            <w:vAlign w:val="center"/>
            <w:textDirection w:val="lrTb"/>
            <w:noWrap w:val="false"/>
          </w:tcPr>
          <w:p>
            <w:pPr>
              <w:pStyle w:val="901"/>
              <w:jc w:val="center"/>
              <w:spacing w:before="5"/>
              <w:rPr>
                <w:color w:val="auto"/>
                <w:sz w:val="18"/>
                <w:highlight w:val="none"/>
              </w:rPr>
            </w:pPr>
            <w:r>
              <w:rPr>
                <w:rFonts w:hint="eastAsia"/>
                <w:color w:val="auto"/>
                <w:sz w:val="18"/>
                <w:highlight w:val="none"/>
              </w:rPr>
              <w:t xml:space="preserve">分项总报价</w:t>
            </w:r>
            <w:r>
              <w:rPr>
                <w:color w:val="auto"/>
                <w:sz w:val="18"/>
                <w:highlight w:val="none"/>
              </w:rPr>
            </w:r>
            <w:r>
              <w:rPr>
                <w:color w:val="auto"/>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51"/>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rPr>
                <w:rFonts w:ascii="宋体"/>
                <w:color w:val="auto"/>
                <w:highlight w:val="none"/>
                <w:lang w:val="en-US" w:eastAsia="zh-CN"/>
              </w:rPr>
            </w:r>
            <w:r>
              <w:rPr>
                <w:color w:val="auto"/>
                <w:highlight w:val="none"/>
              </w:rPr>
            </w:r>
          </w:p>
        </w:tc>
        <w:tc>
          <w:tcPr>
            <w:tcMar>
              <w:left w:w="15" w:type="dxa"/>
              <w:top w:w="15" w:type="dxa"/>
              <w:right w:w="15" w:type="dxa"/>
              <w:bottom w:w="0" w:type="dxa"/>
            </w:tcMar>
            <w:tcW w:w="1050" w:type="dxa"/>
            <w:vAlign w:val="center"/>
            <w:textDirection w:val="lrTb"/>
            <w:noWrap/>
          </w:tcPr>
          <w:p>
            <w:pPr>
              <w:pStyle w:val="951"/>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lang w:val="en-US" w:eastAsia="zh-CN"/>
              </w:rPr>
            </w:r>
            <w:r>
              <w:rPr>
                <w:color w:val="auto"/>
                <w:highlight w:val="none"/>
              </w:rPr>
            </w:r>
          </w:p>
        </w:tc>
        <w:tc>
          <w:tcPr>
            <w:tcMar>
              <w:left w:w="15" w:type="dxa"/>
              <w:top w:w="15" w:type="dxa"/>
              <w:right w:w="15" w:type="dxa"/>
              <w:bottom w:w="0" w:type="dxa"/>
            </w:tcMar>
            <w:tcW w:w="945" w:type="dxa"/>
            <w:vAlign w:val="center"/>
            <w:textDirection w:val="lrTb"/>
            <w:noWrap w:val="false"/>
          </w:tcPr>
          <w:p>
            <w:pPr>
              <w:pStyle w:val="951"/>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lang w:val="en-US" w:eastAsia="zh-CN"/>
              </w:rPr>
            </w:r>
            <w:r>
              <w:rPr>
                <w:color w:val="auto"/>
                <w:highlight w:val="none"/>
              </w:rPr>
            </w:r>
          </w:p>
        </w:tc>
        <w:tc>
          <w:tcPr>
            <w:tcMar>
              <w:left w:w="15" w:type="dxa"/>
              <w:top w:w="15" w:type="dxa"/>
              <w:right w:w="15" w:type="dxa"/>
              <w:bottom w:w="0" w:type="dxa"/>
            </w:tcMar>
            <w:tcW w:w="3045" w:type="dxa"/>
            <w:vAlign w:val="top"/>
            <w:textDirection w:val="lrTb"/>
            <w:noWrap w:val="false"/>
          </w:tcPr>
          <w:p>
            <w:pPr>
              <w:pStyle w:val="901"/>
              <w:jc w:val="center"/>
              <w:rPr>
                <w:rFonts w:ascii="宋体"/>
                <w:bCs/>
                <w:color w:val="auto"/>
                <w:sz w:val="18"/>
                <w:highlight w:val="none"/>
              </w:rPr>
            </w:pPr>
            <w:r>
              <w:rPr>
                <w:rFonts w:ascii="宋体"/>
                <w:bCs/>
                <w:color w:val="auto"/>
                <w:sz w:val="18"/>
                <w:highlight w:val="none"/>
              </w:rPr>
            </w:r>
            <w:r>
              <w:rPr>
                <w:color w:val="auto"/>
                <w:highlight w:val="none"/>
              </w:rPr>
            </w:r>
          </w:p>
        </w:tc>
        <w:tc>
          <w:tcPr>
            <w:tcMar>
              <w:left w:w="15" w:type="dxa"/>
              <w:top w:w="15" w:type="dxa"/>
              <w:right w:w="15" w:type="dxa"/>
              <w:bottom w:w="0" w:type="dxa"/>
            </w:tcMar>
            <w:tcW w:w="599" w:type="dxa"/>
            <w:vAlign w:val="center"/>
            <w:textDirection w:val="lrTb"/>
            <w:noWrap w:val="false"/>
          </w:tcPr>
          <w:p>
            <w:pPr>
              <w:pStyle w:val="901"/>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0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992" w:type="dxa"/>
            <w:vAlign w:val="center"/>
            <w:textDirection w:val="lrTb"/>
            <w:noWrap/>
          </w:tcPr>
          <w:p>
            <w:pPr>
              <w:pStyle w:val="901"/>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709" w:type="dxa"/>
            <w:vAlign w:val="center"/>
            <w:textDirection w:val="lrTb"/>
            <w:noWrap w:val="false"/>
          </w:tcPr>
          <w:p>
            <w:pPr>
              <w:pStyle w:val="90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939" w:type="dxa"/>
            <w:vAlign w:val="center"/>
            <w:textDirection w:val="lrTb"/>
            <w:noWrap w:val="false"/>
          </w:tcPr>
          <w:p>
            <w:pPr>
              <w:pStyle w:val="90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901"/>
              <w:jc w:val="center"/>
              <w:rPr>
                <w:rFonts w:ascii="宋体"/>
                <w:color w:val="auto"/>
                <w:sz w:val="18"/>
                <w:highlight w:val="none"/>
              </w:rPr>
            </w:pPr>
            <w:r>
              <w:rPr>
                <w:rFonts w:hint="eastAsia" w:ascii="宋体"/>
                <w:color w:val="auto"/>
                <w:sz w:val="18"/>
                <w:highlight w:val="none"/>
              </w:rPr>
              <w:t xml:space="preserve">2</w:t>
            </w:r>
            <w:r>
              <w:rPr>
                <w:rFonts w:ascii="宋体"/>
                <w:color w:val="auto"/>
                <w:sz w:val="18"/>
                <w:highlight w:val="none"/>
              </w:rPr>
            </w:r>
            <w:r>
              <w:rPr>
                <w:color w:val="auto"/>
                <w:highlight w:val="none"/>
              </w:rPr>
            </w:r>
          </w:p>
        </w:tc>
        <w:tc>
          <w:tcPr>
            <w:tcMar>
              <w:left w:w="15" w:type="dxa"/>
              <w:top w:w="15" w:type="dxa"/>
              <w:right w:w="15" w:type="dxa"/>
              <w:bottom w:w="0" w:type="dxa"/>
            </w:tcMar>
            <w:tcW w:w="1050" w:type="dxa"/>
            <w:vAlign w:val="center"/>
            <w:textDirection w:val="lrTb"/>
            <w:noWrap/>
          </w:tcPr>
          <w:p>
            <w:pPr>
              <w:pStyle w:val="901"/>
              <w:jc w:val="center"/>
              <w:rPr>
                <w:rFonts w:ascii="宋体"/>
                <w:color w:val="auto"/>
                <w:highlight w:val="none"/>
              </w:rPr>
            </w:pPr>
            <w:r>
              <w:rPr>
                <w:rFonts w:ascii="宋体"/>
                <w:color w:val="auto"/>
                <w:highlight w:val="none"/>
              </w:rPr>
            </w:r>
            <w:r>
              <w:rPr>
                <w:color w:val="auto"/>
                <w:highlight w:val="none"/>
              </w:rPr>
            </w:r>
          </w:p>
        </w:tc>
        <w:tc>
          <w:tcPr>
            <w:tcMar>
              <w:left w:w="15" w:type="dxa"/>
              <w:top w:w="15" w:type="dxa"/>
              <w:right w:w="15" w:type="dxa"/>
              <w:bottom w:w="0" w:type="dxa"/>
            </w:tcMar>
            <w:tcW w:w="945" w:type="dxa"/>
            <w:vAlign w:val="center"/>
            <w:textDirection w:val="lrTb"/>
            <w:noWrap w:val="false"/>
          </w:tcPr>
          <w:p>
            <w:pPr>
              <w:pStyle w:val="951"/>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lang w:val="en-US" w:eastAsia="zh-CN"/>
              </w:rPr>
            </w:r>
            <w:r>
              <w:rPr>
                <w:color w:val="auto"/>
                <w:highlight w:val="none"/>
              </w:rPr>
            </w:r>
          </w:p>
        </w:tc>
        <w:tc>
          <w:tcPr>
            <w:tcMar>
              <w:left w:w="15" w:type="dxa"/>
              <w:top w:w="15" w:type="dxa"/>
              <w:right w:w="15" w:type="dxa"/>
              <w:bottom w:w="0" w:type="dxa"/>
            </w:tcMar>
            <w:tcW w:w="3045" w:type="dxa"/>
            <w:vAlign w:val="center"/>
            <w:textDirection w:val="lrTb"/>
            <w:noWrap w:val="false"/>
          </w:tcPr>
          <w:p>
            <w:pPr>
              <w:pStyle w:val="901"/>
              <w:jc w:val="center"/>
              <w:rPr>
                <w:rFonts w:ascii="宋体"/>
                <w:bCs/>
                <w:color w:val="auto"/>
                <w:sz w:val="18"/>
                <w:highlight w:val="none"/>
              </w:rPr>
            </w:pPr>
            <w:r>
              <w:rPr>
                <w:rFonts w:ascii="宋体"/>
                <w:bCs/>
                <w:color w:val="auto"/>
                <w:sz w:val="18"/>
                <w:highlight w:val="none"/>
              </w:rPr>
            </w:r>
            <w:r>
              <w:rPr>
                <w:color w:val="auto"/>
                <w:highlight w:val="none"/>
              </w:rPr>
            </w:r>
          </w:p>
        </w:tc>
        <w:tc>
          <w:tcPr>
            <w:tcMar>
              <w:left w:w="15" w:type="dxa"/>
              <w:top w:w="15" w:type="dxa"/>
              <w:right w:w="15" w:type="dxa"/>
              <w:bottom w:w="0" w:type="dxa"/>
            </w:tcMar>
            <w:tcW w:w="599" w:type="dxa"/>
            <w:vAlign w:val="center"/>
            <w:textDirection w:val="lrTb"/>
            <w:noWrap w:val="false"/>
          </w:tcPr>
          <w:p>
            <w:pPr>
              <w:pStyle w:val="901"/>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0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992" w:type="dxa"/>
            <w:vAlign w:val="center"/>
            <w:textDirection w:val="lrTb"/>
            <w:noWrap/>
          </w:tcPr>
          <w:p>
            <w:pPr>
              <w:pStyle w:val="901"/>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709" w:type="dxa"/>
            <w:vAlign w:val="center"/>
            <w:textDirection w:val="lrTb"/>
            <w:noWrap w:val="false"/>
          </w:tcPr>
          <w:p>
            <w:pPr>
              <w:pStyle w:val="90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939" w:type="dxa"/>
            <w:vAlign w:val="center"/>
            <w:textDirection w:val="lrTb"/>
            <w:noWrap w:val="false"/>
          </w:tcPr>
          <w:p>
            <w:pPr>
              <w:pStyle w:val="90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901"/>
              <w:jc w:val="center"/>
              <w:rPr>
                <w:rFonts w:ascii="宋体"/>
                <w:color w:val="auto"/>
                <w:sz w:val="18"/>
                <w:highlight w:val="none"/>
              </w:rPr>
            </w:pPr>
            <w:r>
              <w:rPr>
                <w:rFonts w:ascii="宋体"/>
                <w:color w:val="auto"/>
                <w:sz w:val="18"/>
                <w:highlight w:val="none"/>
              </w:rPr>
            </w:r>
            <w:r>
              <w:rPr>
                <w:color w:val="auto"/>
                <w:highlight w:val="none"/>
              </w:rPr>
            </w:r>
          </w:p>
        </w:tc>
        <w:tc>
          <w:tcPr>
            <w:tcMar>
              <w:left w:w="15" w:type="dxa"/>
              <w:top w:w="15" w:type="dxa"/>
              <w:right w:w="15" w:type="dxa"/>
              <w:bottom w:w="0" w:type="dxa"/>
            </w:tcMar>
            <w:tcW w:w="1050" w:type="dxa"/>
            <w:vAlign w:val="center"/>
            <w:textDirection w:val="lrTb"/>
            <w:noWrap/>
          </w:tcPr>
          <w:p>
            <w:pPr>
              <w:pStyle w:val="901"/>
              <w:jc w:val="center"/>
              <w:rPr>
                <w:rFonts w:ascii="宋体"/>
                <w:color w:val="auto"/>
                <w:highlight w:val="none"/>
              </w:rPr>
            </w:pPr>
            <w:r>
              <w:rPr>
                <w:rFonts w:ascii="宋体"/>
                <w:color w:val="auto"/>
                <w:highlight w:val="none"/>
              </w:rPr>
              <w:t xml:space="preserve">……</w:t>
            </w:r>
            <w:r>
              <w:rPr>
                <w:color w:val="auto"/>
                <w:highlight w:val="none"/>
              </w:rPr>
            </w:r>
          </w:p>
        </w:tc>
        <w:tc>
          <w:tcPr>
            <w:tcMar>
              <w:left w:w="15" w:type="dxa"/>
              <w:top w:w="15" w:type="dxa"/>
              <w:right w:w="15" w:type="dxa"/>
              <w:bottom w:w="0" w:type="dxa"/>
            </w:tcMar>
            <w:tcW w:w="945" w:type="dxa"/>
            <w:vAlign w:val="center"/>
            <w:textDirection w:val="lrTb"/>
            <w:noWrap w:val="false"/>
          </w:tcPr>
          <w:p>
            <w:pPr>
              <w:pStyle w:val="951"/>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lang w:val="en-US" w:eastAsia="zh-CN"/>
              </w:rPr>
            </w:r>
            <w:r>
              <w:rPr>
                <w:color w:val="auto"/>
                <w:highlight w:val="none"/>
              </w:rPr>
            </w:r>
          </w:p>
        </w:tc>
        <w:tc>
          <w:tcPr>
            <w:tcMar>
              <w:left w:w="15" w:type="dxa"/>
              <w:top w:w="15" w:type="dxa"/>
              <w:right w:w="15" w:type="dxa"/>
              <w:bottom w:w="0" w:type="dxa"/>
            </w:tcMar>
            <w:tcW w:w="3045" w:type="dxa"/>
            <w:vAlign w:val="center"/>
            <w:textDirection w:val="lrTb"/>
            <w:noWrap w:val="false"/>
          </w:tcPr>
          <w:p>
            <w:pPr>
              <w:pStyle w:val="901"/>
              <w:jc w:val="center"/>
              <w:rPr>
                <w:rFonts w:ascii="宋体"/>
                <w:bCs/>
                <w:color w:val="auto"/>
                <w:sz w:val="18"/>
                <w:highlight w:val="none"/>
              </w:rPr>
            </w:pPr>
            <w:r>
              <w:rPr>
                <w:rFonts w:ascii="宋体"/>
                <w:bCs/>
                <w:color w:val="auto"/>
                <w:sz w:val="18"/>
                <w:highlight w:val="none"/>
              </w:rPr>
            </w:r>
            <w:r>
              <w:rPr>
                <w:color w:val="auto"/>
                <w:highlight w:val="none"/>
              </w:rPr>
            </w:r>
          </w:p>
        </w:tc>
        <w:tc>
          <w:tcPr>
            <w:tcMar>
              <w:left w:w="15" w:type="dxa"/>
              <w:top w:w="15" w:type="dxa"/>
              <w:right w:w="15" w:type="dxa"/>
              <w:bottom w:w="0" w:type="dxa"/>
            </w:tcMar>
            <w:tcW w:w="599" w:type="dxa"/>
            <w:vAlign w:val="center"/>
            <w:textDirection w:val="lrTb"/>
            <w:noWrap w:val="false"/>
          </w:tcPr>
          <w:p>
            <w:pPr>
              <w:pStyle w:val="901"/>
              <w:jc w:val="center"/>
              <w:rPr>
                <w:rFonts w:hint="eastAsia" w:ascii="黑体" w:eastAsia="黑体"/>
                <w:b/>
                <w:bCs/>
                <w:color w:val="auto"/>
                <w:highlight w:val="none"/>
              </w:rPr>
            </w:pPr>
            <w:r>
              <w:rPr>
                <w:rFonts w:hint="eastAsia" w:ascii="黑体" w:eastAsia="黑体"/>
                <w:b/>
                <w:bCs/>
                <w:color w:val="auto"/>
                <w:highlight w:val="none"/>
              </w:rPr>
            </w:r>
            <w:r>
              <w:rPr>
                <w:color w:val="auto"/>
                <w:highlight w:val="none"/>
              </w:rPr>
            </w:r>
          </w:p>
        </w:tc>
        <w:tc>
          <w:tcPr>
            <w:tcW w:w="1276" w:type="dxa"/>
            <w:vAlign w:val="center"/>
            <w:textDirection w:val="lrTb"/>
            <w:noWrap w:val="false"/>
          </w:tcPr>
          <w:p>
            <w:pPr>
              <w:pStyle w:val="90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992" w:type="dxa"/>
            <w:vAlign w:val="center"/>
            <w:textDirection w:val="lrTb"/>
            <w:noWrap/>
          </w:tcPr>
          <w:p>
            <w:pPr>
              <w:pStyle w:val="901"/>
              <w:jc w:val="center"/>
              <w:rPr>
                <w:rFonts w:hint="eastAsia" w:ascii="黑体" w:eastAsia="黑体"/>
                <w:b/>
                <w:bCs/>
                <w:color w:val="auto"/>
                <w:highlight w:val="none"/>
              </w:rPr>
            </w:pPr>
            <w:r>
              <w:rPr>
                <w:rFonts w:hint="eastAsia" w:ascii="黑体" w:eastAsia="黑体"/>
                <w:b/>
                <w:bCs/>
                <w:color w:val="auto"/>
                <w:highlight w:val="none"/>
              </w:rPr>
            </w:r>
            <w:r>
              <w:rPr>
                <w:color w:val="auto"/>
                <w:highlight w:val="none"/>
              </w:rPr>
            </w:r>
          </w:p>
        </w:tc>
        <w:tc>
          <w:tcPr>
            <w:tcW w:w="709" w:type="dxa"/>
            <w:vAlign w:val="center"/>
            <w:textDirection w:val="lrTb"/>
            <w:noWrap w:val="false"/>
          </w:tcPr>
          <w:p>
            <w:pPr>
              <w:pStyle w:val="90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939" w:type="dxa"/>
            <w:vAlign w:val="center"/>
            <w:textDirection w:val="lrTb"/>
            <w:noWrap w:val="false"/>
          </w:tcPr>
          <w:p>
            <w:pPr>
              <w:pStyle w:val="90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bl>
    <w:p>
      <w:pPr>
        <w:pStyle w:val="901"/>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rPr>
          <w:b/>
          <w:bCs/>
          <w:color w:val="auto"/>
          <w:sz w:val="24"/>
          <w:szCs w:val="24"/>
          <w:highlight w:val="none"/>
        </w:rPr>
      </w:r>
      <w:r>
        <w:rPr>
          <w:color w:val="auto"/>
          <w:highlight w:val="none"/>
        </w:rPr>
      </w:r>
    </w:p>
    <w:p>
      <w:pPr>
        <w:pStyle w:val="901"/>
        <w:spacing w:line="400" w:lineRule="exact"/>
        <w:rPr>
          <w:rFonts w:hint="eastAsia" w:ascii="宋体" w:hAnsi="宋体"/>
          <w:b/>
          <w:color w:val="auto"/>
          <w:highlight w:val="none"/>
        </w:rPr>
        <w:outlineLvl w:val="0"/>
      </w:pPr>
      <w:r>
        <w:rPr>
          <w:rFonts w:hint="eastAsia" w:ascii="宋体" w:hAnsi="宋体"/>
          <w:b/>
          <w:color w:val="auto"/>
          <w:highlight w:val="none"/>
        </w:rPr>
      </w:r>
      <w:r>
        <w:rPr>
          <w:color w:val="auto"/>
          <w:highlight w:val="none"/>
        </w:rPr>
      </w:r>
    </w:p>
    <w:p>
      <w:pPr>
        <w:pStyle w:val="901"/>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auto"/>
          <w:highlight w:val="none"/>
        </w:rPr>
      </w:r>
      <w:r>
        <w:rPr>
          <w:color w:val="auto"/>
          <w:highlight w:val="none"/>
        </w:rPr>
      </w:r>
    </w:p>
    <w:p>
      <w:pPr>
        <w:pStyle w:val="901"/>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w:t>
      </w:r>
      <w:r>
        <w:rPr>
          <w:rFonts w:hint="eastAsia" w:ascii="宋体" w:hAnsi="宋体"/>
          <w:bCs/>
          <w:color w:val="auto"/>
          <w:highlight w:val="none"/>
        </w:rPr>
        <w:t xml:space="preserve">采购需求</w:t>
      </w:r>
      <w:r>
        <w:rPr>
          <w:rFonts w:hint="eastAsia" w:ascii="宋体" w:hAnsi="宋体"/>
          <w:bCs/>
          <w:color w:val="auto"/>
          <w:highlight w:val="none"/>
        </w:rPr>
        <w:t xml:space="preserve">”的内容在上表中详细填写；</w:t>
      </w:r>
      <w:r>
        <w:rPr>
          <w:rFonts w:ascii="宋体"/>
          <w:bCs/>
          <w:color w:val="auto"/>
          <w:highlight w:val="none"/>
        </w:rPr>
      </w:r>
      <w:r>
        <w:rPr>
          <w:color w:val="auto"/>
          <w:highlight w:val="none"/>
        </w:rPr>
      </w:r>
    </w:p>
    <w:p>
      <w:pPr>
        <w:pStyle w:val="901"/>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bookmarkEnd w:id="195"/>
      <w:r>
        <w:rPr>
          <w:color w:val="auto"/>
          <w:highlight w:val="none"/>
        </w:rPr>
      </w:r>
      <w:bookmarkEnd w:id="196"/>
      <w:r>
        <w:rPr>
          <w:color w:val="auto"/>
          <w:highlight w:val="none"/>
        </w:rPr>
      </w:r>
      <w:bookmarkEnd w:id="197"/>
      <w:r>
        <w:rPr>
          <w:rFonts w:hint="eastAsia" w:ascii="宋体" w:hAnsi="宋体"/>
          <w:bCs/>
          <w:color w:val="auto"/>
          <w:highlight w:val="none"/>
        </w:rPr>
      </w:r>
      <w:r>
        <w:rPr>
          <w:color w:val="auto"/>
          <w:highlight w:val="none"/>
        </w:rPr>
      </w:r>
    </w:p>
    <w:p>
      <w:pPr>
        <w:pStyle w:val="901"/>
        <w:spacing w:line="400" w:lineRule="exact"/>
        <w:rPr>
          <w:rFonts w:hint="eastAsia"/>
          <w:b/>
          <w:color w:val="auto"/>
          <w:sz w:val="28"/>
          <w:szCs w:val="28"/>
          <w:highlight w:val="none"/>
        </w:rPr>
        <w:outlineLvl w:val="0"/>
      </w:pPr>
      <w:r>
        <w:rPr>
          <w:rFonts w:hint="eastAsia"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rPr>
          <w:color w:val="auto"/>
          <w:highlight w:val="none"/>
        </w:rPr>
      </w:r>
    </w:p>
    <w:p>
      <w:pPr>
        <w:pStyle w:val="901"/>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01"/>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rPr>
          <w:rFonts w:ascii="黑体" w:eastAsia="黑体"/>
          <w:bCs/>
          <w:color w:val="auto"/>
          <w:sz w:val="28"/>
          <w:szCs w:val="28"/>
          <w:highlight w:val="none"/>
        </w:rPr>
      </w:r>
      <w:r>
        <w:rPr>
          <w:color w:val="auto"/>
          <w:highlight w:val="none"/>
        </w:rPr>
      </w:r>
    </w:p>
    <w:p>
      <w:pPr>
        <w:pStyle w:val="901"/>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01"/>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01"/>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JSZC-320200-JZCG-G2024-0151</w:t>
      </w:r>
      <w:r>
        <w:rPr>
          <w:rFonts w:ascii="黑体" w:eastAsia="黑体"/>
          <w:bCs/>
          <w:color w:val="auto"/>
          <w:sz w:val="24"/>
          <w:szCs w:val="24"/>
          <w:highlight w:val="none"/>
        </w:rPr>
      </w:r>
      <w:r>
        <w:rPr>
          <w:color w:val="auto"/>
          <w:highlight w:val="none"/>
        </w:rP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1"/>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rPr>
                <w:rFonts w:ascii="宋体"/>
                <w:b/>
                <w:bCs/>
                <w:color w:val="auto"/>
                <w:sz w:val="24"/>
                <w:szCs w:val="24"/>
                <w:highlight w:val="none"/>
              </w:rPr>
            </w:r>
            <w:r>
              <w:rPr>
                <w:color w:val="auto"/>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1"/>
              <w:jc w:val="center"/>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Cs/>
                <w:color w:val="auto"/>
                <w:highlight w:val="none"/>
              </w:rPr>
            </w:pPr>
            <w:r>
              <w:rPr>
                <w:rFonts w:ascii="宋体"/>
                <w:bCs/>
                <w:color w:val="auto"/>
                <w:highlight w:val="none"/>
              </w:rPr>
            </w:r>
            <w:r>
              <w:rPr>
                <w:color w:val="auto"/>
                <w:highlight w:val="none"/>
              </w:rPr>
            </w:r>
          </w:p>
        </w:tc>
      </w:tr>
    </w:tbl>
    <w:p>
      <w:pPr>
        <w:pStyle w:val="901"/>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rPr>
          <w:rFonts w:hint="eastAsia" w:ascii="宋体" w:eastAsia="黑体"/>
          <w:b/>
          <w:color w:val="auto"/>
          <w:sz w:val="24"/>
          <w:szCs w:val="24"/>
          <w:highlight w:val="none"/>
        </w:rPr>
      </w:r>
      <w:r>
        <w:rPr>
          <w:color w:val="auto"/>
          <w:highlight w:val="none"/>
        </w:rPr>
      </w:r>
    </w:p>
    <w:p>
      <w:pPr>
        <w:pStyle w:val="901"/>
        <w:rPr>
          <w:rFonts w:ascii="宋体"/>
          <w:bCs/>
          <w:color w:val="auto"/>
          <w:sz w:val="30"/>
          <w:highlight w:val="none"/>
        </w:rPr>
      </w:pPr>
      <w:r>
        <w:rPr>
          <w:rFonts w:ascii="宋体"/>
          <w:bCs/>
          <w:color w:val="auto"/>
          <w:sz w:val="30"/>
          <w:highlight w:val="none"/>
        </w:rPr>
      </w:r>
      <w:r>
        <w:rPr>
          <w:color w:val="auto"/>
          <w:highlight w:val="none"/>
        </w:rPr>
      </w:r>
    </w:p>
    <w:p>
      <w:pPr>
        <w:pStyle w:val="901"/>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rPr>
          <w:rFonts w:ascii="宋体" w:hAnsi="宋体"/>
          <w:bCs/>
          <w:color w:val="auto"/>
          <w:sz w:val="24"/>
          <w:szCs w:val="24"/>
          <w:highlight w:val="none"/>
        </w:rPr>
      </w:r>
      <w:r>
        <w:rPr>
          <w:color w:val="auto"/>
          <w:highlight w:val="none"/>
        </w:rPr>
      </w:r>
    </w:p>
    <w:p>
      <w:pPr>
        <w:pStyle w:val="901"/>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rPr>
          <w:rFonts w:ascii="宋体" w:hAnsi="宋体"/>
          <w:bCs/>
          <w:color w:val="auto"/>
          <w:sz w:val="24"/>
          <w:szCs w:val="24"/>
          <w:highlight w:val="none"/>
        </w:rPr>
      </w:r>
      <w:r>
        <w:rPr>
          <w:color w:val="auto"/>
          <w:highlight w:val="none"/>
        </w:rPr>
      </w:r>
    </w:p>
    <w:p>
      <w:pPr>
        <w:pStyle w:val="901"/>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r>
        <w:rPr>
          <w:color w:val="auto"/>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Fonts w:ascii="宋体" w:hAnsi="宋体"/>
      </w:rPr>
      <w:framePr w:wrap="around" w:vAnchor="text" w:hAnchor="margin" w:xAlign="center" w:y="1"/>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３７</w:t>
    </w:r>
    <w:r>
      <w:rPr>
        <w:rFonts w:ascii="宋体" w:hAnsi="宋体"/>
      </w:rPr>
      <w:fldChar w:fldCharType="end"/>
    </w:r>
    <w:r>
      <w:rPr>
        <w:rStyle w:val="974"/>
        <w:rFonts w:ascii="宋体" w:hAnsi="宋体"/>
      </w:rPr>
    </w:r>
    <w:r/>
  </w:p>
  <w:p>
    <w:pPr>
      <w:pStyle w:val="949"/>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rPr>
        <w:rStyle w:val="974"/>
      </w:rPr>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1"/>
      <w:isLgl w:val="false"/>
      <w:suff w:val="tab"/>
      <w:lvlText w:val="附录%1."/>
      <w:lvlJc w:val="left"/>
      <w:pPr>
        <w:pStyle w:val="9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901"/>
        <w:ind w:left="1505" w:hanging="945"/>
        <w:tabs>
          <w:tab w:val="num" w:pos="1505" w:leader="none"/>
        </w:tabs>
      </w:pPr>
      <w:rPr>
        <w:rFonts w:hint="eastAsia"/>
      </w:rPr>
    </w:lvl>
    <w:lvl w:ilvl="1">
      <w:start w:val="1"/>
      <w:numFmt w:val="decimal"/>
      <w:isLgl w:val="false"/>
      <w:suff w:val="tab"/>
      <w:lvlText w:val="%2、"/>
      <w:lvlJc w:val="left"/>
      <w:pPr>
        <w:pStyle w:val="901"/>
        <w:ind w:left="1340" w:hanging="360"/>
        <w:tabs>
          <w:tab w:val="num" w:pos="1340" w:leader="none"/>
        </w:tabs>
      </w:pPr>
      <w:rPr>
        <w:rFonts w:hint="eastAsia"/>
      </w:rPr>
    </w:lvl>
    <w:lvl w:ilvl="2">
      <w:start w:val="1"/>
      <w:numFmt w:val="japaneseCounting"/>
      <w:isLgl w:val="false"/>
      <w:suff w:val="tab"/>
      <w:lvlText w:val="%3、"/>
      <w:lvlJc w:val="left"/>
      <w:pPr>
        <w:pStyle w:val="901"/>
        <w:ind w:left="1820" w:hanging="420"/>
        <w:tabs>
          <w:tab w:val="num" w:pos="1820" w:leader="none"/>
        </w:tabs>
      </w:pPr>
      <w:rPr>
        <w:rFonts w:hint="eastAsia"/>
      </w:rPr>
    </w:lvl>
    <w:lvl w:ilvl="3">
      <w:start w:val="1"/>
      <w:numFmt w:val="decimal"/>
      <w:isLgl w:val="false"/>
      <w:suff w:val="tab"/>
      <w:lvlText w:val="%4."/>
      <w:lvlJc w:val="left"/>
      <w:pPr>
        <w:pStyle w:val="901"/>
        <w:ind w:left="2240" w:hanging="420"/>
        <w:tabs>
          <w:tab w:val="num" w:pos="2240" w:leader="none"/>
        </w:tabs>
      </w:pPr>
    </w:lvl>
    <w:lvl w:ilvl="4">
      <w:start w:val="1"/>
      <w:numFmt w:val="lowerLetter"/>
      <w:isLgl w:val="false"/>
      <w:suff w:val="tab"/>
      <w:lvlText w:val="%5)"/>
      <w:lvlJc w:val="left"/>
      <w:pPr>
        <w:pStyle w:val="901"/>
        <w:ind w:left="2660" w:hanging="420"/>
        <w:tabs>
          <w:tab w:val="num" w:pos="2660" w:leader="none"/>
        </w:tabs>
      </w:pPr>
    </w:lvl>
    <w:lvl w:ilvl="5">
      <w:start w:val="1"/>
      <w:numFmt w:val="lowerRoman"/>
      <w:isLgl w:val="false"/>
      <w:suff w:val="tab"/>
      <w:lvlText w:val="%6."/>
      <w:lvlJc w:val="right"/>
      <w:pPr>
        <w:pStyle w:val="901"/>
        <w:ind w:left="3080" w:hanging="420"/>
        <w:tabs>
          <w:tab w:val="num" w:pos="3080" w:leader="none"/>
        </w:tabs>
      </w:pPr>
    </w:lvl>
    <w:lvl w:ilvl="6">
      <w:start w:val="1"/>
      <w:numFmt w:val="decimal"/>
      <w:isLgl w:val="false"/>
      <w:suff w:val="tab"/>
      <w:lvlText w:val="%7."/>
      <w:lvlJc w:val="left"/>
      <w:pPr>
        <w:pStyle w:val="901"/>
        <w:ind w:left="3500" w:hanging="420"/>
        <w:tabs>
          <w:tab w:val="num" w:pos="3500" w:leader="none"/>
        </w:tabs>
      </w:pPr>
    </w:lvl>
    <w:lvl w:ilvl="7">
      <w:start w:val="1"/>
      <w:numFmt w:val="lowerLetter"/>
      <w:isLgl w:val="false"/>
      <w:suff w:val="tab"/>
      <w:lvlText w:val="%8)"/>
      <w:lvlJc w:val="left"/>
      <w:pPr>
        <w:pStyle w:val="901"/>
        <w:ind w:left="3920" w:hanging="420"/>
        <w:tabs>
          <w:tab w:val="num" w:pos="3920" w:leader="none"/>
        </w:tabs>
      </w:pPr>
    </w:lvl>
    <w:lvl w:ilvl="8">
      <w:start w:val="1"/>
      <w:numFmt w:val="lowerRoman"/>
      <w:isLgl w:val="false"/>
      <w:suff w:val="tab"/>
      <w:lvlText w:val="%9."/>
      <w:lvlJc w:val="right"/>
      <w:pPr>
        <w:pStyle w:val="901"/>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901"/>
        <w:ind w:left="1239" w:hanging="720"/>
      </w:pPr>
      <w:rPr>
        <w:rFonts w:hAnsi="宋体"/>
      </w:rPr>
    </w:lvl>
    <w:lvl w:ilvl="1">
      <w:start w:val="1"/>
      <w:numFmt w:val="lowerLetter"/>
      <w:isLgl w:val="false"/>
      <w:suff w:val="tab"/>
      <w:lvlText w:val="%2)"/>
      <w:lvlJc w:val="left"/>
      <w:pPr>
        <w:pStyle w:val="901"/>
        <w:ind w:left="1359" w:hanging="420"/>
      </w:pPr>
    </w:lvl>
    <w:lvl w:ilvl="2">
      <w:start w:val="1"/>
      <w:numFmt w:val="lowerRoman"/>
      <w:isLgl w:val="false"/>
      <w:suff w:val="tab"/>
      <w:lvlText w:val="%3."/>
      <w:lvlJc w:val="right"/>
      <w:pPr>
        <w:pStyle w:val="901"/>
        <w:ind w:left="1779" w:hanging="420"/>
      </w:pPr>
    </w:lvl>
    <w:lvl w:ilvl="3">
      <w:start w:val="1"/>
      <w:numFmt w:val="decimal"/>
      <w:isLgl w:val="false"/>
      <w:suff w:val="tab"/>
      <w:lvlText w:val="%4."/>
      <w:lvlJc w:val="left"/>
      <w:pPr>
        <w:pStyle w:val="901"/>
        <w:ind w:left="2199" w:hanging="420"/>
      </w:pPr>
    </w:lvl>
    <w:lvl w:ilvl="4">
      <w:start w:val="1"/>
      <w:numFmt w:val="lowerLetter"/>
      <w:isLgl w:val="false"/>
      <w:suff w:val="tab"/>
      <w:lvlText w:val="%5)"/>
      <w:lvlJc w:val="left"/>
      <w:pPr>
        <w:pStyle w:val="901"/>
        <w:ind w:left="2619" w:hanging="420"/>
      </w:pPr>
    </w:lvl>
    <w:lvl w:ilvl="5">
      <w:start w:val="1"/>
      <w:numFmt w:val="lowerRoman"/>
      <w:isLgl w:val="false"/>
      <w:suff w:val="tab"/>
      <w:lvlText w:val="%6."/>
      <w:lvlJc w:val="right"/>
      <w:pPr>
        <w:pStyle w:val="901"/>
        <w:ind w:left="3039" w:hanging="420"/>
      </w:pPr>
    </w:lvl>
    <w:lvl w:ilvl="6">
      <w:start w:val="1"/>
      <w:numFmt w:val="decimal"/>
      <w:isLgl w:val="false"/>
      <w:suff w:val="tab"/>
      <w:lvlText w:val="%7."/>
      <w:lvlJc w:val="left"/>
      <w:pPr>
        <w:pStyle w:val="901"/>
        <w:ind w:left="3459" w:hanging="420"/>
      </w:pPr>
    </w:lvl>
    <w:lvl w:ilvl="7">
      <w:start w:val="1"/>
      <w:numFmt w:val="lowerLetter"/>
      <w:isLgl w:val="false"/>
      <w:suff w:val="tab"/>
      <w:lvlText w:val="%8)"/>
      <w:lvlJc w:val="left"/>
      <w:pPr>
        <w:pStyle w:val="901"/>
        <w:ind w:left="3879" w:hanging="420"/>
      </w:pPr>
    </w:lvl>
    <w:lvl w:ilvl="8">
      <w:start w:val="1"/>
      <w:numFmt w:val="lowerRoman"/>
      <w:isLgl w:val="false"/>
      <w:suff w:val="tab"/>
      <w:lvlText w:val="%9."/>
      <w:lvlJc w:val="right"/>
      <w:pPr>
        <w:pStyle w:val="901"/>
        <w:ind w:left="4299" w:hanging="420"/>
      </w:pPr>
    </w:lvl>
  </w:abstractNum>
  <w:abstractNum w:abstractNumId="10">
    <w:multiLevelType w:val="hybridMultilevel"/>
    <w:lvl w:ilvl="0">
      <w:start w:val="1"/>
      <w:numFmt w:val="decimal"/>
      <w:pStyle w:val="998"/>
      <w:isLgl w:val="false"/>
      <w:suff w:val="tab"/>
      <w:lvlText w:val="%1."/>
      <w:lvlJc w:val="left"/>
      <w:pPr>
        <w:pStyle w:val="901"/>
        <w:ind w:left="709" w:hanging="709"/>
        <w:tabs>
          <w:tab w:val="num" w:pos="709" w:leader="none"/>
        </w:tabs>
      </w:pPr>
      <w:rPr>
        <w:rFonts w:hint="eastAsia"/>
      </w:rPr>
    </w:lvl>
    <w:lvl w:ilvl="1">
      <w:start w:val="1"/>
      <w:numFmt w:val="decimal"/>
      <w:isLgl w:val="false"/>
      <w:suff w:val="tab"/>
      <w:lvlText w:val="%1.%2"/>
      <w:lvlJc w:val="left"/>
      <w:pPr>
        <w:pStyle w:val="901"/>
        <w:ind w:left="709" w:hanging="709"/>
        <w:tabs>
          <w:tab w:val="num" w:pos="709" w:leader="none"/>
        </w:tabs>
      </w:pPr>
      <w:rPr>
        <w:rFonts w:hint="eastAsia"/>
      </w:rPr>
    </w:lvl>
    <w:lvl w:ilvl="2">
      <w:start w:val="1"/>
      <w:numFmt w:val="decimal"/>
      <w:isLgl w:val="false"/>
      <w:suff w:val="tab"/>
      <w:lvlText w:val="%1.%2.%3."/>
      <w:lvlJc w:val="left"/>
      <w:pPr>
        <w:pStyle w:val="901"/>
        <w:ind w:left="425" w:hanging="425"/>
        <w:tabs>
          <w:tab w:val="num" w:pos="425" w:leader="none"/>
        </w:tabs>
      </w:pPr>
      <w:rPr>
        <w:rFonts w:hint="eastAsia"/>
      </w:rPr>
    </w:lvl>
    <w:lvl w:ilvl="3">
      <w:start w:val="1"/>
      <w:numFmt w:val="decimal"/>
      <w:isLgl w:val="false"/>
      <w:suff w:val="tab"/>
      <w:lvlText w:val="%1.%2.%3.%4."/>
      <w:lvlJc w:val="left"/>
      <w:pPr>
        <w:pStyle w:val="901"/>
        <w:ind w:left="851" w:hanging="851"/>
        <w:tabs>
          <w:tab w:val="num" w:pos="851" w:leader="none"/>
        </w:tabs>
      </w:pPr>
      <w:rPr>
        <w:rFonts w:hint="eastAsia"/>
      </w:rPr>
    </w:lvl>
    <w:lvl w:ilvl="4">
      <w:start w:val="1"/>
      <w:numFmt w:val="decimal"/>
      <w:isLgl w:val="false"/>
      <w:suff w:val="tab"/>
      <w:lvlText w:val="%1.%2.%3.%4.%5."/>
      <w:lvlJc w:val="left"/>
      <w:pPr>
        <w:pStyle w:val="901"/>
        <w:ind w:left="992" w:hanging="992"/>
        <w:tabs>
          <w:tab w:val="num" w:pos="992" w:leader="none"/>
        </w:tabs>
      </w:pPr>
      <w:rPr>
        <w:rFonts w:hint="eastAsia"/>
      </w:rPr>
    </w:lvl>
    <w:lvl w:ilvl="5">
      <w:start w:val="1"/>
      <w:numFmt w:val="decimal"/>
      <w:isLgl w:val="false"/>
      <w:suff w:val="tab"/>
      <w:lvlText w:val="%1.%2.%3.%4.%5.%6."/>
      <w:lvlJc w:val="left"/>
      <w:pPr>
        <w:pStyle w:val="901"/>
        <w:ind w:left="1134" w:hanging="1134"/>
        <w:tabs>
          <w:tab w:val="num" w:pos="1134" w:leader="none"/>
        </w:tabs>
      </w:pPr>
      <w:rPr>
        <w:rFonts w:hint="eastAsia"/>
      </w:rPr>
    </w:lvl>
    <w:lvl w:ilvl="6">
      <w:start w:val="1"/>
      <w:numFmt w:val="decimal"/>
      <w:isLgl w:val="false"/>
      <w:suff w:val="tab"/>
      <w:lvlText w:val="%1.%2.%3.%4.%5.%6.%7."/>
      <w:lvlJc w:val="left"/>
      <w:pPr>
        <w:pStyle w:val="901"/>
        <w:ind w:left="1276" w:hanging="1276"/>
        <w:tabs>
          <w:tab w:val="num" w:pos="1276" w:leader="none"/>
        </w:tabs>
      </w:pPr>
      <w:rPr>
        <w:rFonts w:hint="eastAsia"/>
      </w:rPr>
    </w:lvl>
    <w:lvl w:ilvl="7">
      <w:start w:val="1"/>
      <w:numFmt w:val="decimal"/>
      <w:isLgl w:val="false"/>
      <w:suff w:val="tab"/>
      <w:lvlText w:val="%1.%2.%3.%4.%5.%6.%7.%8."/>
      <w:lvlJc w:val="left"/>
      <w:pPr>
        <w:pStyle w:val="901"/>
        <w:ind w:left="1418" w:hanging="1418"/>
        <w:tabs>
          <w:tab w:val="num" w:pos="1418" w:leader="none"/>
        </w:tabs>
      </w:pPr>
      <w:rPr>
        <w:rFonts w:hint="eastAsia"/>
      </w:rPr>
    </w:lvl>
    <w:lvl w:ilvl="8">
      <w:start w:val="1"/>
      <w:numFmt w:val="decimal"/>
      <w:isLgl w:val="false"/>
      <w:suff w:val="tab"/>
      <w:lvlText w:val="%1.%2.%3.%4.%5.%6.%7.%8.%9."/>
      <w:lvlJc w:val="left"/>
      <w:pPr>
        <w:pStyle w:val="901"/>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901"/>
        <w:ind w:left="0" w:firstLine="0"/>
      </w:pPr>
      <w:rPr>
        <w:rFonts w:hint="eastAsia"/>
      </w:rPr>
    </w:lvl>
    <w:lvl w:ilvl="1">
      <w:start w:val="1"/>
      <w:numFmt w:val="decimal"/>
      <w:isLgl w:val="false"/>
      <w:suff w:val="nothing"/>
      <w:lvlText w:val="%2、"/>
      <w:lvlJc w:val="left"/>
      <w:pPr>
        <w:pStyle w:val="901"/>
        <w:ind w:left="0" w:firstLine="0"/>
      </w:pPr>
      <w:rPr>
        <w:rFonts w:hint="eastAsia"/>
      </w:rPr>
    </w:lvl>
    <w:lvl w:ilvl="2">
      <w:start w:val="1"/>
      <w:numFmt w:val="decimal"/>
      <w:isLgl w:val="false"/>
      <w:suff w:val="nothing"/>
      <w:lvlText w:val="%2.%3 "/>
      <w:lvlJc w:val="left"/>
      <w:pPr>
        <w:pStyle w:val="901"/>
        <w:ind w:left="0" w:firstLine="0"/>
      </w:pPr>
      <w:rPr>
        <w:rFonts w:hint="eastAsia"/>
      </w:rPr>
    </w:lvl>
    <w:lvl w:ilvl="3">
      <w:start w:val="1"/>
      <w:numFmt w:val="decimal"/>
      <w:isLgl w:val="false"/>
      <w:suff w:val="nothing"/>
      <w:lvlText w:val="%2.%3.%4 "/>
      <w:lvlJc w:val="left"/>
      <w:pPr>
        <w:pStyle w:val="901"/>
        <w:ind w:left="0" w:firstLine="0"/>
      </w:pPr>
      <w:rPr>
        <w:rFonts w:hint="eastAsia"/>
      </w:rPr>
    </w:lvl>
    <w:lvl w:ilvl="4">
      <w:start w:val="1"/>
      <w:numFmt w:val="decimal"/>
      <w:isLgl w:val="false"/>
      <w:suff w:val="nothing"/>
      <w:lvlText w:val="%2.%3.%4.%5 "/>
      <w:lvlJc w:val="left"/>
      <w:pPr>
        <w:pStyle w:val="901"/>
        <w:ind w:left="0" w:firstLine="0"/>
      </w:pPr>
      <w:rPr>
        <w:rFonts w:hint="eastAsia"/>
      </w:rPr>
    </w:lvl>
    <w:lvl w:ilvl="5">
      <w:start w:val="1"/>
      <w:numFmt w:val="decimal"/>
      <w:pStyle w:val="907"/>
      <w:isLgl w:val="false"/>
      <w:suff w:val="nothing"/>
      <w:lvlText w:val=""/>
      <w:lvlJc w:val="left"/>
      <w:pPr>
        <w:pStyle w:val="901"/>
        <w:ind w:left="0" w:firstLine="0"/>
      </w:pPr>
      <w:rPr>
        <w:rFonts w:hint="eastAsia"/>
      </w:rPr>
    </w:lvl>
    <w:lvl w:ilvl="6">
      <w:start w:val="1"/>
      <w:numFmt w:val="decimal"/>
      <w:pStyle w:val="908"/>
      <w:isLgl w:val="false"/>
      <w:suff w:val="nothing"/>
      <w:lvlText w:val=""/>
      <w:lvlJc w:val="left"/>
      <w:pPr>
        <w:pStyle w:val="901"/>
        <w:ind w:left="0" w:firstLine="0"/>
      </w:pPr>
      <w:rPr>
        <w:rFonts w:hint="eastAsia"/>
      </w:rPr>
    </w:lvl>
    <w:lvl w:ilvl="7">
      <w:start w:val="1"/>
      <w:numFmt w:val="decimal"/>
      <w:pStyle w:val="909"/>
      <w:isLgl w:val="false"/>
      <w:suff w:val="nothing"/>
      <w:lvlText w:val=""/>
      <w:lvlJc w:val="left"/>
      <w:pPr>
        <w:pStyle w:val="901"/>
        <w:ind w:left="0" w:firstLine="0"/>
      </w:pPr>
      <w:rPr>
        <w:rFonts w:hint="eastAsia"/>
      </w:rPr>
    </w:lvl>
    <w:lvl w:ilvl="8">
      <w:start w:val="1"/>
      <w:numFmt w:val="decimal"/>
      <w:pStyle w:val="910"/>
      <w:isLgl w:val="false"/>
      <w:suff w:val="nothing"/>
      <w:lvlText w:val=""/>
      <w:lvlJc w:val="left"/>
      <w:pPr>
        <w:pStyle w:val="901"/>
        <w:ind w:left="0" w:firstLine="0"/>
      </w:pPr>
      <w:rPr>
        <w:rFonts w:hint="eastAsia"/>
      </w:rPr>
    </w:lvl>
  </w:abstractNum>
  <w:abstractNum w:abstractNumId="14">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90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1"/>
        <w:ind w:left="840" w:hanging="420"/>
        <w:tabs>
          <w:tab w:val="num" w:pos="840" w:leader="none"/>
        </w:tabs>
      </w:pPr>
      <w:rPr>
        <w:rFonts w:cs="Times New Roman"/>
      </w:rPr>
    </w:lvl>
    <w:lvl w:ilvl="2">
      <w:start w:val="10"/>
      <w:numFmt w:val="decimal"/>
      <w:isLgl w:val="false"/>
      <w:suff w:val="tab"/>
      <w:lvlText w:val="%3."/>
      <w:lvlJc w:val="left"/>
      <w:pPr>
        <w:pStyle w:val="901"/>
        <w:ind w:left="1200" w:hanging="360"/>
        <w:tabs>
          <w:tab w:val="num" w:pos="120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901"/>
        <w:ind w:left="720" w:hanging="720"/>
        <w:tabs>
          <w:tab w:val="num" w:pos="720" w:leader="none"/>
        </w:tabs>
      </w:pPr>
      <w:rPr>
        <w:rFonts w:hint="eastAsia" w:cs="Times New Roman"/>
      </w:rPr>
    </w:lvl>
    <w:lvl w:ilvl="1">
      <w:start w:val="2"/>
      <w:numFmt w:val="decimal"/>
      <w:isLgl w:val="false"/>
      <w:suff w:val="tab"/>
      <w:lvlText w:val="%2."/>
      <w:lvlJc w:val="left"/>
      <w:pPr>
        <w:pStyle w:val="901"/>
        <w:ind w:left="1770" w:hanging="360"/>
        <w:tabs>
          <w:tab w:val="num" w:pos="1770" w:leader="none"/>
        </w:tabs>
      </w:pPr>
      <w:rPr>
        <w:rFonts w:cs="Times New Roman"/>
      </w:rPr>
    </w:lvl>
    <w:lvl w:ilvl="2">
      <w:start w:val="1"/>
      <w:numFmt w:val="lowerRoman"/>
      <w:isLgl w:val="false"/>
      <w:suff w:val="tab"/>
      <w:lvlText w:val="%3."/>
      <w:lvlJc w:val="right"/>
      <w:pPr>
        <w:pStyle w:val="901"/>
        <w:ind w:left="2250" w:hanging="420"/>
        <w:tabs>
          <w:tab w:val="num" w:pos="2250" w:leader="none"/>
        </w:tabs>
      </w:pPr>
      <w:rPr>
        <w:rFonts w:cs="Times New Roman"/>
      </w:rPr>
    </w:lvl>
    <w:lvl w:ilvl="3">
      <w:start w:val="1"/>
      <w:numFmt w:val="decimal"/>
      <w:isLgl w:val="false"/>
      <w:suff w:val="tab"/>
      <w:lvlText w:val="%4."/>
      <w:lvlJc w:val="left"/>
      <w:pPr>
        <w:pStyle w:val="901"/>
        <w:ind w:left="2670" w:hanging="420"/>
        <w:tabs>
          <w:tab w:val="num" w:pos="2670" w:leader="none"/>
        </w:tabs>
      </w:pPr>
      <w:rPr>
        <w:rFonts w:cs="Times New Roman"/>
      </w:rPr>
    </w:lvl>
    <w:lvl w:ilvl="4">
      <w:start w:val="1"/>
      <w:numFmt w:val="lowerLetter"/>
      <w:isLgl w:val="false"/>
      <w:suff w:val="tab"/>
      <w:lvlText w:val="%5)"/>
      <w:lvlJc w:val="left"/>
      <w:pPr>
        <w:pStyle w:val="901"/>
        <w:ind w:left="3090" w:hanging="420"/>
        <w:tabs>
          <w:tab w:val="num" w:pos="3090" w:leader="none"/>
        </w:tabs>
      </w:pPr>
      <w:rPr>
        <w:rFonts w:cs="Times New Roman"/>
      </w:rPr>
    </w:lvl>
    <w:lvl w:ilvl="5">
      <w:start w:val="1"/>
      <w:numFmt w:val="lowerRoman"/>
      <w:isLgl w:val="false"/>
      <w:suff w:val="tab"/>
      <w:lvlText w:val="%6."/>
      <w:lvlJc w:val="right"/>
      <w:pPr>
        <w:pStyle w:val="901"/>
        <w:ind w:left="3510" w:hanging="420"/>
        <w:tabs>
          <w:tab w:val="num" w:pos="3510" w:leader="none"/>
        </w:tabs>
      </w:pPr>
      <w:rPr>
        <w:rFonts w:cs="Times New Roman"/>
      </w:rPr>
    </w:lvl>
    <w:lvl w:ilvl="6">
      <w:start w:val="1"/>
      <w:numFmt w:val="decimal"/>
      <w:isLgl w:val="false"/>
      <w:suff w:val="tab"/>
      <w:lvlText w:val="%7."/>
      <w:lvlJc w:val="left"/>
      <w:pPr>
        <w:pStyle w:val="901"/>
        <w:ind w:left="3930" w:hanging="420"/>
        <w:tabs>
          <w:tab w:val="num" w:pos="3930" w:leader="none"/>
        </w:tabs>
      </w:pPr>
      <w:rPr>
        <w:rFonts w:cs="Times New Roman"/>
      </w:rPr>
    </w:lvl>
    <w:lvl w:ilvl="7">
      <w:start w:val="1"/>
      <w:numFmt w:val="lowerLetter"/>
      <w:isLgl w:val="false"/>
      <w:suff w:val="tab"/>
      <w:lvlText w:val="%8)"/>
      <w:lvlJc w:val="left"/>
      <w:pPr>
        <w:pStyle w:val="901"/>
        <w:ind w:left="4350" w:hanging="420"/>
        <w:tabs>
          <w:tab w:val="num" w:pos="4350" w:leader="none"/>
        </w:tabs>
      </w:pPr>
      <w:rPr>
        <w:rFonts w:cs="Times New Roman"/>
      </w:rPr>
    </w:lvl>
    <w:lvl w:ilvl="8">
      <w:start w:val="1"/>
      <w:numFmt w:val="lowerRoman"/>
      <w:isLgl w:val="false"/>
      <w:suff w:val="tab"/>
      <w:lvlText w:val="%9."/>
      <w:lvlJc w:val="right"/>
      <w:pPr>
        <w:pStyle w:val="901"/>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0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rFonts w:ascii="Times New Roman" w:hAnsi="Times New Roman"/>
      <w:sz w:val="21"/>
      <w:szCs w:val="21"/>
      <w:lang w:val="en-US" w:eastAsia="zh-CN" w:bidi="ar-SA"/>
    </w:rPr>
  </w:style>
  <w:style w:type="paragraph" w:styleId="902">
    <w:name w:val="标题 1"/>
    <w:basedOn w:val="901"/>
    <w:next w:val="901"/>
    <w:link w:val="914"/>
    <w:qFormat/>
    <w:pPr>
      <w:jc w:val="center"/>
      <w:keepNext/>
      <w:outlineLvl w:val="0"/>
    </w:pPr>
    <w:rPr>
      <w:rFonts w:ascii="楷体_GB2312" w:eastAsia="楷体_GB2312"/>
      <w:sz w:val="28"/>
      <w:szCs w:val="28"/>
      <w:lang w:val="en-US" w:eastAsia="en-US"/>
    </w:rPr>
  </w:style>
  <w:style w:type="paragraph" w:styleId="903">
    <w:name w:val="标题 2"/>
    <w:basedOn w:val="901"/>
    <w:next w:val="916"/>
    <w:link w:val="91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4">
    <w:name w:val="标题 3"/>
    <w:basedOn w:val="901"/>
    <w:next w:val="916"/>
    <w:link w:val="918"/>
    <w:qFormat/>
    <w:pPr>
      <w:keepLines/>
      <w:keepNext/>
      <w:spacing w:before="260" w:after="260" w:line="416" w:lineRule="auto"/>
      <w:outlineLvl w:val="2"/>
    </w:pPr>
    <w:rPr>
      <w:b/>
      <w:bCs/>
      <w:sz w:val="32"/>
      <w:szCs w:val="32"/>
      <w:lang w:val="en-US" w:eastAsia="en-US"/>
    </w:rPr>
  </w:style>
  <w:style w:type="paragraph" w:styleId="905">
    <w:name w:val="标题 4"/>
    <w:basedOn w:val="901"/>
    <w:next w:val="916"/>
    <w:link w:val="919"/>
    <w:qFormat/>
    <w:pPr>
      <w:keepLines/>
      <w:keepNext/>
      <w:spacing w:before="280" w:after="290" w:line="376" w:lineRule="auto"/>
      <w:outlineLvl w:val="3"/>
    </w:pPr>
    <w:rPr>
      <w:rFonts w:ascii="Arial" w:hAnsi="Arial" w:eastAsia="黑体"/>
      <w:b/>
      <w:bCs/>
      <w:sz w:val="28"/>
      <w:szCs w:val="28"/>
      <w:lang w:val="en-US" w:eastAsia="en-US"/>
    </w:rPr>
  </w:style>
  <w:style w:type="paragraph" w:styleId="906">
    <w:name w:val="标题 5"/>
    <w:basedOn w:val="901"/>
    <w:next w:val="916"/>
    <w:link w:val="920"/>
    <w:qFormat/>
    <w:pPr>
      <w:keepNext/>
      <w:outlineLvl w:val="4"/>
    </w:pPr>
    <w:rPr>
      <w:rFonts w:ascii="宋体"/>
      <w:color w:val="000000"/>
      <w:sz w:val="28"/>
      <w:szCs w:val="28"/>
      <w:lang w:val="en-US" w:eastAsia="en-US"/>
    </w:rPr>
  </w:style>
  <w:style w:type="paragraph" w:styleId="907">
    <w:name w:val="标题 6"/>
    <w:basedOn w:val="901"/>
    <w:next w:val="901"/>
    <w:link w:val="92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8">
    <w:name w:val="标题 7"/>
    <w:basedOn w:val="901"/>
    <w:next w:val="901"/>
    <w:link w:val="922"/>
    <w:qFormat/>
    <w:pPr>
      <w:numPr>
        <w:ilvl w:val="6"/>
        <w:numId w:val="1"/>
      </w:numPr>
      <w:keepLines/>
      <w:keepNext/>
      <w:spacing w:before="240" w:after="64" w:line="320" w:lineRule="auto"/>
      <w:outlineLvl w:val="6"/>
    </w:pPr>
    <w:rPr>
      <w:b/>
      <w:bCs/>
      <w:sz w:val="24"/>
      <w:szCs w:val="24"/>
      <w:lang w:val="en-US" w:eastAsia="en-US"/>
    </w:rPr>
  </w:style>
  <w:style w:type="paragraph" w:styleId="909">
    <w:name w:val="标题 8"/>
    <w:basedOn w:val="901"/>
    <w:next w:val="901"/>
    <w:link w:val="92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0">
    <w:name w:val="标题 9"/>
    <w:basedOn w:val="901"/>
    <w:next w:val="901"/>
    <w:link w:val="92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1">
    <w:name w:val="默认段落字体"/>
    <w:next w:val="911"/>
    <w:link w:val="901"/>
    <w:uiPriority w:val="1"/>
    <w:unhideWhenUsed/>
  </w:style>
  <w:style w:type="table" w:styleId="912">
    <w:name w:val="普通表格"/>
    <w:next w:val="912"/>
    <w:link w:val="901"/>
    <w:uiPriority w:val="99"/>
    <w:unhideWhenUsed/>
    <w:tblPr/>
  </w:style>
  <w:style w:type="numbering" w:styleId="913">
    <w:name w:val="无列表"/>
    <w:next w:val="913"/>
    <w:link w:val="901"/>
    <w:uiPriority w:val="99"/>
    <w:semiHidden/>
    <w:unhideWhenUsed/>
  </w:style>
  <w:style w:type="character" w:styleId="914">
    <w:name w:val="标题 1 Char"/>
    <w:next w:val="914"/>
    <w:link w:val="902"/>
    <w:rPr>
      <w:rFonts w:ascii="楷体_GB2312" w:hAnsi="Times New Roman" w:eastAsia="楷体_GB2312" w:cs="Times New Roman"/>
      <w:sz w:val="28"/>
      <w:szCs w:val="28"/>
    </w:rPr>
  </w:style>
  <w:style w:type="character" w:styleId="915">
    <w:name w:val="标题 2 Char"/>
    <w:next w:val="915"/>
    <w:link w:val="903"/>
    <w:rPr>
      <w:rFonts w:ascii="Arial" w:hAnsi="Arial" w:eastAsia="幼圆" w:cs="Arial"/>
      <w:b/>
      <w:bCs/>
      <w:sz w:val="44"/>
      <w:szCs w:val="44"/>
    </w:rPr>
  </w:style>
  <w:style w:type="paragraph" w:styleId="916">
    <w:name w:val="正文缩进"/>
    <w:basedOn w:val="901"/>
    <w:next w:val="916"/>
    <w:link w:val="917"/>
    <w:pPr>
      <w:ind w:firstLine="420"/>
    </w:pPr>
    <w:rPr>
      <w:sz w:val="20"/>
      <w:lang w:val="en-US" w:eastAsia="en-US"/>
    </w:rPr>
  </w:style>
  <w:style w:type="character" w:styleId="917">
    <w:name w:val="正文缩进 Char"/>
    <w:next w:val="917"/>
    <w:link w:val="916"/>
    <w:rPr>
      <w:rFonts w:ascii="Times New Roman" w:hAnsi="Times New Roman" w:eastAsia="宋体" w:cs="Times New Roman"/>
      <w:szCs w:val="21"/>
    </w:rPr>
  </w:style>
  <w:style w:type="character" w:styleId="918">
    <w:name w:val="标题 3 Char"/>
    <w:next w:val="918"/>
    <w:link w:val="904"/>
    <w:rPr>
      <w:rFonts w:ascii="Times New Roman" w:hAnsi="Times New Roman" w:eastAsia="宋体" w:cs="Times New Roman"/>
      <w:b/>
      <w:bCs/>
      <w:sz w:val="32"/>
      <w:szCs w:val="32"/>
    </w:rPr>
  </w:style>
  <w:style w:type="character" w:styleId="919">
    <w:name w:val="标题 4 Char"/>
    <w:next w:val="919"/>
    <w:link w:val="905"/>
    <w:rPr>
      <w:rFonts w:ascii="Arial" w:hAnsi="Arial" w:eastAsia="黑体" w:cs="Arial"/>
      <w:b/>
      <w:bCs/>
      <w:sz w:val="28"/>
      <w:szCs w:val="28"/>
    </w:rPr>
  </w:style>
  <w:style w:type="character" w:styleId="920">
    <w:name w:val="标题 5 Char"/>
    <w:next w:val="920"/>
    <w:link w:val="906"/>
    <w:rPr>
      <w:rFonts w:ascii="宋体" w:hAnsi="Times New Roman" w:eastAsia="宋体" w:cs="Times New Roman"/>
      <w:color w:val="000000"/>
      <w:sz w:val="28"/>
      <w:szCs w:val="28"/>
    </w:rPr>
  </w:style>
  <w:style w:type="character" w:styleId="921">
    <w:name w:val="标题 6 Char"/>
    <w:next w:val="921"/>
    <w:link w:val="907"/>
    <w:rPr>
      <w:rFonts w:ascii="Arial" w:hAnsi="Arial" w:eastAsia="黑体" w:cs="Times New Roman"/>
      <w:b/>
      <w:bCs/>
      <w:sz w:val="24"/>
      <w:szCs w:val="24"/>
    </w:rPr>
  </w:style>
  <w:style w:type="character" w:styleId="922">
    <w:name w:val="标题 7 Char"/>
    <w:next w:val="922"/>
    <w:link w:val="908"/>
    <w:rPr>
      <w:rFonts w:ascii="Times New Roman" w:hAnsi="Times New Roman" w:eastAsia="宋体" w:cs="Times New Roman"/>
      <w:b/>
      <w:bCs/>
      <w:sz w:val="24"/>
      <w:szCs w:val="24"/>
    </w:rPr>
  </w:style>
  <w:style w:type="character" w:styleId="923">
    <w:name w:val="标题 8 Char"/>
    <w:next w:val="923"/>
    <w:link w:val="909"/>
    <w:rPr>
      <w:rFonts w:ascii="Arial" w:hAnsi="Arial" w:eastAsia="黑体" w:cs="Times New Roman"/>
      <w:sz w:val="24"/>
      <w:szCs w:val="24"/>
    </w:rPr>
  </w:style>
  <w:style w:type="character" w:styleId="924">
    <w:name w:val="标题 9 Char"/>
    <w:next w:val="924"/>
    <w:link w:val="910"/>
    <w:rPr>
      <w:rFonts w:ascii="Arial" w:hAnsi="Arial" w:eastAsia="黑体" w:cs="Times New Roman"/>
      <w:szCs w:val="21"/>
    </w:rPr>
  </w:style>
  <w:style w:type="paragraph" w:styleId="925">
    <w:name w:val="列表 3"/>
    <w:basedOn w:val="901"/>
    <w:next w:val="925"/>
    <w:link w:val="901"/>
    <w:pPr>
      <w:ind w:left="100" w:hanging="200"/>
    </w:pPr>
  </w:style>
  <w:style w:type="paragraph" w:styleId="926">
    <w:name w:val="目录 7"/>
    <w:basedOn w:val="901"/>
    <w:next w:val="901"/>
    <w:link w:val="901"/>
    <w:semiHidden/>
    <w:pPr>
      <w:ind w:left="1260"/>
      <w:jc w:val="left"/>
    </w:pPr>
  </w:style>
  <w:style w:type="paragraph" w:styleId="927">
    <w:name w:val="文档结构图"/>
    <w:basedOn w:val="901"/>
    <w:next w:val="927"/>
    <w:link w:val="928"/>
    <w:semiHidden/>
    <w:pPr>
      <w:shd w:val="clear" w:color="auto" w:fill="000080"/>
    </w:pPr>
    <w:rPr>
      <w:sz w:val="20"/>
      <w:lang w:val="en-US" w:eastAsia="en-US"/>
    </w:rPr>
  </w:style>
  <w:style w:type="character" w:styleId="928">
    <w:name w:val="文档结构图 Char"/>
    <w:next w:val="928"/>
    <w:link w:val="927"/>
    <w:semiHidden/>
    <w:rPr>
      <w:rFonts w:ascii="Times New Roman" w:hAnsi="Times New Roman" w:eastAsia="宋体" w:cs="Times New Roman"/>
      <w:szCs w:val="21"/>
      <w:shd w:val="clear" w:color="auto" w:fill="000080"/>
    </w:rPr>
  </w:style>
  <w:style w:type="paragraph" w:styleId="929">
    <w:name w:val="批注文字"/>
    <w:basedOn w:val="901"/>
    <w:next w:val="929"/>
    <w:link w:val="930"/>
    <w:semiHidden/>
    <w:pPr>
      <w:jc w:val="left"/>
    </w:pPr>
    <w:rPr>
      <w:sz w:val="20"/>
      <w:lang w:val="en-US" w:eastAsia="en-US"/>
    </w:rPr>
  </w:style>
  <w:style w:type="character" w:styleId="930">
    <w:name w:val="批注文字 Char"/>
    <w:next w:val="930"/>
    <w:link w:val="929"/>
    <w:semiHidden/>
    <w:rPr>
      <w:rFonts w:ascii="Times New Roman" w:hAnsi="Times New Roman" w:eastAsia="宋体" w:cs="Times New Roman"/>
      <w:szCs w:val="21"/>
    </w:rPr>
  </w:style>
  <w:style w:type="paragraph" w:styleId="931">
    <w:name w:val="正文文本 3"/>
    <w:basedOn w:val="901"/>
    <w:next w:val="931"/>
    <w:link w:val="932"/>
    <w:rPr>
      <w:rFonts w:ascii="仿宋_GB2312" w:hAnsi="Arial" w:eastAsia="仿宋_GB2312"/>
      <w:sz w:val="32"/>
      <w:szCs w:val="32"/>
      <w:lang w:val="en-US" w:eastAsia="en-US"/>
    </w:rPr>
  </w:style>
  <w:style w:type="character" w:styleId="932">
    <w:name w:val="正文文本 3 Char"/>
    <w:next w:val="932"/>
    <w:link w:val="931"/>
    <w:rPr>
      <w:rFonts w:ascii="仿宋_GB2312" w:hAnsi="Arial" w:eastAsia="仿宋_GB2312" w:cs="Times New Roman"/>
      <w:sz w:val="32"/>
      <w:szCs w:val="32"/>
    </w:rPr>
  </w:style>
  <w:style w:type="paragraph" w:styleId="933">
    <w:name w:val="正文文本"/>
    <w:basedOn w:val="901"/>
    <w:next w:val="933"/>
    <w:link w:val="934"/>
    <w:rPr>
      <w:rFonts w:ascii="楷体_GB2312" w:hAnsi="Arial" w:eastAsia="楷体_GB2312"/>
      <w:sz w:val="28"/>
      <w:szCs w:val="28"/>
      <w:lang w:val="en-US" w:eastAsia="en-US"/>
    </w:rPr>
  </w:style>
  <w:style w:type="character" w:styleId="934">
    <w:name w:val="正文文本 Char"/>
    <w:next w:val="934"/>
    <w:link w:val="933"/>
    <w:rPr>
      <w:rFonts w:ascii="楷体_GB2312" w:hAnsi="Arial" w:eastAsia="楷体_GB2312" w:cs="Times New Roman"/>
      <w:sz w:val="28"/>
      <w:szCs w:val="28"/>
    </w:rPr>
  </w:style>
  <w:style w:type="paragraph" w:styleId="935">
    <w:name w:val="正文文本缩进"/>
    <w:basedOn w:val="901"/>
    <w:next w:val="935"/>
    <w:link w:val="936"/>
    <w:pPr>
      <w:ind w:firstLine="645"/>
    </w:pPr>
    <w:rPr>
      <w:rFonts w:ascii="楷体_GB2312" w:eastAsia="楷体_GB2312"/>
      <w:sz w:val="32"/>
      <w:szCs w:val="32"/>
      <w:lang w:val="en-US" w:eastAsia="en-US"/>
    </w:rPr>
  </w:style>
  <w:style w:type="character" w:styleId="936">
    <w:name w:val="正文文本缩进 Char"/>
    <w:next w:val="936"/>
    <w:link w:val="935"/>
    <w:rPr>
      <w:rFonts w:ascii="楷体_GB2312" w:hAnsi="Times New Roman" w:eastAsia="楷体_GB2312" w:cs="Times New Roman"/>
      <w:sz w:val="32"/>
      <w:szCs w:val="32"/>
    </w:rPr>
  </w:style>
  <w:style w:type="paragraph" w:styleId="937">
    <w:name w:val="列表 2"/>
    <w:basedOn w:val="901"/>
    <w:next w:val="937"/>
    <w:link w:val="901"/>
    <w:pPr>
      <w:ind w:left="100" w:hanging="200"/>
    </w:pPr>
  </w:style>
  <w:style w:type="paragraph" w:styleId="938">
    <w:name w:val="目录 5"/>
    <w:basedOn w:val="901"/>
    <w:next w:val="901"/>
    <w:link w:val="901"/>
    <w:semiHidden/>
    <w:pPr>
      <w:ind w:left="840"/>
      <w:jc w:val="left"/>
    </w:pPr>
  </w:style>
  <w:style w:type="paragraph" w:styleId="939">
    <w:name w:val="目录 3"/>
    <w:basedOn w:val="901"/>
    <w:next w:val="901"/>
    <w:link w:val="901"/>
    <w:semiHidden/>
    <w:pPr>
      <w:ind w:left="420"/>
      <w:jc w:val="left"/>
    </w:pPr>
    <w:rPr>
      <w:i/>
      <w:iCs/>
      <w:szCs w:val="24"/>
    </w:rPr>
  </w:style>
  <w:style w:type="paragraph" w:styleId="940">
    <w:name w:val="纯文本"/>
    <w:basedOn w:val="901"/>
    <w:next w:val="940"/>
    <w:link w:val="941"/>
    <w:rPr>
      <w:rFonts w:ascii="宋体" w:hAnsi="Courier New"/>
      <w:sz w:val="20"/>
      <w:lang w:val="en-US" w:eastAsia="en-US"/>
    </w:rPr>
  </w:style>
  <w:style w:type="character" w:styleId="941">
    <w:name w:val="纯文本 Char"/>
    <w:next w:val="941"/>
    <w:link w:val="940"/>
    <w:rPr>
      <w:rFonts w:ascii="宋体" w:hAnsi="Courier New" w:eastAsia="宋体" w:cs="Courier New"/>
      <w:szCs w:val="21"/>
    </w:rPr>
  </w:style>
  <w:style w:type="paragraph" w:styleId="942">
    <w:name w:val="目录 8"/>
    <w:basedOn w:val="901"/>
    <w:next w:val="901"/>
    <w:link w:val="901"/>
    <w:semiHidden/>
    <w:pPr>
      <w:ind w:left="1470"/>
      <w:jc w:val="left"/>
    </w:pPr>
  </w:style>
  <w:style w:type="paragraph" w:styleId="943">
    <w:name w:val="日期"/>
    <w:basedOn w:val="901"/>
    <w:next w:val="901"/>
    <w:link w:val="944"/>
    <w:rPr>
      <w:sz w:val="24"/>
      <w:szCs w:val="24"/>
      <w:lang w:val="en-US" w:eastAsia="en-US"/>
    </w:rPr>
  </w:style>
  <w:style w:type="character" w:styleId="944">
    <w:name w:val="日期 Char"/>
    <w:next w:val="944"/>
    <w:link w:val="943"/>
    <w:rPr>
      <w:rFonts w:ascii="Times New Roman" w:hAnsi="Times New Roman" w:eastAsia="宋体" w:cs="Times New Roman"/>
      <w:sz w:val="24"/>
      <w:szCs w:val="24"/>
    </w:rPr>
  </w:style>
  <w:style w:type="paragraph" w:styleId="945">
    <w:name w:val="正文文本缩进 2"/>
    <w:basedOn w:val="901"/>
    <w:next w:val="945"/>
    <w:link w:val="946"/>
    <w:pPr>
      <w:ind w:left="630" w:firstLine="645"/>
    </w:pPr>
    <w:rPr>
      <w:rFonts w:ascii="Arial" w:hAnsi="Arial" w:eastAsia="仿宋_GB2312"/>
      <w:sz w:val="32"/>
      <w:szCs w:val="32"/>
      <w:lang w:val="en-US" w:eastAsia="en-US"/>
    </w:rPr>
  </w:style>
  <w:style w:type="character" w:styleId="946">
    <w:name w:val="正文文本缩进 2 Char"/>
    <w:next w:val="946"/>
    <w:link w:val="945"/>
    <w:rPr>
      <w:rFonts w:ascii="Arial" w:hAnsi="Arial" w:eastAsia="仿宋_GB2312" w:cs="Arial"/>
      <w:sz w:val="32"/>
      <w:szCs w:val="32"/>
    </w:rPr>
  </w:style>
  <w:style w:type="paragraph" w:styleId="947">
    <w:name w:val="批注框文本"/>
    <w:basedOn w:val="901"/>
    <w:next w:val="947"/>
    <w:link w:val="948"/>
    <w:semiHidden/>
    <w:rPr>
      <w:sz w:val="18"/>
      <w:szCs w:val="18"/>
      <w:lang w:val="en-US" w:eastAsia="en-US"/>
    </w:rPr>
  </w:style>
  <w:style w:type="character" w:styleId="948">
    <w:name w:val="批注框文本 Char"/>
    <w:next w:val="948"/>
    <w:link w:val="947"/>
    <w:semiHidden/>
    <w:rPr>
      <w:rFonts w:ascii="Times New Roman" w:hAnsi="Times New Roman" w:eastAsia="宋体" w:cs="Times New Roman"/>
      <w:sz w:val="18"/>
      <w:szCs w:val="18"/>
    </w:rPr>
  </w:style>
  <w:style w:type="paragraph" w:styleId="949">
    <w:name w:val="页脚"/>
    <w:basedOn w:val="901"/>
    <w:next w:val="949"/>
    <w:link w:val="950"/>
    <w:pPr>
      <w:jc w:val="left"/>
      <w:tabs>
        <w:tab w:val="center" w:pos="4153" w:leader="none"/>
        <w:tab w:val="right" w:pos="8306" w:leader="none"/>
      </w:tabs>
    </w:pPr>
    <w:rPr>
      <w:sz w:val="18"/>
      <w:szCs w:val="18"/>
      <w:lang w:val="en-US" w:eastAsia="en-US"/>
    </w:rPr>
  </w:style>
  <w:style w:type="character" w:styleId="950">
    <w:name w:val="页脚 Char"/>
    <w:next w:val="950"/>
    <w:link w:val="949"/>
    <w:rPr>
      <w:rFonts w:ascii="Times New Roman" w:hAnsi="Times New Roman" w:eastAsia="宋体" w:cs="Times New Roman"/>
      <w:sz w:val="18"/>
      <w:szCs w:val="18"/>
    </w:rPr>
  </w:style>
  <w:style w:type="paragraph" w:styleId="951">
    <w:name w:val="页眉"/>
    <w:basedOn w:val="901"/>
    <w:next w:val="951"/>
    <w:link w:val="95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2">
    <w:name w:val="页眉 Char"/>
    <w:next w:val="952"/>
    <w:link w:val="951"/>
    <w:uiPriority w:val="99"/>
    <w:qFormat/>
    <w:rPr>
      <w:rFonts w:ascii="Times New Roman" w:hAnsi="Times New Roman" w:eastAsia="宋体" w:cs="Times New Roman"/>
      <w:sz w:val="18"/>
      <w:szCs w:val="18"/>
    </w:rPr>
  </w:style>
  <w:style w:type="paragraph" w:styleId="953">
    <w:name w:val="目录 1"/>
    <w:basedOn w:val="901"/>
    <w:next w:val="901"/>
    <w:link w:val="901"/>
    <w:semiHidden/>
    <w:pPr>
      <w:jc w:val="left"/>
      <w:spacing w:before="120" w:after="120" w:line="400" w:lineRule="exact"/>
      <w:tabs>
        <w:tab w:val="right" w:pos="8720" w:leader="dot"/>
      </w:tabs>
    </w:pPr>
    <w:rPr>
      <w:rFonts w:ascii="宋体" w:hAnsi="宋体"/>
      <w:caps/>
      <w:sz w:val="24"/>
      <w:szCs w:val="24"/>
    </w:rPr>
  </w:style>
  <w:style w:type="paragraph" w:styleId="954">
    <w:name w:val="目录 4"/>
    <w:basedOn w:val="901"/>
    <w:next w:val="901"/>
    <w:link w:val="901"/>
    <w:semiHidden/>
    <w:pPr>
      <w:ind w:left="630"/>
      <w:jc w:val="left"/>
    </w:pPr>
  </w:style>
  <w:style w:type="paragraph" w:styleId="955">
    <w:name w:val="列表"/>
    <w:basedOn w:val="901"/>
    <w:next w:val="955"/>
    <w:link w:val="901"/>
    <w:pPr>
      <w:ind w:left="200" w:hanging="200"/>
    </w:pPr>
  </w:style>
  <w:style w:type="paragraph" w:styleId="956">
    <w:name w:val="目录 6"/>
    <w:basedOn w:val="901"/>
    <w:next w:val="901"/>
    <w:link w:val="901"/>
    <w:semiHidden/>
    <w:pPr>
      <w:ind w:left="1050"/>
      <w:jc w:val="left"/>
    </w:pPr>
  </w:style>
  <w:style w:type="paragraph" w:styleId="957">
    <w:name w:val="正文文本缩进 3"/>
    <w:basedOn w:val="901"/>
    <w:next w:val="957"/>
    <w:link w:val="958"/>
    <w:pPr>
      <w:ind w:left="645" w:firstLine="645"/>
    </w:pPr>
    <w:rPr>
      <w:rFonts w:ascii="Arial" w:hAnsi="Arial" w:eastAsia="仿宋_GB2312"/>
      <w:color w:val="ffff00"/>
      <w:sz w:val="32"/>
      <w:szCs w:val="32"/>
      <w:lang w:val="en-US" w:eastAsia="en-US"/>
    </w:rPr>
  </w:style>
  <w:style w:type="character" w:styleId="958">
    <w:name w:val="正文文本缩进 3 Char"/>
    <w:next w:val="958"/>
    <w:link w:val="957"/>
    <w:rPr>
      <w:rFonts w:ascii="Arial" w:hAnsi="Arial" w:eastAsia="仿宋_GB2312" w:cs="Arial"/>
      <w:color w:val="ffff00"/>
      <w:sz w:val="32"/>
      <w:szCs w:val="32"/>
    </w:rPr>
  </w:style>
  <w:style w:type="paragraph" w:styleId="959">
    <w:name w:val="图表目录"/>
    <w:basedOn w:val="901"/>
    <w:next w:val="901"/>
    <w:link w:val="901"/>
    <w:semiHidden/>
    <w:pPr>
      <w:ind w:left="840" w:hanging="420"/>
    </w:pPr>
  </w:style>
  <w:style w:type="paragraph" w:styleId="960">
    <w:name w:val="目录 2"/>
    <w:basedOn w:val="901"/>
    <w:next w:val="901"/>
    <w:link w:val="901"/>
    <w:semiHidden/>
    <w:pPr>
      <w:ind w:left="210"/>
      <w:jc w:val="left"/>
    </w:pPr>
    <w:rPr>
      <w:smallCaps/>
      <w:szCs w:val="24"/>
    </w:rPr>
  </w:style>
  <w:style w:type="paragraph" w:styleId="961">
    <w:name w:val="目录 9"/>
    <w:basedOn w:val="901"/>
    <w:next w:val="901"/>
    <w:link w:val="901"/>
    <w:semiHidden/>
    <w:pPr>
      <w:ind w:left="1680"/>
      <w:jc w:val="left"/>
    </w:pPr>
  </w:style>
  <w:style w:type="paragraph" w:styleId="962">
    <w:name w:val="正文文本 2"/>
    <w:basedOn w:val="901"/>
    <w:next w:val="962"/>
    <w:link w:val="963"/>
    <w:pPr>
      <w:jc w:val="center"/>
      <w:widowControl/>
    </w:pPr>
    <w:rPr>
      <w:rFonts w:ascii="楷体_GB2312" w:eastAsia="楷体_GB2312"/>
      <w:sz w:val="28"/>
      <w:szCs w:val="28"/>
      <w:lang w:val="en-US" w:eastAsia="en-US"/>
    </w:rPr>
  </w:style>
  <w:style w:type="character" w:styleId="963">
    <w:name w:val="正文文本 2 Char"/>
    <w:next w:val="963"/>
    <w:link w:val="962"/>
    <w:rPr>
      <w:rFonts w:ascii="楷体_GB2312" w:hAnsi="Times New Roman" w:eastAsia="楷体_GB2312" w:cs="Times New Roman"/>
      <w:sz w:val="28"/>
      <w:szCs w:val="28"/>
    </w:rPr>
  </w:style>
  <w:style w:type="paragraph" w:styleId="964">
    <w:name w:val="普通(网站)"/>
    <w:basedOn w:val="901"/>
    <w:next w:val="964"/>
    <w:link w:val="901"/>
    <w:uiPriority w:val="99"/>
    <w:pPr>
      <w:jc w:val="left"/>
      <w:spacing w:before="100" w:beforeAutospacing="1" w:after="100" w:afterAutospacing="1"/>
      <w:widowControl/>
    </w:pPr>
    <w:rPr>
      <w:rFonts w:ascii="宋体" w:hAnsi="宋体" w:cs="宋体"/>
      <w:sz w:val="24"/>
      <w:szCs w:val="24"/>
    </w:rPr>
  </w:style>
  <w:style w:type="paragraph" w:styleId="965">
    <w:name w:val="索引 1"/>
    <w:basedOn w:val="901"/>
    <w:next w:val="901"/>
    <w:link w:val="901"/>
    <w:semiHidden/>
    <w:pPr>
      <w:spacing w:line="240" w:lineRule="atLeast"/>
    </w:pPr>
    <w:rPr>
      <w:b/>
      <w:bCs/>
    </w:rPr>
  </w:style>
  <w:style w:type="paragraph" w:styleId="966">
    <w:name w:val="批注主题"/>
    <w:basedOn w:val="929"/>
    <w:next w:val="929"/>
    <w:link w:val="967"/>
    <w:semiHidden/>
    <w:rPr>
      <w:b/>
      <w:bCs/>
    </w:rPr>
  </w:style>
  <w:style w:type="character" w:styleId="967">
    <w:name w:val="批注主题 Char"/>
    <w:next w:val="967"/>
    <w:link w:val="966"/>
    <w:semiHidden/>
    <w:rPr>
      <w:rFonts w:ascii="Times New Roman" w:hAnsi="Times New Roman" w:eastAsia="宋体" w:cs="Times New Roman"/>
      <w:b/>
      <w:bCs/>
      <w:szCs w:val="21"/>
    </w:rPr>
  </w:style>
  <w:style w:type="paragraph" w:styleId="968">
    <w:name w:val="正文首行缩进"/>
    <w:basedOn w:val="901"/>
    <w:next w:val="968"/>
    <w:link w:val="969"/>
    <w:pPr>
      <w:ind w:firstLine="200"/>
      <w:spacing w:line="360" w:lineRule="auto"/>
    </w:pPr>
    <w:rPr>
      <w:rFonts w:ascii="仿宋_GB2312" w:eastAsia="仿宋_GB2312"/>
      <w:sz w:val="30"/>
      <w:szCs w:val="30"/>
      <w:lang w:val="en-US" w:eastAsia="en-US"/>
    </w:rPr>
  </w:style>
  <w:style w:type="character" w:styleId="969">
    <w:name w:val="正文首行缩进 Char"/>
    <w:next w:val="969"/>
    <w:link w:val="968"/>
    <w:rPr>
      <w:rFonts w:ascii="仿宋_GB2312" w:hAnsi="Times New Roman" w:eastAsia="仿宋_GB2312" w:cs="Times New Roman"/>
      <w:sz w:val="30"/>
      <w:szCs w:val="30"/>
    </w:rPr>
  </w:style>
  <w:style w:type="paragraph" w:styleId="970">
    <w:name w:val="正文首行缩进 2"/>
    <w:basedOn w:val="935"/>
    <w:next w:val="970"/>
    <w:link w:val="971"/>
    <w:pPr>
      <w:ind w:firstLine="420"/>
      <w:spacing w:line="360" w:lineRule="auto"/>
    </w:pPr>
    <w:rPr>
      <w:rFonts w:ascii="宋体" w:hAnsi="宋体" w:eastAsia="宋体"/>
      <w:szCs w:val="20"/>
    </w:rPr>
  </w:style>
  <w:style w:type="character" w:styleId="971">
    <w:name w:val="正文首行缩进 2 Char"/>
    <w:next w:val="971"/>
    <w:link w:val="970"/>
    <w:rPr>
      <w:rFonts w:ascii="宋体" w:hAnsi="宋体" w:eastAsia="宋体" w:cs="Times New Roman"/>
      <w:sz w:val="32"/>
      <w:szCs w:val="20"/>
    </w:rPr>
  </w:style>
  <w:style w:type="table" w:styleId="972">
    <w:name w:val="网格型"/>
    <w:basedOn w:val="912"/>
    <w:next w:val="972"/>
    <w:link w:val="901"/>
    <w:pPr>
      <w:jc w:val="both"/>
      <w:widowControl w:val="off"/>
    </w:pPr>
    <w:rPr>
      <w:rFonts w:ascii="Times New Roman" w:hAnsi="Times New Roman" w:eastAsia="宋体" w:cs="Times New Roman"/>
      <w:sz w:val="20"/>
      <w:szCs w:val="20"/>
    </w:rPr>
    <w:tblPr/>
  </w:style>
  <w:style w:type="character" w:styleId="973">
    <w:name w:val="要点"/>
    <w:next w:val="973"/>
    <w:link w:val="901"/>
    <w:qFormat/>
    <w:rPr>
      <w:b/>
      <w:bCs/>
    </w:rPr>
  </w:style>
  <w:style w:type="character" w:styleId="974">
    <w:name w:val="页码"/>
    <w:next w:val="974"/>
    <w:link w:val="901"/>
  </w:style>
  <w:style w:type="character" w:styleId="975">
    <w:name w:val="已访问的超链接"/>
    <w:next w:val="975"/>
    <w:link w:val="901"/>
    <w:rPr>
      <w:color w:val="800080"/>
      <w:u w:val="single"/>
    </w:rPr>
  </w:style>
  <w:style w:type="character" w:styleId="976">
    <w:name w:val="HTML 打字机"/>
    <w:next w:val="976"/>
    <w:link w:val="901"/>
    <w:uiPriority w:val="99"/>
    <w:rPr>
      <w:rFonts w:ascii="宋体" w:hAnsi="宋体" w:eastAsia="宋体" w:cs="宋体"/>
      <w:sz w:val="24"/>
      <w:szCs w:val="24"/>
    </w:rPr>
  </w:style>
  <w:style w:type="character" w:styleId="977">
    <w:name w:val="超链接"/>
    <w:next w:val="977"/>
    <w:link w:val="901"/>
    <w:rPr>
      <w:color w:val="0000ff"/>
      <w:u w:val="single"/>
    </w:rPr>
  </w:style>
  <w:style w:type="character" w:styleId="978">
    <w:name w:val="批注引用"/>
    <w:next w:val="978"/>
    <w:link w:val="901"/>
    <w:semiHidden/>
    <w:rPr>
      <w:sz w:val="21"/>
      <w:szCs w:val="21"/>
    </w:rPr>
  </w:style>
  <w:style w:type="character" w:styleId="979">
    <w:name w:val="font5 Char"/>
    <w:next w:val="979"/>
    <w:link w:val="901"/>
    <w:rPr>
      <w:rFonts w:ascii="宋体" w:hAnsi="宋体" w:eastAsia="宋体"/>
      <w:sz w:val="28"/>
      <w:szCs w:val="28"/>
      <w:lang w:val="en-US" w:eastAsia="zh-CN" w:bidi="ar-SA"/>
    </w:rPr>
  </w:style>
  <w:style w:type="character" w:styleId="980">
    <w:name w:val="二级目录 Char"/>
    <w:next w:val="980"/>
    <w:link w:val="981"/>
    <w:rPr>
      <w:b/>
      <w:sz w:val="30"/>
      <w:szCs w:val="28"/>
      <w:lang w:val="en-US" w:eastAsia="zh-CN" w:bidi="ar-SA"/>
    </w:rPr>
  </w:style>
  <w:style w:type="paragraph" w:styleId="981">
    <w:name w:val="二级目录"/>
    <w:next w:val="901"/>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1"/>
    <w:next w:val="983"/>
    <w:link w:val="982"/>
    <w:qFormat/>
    <w:pPr>
      <w:contextualSpacing/>
      <w:ind w:left="720"/>
      <w:jc w:val="left"/>
      <w:widowControl/>
    </w:pPr>
    <w:rPr>
      <w:rFonts w:ascii="Calibri" w:hAnsi="Calibri"/>
      <w:sz w:val="24"/>
      <w:szCs w:val="24"/>
      <w:lang w:val="en-US" w:eastAsia="en-US" w:bidi="en-US"/>
    </w:rPr>
  </w:style>
  <w:style w:type="paragraph" w:styleId="984">
    <w:name w:val="Body Text(ch)"/>
    <w:basedOn w:val="901"/>
    <w:next w:val="933"/>
    <w:link w:val="901"/>
    <w:pPr>
      <w:spacing w:after="120"/>
    </w:pPr>
    <w:rPr>
      <w:rFonts w:ascii="宋体" w:hAnsi="Arial"/>
      <w:bCs/>
      <w:iCs/>
      <w:szCs w:val="24"/>
    </w:rPr>
  </w:style>
  <w:style w:type="paragraph" w:styleId="985">
    <w:name w:val="xl27"/>
    <w:basedOn w:val="901"/>
    <w:next w:val="985"/>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6"/>
    <w:basedOn w:val="901"/>
    <w:next w:val="986"/>
    <w:link w:val="9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name w:val="Char"/>
    <w:basedOn w:val="901"/>
    <w:next w:val="987"/>
    <w:link w:val="901"/>
    <w:pPr>
      <w:ind w:firstLine="200"/>
      <w:tabs>
        <w:tab w:val="left" w:pos="360" w:leader="none"/>
      </w:tabs>
    </w:pPr>
    <w:rPr>
      <w:sz w:val="28"/>
      <w:szCs w:val="30"/>
    </w:rPr>
  </w:style>
  <w:style w:type="paragraph" w:styleId="988">
    <w:name w:val=" Char"/>
    <w:basedOn w:val="927"/>
    <w:next w:val="988"/>
    <w:link w:val="901"/>
    <w:rPr>
      <w:rFonts w:ascii="Tahoma" w:hAnsi="Tahoma"/>
      <w:sz w:val="24"/>
      <w:szCs w:val="24"/>
    </w:rPr>
  </w:style>
  <w:style w:type="paragraph" w:styleId="989">
    <w:name w:val="普通正文"/>
    <w:basedOn w:val="901"/>
    <w:next w:val="989"/>
    <w:link w:val="901"/>
    <w:pPr>
      <w:ind w:firstLine="480"/>
      <w:jc w:val="left"/>
      <w:spacing w:before="120" w:after="120" w:line="360" w:lineRule="auto"/>
    </w:pPr>
    <w:rPr>
      <w:rFonts w:ascii="Arial" w:hAnsi="Arial"/>
      <w:sz w:val="24"/>
      <w:szCs w:val="24"/>
    </w:rPr>
  </w:style>
  <w:style w:type="paragraph" w:styleId="990">
    <w:name w:val="table_lines"/>
    <w:basedOn w:val="901"/>
    <w:next w:val="990"/>
    <w:link w:val="901"/>
    <w:pPr>
      <w:jc w:val="left"/>
      <w:widowControl/>
    </w:pPr>
    <w:rPr>
      <w:sz w:val="20"/>
      <w:szCs w:val="20"/>
      <w:lang w:val="de-DE" w:eastAsia="de-DE"/>
    </w:rPr>
  </w:style>
  <w:style w:type="paragraph" w:styleId="991">
    <w:name w:val="附录1"/>
    <w:next w:val="991"/>
    <w:link w:val="90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2">
    <w:name w:val="font7"/>
    <w:basedOn w:val="901"/>
    <w:next w:val="992"/>
    <w:link w:val="901"/>
    <w:pPr>
      <w:jc w:val="left"/>
      <w:spacing w:before="100" w:beforeAutospacing="1" w:after="100" w:afterAutospacing="1"/>
      <w:widowControl/>
    </w:pPr>
    <w:rPr>
      <w:rFonts w:hint="eastAsia" w:ascii="宋体" w:hAnsi="宋体"/>
      <w:sz w:val="18"/>
      <w:szCs w:val="18"/>
    </w:rPr>
  </w:style>
  <w:style w:type="paragraph" w:styleId="993">
    <w:name w:val=" Char Char Char Char"/>
    <w:basedOn w:val="927"/>
    <w:next w:val="993"/>
    <w:link w:val="901"/>
    <w:pPr>
      <w:spacing w:line="360" w:lineRule="auto"/>
    </w:pPr>
    <w:rPr>
      <w:rFonts w:ascii="Tahoma" w:hAnsi="Tahoma"/>
      <w:sz w:val="24"/>
      <w:szCs w:val="24"/>
    </w:rPr>
  </w:style>
  <w:style w:type="paragraph" w:styleId="994">
    <w:name w:val="列出段落"/>
    <w:basedOn w:val="901"/>
    <w:next w:val="994"/>
    <w:link w:val="901"/>
    <w:uiPriority w:val="99"/>
    <w:qFormat/>
    <w:pPr>
      <w:contextualSpacing/>
      <w:ind w:left="720"/>
      <w:jc w:val="left"/>
      <w:widowControl/>
    </w:pPr>
    <w:rPr>
      <w:rFonts w:ascii="Calibri" w:hAnsi="Calibri"/>
      <w:sz w:val="24"/>
      <w:szCs w:val="24"/>
      <w:lang w:eastAsia="en-US" w:bidi="en-US"/>
    </w:rPr>
  </w:style>
  <w:style w:type="paragraph" w:styleId="995">
    <w:name w:val="4"/>
    <w:basedOn w:val="901"/>
    <w:next w:val="957"/>
    <w:link w:val="901"/>
    <w:pPr>
      <w:ind w:firstLine="420"/>
      <w:spacing w:line="360" w:lineRule="auto"/>
    </w:pPr>
    <w:rPr>
      <w:color w:val="ff0000"/>
      <w:sz w:val="24"/>
      <w:szCs w:val="24"/>
    </w:rPr>
  </w:style>
  <w:style w:type="paragraph" w:styleId="996">
    <w:name w:val="普通 (Web)"/>
    <w:basedOn w:val="901"/>
    <w:next w:val="996"/>
    <w:link w:val="901"/>
    <w:pPr>
      <w:jc w:val="left"/>
      <w:spacing w:before="100" w:beforeAutospacing="1" w:after="100" w:afterAutospacing="1"/>
      <w:widowControl/>
    </w:pPr>
    <w:rPr>
      <w:rFonts w:ascii="宋体" w:hAnsi="宋体"/>
      <w:sz w:val="24"/>
      <w:szCs w:val="24"/>
    </w:rPr>
  </w:style>
  <w:style w:type="paragraph" w:styleId="997">
    <w:name w:val=" Char Char Char Char Char Char Char Char Char Char"/>
    <w:basedOn w:val="901"/>
    <w:next w:val="997"/>
    <w:link w:val="901"/>
    <w:pPr>
      <w:spacing w:line="360" w:lineRule="auto"/>
    </w:pPr>
    <w:rPr>
      <w:sz w:val="24"/>
      <w:szCs w:val="20"/>
    </w:rPr>
  </w:style>
  <w:style w:type="paragraph" w:styleId="998">
    <w:name w:val="样式1"/>
    <w:basedOn w:val="901"/>
    <w:next w:val="998"/>
    <w:link w:val="901"/>
    <w:pPr>
      <w:numPr>
        <w:ilvl w:val="0"/>
        <w:numId w:val="3"/>
      </w:numPr>
      <w:tabs>
        <w:tab w:val="left" w:pos="709" w:leader="none"/>
      </w:tabs>
    </w:pPr>
    <w:rPr>
      <w:rFonts w:ascii="宋体" w:hAnsi="宋体"/>
    </w:rPr>
  </w:style>
  <w:style w:type="paragraph" w:styleId="999">
    <w:name w:val="font6"/>
    <w:basedOn w:val="901"/>
    <w:next w:val="999"/>
    <w:link w:val="901"/>
    <w:pPr>
      <w:jc w:val="left"/>
      <w:spacing w:before="100" w:beforeAutospacing="1" w:after="100" w:afterAutospacing="1"/>
      <w:widowControl/>
    </w:pPr>
    <w:rPr>
      <w:rFonts w:hint="eastAsia" w:ascii="宋体" w:hAnsi="宋体"/>
      <w:sz w:val="28"/>
      <w:szCs w:val="28"/>
      <w:u w:val="single"/>
    </w:rPr>
  </w:style>
  <w:style w:type="paragraph" w:styleId="1000">
    <w:name w:val="xl25"/>
    <w:basedOn w:val="901"/>
    <w:next w:val="1000"/>
    <w:link w:val="9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901"/>
    <w:next w:val="901"/>
    <w:link w:val="9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name w:val="标题3"/>
    <w:basedOn w:val="901"/>
    <w:next w:val="901"/>
    <w:link w:val="901"/>
    <w:pPr>
      <w:ind w:firstLine="624"/>
      <w:spacing w:line="590" w:lineRule="atLeast"/>
    </w:pPr>
    <w:rPr>
      <w:rFonts w:ascii="方正黑体_GBK" w:eastAsia="方正黑体_GBK"/>
      <w:sz w:val="32"/>
      <w:szCs w:val="32"/>
    </w:rPr>
  </w:style>
  <w:style w:type="paragraph" w:styleId="1003">
    <w:name w:val="xl24"/>
    <w:basedOn w:val="901"/>
    <w:next w:val="1003"/>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9"/>
    <w:basedOn w:val="901"/>
    <w:next w:val="1004"/>
    <w:link w:val="9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name w:val="Char Char Char Char Char Char Char Char"/>
    <w:basedOn w:val="901"/>
    <w:next w:val="1005"/>
    <w:link w:val="901"/>
    <w:pPr>
      <w:jc w:val="left"/>
      <w:spacing w:after="160" w:line="240" w:lineRule="exact"/>
      <w:widowControl/>
    </w:pPr>
    <w:rPr>
      <w:rFonts w:ascii="Verdana" w:hAnsi="Verdana"/>
      <w:sz w:val="20"/>
      <w:szCs w:val="20"/>
      <w:lang w:eastAsia="en-US"/>
    </w:rPr>
  </w:style>
  <w:style w:type="paragraph" w:styleId="1006">
    <w:name w:val="xl28"/>
    <w:basedOn w:val="901"/>
    <w:next w:val="1006"/>
    <w:link w:val="9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name w:val=" Char Char Char Char Char Char Char Char"/>
    <w:basedOn w:val="901"/>
    <w:next w:val="1007"/>
    <w:link w:val="901"/>
    <w:pPr>
      <w:jc w:val="left"/>
      <w:spacing w:after="160" w:line="240" w:lineRule="exact"/>
      <w:widowControl/>
    </w:pPr>
    <w:rPr>
      <w:rFonts w:ascii="Verdana" w:hAnsi="Verdana"/>
      <w:sz w:val="20"/>
      <w:szCs w:val="20"/>
      <w:lang w:eastAsia="en-US"/>
    </w:rPr>
  </w:style>
  <w:style w:type="paragraph" w:styleId="1008">
    <w:name w:val="xl30"/>
    <w:basedOn w:val="901"/>
    <w:next w:val="1008"/>
    <w:link w:val="901"/>
    <w:pPr>
      <w:jc w:val="center"/>
      <w:spacing w:before="100" w:beforeAutospacing="1" w:after="100" w:afterAutospacing="1"/>
      <w:widowControl/>
    </w:pPr>
    <w:rPr>
      <w:rFonts w:ascii="宋体" w:hAnsi="宋体"/>
      <w:b/>
      <w:bCs/>
      <w:sz w:val="36"/>
      <w:szCs w:val="36"/>
    </w:rPr>
  </w:style>
  <w:style w:type="paragraph" w:styleId="1009">
    <w:name w:val="Char Char Char Char"/>
    <w:basedOn w:val="927"/>
    <w:next w:val="1009"/>
    <w:link w:val="901"/>
    <w:pPr>
      <w:spacing w:line="360" w:lineRule="auto"/>
    </w:pPr>
    <w:rPr>
      <w:rFonts w:ascii="Tahoma" w:hAnsi="Tahoma"/>
      <w:sz w:val="24"/>
      <w:szCs w:val="24"/>
    </w:rPr>
  </w:style>
  <w:style w:type="paragraph" w:styleId="1010">
    <w:name w:val="table_1stline"/>
    <w:basedOn w:val="901"/>
    <w:next w:val="1010"/>
    <w:link w:val="901"/>
    <w:pPr>
      <w:jc w:val="left"/>
      <w:spacing w:before="120"/>
      <w:widowControl/>
    </w:pPr>
    <w:rPr>
      <w:bCs/>
      <w:sz w:val="20"/>
      <w:szCs w:val="20"/>
      <w:lang w:val="de-DE" w:eastAsia="de-DE"/>
    </w:rPr>
  </w:style>
  <w:style w:type="paragraph" w:styleId="1011">
    <w:name w:val="font5"/>
    <w:basedOn w:val="901"/>
    <w:next w:val="1011"/>
    <w:link w:val="901"/>
    <w:pPr>
      <w:jc w:val="left"/>
      <w:spacing w:before="100" w:beforeAutospacing="1" w:after="100" w:afterAutospacing="1"/>
      <w:widowControl/>
    </w:pPr>
    <w:rPr>
      <w:rFonts w:hint="eastAsia" w:ascii="宋体" w:hAnsi="宋体"/>
      <w:sz w:val="28"/>
      <w:szCs w:val="28"/>
    </w:rPr>
  </w:style>
  <w:style w:type="paragraph" w:styleId="1012">
    <w:name w:val="标题1"/>
    <w:basedOn w:val="901"/>
    <w:next w:val="901"/>
    <w:link w:val="90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name w:val="修订"/>
    <w:next w:val="1013"/>
    <w:link w:val="901"/>
    <w:uiPriority w:val="99"/>
    <w:semiHidden/>
    <w:rPr>
      <w:rFonts w:ascii="Times New Roman" w:hAnsi="Times New Roman"/>
      <w:sz w:val="21"/>
      <w:szCs w:val="21"/>
      <w:lang w:val="en-US" w:eastAsia="zh-CN" w:bidi="ar-SA"/>
    </w:rPr>
  </w:style>
  <w:style w:type="paragraph" w:styleId="1014">
    <w:name w:val="无间隔"/>
    <w:next w:val="1014"/>
    <w:link w:val="901"/>
    <w:uiPriority w:val="99"/>
    <w:qFormat/>
    <w:pPr>
      <w:jc w:val="both"/>
      <w:widowControl w:val="off"/>
    </w:pPr>
    <w:rPr>
      <w:rFonts w:ascii="Times New Roman" w:hAnsi="Times New Roman"/>
      <w:sz w:val="21"/>
      <w:szCs w:val="21"/>
      <w:lang w:val="en-US" w:eastAsia="zh-CN" w:bidi="ar-SA"/>
    </w:rPr>
  </w:style>
  <w:style w:type="paragraph" w:styleId="1015">
    <w:name w:val="普通文字"/>
    <w:basedOn w:val="901"/>
    <w:next w:val="901"/>
    <w:link w:val="901"/>
    <w:uiPriority w:val="99"/>
    <w:rPr>
      <w:rFonts w:ascii="宋体" w:hAnsi="Times New Roman" w:eastAsia="宋体" w:cs="Times New Roman"/>
      <w:sz w:val="24"/>
      <w:szCs w:val="20"/>
      <w:u w:val="none"/>
    </w:rPr>
  </w:style>
  <w:style w:type="paragraph" w:styleId="1016">
    <w:name w:val="目录 111"/>
    <w:basedOn w:val="901"/>
    <w:next w:val="901"/>
    <w:link w:val="901"/>
    <w:uiPriority w:val="39"/>
    <w:unhideWhenUsed/>
    <w:qFormat/>
    <w:pPr>
      <w:jc w:val="left"/>
      <w:spacing w:after="100" w:line="259" w:lineRule="auto"/>
      <w:widowControl/>
    </w:pPr>
    <w:rPr>
      <w:rFonts w:ascii="Calibri" w:hAnsi="Calibri" w:eastAsia="宋体"/>
      <w:sz w:val="22"/>
      <w:szCs w:val="22"/>
    </w:rPr>
  </w:style>
  <w:style w:type="paragraph" w:styleId="1017">
    <w:name w:val="正文_cc"/>
    <w:basedOn w:val="901"/>
    <w:next w:val="1017"/>
    <w:link w:val="901"/>
    <w:qFormat/>
    <w:pPr>
      <w:ind w:firstLine="440"/>
      <w:spacing w:line="360" w:lineRule="auto"/>
    </w:pPr>
    <w:rPr>
      <w:rFonts w:ascii="Arial" w:hAnsi="Arial" w:eastAsia="宋体" w:cs="Arial"/>
      <w:sz w:val="24"/>
      <w:szCs w:val="22"/>
    </w:rPr>
  </w:style>
  <w:style w:type="character" w:styleId="1018">
    <w:name w:val="批注文字 字符"/>
    <w:next w:val="1018"/>
    <w:link w:val="901"/>
    <w:semiHidden/>
    <w:rPr>
      <w:rFonts w:ascii="Times New Roman" w:hAnsi="Times New Roman" w:eastAsia="宋体" w:cs="Times New Roman"/>
      <w:szCs w:val="21"/>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李洋</cp:lastModifiedBy>
  <cp:revision>670</cp:revision>
  <dcterms:created xsi:type="dcterms:W3CDTF">2023-03-16T02:16:00Z</dcterms:created>
  <dcterms:modified xsi:type="dcterms:W3CDTF">2024-10-09T02:38:25Z</dcterms:modified>
  <cp:version>786432</cp:version>
</cp:coreProperties>
</file>