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36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6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32"/>
        </w:rPr>
        <w:t xml:space="preserve">项目名称：阜宁县2024年高标准农田建设项目工程质量检测服务</w:t>
      </w:r>
      <w:r/>
      <w:r>
        <w:rPr>
          <w:rFonts w:ascii="Calibri" w:hAnsi="Calibri" w:eastAsia="Calibri" w:cs="Calibri"/>
          <w:sz w:val="21"/>
        </w:rP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项目编号：JSZC-320923-YCSX-G2024-0011</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
        <w:rPr>
          <w:rFonts w:ascii="SimSun" w:hAnsi="SimSun" w:eastAsia="SimSun" w:cs="SimSun"/>
          <w:b/>
          <w:color w:val="000000"/>
          <w:sz w:val="32"/>
        </w:rPr>
        <w:t xml:space="preserve">采购单位：阜宁县农业农村局</w:t>
      </w:r>
      <w:r/>
      <w:r>
        <w:rPr>
          <w:rFonts w:ascii="Calibri" w:hAnsi="Calibri" w:eastAsia="Calibri" w:cs="Calibri"/>
          <w:sz w:val="24"/>
        </w:rP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招标代理机构：盐城舜翔工程咨询管理有限公司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2024</w:t>
      </w:r>
      <w:r>
        <w:rPr>
          <w:rFonts w:ascii="SimSun" w:hAnsi="SimSun" w:eastAsia="SimSun" w:cs="SimSun"/>
          <w:b/>
          <w:color w:val="0000ff"/>
          <w:sz w:val="36"/>
        </w:rPr>
        <w:t xml:space="preserve">年9月13日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总  目  录</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招标公告……………………………1-3</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投标人须知…………………………4-15 </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合同文本……………………………16-20</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采购需求……………………………21-22</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评标方法与评标标准………………23-24</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投标文件格式………………………25-38</w:t>
      </w:r>
      <w:r/>
    </w:p>
    <w:p>
      <w:pPr>
        <w:ind w:left="2160" w:right="0" w:hanging="14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p>
    <w:p>
      <w:pPr>
        <w:ind w:left="0" w:right="0" w:firstLine="0"/>
        <w:jc w:val="center"/>
        <w:spacing w:before="240" w:after="240" w:line="85"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
        <w:rPr>
          <w:rFonts w:ascii="SimSun" w:hAnsi="SimSun" w:eastAsia="SimSun" w:cs="SimSun"/>
          <w:color w:val="000000"/>
          <w:sz w:val="36"/>
        </w:rPr>
        <w:t xml:space="preserve">第一章 招标公告</w:t>
      </w:r>
      <w:r/>
      <w:r>
        <w:rPr>
          <w:rFonts w:ascii="SimSun" w:hAnsi="SimSun" w:eastAsia="SimSun" w:cs="SimSun"/>
          <w:sz w:val="36"/>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阜宁县2024年高标准农田建设项目工程质量检测服务</w:t>
      </w:r>
      <w:r>
        <w:rPr>
          <w:rFonts w:ascii="SimSun" w:hAnsi="SimSun" w:eastAsia="SimSun" w:cs="SimSun"/>
          <w:color w:val="000000"/>
          <w:sz w:val="24"/>
        </w:rPr>
        <w:t xml:space="preserve">招标项目的潜在投标人可在“中国政府采购网”、“江苏政府采购网、盐城市政府采购网”获取招标文件，并于</w:t>
      </w:r>
      <w:r>
        <w:rPr>
          <w:rFonts w:ascii="SimSun" w:hAnsi="SimSun" w:eastAsia="SimSun" w:cs="SimSun"/>
          <w:color w:val="000000"/>
          <w:sz w:val="24"/>
          <w:u w:val="single"/>
        </w:rPr>
        <w:t xml:space="preserve">2024年10</w:t>
      </w:r>
      <w:r>
        <w:rPr>
          <w:rFonts w:ascii="SimSun" w:hAnsi="SimSun" w:eastAsia="SimSun" w:cs="SimSun"/>
          <w:color w:val="0000ff"/>
          <w:sz w:val="24"/>
          <w:u w:val="single"/>
        </w:rPr>
        <w:t xml:space="preserve">月8日15点00分</w:t>
      </w:r>
      <w:r>
        <w:rPr>
          <w:rFonts w:ascii="SimSun" w:hAnsi="SimSun" w:eastAsia="SimSun" w:cs="SimSun"/>
          <w:color w:val="000000"/>
          <w:sz w:val="24"/>
        </w:rPr>
        <w:t xml:space="preserve">（北京时间）前递交投标文件。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1.项目编号：JSZC-320923-YCSX-G2024-0011</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2.项目名称：阜宁县2024年高标准农田建设项目工程质量检测服务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3.采购方式：公开招标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4.预算金额：62.5万元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5.最高限价：62.5万元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阜宁县2024年高标准农田建设项目工程质量检测服务，涉及板湖镇戚桥片、沟墩镇林跃片、板湖镇西崔片、新沟镇新吉片、古河镇洋古片、罗桥镇青东片、硕集社区阳河片、陈良镇三烈片、新沟镇新西片等9个项目区，总面积约8万亩，检测内容主要为项目区内农田水利设施的检测服务，包括泵站工程，桥梁工程，水闸工程，涵洞（箱涵、管涵）工程，机耕道路工程，渠道（防渗渠、砼管道）工程等工程检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6.1检测周期：与工程施工同步，具体服从工程建设进度要求，确保承包人能够按照时间节点，完成每个阶段工作计划中的工作内容；最终按建设工程施工合同中要求的合同工期完成任务并及时交付招标人使用。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6.2、服务质量要求：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项目检测必须满足《建设工程质量检测管理办法》（部令第141号）、《江苏省建设工程质量检测管理实施细则》（苏建法[2006]97号）、《江苏省工程建设标准建设工程质量检测规程》及国家、江苏省相关标准规范最新要求，检测报告的编写必须满足相关标准规范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6.2.2响应服务：投标人需在接受招标人委托任务后24小时全天候服务（包括周六、周日及法定节假日)。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6.2.3检测时间要求：一般情况下自委托日起3个工作日内（不含委托日）投标人应完成检测工作和检测报告，特殊情况投标人应不超过5个工作日（不含委托日）完成检测工作和检测报告（规范规定的时间除外）。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（1）检测单位提交完整的检测报告一式三份。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（2）质量：按国家、江苏省相关标准、规范要求做到及时、科学、公平、公正。达到合格标准。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本项目如果确需要委托缺项检测部分，该部分允许中标人委托有资质的单位进行检测（投标时须提供投标人缺项委托承诺书）。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7.合同履行期限：与2024年度高标准农田建设项目同步至缺陷责任期满。</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1.2上一年度（2023年）的财务状况报表（财务报表至少应包括资产负债表、利润表）（成立不满一年无需提供）；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ff"/>
          <w:sz w:val="24"/>
        </w:rPr>
        <w:t xml:space="preserve">本项目专门面向中小企业采购，供应商需提供</w:t>
      </w:r>
      <w:r>
        <w:rPr>
          <w:rFonts w:ascii="Microsoft YaHei" w:hAnsi="Microsoft YaHei" w:eastAsia="Microsoft YaHei" w:cs="Microsoft YaHei"/>
          <w:b/>
          <w:color w:val="0000ff"/>
          <w:sz w:val="24"/>
        </w:rPr>
        <w:t xml:space="preserve">《中小企业声明函》。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4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rPr>
          <w:rFonts w:ascii="SimSun" w:hAnsi="SimSun" w:eastAsia="SimSun" w:cs="SimSun"/>
          <w:color w:val="000000"/>
          <w:sz w:val="24"/>
          <w:highlight w:val="yellow"/>
        </w:rPr>
        <w:t xml:space="preserve">投标人具有省级以上（含省级）水利行政管理部门核发的水利工程质量检测行业乙级及以上资质（专业类别必须包括混凝土工程、岩土工程、金属结构、量测、机械电气5个专业类别）；</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54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ff"/>
          <w:sz w:val="24"/>
          <w:u w:val="single"/>
        </w:rPr>
        <w:t xml:space="preserve">2024年 9 月 13 日</w:t>
      </w:r>
      <w:r>
        <w:rPr>
          <w:rFonts w:ascii="SimSun" w:hAnsi="SimSun" w:eastAsia="SimSun" w:cs="SimSun"/>
          <w:color w:val="0000ff"/>
          <w:sz w:val="24"/>
        </w:rPr>
        <w:t xml:space="preserve">至</w:t>
      </w:r>
      <w:r>
        <w:rPr>
          <w:rFonts w:ascii="SimSun" w:hAnsi="SimSun" w:eastAsia="SimSun" w:cs="SimSun"/>
          <w:color w:val="0000ff"/>
          <w:sz w:val="24"/>
          <w:u w:val="single"/>
        </w:rPr>
        <w:t xml:space="preserve">2024年9月 20 日</w:t>
      </w:r>
      <w:r>
        <w:rPr>
          <w:rFonts w:ascii="SimSun" w:hAnsi="SimSun" w:eastAsia="SimSun" w:cs="SimSun"/>
          <w:color w:val="333333"/>
          <w:sz w:val="24"/>
          <w:highlight w:val="white"/>
        </w:rPr>
        <w:t xml:space="preserve">（法定节假日除外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2.地点：中国政府采购网、江苏政府采购网、盐城市政府采购网</w:t>
      </w:r>
      <w:r/>
    </w:p>
    <w:p>
      <w:pPr>
        <w:ind w:left="0" w:right="0" w:firstLine="5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3.方式：在“中国政府采购网”、“江苏政府采购网”、“盐城市政府采购网”自行免费下载招标文件。</w:t>
      </w:r>
      <w:r>
        <w:rPr>
          <w:rFonts w:ascii="FangSong" w:hAnsi="FangSong" w:eastAsia="FangSong" w:cs="FangSong"/>
          <w:color w:val="000000"/>
          <w:sz w:val="24"/>
        </w:rPr>
        <w:t xml:space="preserve">(注：若决定参加投标的顺持投标人CA在上述时间内登录苏采云政府采购交易系统下载)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ff"/>
          <w:sz w:val="24"/>
        </w:rPr>
        <w:t xml:space="preserve">2024 年 10月8日15:00（北京时间）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自本公告发布之日起5个工作日。</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http://www.ccgp-jiangsu.gov.cn/jiangsu/zlxz/ee/ee3a4bc5a3454aa2b0d9312230633ce9.html。</w:t>
      </w:r>
      <w:r/>
    </w:p>
    <w:p>
      <w:pPr>
        <w:ind w:left="0" w:right="0" w:firstLine="24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2.有关本次招标的事项若存在变动或修改，敬请及时关注采购代理机构在“</w:t>
      </w:r>
      <w:r>
        <w:rPr>
          <w:rFonts w:ascii="SimSun" w:hAnsi="SimSun" w:eastAsia="SimSun" w:cs="SimSun"/>
          <w:color w:val="000000"/>
          <w:sz w:val="24"/>
        </w:rPr>
        <w:t xml:space="preserve">中国政府采购网</w:t>
      </w:r>
      <w:r>
        <w:rPr>
          <w:rFonts w:ascii="SimSun" w:hAnsi="SimSun" w:eastAsia="SimSun" w:cs="SimSun"/>
          <w:color w:val="333333"/>
          <w:sz w:val="24"/>
          <w:highlight w:val="white"/>
        </w:rPr>
        <w:t xml:space="preserve">”、“江苏政府采购网”、“盐城市政府采购网”发布的更正公告。</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3.本次招标不收取投标保证金，不收取质量保证金。</w:t>
      </w:r>
      <w:r/>
    </w:p>
    <w:p>
      <w:pPr>
        <w:pStyle w:val="636"/>
        <w:ind w:left="0" w:right="0" w:firstLine="480"/>
        <w:jc w:val="both"/>
        <w:spacing w:before="299" w:after="299"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七、对本次招标提出询问，请按以下方式联系。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称：阜宁县农业农村局</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地址：阜宁县香港路588号</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联系人：李鹏飞，联系方式：13401739777</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称：盐城舜翔工程咨询管理有限公司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址：阜宁县城南大厦A座6015</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联系方式：宣识林，19051515171 </w:t>
      </w:r>
      <w:r>
        <w:rPr>
          <w:rFonts w:ascii="SimSun" w:hAnsi="SimSun" w:eastAsia="SimSun" w:cs="SimSun"/>
          <w:color w:val="333333"/>
          <w:sz w:val="24"/>
          <w:highlight w:val="white"/>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3.监管机构信息</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监管部门：阜宁县财政局采购科</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联系人：王柱</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话：0515-69917082</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2024年9月13日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4.1投标人应自行承担所有与参加投标有关的费用，无论投标过程中的做法和结果如何，采购人及采购代理机构在任何情况下均无义务和责任承担这些费用。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4.2招标代理服务费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代理机构将根据发改价格【2011】534号文件，按招标项目中标价的1.5%向中标人收取服务费用，由中标人在开取中标通知书前一次性支付。</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招标文件的约束力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前按招标公告中的通讯地址，以书面形式通知采购人或采购代理机构。</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8.1在投标截止时间前，采购人或采购代理机构可以对招标文件进行修改。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8.2采购人或采购代理机构有权按照法定的要求推迟投标截止日期和开标日期。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“江苏政府采购网”、“盐城市政府采购网”发布的招标文件不一致，请以</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“江苏政府采购网”、“盐城市政府采购网”发布的招标文件为准。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11.1投标人应按照法律、法规、规章和规范性文件以及招标文件要求提交证明文件，证明其及投标标的符合招标文件规定。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15.1投标有效期为采购代理机构规定的开标之日后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或采购代理机构于原投标有效期满之前，可向投标人提出延长投标有效期的要求。这种要求与答复均应采用书面形式。投标人可以拒绝采购或采购代理机构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18.1投标人上传电子投标文件的时间不得迟于招标公告中规定的投标截止时间。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19.1采购人及采购代理机构拒绝接收在其规定的投标截止时间后上传的任何投标文件。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21.1采购人或采购代理构将在招标公告中规定的时间和地点组织公开开标。投标人应当按照《操作手册》规定，参加开标活动和在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规定的时间内对投标文件进行解密。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w:t>
      </w:r>
      <w:r>
        <w:rPr>
          <w:rFonts w:ascii="SimSun" w:hAnsi="SimSun" w:eastAsia="SimSun" w:cs="SimSun"/>
          <w:color w:val="ff0000"/>
          <w:sz w:val="24"/>
        </w:rPr>
        <w:t xml:space="preserve">苏采云系统</w:t>
      </w:r>
      <w:r>
        <w:rPr>
          <w:rFonts w:ascii="SimSun" w:hAnsi="SimSun" w:eastAsia="SimSun" w:cs="SimSun"/>
          <w:color w:val="000000"/>
          <w:sz w:val="24"/>
        </w:rPr>
        <w:t xml:space="preserve">将自动对项目进行开标，并宣布各投标人名称和投标价格。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w:t>
      </w:r>
      <w:r>
        <w:rPr>
          <w:rFonts w:ascii="SimSun" w:hAnsi="SimSun" w:eastAsia="SimSun" w:cs="SimSun"/>
          <w:color w:val="ff0000"/>
          <w:sz w:val="24"/>
        </w:rPr>
        <w:t xml:space="preserve">苏采云系统</w:t>
      </w:r>
      <w:r>
        <w:rPr>
          <w:rFonts w:ascii="SimSun" w:hAnsi="SimSun" w:eastAsia="SimSun" w:cs="SimSun"/>
          <w:color w:val="000000"/>
          <w:sz w:val="24"/>
        </w:rPr>
        <w:t xml:space="preserve">中《开标记录表》宣布后5分钟内未提出的，视同认可开标结果。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22.1开标后，采购代理机构将立即组织评标委员会（以下简称评委会）进行评标。</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22.3评委会独立工作，负责评审所有投标文件并确定中标候选人。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23.3采购代理机构和评标委员会不向未中标的投标人解释未中标原因，也不公布评标过程中的相关细节。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24.3接到评委会澄清、说明和补正要求的投标人如未按规定做出澄清、说明和补正，其风险由投标人自行承担。</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25.1.1资格审查：依据法律法规和招标文件的规定，由采购人或采购代理机构对投标文件中的资格证明文件进行审查。资格审查的结论，采购人以书面形式向评委会进行反馈。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采购人或采购代理机构在进行资格性审查的同时，将在“信用中国”网站（www.creditchina.gov.cn）查询投标人的信用记录，以确定投标人是否具备投标资格,查询结果留存并归档。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25.1.3未通过资格审查或符合性审查的投标人，采购代理机构将在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中告知未通过资格审查或符合性审查的原因，评标结束后，采购人及采购代理机构将不再告知未通过资格审查和符合性审查的原因。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查阅、答复相关信息，并安排专人与采购代理机构及评标委员会联系。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规定的时间内未成功解密电子投标文件的。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w:t>
      </w:r>
      <w:r>
        <w:rPr>
          <w:rFonts w:ascii="SimSun" w:hAnsi="SimSun" w:eastAsia="SimSun" w:cs="SimSun"/>
          <w:color w:val="ff0000"/>
          <w:sz w:val="24"/>
        </w:rPr>
        <w:t xml:space="preserve">苏采云系统</w:t>
      </w:r>
      <w:r>
        <w:rPr>
          <w:rFonts w:ascii="SimSun" w:hAnsi="SimSun" w:eastAsia="SimSun" w:cs="SimSun"/>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w:t>
      </w:r>
      <w:r>
        <w:rPr>
          <w:rFonts w:ascii="SimSun" w:hAnsi="SimSun" w:eastAsia="SimSun" w:cs="SimSun"/>
          <w:color w:val="ff0000"/>
          <w:sz w:val="24"/>
        </w:rPr>
        <w:t xml:space="preserve">苏采云系统</w:t>
      </w:r>
      <w:r>
        <w:rPr>
          <w:rFonts w:ascii="SimSun" w:hAnsi="SimSun" w:eastAsia="SimSun" w:cs="SimSun"/>
          <w:color w:val="000000"/>
          <w:sz w:val="24"/>
        </w:rPr>
        <w:t xml:space="preserve">系统故障原因造成开标不成功的。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27.3采购代理机构将在“中国政府采购网”、“江苏政府采购网”、“盐城市政府采购网”发布中标公告，公告期限为1个工作日。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成交结果、合同文本的询问、质疑请向采购人提出，由采购人负责答复。供应商对除上述事项以外其他事项的询问、质疑请向采购代理机构提出，由采购代理机构负责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采购代理机构及采购人只接收以纸质原件形式送达的质疑,采购人和采购代理机构不接受未填写快递运单的快件。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29.l中标结果确定后，采购代理机构将向中标人发出中标通知书。请中标人在中标结果公告届满之日起30日内,使用CA数字证书登录</w:t>
      </w:r>
      <w:r>
        <w:rPr>
          <w:rFonts w:ascii="SimSun" w:hAnsi="SimSun" w:eastAsia="SimSun" w:cs="SimSun"/>
          <w:color w:val="ff0000"/>
          <w:sz w:val="24"/>
        </w:rPr>
        <w:t xml:space="preserve">苏采云系统</w:t>
      </w:r>
      <w:r>
        <w:rPr>
          <w:rFonts w:ascii="SimSun" w:hAnsi="SimSun" w:eastAsia="SimSun" w:cs="SimSun"/>
          <w:color w:val="000000"/>
          <w:sz w:val="24"/>
        </w:rPr>
        <w:t xml:space="preserve">及时下载中标通知书。因系统存储空间有限，自中标结果公告届满之日起30日后，</w:t>
      </w:r>
      <w:r>
        <w:rPr>
          <w:rFonts w:ascii="SimSun" w:hAnsi="SimSun" w:eastAsia="SimSun" w:cs="SimSun"/>
          <w:color w:val="ff0000"/>
          <w:sz w:val="24"/>
        </w:rPr>
        <w:t xml:space="preserve">苏采云系统</w:t>
      </w:r>
      <w:r>
        <w:rPr>
          <w:rFonts w:ascii="SimSun" w:hAnsi="SimSun" w:eastAsia="SimSun" w:cs="SimSun"/>
          <w:color w:val="000000"/>
          <w:sz w:val="24"/>
        </w:rPr>
        <w:t xml:space="preserve">不再保证提供下载中标通知书服务,因未及时下载而造成的不利后果由中标人自行承担。</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 </w:t>
      </w:r>
      <w:r/>
    </w:p>
    <w:p>
      <w:pPr>
        <w:ind w:left="0" w:right="0" w:firstLine="0"/>
        <w:jc w:val="center"/>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阜宁县政府采购线上合同信用融资政策</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告知函</w:t>
      </w:r>
      <w:r/>
    </w:p>
    <w:p>
      <w:pPr>
        <w:ind w:left="598" w:right="0" w:firstLine="3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各政府采购供应商：</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欢迎贵公司参与阜宁县政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w:t>
      </w:r>
      <w:r>
        <w:rPr>
          <w:rFonts w:ascii="SimSun" w:hAnsi="SimSun" w:eastAsia="SimSun" w:cs="SimSun"/>
          <w:color w:val="000000"/>
          <w:sz w:val="28"/>
        </w:rPr>
        <w:t xml:space="preserve">便捷、优惠的贷款服务。</w:t>
      </w:r>
      <w:r/>
    </w:p>
    <w:p>
      <w:pPr>
        <w:ind w:left="0" w:right="0" w:firstLine="6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我县提供贷款的金融机构是江苏银行，联系人：陈曦，电话：13401723128</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第三章合同条款及格式</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阜宁县2024年高标准农田建设项目工程质量检测服务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甲方（采购人）：阜宁县农业农村局</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乙方（成交供应商）：</w:t>
      </w:r>
      <w:r>
        <w:rPr>
          <w:rFonts w:ascii="SimSun" w:hAnsi="SimSun" w:eastAsia="SimSun" w:cs="SimSun"/>
          <w:color w:val="000000"/>
          <w:sz w:val="24"/>
          <w:u w:val="single"/>
        </w:rPr>
        <w:t xml:space="preserve">                  </w:t>
      </w:r>
      <w:r>
        <w:rPr>
          <w:rFonts w:ascii="SimSun" w:hAnsi="SimSun" w:eastAsia="SimSun" w:cs="SimSun"/>
          <w:color w:val="000000"/>
          <w:sz w:val="24"/>
        </w:rPr>
        <w:t xml:space="preserve">（本次招标活动的成交供应商）</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1、“合同”系指甲方与乙方签署的、合同条款中载明的甲方与乙方所达成的协议，包括所有的附件、附录和构成合同的所有文件。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2、“货物”系指乙方根据合同规定须向甲方提供的一切有关阜宁县2024年高标准农田建设项目工程质量检测服务中工具、设备、手册、技术资料及其他相关材料。</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3、“服务”系指根据合同规定乙方须承担与阜宁县2024年高标准农田建设项目工程质量检测服务售后有关的所有服务，比如提供技术援助、培训和其他类似的乙方应承担的义务。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4、签订合同文件的依据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（1）合同签订后双方有关项目的洽商、变更等书面协议或文件；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（2）甲方的《阜宁县2024年高标准农田建设项目工程质量检测服务》以及相关的补充文件；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（3）乙方所有的竞标文件及澄清文件；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（4）成交（中标）通知书；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（5）标准、规范及有关技术文件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（6）合同附件：含乙方投标文件、以及投标文件中的各类服务承诺、产品配置情况成果文件、技术说明文件等。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5、招标人有权对实际供货的数量进行调整。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二、合同标的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1、本合同总金额(人民币大写)∶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；(人民币小写)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金额是乙方为完成采购文件所确定的采购范围内的全部内容，以及为完成上述内容所必须质量保证与技术支持、加工制造、运输、供货、调试、验收、检测、保险、指导培训、售后服务以及利润、税金、风险费、管理费、代理费等规定的各项所需的全部费用、不可预见费及其它一切相关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3、交付使用前的一切费用由乙方承担。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4、在合同履行中，甲方可以依实际需要决定增减合同货物采购数量，在合同结算时，单价不调整，按双方确认的实际采购数量进行结算，甲方无需因增减采购数量而加付任何其他费用，乙方对此无任何异议。</w:t>
      </w:r>
      <w:r/>
    </w:p>
    <w:p>
      <w:pPr>
        <w:ind w:left="0" w:right="0" w:firstLine="47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三、税费</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1、中国政府根据现行税法规定对乙方征收的、与本合同有关的一切税费，均由乙方负担。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2、在中国境外发生的与本合同执行过程的一切税费由乙方负担。</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四、检测时间和周期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、检测周期：与工程施工同步，具体服从工程建设进度要求，确保承包人能够按照时间节点，完成每个阶段工作计划中的工作内容；最终按建设工程施工合同中要求的合同工期完成任务并及时交付招标人使用。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2、检测时间要求：一般情况下自委托日起3个工作日内（不含委托日）投标人应完成检测工作和检测报告，特殊情况投标人应不超过5个工作日（不含委托日）完成检测工作和检测报告（规范规定的时间除外）。</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五、技术标准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质量要求：项目检测必须满足江苏省《水利工程施工质量项目法人委托检测规范》(DB32/T 2707-2014)、规程、标准等相关要求。检测报告的编写必须满足相关标准规范的规定且符合本地相关部门核审要求。</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六、专利权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乙方应保证甲方在使用服务或其任何一部分时不受第三方提出侵犯其专利权、商标权、版权和工业设计权的指控。一旦出现任何第三方提出侵权指控，乙方必须与第三方交涉，并承担可能发生的全部责任。</w:t>
      </w:r>
      <w:r/>
    </w:p>
    <w:p>
      <w:pPr>
        <w:ind w:left="426" w:right="0" w:firstLine="1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履约保证金缴纳: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本项目履约保证金按中标（合同）价的5%执行，乙方应按阜政办发﹝2015﹞56号文件规定要求，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依据盐财购〔2021〕19号文件规定，乙方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履约保证金退还: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如为保函，在到期时自行失效。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6.3履约保证金不予退还情形：</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6.4逾期退还的违约责任：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八、服务质量保证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1、经检测合格的工程或材料等，乙方应对由于乙方的原因而发生的任何不足或故障负责，费用由乙方承担；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2、乙方在收到甲方的书面通知后，应免费提供技术支持，帮助解决有关问题；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3、如果乙方在收到甲方通知后，在合同所附服务承诺约定的时间内没有弥补缺陷，甲方可采取必要的补救措施，但风险和费用由乙方承担；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4、及时完成相应备案手续。</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落实预付款制度，合同签订后30日内甲方支付合同价款的30%给乙方作为预付款；在签订合同时，中标、成交供应商明确书面表示无需预付款或者主动要求降低预付款比例的，采购人可就预付款比例作相应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2、提供全套合格的档案资料及检测报告，且工程四方验收及县级初验合格，一次性付清全部检测费；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3、以上付款无息。</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十、索赔</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1、根据合同规定的质量保证期内，如果乙方对甲方提出的索赔负有责任，乙方应按照甲方同意的下列一种或多种方式解决索赔事宜：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（1）根据服务的低劣程度以及甲方所遭受损失的数额，乙方必须按甲方所能接受的数额，降低服务的价格；</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（2）用符合合同规定的规格、质量和性能要求的新货物来更换有缺陷的部分，乙方应承担一切费用和风险，并负担甲方所蒙受的全部直接损失费用。同时，乙方应按合同规定，对服务相应延长服务期。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ascii="SimSun" w:hAnsi="SimSun" w:eastAsia="SimSun" w:cs="SimSun"/>
          <w:b/>
          <w:color w:val="000000"/>
          <w:sz w:val="24"/>
        </w:rPr>
        <w:t xml:space="preserve"> </w:t>
      </w:r>
      <w:r/>
    </w:p>
    <w:p>
      <w:pPr>
        <w:ind w:left="0" w:right="0" w:firstLine="3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十一、转让</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除甲方事先书面同意外，乙方不得转让任何其应履行的合同义务。</w:t>
      </w:r>
      <w:r/>
    </w:p>
    <w:p>
      <w:pPr>
        <w:ind w:left="0" w:right="0" w:firstLine="35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十二、售后服务</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1、在服务期内，乙方应对甲方免费提供技术支持、指导、讲解等服务。</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2、检测工作应及时，当个别测试结果不符合要求时，应第一时间与甲方联系。</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3、最终的检测报告，应得到当地政府相关部门的认可。</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3、有关部门对检测项目有方案要求的，乙方应编制合理方案经甲方确认并负责到相关部门备案。</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十三、安全问题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乙方必须考虑服务、检测过程中的安全问题。如因乙方原因，以及一切自然损坏而造成的货物损坏和人身伤害事故（不包括不可抗力因素），由乙方承担全部责任。</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2.本条所述的“不可抗力”系指那些双方不能预见、不能克服并无法避免的事件，但不包括任何一方的违约或疏忽。不可预见的事件包括，战争、严重火灾、洪水、台风、地震及其他双方同意的情况。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不可抗力事件发生后，受损方应尽快以书面形式将不可抗力的情况和原因通知对方，除对方书面另行要求外，受损方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违约责任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1、甲方不履行本合同约定的义务，乙方可要求甲方履行，由此造成的损失，甲方应承担相应的责任；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2、甲方违反本合同的约定，未能按时如数支付检测服务费的，应按每月千分之五的标准向乙方支付违约金，并应于五日内补交费用；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3、乙方违反本合同约定，乙方如发生将本服务项目转包、违规、违法现象或在履行合约中单方中途退出的，甲方将终止本合同，没收履约保证金，追偿违约金，并追究由此造成的一切损失；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一般情况下自委托日起3个工作日内（不含委托日）投标人应完成检测工作和检测报告，特殊情况投标人应不超过5个工作日（不含委托日）完成检测工作和检测报告（规范规定的时间除外）。逾期提交不出检测报告的，每拖延一天罚款</w:t>
      </w:r>
      <w:r>
        <w:rPr>
          <w:rFonts w:ascii="SimSun" w:hAnsi="SimSun" w:eastAsia="SimSun" w:cs="SimSun"/>
          <w:color w:val="000000"/>
          <w:sz w:val="24"/>
          <w:u w:val="single"/>
        </w:rPr>
        <w:t xml:space="preserve"> 1000</w:t>
      </w:r>
      <w:r>
        <w:rPr>
          <w:rFonts w:ascii="SimSun" w:hAnsi="SimSun" w:eastAsia="SimSun" w:cs="SimSun"/>
          <w:color w:val="000000"/>
          <w:sz w:val="24"/>
        </w:rPr>
        <w:t xml:space="preserve">元，其罚款由甲方直接从乙方的服务费中扣除。如因乙方原因造成累计拖延天数达15日（含）以上且甲方不认同的情况下，甲方有权单方面取消乙方的中标资格，终止合同，没收履约保证金，由此产生的责任和损失均由乙方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5、乙方对所有检测内容的真实性负责，如检测结果和被检工程、材料误差超出规范范围的，发现一起扣除人民币10000元，发现二起或二起以上的，甲方有权终止本合同。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考虑中标后服务期间对整个周边环境、设施、道路、绿化等的保护，并将有关费用全部考虑在投标报价中。服务期间如发生对环境、设施、道路、绿化等产生破坏，除采取措施恢复原状外，另处以被损坏设施、道路、绿化等二倍的罚款，在整个服务费中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严格按照有关规范规定客观公正地做好试验检测工作。本项目检测工作开始前，乙方必须对与本项目有关人员进行职业道德教育：任何人不得在本项目检测过程中谋取私利，发现受贿或索贿的，甲方有权终止本合同，并将抄送司法部门和招标管理机构。</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1.本合同自双方签字盖章之日起生效。合同生效后如需变更合同条款，须经双方协商同意。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2.本合同任何条款不能认定为任何一方提供的格式条款。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3、本合同在履行中如遇争议，双方可以通过协商和解、依法申请调解、向有关行政部门申诉、提请仲裁机构仲裁、向甲方所在地人民法院提起起诉等方式解决。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4.合同双方可以就本合同主要内容以外的事项进行协商。本合同若有未尽事宜，双方可协商解决。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5.本合同一式</w:t>
      </w:r>
      <w:r>
        <w:rPr>
          <w:rFonts w:ascii="SimSun" w:hAnsi="SimSun" w:eastAsia="SimSun" w:cs="SimSun"/>
          <w:color w:val="000000"/>
          <w:sz w:val="24"/>
          <w:u w:val="single"/>
        </w:rPr>
        <w:t xml:space="preserve">陆</w:t>
      </w:r>
      <w:r>
        <w:rPr>
          <w:rFonts w:ascii="SimSun" w:hAnsi="SimSun" w:eastAsia="SimSun" w:cs="SimSun"/>
          <w:color w:val="000000"/>
          <w:sz w:val="24"/>
        </w:rPr>
        <w:t xml:space="preserve">份，甲、乙双方各执</w:t>
      </w:r>
      <w:r>
        <w:rPr>
          <w:rFonts w:ascii="SimSun" w:hAnsi="SimSun" w:eastAsia="SimSun" w:cs="SimSun"/>
          <w:color w:val="000000"/>
          <w:sz w:val="24"/>
          <w:u w:val="single"/>
        </w:rPr>
        <w:t xml:space="preserve">叁</w:t>
      </w:r>
      <w:r>
        <w:rPr>
          <w:rFonts w:ascii="SimSun" w:hAnsi="SimSun" w:eastAsia="SimSun" w:cs="SimSun"/>
          <w:color w:val="000000"/>
          <w:sz w:val="24"/>
        </w:rPr>
        <w:t xml:space="preserve">份。</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或委托代理人（盖章或签字）：或委托代理人（盖章或签字）：</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经营地址：经营地址：</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帐号：帐号：</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合同签订地点：合同签订时间：年月日</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301"/>
        <w:jc w:val="both"/>
        <w:spacing w:before="5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Pr>
          <w:rFonts w:ascii="SimSun" w:hAnsi="SimSun" w:eastAsia="SimSun" w:cs="SimSun"/>
          <w:b/>
          <w:color w:val="000000"/>
          <w:sz w:val="24"/>
        </w:rPr>
        <w:t xml:space="preserve">附件：                        </w:t>
      </w:r>
      <w:r>
        <w:rPr>
          <w:rFonts w:ascii="SimSun" w:hAnsi="SimSun" w:eastAsia="SimSun" w:cs="SimSun"/>
          <w:b/>
          <w:color w:val="000000"/>
          <w:sz w:val="36"/>
        </w:rPr>
        <w:t xml:space="preserve"> 廉政合同</w:t>
      </w:r>
      <w:r/>
    </w:p>
    <w:p>
      <w:pPr>
        <w:ind w:left="0" w:right="0" w:firstLine="0"/>
        <w:spacing w:before="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家及省、市、县廉政建设的规定，为做好政府采购活动中的党风廉政建设，保证政府采购工作高效优质，保证项目资金的安全和有效使用以及投资效益，阜宁县2024年高标准农田建设项目工程质量检测服务（项目名称）的项目法人阜宁县农业农村局(项目法人名称，以下简称“甲方”)与该项目包的中标人    （以下简称“乙方”)，特订立如下合同。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甲乙双方的权利和义务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(一)严格遵守党的政策规定和国家有关法律、法规及有关规定。</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(二)严格执行阜宁县2024年高标准农田建设项目工程质量检测服务（项目名称）的合同文件，自觉按合同办事。</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(三)双方的业务活动坚持公开、公正、诚信、透明的原则(法律认定的商业秘密和合同文件另有规定除外)，不得损害国家和集体利益。</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(四)建立健全廉政制度，开展廉政教育，监督并认真查处违法违纪行为。</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(五)发现对方在业务活动中有违反廉政规定的行为，有及时提醒对方纠正的权力和义务。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(六)发现对方严重违反本合同义务条款的行为，有向其上级有关部门举报、建议给予处理并要求告知处理结果的权力。</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甲方的义务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(一)甲方及其工作人员不得索要或接受乙方的礼金、有价证券和贵重物品，不得在乙方报销任何应由甲方或甲方工作人员个人支付的费用等。</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(二)甲方工作人员不得参加乙方安排的超标准宴请和娱乐活动；不得接受乙方提供的通讯工具、交通工具和高档办公用品等。</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(三)甲方及其工作人员不得要求或者接受乙方为其住房装修、婚丧嫁娶活动、配偶子女及其亲属的工作安排以及出国出境、旅游等提供方便等。</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乙方的义务</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(一)乙方不得以任何理由向甲方及其工作人员行贿或馈赠礼金、有价证券、贵重礼品。</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(二)乙方不得以任何名义为甲方及其工作人员报销应由甲方单位或个人支付的任何费用。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(三)乙方不得以任何理由安排甲方工作人员参加超标准宴请和娱乐活动。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(四)乙方不得为甲方单位和个人购置或提供通信工具、交通工具和高档办公用品等。</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违约责任</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(一)甲方及其工作人员违反本合同第一、二条，按管理权限，依据有关规定给予党纪、政纪或组织处理；涉嫌犯罪的，移交司法机关追究刑事责任；给乙方单位造成经济损失的，应予以赔偿。</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(二)乙方及其工作人员违反本合同第一、三条，按管理权限，依据有关规定给予党纪、政纪或组织处理；给甲方单位造成经济损失的，应予以赔偿。</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本合同有效期为甲乙双方签署之日起至供货合同失效日止。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第七条本合同作为阜宁县2024年高标准农田建设项目工程质量检测服务（项目名称）采购合同的附件，经合同双方签署后立即生效。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甲方：(单位全称)(盖单位章)       乙方：（单位全称）(盖单位章)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或其授权代理人：（签字或盖章）或其授权代理人：（签字或盖章）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right"/>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月日</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本项目所属行业：其他未列明行业。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1.项目编号：JSZC-320923-YCSX-G2024-0011</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2.项目名称：阜宁县2024年高标准农田建设项目工程质量检测服务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3.采购方式：公开招标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4.预算金额：62.5万元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5.最高限价：62.5万元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阜宁县2024年高标准农田建设项目工程质量检测服务，涉及板湖镇戚桥片、沟墩镇林跃片、板湖镇西崔片、新沟镇新吉片、古河镇洋古片、罗桥镇青东片、硕集社区阳河片、陈良镇三烈片、新沟镇新西片等9个项目区，总面积约8万亩，检测内容主要为项目区内农田水利设施的检测服务，包括泵站工程，桥梁工程，水闸工程，涵洞（箱涵、管涵）工程，机耕道路工程，渠道（防渗渠、砼管道）工程等工程检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6.1检测周期：与工程施工同步，具体服从工程建设进度要求，确保承包人能够按照时间节点，完成每个阶段工作计划中的工作内容；最终按建设工程施工合同中要求的合同工期完成任务并及时交付招标人使用。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6.2、服务质量要求：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项目检测必须满足《建设工程质量检测管理办法》（部令第141号）、《江苏省建设工程质量检测管理实施细则》（苏建法[2006]97号）、《江苏省工程建设标准建设工程质量检测规程》及国家、江苏省相关标准规范最新要求，检测报告的编写必须满足相关标准规范的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6.2.2响应服务：投标人需在接受招标人委托任务后24小时全天候服务（包括周六、周日及法定节假日)。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6.2.3检测时间要求：一般情况下自委托日起3个工作日内（不含委托日）投标人应完成检测工作和检测报告，特殊情况投标人应不超过5个工作日（不含委托日）完成检测工作和检测报告（规范规定的时间除外）。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6.2.4验收：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（1）检测单位提交完整的检测报告一式三份。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（2）质量：按国家、江苏省相关标准、规范要求做到及时、科学、公平、公正。达到合格标准。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本项目如果确需要委托缺项检测部分，该部分允许中标人委托有资质的单位进行检测（投标时须提供投标人缺项委托承诺书）。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二、主要技术要求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、检测周期要求：同被检测工程施工工期。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、质量要求：所有检测行为、结果均应符合江苏省水利工程质量项目法人委托检测规范、规程、标准等相关要求，保证检测数据准确、真实。检测报告应在规定的时间报送招标人。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、能根据工地施工日常检测要求，及时安排足够的人员、设备进行检测。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、检测过程应符合相应行业主管部门有关技术规范。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、现场检测结束后及时对检测项目进行评价。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、检测时间要求：工程施工过程中进行的检测，检测单位应在检测完成后</w:t>
      </w:r>
      <w:r>
        <w:rPr>
          <w:rFonts w:ascii="Calibri" w:hAnsi="Calibri" w:eastAsia="Calibri" w:cs="Calibri"/>
          <w:color w:val="000000"/>
          <w:sz w:val="24"/>
        </w:rPr>
        <w:t xml:space="preserve">5</w:t>
      </w:r>
      <w:r>
        <w:rPr>
          <w:rFonts w:ascii="SimSun" w:hAnsi="SimSun" w:eastAsia="SimSun" w:cs="SimSun"/>
          <w:color w:val="000000"/>
          <w:sz w:val="24"/>
        </w:rPr>
        <w:t xml:space="preserve">个工作日内出具检测报告。阶段验收和竣工验收前进行的检测，检测单位应在检测完成后</w:t>
      </w:r>
      <w:r>
        <w:rPr>
          <w:rFonts w:ascii="Calibri" w:hAnsi="Calibri" w:eastAsia="Calibri" w:cs="Calibri"/>
          <w:color w:val="000000"/>
          <w:sz w:val="24"/>
        </w:rPr>
        <w:t xml:space="preserve">10</w:t>
      </w:r>
      <w:r>
        <w:rPr>
          <w:rFonts w:ascii="SimSun" w:hAnsi="SimSun" w:eastAsia="SimSun" w:cs="SimSun"/>
          <w:color w:val="000000"/>
          <w:sz w:val="24"/>
        </w:rPr>
        <w:t xml:space="preserve">个工作日内出具检测报告。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、检测内容：阜宁县2024年高标准农田建设项目工程根据江苏省水利工程质量检测办法规定的检测内容和频次按照有关规定执行。</w:t>
      </w:r>
      <w:r/>
    </w:p>
    <w:p>
      <w:pPr>
        <w:ind w:left="0" w:right="0" w:firstLine="3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三、工程质量检测要点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阜宁县2024年高标准农田建设项目工程涉及的主要建筑物类型有：泵站、水闸（或闸站结合）、涵洞、机耕桥、机耕路、渠道等，现将各种类型的工程质量检测要点汇总如下：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、泵站工程</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5"/>
        <w:gridCol w:w="1763"/>
        <w:gridCol w:w="58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钢筋保护层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墩墙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墙体厚度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钢筋保护层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长度、宽度、高度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长度、宽度、高度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混凝土闸门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机耕桥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宽度、长度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钢闸门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尺寸、焊缝</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除锈质量、金属涂层、复合涂层</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尺寸、止水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启闭机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各部件质量及相互配合质量</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尺寸、钢丝绳安全圈数、噪音、荷载控制装置、电气设备绝缘电阻</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水泵机组安装及试运行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垫铁安装质量、组合面间隙、叶轮间隙、联轴器端面间隙及均匀性、水泵轴下导摆度、噪音、振动</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电动机安装及运行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带电部分电气间距、接地质量、绕组绝缘电阻及吸收比、三相电流、振动、噪音</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配电盘柜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外观质量、基础型钢安装质量、柜体安装质量、端子排安装质量、接地质量、二次回路接线质量、电源回路绝缘电阻</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电力电缆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电缆支架安装质量、电缆管安装质量、电缆敷设质量、电缆线路防火阻燃设施施工质量</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低压系统接地形式检查、保护线截面检查、接地电阻检测</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房屋装饰工程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抹灰工程、地面工程、门窗工程、电气照明</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SimSun" w:hAnsi="SimSun" w:eastAsia="SimSun" w:cs="SimSun"/>
          <w:b/>
          <w:color w:val="000000"/>
          <w:sz w:val="24"/>
        </w:rPr>
        <w:t xml:space="preserve">、水闸工程</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3"/>
        <w:gridCol w:w="1782"/>
        <w:gridCol w:w="5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钢筋保护层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墩墙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墙体厚度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钢筋保护层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混凝土闸门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机耕桥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宽度、长度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钢闸门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同“泵站工程”</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w:t>
      </w:r>
      <w:r>
        <w:rPr>
          <w:rFonts w:ascii="SimSun" w:hAnsi="SimSun" w:eastAsia="SimSun" w:cs="SimSun"/>
          <w:b/>
          <w:color w:val="000000"/>
          <w:sz w:val="24"/>
        </w:rPr>
        <w:t xml:space="preserve">、涵洞（箱涵、管涵）工程</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9"/>
        <w:gridCol w:w="1766"/>
        <w:gridCol w:w="5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洞身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壁厚</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制作、安装等</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w:t>
      </w:r>
      <w:r>
        <w:rPr>
          <w:rFonts w:ascii="SimSun" w:hAnsi="SimSun" w:eastAsia="SimSun" w:cs="SimSun"/>
          <w:b/>
          <w:color w:val="000000"/>
          <w:sz w:val="24"/>
        </w:rPr>
        <w:t xml:space="preserve">、机耕桥工程</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7"/>
        <w:gridCol w:w="2068"/>
        <w:gridCol w:w="5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梁板、桥台、桥桩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桥面铺装、   防撞护栏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长度、宽度（高度）、厚度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bl>
    <w:p>
      <w:pPr>
        <w:ind w:left="0" w:right="0" w:firstLine="482"/>
        <w:jc w:val="both"/>
        <w:spacing w:before="14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5、机耕路</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2068"/>
        <w:gridCol w:w="5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机耕路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宽度、厚度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路基密实度</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6</w:t>
      </w:r>
      <w:r>
        <w:rPr>
          <w:rFonts w:ascii="SimSun" w:hAnsi="SimSun" w:eastAsia="SimSun" w:cs="SimSun"/>
          <w:b/>
          <w:color w:val="000000"/>
          <w:sz w:val="24"/>
        </w:rPr>
        <w:t xml:space="preserve">、防渗渠</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2068"/>
        <w:gridCol w:w="5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防渗渠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断面、厚度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渗漏量</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7</w:t>
      </w:r>
      <w:r>
        <w:rPr>
          <w:rFonts w:ascii="SimSun" w:hAnsi="SimSun" w:eastAsia="SimSun" w:cs="SimSun"/>
          <w:b/>
          <w:color w:val="000000"/>
          <w:sz w:val="24"/>
        </w:rPr>
        <w:t xml:space="preserve">、管道灌溉</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2068"/>
        <w:gridCol w:w="5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PE、PVC管道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断面、壁厚</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拉伸强度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公称压力</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8</w:t>
      </w:r>
      <w:r>
        <w:rPr>
          <w:rFonts w:ascii="SimSun" w:hAnsi="SimSun" w:eastAsia="SimSun" w:cs="SimSun"/>
          <w:b/>
          <w:color w:val="000000"/>
          <w:sz w:val="24"/>
        </w:rPr>
        <w:t xml:space="preserve">、高压缆线</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2068"/>
        <w:gridCol w:w="5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检测部位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绝缘、护套材料，线芯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断面、厚度</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机械性实验</w:t>
            </w:r>
            <w:r/>
          </w:p>
        </w:tc>
      </w:tr>
      <w:tr>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热老化实验</w:t>
            </w:r>
            <w:r/>
          </w:p>
        </w:tc>
      </w:tr>
    </w:tbl>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四、检测内容和频次</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1、主要原材料</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2"/>
        <w:gridCol w:w="760"/>
        <w:gridCol w:w="1051"/>
        <w:gridCol w:w="2741"/>
        <w:gridCol w:w="4390"/>
      </w:tblGrid>
      <w:tr>
        <w:trPr>
          <w:trHeight w:val="4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        次</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细度、凝结时间、安定性，3天、28天胶砂强度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同一厂家、同一品牌、同一等级每1000t抽检1次，每单位工程至少抽检1次。</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公称直径、抗拉强度、屈服点、伸长率、冷弯、焊接质量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同一厂家、同一品种、同一规格每100t抽检1次，每单位工程至少抽检1次。</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黄砂</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细度模数、颗粒级配、含泥量、泥块含量、坚固性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按不同产地每1000t抽检1次，每单位工程至少抽检1次。</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颗粒级配、含泥量、针片状颗粒含量、压碎值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按不同产地每2000t抽检1次, 每单位工程至少抽检1次。</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止水铜片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抗拉强度、延伸率、冷弯、焊缝渗透试验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每单位工程抽检1次</w:t>
            </w:r>
            <w:r/>
          </w:p>
        </w:tc>
      </w:tr>
      <w:tr>
        <w:trPr>
          <w:trHeight w:val="6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拉伸强度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伸长率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每单位工程抽检1次</w:t>
            </w:r>
            <w:r/>
          </w:p>
        </w:tc>
      </w:tr>
      <w:tr>
        <w:trPr>
          <w:trHeight w:val="36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拉伸强度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伸长率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每单位工程抽检1次</w:t>
            </w:r>
            <w:r/>
          </w:p>
        </w:tc>
      </w:tr>
      <w:tr>
        <w:trPr>
          <w:trHeight w:val="1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土工布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单位面积重量（g／m2）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抗拉强度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撕裂强度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垂直渗透系度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每单位工程抽检1次</w:t>
            </w:r>
            <w:r/>
          </w:p>
        </w:tc>
      </w:tr>
      <w:tr>
        <w:trPr>
          <w:trHeight w:val="1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砌块连锁块</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衬彻渠道所用砌块、连锁块的强度检测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每2公里至少抽检1次</w:t>
            </w:r>
            <w:r/>
          </w:p>
        </w:tc>
      </w:tr>
    </w:tbl>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 、水闸、船闸、涵洞、泵站土建工程</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
        <w:gridCol w:w="1894"/>
        <w:gridCol w:w="3028"/>
        <w:gridCol w:w="3939"/>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检测对象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检测孔频次</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vMerge w:val="restart"/>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闸身段</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洞身段</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站身段</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船闸闸身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底板高程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上下游门坎处各2点</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底板净宽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墩墙长度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墩墙竖向垂直度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闸门槽轴线偏差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门槽断面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3点</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柱、梁、板排架断面尺寸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每构件段2道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柱、梁、板排架长度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每构件段1道</w:t>
            </w:r>
            <w:r/>
          </w:p>
        </w:tc>
      </w:tr>
      <w:tr>
        <w:trPr>
          <w:trHeight w:val="50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底板、墩墙、排架、工作桥、公路桥等结构构件段回弹值</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上下游岸、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翼墙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竖向垂直度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断面尺寸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2道</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顶面高程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2点</w:t>
            </w:r>
            <w:r/>
          </w:p>
        </w:tc>
      </w:tr>
      <w:tr>
        <w:trPr>
          <w:trHeight w:val="5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墙后还填土压实度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墙后1～2组（不得在顶面1m内取土样）</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墙回弹值</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上下游护坦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海漫消力池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平面布置尺寸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1遍</w:t>
            </w:r>
            <w:r/>
          </w:p>
        </w:tc>
      </w:tr>
      <w:tr>
        <w:trPr>
          <w:trHeight w:val="40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护砌厚度（含垫层、滤层厚度）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1点</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分类别回弹值</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混凝土工程表面质量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表面蜂窝麻面的深度、面积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全面普查</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露筋情况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全面普查</w:t>
            </w:r>
            <w:r/>
          </w:p>
        </w:tc>
      </w:tr>
      <w:tr>
        <w:trPr>
          <w:trHeight w:val="43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渗漏水情况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全面普查</w:t>
            </w:r>
            <w:r/>
          </w:p>
        </w:tc>
      </w:tr>
      <w:tr>
        <w:trPr>
          <w:trHeight w:val="84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裂缝情况（位置、缝宽、长度是否贯通）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全面普查</w:t>
            </w:r>
            <w:r/>
          </w:p>
        </w:tc>
      </w:tr>
      <w:tr>
        <w:trPr>
          <w:trHeight w:val="1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钢筋保护层厚度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受拉钢筋保护层厚度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水位变化区及以上钢筋保护层厚度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抽检孔门槽受拉钢筋、平底板面层钢筋、墩墙、排架、工作桥、公路桥等部位钢筋保护层若干处</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注：1.水闸边孔、通航孔、船闸闸首、涵洞洞首、泵站边孔为必检对象。</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水闸中孔、船闸闸室、涵洞洞身、泵站中孔、上下游岸（翼）墙等抽检50%。</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闸门启闭机制作安装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闸门制作</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2"/>
        <w:gridCol w:w="1088"/>
        <w:gridCol w:w="18"/>
        <w:gridCol w:w="3969"/>
        <w:gridCol w:w="3324"/>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检测对象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检测孔频次</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平面闸门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几何尺寸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每扇1次</w:t>
            </w:r>
            <w:r/>
          </w:p>
        </w:tc>
      </w:tr>
      <w:tr>
        <w:trPr>
          <w:trHeight w:val="357"/>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一、二类焊缝质量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每扇1次，每扇3～4条</w:t>
            </w:r>
            <w:r/>
          </w:p>
        </w:tc>
      </w:tr>
      <w:tr>
        <w:trPr>
          <w:trHeight w:val="357"/>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扭曲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每扇1道</w:t>
            </w:r>
            <w:r/>
          </w:p>
        </w:tc>
      </w:tr>
      <w:tr>
        <w:trPr>
          <w:trHeight w:val="357"/>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肋边梁（端柱）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每扇1道</w:t>
            </w:r>
            <w:r/>
          </w:p>
        </w:tc>
      </w:tr>
      <w:tr>
        <w:trPr>
          <w:trHeight w:val="357"/>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面板平整度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每扇2～3点</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钢闸门防腐喷涂厚度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每扇3部位，每部位＞20测点</w:t>
            </w:r>
            <w:r/>
          </w:p>
        </w:tc>
      </w:tr>
      <w:tr>
        <w:trPr>
          <w:trHeight w:val="7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铸铁闸门制作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几何尺寸、面板厚度、扭曲、止水件、密封座板厚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每扇1次</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注：1.水闸、泵站抽检50%。2.船闸、涵洞、通航孔全检。</w:t>
      </w:r>
      <w:r/>
    </w:p>
    <w:p>
      <w:pPr>
        <w:ind w:left="0" w:right="0" w:firstLine="0"/>
        <w:jc w:val="center"/>
        <w:spacing w:before="156" w:after="156"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闸门安装</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1931"/>
        <w:gridCol w:w="3712"/>
        <w:gridCol w:w="2926"/>
      </w:tblGrid>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检测孔频次</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平面闸门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侧止水橡皮压缩量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每m1点</w:t>
            </w:r>
            <w:r/>
          </w:p>
        </w:tc>
      </w:tr>
      <w:tr>
        <w:trPr>
          <w:trHeight w:val="38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底止水橡皮压缩量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每m1点</w:t>
            </w:r>
            <w:r/>
          </w:p>
        </w:tc>
      </w:tr>
      <w:tr>
        <w:trPr>
          <w:trHeight w:val="38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关门位置顶止水橡皮压缩量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每m1点</w:t>
            </w:r>
            <w:r/>
          </w:p>
        </w:tc>
      </w:tr>
      <w:tr>
        <w:trPr>
          <w:trHeight w:val="38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关门位置主横梁水平度偏差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每扇1道</w:t>
            </w:r>
            <w:r/>
          </w:p>
        </w:tc>
      </w:tr>
      <w:tr>
        <w:trPr>
          <w:trHeight w:val="38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闸门锁定装置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每扇1道</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铸铁闸门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导轨及门体垂直度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每孔检查</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注：1.水闸、泵站抽检50%。船闸、涵洞、通航孔全检。</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附表3-3 启闭机制造安装</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1977"/>
        <w:gridCol w:w="4610"/>
        <w:gridCol w:w="1873"/>
      </w:tblGrid>
      <w:tr>
        <w:trPr>
          <w:trHeight w:val="4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检测孔频次</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卷扬式启闭机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机身纵横向中心线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每台1道</w:t>
            </w:r>
            <w:r/>
          </w:p>
        </w:tc>
      </w:tr>
      <w:tr>
        <w:trPr>
          <w:trHeight w:val="4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机身高程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每台1处</w:t>
            </w:r>
            <w:r/>
          </w:p>
        </w:tc>
      </w:tr>
      <w:tr>
        <w:trPr>
          <w:trHeight w:val="4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机身水平度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每台1处</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螺杆式启闭机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机身纵横向中心线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每台1处</w:t>
            </w:r>
            <w:r/>
          </w:p>
        </w:tc>
      </w:tr>
      <w:tr>
        <w:trPr>
          <w:trHeight w:val="42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机身水平度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每台1处</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注：1.水闸、泵站抽检50%。2.船闸、涵洞、通航孔全检。</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3-4闸门启闭机联动检查</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
        <w:gridCol w:w="6392"/>
        <w:gridCol w:w="2075"/>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检测孔频次</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闸门启闭过程所有运转件运行正常，无卡阻，两侧同步，止水橡皮无损伤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逐一检测</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底止水橡皮与接触面无间隙不透光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逐一检测</w:t>
            </w: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放水后1m长止水橡皮范围内漏水量＜0.1L/s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逐一检测</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注：1.水闸、泵站抽检50%。2.船闸、涵洞、通航孔全检。</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、泵站安装工程</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4-1主机泵安装</w:t>
      </w:r>
      <w:r/>
    </w:p>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现场组装立式主机泵安装</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6483"/>
        <w:gridCol w:w="2062"/>
      </w:tblGrid>
      <w:tr>
        <w:trPr>
          <w:trHeight w:val="3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检测机组频次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电机定子铁芯与水泵下导轴窝的垂直同轴度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水泵下导轴窝的水平度、垂直同轴度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电动机轴下导摆度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水泵轴下导摆度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电机空气间隙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电机定子铁芯中心高程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机组轴线垂直度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水泵下轴颈中心位置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卡环受力后轴向间隙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导叶体与叶轮外壳同轴度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受油器水平度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叶轮外壳水平度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导叶体轴窝与叶轮外壳垂直同轴度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电机轴与水泵轴的同轴度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联轴器间隙均匀性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注：主机泵安装质量抽检数量为单位工程总台数的1/3，单位工程主机泵台数＜3台的抽检1台。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整体卧式主机泵安装</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2"/>
        <w:gridCol w:w="5588"/>
        <w:gridCol w:w="2650"/>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8" w:type="dxa"/>
            <w:vAlign w:val="top"/>
            <w:textDirection w:val="lrTb"/>
            <w:noWrap w:val="false"/>
          </w:tcPr>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检测机组频次</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安装高度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电机轴与泵轴同轴度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轴承温度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水泵轴向、径向振动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注：主机泵安装质量抽检数量为单位工程总台数的1/3，单位工程主机泵台数＜3台的抽检1台。</w:t>
      </w:r>
      <w:r/>
    </w:p>
    <w:p>
      <w:pPr>
        <w:ind w:left="0" w:right="0" w:firstLine="0"/>
        <w:jc w:val="center"/>
        <w:spacing w:before="156" w:after="156"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 整体立式主机泵安装</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5821"/>
        <w:gridCol w:w="2488"/>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检测机组频次</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安装高程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泵座水平度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泵轴与电动机同轴度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电机座水平度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水泵轴向、径向振动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注：主机泵安装质量抽检数量为单位工程总台数的1/3，单位工程主机泵台数＜3台的抽检1台。</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 潜水电泵安装</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5621"/>
        <w:gridCol w:w="2698"/>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1"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检测机组频次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泵座安装高程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泵座安装水平度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顶盖密封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注：主机泵安装质量抽检数量为单位工程总台数的1/3，单位工程主机泵台数＜3台的抽检1台。</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4-1-5主机泵管路安装</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5"/>
        <w:gridCol w:w="5481"/>
        <w:gridCol w:w="2684"/>
      </w:tblGrid>
      <w:tr>
        <w:trPr>
          <w:trHeight w:val="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81"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检测机组频次</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管路外径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管路壁厚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阀件安装方向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每台1次</w:t>
            </w:r>
            <w:r/>
          </w:p>
        </w:tc>
      </w:tr>
    </w:tbl>
    <w:p>
      <w:pPr>
        <w:ind w:left="601" w:right="0" w:hanging="4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注：主机泵安装质量抽检数量为单位工程总台数的1/3，单位工程主机泵台数＜3台的抽检1台。</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沟、渠道检测</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断面检测</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6"/>
        <w:gridCol w:w="5436"/>
        <w:gridCol w:w="2718"/>
      </w:tblGrid>
      <w:tr>
        <w:trPr>
          <w:trHeight w:val="4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36"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检测频次</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开挖、疏浚沟渠断面检测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每500米抽检1次</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衬彻渠道断面检测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8" w:type="dxa"/>
            <w:vAlign w:val="top"/>
            <w:textDirection w:val="lrTb"/>
            <w:noWrap w:val="false"/>
          </w:tcPr>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每500米抽检1次</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衬彻渠道强度和厚度检测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每500米抽检1次</w:t>
            </w:r>
            <w:r/>
          </w:p>
        </w:tc>
      </w:tr>
    </w:tbl>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6、水泥路面检测</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3"/>
        <w:gridCol w:w="5425"/>
        <w:gridCol w:w="2712"/>
      </w:tblGrid>
      <w:tr>
        <w:trPr>
          <w:trHeight w:val="3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检测频次</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灰剂量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每500米抽检1次</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压实度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每500米抽检1次</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每500米抽检1次</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劈裂强度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每500米抽检1次</w:t>
            </w:r>
            <w:r/>
          </w:p>
        </w:tc>
      </w:tr>
    </w:tbl>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采用固定总价报价，各供应商应充分考虑项目的规模、性质、服务期间的市场风险和国家政策性调整风险系数以及采购人对服务范围、服务期限、服务质量等的要求，结合自身实力并充分考虑跟踪审计的实际进行自主报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供应商的投标报价为完成本项目全部服务内容的全部费用，主要包括（但不限于）：服务酬金（包含服务人员工资、社会福利费、保险、公司管理费、利润、外勤等特殊津贴费、专业服务人员驻场跟踪服务费、税金等）、可报销费用（指服务人员为执行本项目服务任务而发生的工作费用，包括国际与国内交通费旅行费、食宿费、通讯费、各种资料的编制、打印、复印和传递费、办公设备和用品费、设施费）、验收、售后服务、设备机械投入、利润、税金、管理费、代理费等的各项所需的全部费用和不可预见费（指在酬金和可报销费用之外，在执行本项目服务任务的过程</w:t>
      </w:r>
      <w:r>
        <w:rPr>
          <w:rFonts w:ascii="SimSun" w:hAnsi="SimSun" w:eastAsia="SimSun" w:cs="SimSun"/>
          <w:color w:val="000000"/>
          <w:sz w:val="24"/>
        </w:rPr>
        <w:t xml:space="preserve">中所发生的额外的其它所有费用）。</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3、请各供应商要充分考虑本项目施工期及人员配备等驻场需要进行报价，如评标委员会发现明显低于成本价的，可作无效标处理。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要求报价单的每一页都必须盖投标单位公章。</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按本文件第三章合同条款中的相关条款执行。</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六、应充分响应的技术规范和商务条款</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本文件所提出的技术规范及要求、付款方式、服务内容等重要商务要求，投标人应充分响应，否则评标委员会有权酌情认定为实质性或重大负偏离。</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其它未尽事项按国家、地方有关法律、法规、规章规定办理。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17"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6"/>
        </w:rPr>
        <w:t xml:space="preserve">第五章  评标方法与评标标准</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一、采用综合评分法</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（1）供应商需按照采购文件的要求提供相应的《小微企业声明函》。</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（2）本次采购项目属于</w:t>
      </w:r>
      <w:r>
        <w:rPr>
          <w:rFonts w:ascii="SimSun" w:hAnsi="SimSun" w:eastAsia="SimSun" w:cs="SimSun"/>
          <w:color w:val="000000"/>
          <w:sz w:val="24"/>
          <w:u w:val="single"/>
        </w:rPr>
        <w:t xml:space="preserve">其他未列明行业 </w:t>
      </w:r>
      <w:r>
        <w:rPr>
          <w:rFonts w:ascii="SimSun" w:hAnsi="SimSun" w:eastAsia="SimSun" w:cs="SimSun"/>
          <w:color w:val="000000"/>
          <w:sz w:val="24"/>
        </w:rPr>
        <w:t xml:space="preserve">。</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120" w:right="0" w:firstLine="36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二、投标文件初步评审（资格性审查和符合性审查）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2.1资格性审查</w:t>
      </w:r>
      <w:r>
        <w:rPr>
          <w:rFonts w:ascii="SimSun" w:hAnsi="SimSun" w:eastAsia="SimSun" w:cs="SimSun"/>
          <w:color w:val="000000"/>
          <w:sz w:val="24"/>
        </w:rPr>
        <w:t xml:space="preserve">。依据法律法规和招标文件的规定，采购人或采购代理将对投标文件中的资格证件证明材料的扫描件进行审查，以确定投标人是否具备投标资格。</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资格证件证明审查内容主要包括：</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投标人的营业执照</w:t>
      </w:r>
      <w:r>
        <w:rPr>
          <w:rFonts w:ascii="SimSun" w:hAnsi="SimSun" w:eastAsia="SimSun" w:cs="SimSun"/>
          <w:color w:val="ff0000"/>
          <w:sz w:val="24"/>
        </w:rPr>
        <w:t xml:space="preserve">原件彩色扫描件</w:t>
      </w:r>
      <w:r>
        <w:rPr>
          <w:rFonts w:ascii="SimSun" w:hAnsi="SimSun" w:eastAsia="SimSun" w:cs="SimSun"/>
          <w:color w:val="000000"/>
          <w:sz w:val="24"/>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1.2良好的商业信誉和健全的财务会计制度【提供2023年度的财务报表（财务报表至少应包括资产负债表、利润表）</w:t>
      </w:r>
      <w:r>
        <w:rPr>
          <w:rFonts w:ascii="SimSun" w:hAnsi="SimSun" w:eastAsia="SimSun" w:cs="SimSun"/>
          <w:color w:val="ff0000"/>
          <w:sz w:val="24"/>
        </w:rPr>
        <w:t xml:space="preserve">原件彩色扫描件</w:t>
      </w:r>
      <w:r>
        <w:rPr>
          <w:rFonts w:ascii="SimSun" w:hAnsi="SimSun" w:eastAsia="SimSun" w:cs="SimSun"/>
          <w:color w:val="000000"/>
          <w:sz w:val="24"/>
        </w:rPr>
        <w:t xml:space="preserve">；距投标截止之日止，成立不足一年的供应商，可不提供财务报表。】；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1.4有依法缴纳税收和社会保障资金的良好记录（提供2024年1月1日以来任意一个月的依法缴纳税收和社会保障资金的相关材料的</w:t>
      </w:r>
      <w:r>
        <w:rPr>
          <w:rFonts w:ascii="SimSun" w:hAnsi="SimSun" w:eastAsia="SimSun" w:cs="SimSun"/>
          <w:color w:val="ff0000"/>
          <w:sz w:val="24"/>
        </w:rPr>
        <w:t xml:space="preserve">原件彩色扫描件</w:t>
      </w:r>
      <w:r>
        <w:rPr>
          <w:rFonts w:ascii="SimSun" w:hAnsi="SimSun" w:eastAsia="SimSun" w:cs="SimSun"/>
          <w:color w:val="000000"/>
          <w:sz w:val="24"/>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4.落实政府采购政策需满足的资格要求：本项目专门面向中小企业采购，供应商需提供</w:t>
      </w:r>
      <w:r>
        <w:rPr>
          <w:rFonts w:ascii="Microsoft YaHei" w:hAnsi="Microsoft YaHei" w:eastAsia="Microsoft YaHei" w:cs="Microsoft YaHei"/>
          <w:color w:val="000000"/>
          <w:sz w:val="24"/>
        </w:rPr>
        <w:t xml:space="preserve">《中小企业声明函》</w:t>
      </w:r>
      <w:r>
        <w:rPr>
          <w:rFonts w:ascii="Microsoft YaHei" w:hAnsi="Microsoft YaHei" w:eastAsia="Microsoft YaHei" w:cs="Microsoft YaHei"/>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5.本项目的特定资格要求：</w:t>
      </w:r>
      <w:r/>
    </w:p>
    <w:p>
      <w:pPr>
        <w:ind w:left="0" w:right="0" w:firstLine="44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投标人具有省级以上（含省级）水利行政管理部门核发的水利工程质量检测行业乙级及以上资质证书原件彩色扫描件（专业类别必须包括混凝土工程、岩土工程、金属结构、量测、机械电气5个专业类别）；</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6.其他招标文件要求提供的证书、文件、证明材料原件扫描件。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2.2符合性审查。依据招标文件的规定，从投标文件的有效性、完整性和对招标文件的响应程度进行审查，以确定投标文件是否对采购文件的实质性要求作出响应。</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评委决定投标文件的响应性只根据投标文件本身的内容，而不寻求外部的证据。</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澄清有关问题。对投标文件中含义不明确、同类问题表述不一致或者有明显文字和计算错误的内容，评标委员会可以书面形式（应当由评标委员会专家签字）要求投标人作出必要的澄清、说明或者纠正。投标人的重要澄清、说明或者补正应当采用书面形式，由其授权的代表签字，并不得超出投标文件的范围或者改变投标文件的实质性内容。（</w:t>
      </w:r>
      <w:r>
        <w:rPr>
          <w:rFonts w:ascii="SimSun" w:hAnsi="SimSun" w:eastAsia="SimSun" w:cs="SimSun"/>
          <w:b/>
          <w:color w:val="000000"/>
          <w:sz w:val="24"/>
        </w:rPr>
        <w:t xml:space="preserve">因本项目为不见面开标项目，投标人应该在评标委员会规定的时间内采用电子邮件方式提交评标委员会要求出具的澄清、说明或修正材料，邮件发送邮箱与前面一致</w:t>
      </w:r>
      <w:r>
        <w:rPr>
          <w:rFonts w:ascii="SimSun" w:hAnsi="SimSun" w:eastAsia="SimSun" w:cs="SimSun"/>
          <w:color w:val="000000"/>
          <w:sz w:val="24"/>
        </w:rPr>
        <w:t xml:space="preserve">），不澄清者，以不利于投标人为原则处理。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（1）投标文件中开标一览表（报价表）内容与投标文件中相应内容不一致的，以开标一览表（报价表）为准；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上述规定的顺序修正。评标委员会将按上述修正错误的方法调整投标文件中的投标报价，调整后的价格对投标人具有约束力。如果投标人不接受修正后的价格，则其投标将被拒绝。</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2.5如果投标文件实质上没有响应招标文件的要求，评标委员会将予以拒绝，投标人不得通过修改或撤销不符合要求的偏离或保留而使其投标成为实质性响应的投标。</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评标委员会将允许修正投标文件中不构成重大偏离的、微小的、非正规的、不一致的或不规则的地方，但这些修改不能影响任何投标人相应的名次排列。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三、详细评审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评标委员会仅对通过以上评审、确定为实质性响应招标文件要求的投标文件进行评价和比较。</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实质性要求指投标符合招标文件的所有条款、条件和规定且没有重大偏离或保留。重大偏离或保留系指影响到招标文件规定的范围、质量和性能，或限制了买方的权力，或投标人的义务的规定，而纠正这些偏离将影响到其他提交实质性响应投标的投标人的公平竞争地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本项目采用综合评分法确定中标候选人。评标委员会将按下表评分办法和标准进行评分。各投标人最终得分为：所有评委的平均得分。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420"/>
        <w:gridCol w:w="840"/>
        <w:gridCol w:w="69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满分分值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价格分采用低价优先法计算，满足招标文件要求且投标价格最低的投标报价为评标基准价，其价格分为满分15分。其他投标人的价格分统一按照下列公式计算:投标报价得分=(评标基准价／投标报价)×15, 小数点后保留2位。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项目组配备（20分）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1、拟投入本项目的项目负责人，具有水利工程类中级职称的得3分，具有水利工程类高级及以上技术职称的得5分，最高得5分。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的项目组成员（不含项目负责人）至少包括混凝土类、量测类、岩土工程类、金属结构工程、机械电气类专业，每个专业得2分，本项最高得10分（同一专业不重复累计）。专业按照检测资质证书或职称证书或学历证明上注明专业，三者有一项符合即具备条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3、拟投入的项目组成员（不含项目负责人）中，每有一个中级职称的得1分，高级职称的得2分，本项最高得5分，同一人员职称按最高职称计取得分，不累计得分。</w:t>
            </w:r>
            <w:r/>
          </w:p>
          <w:p>
            <w:pPr>
              <w:ind w:left="0" w:right="0" w:firstLine="210"/>
              <w:jc w:val="both"/>
              <w:spacing w:before="28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注：①投标时需提供上述人员相应的职称证书、资格证书、学历证书原件彩色扫描件（或带二维码的电子证书）；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时提供项目组所有人员2024年1月以来任意一个月由本单位（含分公司）向人力资源与社会保障部门或税务部门交纳的养老保险证明材料。【养老保险缴费证明材料，投标企业也可提供印有社会保险管理中心参保缴费证明电子专用章的社保缴费清单和参保缴费证明查询途径或带有二维码或验证码查询的缴费清单彩色截屏证明。事业单位不需提供，但需提供人社部门出具的该单位及相关人员事业性质证明原件彩色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服务实施方案（45分）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1、检测工作大纲</w:t>
            </w:r>
            <w:r>
              <w:rPr>
                <w:rFonts w:ascii="SimSun" w:hAnsi="SimSun" w:eastAsia="SimSun" w:cs="SimSun"/>
                <w:color w:val="0000ff"/>
                <w:sz w:val="21"/>
              </w:rPr>
              <w:t xml:space="preserve">（7分）</w:t>
            </w:r>
            <w:r>
              <w:rPr>
                <w:rFonts w:ascii="SimSun" w:hAnsi="SimSun" w:eastAsia="SimSun" w:cs="SimSun"/>
                <w:color w:val="000000"/>
                <w:sz w:val="21"/>
              </w:rPr>
              <w:t xml:space="preserve">：检测工作大纲重点突出，项目内容明确具体，针对性强，符合招标文件要求得7分；检测工作大纲重点不突出，项目内容不具体，针对性不强，得4分；检测工作大纲内容一般，项目内容欠缺，针对性差，得2分，未提供本项内容或内容不全的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0"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2、检测频率和数量</w:t>
            </w:r>
            <w:r>
              <w:rPr>
                <w:rFonts w:ascii="SimSun" w:hAnsi="SimSun" w:eastAsia="SimSun" w:cs="SimSun"/>
                <w:color w:val="0000ff"/>
                <w:sz w:val="21"/>
              </w:rPr>
              <w:t xml:space="preserve">（7分）</w:t>
            </w:r>
            <w:r>
              <w:rPr>
                <w:rFonts w:ascii="SimSun" w:hAnsi="SimSun" w:eastAsia="SimSun" w:cs="SimSun"/>
                <w:color w:val="000000"/>
                <w:sz w:val="21"/>
              </w:rPr>
              <w:t xml:space="preserve">：检测频率、数量规范具体，检测方法手段明确清晰的得7分；检测频率、数量规范但具体，检测方法手段较清晰的得4分；检测频率、数量不规范，检测方法手段欠缺的得2分。未提供本项内容或内容不全的本项不得分。</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3、检测进度计划和人员设备</w:t>
            </w:r>
            <w:r>
              <w:rPr>
                <w:rFonts w:ascii="SimSun" w:hAnsi="SimSun" w:eastAsia="SimSun" w:cs="SimSun"/>
                <w:color w:val="0000ff"/>
                <w:sz w:val="21"/>
              </w:rPr>
              <w:t xml:space="preserve">（7分）</w:t>
            </w:r>
            <w:r>
              <w:rPr>
                <w:rFonts w:ascii="SimSun" w:hAnsi="SimSun" w:eastAsia="SimSun" w:cs="SimSun"/>
                <w:color w:val="000000"/>
                <w:sz w:val="21"/>
              </w:rPr>
              <w:t xml:space="preserve">：检测计划安排合理、检测人员及设备的数量配备完整、详细的得7分；检测计划安排较合理、检测人员及设备的数量配备比较完整的得4分；检测计划安排不合理、检测人员及设备的数量不完整的得2分。未提供本项内容或内容不全的本项不得分。</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4、关键节点部位技术方案</w:t>
            </w:r>
            <w:r>
              <w:rPr>
                <w:rFonts w:ascii="SimSun" w:hAnsi="SimSun" w:eastAsia="SimSun" w:cs="SimSun"/>
                <w:color w:val="0000ff"/>
                <w:sz w:val="21"/>
              </w:rPr>
              <w:t xml:space="preserve">（10分）</w:t>
            </w:r>
            <w:r>
              <w:rPr>
                <w:rFonts w:ascii="SimSun" w:hAnsi="SimSun" w:eastAsia="SimSun" w:cs="SimSun"/>
                <w:color w:val="000000"/>
                <w:sz w:val="21"/>
              </w:rPr>
              <w:t xml:space="preserve">：关于渠道混凝土强度、桥梁、低压管道、泵站等主要检测具体技术方案。方法科学合理得10分，较为合理得7分，一般得4分，未提供本项内容或内容不全的本项不得分。</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5、质量和安全</w:t>
            </w:r>
            <w:r>
              <w:rPr>
                <w:rFonts w:ascii="SimSun" w:hAnsi="SimSun" w:eastAsia="SimSun" w:cs="SimSun"/>
                <w:color w:val="0000ff"/>
                <w:sz w:val="21"/>
              </w:rPr>
              <w:t xml:space="preserve">（8分）</w:t>
            </w:r>
            <w:r>
              <w:rPr>
                <w:rFonts w:ascii="SimSun" w:hAnsi="SimSun" w:eastAsia="SimSun" w:cs="SimSun"/>
                <w:color w:val="000000"/>
                <w:sz w:val="21"/>
              </w:rPr>
              <w:t xml:space="preserve">：质量保证措施及安全措施方案科学合理、有明确的合同管理及资料归档制度，可行性强、有针对性，完全满足招标文件要求的得8分；质量保证措施及安全措施方案比较科学、有相应的合同管理及资料归档制度，可行性欠缺、缺乏针对性、不完全符合招标文件要求的得5分；质量保证措施及安全措施方案不完整且可行性欠缺、缺乏针对性、不符合招标文件的得3分，未提供本项内容或内容不全的本项不得分。</w:t>
            </w:r>
            <w:r/>
          </w:p>
        </w:tc>
        <w:tc>
          <w:tcPr>
            <w:vMerge w:val="continue"/>
            <w:textDirection w:val="lrTb"/>
            <w:noWrap w:val="false"/>
          </w:tcPr>
          <w:p>
            <w:r/>
            <w:r/>
          </w:p>
        </w:tc>
      </w:tr>
      <w:tr>
        <w:trPr>
          <w:trHeight w:val="25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6、对本项目的理解和技术建议</w:t>
            </w:r>
            <w:r>
              <w:rPr>
                <w:rFonts w:ascii="SimSun" w:hAnsi="SimSun" w:eastAsia="SimSun" w:cs="SimSun"/>
                <w:color w:val="0000ff"/>
                <w:sz w:val="21"/>
              </w:rPr>
              <w:t xml:space="preserve">（6分）</w:t>
            </w:r>
            <w:r>
              <w:rPr>
                <w:rFonts w:ascii="SimSun" w:hAnsi="SimSun" w:eastAsia="SimSun" w:cs="SimSun"/>
                <w:color w:val="000000"/>
                <w:sz w:val="21"/>
              </w:rPr>
              <w:t xml:space="preserve">：包括对招标项目的理解、对检测工作的实施方案和工作分解、为提高本项目质量和技术水平提出的建议等，方案科学合理完整、可行性强、有针对性、完全满足招标文件要求的得6分，方案完整但科学合理及可行性欠缺、缺乏针对性、不完全符合招标文件要求的得4分，方案不完整且可行性欠缺、缺乏针对性、不符合招标文件的得2分，未提供本项内容或内容不全的本项不得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类似工程业绩（20分）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1、投标人自2021年1月1日以来承接过类似工程质量检测服务业绩的，每提供一个得5分，最高得</w:t>
            </w:r>
            <w:r>
              <w:rPr>
                <w:rFonts w:ascii="SimSun" w:hAnsi="SimSun" w:eastAsia="SimSun" w:cs="SimSun"/>
                <w:color w:val="0000ff"/>
                <w:sz w:val="21"/>
              </w:rPr>
              <w:t xml:space="preserve">10分。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2、项目负责人自2021年1月1日（以合同签订日期为准）以来承接过类似工程质量检测服务业绩的，每提供一个得5分，最高得</w:t>
            </w:r>
            <w:r>
              <w:rPr>
                <w:rFonts w:ascii="SimSun" w:hAnsi="SimSun" w:eastAsia="SimSun" w:cs="SimSun"/>
                <w:color w:val="0000ff"/>
                <w:sz w:val="21"/>
              </w:rPr>
              <w:t xml:space="preserve">10分。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及项目负责人业绩证明材料须提供合同协议书原件彩色扫描件，合同中必须体现甲乙双方单位名称，且能反映业绩指标（如不能反映业绩指标的，需提供对应项目的批复文件或招标人出具的业绩指标证明材料并加盖公章）否则不予认可，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二、上一年度（2023年）的财务状况报表（至少提供资产负债表、利润表、现金流量表，投标人成立不满一年无需提供）</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十五、技术方案、服务承诺、培训承诺等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一、法人或者其他组织的营业执照等证明文件，自然人的身份证明</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二、上一年度（2023年）的财务状况报表（至少包括资产负债表、利润表。投标人成立不满一年不需提供）</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三、具备履行合同所必需的设备和专业技术能力的书面声明</w:t>
      </w:r>
      <w:r/>
    </w:p>
    <w:p>
      <w:pPr>
        <w:ind w:left="0" w:right="0" w:firstLine="49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四、依法缴纳税收和社会保障资金的相关材料</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提供提交2024年9月前一年内至少一个月依法缴纳税收及缴纳社会保障资金的证明材料。投标人依法享受缓缴、免缴税收、社会保障资金的提供证明材料。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五、参加政府采购活动前 3 年内在经营活动中没有重大违法记录的书面声明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8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85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六、特定资格要求的证明文件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七、法人授权书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八、投标函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 </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号招标文件，正式授权下述签字______(姓名)代表我方______________（投标人的名称），全权处理本次项目投标的有关事宜。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九、小微企业声明函（服务）（分包号：**）</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十、残疾人福利性单位声明函（分包号：**）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w:t>
      </w:r>
      <w:r>
        <w:rPr>
          <w:rFonts w:ascii="SimHei" w:hAnsi="SimHei" w:eastAsia="SimHei" w:cs="SimHei"/>
          <w:b/>
          <w:color w:val="000000"/>
          <w:sz w:val="32"/>
        </w:rPr>
        <w:t xml:space="preserve">联合体协议（参考格式）（分包号：**）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十二、投标分项报价表（分包号：**）</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1028"/>
        <w:gridCol w:w="958"/>
        <w:gridCol w:w="714"/>
        <w:gridCol w:w="901"/>
        <w:gridCol w:w="1178"/>
        <w:gridCol w:w="129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十三、技术要求响应及偏离表</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2591"/>
        <w:gridCol w:w="2204"/>
        <w:gridCol w:w="1116"/>
        <w:gridCol w:w="9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十四、商务要求响应及偏离表</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2101"/>
        <w:gridCol w:w="2248"/>
        <w:gridCol w:w="1118"/>
        <w:gridCol w:w="12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十五、开标一览表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单位（人民币：元）</w:t>
      </w:r>
      <w:r/>
    </w:p>
    <w:tbl>
      <w:tblPr>
        <w:tblStyle w:val="6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十六、技术方案、服务承诺、培训承诺等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十七、盐城市政府采购事前信用承诺书</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Courier New">
    <w:panose1 w:val="02070309020205020404"/>
  </w:font>
  <w:font w:name="Verdana">
    <w:panose1 w:val="020B0604030504040204"/>
  </w:font>
  <w:font w:name="仿宋_GB2312">
    <w:panose1 w:val="02010609060101010101"/>
  </w:font>
  <w:font w:name="Calibri">
    <w:panose1 w:val="020F0502020204030204"/>
  </w:font>
  <w:font w:name="仿宋">
    <w:panose1 w:val="02010609060101010101"/>
  </w:font>
  <w:font w:name="Tahoma">
    <w:panose1 w:val="020B0604030504040204"/>
  </w:font>
  <w:font w:name="Arial Unicode MS">
    <w:panose1 w:val="020B0604020202020204"/>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5"/>
    <w:next w:val="6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7"/>
    <w:link w:val="12"/>
    <w:uiPriority w:val="9"/>
    <w:rPr>
      <w:rFonts w:ascii="Arial" w:hAnsi="Arial" w:eastAsia="Arial" w:cs="Arial"/>
      <w:sz w:val="40"/>
      <w:szCs w:val="40"/>
    </w:rPr>
  </w:style>
  <w:style w:type="character" w:styleId="15">
    <w:name w:val="Heading 2 Char"/>
    <w:basedOn w:val="637"/>
    <w:link w:val="636"/>
    <w:uiPriority w:val="9"/>
    <w:rPr>
      <w:rFonts w:ascii="Arial" w:hAnsi="Arial" w:eastAsia="Arial" w:cs="Arial"/>
      <w:sz w:val="34"/>
    </w:rPr>
  </w:style>
  <w:style w:type="paragraph" w:styleId="16">
    <w:name w:val="Heading 3"/>
    <w:basedOn w:val="635"/>
    <w:next w:val="6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7"/>
    <w:link w:val="16"/>
    <w:uiPriority w:val="9"/>
    <w:rPr>
      <w:rFonts w:ascii="Arial" w:hAnsi="Arial" w:eastAsia="Arial" w:cs="Arial"/>
      <w:sz w:val="30"/>
      <w:szCs w:val="30"/>
    </w:rPr>
  </w:style>
  <w:style w:type="paragraph" w:styleId="18">
    <w:name w:val="Heading 4"/>
    <w:basedOn w:val="635"/>
    <w:next w:val="6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7"/>
    <w:link w:val="18"/>
    <w:uiPriority w:val="9"/>
    <w:rPr>
      <w:rFonts w:ascii="Arial" w:hAnsi="Arial" w:eastAsia="Arial" w:cs="Arial"/>
      <w:b/>
      <w:bCs/>
      <w:sz w:val="26"/>
      <w:szCs w:val="26"/>
    </w:rPr>
  </w:style>
  <w:style w:type="paragraph" w:styleId="20">
    <w:name w:val="Heading 5"/>
    <w:basedOn w:val="635"/>
    <w:next w:val="6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5"/>
    <w:next w:val="6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5"/>
    <w:next w:val="6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5"/>
    <w:next w:val="6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5"/>
    <w:next w:val="6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0">
    <w:name w:val="List Paragraph"/>
    <w:basedOn w:val="6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5"/>
    <w:next w:val="635"/>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5"/>
    <w:next w:val="635"/>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5"/>
    <w:next w:val="635"/>
    <w:link w:val="38"/>
    <w:uiPriority w:val="29"/>
    <w:qFormat/>
    <w:pPr>
      <w:ind w:left="720" w:right="720"/>
    </w:pPr>
    <w:rPr>
      <w:i/>
    </w:rPr>
  </w:style>
  <w:style w:type="character" w:styleId="38">
    <w:name w:val="Quote Char"/>
    <w:link w:val="37"/>
    <w:uiPriority w:val="29"/>
    <w:rPr>
      <w:i/>
    </w:rPr>
  </w:style>
  <w:style w:type="paragraph" w:styleId="39">
    <w:name w:val="Intense Quote"/>
    <w:basedOn w:val="635"/>
    <w:next w:val="6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9"/>
    <w:uiPriority w:val="99"/>
  </w:style>
  <w:style w:type="character" w:styleId="44">
    <w:name w:val="Footer Char"/>
    <w:basedOn w:val="637"/>
    <w:link w:val="648"/>
    <w:uiPriority w:val="99"/>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0">
    <w:name w:val="toc 1"/>
    <w:basedOn w:val="635"/>
    <w:next w:val="635"/>
    <w:uiPriority w:val="39"/>
    <w:unhideWhenUsed/>
    <w:pPr>
      <w:ind w:left="0" w:right="0" w:firstLine="0"/>
      <w:spacing w:after="57"/>
    </w:pPr>
  </w:style>
  <w:style w:type="paragraph" w:styleId="181">
    <w:name w:val="toc 2"/>
    <w:basedOn w:val="635"/>
    <w:next w:val="635"/>
    <w:uiPriority w:val="39"/>
    <w:unhideWhenUsed/>
    <w:pPr>
      <w:ind w:left="283"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6">
    <w:name w:val="Heading 2"/>
    <w:basedOn w:val="635"/>
    <w:next w:val="63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Normal Indent"/>
    <w:basedOn w:val="635"/>
    <w:uiPriority w:val="0"/>
    <w:qFormat/>
    <w:pPr>
      <w:ind w:firstLine="200"/>
      <w:spacing w:line="400" w:lineRule="exact"/>
    </w:pPr>
    <w:rPr>
      <w:rFonts w:ascii="宋体"/>
    </w:rPr>
  </w:style>
  <w:style w:type="paragraph" w:styleId="640">
    <w:name w:val="Body Text"/>
    <w:basedOn w:val="635"/>
    <w:next w:val="641"/>
    <w:uiPriority w:val="0"/>
    <w:qFormat/>
    <w:rPr>
      <w:rFonts w:ascii="Tahoma" w:hAnsi="Tahoma"/>
      <w:sz w:val="32"/>
    </w:rPr>
  </w:style>
  <w:style w:type="paragraph" w:styleId="641">
    <w:name w:val="Body Text First Indent"/>
    <w:basedOn w:val="640"/>
    <w:next w:val="642"/>
    <w:uiPriority w:val="0"/>
    <w:unhideWhenUsed/>
    <w:qFormat/>
    <w:pPr>
      <w:ind w:firstLine="420"/>
      <w:spacing w:after="120" w:line="360" w:lineRule="auto"/>
    </w:pPr>
    <w:rPr>
      <w:rFonts w:eastAsia="仿宋"/>
      <w:sz w:val="28"/>
      <w:szCs w:val="20"/>
    </w:rPr>
  </w:style>
  <w:style w:type="paragraph" w:styleId="642">
    <w:name w:val="toc 6"/>
    <w:basedOn w:val="635"/>
    <w:next w:val="635"/>
    <w:uiPriority w:val="39"/>
    <w:unhideWhenUsed/>
    <w:qFormat/>
    <w:pPr>
      <w:ind w:left="2100"/>
    </w:pPr>
    <w:rPr>
      <w:rFonts w:ascii="Calibri" w:hAnsi="Calibri" w:eastAsia="宋体" w:cs="Times New Roman"/>
      <w:szCs w:val="22"/>
    </w:rPr>
  </w:style>
  <w:style w:type="paragraph" w:styleId="643">
    <w:name w:val="Body Text Indent"/>
    <w:basedOn w:val="635"/>
    <w:next w:val="644"/>
    <w:uiPriority w:val="99"/>
    <w:qFormat/>
    <w:pPr>
      <w:ind w:firstLine="560"/>
      <w:spacing w:line="460" w:lineRule="exact"/>
    </w:pPr>
    <w:rPr>
      <w:rFonts w:ascii="仿宋_GB2312" w:hAnsi="Tahoma" w:eastAsia="仿宋_GB2312"/>
      <w:sz w:val="28"/>
    </w:rPr>
  </w:style>
  <w:style w:type="paragraph" w:styleId="644">
    <w:name w:val="envelope return"/>
    <w:basedOn w:val="635"/>
    <w:uiPriority w:val="99"/>
    <w:qFormat/>
    <w:rPr>
      <w:rFonts w:ascii="Arial" w:hAnsi="Arial" w:cs="Arial"/>
    </w:rPr>
  </w:style>
  <w:style w:type="paragraph" w:styleId="645">
    <w:name w:val="index 4"/>
    <w:basedOn w:val="635"/>
    <w:next w:val="635"/>
    <w:uiPriority w:val="99"/>
    <w:unhideWhenUsed/>
    <w:qFormat/>
    <w:pPr>
      <w:ind w:left="600"/>
    </w:pPr>
    <w:rPr>
      <w:rFonts w:ascii="Verdana" w:hAnsi="Verdana"/>
      <w:szCs w:val="20"/>
    </w:rPr>
  </w:style>
  <w:style w:type="paragraph" w:styleId="646">
    <w:name w:val="Plain Text"/>
    <w:basedOn w:val="635"/>
    <w:next w:val="635"/>
    <w:uiPriority w:val="0"/>
    <w:qFormat/>
    <w:rPr>
      <w:rFonts w:ascii="宋体" w:hAnsi="Courier New"/>
      <w:szCs w:val="20"/>
    </w:rPr>
  </w:style>
  <w:style w:type="paragraph" w:styleId="647">
    <w:name w:val="Body Text Indent 2"/>
    <w:basedOn w:val="635"/>
    <w:uiPriority w:val="0"/>
    <w:qFormat/>
    <w:pPr>
      <w:ind w:left="420"/>
      <w:spacing w:after="120" w:line="480" w:lineRule="auto"/>
    </w:pPr>
    <w:rPr>
      <w:rFonts w:eastAsia="仿宋_GB2312"/>
      <w:sz w:val="28"/>
      <w:szCs w:val="20"/>
    </w:rPr>
  </w:style>
  <w:style w:type="paragraph" w:styleId="648">
    <w:name w:val="Footer"/>
    <w:basedOn w:val="635"/>
    <w:link w:val="654"/>
    <w:uiPriority w:val="0"/>
    <w:qFormat/>
    <w:pPr>
      <w:jc w:val="left"/>
      <w:tabs>
        <w:tab w:val="center" w:pos="4153" w:leader="none"/>
        <w:tab w:val="right" w:pos="8306" w:leader="none"/>
      </w:tabs>
    </w:pPr>
    <w:rPr>
      <w:sz w:val="18"/>
      <w:szCs w:val="18"/>
    </w:rPr>
  </w:style>
  <w:style w:type="paragraph" w:styleId="649">
    <w:name w:val="Header"/>
    <w:basedOn w:val="635"/>
    <w:link w:val="653"/>
    <w:uiPriority w:val="0"/>
    <w:qFormat/>
    <w:pPr>
      <w:jc w:val="center"/>
      <w:tabs>
        <w:tab w:val="center" w:pos="4153" w:leader="none"/>
        <w:tab w:val="right" w:pos="8306" w:leader="none"/>
      </w:tabs>
      <w:pBdr>
        <w:bottom w:val="single" w:color="auto" w:sz="6" w:space="1"/>
      </w:pBdr>
    </w:pPr>
    <w:rPr>
      <w:sz w:val="18"/>
      <w:szCs w:val="18"/>
    </w:rPr>
  </w:style>
  <w:style w:type="paragraph" w:styleId="650">
    <w:name w:val="Normal (Web)"/>
    <w:basedOn w:val="635"/>
    <w:uiPriority w:val="0"/>
    <w:qFormat/>
    <w:pPr>
      <w:jc w:val="left"/>
      <w:spacing w:beforeAutospacing="1" w:afterAutospacing="1"/>
    </w:pPr>
    <w:rPr>
      <w:rFonts w:cs="Times New Roman"/>
      <w:sz w:val="24"/>
    </w:rPr>
  </w:style>
  <w:style w:type="paragraph" w:styleId="651">
    <w:name w:val="Body Text First Indent 2"/>
    <w:basedOn w:val="643"/>
    <w:next w:val="635"/>
    <w:uiPriority w:val="0"/>
    <w:unhideWhenUsed/>
    <w:qFormat/>
    <w:pPr>
      <w:ind w:left="420" w:firstLine="420"/>
      <w:spacing w:after="120" w:line="360" w:lineRule="auto"/>
    </w:pPr>
    <w:rPr>
      <w:rFonts w:ascii="Calibri" w:hAnsi="Calibri" w:eastAsia="宋体"/>
      <w:sz w:val="24"/>
      <w:szCs w:val="22"/>
    </w:rPr>
  </w:style>
  <w:style w:type="table" w:styleId="652">
    <w:name w:val="Table Grid"/>
    <w:basedOn w:val="6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3" w:customStyle="1">
    <w:name w:val="页眉 Char"/>
    <w:basedOn w:val="637"/>
    <w:link w:val="649"/>
    <w:uiPriority w:val="0"/>
    <w:qFormat/>
    <w:rPr>
      <w:rFonts w:asciiTheme="minorHAnsi" w:hAnsiTheme="minorHAnsi" w:eastAsiaTheme="minorEastAsia" w:cstheme="minorBidi"/>
      <w:sz w:val="18"/>
      <w:szCs w:val="18"/>
    </w:rPr>
  </w:style>
  <w:style w:type="character" w:styleId="654" w:customStyle="1">
    <w:name w:val="页脚 Char"/>
    <w:basedOn w:val="637"/>
    <w:link w:val="648"/>
    <w:uiPriority w:val="0"/>
    <w:qFormat/>
    <w:rPr>
      <w:rFonts w:asciiTheme="minorHAnsi" w:hAnsiTheme="minorHAnsi" w:eastAsiaTheme="minorEastAsia" w:cstheme="minorBidi"/>
      <w:sz w:val="18"/>
      <w:szCs w:val="18"/>
    </w:rPr>
  </w:style>
  <w:style w:type="character" w:styleId="655" w:customStyle="1">
    <w:name w:val="NormalCharacter"/>
    <w:uiPriority w:val="0"/>
    <w:semiHidden/>
    <w:qFormat/>
    <w:rPr>
      <w:sz w:val="21"/>
      <w:szCs w:val="24"/>
      <w:lang w:val="en-US" w:eastAsia="zh-CN" w:bidi="ar-SA"/>
    </w:rPr>
  </w:style>
  <w:style w:type="paragraph" w:styleId="656" w:customStyle="1">
    <w:name w:val="正文1"/>
    <w:basedOn w:val="635"/>
    <w:uiPriority w:val="0"/>
    <w:qFormat/>
    <w:pPr>
      <w:ind w:firstLine="420"/>
      <w:spacing w:line="400" w:lineRule="exact"/>
    </w:pPr>
    <w:rPr>
      <w:rFonts w:ascii="宋体" w:hAnsi="宋体"/>
      <w:szCs w:val="21"/>
    </w:rPr>
  </w:style>
  <w:style w:type="paragraph" w:styleId="657" w:customStyle="1">
    <w:name w:val="正文 A"/>
    <w:next w:val="658"/>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658" w:customStyle="1">
    <w:name w:val="段"/>
    <w:next w:val="657"/>
    <w:uiPriority w:val="99"/>
    <w:qFormat/>
    <w:pPr>
      <w:ind w:firstLine="200"/>
      <w:jc w:val="both"/>
    </w:pPr>
    <w:rPr>
      <w:rFonts w:ascii="宋体" w:hAnsi="Times New Roman" w:eastAsia="宋体" w:cs="Times New Roman"/>
      <w:sz w:val="22"/>
      <w:lang w:val="en-US" w:eastAsia="zh-CN" w:bidi="ar-SA"/>
    </w:rPr>
  </w:style>
  <w:style w:type="paragraph" w:styleId="659" w:customStyle="1">
    <w:name w:val="首行缩进"/>
    <w:basedOn w:val="635"/>
    <w:uiPriority w:val="0"/>
    <w:qFormat/>
    <w:pPr>
      <w:ind w:firstLine="480"/>
      <w:jc w:val="left"/>
      <w:spacing w:line="360" w:lineRule="auto"/>
    </w:pPr>
    <w:rPr>
      <w:rFonts w:ascii="宋体" w:hAnsi="宋体"/>
      <w:sz w:val="24"/>
    </w:rPr>
  </w:style>
  <w:style w:type="numbering" w:styleId="13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肖轶</cp:lastModifiedBy>
  <cp:revision>292</cp:revision>
  <dcterms:created xsi:type="dcterms:W3CDTF">2014-10-29T12:08:00Z</dcterms:created>
  <dcterms:modified xsi:type="dcterms:W3CDTF">2024-09-13T02:44:14Z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55863175501946D2A4B0B2A39B0F1E0F_13</vt:lpwstr>
  </property>
</Properties>
</file>