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rFonts w:hint="eastAsia" w:eastAsia="宋体"/>
          <w:b/>
          <w:bCs/>
          <w:color w:val="auto"/>
          <w:sz w:val="60"/>
          <w:szCs w:val="60"/>
          <w:highlight w:val="none"/>
          <w:lang w:eastAsia="zh-CN"/>
        </w:rPr>
      </w:pPr>
      <w:r>
        <w:rPr>
          <w:rFonts w:hint="eastAsia"/>
          <w:b/>
          <w:bCs/>
          <w:color w:val="auto"/>
          <w:sz w:val="60"/>
          <w:szCs w:val="60"/>
          <w:highlight w:val="none"/>
          <w:lang w:eastAsia="zh-CN"/>
        </w:rPr>
        <w:t xml:space="preserve">飞龙第二实验小学新建项目安全技术防范、校园广播、校园直录播系统采购及安装项目</w:t>
      </w:r>
      <w:r/>
    </w:p>
    <w:p>
      <w:pPr>
        <w:jc w:val="center"/>
        <w:rPr>
          <w:b/>
          <w:bCs/>
          <w:color w:val="auto"/>
          <w:sz w:val="60"/>
          <w:szCs w:val="60"/>
          <w:highlight w:val="none"/>
        </w:rPr>
      </w:pPr>
      <w:r>
        <w:rPr>
          <w:rFonts w:hint="eastAsia"/>
          <w:b/>
          <w:bCs/>
          <w:color w:val="auto"/>
          <w:sz w:val="60"/>
          <w:szCs w:val="60"/>
          <w:highlight w:val="none"/>
        </w:rPr>
        <w:t xml:space="preserve">公开招标文件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飞龙第二实验小学新建项目安全技术防范、校园广播、校园直录播系统采购及安装项目</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JSZC-320411-XYJS-G2025-0011</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常州市新北区飞龙第二实验小学</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江苏鑫洋建设项目管理有限公司</w:t>
      </w:r>
      <w:r/>
    </w:p>
    <w:p>
      <w:pPr>
        <w:jc w:val="center"/>
        <w:spacing w:line="360" w:lineRule="auto"/>
        <w:rPr>
          <w:b/>
          <w:bCs/>
          <w:color w:val="auto"/>
          <w:sz w:val="44"/>
          <w:highlight w:val="none"/>
        </w:rPr>
      </w:pPr>
      <w:r>
        <w:rPr>
          <w:b/>
          <w:bCs/>
          <w:color w:val="auto"/>
          <w:sz w:val="44"/>
          <w:highlight w:val="none"/>
        </w:rPr>
        <w:br w:type="page" w:clear="all"/>
      </w:r>
      <w:bookmarkStart w:id="0" w:name="_Toc99301418"/>
      <w:r/>
      <w:r/>
    </w:p>
    <w:p>
      <w:pPr>
        <w:jc w:val="center"/>
        <w:spacing w:line="360" w:lineRule="auto"/>
        <w:rPr>
          <w:b/>
          <w:bCs/>
          <w:color w:val="auto"/>
          <w:sz w:val="44"/>
          <w:highlight w:val="none"/>
        </w:rPr>
      </w:pPr>
      <w:r>
        <w:rPr>
          <w:b/>
          <w:bCs/>
          <w:color w:val="auto"/>
          <w:sz w:val="44"/>
          <w:highlight w:val="none"/>
        </w:rPr>
        <w:t xml:space="preserve">目      录</w:t>
      </w:r>
      <w:bookmarkEnd w:id="0"/>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1237"/>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 TOC \o "1-1" \h \z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"_Toc8819" </w:instrText>
      </w:r>
      <w:r>
        <w:rPr>
          <w:color w:val="auto"/>
          <w:highlight w:val="none"/>
        </w:rPr>
        <w:fldChar w:fldCharType="separate"/>
      </w:r>
      <w:r>
        <w:rPr>
          <w:rFonts w:hint="eastAsia" w:cs="宋体"/>
          <w:color w:val="auto"/>
          <w:sz w:val="32"/>
          <w:szCs w:val="32"/>
          <w:highlight w:val="none"/>
        </w:rPr>
        <w:t xml:space="preserve">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_Toc8819 \h </w:instrText>
      </w:r>
      <w:r>
        <w:rPr>
          <w:rFonts w:hint="eastAsia" w:cs="宋体"/>
          <w:color w:val="auto"/>
          <w:sz w:val="32"/>
          <w:szCs w:val="32"/>
          <w:highlight w:val="none"/>
        </w:rPr>
        <w:fldChar w:fldCharType="separate"/>
      </w:r>
      <w:r>
        <w:rPr>
          <w:rFonts w:hint="eastAsia" w:cs="宋体"/>
          <w:color w:val="auto"/>
          <w:sz w:val="32"/>
          <w:szCs w:val="32"/>
          <w:highlight w:val="none"/>
        </w:rPr>
        <w:t xml:space="preserve">1</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"_Toc5570" </w:instrText>
      </w:r>
      <w:r>
        <w:rPr>
          <w:color w:val="auto"/>
          <w:highlight w:val="none"/>
        </w:rPr>
        <w:fldChar w:fldCharType="separate"/>
      </w:r>
      <w:r>
        <w:rPr>
          <w:rFonts w:hint="eastAsia" w:cs="宋体"/>
          <w:color w:val="auto"/>
          <w:sz w:val="32"/>
          <w:szCs w:val="32"/>
          <w:highlight w:val="none"/>
        </w:rPr>
        <w:t xml:space="preserve">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_Toc5570 \h </w:instrText>
      </w:r>
      <w:r>
        <w:rPr>
          <w:rFonts w:hint="eastAsia" w:cs="宋体"/>
          <w:color w:val="auto"/>
          <w:sz w:val="32"/>
          <w:szCs w:val="32"/>
          <w:highlight w:val="none"/>
        </w:rPr>
        <w:fldChar w:fldCharType="separate"/>
      </w:r>
      <w:r>
        <w:rPr>
          <w:rFonts w:hint="eastAsia" w:cs="宋体"/>
          <w:color w:val="auto"/>
          <w:sz w:val="32"/>
          <w:szCs w:val="32"/>
          <w:highlight w:val="none"/>
        </w:rPr>
        <w:t xml:space="preserve">1</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"_Toc21989" </w:instrText>
      </w:r>
      <w:r>
        <w:rPr>
          <w:color w:val="auto"/>
          <w:highlight w:val="none"/>
        </w:rPr>
        <w:fldChar w:fldCharType="separate"/>
      </w:r>
      <w:r>
        <w:rPr>
          <w:rFonts w:hint="eastAsia" w:cs="宋体"/>
          <w:color w:val="auto"/>
          <w:sz w:val="32"/>
          <w:szCs w:val="32"/>
          <w:highlight w:val="none"/>
        </w:rPr>
        <w:t xml:space="preserve">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_Toc21989 \h </w:instrText>
      </w:r>
      <w:r>
        <w:rPr>
          <w:rFonts w:hint="eastAsia" w:cs="宋体"/>
          <w:color w:val="auto"/>
          <w:sz w:val="32"/>
          <w:szCs w:val="32"/>
          <w:highlight w:val="none"/>
        </w:rPr>
        <w:fldChar w:fldCharType="separate"/>
      </w:r>
      <w:r>
        <w:rPr>
          <w:rFonts w:hint="eastAsia" w:cs="宋体"/>
          <w:color w:val="auto"/>
          <w:sz w:val="32"/>
          <w:szCs w:val="32"/>
          <w:highlight w:val="none"/>
        </w:rPr>
        <w:t xml:space="preserve">16</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"_Toc13243" </w:instrText>
      </w:r>
      <w:r>
        <w:rPr>
          <w:color w:val="auto"/>
          <w:highlight w:val="none"/>
        </w:rPr>
        <w:fldChar w:fldCharType="separate"/>
      </w:r>
      <w:r>
        <w:rPr>
          <w:rFonts w:hint="eastAsia" w:cs="宋体"/>
          <w:color w:val="auto"/>
          <w:sz w:val="32"/>
          <w:szCs w:val="32"/>
          <w:highlight w:val="none"/>
        </w:rPr>
        <w:t xml:space="preserve">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_Toc13243 \h </w:instrText>
      </w:r>
      <w:r>
        <w:rPr>
          <w:rFonts w:hint="eastAsia" w:cs="宋体"/>
          <w:color w:val="auto"/>
          <w:sz w:val="32"/>
          <w:szCs w:val="32"/>
          <w:highlight w:val="none"/>
        </w:rPr>
        <w:fldChar w:fldCharType="separate"/>
      </w:r>
      <w:r>
        <w:rPr>
          <w:rFonts w:hint="eastAsia" w:cs="宋体"/>
          <w:color w:val="auto"/>
          <w:sz w:val="32"/>
          <w:szCs w:val="32"/>
          <w:highlight w:val="none"/>
        </w:rPr>
        <w:t xml:space="preserve">17</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"_Toc14891" </w:instrText>
      </w:r>
      <w:r>
        <w:rPr>
          <w:color w:val="auto"/>
          <w:highlight w:val="none"/>
        </w:rPr>
        <w:fldChar w:fldCharType="separate"/>
      </w:r>
      <w:r>
        <w:rPr>
          <w:rFonts w:hint="eastAsia" w:cs="宋体"/>
          <w:color w:val="auto"/>
          <w:sz w:val="32"/>
          <w:szCs w:val="32"/>
          <w:highlight w:val="none"/>
        </w:rPr>
        <w:t xml:space="preserve">第五章   采购需求</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_Toc14891 \h </w:instrText>
      </w:r>
      <w:r>
        <w:rPr>
          <w:rFonts w:hint="eastAsia" w:cs="宋体"/>
          <w:color w:val="auto"/>
          <w:sz w:val="32"/>
          <w:szCs w:val="32"/>
          <w:highlight w:val="none"/>
        </w:rPr>
        <w:fldChar w:fldCharType="separate"/>
      </w:r>
      <w:r>
        <w:rPr>
          <w:rFonts w:hint="eastAsia" w:cs="宋体"/>
          <w:color w:val="auto"/>
          <w:sz w:val="32"/>
          <w:szCs w:val="32"/>
          <w:highlight w:val="none"/>
        </w:rPr>
        <w:t xml:space="preserve">23</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"_Toc5874" </w:instrText>
      </w:r>
      <w:r>
        <w:rPr>
          <w:color w:val="auto"/>
          <w:highlight w:val="none"/>
        </w:rPr>
        <w:fldChar w:fldCharType="separate"/>
      </w:r>
      <w:r>
        <w:rPr>
          <w:rFonts w:hint="eastAsia" w:cs="宋体"/>
          <w:color w:val="auto"/>
          <w:sz w:val="32"/>
          <w:szCs w:val="32"/>
          <w:highlight w:val="none"/>
        </w:rPr>
        <w:t xml:space="preserve">第六章   拟签订的合同文本</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_Toc5874 \h </w:instrText>
      </w:r>
      <w:r>
        <w:rPr>
          <w:rFonts w:hint="eastAsia" w:cs="宋体"/>
          <w:color w:val="auto"/>
          <w:sz w:val="32"/>
          <w:szCs w:val="32"/>
          <w:highlight w:val="none"/>
        </w:rPr>
        <w:fldChar w:fldCharType="separate"/>
      </w:r>
      <w:r>
        <w:rPr>
          <w:rFonts w:hint="eastAsia" w:cs="宋体"/>
          <w:color w:val="auto"/>
          <w:sz w:val="32"/>
          <w:szCs w:val="32"/>
          <w:highlight w:val="none"/>
        </w:rPr>
        <w:t xml:space="preserve">48</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"_Toc137" </w:instrText>
      </w:r>
      <w:r>
        <w:rPr>
          <w:color w:val="auto"/>
          <w:highlight w:val="none"/>
        </w:rPr>
        <w:fldChar w:fldCharType="separate"/>
      </w:r>
      <w:r>
        <w:rPr>
          <w:rFonts w:hint="eastAsia" w:cs="宋体"/>
          <w:color w:val="auto"/>
          <w:sz w:val="32"/>
          <w:szCs w:val="32"/>
          <w:highlight w:val="none"/>
        </w:rPr>
        <w:t xml:space="preserve">第七章   投标文件格式</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_Toc137 \h </w:instrText>
      </w:r>
      <w:r>
        <w:rPr>
          <w:rFonts w:hint="eastAsia" w:cs="宋体"/>
          <w:color w:val="auto"/>
          <w:sz w:val="32"/>
          <w:szCs w:val="32"/>
          <w:highlight w:val="none"/>
        </w:rPr>
        <w:fldChar w:fldCharType="separate"/>
      </w:r>
      <w:r>
        <w:rPr>
          <w:rFonts w:hint="eastAsia" w:cs="宋体"/>
          <w:color w:val="auto"/>
          <w:sz w:val="32"/>
          <w:szCs w:val="32"/>
          <w:highlight w:val="none"/>
        </w:rPr>
        <w:t xml:space="preserve">54</w:t>
      </w:r>
      <w:r>
        <w:rPr>
          <w:rFonts w:hint="eastAsia" w:cs="宋体"/>
          <w:color w:val="auto"/>
          <w:sz w:val="32"/>
          <w:szCs w:val="32"/>
          <w:highlight w:val="none"/>
        </w:rPr>
        <w:fldChar w:fldCharType="end"/>
      </w:r>
      <w:r>
        <w:rPr>
          <w:rFonts w:hint="eastAsia" w:cs="宋体"/>
          <w:color w:val="auto"/>
          <w:sz w:val="32"/>
          <w:szCs w:val="32"/>
          <w:highlight w:val="none"/>
        </w:rPr>
        <w:fldChar w:fldCharType="end"/>
      </w:r>
      <w:r/>
    </w:p>
    <w:p>
      <w:pPr>
        <w:pStyle w:val="1237"/>
        <w:spacing w:line="360" w:lineRule="auto"/>
        <w:rPr>
          <w:rFonts w:cs="宋体"/>
          <w:b w:val="0"/>
          <w:color w:val="auto"/>
          <w:sz w:val="32"/>
          <w:szCs w:val="32"/>
          <w:highlight w:val="none"/>
        </w:rPr>
      </w:pPr>
      <w:r>
        <w:rPr>
          <w:rFonts w:hint="eastAsia" w:cs="宋体"/>
          <w:color w:val="auto"/>
          <w:sz w:val="32"/>
          <w:szCs w:val="32"/>
          <w:highlight w:val="none"/>
        </w:rPr>
        <w:fldChar w:fldCharType="end"/>
      </w:r>
      <w:r/>
    </w:p>
    <w:p>
      <w:pPr>
        <w:jc w:val="center"/>
        <w:spacing w:line="360" w:lineRule="auto"/>
        <w:rPr>
          <w:rFonts w:ascii="宋体" w:hAnsi="宋体" w:cs="宋体"/>
          <w:color w:val="auto"/>
          <w:sz w:val="32"/>
          <w:szCs w:val="32"/>
          <w:highlight w:val="none"/>
        </w:rPr>
        <w:sectPr>
          <w:headerReference w:type="default" r:id="rId9"/>
          <w:footerReference w:type="default"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auto"/>
          <w:sz w:val="32"/>
          <w:szCs w:val="32"/>
          <w:highlight w:val="none"/>
        </w:rPr>
        <w:br w:type="page" w:clear="all"/>
      </w:r>
      <w:r/>
    </w:p>
    <w:p>
      <w:pPr>
        <w:jc w:val="center"/>
        <w:spacing w:line="360" w:lineRule="auto"/>
        <w:rPr>
          <w:b/>
          <w:color w:val="auto"/>
          <w:sz w:val="36"/>
          <w:szCs w:val="36"/>
          <w:highlight w:val="none"/>
        </w:rPr>
        <w:outlineLvl w:val="0"/>
      </w:pPr>
      <w:r/>
      <w:bookmarkStart w:id="1" w:name="_Toc8819"/>
      <w:r>
        <w:rPr>
          <w:b/>
          <w:color w:val="auto"/>
          <w:sz w:val="36"/>
          <w:szCs w:val="36"/>
          <w:highlight w:val="none"/>
        </w:rPr>
        <w:t xml:space="preserve">第一章   投标邀请</w:t>
      </w:r>
      <w:bookmarkEnd w:id="1"/>
      <w:r/>
      <w:r/>
    </w:p>
    <w:p>
      <w:pPr>
        <w:spacing w:line="360" w:lineRule="auto"/>
        <w:rPr>
          <w:rFonts w:ascii="宋体" w:hAnsi="宋体"/>
          <w:b/>
          <w:bCs/>
          <w:color w:val="auto"/>
          <w:sz w:val="24"/>
          <w:highlight w:val="none"/>
        </w:rPr>
      </w:pPr>
      <w:r/>
      <w:bookmarkStart w:id="2" w:name="_Toc35393790"/>
      <w:r/>
      <w:bookmarkStart w:id="3" w:name="_Toc28359079"/>
      <w:r/>
      <w:bookmarkStart w:id="4" w:name="_Toc28359002"/>
      <w:r/>
      <w:bookmarkStart w:id="5" w:name="_Toc35393621"/>
      <w:r/>
      <w:bookmarkStart w:id="6" w:name="_Hlk24379207"/>
      <w:r>
        <w:rPr>
          <w:rFonts w:hint="eastAsia" w:ascii="宋体" w:hAnsi="宋体"/>
          <w:b/>
          <w:bCs/>
          <w:color w:val="auto"/>
          <w:sz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JSZC-320411-XYJS-G2025-0011</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飞龙第二实验小学新建项目安全技术防范、校园广播、校园直录播系统采购及安装项目</w:t>
      </w:r>
      <w:r>
        <w:rPr>
          <w:rFonts w:hint="eastAsia"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3.项目预算金额：</w:t>
      </w:r>
      <w:r>
        <w:rPr>
          <w:rFonts w:hint="eastAsia" w:ascii="宋体" w:hAnsi="宋体" w:cs="宋体"/>
          <w:color w:val="auto"/>
          <w:sz w:val="24"/>
          <w:highlight w:val="none"/>
          <w:u w:val="single"/>
        </w:rPr>
        <w:t xml:space="preserve">411.478767</w:t>
      </w:r>
      <w:r>
        <w:rPr>
          <w:rFonts w:hint="eastAsia" w:ascii="宋体" w:hAnsi="宋体" w:cs="宋体"/>
          <w:color w:val="auto"/>
          <w:sz w:val="24"/>
          <w:highlight w:val="none"/>
        </w:rPr>
        <w:t xml:space="preserve">万元、项目最高限价：</w:t>
      </w:r>
      <w:r>
        <w:rPr>
          <w:rFonts w:hint="eastAsia" w:ascii="宋体" w:hAnsi="宋体" w:cs="宋体"/>
          <w:color w:val="auto"/>
          <w:sz w:val="24"/>
          <w:highlight w:val="none"/>
          <w:u w:val="single"/>
          <w:lang w:val="en-US" w:eastAsia="zh-CN"/>
        </w:rPr>
        <w:t xml:space="preserve">4114787.67</w:t>
      </w:r>
      <w:r>
        <w:rPr>
          <w:rFonts w:hint="eastAsia" w:ascii="宋体" w:hAnsi="宋体" w:cs="宋体"/>
          <w:color w:val="auto"/>
          <w:sz w:val="24"/>
          <w:highlight w:val="none"/>
        </w:rPr>
        <w:t xml:space="preserve">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bookmarkEnd w:id="6"/>
      <w:r/>
      <w:r/>
    </w:p>
    <w:tbl>
      <w:tblPr>
        <w:tblStyle w:val="9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8"/>
        <w:gridCol w:w="1488"/>
        <w:gridCol w:w="831"/>
        <w:gridCol w:w="3912"/>
      </w:tblGrid>
      <w:tr>
        <w:trPr>
          <w:trHeight w:val="454"/>
        </w:trPr>
        <w:tc>
          <w:tcPr>
            <w:tcW w:w="2348"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1488"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预算金额（万元）</w:t>
            </w:r>
            <w:r/>
          </w:p>
        </w:tc>
        <w:tc>
          <w:tcPr>
            <w:tcW w:w="831"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3912"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简要技术需求或服务要求</w:t>
            </w:r>
            <w:r/>
          </w:p>
        </w:tc>
      </w:tr>
      <w:tr>
        <w:trPr>
          <w:trHeight w:val="454"/>
        </w:trPr>
        <w:tc>
          <w:tcPr>
            <w:tcW w:w="2348"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飞龙第二实验小学新建项目安全技术防范、校园广播、校园直录播系统采购及安装项目</w:t>
            </w:r>
            <w:r/>
          </w:p>
        </w:tc>
        <w:tc>
          <w:tcPr>
            <w:tcW w:w="1488"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411.478767</w:t>
            </w:r>
            <w:r/>
          </w:p>
        </w:tc>
        <w:tc>
          <w:tcPr>
            <w:tcW w:w="831"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3912" w:type="dxa"/>
            <w:vAlign w:val="center"/>
            <w:textDirection w:val="lrTb"/>
            <w:noWrap w:val="false"/>
          </w:tcPr>
          <w:p>
            <w:pPr>
              <w:jc w:val="center"/>
              <w:rPr>
                <w:rFonts w:ascii="宋体" w:hAnsi="宋体" w:eastAsia="微软雅黑" w:cs="宋体"/>
                <w:bCs/>
                <w:color w:val="auto"/>
                <w:sz w:val="24"/>
                <w:highlight w:val="none"/>
              </w:rPr>
            </w:pPr>
            <w:r>
              <w:rPr>
                <w:rFonts w:hint="eastAsia" w:ascii="宋体" w:hAnsi="宋体" w:cs="宋体"/>
                <w:color w:val="auto"/>
                <w:sz w:val="24"/>
                <w:szCs w:val="24"/>
                <w:highlight w:val="none"/>
                <w:lang w:eastAsia="zh-CN"/>
              </w:rPr>
              <w:t xml:space="preserve">飞龙第二实验小学新建项目安全技术防范、校园广播、校园直录播系统采购及安装项目，包括设备的制造、运输、装卸、安装、调试、测试、售后服务、技术培训等。</w:t>
            </w:r>
            <w:r/>
          </w:p>
        </w:tc>
      </w:tr>
    </w:tbl>
    <w:p>
      <w:pPr>
        <w:numPr>
          <w:ilvl w:val="0"/>
          <w:numId w:val="9"/>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合同履行期限：</w:t>
      </w:r>
      <w:r>
        <w:rPr>
          <w:rFonts w:hint="eastAsia" w:ascii="宋体" w:hAnsi="宋体" w:cs="宋体"/>
          <w:color w:val="auto"/>
          <w:sz w:val="24"/>
          <w:highlight w:val="none"/>
          <w:u w:val="single"/>
        </w:rPr>
        <w:t xml:space="preserve">施工现场满足施工条件，中标人接到招标人入场通知后90日内完成安装调试工作。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6.本项目是否接受联合体投标：□是  ■否。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7.本项目是否接受进口产品投标：□是  ■否。</w:t>
      </w:r>
      <w:r/>
    </w:p>
    <w:p>
      <w:pPr>
        <w:spacing w:line="360" w:lineRule="auto"/>
        <w:rPr>
          <w:rFonts w:ascii="宋体" w:hAnsi="宋体"/>
          <w:b/>
          <w:bCs/>
          <w:color w:val="auto"/>
          <w:sz w:val="24"/>
          <w:highlight w:val="none"/>
        </w:rPr>
      </w:pPr>
      <w:r/>
      <w:bookmarkStart w:id="7" w:name="_Toc28359080"/>
      <w:r/>
      <w:bookmarkStart w:id="8" w:name="_Toc35393791"/>
      <w:r/>
      <w:bookmarkStart w:id="9" w:name="_Toc35393622"/>
      <w:r/>
      <w:bookmarkStart w:id="10" w:name="_Toc28359003"/>
      <w:r>
        <w:rPr>
          <w:rFonts w:hint="eastAsia" w:ascii="宋体" w:hAnsi="宋体"/>
          <w:b/>
          <w:bCs/>
          <w:color w:val="auto"/>
          <w:sz w:val="24"/>
          <w:highlight w:val="none"/>
        </w:rPr>
        <w:t xml:space="preserve">二、申请人的资格要求（须同时满足）</w:t>
      </w:r>
      <w:bookmarkEnd w:id="7"/>
      <w:r/>
      <w:bookmarkEnd w:id="8"/>
      <w:r/>
      <w:bookmarkEnd w:id="9"/>
      <w:r/>
      <w:bookmarkEnd w:id="1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bookmarkStart w:id="11" w:name="_Toc28359081"/>
      <w:r/>
      <w:bookmarkStart w:id="12" w:name="_Toc28359004"/>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采购。即：提供的货物全部由符合政策要求的中小企业制造、服务全部由符合政策要求的中小企业承接。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u w:val="single"/>
        </w:rPr>
      </w:pPr>
      <w:r>
        <w:rPr>
          <w:rFonts w:hint="eastAsia" w:ascii="宋体" w:hAnsi="宋体" w:cs="宋体"/>
          <w:color w:val="auto"/>
          <w:sz w:val="24"/>
          <w:highlight w:val="none"/>
        </w:rPr>
        <w:t xml:space="preserve">3.3其他特定资格要求：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11"/>
      <w:r/>
      <w:bookmarkEnd w:id="12"/>
      <w:r/>
      <w:r/>
    </w:p>
    <w:p>
      <w:pPr>
        <w:spacing w:line="360" w:lineRule="auto"/>
        <w:rPr>
          <w:rFonts w:ascii="宋体" w:hAnsi="宋体"/>
          <w:b/>
          <w:bCs/>
          <w:color w:val="auto"/>
          <w:sz w:val="24"/>
          <w:highlight w:val="none"/>
        </w:rPr>
      </w:pPr>
      <w:r/>
      <w:bookmarkStart w:id="13" w:name="_Toc35393792"/>
      <w:r/>
      <w:bookmarkStart w:id="14" w:name="_Toc35393623"/>
      <w:r>
        <w:rPr>
          <w:rFonts w:hint="eastAsia" w:ascii="宋体" w:hAnsi="宋体"/>
          <w:b/>
          <w:bCs/>
          <w:color w:val="auto"/>
          <w:sz w:val="24"/>
          <w:highlight w:val="none"/>
        </w:rPr>
        <w:t xml:space="preserve">三、获取招标文件</w:t>
      </w:r>
      <w:bookmarkEnd w:id="13"/>
      <w:r/>
      <w:bookmarkEnd w:id="14"/>
      <w:r/>
      <w:r/>
    </w:p>
    <w:p>
      <w:pPr>
        <w:ind w:firstLine="480"/>
        <w:spacing w:line="360" w:lineRule="auto"/>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本公告发布之日起</w:t>
      </w:r>
      <w:r>
        <w:rPr>
          <w:rFonts w:ascii="宋体" w:hAnsi="宋体" w:cs="宋体"/>
          <w:color w:val="auto"/>
          <w:sz w:val="24"/>
          <w:highlight w:val="none"/>
        </w:rPr>
        <w:t xml:space="preserve">至</w:t>
      </w:r>
      <w:r>
        <w:rPr>
          <w:rFonts w:hint="eastAsia" w:ascii="宋体" w:hAnsi="宋体" w:cs="宋体"/>
          <w:color w:val="auto"/>
          <w:sz w:val="24"/>
          <w:highlight w:val="none"/>
          <w:lang w:val="en-US" w:eastAsia="zh-CN"/>
        </w:rPr>
        <w:t xml:space="preserve">5个工作日。</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rPr>
        <w:t xml:space="preserve">“苏采云”政府采购一体化平台。</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bookmarkStart w:id="15" w:name="_Toc28359005"/>
      <w:r/>
      <w:bookmarkStart w:id="16" w:name="_Toc28359082"/>
      <w:r/>
      <w:bookmarkStart w:id="17" w:name="_Toc35393793"/>
      <w:r/>
      <w:bookmarkStart w:id="18" w:name="_Toc35393624"/>
      <w:r>
        <w:rPr>
          <w:rFonts w:hint="eastAsia" w:ascii="宋体" w:hAnsi="宋体"/>
          <w:b/>
          <w:bCs/>
          <w:color w:val="auto"/>
          <w:sz w:val="24"/>
          <w:highlight w:val="none"/>
        </w:rPr>
        <w:t xml:space="preserve">四、提交投标文件</w:t>
      </w:r>
      <w:bookmarkEnd w:id="15"/>
      <w:r/>
      <w:bookmarkEnd w:id="16"/>
      <w:r>
        <w:rPr>
          <w:rFonts w:hint="eastAsia" w:ascii="宋体" w:hAnsi="宋体"/>
          <w:b/>
          <w:bCs/>
          <w:color w:val="auto"/>
          <w:sz w:val="24"/>
          <w:highlight w:val="none"/>
        </w:rPr>
        <w:t xml:space="preserve">截止时间、开标时间和地点</w:t>
      </w:r>
      <w:bookmarkEnd w:id="17"/>
      <w:r/>
      <w:bookmarkEnd w:id="18"/>
      <w:r/>
      <w:r/>
    </w:p>
    <w:p>
      <w:pPr>
        <w:ind w:firstLine="480"/>
        <w:spacing w:line="360" w:lineRule="auto"/>
        <w:rPr>
          <w:rFonts w:ascii="宋体" w:hAnsi="宋体" w:cs="宋体"/>
          <w:iCs/>
          <w:color w:val="auto"/>
          <w:sz w:val="24"/>
          <w:highlight w:val="none"/>
          <w:lang w:bidi="ar"/>
        </w:rPr>
      </w:pPr>
      <w:r>
        <w:rPr>
          <w:color w:val="auto"/>
          <w:sz w:val="24"/>
          <w:highlight w:val="none"/>
          <w:lang w:bidi="ar"/>
        </w:rPr>
        <w:t xml:space="preserve">投标截止时间、开标时间：</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年 </w:t>
      </w:r>
      <w:r>
        <w:rPr>
          <w:rFonts w:hint="eastAsia" w:ascii="宋体" w:hAnsi="宋体" w:cs="宋体"/>
          <w:color w:val="auto"/>
          <w:sz w:val="24"/>
          <w:highlight w:val="none"/>
          <w:u w:val="single"/>
          <w:lang w:val="en-US" w:eastAsia="zh-CN"/>
        </w:rPr>
        <w:t xml:space="preserve">6 </w:t>
      </w:r>
      <w:r>
        <w:rPr>
          <w:rFonts w:hint="eastAsia" w:ascii="宋体" w:hAnsi="宋体" w:cs="宋体"/>
          <w:color w:val="auto"/>
          <w:sz w:val="24"/>
          <w:highlight w:val="none"/>
          <w:u w:val="single"/>
        </w:rPr>
        <w:t xml:space="preserve">月 </w:t>
      </w:r>
      <w:r>
        <w:rPr>
          <w:rFonts w:hint="eastAsia" w:ascii="宋体" w:hAnsi="宋体" w:cs="宋体"/>
          <w:color w:val="auto"/>
          <w:sz w:val="24"/>
          <w:highlight w:val="none"/>
          <w:u w:val="single"/>
          <w:lang w:val="en-US" w:eastAsia="zh-CN"/>
        </w:rPr>
        <w:t xml:space="preserve">30 </w:t>
      </w:r>
      <w:r>
        <w:rPr>
          <w:rFonts w:hint="eastAsia" w:ascii="宋体" w:hAnsi="宋体" w:cs="宋体"/>
          <w:color w:val="auto"/>
          <w:sz w:val="24"/>
          <w:highlight w:val="none"/>
          <w:u w:val="single"/>
        </w:rPr>
        <w:t xml:space="preserve">日14 点 00 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u w:val="single"/>
          <w:lang w:bidi="ar"/>
        </w:rPr>
      </w:pPr>
      <w:r/>
      <w:bookmarkStart w:id="19" w:name="_Toc28359084"/>
      <w:r/>
      <w:bookmarkStart w:id="20" w:name="_Toc35393625"/>
      <w:r/>
      <w:bookmarkStart w:id="21" w:name="_Toc28359007"/>
      <w:r/>
      <w:bookmarkStart w:id="22" w:name="_Toc35393794"/>
      <w:r>
        <w:rPr>
          <w:rFonts w:hint="eastAsia" w:ascii="宋体" w:hAnsi="宋体" w:cs="宋体"/>
          <w:color w:val="auto"/>
          <w:sz w:val="24"/>
          <w:highlight w:val="none"/>
          <w:lang w:bidi="ar"/>
        </w:rPr>
        <w:t xml:space="preserve">地点：</w:t>
      </w:r>
      <w:r>
        <w:rPr>
          <w:rFonts w:hint="eastAsia" w:ascii="宋体" w:hAnsi="宋体" w:cs="宋体"/>
          <w:color w:val="auto"/>
          <w:sz w:val="24"/>
          <w:highlight w:val="none"/>
          <w:u w:val="single"/>
          <w:lang w:bidi="ar"/>
        </w:rPr>
        <w:t xml:space="preserve">“苏采云”政府采购交易系统网上开标大厅。</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五、公告期限</w:t>
      </w:r>
      <w:bookmarkEnd w:id="19"/>
      <w:r/>
      <w:bookmarkEnd w:id="20"/>
      <w:r/>
      <w:bookmarkEnd w:id="21"/>
      <w:r/>
      <w:bookmarkEnd w:id="22"/>
      <w:r/>
      <w:r/>
    </w:p>
    <w:p>
      <w:pPr>
        <w:ind w:firstLine="480"/>
        <w:spacing w:line="360" w:lineRule="auto"/>
        <w:rPr>
          <w:color w:val="auto"/>
          <w:sz w:val="24"/>
          <w:highlight w:val="none"/>
        </w:rPr>
      </w:pPr>
      <w:r>
        <w:rPr>
          <w:color w:val="auto"/>
          <w:sz w:val="24"/>
          <w:highlight w:val="none"/>
        </w:rPr>
        <w:t xml:space="preserve">自本公告发布之日起5个工作日。</w:t>
      </w:r>
      <w:r/>
    </w:p>
    <w:p>
      <w:pPr>
        <w:spacing w:line="360" w:lineRule="auto"/>
        <w:rPr>
          <w:rFonts w:ascii="宋体" w:hAnsi="宋体"/>
          <w:b/>
          <w:bCs/>
          <w:color w:val="auto"/>
          <w:sz w:val="24"/>
          <w:highlight w:val="none"/>
        </w:rPr>
      </w:pPr>
      <w:r/>
      <w:bookmarkStart w:id="23" w:name="_Toc35393795"/>
      <w:r/>
      <w:bookmarkStart w:id="24" w:name="_Toc35393626"/>
      <w:r>
        <w:rPr>
          <w:rFonts w:hint="eastAsia" w:ascii="宋体" w:hAnsi="宋体"/>
          <w:b/>
          <w:bCs/>
          <w:color w:val="auto"/>
          <w:sz w:val="24"/>
          <w:highlight w:val="none"/>
        </w:rPr>
        <w:t xml:space="preserve">六、其他补充事宜</w:t>
      </w:r>
      <w:bookmarkEnd w:id="23"/>
      <w:r/>
      <w:bookmarkEnd w:id="24"/>
      <w:r/>
      <w:r/>
    </w:p>
    <w:p>
      <w:pPr>
        <w:ind w:firstLine="480"/>
        <w:spacing w:line="360" w:lineRule="auto"/>
        <w:rPr>
          <w:rFonts w:ascii="宋体" w:hAnsi="宋体" w:cs="宋体"/>
          <w:color w:val="auto"/>
          <w:sz w:val="24"/>
          <w:highlight w:val="none"/>
        </w:rPr>
      </w:pPr>
      <w:r/>
      <w:bookmarkStart w:id="25" w:name="_Toc28359085"/>
      <w:r/>
      <w:bookmarkStart w:id="26" w:name="_Toc35393627"/>
      <w:r/>
      <w:bookmarkStart w:id="27" w:name="_Toc28359008"/>
      <w:r/>
      <w:bookmarkStart w:id="28" w:name="_Toc35393796"/>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技术支持服务热线    0519-85588210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CA认证证书办理  联系电话   0519-85588120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2.1办理CA认证证书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供应商登录政府采购一体化平台“苏采云”“新CA办理指南”，按照程序要求办理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2.2注册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供应商登录政府采购一体化平台“苏采云” 下载“ 用户注册”查阅后进行自助注册。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2.3控件、客户端下载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供应商登录政府采购一体化平台“苏采云” 下载“驱动下载”，安装驱动。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 获取电子招标文件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供应商持CA数字认证证书登录苏采云政府采购一体化平台获取电子招标文件。未在规定期限内通过苏采云政府采购一体化平台获取招标文件的投标无效。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2.5编制电子投标文件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2.6提交电子投标文件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供应商应于投标截止时间前在苏采云政府采购一体化平台提交电子投标文件，上传电子投标文件过程中请保持与互联网的连接畅通。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2.7电子开标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供应商使用CA认证证书登录苏采云政府采购一体化平台进行电子化不见面开标。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3.关于常州市中小企业政府采购信用融资：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七、对本次招标提出询问，请按以下方式联系。</w:t>
      </w:r>
      <w:bookmarkEnd w:id="25"/>
      <w:r/>
      <w:bookmarkEnd w:id="26"/>
      <w:r/>
      <w:bookmarkEnd w:id="27"/>
      <w:r/>
      <w:bookmarkEnd w:id="28"/>
      <w:r/>
      <w:r/>
    </w:p>
    <w:p>
      <w:pPr>
        <w:ind w:firstLine="482"/>
        <w:jc w:val="left"/>
        <w:spacing w:line="360" w:lineRule="auto"/>
        <w:widowControl/>
        <w:rPr>
          <w:rFonts w:ascii="宋体" w:hAnsi="宋体" w:cs="宋体"/>
          <w:b/>
          <w:bCs/>
          <w:color w:val="auto"/>
          <w:sz w:val="24"/>
          <w:highlight w:val="none"/>
          <w:lang w:val="zh-TW" w:bidi="ar"/>
        </w:rPr>
      </w:pPr>
      <w:r/>
      <w:bookmarkStart w:id="29" w:name="_Toc353873938"/>
      <w:r/>
      <w:bookmarkStart w:id="30" w:name="_Toc305158854"/>
      <w:r/>
      <w:bookmarkStart w:id="31" w:name="_Toc127161488"/>
      <w:r/>
      <w:bookmarkStart w:id="32" w:name="_Toc150774783"/>
      <w:r/>
      <w:bookmarkStart w:id="33" w:name="_Toc512937850"/>
      <w:r/>
      <w:bookmarkStart w:id="34" w:name="_Toc265228423"/>
      <w:r/>
      <w:bookmarkStart w:id="35" w:name="_Toc226965856"/>
      <w:r/>
      <w:bookmarkStart w:id="36" w:name="_Toc127151777"/>
      <w:r/>
      <w:bookmarkStart w:id="37" w:name="_Toc305158928"/>
      <w:r/>
      <w:bookmarkStart w:id="38" w:name="_Toc353825548"/>
      <w:r/>
      <w:bookmarkStart w:id="39" w:name="_Toc264969275"/>
      <w:r/>
      <w:bookmarkStart w:id="40" w:name="_Toc195842950"/>
      <w:r>
        <w:rPr>
          <w:rFonts w:hint="eastAsia" w:ascii="宋体" w:hAnsi="宋体" w:cs="宋体"/>
          <w:b/>
          <w:bCs/>
          <w:color w:val="auto"/>
          <w:sz w:val="24"/>
          <w:highlight w:val="none"/>
          <w:lang w:val="zh-TW" w:bidi="ar"/>
        </w:rPr>
        <w:t xml:space="preserve">1.</w:t>
      </w:r>
      <w:r>
        <w:rPr>
          <w:rFonts w:hint="eastAsia" w:ascii="宋体" w:hAnsi="宋体" w:cs="宋体"/>
          <w:b/>
          <w:bCs/>
          <w:color w:val="auto"/>
          <w:sz w:val="24"/>
          <w:highlight w:val="none"/>
          <w:lang w:bidi="ar"/>
        </w:rPr>
        <w:t xml:space="preserve">采购人</w:t>
      </w:r>
      <w:r>
        <w:rPr>
          <w:rFonts w:hint="eastAsia" w:ascii="宋体" w:hAnsi="宋体" w:cs="宋体"/>
          <w:b/>
          <w:bCs/>
          <w:color w:val="auto"/>
          <w:sz w:val="24"/>
          <w:highlight w:val="none"/>
          <w:lang w:val="zh-TW" w:bidi="ar"/>
        </w:rPr>
        <w:t xml:space="preserve">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 xml:space="preserve">常州市新北区飞龙第二实验小学</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cs="宋体"/>
          <w:color w:val="auto"/>
          <w:sz w:val="24"/>
          <w:highlight w:val="none"/>
          <w:lang w:bidi="ar"/>
        </w:rPr>
        <w:t xml:space="preserve">地    址： </w:t>
      </w:r>
      <w:r>
        <w:rPr>
          <w:rFonts w:hint="eastAsia" w:ascii="宋体" w:hAnsi="宋体" w:cs="宋体"/>
          <w:color w:val="auto"/>
          <w:sz w:val="24"/>
          <w:highlight w:val="none"/>
          <w:u w:val="single"/>
          <w:lang w:bidi="ar"/>
        </w:rPr>
        <w:t xml:space="preserve">常州市新北区</w:t>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联系方式：</w:t>
      </w:r>
      <w:r>
        <w:rPr>
          <w:rFonts w:hint="eastAsia" w:ascii="宋体" w:hAnsi="宋体" w:cs="宋体"/>
          <w:color w:val="auto"/>
          <w:sz w:val="24"/>
          <w:highlight w:val="none"/>
          <w:u w:val="single"/>
          <w:lang w:val="en-US" w:eastAsia="zh-CN" w:bidi="ar"/>
        </w:rPr>
        <w:t xml:space="preserve">徐</w:t>
      </w:r>
      <w:r>
        <w:rPr>
          <w:rFonts w:hint="eastAsia" w:ascii="宋体" w:hAnsi="宋体" w:cs="宋体"/>
          <w:color w:val="auto"/>
          <w:sz w:val="24"/>
          <w:highlight w:val="none"/>
          <w:u w:val="single"/>
          <w:lang w:bidi="ar"/>
        </w:rPr>
        <w:t xml:space="preserve">先生 0519-8</w:t>
      </w:r>
      <w:r>
        <w:rPr>
          <w:rFonts w:hint="eastAsia" w:ascii="宋体" w:hAnsi="宋体" w:cs="宋体"/>
          <w:color w:val="auto"/>
          <w:sz w:val="24"/>
          <w:highlight w:val="none"/>
          <w:u w:val="single"/>
          <w:lang w:val="en-US" w:eastAsia="zh-CN" w:bidi="ar"/>
        </w:rPr>
        <w:t xml:space="preserve">6683268</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江苏鑫洋建设项目管理有限公司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常州市新北区三井大厦2号门511室</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0519-81081995</w:t>
      </w:r>
      <w:r>
        <w:rPr>
          <w:rFonts w:hint="eastAsia" w:ascii="宋体" w:hAnsi="宋体" w:cs="宋体"/>
          <w:color w:val="auto"/>
          <w:sz w:val="24"/>
          <w:highlight w:val="none"/>
          <w:u w:val="single"/>
          <w:lang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bidi="ar"/>
        </w:rPr>
        <w:t xml:space="preserve">陈文杰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bidi="ar"/>
        </w:rPr>
        <w:t xml:space="preserve"> 0519-81081995</w:t>
      </w:r>
      <w:r>
        <w:rPr>
          <w:rFonts w:hint="eastAsia" w:ascii="宋体" w:hAnsi="宋体" w:cs="宋体"/>
          <w:color w:val="auto"/>
          <w:sz w:val="24"/>
          <w:highlight w:val="none"/>
          <w:u w:val="single"/>
          <w:lang w:bidi="ar"/>
        </w:rPr>
        <w:t xml:space="preserve"> </w:t>
      </w:r>
      <w:r/>
    </w:p>
    <w:p>
      <w:pPr>
        <w:jc w:val="center"/>
        <w:spacing w:line="360" w:lineRule="auto"/>
        <w:rPr>
          <w:rFonts w:ascii="宋体" w:hAnsi="宋体" w:cs="宋体"/>
          <w:color w:val="auto"/>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41" w:name="_Toc5570"/>
      <w:r>
        <w:rPr>
          <w:b/>
          <w:color w:val="auto"/>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spacing w:line="360" w:lineRule="auto"/>
        <w:rPr>
          <w:rFonts w:ascii="宋体" w:hAnsi="宋体"/>
          <w:b/>
          <w:bCs/>
          <w:color w:val="auto"/>
          <w:sz w:val="28"/>
          <w:szCs w:val="28"/>
          <w:highlight w:val="none"/>
        </w:rPr>
      </w:pPr>
      <w:r/>
      <w:bookmarkStart w:id="42" w:name="_Toc226965792"/>
      <w:r/>
      <w:bookmarkStart w:id="43" w:name="_Toc150509270"/>
      <w:r/>
      <w:bookmarkStart w:id="44" w:name="_Toc150480757"/>
      <w:r/>
      <w:bookmarkStart w:id="45" w:name="_Toc151193617"/>
      <w:r/>
      <w:bookmarkStart w:id="46" w:name="_Toc149720812"/>
      <w:r/>
      <w:bookmarkStart w:id="47" w:name="_Toc164608788"/>
      <w:r/>
      <w:bookmarkStart w:id="48" w:name="_Toc127161433"/>
      <w:r/>
      <w:bookmarkStart w:id="49" w:name="_Toc127151519"/>
      <w:r/>
      <w:bookmarkStart w:id="50" w:name="_Toc226309763"/>
      <w:r/>
      <w:bookmarkStart w:id="51" w:name="_Toc195842884"/>
      <w:r/>
      <w:bookmarkStart w:id="52" w:name="_Toc226337215"/>
      <w:r/>
      <w:bookmarkStart w:id="53" w:name="_Toc164608633"/>
      <w:r/>
      <w:bookmarkStart w:id="54" w:name="_Toc142311021"/>
      <w:r/>
      <w:bookmarkStart w:id="55" w:name="_Toc151193907"/>
      <w:r/>
      <w:bookmarkStart w:id="56" w:name="_Toc151193833"/>
      <w:r/>
      <w:bookmarkStart w:id="57" w:name="_Toc226965709"/>
      <w:r/>
      <w:bookmarkStart w:id="58" w:name="_Toc151193761"/>
      <w:r/>
      <w:bookmarkStart w:id="59" w:name="_Toc151193689"/>
      <w:r/>
      <w:bookmarkStart w:id="60" w:name="_Toc520356144"/>
      <w:r/>
      <w:bookmarkStart w:id="61" w:name="_Toc150774724"/>
      <w:r/>
      <w:bookmarkStart w:id="62" w:name="_Toc164229214"/>
      <w:r/>
      <w:bookmarkStart w:id="63" w:name="_Toc151190146"/>
      <w:r/>
      <w:bookmarkStart w:id="64" w:name="_Toc164351613"/>
      <w:r/>
      <w:bookmarkStart w:id="65" w:name="_Toc127151720"/>
      <w:r/>
      <w:bookmarkStart w:id="66" w:name="_Toc164229360"/>
      <w:r/>
      <w:bookmarkStart w:id="67" w:name="_Toc150774619"/>
      <w:r>
        <w:rPr>
          <w:rFonts w:hint="eastAsia" w:ascii="宋体" w:hAnsi="宋体"/>
          <w:b/>
          <w:bCs/>
          <w:color w:val="auto"/>
          <w:sz w:val="28"/>
          <w:szCs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本表是对投标人须知的具体补充和修改，如有矛盾，均以本资料表为准。</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标记“■”的选项意为适用于本项目，标记“□”的选项意为不适用于本项目。</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878"/>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1224"/>
              <w:rPr>
                <w:rFonts w:hint="default" w:hAnsi="宋体" w:cs="宋体"/>
                <w:color w:val="auto"/>
                <w:sz w:val="24"/>
                <w:szCs w:val="24"/>
                <w:highlight w:val="none"/>
              </w:rPr>
            </w:pPr>
            <w:r>
              <w:rPr>
                <w:rFonts w:hAnsi="宋体" w:cs="宋体"/>
                <w:color w:val="auto"/>
                <w:sz w:val="24"/>
                <w:szCs w:val="24"/>
                <w:highlight w:val="none"/>
              </w:rPr>
              <w:t xml:space="preserve">□关于核心产品本项目</w:t>
            </w:r>
            <w:r>
              <w:rPr>
                <w:rFonts w:hAnsi="宋体" w:cs="宋体"/>
                <w:color w:val="auto"/>
                <w:sz w:val="24"/>
                <w:szCs w:val="24"/>
                <w:highlight w:val="none"/>
                <w:u w:val="single"/>
              </w:rPr>
              <w:t xml:space="preserve">  </w:t>
            </w:r>
            <w:r>
              <w:rPr>
                <w:rFonts w:hAnsi="宋体" w:cs="宋体"/>
                <w:color w:val="auto"/>
                <w:sz w:val="24"/>
                <w:szCs w:val="24"/>
                <w:highlight w:val="none"/>
              </w:rPr>
              <w:t xml:space="preserve">包不适用。</w:t>
            </w:r>
            <w:r/>
          </w:p>
          <w:p>
            <w:pPr>
              <w:pStyle w:val="1224"/>
              <w:rPr>
                <w:rFonts w:hint="default" w:hAnsi="宋体" w:cs="宋体"/>
                <w:color w:val="auto"/>
                <w:sz w:val="24"/>
                <w:szCs w:val="24"/>
                <w:highlight w:val="none"/>
              </w:rPr>
            </w:pPr>
            <w:r>
              <w:rPr>
                <w:rFonts w:hAnsi="宋体" w:cs="宋体"/>
                <w:color w:val="auto"/>
                <w:sz w:val="24"/>
                <w:szCs w:val="24"/>
                <w:highlight w:val="none"/>
              </w:rPr>
              <w:t xml:space="preserve">□本项目</w:t>
            </w:r>
            <w:r>
              <w:rPr>
                <w:rFonts w:hAnsi="宋体" w:cs="宋体"/>
                <w:color w:val="auto"/>
                <w:sz w:val="24"/>
                <w:szCs w:val="24"/>
                <w:highlight w:val="none"/>
                <w:u w:val="single"/>
              </w:rPr>
              <w:t xml:space="preserve">  </w:t>
            </w:r>
            <w:r>
              <w:rPr>
                <w:rFonts w:hAnsi="宋体" w:cs="宋体"/>
                <w:color w:val="auto"/>
                <w:sz w:val="24"/>
                <w:szCs w:val="24"/>
                <w:highlight w:val="none"/>
              </w:rPr>
              <w:t xml:space="preserve">包为单一产品采购项目。</w:t>
            </w:r>
            <w:r/>
          </w:p>
          <w:p>
            <w:pPr>
              <w:pStyle w:val="1224"/>
              <w:rPr>
                <w:rFonts w:hint="default" w:hAnsi="宋体" w:cs="宋体"/>
                <w:color w:val="auto"/>
                <w:sz w:val="24"/>
                <w:szCs w:val="24"/>
                <w:highlight w:val="none"/>
              </w:rPr>
            </w:pPr>
            <w:r>
              <w:rPr>
                <w:rFonts w:hAnsi="宋体" w:cs="宋体"/>
                <w:color w:val="auto"/>
                <w:sz w:val="24"/>
                <w:szCs w:val="24"/>
                <w:highlight w:val="none"/>
              </w:rPr>
              <w:t xml:space="preserve">■本项目为非单一产品采购项目，核心产品为：400万像素网络枪型摄像机。</w:t>
            </w:r>
            <w:r/>
          </w:p>
        </w:tc>
      </w:tr>
      <w:tr>
        <w:trPr>
          <w:jc w:val="center"/>
          <w:trHeight w:val="20"/>
        </w:trPr>
        <w:tc>
          <w:tcPr>
            <w:tcW w:w="988" w:type="dxa"/>
            <w:vAlign w:val="center"/>
            <w:vMerge w:val="restart"/>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1224"/>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224"/>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ascii="宋体" w:hAnsi="宋体" w:cs="宋体"/>
                <w:color w:val="auto"/>
                <w:sz w:val="24"/>
                <w:highlight w:val="none"/>
              </w:rPr>
            </w:pPr>
            <w:r>
              <w:rPr>
                <w:rFonts w:hint="eastAsia" w:ascii="宋体" w:hAnsi="宋体" w:cs="宋体"/>
                <w:color w:val="auto"/>
                <w:sz w:val="24"/>
                <w:highlight w:val="none"/>
              </w:rPr>
              <w:t xml:space="preserve">□需要，具体要求如下：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（1）样品制作的标准和要求：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（2）是否需要随样品提交相关检测报告：</w:t>
            </w:r>
            <w:r/>
          </w:p>
          <w:p>
            <w:pPr>
              <w:jc w:val="left"/>
              <w:rPr>
                <w:rFonts w:ascii="宋体" w:hAnsi="宋体" w:cs="宋体"/>
                <w:color w:val="auto"/>
                <w:sz w:val="24"/>
                <w:highlight w:val="none"/>
              </w:rPr>
            </w:pPr>
            <w:r>
              <w:rPr>
                <w:rFonts w:hint="eastAsia" w:ascii="宋体" w:hAnsi="宋体" w:cs="宋体"/>
                <w:color w:val="auto"/>
                <w:sz w:val="24"/>
                <w:highlight w:val="none"/>
              </w:rPr>
              <w:t xml:space="preserve">（3）样品递交要求：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（4）未中标人样品退还：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（5）中标人样品保管、封存及退还：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（6）其他要求（如有）：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r>
        <w:trPr>
          <w:jc w:val="center"/>
          <w:trHeight w:val="267"/>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  工业  </w:t>
            </w:r>
            <w:r/>
          </w:p>
        </w:tc>
      </w:tr>
      <w:tr>
        <w:trPr>
          <w:jc w:val="center"/>
          <w:trHeight w:val="841"/>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 于202</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rPr>
              <w:t xml:space="preserve">日11:00（北京时间）前以书面形式递交至江苏鑫洋建设项目管理有限公司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陈文杰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0519-81081995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常州市新北区三井大厦2号门511室</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224"/>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ascii="宋体" w:hAnsi="宋体" w:cs="宋体"/>
                <w:color w:val="auto"/>
                <w:sz w:val="24"/>
                <w:highlight w:val="none"/>
              </w:rPr>
            </w:pPr>
            <w:r>
              <w:rPr>
                <w:rFonts w:hint="eastAsia" w:ascii="宋体" w:hAnsi="宋体" w:cs="宋体"/>
                <w:color w:val="auto"/>
                <w:sz w:val="24"/>
                <w:highlight w:val="none"/>
              </w:rPr>
              <w:t xml:space="preserve">■中标人</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u w:val="single"/>
              </w:rPr>
              <w:t xml:space="preserve">招标代理服务费按苏招协【2022】002号文收取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 中标人应在领取中标通知书时将中标服务费付至采购代理机构的账户并备注项目编号 </w:t>
            </w:r>
            <w:r>
              <w:rPr>
                <w:rFonts w:hint="eastAsia" w:ascii="宋体" w:hAnsi="宋体" w:cs="宋体"/>
                <w:color w:val="auto"/>
                <w:sz w:val="24"/>
                <w:highlight w:val="none"/>
              </w:rPr>
              <w:t xml:space="preserve">。</w:t>
            </w:r>
            <w:r/>
          </w:p>
        </w:tc>
      </w:tr>
    </w:tbl>
    <w:p>
      <w:pPr>
        <w:spacing w:line="360" w:lineRule="auto"/>
        <w:tabs>
          <w:tab w:val="left" w:pos="5580" w:leader="none"/>
        </w:tabs>
        <w:rPr>
          <w:color w:val="auto"/>
          <w:sz w:val="24"/>
          <w:highlight w:val="none"/>
        </w:rPr>
        <w:sectPr>
          <w:headerReference w:type="default" r:id="rId10"/>
          <w:headerReference w:type="first" r:id="rId11"/>
          <w:footerReference w:type="default" r:id="rId18"/>
          <w:footerReference w:type="first" r:id="rId19"/>
          <w:footnotePr/>
          <w:endnotePr/>
          <w:type w:val="nextColumn"/>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br w:type="page" w:clear="all"/>
      </w:r>
      <w:r/>
    </w:p>
    <w:p>
      <w:pPr>
        <w:jc w:val="center"/>
        <w:spacing w:before="240" w:after="240"/>
        <w:rPr>
          <w:b/>
          <w:color w:val="auto"/>
          <w:sz w:val="28"/>
          <w:szCs w:val="28"/>
          <w:highlight w:val="none"/>
        </w:rPr>
      </w:pPr>
      <w:r/>
      <w:bookmarkStart w:id="68" w:name="_Toc305158859"/>
      <w:r/>
      <w:bookmarkStart w:id="69" w:name="_Toc353873932"/>
      <w:r/>
      <w:bookmarkStart w:id="70" w:name="_Toc142311019"/>
      <w:r/>
      <w:bookmarkStart w:id="71" w:name="_Toc150480755"/>
      <w:r/>
      <w:bookmarkStart w:id="72" w:name="_Toc265228355"/>
      <w:r/>
      <w:bookmarkStart w:id="73" w:name="_Toc305158785"/>
      <w:r/>
      <w:bookmarkStart w:id="74" w:name="_Toc353873662"/>
      <w:r/>
      <w:bookmarkStart w:id="75" w:name="_Toc353825542"/>
      <w:r/>
      <w:bookmarkStart w:id="76" w:name="_Toc150774722"/>
      <w:r/>
      <w:bookmarkStart w:id="77" w:name="_Toc226337213"/>
      <w:r/>
      <w:bookmarkStart w:id="78" w:name="_Toc264969207"/>
      <w:r/>
      <w:bookmarkStart w:id="79" w:name="_Toc195842882"/>
      <w:r/>
      <w:bookmarkStart w:id="80" w:name="_Toc127151517"/>
      <w:r/>
      <w:bookmarkStart w:id="81" w:name="_Toc226965790"/>
      <w:r>
        <w:rPr>
          <w:b/>
          <w:color w:val="auto"/>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jc w:val="center"/>
        <w:spacing w:line="360" w:lineRule="auto"/>
        <w:rPr>
          <w:rFonts w:ascii="宋体" w:hAnsi="宋体"/>
          <w:b/>
          <w:bCs/>
          <w:color w:val="auto"/>
          <w:sz w:val="28"/>
          <w:szCs w:val="28"/>
          <w:highlight w:val="none"/>
        </w:rPr>
      </w:pPr>
      <w:r/>
      <w:bookmarkStart w:id="82" w:name="_Toc305158786"/>
      <w:r/>
      <w:bookmarkStart w:id="83" w:name="_Toc150480756"/>
      <w:r/>
      <w:bookmarkStart w:id="84" w:name="_Toc150509269"/>
      <w:r/>
      <w:bookmarkStart w:id="85" w:name="_Toc150774723"/>
      <w:r/>
      <w:bookmarkStart w:id="86" w:name="_Toc151193832"/>
      <w:r/>
      <w:bookmarkStart w:id="87" w:name="_Toc226309762"/>
      <w:r/>
      <w:bookmarkStart w:id="88" w:name="_Toc150774618"/>
      <w:r/>
      <w:bookmarkStart w:id="89" w:name="_Toc265228356"/>
      <w:r/>
      <w:bookmarkStart w:id="90" w:name="_Toc127151518"/>
      <w:r/>
      <w:bookmarkStart w:id="91" w:name="_Toc226965791"/>
      <w:r/>
      <w:bookmarkStart w:id="92" w:name="_Toc151190145"/>
      <w:r/>
      <w:bookmarkStart w:id="93" w:name="_Toc151193906"/>
      <w:r/>
      <w:bookmarkStart w:id="94" w:name="_Toc151193616"/>
      <w:r/>
      <w:bookmarkStart w:id="95" w:name="_Toc226337214"/>
      <w:r/>
      <w:bookmarkStart w:id="96" w:name="_Toc195842883"/>
      <w:r/>
      <w:bookmarkStart w:id="97" w:name="_Toc151193760"/>
      <w:r/>
      <w:bookmarkStart w:id="98" w:name="_Toc226965708"/>
      <w:r/>
      <w:bookmarkStart w:id="99" w:name="_Toc151193688"/>
      <w:r/>
      <w:bookmarkStart w:id="100" w:name="_Toc264969208"/>
      <w:r/>
      <w:bookmarkStart w:id="101" w:name="_Toc305158860"/>
      <w:r/>
      <w:bookmarkStart w:id="102" w:name="_Toc142311020"/>
      <w:r/>
      <w:bookmarkStart w:id="103" w:name="_Toc520356143"/>
      <w:r>
        <w:rPr>
          <w:rFonts w:hint="eastAsia" w:ascii="宋体" w:hAnsi="宋体"/>
          <w:b/>
          <w:bCs/>
          <w:color w:val="auto"/>
          <w:sz w:val="28"/>
          <w:szCs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104" w:name="_Toc265228357"/>
      <w:r/>
      <w:bookmarkStart w:id="105" w:name="_Toc305158787"/>
      <w:r/>
      <w:bookmarkStart w:id="106" w:name="_Toc264969209"/>
      <w:r/>
      <w:bookmarkStart w:id="107" w:name="_Toc305158861"/>
      <w:r>
        <w:rPr>
          <w:rFonts w:hint="eastAsia" w:ascii="宋体" w:hAnsi="宋体" w:cs="宋体"/>
          <w:color w:val="auto"/>
          <w:sz w:val="24"/>
          <w:highlight w:val="none"/>
        </w:rPr>
        <w:t xml:space="preserve">采购人、采购代理机构、投标人</w:t>
      </w:r>
      <w:bookmarkEnd w:id="104"/>
      <w:r/>
      <w:bookmarkEnd w:id="105"/>
      <w:r/>
      <w:bookmarkEnd w:id="106"/>
      <w:r/>
      <w:bookmarkEnd w:id="107"/>
      <w:r>
        <w:rPr>
          <w:rFonts w:hint="eastAsia" w:ascii="宋体" w:hAnsi="宋体" w:cs="宋体"/>
          <w:color w:val="auto"/>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108" w:name="_Toc305158862"/>
      <w:r/>
      <w:bookmarkStart w:id="109" w:name="_Toc164608789"/>
      <w:r/>
      <w:bookmarkStart w:id="110" w:name="_Toc150774620"/>
      <w:r/>
      <w:bookmarkStart w:id="111" w:name="_Toc127151520"/>
      <w:r/>
      <w:bookmarkStart w:id="112" w:name="_Toc195842885"/>
      <w:r/>
      <w:bookmarkStart w:id="113" w:name="_Toc164229215"/>
      <w:r/>
      <w:bookmarkStart w:id="114" w:name="_Toc151193908"/>
      <w:r/>
      <w:bookmarkStart w:id="115" w:name="_Toc150480758"/>
      <w:r/>
      <w:bookmarkStart w:id="116" w:name="_Toc164351614"/>
      <w:r/>
      <w:bookmarkStart w:id="117" w:name="_Toc226965793"/>
      <w:r/>
      <w:bookmarkStart w:id="118" w:name="_Toc226965710"/>
      <w:r/>
      <w:bookmarkStart w:id="119" w:name="_Toc226337216"/>
      <w:r/>
      <w:bookmarkStart w:id="120" w:name="_Toc151190147"/>
      <w:r/>
      <w:bookmarkStart w:id="121" w:name="_Toc151193834"/>
      <w:r/>
      <w:bookmarkStart w:id="122" w:name="_Toc226309764"/>
      <w:r/>
      <w:bookmarkStart w:id="123" w:name="_Toc150774725"/>
      <w:r/>
      <w:bookmarkStart w:id="124" w:name="_Toc151193618"/>
      <w:r/>
      <w:bookmarkStart w:id="125" w:name="_Toc151193690"/>
      <w:r/>
      <w:bookmarkStart w:id="126" w:name="_Toc305158788"/>
      <w:r/>
      <w:bookmarkStart w:id="127" w:name="_Toc164229361"/>
      <w:r/>
      <w:bookmarkStart w:id="128" w:name="_Toc164608634"/>
      <w:r/>
      <w:bookmarkStart w:id="129" w:name="_Toc264969210"/>
      <w:r/>
      <w:bookmarkStart w:id="130" w:name="_Toc127161434"/>
      <w:r/>
      <w:bookmarkStart w:id="131" w:name="_Toc149720813"/>
      <w:r/>
      <w:bookmarkStart w:id="132" w:name="_Toc142311022"/>
      <w:r/>
      <w:bookmarkStart w:id="133" w:name="_Toc150509271"/>
      <w:r/>
      <w:bookmarkStart w:id="134" w:name="_Toc265228358"/>
      <w:r/>
      <w:bookmarkStart w:id="135" w:name="_Toc127151721"/>
      <w:r/>
      <w:bookmarkStart w:id="136" w:name="_Toc151193762"/>
      <w:r>
        <w:rPr>
          <w:rFonts w:hint="eastAsia" w:ascii="宋体" w:hAnsi="宋体" w:cs="宋体"/>
          <w:color w:val="auto"/>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auto"/>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37" w:name="_Toc150774727"/>
      <w:r/>
      <w:bookmarkStart w:id="138" w:name="_Toc305158864"/>
      <w:r/>
      <w:bookmarkStart w:id="139" w:name="_Toc264969212"/>
      <w:r/>
      <w:bookmarkStart w:id="140" w:name="_Toc305158790"/>
      <w:r/>
      <w:bookmarkStart w:id="141" w:name="_Toc195842887"/>
      <w:r/>
      <w:bookmarkStart w:id="142" w:name="_Toc151193692"/>
      <w:r/>
      <w:bookmarkStart w:id="143" w:name="_Toc226309766"/>
      <w:r/>
      <w:bookmarkStart w:id="144" w:name="_Toc151193910"/>
      <w:r/>
      <w:bookmarkStart w:id="145" w:name="_Toc265228360"/>
      <w:r/>
      <w:bookmarkStart w:id="146" w:name="_Toc151190149"/>
      <w:r/>
      <w:bookmarkStart w:id="147" w:name="_Toc127151522"/>
      <w:r/>
      <w:bookmarkStart w:id="148" w:name="_Toc226965712"/>
      <w:r/>
      <w:bookmarkStart w:id="149" w:name="_Toc150480760"/>
      <w:r/>
      <w:bookmarkStart w:id="150" w:name="_Toc151193836"/>
      <w:r/>
      <w:bookmarkStart w:id="151" w:name="_Toc226337218"/>
      <w:r/>
      <w:bookmarkStart w:id="152" w:name="_Toc142311024"/>
      <w:r/>
      <w:bookmarkStart w:id="153" w:name="_Toc151193620"/>
      <w:r/>
      <w:bookmarkStart w:id="154" w:name="_Toc226965795"/>
      <w:r/>
      <w:bookmarkStart w:id="155" w:name="_Toc150774622"/>
      <w:r/>
      <w:bookmarkStart w:id="156" w:name="_Toc151193764"/>
      <w:r/>
      <w:bookmarkStart w:id="157" w:name="_Toc520356146"/>
      <w:r/>
      <w:bookmarkStart w:id="158" w:name="_Toc150509273"/>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样品（本项目不涉及）</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进口产品（本项目不涉及）</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288"/>
        <w:numPr>
          <w:ilvl w:val="0"/>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0"/>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0"/>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0"/>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0"/>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1"/>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1"/>
          <w:numId w:val="11"/>
        </w:numPr>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2"/>
          <w:numId w:val="11"/>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投标人提供的货物、工程或者服务符合下列情形的，享受中小企业扶持政策：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288"/>
        <w:numPr>
          <w:ilvl w:val="2"/>
          <w:numId w:val="11"/>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pStyle w:val="1288"/>
        <w:numPr>
          <w:ilvl w:val="2"/>
          <w:numId w:val="11"/>
        </w:numPr>
        <w:spacing w:line="360" w:lineRule="auto"/>
        <w:tabs>
          <w:tab w:val="left" w:pos="2035" w:leader="none"/>
          <w:tab w:val="left" w:pos="2977" w:leader="none"/>
        </w:tabs>
        <w:rPr>
          <w:rFonts w:ascii="宋体" w:hAnsi="宋体" w:cs="宋体"/>
          <w:vanish/>
          <w:color w:val="auto"/>
          <w:sz w:val="24"/>
          <w:szCs w:val="24"/>
          <w:highlight w:val="none"/>
        </w:rPr>
      </w:pPr>
      <w:r>
        <w:rPr>
          <w:rFonts w:ascii="宋体" w:hAnsi="宋体" w:cs="宋体"/>
          <w:vanish/>
          <w:color w:val="auto"/>
          <w:sz w:val="24"/>
          <w:szCs w:val="24"/>
          <w:highlight w:val="none"/>
        </w:rPr>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支持乡村产业振兴管理（本项目不涉及）</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正版软件（本项目不涉及）</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政府采购创新产品政策（本项目不涉及）</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0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0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numPr>
          <w:ilvl w:val="2"/>
          <w:numId w:val="10"/>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投标费用</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59" w:name="_1.8_计量单位"/>
      <w:r/>
      <w:bookmarkEnd w:id="159"/>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160" w:name="_Toc151193765"/>
      <w:r/>
      <w:bookmarkStart w:id="161" w:name="_Toc265228361"/>
      <w:r/>
      <w:bookmarkStart w:id="162" w:name="_Toc150774623"/>
      <w:r/>
      <w:bookmarkStart w:id="163" w:name="_Toc151190150"/>
      <w:r/>
      <w:bookmarkStart w:id="164" w:name="_Toc226309767"/>
      <w:r/>
      <w:bookmarkStart w:id="165" w:name="_Toc164229218"/>
      <w:r/>
      <w:bookmarkStart w:id="166" w:name="_Toc142311025"/>
      <w:r/>
      <w:bookmarkStart w:id="167" w:name="_Toc151193621"/>
      <w:r/>
      <w:bookmarkStart w:id="168" w:name="_Toc226965713"/>
      <w:r/>
      <w:bookmarkStart w:id="169" w:name="_Toc149720816"/>
      <w:r/>
      <w:bookmarkStart w:id="170" w:name="_Toc151193693"/>
      <w:r/>
      <w:bookmarkStart w:id="171" w:name="_Toc127151523"/>
      <w:r/>
      <w:bookmarkStart w:id="172" w:name="_Toc305158865"/>
      <w:r/>
      <w:bookmarkStart w:id="173" w:name="_Toc226965796"/>
      <w:r/>
      <w:bookmarkStart w:id="174" w:name="_Toc150509274"/>
      <w:r/>
      <w:bookmarkStart w:id="175" w:name="_Toc127151724"/>
      <w:r/>
      <w:bookmarkStart w:id="176" w:name="_Toc195842888"/>
      <w:r/>
      <w:bookmarkStart w:id="177" w:name="_Toc520356147"/>
      <w:r/>
      <w:bookmarkStart w:id="178" w:name="_Toc151193911"/>
      <w:r/>
      <w:bookmarkStart w:id="179" w:name="_Toc264969213"/>
      <w:r/>
      <w:bookmarkStart w:id="180" w:name="_Toc164229364"/>
      <w:r/>
      <w:bookmarkStart w:id="181" w:name="_Toc226337219"/>
      <w:r/>
      <w:bookmarkStart w:id="182" w:name="_Toc164608637"/>
      <w:r/>
      <w:bookmarkStart w:id="183" w:name="_Toc127161437"/>
      <w:r/>
      <w:bookmarkStart w:id="184" w:name="_Toc150774728"/>
      <w:r/>
      <w:bookmarkStart w:id="185" w:name="_Toc305158791"/>
      <w:r/>
      <w:bookmarkStart w:id="186" w:name="_Toc164608792"/>
      <w:r/>
      <w:bookmarkStart w:id="187" w:name="_Toc151193837"/>
      <w:r/>
      <w:bookmarkStart w:id="188" w:name="_Toc150480761"/>
      <w:r/>
      <w:bookmarkStart w:id="189" w:name="_Toc164351617"/>
      <w:r>
        <w:rPr>
          <w:rFonts w:hint="eastAsia" w:ascii="宋体" w:hAnsi="宋体" w:cs="宋体"/>
          <w:color w:val="auto"/>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auto"/>
          <w:sz w:val="24"/>
          <w:highlight w:val="none"/>
        </w:rPr>
        <w:t xml:space="preserve">成</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0"/>
        </w:numPr>
        <w:ind w:left="357" w:hanging="357"/>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spacing w:line="360" w:lineRule="auto"/>
        <w:rPr>
          <w:rFonts w:ascii="宋体" w:hAnsi="宋体"/>
          <w:b/>
          <w:bCs/>
          <w:color w:val="auto"/>
          <w:sz w:val="28"/>
          <w:szCs w:val="28"/>
          <w:highlight w:val="none"/>
        </w:rPr>
      </w:pPr>
      <w:r/>
      <w:bookmarkStart w:id="190" w:name="_Toc516367020"/>
      <w:r/>
      <w:bookmarkStart w:id="191" w:name="_Toc151193696"/>
      <w:r/>
      <w:bookmarkStart w:id="192" w:name="_Toc151193624"/>
      <w:r/>
      <w:bookmarkStart w:id="193" w:name="_Toc195842891"/>
      <w:r/>
      <w:bookmarkStart w:id="194" w:name="_Toc142311028"/>
      <w:r/>
      <w:bookmarkStart w:id="195" w:name="_Toc226965799"/>
      <w:r/>
      <w:bookmarkStart w:id="196" w:name="_Toc226965716"/>
      <w:r/>
      <w:bookmarkStart w:id="197" w:name="_Toc151193914"/>
      <w:r/>
      <w:bookmarkStart w:id="198" w:name="_Toc150509277"/>
      <w:r/>
      <w:bookmarkStart w:id="199" w:name="_Toc151193768"/>
      <w:r/>
      <w:bookmarkStart w:id="200" w:name="_Toc150774731"/>
      <w:r/>
      <w:bookmarkStart w:id="201" w:name="_Toc265228364"/>
      <w:r/>
      <w:bookmarkStart w:id="202" w:name="_Toc226309770"/>
      <w:r/>
      <w:bookmarkStart w:id="203" w:name="_Toc305158794"/>
      <w:r/>
      <w:bookmarkStart w:id="204" w:name="_Toc150480764"/>
      <w:r/>
      <w:bookmarkStart w:id="205" w:name="_Toc520356150"/>
      <w:r/>
      <w:bookmarkStart w:id="206" w:name="_Toc127151526"/>
      <w:r/>
      <w:bookmarkStart w:id="207" w:name="_Toc151193840"/>
      <w:r/>
      <w:bookmarkStart w:id="208" w:name="_Toc226337222"/>
      <w:r/>
      <w:bookmarkStart w:id="209" w:name="_Toc264969216"/>
      <w:r/>
      <w:bookmarkStart w:id="210" w:name="_Toc151190153"/>
      <w:r/>
      <w:bookmarkStart w:id="211" w:name="_Toc150774626"/>
      <w:r/>
      <w:bookmarkStart w:id="212" w:name="_Toc305158868"/>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投标文件</w:t>
      </w:r>
      <w:bookmarkEnd w:id="190"/>
      <w:r>
        <w:rPr>
          <w:rFonts w:hint="eastAsia" w:ascii="宋体" w:hAnsi="宋体"/>
          <w:b/>
          <w:bCs/>
          <w:color w:val="auto"/>
          <w:sz w:val="28"/>
          <w:szCs w:val="28"/>
          <w:highlight w:val="none"/>
        </w:rPr>
        <w:t xml:space="preserve">的编制</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213" w:name="_Toc305158795"/>
      <w:r/>
      <w:bookmarkStart w:id="214" w:name="_Toc265228365"/>
      <w:r/>
      <w:bookmarkStart w:id="215" w:name="_Toc226337223"/>
      <w:r/>
      <w:bookmarkStart w:id="216" w:name="_Toc150774732"/>
      <w:r/>
      <w:bookmarkStart w:id="217" w:name="_Toc151193625"/>
      <w:r/>
      <w:bookmarkStart w:id="218" w:name="_Toc150509278"/>
      <w:r/>
      <w:bookmarkStart w:id="219" w:name="_Toc127151728"/>
      <w:r/>
      <w:bookmarkStart w:id="220" w:name="_Toc164351621"/>
      <w:r/>
      <w:bookmarkStart w:id="221" w:name="_Toc164608796"/>
      <w:r/>
      <w:bookmarkStart w:id="222" w:name="_Toc164229222"/>
      <w:r/>
      <w:bookmarkStart w:id="223" w:name="_Toc516367021"/>
      <w:r/>
      <w:bookmarkStart w:id="224" w:name="_Toc264969217"/>
      <w:r/>
      <w:bookmarkStart w:id="225" w:name="_Toc226309771"/>
      <w:r/>
      <w:bookmarkStart w:id="226" w:name="_Toc164229368"/>
      <w:r/>
      <w:bookmarkStart w:id="227" w:name="_Toc226965800"/>
      <w:r/>
      <w:bookmarkStart w:id="228" w:name="_Toc151193841"/>
      <w:r/>
      <w:bookmarkStart w:id="229" w:name="_Toc305158869"/>
      <w:r/>
      <w:bookmarkStart w:id="230" w:name="_Toc151193697"/>
      <w:r/>
      <w:bookmarkStart w:id="231" w:name="_Toc150480765"/>
      <w:r/>
      <w:bookmarkStart w:id="232" w:name="_Toc151193915"/>
      <w:r/>
      <w:bookmarkStart w:id="233" w:name="_Toc149720820"/>
      <w:r/>
      <w:bookmarkStart w:id="234" w:name="_Toc520356151"/>
      <w:r/>
      <w:bookmarkStart w:id="235" w:name="_Toc151190154"/>
      <w:r/>
      <w:bookmarkStart w:id="236" w:name="_Toc142311029"/>
      <w:r/>
      <w:bookmarkStart w:id="237" w:name="_Toc150774627"/>
      <w:r/>
      <w:bookmarkStart w:id="238" w:name="_Toc226965717"/>
      <w:r/>
      <w:bookmarkStart w:id="239" w:name="_Toc127161441"/>
      <w:r/>
      <w:bookmarkStart w:id="240" w:name="_Toc195842892"/>
      <w:r/>
      <w:bookmarkStart w:id="241" w:name="_Toc164608641"/>
      <w:r/>
      <w:bookmarkStart w:id="242" w:name="_Toc151193769"/>
      <w:r/>
      <w:bookmarkStart w:id="243" w:name="_Toc127151527"/>
      <w:r>
        <w:rPr>
          <w:rFonts w:hint="eastAsia" w:ascii="宋体" w:hAnsi="宋体" w:cs="宋体"/>
          <w:color w:val="auto"/>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auto"/>
          <w:sz w:val="24"/>
          <w:highlight w:val="none"/>
        </w:rPr>
        <w:t xml:space="preserve">及投标语言</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244" w:name="_Ref467306195"/>
      <w:r/>
      <w:bookmarkStart w:id="245" w:name="_Toc516367022"/>
      <w:r/>
      <w:bookmarkStart w:id="246" w:name="_Ref467306676"/>
      <w:r/>
      <w:bookmarkStart w:id="247" w:name="_Toc150509279"/>
      <w:r/>
      <w:bookmarkStart w:id="248" w:name="_Toc150774628"/>
      <w:r/>
      <w:bookmarkStart w:id="249" w:name="_Toc150774733"/>
      <w:r/>
      <w:bookmarkStart w:id="250" w:name="_Toc164229369"/>
      <w:r/>
      <w:bookmarkStart w:id="251" w:name="_Toc264969218"/>
      <w:r/>
      <w:bookmarkStart w:id="252" w:name="_Toc151193916"/>
      <w:r/>
      <w:bookmarkStart w:id="253" w:name="_Toc149720821"/>
      <w:r/>
      <w:bookmarkStart w:id="254" w:name="_Toc164608797"/>
      <w:r/>
      <w:bookmarkStart w:id="255" w:name="_Toc226337224"/>
      <w:r/>
      <w:bookmarkStart w:id="256" w:name="_Toc142311030"/>
      <w:r/>
      <w:bookmarkStart w:id="257" w:name="_Toc151193626"/>
      <w:r/>
      <w:bookmarkStart w:id="258" w:name="_Toc305158870"/>
      <w:r/>
      <w:bookmarkStart w:id="259" w:name="_Toc265228366"/>
      <w:r/>
      <w:bookmarkStart w:id="260" w:name="_Toc226309772"/>
      <w:r/>
      <w:bookmarkStart w:id="261" w:name="_Toc127161442"/>
      <w:r/>
      <w:bookmarkStart w:id="262" w:name="_Toc520356152"/>
      <w:r/>
      <w:bookmarkStart w:id="263" w:name="_Toc305158796"/>
      <w:r/>
      <w:bookmarkStart w:id="264" w:name="_Toc127151729"/>
      <w:r/>
      <w:bookmarkStart w:id="265" w:name="_Toc127151528"/>
      <w:r/>
      <w:bookmarkStart w:id="266" w:name="_Toc151193698"/>
      <w:r/>
      <w:bookmarkStart w:id="267" w:name="_Toc226965718"/>
      <w:r/>
      <w:bookmarkStart w:id="268" w:name="_Toc151193770"/>
      <w:r/>
      <w:bookmarkStart w:id="269" w:name="_Toc164229223"/>
      <w:r/>
      <w:bookmarkStart w:id="270" w:name="_Toc150480766"/>
      <w:r/>
      <w:bookmarkStart w:id="271" w:name="_Toc226965801"/>
      <w:r/>
      <w:bookmarkStart w:id="272" w:name="_Toc195842893"/>
      <w:r/>
      <w:bookmarkStart w:id="273" w:name="_Toc164351622"/>
      <w:r/>
      <w:bookmarkStart w:id="274" w:name="_Toc151193842"/>
      <w:r/>
      <w:bookmarkStart w:id="275" w:name="_Toc151190155"/>
      <w:r/>
      <w:bookmarkStart w:id="276" w:name="_Toc164608642"/>
      <w:r>
        <w:rPr>
          <w:rFonts w:hint="eastAsia" w:ascii="宋体" w:hAnsi="宋体" w:cs="宋体"/>
          <w:color w:val="auto"/>
          <w:sz w:val="24"/>
          <w:highlight w:val="none"/>
        </w:rPr>
        <w:t xml:space="preserve">投标文件</w:t>
      </w:r>
      <w:bookmarkEnd w:id="244"/>
      <w:r/>
      <w:bookmarkEnd w:id="245"/>
      <w:r/>
      <w:bookmarkEnd w:id="246"/>
      <w:r>
        <w:rPr>
          <w:rFonts w:hint="eastAsia" w:ascii="宋体" w:hAnsi="宋体" w:cs="宋体"/>
          <w:color w:val="auto"/>
          <w:sz w:val="24"/>
          <w:highlight w:val="none"/>
        </w:rPr>
        <w:t xml:space="preserve">构成</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bookmarkStart w:id="277"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77"/>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278" w:name="_Toc150480768"/>
      <w:r/>
      <w:bookmarkStart w:id="279" w:name="_Toc149720823"/>
      <w:r/>
      <w:bookmarkStart w:id="280" w:name="_Toc150774630"/>
      <w:r/>
      <w:bookmarkStart w:id="281" w:name="_Toc151190157"/>
      <w:r/>
      <w:bookmarkStart w:id="282" w:name="_Toc151193700"/>
      <w:r/>
      <w:bookmarkStart w:id="283" w:name="_Toc127151731"/>
      <w:r/>
      <w:bookmarkStart w:id="284" w:name="_Toc127161444"/>
      <w:r/>
      <w:bookmarkStart w:id="285" w:name="_Toc164608644"/>
      <w:r/>
      <w:bookmarkStart w:id="286" w:name="_Toc151193918"/>
      <w:r/>
      <w:bookmarkStart w:id="287" w:name="_Toc195842895"/>
      <w:r/>
      <w:bookmarkStart w:id="288" w:name="_Toc164229225"/>
      <w:r/>
      <w:bookmarkStart w:id="289" w:name="_Toc164351624"/>
      <w:r/>
      <w:bookmarkStart w:id="290" w:name="_Toc142311032"/>
      <w:r/>
      <w:bookmarkStart w:id="291" w:name="_Toc164608799"/>
      <w:r/>
      <w:bookmarkStart w:id="292" w:name="_Toc127151530"/>
      <w:r/>
      <w:bookmarkStart w:id="293" w:name="_Toc520356155"/>
      <w:r/>
      <w:bookmarkStart w:id="294" w:name="_Toc150509281"/>
      <w:r/>
      <w:bookmarkStart w:id="295" w:name="_Toc151193844"/>
      <w:r/>
      <w:bookmarkStart w:id="296" w:name="_Toc164229371"/>
      <w:r/>
      <w:bookmarkStart w:id="297" w:name="_Toc151193772"/>
      <w:r/>
      <w:bookmarkStart w:id="298" w:name="_Toc150774735"/>
      <w:r/>
      <w:bookmarkStart w:id="299" w:name="_Toc151193628"/>
      <w:r>
        <w:rPr>
          <w:rFonts w:hint="eastAsia" w:ascii="宋体" w:hAnsi="宋体" w:cs="宋体"/>
          <w:color w:val="auto"/>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和运至最终目的地的运输费和保险费，检验、安装、调试、测试、技术服务、培训、质量保证、售后服务、税费等按照招标文件要求完成本项目的全部相关费用；</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按照招标文件要求完成本项目的全部相关费用。 </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采购人不得向投标人索要或者接受其给予的赠品、回扣或者与采购无关的其他商品、服务。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300" w:name="_Toc142311033"/>
      <w:r/>
      <w:bookmarkStart w:id="301" w:name="_Toc164351625"/>
      <w:r/>
      <w:bookmarkStart w:id="302" w:name="_Toc226965804"/>
      <w:r/>
      <w:bookmarkStart w:id="303" w:name="_Toc164608645"/>
      <w:r/>
      <w:bookmarkStart w:id="304" w:name="_Toc150509282"/>
      <w:r/>
      <w:bookmarkStart w:id="305" w:name="_Toc127161445"/>
      <w:r/>
      <w:bookmarkStart w:id="306" w:name="_Toc149720824"/>
      <w:r/>
      <w:bookmarkStart w:id="307" w:name="_Toc151193701"/>
      <w:r/>
      <w:bookmarkStart w:id="308" w:name="_Ref467306513"/>
      <w:r/>
      <w:bookmarkStart w:id="309" w:name="_Toc226309775"/>
      <w:r/>
      <w:bookmarkStart w:id="310" w:name="_Toc226965721"/>
      <w:r/>
      <w:bookmarkStart w:id="311" w:name="_Toc150774631"/>
      <w:r/>
      <w:bookmarkStart w:id="312" w:name="_Toc520356156"/>
      <w:r/>
      <w:bookmarkStart w:id="313" w:name="_Toc264969221"/>
      <w:r/>
      <w:bookmarkStart w:id="314" w:name="_Toc127151531"/>
      <w:r/>
      <w:bookmarkStart w:id="315" w:name="_Toc164608800"/>
      <w:r/>
      <w:bookmarkStart w:id="316" w:name="_Toc151193773"/>
      <w:r/>
      <w:bookmarkStart w:id="317" w:name="_Toc305158873"/>
      <w:r/>
      <w:bookmarkStart w:id="318" w:name="_Toc150774736"/>
      <w:r/>
      <w:bookmarkStart w:id="319" w:name="_Toc226337227"/>
      <w:r/>
      <w:bookmarkStart w:id="320" w:name="_Toc265228369"/>
      <w:r/>
      <w:bookmarkStart w:id="321" w:name="_Toc195842896"/>
      <w:r/>
      <w:bookmarkStart w:id="322" w:name="_Toc305158799"/>
      <w:r/>
      <w:bookmarkStart w:id="323" w:name="_Toc164229226"/>
      <w:r/>
      <w:bookmarkStart w:id="324" w:name="_Toc150480769"/>
      <w:r/>
      <w:bookmarkStart w:id="325" w:name="_Toc127151732"/>
      <w:r/>
      <w:bookmarkStart w:id="326" w:name="_Toc151193845"/>
      <w:r/>
      <w:bookmarkStart w:id="327" w:name="_Toc151193919"/>
      <w:r/>
      <w:bookmarkStart w:id="328" w:name="_Toc164229372"/>
      <w:r/>
      <w:bookmarkStart w:id="329" w:name="_Toc151190158"/>
      <w:r/>
      <w:bookmarkStart w:id="330" w:name="_Toc151193629"/>
      <w:r>
        <w:rPr>
          <w:rFonts w:hint="eastAsia" w:ascii="宋体" w:hAnsi="宋体" w:cs="宋体"/>
          <w:color w:val="auto"/>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left="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331" w:name="_Toc151193702"/>
      <w:r/>
      <w:bookmarkStart w:id="332" w:name="_Toc226965722"/>
      <w:r/>
      <w:bookmarkStart w:id="333" w:name="_Toc150774737"/>
      <w:r/>
      <w:bookmarkStart w:id="334" w:name="_Toc164608801"/>
      <w:r/>
      <w:bookmarkStart w:id="335" w:name="_Toc520356157"/>
      <w:r/>
      <w:bookmarkStart w:id="336" w:name="_Toc226309776"/>
      <w:r/>
      <w:bookmarkStart w:id="337" w:name="_Toc164351626"/>
      <w:r/>
      <w:bookmarkStart w:id="338" w:name="_Toc149720825"/>
      <w:r/>
      <w:bookmarkStart w:id="339" w:name="_Toc151190159"/>
      <w:r/>
      <w:bookmarkStart w:id="340" w:name="_Toc151193774"/>
      <w:r/>
      <w:bookmarkStart w:id="341" w:name="_Toc305158800"/>
      <w:r/>
      <w:bookmarkStart w:id="342" w:name="_Toc305158874"/>
      <w:r/>
      <w:bookmarkStart w:id="343" w:name="_Toc127151733"/>
      <w:r/>
      <w:bookmarkStart w:id="344" w:name="_Toc127161446"/>
      <w:r/>
      <w:bookmarkStart w:id="345" w:name="_Toc151193630"/>
      <w:r/>
      <w:bookmarkStart w:id="346" w:name="_Toc164608646"/>
      <w:r/>
      <w:bookmarkStart w:id="347" w:name="_Toc127151532"/>
      <w:r/>
      <w:bookmarkStart w:id="348" w:name="_Toc151193920"/>
      <w:r/>
      <w:bookmarkStart w:id="349" w:name="_Toc151193846"/>
      <w:r/>
      <w:bookmarkStart w:id="350" w:name="_Toc195842897"/>
      <w:r/>
      <w:bookmarkStart w:id="351" w:name="_Toc150480770"/>
      <w:r/>
      <w:bookmarkStart w:id="352" w:name="_Toc142311034"/>
      <w:r/>
      <w:bookmarkStart w:id="353" w:name="_Toc265228370"/>
      <w:r/>
      <w:bookmarkStart w:id="354" w:name="_Toc226965805"/>
      <w:r/>
      <w:bookmarkStart w:id="355" w:name="_Toc264969222"/>
      <w:r/>
      <w:bookmarkStart w:id="356" w:name="_Toc226337228"/>
      <w:r/>
      <w:bookmarkStart w:id="357" w:name="_Toc150509283"/>
      <w:r/>
      <w:bookmarkStart w:id="358" w:name="_Toc164229373"/>
      <w:r/>
      <w:bookmarkStart w:id="359" w:name="_Toc164229227"/>
      <w:r/>
      <w:bookmarkStart w:id="360" w:name="_Toc150774632"/>
      <w:r>
        <w:rPr>
          <w:rFonts w:hint="eastAsia" w:ascii="宋体" w:hAnsi="宋体" w:cs="宋体"/>
          <w:color w:val="auto"/>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投标文件的签署、加盖公章</w:t>
      </w:r>
      <w:r/>
    </w:p>
    <w:p>
      <w:pPr>
        <w:numPr>
          <w:ilvl w:val="1"/>
          <w:numId w:val="10"/>
        </w:numPr>
        <w:ind w:left="1077" w:hanging="720"/>
        <w:spacing w:line="360" w:lineRule="auto"/>
        <w:tabs>
          <w:tab w:val="left" w:pos="1080" w:leader="none"/>
          <w:tab w:val="left" w:pos="2014" w:leader="none"/>
        </w:tabs>
        <w:rPr>
          <w:color w:val="auto"/>
          <w:sz w:val="24"/>
          <w:highlight w:val="none"/>
        </w:rPr>
      </w:pPr>
      <w:r/>
      <w:bookmarkStart w:id="361" w:name="_Toc226965807"/>
      <w:r/>
      <w:bookmarkStart w:id="362" w:name="_Toc305158876"/>
      <w:r/>
      <w:bookmarkStart w:id="363" w:name="_Toc226337230"/>
      <w:r/>
      <w:bookmarkStart w:id="364" w:name="_Toc520356159"/>
      <w:r/>
      <w:bookmarkStart w:id="365" w:name="_Toc151193776"/>
      <w:r/>
      <w:bookmarkStart w:id="366" w:name="_Toc305158802"/>
      <w:r/>
      <w:bookmarkStart w:id="367" w:name="_Toc127151534"/>
      <w:r/>
      <w:bookmarkStart w:id="368" w:name="_Toc264969224"/>
      <w:r/>
      <w:bookmarkStart w:id="369" w:name="_Toc142311036"/>
      <w:r/>
      <w:bookmarkStart w:id="370" w:name="_Toc151193848"/>
      <w:r/>
      <w:bookmarkStart w:id="371" w:name="_Toc151193922"/>
      <w:r/>
      <w:bookmarkStart w:id="372" w:name="_Toc226309778"/>
      <w:r/>
      <w:bookmarkStart w:id="373" w:name="_Toc150774739"/>
      <w:r/>
      <w:bookmarkStart w:id="374" w:name="_Toc195842899"/>
      <w:r/>
      <w:bookmarkStart w:id="375" w:name="_Toc150774634"/>
      <w:r/>
      <w:bookmarkStart w:id="376" w:name="_Toc151193632"/>
      <w:r/>
      <w:bookmarkStart w:id="377" w:name="_Toc265228372"/>
      <w:r/>
      <w:bookmarkStart w:id="378" w:name="_Toc151193704"/>
      <w:r/>
      <w:bookmarkStart w:id="379" w:name="_Toc151190161"/>
      <w:r/>
      <w:bookmarkStart w:id="380" w:name="_Toc226965724"/>
      <w:r/>
      <w:bookmarkStart w:id="381" w:name="_Toc150509285"/>
      <w:r/>
      <w:bookmarkStart w:id="382" w:name="_Toc150480772"/>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383" w:name="_Toc151193633"/>
      <w:r/>
      <w:bookmarkStart w:id="384" w:name="_Toc226965725"/>
      <w:r/>
      <w:bookmarkStart w:id="385" w:name="_Toc127151736"/>
      <w:r/>
      <w:bookmarkStart w:id="386" w:name="_Toc305158877"/>
      <w:r/>
      <w:bookmarkStart w:id="387" w:name="_Toc150480773"/>
      <w:r/>
      <w:bookmarkStart w:id="388" w:name="_Toc142311037"/>
      <w:r/>
      <w:bookmarkStart w:id="389" w:name="_Toc164351629"/>
      <w:r/>
      <w:bookmarkStart w:id="390" w:name="_Toc150774635"/>
      <w:r/>
      <w:bookmarkStart w:id="391" w:name="_Toc305158803"/>
      <w:r/>
      <w:bookmarkStart w:id="392" w:name="_Toc164229230"/>
      <w:r/>
      <w:bookmarkStart w:id="393" w:name="_Toc226309779"/>
      <w:r/>
      <w:bookmarkStart w:id="394" w:name="_Toc195842900"/>
      <w:r/>
      <w:bookmarkStart w:id="395" w:name="_Toc127151535"/>
      <w:r/>
      <w:bookmarkStart w:id="396" w:name="_Toc264969225"/>
      <w:r/>
      <w:bookmarkStart w:id="397" w:name="_Toc164608804"/>
      <w:r/>
      <w:bookmarkStart w:id="398" w:name="_Toc164608649"/>
      <w:r/>
      <w:bookmarkStart w:id="399" w:name="_Toc149720828"/>
      <w:r/>
      <w:bookmarkStart w:id="400" w:name="_Toc226965808"/>
      <w:r/>
      <w:bookmarkStart w:id="401" w:name="_Toc151193705"/>
      <w:r/>
      <w:bookmarkStart w:id="402" w:name="_Toc164229376"/>
      <w:r/>
      <w:bookmarkStart w:id="403" w:name="_Toc151193777"/>
      <w:r/>
      <w:bookmarkStart w:id="404" w:name="_Toc226337231"/>
      <w:r/>
      <w:bookmarkStart w:id="405" w:name="_Toc127161449"/>
      <w:r/>
      <w:bookmarkStart w:id="406" w:name="_Toc151193923"/>
      <w:r/>
      <w:bookmarkStart w:id="407" w:name="_Toc520356160"/>
      <w:r/>
      <w:bookmarkStart w:id="408" w:name="_Toc265228373"/>
      <w:r/>
      <w:bookmarkStart w:id="409" w:name="_Toc150774740"/>
      <w:r/>
      <w:bookmarkStart w:id="410" w:name="_Toc151190162"/>
      <w:r/>
      <w:bookmarkStart w:id="411" w:name="_Toc150509286"/>
      <w:r/>
      <w:bookmarkStart w:id="412" w:name="_Toc151193849"/>
      <w:r>
        <w:rPr>
          <w:rFonts w:hint="eastAsia" w:ascii="宋体" w:hAnsi="宋体" w:cs="宋体"/>
          <w:color w:val="auto"/>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auto"/>
          <w:sz w:val="24"/>
          <w:highlight w:val="none"/>
        </w:rPr>
        <w:t xml:space="preserve">提交</w:t>
      </w:r>
      <w:r/>
    </w:p>
    <w:p>
      <w:pPr>
        <w:numPr>
          <w:ilvl w:val="1"/>
          <w:numId w:val="10"/>
        </w:numPr>
        <w:ind w:left="1077" w:hanging="720"/>
        <w:spacing w:line="360" w:lineRule="auto"/>
        <w:tabs>
          <w:tab w:val="left" w:pos="1080" w:leader="none"/>
          <w:tab w:val="left" w:pos="2014" w:leader="none"/>
        </w:tabs>
        <w:rPr>
          <w:color w:val="auto"/>
          <w:sz w:val="24"/>
          <w:highlight w:val="none"/>
        </w:rPr>
      </w:pPr>
      <w:r/>
      <w:bookmarkStart w:id="413" w:name="_Toc142311038"/>
      <w:r/>
      <w:bookmarkStart w:id="414" w:name="_Toc164608805"/>
      <w:r/>
      <w:bookmarkStart w:id="415" w:name="_Toc226337232"/>
      <w:r/>
      <w:bookmarkStart w:id="416" w:name="_Toc150509287"/>
      <w:r/>
      <w:bookmarkStart w:id="417" w:name="_Toc164351630"/>
      <w:r/>
      <w:bookmarkStart w:id="418" w:name="_Toc164608650"/>
      <w:r/>
      <w:bookmarkStart w:id="419" w:name="_Toc151193706"/>
      <w:r/>
      <w:bookmarkStart w:id="420" w:name="_Toc150774636"/>
      <w:r/>
      <w:bookmarkStart w:id="421" w:name="_Toc151190163"/>
      <w:r/>
      <w:bookmarkStart w:id="422" w:name="_Toc520356161"/>
      <w:r/>
      <w:bookmarkStart w:id="423" w:name="_Toc127151536"/>
      <w:r/>
      <w:bookmarkStart w:id="424" w:name="_Toc151193778"/>
      <w:r/>
      <w:bookmarkStart w:id="425" w:name="_Toc127161450"/>
      <w:r/>
      <w:bookmarkStart w:id="426" w:name="_Toc226309780"/>
      <w:r/>
      <w:bookmarkStart w:id="427" w:name="_Toc305158878"/>
      <w:r/>
      <w:bookmarkStart w:id="428" w:name="_Toc151193924"/>
      <w:r/>
      <w:bookmarkStart w:id="429" w:name="_Toc164229231"/>
      <w:r/>
      <w:bookmarkStart w:id="430" w:name="_Toc150480774"/>
      <w:r/>
      <w:bookmarkStart w:id="431" w:name="_Toc149720829"/>
      <w:r/>
      <w:bookmarkStart w:id="432" w:name="_Toc264969226"/>
      <w:r/>
      <w:bookmarkStart w:id="433" w:name="_Toc150774741"/>
      <w:r/>
      <w:bookmarkStart w:id="434" w:name="_Toc151193634"/>
      <w:r/>
      <w:bookmarkStart w:id="435" w:name="_Toc265228374"/>
      <w:r/>
      <w:bookmarkStart w:id="436" w:name="_Toc226965809"/>
      <w:r/>
      <w:bookmarkStart w:id="437" w:name="_Toc226965726"/>
      <w:r/>
      <w:bookmarkStart w:id="438" w:name="_Toc127151737"/>
      <w:r/>
      <w:bookmarkStart w:id="439" w:name="_Toc305158804"/>
      <w:r/>
      <w:bookmarkStart w:id="440" w:name="_Toc151193850"/>
      <w:r/>
      <w:bookmarkStart w:id="441" w:name="_Toc164229377"/>
      <w:r/>
      <w:bookmarkStart w:id="442" w:name="_Toc195842901"/>
      <w:r>
        <w:rPr>
          <w:color w:val="auto"/>
          <w:sz w:val="24"/>
          <w:highlight w:val="none"/>
        </w:rPr>
        <w:t xml:space="preserve">本项目使用</w:t>
      </w:r>
      <w:r>
        <w:rPr>
          <w:rFonts w:hint="eastAsia"/>
          <w:color w:val="auto"/>
          <w:sz w:val="24"/>
          <w:highlight w:val="none"/>
          <w:lang w:bidi="ar"/>
        </w:rPr>
        <w:t xml:space="preserve">“苏采云”政府采购一体化平台</w:t>
      </w:r>
      <w:r>
        <w:rPr>
          <w:color w:val="auto"/>
          <w:sz w:val="24"/>
          <w:highlight w:val="none"/>
        </w:rPr>
        <w:t xml:space="preserve">。投标人根据招标文件及</w:t>
      </w:r>
      <w:r>
        <w:rPr>
          <w:rFonts w:hint="eastAsia"/>
          <w:color w:val="auto"/>
          <w:sz w:val="24"/>
          <w:highlight w:val="none"/>
          <w:lang w:bidi="ar"/>
        </w:rPr>
        <w:t xml:space="preserve">“苏采云”政府采购一体化平台</w:t>
      </w:r>
      <w:r>
        <w:rPr>
          <w:rFonts w:hint="eastAsia"/>
          <w:color w:val="auto"/>
          <w:sz w:val="24"/>
          <w:highlight w:val="none"/>
        </w:rPr>
        <w:t xml:space="preserve">供应商</w:t>
      </w:r>
      <w:r>
        <w:rPr>
          <w:color w:val="auto"/>
          <w:sz w:val="24"/>
          <w:highlight w:val="none"/>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rPr>
        <w:t xml:space="preserve">“苏采云”政府采购一体化平台</w:t>
      </w:r>
      <w:r>
        <w:rPr>
          <w:color w:val="auto"/>
          <w:sz w:val="24"/>
          <w:highlight w:val="none"/>
        </w:rPr>
        <w:t xml:space="preserve">以外任何形式提交的投标文件。</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auto"/>
          <w:sz w:val="24"/>
          <w:highlight w:val="none"/>
        </w:rPr>
        <w:t xml:space="preserve">时间</w:t>
      </w:r>
      <w:r/>
    </w:p>
    <w:p>
      <w:pPr>
        <w:numPr>
          <w:ilvl w:val="1"/>
          <w:numId w:val="10"/>
        </w:numPr>
        <w:ind w:left="1077" w:hanging="720"/>
        <w:spacing w:line="360" w:lineRule="auto"/>
        <w:tabs>
          <w:tab w:val="left" w:pos="1080" w:leader="none"/>
          <w:tab w:val="left" w:pos="2014" w:leader="none"/>
        </w:tabs>
        <w:rPr>
          <w:color w:val="auto"/>
          <w:sz w:val="24"/>
          <w:highlight w:val="none"/>
        </w:rPr>
      </w:pPr>
      <w:r/>
      <w:bookmarkStart w:id="443" w:name="_Toc151190164"/>
      <w:r/>
      <w:bookmarkStart w:id="444" w:name="_Toc226965810"/>
      <w:r/>
      <w:bookmarkStart w:id="445" w:name="_Toc164608806"/>
      <w:r/>
      <w:bookmarkStart w:id="446" w:name="_Toc164351631"/>
      <w:r/>
      <w:bookmarkStart w:id="447" w:name="_Toc150480775"/>
      <w:r/>
      <w:bookmarkStart w:id="448" w:name="_Toc150774637"/>
      <w:r/>
      <w:bookmarkStart w:id="449" w:name="_Toc142311039"/>
      <w:r/>
      <w:bookmarkStart w:id="450" w:name="_Toc151193635"/>
      <w:r/>
      <w:bookmarkStart w:id="451" w:name="_Toc264969227"/>
      <w:r/>
      <w:bookmarkStart w:id="452" w:name="_Toc149720830"/>
      <w:r/>
      <w:bookmarkStart w:id="453" w:name="_Toc127161451"/>
      <w:r/>
      <w:bookmarkStart w:id="454" w:name="_Toc520356162"/>
      <w:r/>
      <w:bookmarkStart w:id="455" w:name="_Toc305158805"/>
      <w:r/>
      <w:bookmarkStart w:id="456" w:name="_Toc305158879"/>
      <w:r/>
      <w:bookmarkStart w:id="457" w:name="_Toc150774742"/>
      <w:r/>
      <w:bookmarkStart w:id="458" w:name="_Toc151193851"/>
      <w:r/>
      <w:bookmarkStart w:id="459" w:name="_Toc164608651"/>
      <w:r/>
      <w:bookmarkStart w:id="460" w:name="_Toc265228375"/>
      <w:r/>
      <w:bookmarkStart w:id="461" w:name="_Toc164229232"/>
      <w:r/>
      <w:bookmarkStart w:id="462" w:name="_Toc127151537"/>
      <w:r/>
      <w:bookmarkStart w:id="463" w:name="_Toc226309781"/>
      <w:r/>
      <w:bookmarkStart w:id="464" w:name="_Toc195842902"/>
      <w:r/>
      <w:bookmarkStart w:id="465" w:name="_Toc151193707"/>
      <w:r/>
      <w:bookmarkStart w:id="466" w:name="_Toc226337233"/>
      <w:r/>
      <w:bookmarkStart w:id="467" w:name="_Toc150509288"/>
      <w:r/>
      <w:bookmarkStart w:id="468" w:name="_Toc127151738"/>
      <w:r/>
      <w:bookmarkStart w:id="469" w:name="_Toc151193925"/>
      <w:r/>
      <w:bookmarkStart w:id="470" w:name="_Toc164229378"/>
      <w:r/>
      <w:bookmarkStart w:id="471" w:name="_Toc151193779"/>
      <w:r/>
      <w:bookmarkStart w:id="472" w:name="_Toc226965727"/>
      <w:r>
        <w:rPr>
          <w:color w:val="auto"/>
          <w:sz w:val="24"/>
          <w:highlight w:val="none"/>
        </w:rPr>
        <w:t xml:space="preserve">投标人应在招标文件要求提交投标文件截止时间前，将电子投标文件提交至</w:t>
      </w:r>
      <w:r>
        <w:rPr>
          <w:rFonts w:hint="eastAsia"/>
          <w:color w:val="auto"/>
          <w:sz w:val="24"/>
          <w:highlight w:val="none"/>
        </w:rPr>
        <w:t xml:space="preserve">“苏采云”政府采购一体化平台</w:t>
      </w:r>
      <w:r>
        <w:rPr>
          <w:color w:val="auto"/>
          <w:sz w:val="24"/>
          <w:highlight w:val="none"/>
        </w:rPr>
        <w:t xml:space="preserve">。</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rPr>
        <w:t xml:space="preserve">“苏采云”政府采购一体化平台</w:t>
      </w:r>
      <w:r>
        <w:rPr>
          <w:color w:val="auto"/>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473" w:name="_Toc150480776"/>
      <w:r/>
      <w:bookmarkStart w:id="474" w:name="_Toc127151538"/>
      <w:r/>
      <w:bookmarkStart w:id="475" w:name="_Toc195842903"/>
      <w:r/>
      <w:bookmarkStart w:id="476" w:name="_Toc226337234"/>
      <w:r/>
      <w:bookmarkStart w:id="477" w:name="_Toc150774638"/>
      <w:r/>
      <w:bookmarkStart w:id="478" w:name="_Toc151193780"/>
      <w:r/>
      <w:bookmarkStart w:id="479" w:name="_Toc151193708"/>
      <w:r/>
      <w:bookmarkStart w:id="480" w:name="_Toc151193926"/>
      <w:r/>
      <w:bookmarkStart w:id="481" w:name="_Toc520356163"/>
      <w:r/>
      <w:bookmarkStart w:id="482" w:name="_Toc305158880"/>
      <w:r/>
      <w:bookmarkStart w:id="483" w:name="_Toc226965811"/>
      <w:r/>
      <w:bookmarkStart w:id="484" w:name="_Toc151193636"/>
      <w:r/>
      <w:bookmarkStart w:id="485" w:name="_Toc305158806"/>
      <w:r/>
      <w:bookmarkStart w:id="486" w:name="_Toc265228376"/>
      <w:r/>
      <w:bookmarkStart w:id="487" w:name="_Toc142311040"/>
      <w:r/>
      <w:bookmarkStart w:id="488" w:name="_Toc264969228"/>
      <w:r/>
      <w:bookmarkStart w:id="489" w:name="_Toc226965728"/>
      <w:r/>
      <w:bookmarkStart w:id="490" w:name="_Toc151193852"/>
      <w:r/>
      <w:bookmarkStart w:id="491" w:name="_Toc226309782"/>
      <w:r/>
      <w:bookmarkStart w:id="492" w:name="_Toc151190165"/>
      <w:r/>
      <w:bookmarkStart w:id="493" w:name="_Toc150509289"/>
      <w:r/>
      <w:bookmarkStart w:id="494" w:name="_Toc150774743"/>
      <w:r>
        <w:rPr>
          <w:rFonts w:hint="eastAsia" w:ascii="宋体" w:hAnsi="宋体"/>
          <w:b/>
          <w:bCs/>
          <w:color w:val="auto"/>
          <w:sz w:val="28"/>
          <w:szCs w:val="28"/>
          <w:highlight w:val="none"/>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495" w:name="_Toc127151740"/>
      <w:r/>
      <w:bookmarkStart w:id="496" w:name="_Toc195842904"/>
      <w:r/>
      <w:bookmarkStart w:id="497" w:name="_Toc151193781"/>
      <w:r/>
      <w:bookmarkStart w:id="498" w:name="_Toc226965729"/>
      <w:r/>
      <w:bookmarkStart w:id="499" w:name="_Toc164229234"/>
      <w:r/>
      <w:bookmarkStart w:id="500" w:name="_Toc127151539"/>
      <w:r/>
      <w:bookmarkStart w:id="501" w:name="_Toc150480777"/>
      <w:r/>
      <w:bookmarkStart w:id="502" w:name="_Toc164608808"/>
      <w:r/>
      <w:bookmarkStart w:id="503" w:name="_Toc127161453"/>
      <w:r/>
      <w:bookmarkStart w:id="504" w:name="_Toc264969229"/>
      <w:r/>
      <w:bookmarkStart w:id="505" w:name="_Toc151193709"/>
      <w:r/>
      <w:bookmarkStart w:id="506" w:name="_Toc151193927"/>
      <w:r/>
      <w:bookmarkStart w:id="507" w:name="_Toc164351633"/>
      <w:r/>
      <w:bookmarkStart w:id="508" w:name="_Toc151193637"/>
      <w:r/>
      <w:bookmarkStart w:id="509" w:name="_Toc305158881"/>
      <w:r/>
      <w:bookmarkStart w:id="510" w:name="_Toc226965812"/>
      <w:r/>
      <w:bookmarkStart w:id="511" w:name="_Toc150774744"/>
      <w:r/>
      <w:bookmarkStart w:id="512" w:name="_Toc226337235"/>
      <w:r/>
      <w:bookmarkStart w:id="513" w:name="_Toc226309783"/>
      <w:r/>
      <w:bookmarkStart w:id="514" w:name="_Toc149720832"/>
      <w:r/>
      <w:bookmarkStart w:id="515" w:name="_Toc520356164"/>
      <w:r/>
      <w:bookmarkStart w:id="516" w:name="_Toc265228377"/>
      <w:r/>
      <w:bookmarkStart w:id="517" w:name="_Toc150509290"/>
      <w:r/>
      <w:bookmarkStart w:id="518" w:name="_Toc164608653"/>
      <w:r/>
      <w:bookmarkStart w:id="519" w:name="_Toc142311041"/>
      <w:r/>
      <w:bookmarkStart w:id="520" w:name="_Toc305158807"/>
      <w:r/>
      <w:bookmarkStart w:id="521" w:name="_Toc150774639"/>
      <w:r/>
      <w:bookmarkStart w:id="522" w:name="_Toc151193853"/>
      <w:r/>
      <w:bookmarkStart w:id="523" w:name="_Toc164229380"/>
      <w:r/>
      <w:bookmarkStart w:id="524" w:name="_Toc151190166"/>
      <w:r>
        <w:rPr>
          <w:rFonts w:hint="eastAsia" w:ascii="宋体" w:hAnsi="宋体" w:cs="宋体"/>
          <w:color w:val="auto"/>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1"/>
          <w:numId w:val="10"/>
        </w:numPr>
        <w:ind w:left="1077" w:hanging="720"/>
        <w:spacing w:line="360" w:lineRule="auto"/>
        <w:tabs>
          <w:tab w:val="left" w:pos="1080" w:leader="none"/>
          <w:tab w:val="left" w:pos="2014" w:leader="none"/>
        </w:tabs>
        <w:rPr>
          <w:color w:val="auto"/>
          <w:sz w:val="24"/>
          <w:highlight w:val="none"/>
        </w:rPr>
      </w:pPr>
      <w:r/>
      <w:bookmarkStart w:id="525" w:name="_Toc520356165"/>
      <w:r>
        <w:rPr>
          <w:color w:val="auto"/>
          <w:sz w:val="24"/>
          <w:highlight w:val="none"/>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投标人</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10"/>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10"/>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见第三章《资格审查》。</w:t>
      </w:r>
      <w:bookmarkEnd w:id="525"/>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526" w:name="_Toc127161454"/>
      <w:r/>
      <w:bookmarkStart w:id="527" w:name="_Toc195842905"/>
      <w:r/>
      <w:bookmarkStart w:id="528" w:name="_Toc164351634"/>
      <w:r/>
      <w:bookmarkStart w:id="529" w:name="_Toc127151741"/>
      <w:r/>
      <w:bookmarkStart w:id="530" w:name="_Toc151193854"/>
      <w:r/>
      <w:bookmarkStart w:id="531" w:name="_Toc226337236"/>
      <w:r/>
      <w:bookmarkStart w:id="532" w:name="_Toc164608654"/>
      <w:r/>
      <w:bookmarkStart w:id="533" w:name="_Toc226965813"/>
      <w:r/>
      <w:bookmarkStart w:id="534" w:name="_Toc142311042"/>
      <w:r/>
      <w:bookmarkStart w:id="535" w:name="_Toc150774640"/>
      <w:r/>
      <w:bookmarkStart w:id="536" w:name="_Toc127151540"/>
      <w:r/>
      <w:bookmarkStart w:id="537" w:name="_Toc151190167"/>
      <w:r/>
      <w:bookmarkStart w:id="538" w:name="_Toc150774745"/>
      <w:r/>
      <w:bookmarkStart w:id="539" w:name="_Toc264969230"/>
      <w:r/>
      <w:bookmarkStart w:id="540" w:name="_Toc151193638"/>
      <w:r/>
      <w:bookmarkStart w:id="541" w:name="_Toc164608809"/>
      <w:r/>
      <w:bookmarkStart w:id="542" w:name="_Toc305158882"/>
      <w:r/>
      <w:bookmarkStart w:id="543" w:name="_Toc149720833"/>
      <w:r/>
      <w:bookmarkStart w:id="544" w:name="_Toc226965730"/>
      <w:r/>
      <w:bookmarkStart w:id="545" w:name="_Toc150509291"/>
      <w:r/>
      <w:bookmarkStart w:id="546" w:name="_Toc151193928"/>
      <w:r/>
      <w:bookmarkStart w:id="547" w:name="_Toc151193782"/>
      <w:r/>
      <w:bookmarkStart w:id="548" w:name="_Toc305158808"/>
      <w:r/>
      <w:bookmarkStart w:id="549" w:name="_Toc151193710"/>
      <w:r/>
      <w:bookmarkStart w:id="550" w:name="_Toc150480778"/>
      <w:r/>
      <w:bookmarkStart w:id="551" w:name="_Toc226309784"/>
      <w:r/>
      <w:bookmarkStart w:id="552" w:name="_Toc164229381"/>
      <w:r/>
      <w:bookmarkStart w:id="553" w:name="_Toc164229235"/>
      <w:r/>
      <w:bookmarkStart w:id="554" w:name="_Toc265228378"/>
      <w:r>
        <w:rPr>
          <w:rFonts w:hint="eastAsia" w:ascii="宋体" w:hAnsi="宋体" w:cs="宋体"/>
          <w:color w:val="auto"/>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55" w:name="_Toc520356166"/>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557" w:name="_Toc264969235"/>
      <w:r/>
      <w:bookmarkStart w:id="558" w:name="_Toc151190172"/>
      <w:r/>
      <w:bookmarkStart w:id="559" w:name="_Toc226965735"/>
      <w:r/>
      <w:bookmarkStart w:id="560" w:name="_Toc151193715"/>
      <w:r/>
      <w:bookmarkStart w:id="561" w:name="_Toc151193933"/>
      <w:r/>
      <w:bookmarkStart w:id="562" w:name="_Toc127151545"/>
      <w:r/>
      <w:bookmarkStart w:id="563" w:name="_Toc150774645"/>
      <w:r/>
      <w:bookmarkStart w:id="564" w:name="_Toc195842910"/>
      <w:r/>
      <w:bookmarkStart w:id="565" w:name="_Toc305158887"/>
      <w:r/>
      <w:bookmarkStart w:id="566" w:name="_Toc265228383"/>
      <w:r/>
      <w:bookmarkStart w:id="567" w:name="_Toc151193787"/>
      <w:r/>
      <w:bookmarkStart w:id="568" w:name="_Toc150774750"/>
      <w:r/>
      <w:bookmarkStart w:id="569" w:name="_Toc226965818"/>
      <w:r/>
      <w:bookmarkStart w:id="570" w:name="_Toc150480783"/>
      <w:r/>
      <w:bookmarkStart w:id="571" w:name="_Toc150509296"/>
      <w:r/>
      <w:bookmarkStart w:id="572" w:name="_Toc151193859"/>
      <w:r/>
      <w:bookmarkStart w:id="573" w:name="_Toc142311047"/>
      <w:r/>
      <w:bookmarkStart w:id="574" w:name="_Toc226337241"/>
      <w:r/>
      <w:bookmarkStart w:id="575" w:name="_Toc226309789"/>
      <w:r/>
      <w:bookmarkStart w:id="576" w:name="_Toc305158813"/>
      <w:r/>
      <w:bookmarkStart w:id="577" w:name="_Toc151193643"/>
      <w:r>
        <w:rPr>
          <w:rFonts w:hint="eastAsia" w:ascii="宋体" w:hAnsi="宋体"/>
          <w:b/>
          <w:bCs/>
          <w:color w:val="auto"/>
          <w:sz w:val="28"/>
          <w:szCs w:val="28"/>
          <w:highlight w:val="none"/>
        </w:rPr>
        <w:t xml:space="preserve">六   </w:t>
      </w:r>
      <w:bookmarkEnd w:id="556"/>
      <w:r>
        <w:rPr>
          <w:rFonts w:hint="eastAsia" w:ascii="宋体" w:hAnsi="宋体"/>
          <w:b/>
          <w:bCs/>
          <w:color w:val="auto"/>
          <w:sz w:val="28"/>
          <w:szCs w:val="28"/>
          <w:highlight w:val="none"/>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226309791"/>
      <w:r/>
      <w:bookmarkStart w:id="579" w:name="_Toc305158815"/>
      <w:r/>
      <w:bookmarkStart w:id="580" w:name="_Toc151193789"/>
      <w:r/>
      <w:bookmarkStart w:id="581" w:name="_Toc150774752"/>
      <w:r/>
      <w:bookmarkStart w:id="582" w:name="_Toc151193935"/>
      <w:r/>
      <w:bookmarkStart w:id="583" w:name="_Toc151193645"/>
      <w:r/>
      <w:bookmarkStart w:id="584" w:name="_Toc150774647"/>
      <w:r/>
      <w:bookmarkStart w:id="585" w:name="_Toc226965737"/>
      <w:r/>
      <w:bookmarkStart w:id="586" w:name="_Toc164229242"/>
      <w:r/>
      <w:bookmarkStart w:id="587" w:name="_Toc149720840"/>
      <w:r/>
      <w:bookmarkStart w:id="588" w:name="_Toc305158889"/>
      <w:r/>
      <w:bookmarkStart w:id="589" w:name="_Toc151193717"/>
      <w:r/>
      <w:bookmarkStart w:id="590" w:name="_Toc164608816"/>
      <w:r/>
      <w:bookmarkStart w:id="591" w:name="_Toc151193861"/>
      <w:r/>
      <w:bookmarkStart w:id="592" w:name="_Toc127151748"/>
      <w:r/>
      <w:bookmarkStart w:id="593" w:name="_Toc127161461"/>
      <w:r/>
      <w:bookmarkStart w:id="594" w:name="_Toc164229388"/>
      <w:r/>
      <w:bookmarkStart w:id="595" w:name="_Toc142311049"/>
      <w:r/>
      <w:bookmarkStart w:id="596" w:name="_Toc164351641"/>
      <w:r/>
      <w:bookmarkStart w:id="597" w:name="_Toc164608661"/>
      <w:r/>
      <w:bookmarkStart w:id="598" w:name="_Toc226337243"/>
      <w:r/>
      <w:bookmarkStart w:id="599" w:name="_Toc265228385"/>
      <w:r/>
      <w:bookmarkStart w:id="600" w:name="_Toc264969237"/>
      <w:r/>
      <w:bookmarkStart w:id="601" w:name="_Toc150480785"/>
      <w:r/>
      <w:bookmarkStart w:id="602" w:name="_Toc127151547"/>
      <w:r/>
      <w:bookmarkStart w:id="603" w:name="_Toc151190174"/>
      <w:r/>
      <w:bookmarkStart w:id="604" w:name="_Toc195842912"/>
      <w:r/>
      <w:bookmarkStart w:id="605" w:name="_Toc226965820"/>
      <w:r/>
      <w:bookmarkStart w:id="606" w:name="_Toc150509298"/>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607" w:name="_Toc305158817"/>
      <w:r/>
      <w:bookmarkStart w:id="608" w:name="_Toc305158891"/>
      <w:r/>
      <w:bookmarkStart w:id="609" w:name="_Toc151190176"/>
      <w:r/>
      <w:bookmarkStart w:id="610" w:name="_Toc164608663"/>
      <w:r/>
      <w:bookmarkStart w:id="611" w:name="_Toc164229390"/>
      <w:r/>
      <w:bookmarkStart w:id="612" w:name="_Toc150509300"/>
      <w:r/>
      <w:bookmarkStart w:id="613" w:name="_Toc150774754"/>
      <w:r/>
      <w:bookmarkStart w:id="614" w:name="_Toc127151750"/>
      <w:r/>
      <w:bookmarkStart w:id="615" w:name="_Toc151193647"/>
      <w:r/>
      <w:bookmarkStart w:id="616" w:name="_Toc150480787"/>
      <w:r/>
      <w:bookmarkStart w:id="617" w:name="_Toc265228387"/>
      <w:r/>
      <w:bookmarkStart w:id="618" w:name="_Toc142311051"/>
      <w:r/>
      <w:bookmarkStart w:id="619" w:name="_Toc151193863"/>
      <w:r/>
      <w:bookmarkStart w:id="620" w:name="_Toc264969239"/>
      <w:r/>
      <w:bookmarkStart w:id="621" w:name="_Toc226965739"/>
      <w:r/>
      <w:bookmarkStart w:id="622" w:name="_Toc164608818"/>
      <w:r/>
      <w:bookmarkStart w:id="623" w:name="_Toc149720842"/>
      <w:r/>
      <w:bookmarkStart w:id="624" w:name="_Toc127161463"/>
      <w:r/>
      <w:bookmarkStart w:id="625" w:name="_Toc150774649"/>
      <w:r/>
      <w:bookmarkStart w:id="626" w:name="_Toc127151549"/>
      <w:r/>
      <w:bookmarkStart w:id="627" w:name="_Toc226965822"/>
      <w:r/>
      <w:bookmarkStart w:id="628" w:name="_Toc195842914"/>
      <w:r/>
      <w:bookmarkStart w:id="629" w:name="_Toc151193719"/>
      <w:r/>
      <w:bookmarkStart w:id="630" w:name="_Toc226309793"/>
      <w:r/>
      <w:bookmarkStart w:id="631" w:name="_Toc151193791"/>
      <w:r/>
      <w:bookmarkStart w:id="632" w:name="_Toc226337245"/>
      <w:r/>
      <w:bookmarkStart w:id="633" w:name="_Toc164351643"/>
      <w:r/>
      <w:bookmarkStart w:id="634" w:name="_Toc151193937"/>
      <w:r/>
      <w:bookmarkStart w:id="635" w:name="_Toc164229244"/>
      <w:r/>
      <w:bookmarkStart w:id="636" w:name="_Toc520356176"/>
      <w:r/>
      <w:bookmarkStart w:id="637" w:name="_Ref467306425"/>
      <w:r/>
      <w:bookmarkStart w:id="638" w:name="_Ref467307090"/>
      <w:r>
        <w:rPr>
          <w:rFonts w:hint="eastAsia" w:ascii="宋体" w:hAnsi="宋体" w:cs="宋体"/>
          <w:color w:val="auto"/>
          <w:sz w:val="24"/>
          <w:highlight w:val="none"/>
        </w:rPr>
        <w:t xml:space="preserve">中标公告与中标通知书</w:t>
      </w:r>
      <w:bookmarkEnd w:id="607"/>
      <w:r/>
      <w:bookmarkEnd w:id="608"/>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采购人或采购代理机构自中标人确定之日起2个工作日内，在江苏政府采购网、常州市政府采购网公告中标结果，同时向中标人发出中标通知书，中标公告期限为1个工作日。</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中标通知书对采购人和中标人均具有法律效力。中标通知书发出后，采购人改变中标结果的，或者中标人放弃中标项目的，应当依法承担法律责任。</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废标</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符合专业条件的投标人或者对招标文件作实质响应的投标人不足三家的；</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10"/>
        </w:numPr>
        <w:spacing w:line="360" w:lineRule="auto"/>
        <w:rPr>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10"/>
        </w:numPr>
        <w:spacing w:line="360" w:lineRule="auto"/>
        <w:rPr>
          <w:rFonts w:ascii="宋体" w:hAnsi="宋体" w:cs="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numPr>
          <w:ilvl w:val="0"/>
          <w:numId w:val="10"/>
        </w:numPr>
        <w:ind w:left="357" w:hanging="357"/>
        <w:spacing w:line="360" w:lineRule="auto"/>
        <w:tabs>
          <w:tab w:val="left" w:pos="360" w:leader="none"/>
        </w:tabs>
        <w:rPr>
          <w:rFonts w:ascii="宋体" w:hAnsi="宋体" w:cs="宋体"/>
          <w:color w:val="auto"/>
          <w:sz w:val="24"/>
          <w:highlight w:val="none"/>
        </w:rPr>
      </w:pPr>
      <w:r/>
      <w:bookmarkStart w:id="639" w:name="_Toc151193648"/>
      <w:r/>
      <w:bookmarkStart w:id="640" w:name="_Toc195842915"/>
      <w:r/>
      <w:bookmarkStart w:id="641" w:name="_Ref467306978"/>
      <w:r/>
      <w:bookmarkStart w:id="642" w:name="_Toc150774755"/>
      <w:r/>
      <w:bookmarkStart w:id="643" w:name="_Toc164351644"/>
      <w:r/>
      <w:bookmarkStart w:id="644" w:name="_Ref467307204"/>
      <w:r/>
      <w:bookmarkStart w:id="645" w:name="_Toc151193720"/>
      <w:r/>
      <w:bookmarkStart w:id="646" w:name="_Ref467307062"/>
      <w:r/>
      <w:bookmarkStart w:id="647" w:name="_Toc164608819"/>
      <w:r/>
      <w:bookmarkStart w:id="648" w:name="_Toc265228388"/>
      <w:r/>
      <w:bookmarkStart w:id="649" w:name="_Toc150774650"/>
      <w:r/>
      <w:bookmarkStart w:id="650" w:name="_Toc164229245"/>
      <w:r/>
      <w:bookmarkStart w:id="651" w:name="_Toc150480788"/>
      <w:r/>
      <w:bookmarkStart w:id="652" w:name="_Toc127151751"/>
      <w:r/>
      <w:bookmarkStart w:id="653" w:name="_Toc151193864"/>
      <w:r/>
      <w:bookmarkStart w:id="654" w:name="_Toc226337246"/>
      <w:r/>
      <w:bookmarkStart w:id="655" w:name="_Toc149720843"/>
      <w:r/>
      <w:bookmarkStart w:id="656" w:name="_Toc226309794"/>
      <w:r/>
      <w:bookmarkStart w:id="657" w:name="_Toc151193792"/>
      <w:r/>
      <w:bookmarkStart w:id="658" w:name="_Toc226965740"/>
      <w:r/>
      <w:bookmarkStart w:id="659" w:name="_Toc226965823"/>
      <w:r/>
      <w:bookmarkStart w:id="660" w:name="_Toc305158818"/>
      <w:r/>
      <w:bookmarkStart w:id="661" w:name="_Toc164608664"/>
      <w:r/>
      <w:bookmarkStart w:id="662" w:name="_Toc150509301"/>
      <w:r/>
      <w:bookmarkStart w:id="663" w:name="_Toc520356175"/>
      <w:r/>
      <w:bookmarkStart w:id="664" w:name="_Toc151190177"/>
      <w:r/>
      <w:bookmarkStart w:id="665" w:name="_Toc142311052"/>
      <w:r/>
      <w:bookmarkStart w:id="666" w:name="_Toc127151550"/>
      <w:r/>
      <w:bookmarkStart w:id="667" w:name="_Toc305158892"/>
      <w:r/>
      <w:bookmarkStart w:id="668" w:name="_Toc151193938"/>
      <w:r/>
      <w:bookmarkStart w:id="669" w:name="_Toc164229391"/>
      <w:r/>
      <w:bookmarkStart w:id="670" w:name="_Ref467306377"/>
      <w:r/>
      <w:bookmarkStart w:id="671" w:name="_Toc127161464"/>
      <w:r/>
      <w:bookmarkStart w:id="672" w:name="_Toc264969240"/>
      <w:r>
        <w:rPr>
          <w:rFonts w:hint="eastAsia" w:ascii="宋体" w:hAnsi="宋体" w:cs="宋体"/>
          <w:color w:val="auto"/>
          <w:sz w:val="24"/>
          <w:highlight w:val="none"/>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本项目的非主体、非关键性工作是否允许分包，见《投标人须知资料表》。</w:t>
      </w:r>
      <w:bookmarkEnd w:id="636"/>
      <w:r/>
      <w:bookmarkEnd w:id="637"/>
      <w:r/>
      <w:bookmarkEnd w:id="638"/>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询问与质疑</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采购人或采购代理机构对投标人依法提出的询问，在3个工作日内作出答复，但答复的内容不得涉及商业秘密。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261"/>
          <w:rFonts w:hint="eastAsia" w:ascii="宋体" w:hAnsi="宋体" w:cs="宋体"/>
          <w:color w:val="auto"/>
          <w:sz w:val="24"/>
          <w:highlight w:val="none"/>
        </w:rPr>
        <w:t xml:space="preserve">http://gk</w:t>
      </w:r>
      <w:bookmarkStart w:id="673" w:name="_Hlt100654014"/>
      <w:r>
        <w:rPr>
          <w:rStyle w:val="1261"/>
          <w:rFonts w:hint="eastAsia" w:ascii="宋体" w:hAnsi="宋体" w:cs="宋体"/>
          <w:color w:val="auto"/>
          <w:sz w:val="24"/>
          <w:highlight w:val="none"/>
        </w:rPr>
        <w:t xml:space="preserve">s</w:t>
      </w:r>
      <w:bookmarkEnd w:id="673"/>
      <w:r>
        <w:rPr>
          <w:rStyle w:val="1261"/>
          <w:rFonts w:hint="eastAsia" w:ascii="宋体" w:hAnsi="宋体" w:cs="宋体"/>
          <w:color w:val="auto"/>
          <w:sz w:val="24"/>
          <w:highlight w:val="none"/>
        </w:rPr>
        <w:t xml:space="preserve">.m</w:t>
      </w:r>
      <w:bookmarkStart w:id="674" w:name="_Hlt100653993"/>
      <w:r/>
      <w:bookmarkStart w:id="675" w:name="_Hlt100653994"/>
      <w:r>
        <w:rPr>
          <w:rStyle w:val="1261"/>
          <w:rFonts w:hint="eastAsia" w:ascii="宋体" w:hAnsi="宋体" w:cs="宋体"/>
          <w:color w:val="auto"/>
          <w:sz w:val="24"/>
          <w:highlight w:val="none"/>
        </w:rPr>
        <w:t xml:space="preserve">o</w:t>
      </w:r>
      <w:bookmarkEnd w:id="674"/>
      <w:r/>
      <w:bookmarkEnd w:id="675"/>
      <w:r>
        <w:rPr>
          <w:rStyle w:val="1261"/>
          <w:rFonts w:hint="eastAsia" w:ascii="宋体" w:hAnsi="宋体" w:cs="宋体"/>
          <w:color w:val="auto"/>
          <w:sz w:val="24"/>
          <w:highlight w:val="none"/>
        </w:rPr>
        <w:t xml:space="preserve">f.gov.cn/ztztz/zhengfucaigouguanli/201802/t20180201_2804589.htm</w:t>
      </w:r>
      <w:r>
        <w:rPr>
          <w:rStyle w:val="1261"/>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10"/>
        </w:numPr>
        <w:ind w:left="357" w:hanging="357"/>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代理费</w:t>
      </w:r>
      <w:r/>
    </w:p>
    <w:p>
      <w:pPr>
        <w:numPr>
          <w:ilvl w:val="1"/>
          <w:numId w:val="10"/>
        </w:numPr>
        <w:ind w:left="1077" w:hanging="720"/>
        <w:spacing w:line="360" w:lineRule="auto"/>
        <w:tabs>
          <w:tab w:val="left" w:pos="1080" w:leader="none"/>
          <w:tab w:val="left" w:pos="2014" w:leader="none"/>
        </w:tabs>
        <w:rPr>
          <w:rFonts w:ascii="宋体" w:hAnsi="宋体" w:cs="宋体"/>
          <w:color w:val="auto"/>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b/>
          <w:color w:val="auto"/>
          <w:sz w:val="36"/>
          <w:szCs w:val="36"/>
          <w:highlight w:val="none"/>
        </w:rPr>
        <w:outlineLvl w:val="0"/>
      </w:pPr>
      <w:r/>
      <w:bookmarkStart w:id="676" w:name="_Toc265228392"/>
      <w:r/>
      <w:bookmarkStart w:id="677" w:name="_Toc305158822"/>
      <w:r/>
      <w:bookmarkStart w:id="678" w:name="_Toc226965827"/>
      <w:r/>
      <w:bookmarkStart w:id="679" w:name="_Toc264969244"/>
      <w:r/>
      <w:bookmarkStart w:id="680" w:name="_Toc226337250"/>
      <w:r/>
      <w:bookmarkStart w:id="681" w:name="_Toc142311056"/>
      <w:r/>
      <w:bookmarkStart w:id="682" w:name="_Toc127151554"/>
      <w:r/>
      <w:bookmarkStart w:id="683" w:name="_Toc305158896"/>
      <w:r/>
      <w:bookmarkStart w:id="684" w:name="_Toc353873934"/>
      <w:r/>
      <w:bookmarkStart w:id="685" w:name="_Toc353873664"/>
      <w:r/>
      <w:bookmarkStart w:id="686" w:name="_Toc150480792"/>
      <w:r/>
      <w:bookmarkStart w:id="687" w:name="_Toc353825544"/>
      <w:r/>
      <w:bookmarkStart w:id="688" w:name="_Toc150774759"/>
      <w:r/>
      <w:bookmarkStart w:id="689" w:name="_Toc21989"/>
      <w:r>
        <w:rPr>
          <w:b/>
          <w:color w:val="auto"/>
          <w:sz w:val="36"/>
          <w:szCs w:val="36"/>
          <w:highlight w:val="none"/>
        </w:rPr>
        <w:t xml:space="preserve">第三章   </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b/>
          <w:color w:val="auto"/>
          <w:sz w:val="36"/>
          <w:szCs w:val="36"/>
          <w:highlight w:val="none"/>
        </w:rPr>
        <w:t xml:space="preserve">资格审查</w:t>
      </w:r>
      <w:bookmarkEnd w:id="689"/>
      <w:r/>
      <w:bookmarkStart w:id="690" w:name="_Toc487900382"/>
      <w:r/>
      <w:r/>
    </w:p>
    <w:p>
      <w:pPr>
        <w:jc w:val="center"/>
        <w:spacing w:line="360" w:lineRule="auto"/>
        <w:rPr>
          <w:rFonts w:ascii="宋体" w:hAnsi="宋体"/>
          <w:b/>
          <w:bCs/>
          <w:color w:val="auto"/>
          <w:sz w:val="28"/>
          <w:szCs w:val="28"/>
          <w:highlight w:val="none"/>
        </w:rPr>
      </w:pPr>
      <w:r/>
      <w:bookmarkStart w:id="691" w:name="_Toc99301422"/>
      <w:r>
        <w:rPr>
          <w:rFonts w:hint="eastAsia" w:ascii="宋体" w:hAnsi="宋体"/>
          <w:b/>
          <w:bCs/>
          <w:color w:val="auto"/>
          <w:sz w:val="28"/>
          <w:szCs w:val="28"/>
          <w:highlight w:val="none"/>
        </w:rPr>
        <w:t xml:space="preserve">一、资格审查程序</w:t>
      </w:r>
      <w:bookmarkEnd w:id="691"/>
      <w:r/>
      <w:r/>
    </w:p>
    <w:p>
      <w:pPr>
        <w:numPr>
          <w:ilvl w:val="0"/>
          <w:numId w:val="13"/>
        </w:numPr>
        <w:ind w:left="425" w:hanging="425"/>
        <w:spacing w:line="360" w:lineRule="auto"/>
        <w:tabs>
          <w:tab w:val="left" w:pos="426" w:leader="none"/>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3"/>
        </w:numPr>
        <w:ind w:left="425" w:hanging="425"/>
        <w:spacing w:line="360" w:lineRule="auto"/>
        <w:tabs>
          <w:tab w:val="left" w:pos="426" w:leader="none"/>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3"/>
        </w:numPr>
        <w:ind w:left="425" w:hanging="425"/>
        <w:spacing w:line="360" w:lineRule="auto"/>
        <w:tabs>
          <w:tab w:val="left" w:pos="426" w:leader="none"/>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3"/>
        </w:numPr>
        <w:ind w:left="425" w:hanging="425"/>
        <w:spacing w:line="360" w:lineRule="auto"/>
        <w:tabs>
          <w:tab w:val="left" w:pos="426" w:leader="none"/>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资格审查合格的投标人不足3家的，不进行评标。</w:t>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二、资格审查要求</w:t>
      </w:r>
      <w:r/>
    </w:p>
    <w:tbl>
      <w:tblPr>
        <w:tblStyle w:val="9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color w:val="auto"/>
                <w:sz w:val="24"/>
                <w:highlight w:val="none"/>
              </w:rPr>
            </w:pPr>
            <w:r/>
            <w:bookmarkStart w:id="692" w:name="_Hlt487972895"/>
            <w:r/>
            <w:bookmarkEnd w:id="692"/>
            <w:r>
              <w:rPr>
                <w:b/>
                <w:color w:val="auto"/>
                <w:sz w:val="24"/>
                <w:highlight w:val="none"/>
              </w:rPr>
              <w:t xml:space="preserve">序号</w:t>
            </w:r>
            <w:r/>
          </w:p>
        </w:tc>
        <w:tc>
          <w:tcPr>
            <w:tcW w:w="198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82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638"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846"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312"/>
        </w:trPr>
        <w:tc>
          <w:tcPr>
            <w:tcW w:w="846"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98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w:t>
            </w:r>
            <w:r>
              <w:rPr>
                <w:rFonts w:hint="eastAsia" w:ascii="宋体" w:hAnsi="宋体" w:cs="宋体"/>
                <w:color w:val="auto"/>
                <w:sz w:val="24"/>
                <w:highlight w:val="none"/>
              </w:rPr>
              <w:t xml:space="preserve">查询。</w:t>
            </w:r>
            <w:r/>
          </w:p>
        </w:tc>
      </w:tr>
      <w:tr>
        <w:trPr>
          <w:cantSplit/>
          <w:trHeight w:val="468"/>
        </w:trPr>
        <w:tc>
          <w:tcPr>
            <w:tcW w:w="846" w:type="dxa"/>
            <w:vAlign w:val="center"/>
            <w:textDirection w:val="lrTb"/>
            <w:noWrap w:val="false"/>
          </w:tcPr>
          <w:p>
            <w:pPr>
              <w:jc w:val="center"/>
              <w:tabs>
                <w:tab w:val="left" w:pos="1080" w:leader="none"/>
              </w:tabs>
              <w:rPr>
                <w:color w:val="auto"/>
                <w:sz w:val="24"/>
                <w:highlight w:val="none"/>
              </w:rPr>
            </w:pPr>
            <w:r/>
            <w:bookmarkStart w:id="693" w:name="_Toc226965858"/>
            <w:r/>
            <w:bookmarkStart w:id="694" w:name="_Toc127161490"/>
            <w:r/>
            <w:bookmarkStart w:id="695" w:name="_Toc127151779"/>
            <w:r/>
            <w:bookmarkStart w:id="696" w:name="_Toc353873940"/>
            <w:r/>
            <w:bookmarkStart w:id="697" w:name="_Toc353825550"/>
            <w:r>
              <w:rPr>
                <w:color w:val="auto"/>
                <w:sz w:val="24"/>
                <w:highlight w:val="none"/>
              </w:rPr>
              <w:t xml:space="preserve">2</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82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如有，</w:t>
            </w:r>
            <w:r>
              <w:rPr>
                <w:color w:val="auto"/>
                <w:sz w:val="24"/>
                <w:highlight w:val="none"/>
              </w:rPr>
              <w:t xml:space="preserve">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rPr>
                <w:rFonts w:hint="eastAsia"/>
                <w:color w:val="auto"/>
                <w:sz w:val="24"/>
                <w:highlight w:val="none"/>
              </w:rPr>
              <w:t xml:space="preserve">1</w:t>
            </w:r>
            <w:r/>
          </w:p>
        </w:tc>
        <w:tc>
          <w:tcPr>
            <w:tcW w:w="1982"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如有，</w:t>
            </w:r>
            <w:r>
              <w:rPr>
                <w:color w:val="auto"/>
                <w:sz w:val="24"/>
                <w:highlight w:val="none"/>
              </w:rPr>
              <w:t xml:space="preserve">见第一章《投标邀请》</w:t>
            </w:r>
            <w:r/>
          </w:p>
        </w:tc>
        <w:tc>
          <w:tcPr>
            <w:tcW w:w="1638" w:type="dxa"/>
            <w:vAlign w:val="center"/>
            <w:textDirection w:val="lrTb"/>
            <w:noWrap w:val="false"/>
          </w:tcPr>
          <w:p>
            <w:pPr>
              <w:tabs>
                <w:tab w:val="left" w:pos="1080" w:leader="none"/>
              </w:tabs>
              <w:rPr>
                <w:color w:val="auto"/>
                <w:sz w:val="24"/>
                <w:highlight w:val="none"/>
              </w:rPr>
            </w:pPr>
            <w:r>
              <w:rPr>
                <w:color w:val="auto"/>
                <w:sz w:val="24"/>
                <w:highlight w:val="none"/>
              </w:rPr>
              <w:t xml:space="preserve">提供</w:t>
            </w:r>
            <w:r>
              <w:rPr>
                <w:rFonts w:hint="eastAsia"/>
                <w:color w:val="auto"/>
                <w:sz w:val="24"/>
                <w:highlight w:val="none"/>
              </w:rPr>
              <w:t xml:space="preserve">相关</w:t>
            </w:r>
            <w:r>
              <w:rPr>
                <w:color w:val="auto"/>
                <w:sz w:val="24"/>
                <w:highlight w:val="none"/>
              </w:rPr>
              <w:t xml:space="preserve">证明文件</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90"/>
            <w:r/>
            <w:r/>
          </w:p>
        </w:tc>
      </w:tr>
    </w:tbl>
    <w:p>
      <w:pPr>
        <w:jc w:val="center"/>
        <w:widowControl/>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jc w:val="center"/>
        <w:widowControl/>
        <w:rPr>
          <w:b/>
          <w:color w:val="auto"/>
          <w:sz w:val="36"/>
          <w:szCs w:val="36"/>
          <w:highlight w:val="none"/>
        </w:rPr>
        <w:outlineLvl w:val="0"/>
      </w:pPr>
      <w:r/>
      <w:bookmarkStart w:id="698" w:name="_Toc13243"/>
      <w:r>
        <w:rPr>
          <w:b/>
          <w:color w:val="auto"/>
          <w:sz w:val="36"/>
          <w:szCs w:val="36"/>
          <w:highlight w:val="none"/>
        </w:rPr>
        <w:t xml:space="preserve">第四章   </w:t>
      </w:r>
      <w:bookmarkEnd w:id="693"/>
      <w:r/>
      <w:bookmarkEnd w:id="694"/>
      <w:r/>
      <w:bookmarkEnd w:id="695"/>
      <w:r/>
      <w:bookmarkEnd w:id="696"/>
      <w:r/>
      <w:bookmarkEnd w:id="697"/>
      <w:r/>
      <w:bookmarkStart w:id="699" w:name="_Hlt164229061"/>
      <w:r/>
      <w:bookmarkEnd w:id="699"/>
      <w:r>
        <w:rPr>
          <w:b/>
          <w:color w:val="auto"/>
          <w:sz w:val="36"/>
          <w:szCs w:val="36"/>
          <w:highlight w:val="none"/>
        </w:rPr>
        <w:t xml:space="preserve">评标程序、评标方法和评标标准</w:t>
      </w:r>
      <w:bookmarkEnd w:id="698"/>
      <w:r/>
      <w:r/>
    </w:p>
    <w:p>
      <w:pPr>
        <w:jc w:val="center"/>
        <w:spacing w:line="360" w:lineRule="auto"/>
        <w:tabs>
          <w:tab w:val="left" w:pos="360" w:leader="none"/>
          <w:tab w:val="left" w:pos="900" w:leader="none"/>
        </w:tabs>
        <w:rPr>
          <w:b/>
          <w:color w:val="auto"/>
          <w:highlight w:val="none"/>
        </w:rPr>
      </w:pPr>
      <w:r>
        <w:rPr>
          <w:b/>
          <w:color w:val="auto"/>
          <w:sz w:val="24"/>
          <w:highlight w:val="none"/>
        </w:rPr>
        <w:t xml:space="preserve">一、评标</w:t>
      </w:r>
      <w:r>
        <w:rPr>
          <w:rFonts w:hint="eastAsia"/>
          <w:b/>
          <w:color w:val="auto"/>
          <w:sz w:val="24"/>
          <w:highlight w:val="none"/>
        </w:rPr>
        <w:t xml:space="preserve">程序</w:t>
      </w:r>
      <w:r/>
    </w:p>
    <w:p>
      <w:pPr>
        <w:numPr>
          <w:ilvl w:val="0"/>
          <w:numId w:val="14"/>
        </w:numPr>
        <w:spacing w:line="360" w:lineRule="auto"/>
        <w:tabs>
          <w:tab w:val="left" w:pos="360" w:leader="none"/>
        </w:tabs>
        <w:rPr>
          <w:color w:val="auto"/>
          <w:sz w:val="24"/>
          <w:highlight w:val="none"/>
        </w:rPr>
      </w:pPr>
      <w:r/>
      <w:bookmarkStart w:id="700" w:name="_Toc305158883"/>
      <w:r/>
      <w:bookmarkStart w:id="701" w:name="_Toc226337237"/>
      <w:r/>
      <w:bookmarkStart w:id="702" w:name="_Toc151193711"/>
      <w:r/>
      <w:bookmarkStart w:id="703" w:name="_Toc150774641"/>
      <w:r/>
      <w:bookmarkStart w:id="704" w:name="_Toc164229236"/>
      <w:r/>
      <w:bookmarkStart w:id="705" w:name="_Toc151193783"/>
      <w:r/>
      <w:bookmarkStart w:id="706" w:name="_Toc151193855"/>
      <w:r/>
      <w:bookmarkStart w:id="707" w:name="_Toc151193639"/>
      <w:r/>
      <w:bookmarkStart w:id="708" w:name="_Toc164229382"/>
      <w:r/>
      <w:bookmarkStart w:id="709" w:name="_Toc226309785"/>
      <w:r/>
      <w:bookmarkStart w:id="710" w:name="_Toc151190168"/>
      <w:r/>
      <w:bookmarkStart w:id="711" w:name="_Toc164608810"/>
      <w:r/>
      <w:bookmarkStart w:id="712" w:name="_Toc226965731"/>
      <w:r/>
      <w:bookmarkStart w:id="713" w:name="_Toc164351635"/>
      <w:r/>
      <w:bookmarkStart w:id="714" w:name="_Toc150480779"/>
      <w:r/>
      <w:bookmarkStart w:id="715" w:name="_Toc164608655"/>
      <w:r/>
      <w:bookmarkStart w:id="716" w:name="_Toc127151742"/>
      <w:r/>
      <w:bookmarkStart w:id="717" w:name="_Toc127161455"/>
      <w:r/>
      <w:bookmarkStart w:id="718" w:name="_Toc151193929"/>
      <w:r/>
      <w:bookmarkStart w:id="719" w:name="_Toc264969231"/>
      <w:r/>
      <w:bookmarkStart w:id="720" w:name="_Toc195842906"/>
      <w:r/>
      <w:bookmarkStart w:id="721" w:name="_Toc149720834"/>
      <w:r/>
      <w:bookmarkStart w:id="722" w:name="_Toc150509292"/>
      <w:r/>
      <w:bookmarkStart w:id="723" w:name="_Toc265228379"/>
      <w:r/>
      <w:bookmarkStart w:id="724" w:name="_Toc305158809"/>
      <w:r/>
      <w:bookmarkStart w:id="725" w:name="_Toc127151541"/>
      <w:r/>
      <w:bookmarkStart w:id="726" w:name="_Toc142311043"/>
      <w:r/>
      <w:bookmarkStart w:id="727" w:name="_Toc226965814"/>
      <w:r/>
      <w:bookmarkStart w:id="728" w:name="_Toc150774746"/>
      <w:r/>
      <w:bookmarkStart w:id="729" w:name="_Toc353873941"/>
      <w:r/>
      <w:bookmarkStart w:id="730" w:name="_Toc353825551"/>
      <w:r/>
      <w:bookmarkStart w:id="731" w:name="_Toc305158897"/>
      <w:r/>
      <w:bookmarkStart w:id="732" w:name="_Toc226337251"/>
      <w:r/>
      <w:bookmarkStart w:id="733" w:name="_Toc353825545"/>
      <w:r/>
      <w:bookmarkStart w:id="734" w:name="_Toc353873665"/>
      <w:r/>
      <w:bookmarkStart w:id="735" w:name="_Toc305158823"/>
      <w:r/>
      <w:bookmarkStart w:id="736" w:name="_Toc264969245"/>
      <w:r/>
      <w:bookmarkStart w:id="737" w:name="_Toc150774760"/>
      <w:r/>
      <w:bookmarkStart w:id="738" w:name="_Toc127151555"/>
      <w:r/>
      <w:bookmarkStart w:id="739" w:name="_Toc195842920"/>
      <w:r/>
      <w:bookmarkStart w:id="740" w:name="_Toc142311057"/>
      <w:r/>
      <w:bookmarkStart w:id="741" w:name="_Toc150480793"/>
      <w:r/>
      <w:bookmarkStart w:id="742" w:name="_Toc265228393"/>
      <w:r/>
      <w:bookmarkStart w:id="743" w:name="_Toc226965828"/>
      <w:r/>
      <w:bookmarkStart w:id="744" w:name="_Toc353873935"/>
      <w:r>
        <w:rPr>
          <w:color w:val="auto"/>
          <w:sz w:val="24"/>
          <w:highlight w:val="none"/>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45" w:name="_Toc520356167"/>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45"/>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725"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投标函、法定代表人资格证明书和政府采购供应商信用承诺书</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投标函、法定代表人资格证明书和政府采购供应商信用承诺书</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w:t>
            </w:r>
            <w:r>
              <w:rPr>
                <w:rFonts w:hint="eastAsia"/>
                <w:color w:val="auto"/>
                <w:sz w:val="24"/>
                <w:highlight w:val="none"/>
              </w:rPr>
              <w:t xml:space="preserve">采购项目</w:t>
            </w:r>
            <w:r>
              <w:rPr>
                <w:color w:val="auto"/>
                <w:sz w:val="24"/>
                <w:highlight w:val="none"/>
              </w:rPr>
              <w:t xml:space="preserve">中的内容拆开投标；</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超过招标文件中规定的项目预算金额或者项目最高限价；</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8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8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6725" w:type="dxa"/>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投标文件满足招标文件第五章《采购需求》中★号条款要求；</w:t>
            </w:r>
            <w:r>
              <w:rPr>
                <w:rFonts w:hint="eastAsia" w:ascii="宋体" w:hAnsi="宋体"/>
                <w:b/>
                <w:color w:val="auto"/>
                <w:sz w:val="24"/>
                <w:highlight w:val="none"/>
              </w:rPr>
              <w:t xml:space="preserve">根据文件列出的★号条款，按照序号逐项提供相关证明材料</w:t>
            </w:r>
            <w:r>
              <w:rPr>
                <w:rFonts w:hint="eastAsia" w:ascii="宋体" w:hAnsi="宋体"/>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9</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报价合理，或</w:t>
            </w:r>
            <w:r>
              <w:rPr>
                <w:rFonts w:hint="eastAsia"/>
                <w:color w:val="auto"/>
                <w:sz w:val="24"/>
                <w:highlight w:val="none"/>
              </w:rPr>
              <w:t xml:space="preserve">投标人的报价明显低于其他通过符合性审查投标人的报价，</w:t>
            </w:r>
            <w:r>
              <w:rPr>
                <w:color w:val="auto"/>
                <w:sz w:val="24"/>
                <w:highlight w:val="none"/>
              </w:rPr>
              <w:t xml:space="preserve">有可能影响产品质量或者不能诚信履约的</w:t>
            </w:r>
            <w:r>
              <w:rPr>
                <w:rFonts w:hint="eastAsia"/>
                <w:color w:val="auto"/>
                <w:sz w:val="24"/>
                <w:highlight w:val="none"/>
              </w:rPr>
              <w:t xml:space="preserve">，能够应评标委员会要求在规定时间内证明其报价合理性的</w:t>
            </w:r>
            <w:r>
              <w:rPr>
                <w:color w:val="auto"/>
                <w:sz w:val="24"/>
                <w:highlight w:val="none"/>
              </w:rPr>
              <w:t xml:space="preserve">；</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ascii="宋体" w:hAnsi="宋体" w:cs="宋体"/>
                <w:color w:val="auto"/>
                <w:sz w:val="24"/>
                <w:highlight w:val="none"/>
              </w:rPr>
              <w:t xml:space="preserve">11</w:t>
            </w:r>
            <w:r/>
          </w:p>
        </w:tc>
        <w:tc>
          <w:tcPr>
            <w:tcW w:w="1813" w:type="dxa"/>
            <w:vAlign w:val="center"/>
            <w:textDirection w:val="lrTb"/>
            <w:noWrap w:val="false"/>
          </w:tcPr>
          <w:p>
            <w:pPr>
              <w:jc w:val="center"/>
              <w:widowControl/>
              <w:rPr>
                <w:color w:val="auto"/>
                <w:sz w:val="24"/>
                <w:highlight w:val="none"/>
              </w:rPr>
            </w:pPr>
            <w:r>
              <w:rPr>
                <w:rFonts w:hint="eastAsia" w:ascii="宋体" w:hAnsi="宋体" w:cs="宋体"/>
                <w:color w:val="auto"/>
                <w:sz w:val="24"/>
                <w:highlight w:val="none"/>
              </w:rPr>
              <w:t xml:space="preserve">进口产品</w:t>
            </w:r>
            <w:r/>
          </w:p>
        </w:tc>
        <w:tc>
          <w:tcPr>
            <w:tcW w:w="6725" w:type="dxa"/>
            <w:vAlign w:val="center"/>
            <w:textDirection w:val="lrTb"/>
            <w:noWrap w:val="false"/>
          </w:tcPr>
          <w:p>
            <w:pPr>
              <w:widowControl/>
              <w:rPr>
                <w:color w:val="auto"/>
                <w:sz w:val="24"/>
                <w:highlight w:val="none"/>
              </w:rPr>
            </w:pPr>
            <w:r>
              <w:rPr>
                <w:rFonts w:hint="eastAsia" w:ascii="宋体" w:hAnsi="宋体" w:cs="宋体"/>
                <w:color w:val="auto"/>
                <w:sz w:val="24"/>
                <w:highlight w:val="none"/>
              </w:rPr>
              <w:t xml:space="preserve">招标文件不接受进口产品投标</w:t>
            </w:r>
            <w:r/>
          </w:p>
        </w:tc>
      </w:tr>
      <w:tr>
        <w:trPr>
          <w:jc w:val="center"/>
          <w:trHeight w:val="685"/>
        </w:trPr>
        <w:tc>
          <w:tcPr>
            <w:tcW w:w="750" w:type="dxa"/>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，提供证明文件</w:t>
            </w:r>
            <w:r>
              <w:rPr>
                <w:rFonts w:ascii="宋体" w:hAnsi="宋体" w:cs="宋体"/>
                <w:color w:val="auto"/>
                <w:sz w:val="24"/>
                <w:highlight w:val="none"/>
              </w:rPr>
              <w:t xml:space="preserve">电子件</w:t>
            </w:r>
            <w:r>
              <w:rPr>
                <w:rFonts w:hint="eastAsia"/>
                <w:color w:val="auto"/>
                <w:sz w:val="24"/>
                <w:highlight w:val="none"/>
              </w:rPr>
              <w:t xml:space="preserve">加盖投标人公章：</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w:t>
            </w:r>
            <w:r>
              <w:rPr>
                <w:b/>
                <w:bCs/>
                <w:color w:val="auto"/>
                <w:sz w:val="24"/>
                <w:highlight w:val="none"/>
              </w:rPr>
              <w:t xml:space="preserve">若属于</w:t>
            </w:r>
            <w:r>
              <w:rPr>
                <w:color w:val="auto"/>
                <w:sz w:val="24"/>
                <w:highlight w:val="none"/>
              </w:rPr>
              <w:t xml:space="preserve">《节能产品政府采购品目清单》范围中政府强制采购产品，则投标人所报产品必须获得国家确定的认证机构出具的、处于有效期之内的节能产品认证证书；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投标产品</w:t>
            </w:r>
            <w:r>
              <w:rPr>
                <w:b/>
                <w:bCs/>
                <w:color w:val="auto"/>
                <w:sz w:val="24"/>
                <w:highlight w:val="none"/>
              </w:rPr>
              <w:t xml:space="preserve">如涉及</w:t>
            </w:r>
            <w:r>
              <w:rPr>
                <w:color w:val="auto"/>
                <w:sz w:val="24"/>
                <w:highlight w:val="none"/>
              </w:rPr>
              <w:t xml:space="preserve">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rFonts w:hint="eastAsia"/>
                <w:color w:val="auto"/>
                <w:sz w:val="24"/>
                <w:highlight w:val="none"/>
              </w:rPr>
              <w:t xml:space="preserve">3）</w:t>
            </w:r>
            <w:r>
              <w:rPr>
                <w:color w:val="auto"/>
                <w:sz w:val="24"/>
                <w:highlight w:val="none"/>
              </w:rPr>
              <w:t xml:space="preserve">国家有特殊信息安全要求的项目，采购产品</w:t>
            </w:r>
            <w:r>
              <w:rPr>
                <w:b/>
                <w:bCs/>
                <w:color w:val="auto"/>
                <w:sz w:val="24"/>
                <w:highlight w:val="none"/>
              </w:rPr>
              <w:t xml:space="preserve">涉及</w:t>
            </w:r>
            <w:r>
              <w:rPr>
                <w:color w:val="auto"/>
                <w:sz w:val="24"/>
                <w:highlight w:val="none"/>
              </w:rPr>
              <w:t xml:space="preserve">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3</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4</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6725"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5</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750"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6</w:t>
            </w:r>
            <w:r/>
          </w:p>
        </w:tc>
        <w:tc>
          <w:tcPr>
            <w:tcW w:w="1813"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725" w:type="dxa"/>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numPr>
          <w:ilvl w:val="0"/>
          <w:numId w:val="14"/>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投标文件有关事项的澄清或者说明</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通过“苏采云”政府采购一体化平台系统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报价给予20%的扣除，用扣除后的价格参加评审。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投标文件的比较和评价</w:t>
      </w:r>
      <w:bookmarkEnd w:id="729"/>
      <w:r/>
      <w:bookmarkEnd w:id="730"/>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  /  </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2"/>
          <w:numId w:val="14"/>
        </w:numPr>
        <w:ind w:left="2035"/>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14"/>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746" w:name="_Toc226309790"/>
      <w:r/>
      <w:bookmarkStart w:id="747" w:name="_Toc150509297"/>
      <w:r/>
      <w:bookmarkStart w:id="748" w:name="_Toc226337242"/>
      <w:r/>
      <w:bookmarkStart w:id="749" w:name="_Toc151193716"/>
      <w:r/>
      <w:bookmarkStart w:id="750" w:name="_Toc151193644"/>
      <w:r/>
      <w:bookmarkStart w:id="751" w:name="_Toc305158888"/>
      <w:r/>
      <w:bookmarkStart w:id="752" w:name="_Toc151190173"/>
      <w:r/>
      <w:bookmarkStart w:id="753" w:name="_Toc127161460"/>
      <w:r/>
      <w:bookmarkStart w:id="754" w:name="_Toc142311048"/>
      <w:r/>
      <w:bookmarkStart w:id="755" w:name="_Toc127151747"/>
      <w:r/>
      <w:bookmarkStart w:id="756" w:name="_Toc226965736"/>
      <w:r/>
      <w:bookmarkStart w:id="757" w:name="_Toc226965819"/>
      <w:r/>
      <w:bookmarkStart w:id="758" w:name="_Toc150480784"/>
      <w:r/>
      <w:bookmarkStart w:id="759" w:name="_Toc164608660"/>
      <w:r/>
      <w:bookmarkStart w:id="760" w:name="_Toc265228384"/>
      <w:r/>
      <w:bookmarkStart w:id="761" w:name="_Toc195842911"/>
      <w:r/>
      <w:bookmarkStart w:id="762" w:name="_Toc151193788"/>
      <w:r/>
      <w:bookmarkStart w:id="763" w:name="_Toc164351640"/>
      <w:r/>
      <w:bookmarkStart w:id="764" w:name="_Toc151193860"/>
      <w:r/>
      <w:bookmarkStart w:id="765" w:name="_Toc164229241"/>
      <w:r/>
      <w:bookmarkStart w:id="766" w:name="_Toc305158814"/>
      <w:r/>
      <w:bookmarkStart w:id="767" w:name="_Ref467307010"/>
      <w:r/>
      <w:bookmarkStart w:id="768" w:name="_Toc150774646"/>
      <w:r/>
      <w:bookmarkStart w:id="769" w:name="_Toc127151546"/>
      <w:r/>
      <w:bookmarkStart w:id="770" w:name="_Toc264969236"/>
      <w:r/>
      <w:bookmarkStart w:id="771" w:name="_Toc520356170"/>
      <w:r/>
      <w:bookmarkStart w:id="772" w:name="_Toc151193934"/>
      <w:r/>
      <w:bookmarkStart w:id="773" w:name="_Toc164608815"/>
      <w:r/>
      <w:bookmarkStart w:id="774" w:name="_Toc150774751"/>
      <w:r/>
      <w:bookmarkStart w:id="775" w:name="_Toc149720839"/>
      <w:r/>
      <w:bookmarkStart w:id="776" w:name="_Toc164229387"/>
      <w:r>
        <w:rPr>
          <w:rFonts w:hint="eastAsia" w:ascii="宋体" w:hAnsi="宋体" w:cs="宋体"/>
          <w:color w:val="auto"/>
          <w:sz w:val="24"/>
          <w:highlight w:val="none"/>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numPr>
          <w:ilvl w:val="1"/>
          <w:numId w:val="14"/>
        </w:numPr>
        <w:ind w:left="1077" w:hanging="720"/>
        <w:spacing w:line="360" w:lineRule="auto"/>
        <w:tabs>
          <w:tab w:val="left" w:pos="10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24"/>
        <w:ind w:left="993" w:firstLine="136"/>
        <w:spacing w:line="360" w:lineRule="auto"/>
        <w:tabs>
          <w:tab w:val="left" w:pos="900" w:leader="none"/>
          <w:tab w:val="left" w:pos="2127" w:leader="none"/>
        </w:tabs>
        <w:rPr>
          <w:rFonts w:hint="default" w:hAnsi="宋体" w:cs="宋体"/>
          <w:color w:val="auto"/>
          <w:sz w:val="24"/>
          <w:szCs w:val="24"/>
          <w:highlight w:val="none"/>
        </w:rPr>
      </w:pPr>
      <w:r>
        <w:rPr>
          <w:rFonts w:hAnsi="宋体" w:cs="宋体"/>
          <w:color w:val="auto"/>
          <w:sz w:val="24"/>
          <w:szCs w:val="24"/>
          <w:highlight w:val="none"/>
        </w:rPr>
        <w:t xml:space="preserve">■随机抽取</w:t>
      </w:r>
      <w:r/>
    </w:p>
    <w:p>
      <w:pPr>
        <w:pStyle w:val="1224"/>
        <w:ind w:left="993" w:firstLine="136"/>
        <w:spacing w:line="360" w:lineRule="auto"/>
        <w:tabs>
          <w:tab w:val="left" w:pos="900" w:leader="none"/>
          <w:tab w:val="left" w:pos="2127" w:leader="none"/>
        </w:tabs>
        <w:rPr>
          <w:rFonts w:hint="default"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szCs w:val="24"/>
          <w:highlight w:val="none"/>
          <w:u w:val="single"/>
        </w:rPr>
        <w:t xml:space="preserve">  /  </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评标委员会要对评分汇总情况进行复核，特别是对排名第一的、报价最低的、投标文件被认定为无效的情形进行重点复核。</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评标委员会将根据各投标人的评标排序，依次推荐本项目的中标候选人，起草并签署评标报告。本项目评标委员会共推荐不少于3名中标候选人。</w:t>
      </w:r>
      <w:r/>
    </w:p>
    <w:p>
      <w:pPr>
        <w:numPr>
          <w:ilvl w:val="0"/>
          <w:numId w:val="14"/>
        </w:numPr>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p>
    <w:p>
      <w:pPr>
        <w:numPr>
          <w:ilvl w:val="1"/>
          <w:numId w:val="14"/>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w:t>
      </w:r>
      <w:r>
        <w:rPr>
          <w:color w:val="auto"/>
          <w:sz w:val="24"/>
          <w:highlight w:val="none"/>
        </w:rPr>
        <w:t xml:space="preserve">采购人</w:t>
      </w:r>
      <w:r>
        <w:rPr>
          <w:rFonts w:hint="eastAsia" w:ascii="宋体" w:hAnsi="宋体" w:cs="宋体"/>
          <w:color w:val="auto"/>
          <w:sz w:val="24"/>
          <w:highlight w:val="none"/>
        </w:rPr>
        <w:t xml:space="preserve">、采购代理机构或者有关部门报告的职责。</w:t>
      </w:r>
      <w:r/>
    </w:p>
    <w:p>
      <w:pPr>
        <w:jc w:val="center"/>
        <w:spacing w:line="360" w:lineRule="auto"/>
        <w:widowControl/>
        <w:rPr>
          <w:rFonts w:ascii="宋体" w:hAnsi="宋体"/>
          <w:b/>
          <w:bCs/>
          <w:color w:val="auto"/>
          <w:sz w:val="28"/>
          <w:szCs w:val="28"/>
          <w:highlight w:val="none"/>
        </w:rPr>
      </w:pPr>
      <w:r>
        <w:rPr>
          <w:rFonts w:hint="eastAsia" w:ascii="宋体" w:hAnsi="宋体" w:cs="宋体"/>
          <w:b/>
          <w:color w:val="auto"/>
          <w:sz w:val="24"/>
          <w:highlight w:val="none"/>
        </w:rPr>
        <w:br w:type="page" w:clear="all"/>
      </w:r>
      <w:r>
        <w:rPr>
          <w:rFonts w:hint="eastAsia" w:ascii="宋体" w:hAnsi="宋体"/>
          <w:b/>
          <w:bCs/>
          <w:color w:val="auto"/>
          <w:sz w:val="28"/>
          <w:szCs w:val="28"/>
          <w:highlight w:val="none"/>
        </w:rPr>
        <w:t xml:space="preserve">二、评标标准</w:t>
      </w:r>
      <w:r/>
    </w:p>
    <w:tbl>
      <w:tblPr>
        <w:tblStyle w:val="969"/>
        <w:tblW w:w="5836" w:type="pct"/>
        <w:jc w:val="center"/>
        <w:tblLayout w:type="autofit"/>
        <w:tblCellMar>
          <w:left w:w="0" w:type="dxa"/>
          <w:top w:w="0" w:type="dxa"/>
          <w:right w:w="0" w:type="dxa"/>
          <w:bottom w:w="0" w:type="dxa"/>
        </w:tblCellMar>
        <w:tblLook w:val="04A0" w:firstRow="1" w:lastRow="0" w:firstColumn="1" w:lastColumn="0" w:noHBand="0" w:noVBand="1"/>
      </w:tblPr>
      <w:tblGrid>
        <w:gridCol w:w="632"/>
        <w:gridCol w:w="1647"/>
        <w:gridCol w:w="4503"/>
        <w:gridCol w:w="746"/>
        <w:gridCol w:w="2304"/>
      </w:tblGrid>
      <w:tr>
        <w:trPr>
          <w:jc w:val="center"/>
          <w:trHeight w:val="42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bookmarkStart w:id="777" w:name="_Toc14891"/>
            <w:r>
              <w:rPr>
                <w:rFonts w:hint="eastAsia" w:ascii="宋体" w:hAnsi="宋体"/>
                <w:color w:val="auto"/>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color w:val="auto"/>
                <w:highlight w:val="none"/>
              </w:rPr>
            </w:pPr>
            <w:r>
              <w:rPr>
                <w:rFonts w:hint="eastAsia" w:ascii="宋体" w:hAnsi="宋体"/>
                <w:color w:val="auto"/>
                <w:highlight w:val="none"/>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center"/>
              <w:rPr>
                <w:color w:val="auto"/>
                <w:highlight w:val="none"/>
              </w:rPr>
            </w:pPr>
            <w:r>
              <w:rPr>
                <w:rFonts w:hint="eastAsia" w:ascii="宋体" w:hAnsi="宋体"/>
                <w:color w:val="auto"/>
                <w:highlight w:val="none"/>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center"/>
              <w:rPr>
                <w:color w:val="auto"/>
                <w:highlight w:val="none"/>
              </w:rPr>
            </w:pPr>
            <w:r>
              <w:rPr>
                <w:rFonts w:hint="eastAsia" w:ascii="宋体" w:hAnsi="宋体"/>
                <w:color w:val="auto"/>
                <w:highlight w:val="none"/>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center"/>
              <w:rPr>
                <w:color w:val="auto"/>
                <w:highlight w:val="none"/>
              </w:rPr>
            </w:pPr>
            <w:r>
              <w:rPr>
                <w:rFonts w:hint="eastAsia" w:ascii="宋体" w:hAnsi="宋体"/>
                <w:color w:val="auto"/>
                <w:highlight w:val="none"/>
              </w:rPr>
              <w:t xml:space="preserve">评审材料</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rFonts w:hint="eastAsia"/>
                <w:color w:val="auto"/>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color w:val="auto"/>
                <w:highlight w:val="none"/>
              </w:rPr>
            </w:pPr>
            <w:r>
              <w:rPr>
                <w:rFonts w:hint="eastAsia" w:ascii="宋体" w:hAnsi="宋体"/>
                <w:color w:val="auto"/>
                <w:highlight w:val="none"/>
              </w:rPr>
              <w:t xml:space="preserve">价格分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color w:val="auto"/>
                <w:highlight w:val="none"/>
              </w:rPr>
            </w:pPr>
            <w:r>
              <w:rPr>
                <w:rFonts w:hint="eastAsia" w:ascii="宋体" w:hAnsi="宋体"/>
                <w:color w:val="auto"/>
                <w:highlight w:val="none"/>
              </w:rPr>
              <w:t xml:space="preserve">采用低价优先法计算，即满足招标文件要求且投标价格最低的投标报价为评标基准价，其价格分为满分。其他投标人的价格分统一按照下列公式计算： 投标报价得分</w:t>
            </w:r>
            <w:r>
              <w:rPr>
                <w:rFonts w:hint="eastAsia"/>
                <w:color w:val="auto"/>
                <w:highlight w:val="none"/>
              </w:rPr>
              <w:t xml:space="preserve">=(</w:t>
            </w:r>
            <w:r>
              <w:rPr>
                <w:rFonts w:hint="eastAsia" w:ascii="宋体" w:hAnsi="宋体"/>
                <w:color w:val="auto"/>
                <w:highlight w:val="none"/>
              </w:rPr>
              <w:t xml:space="preserve">评标基准价／投标报价</w:t>
            </w:r>
            <w:r>
              <w:rPr>
                <w:rFonts w:hint="eastAsia"/>
                <w:color w:val="auto"/>
                <w:highlight w:val="none"/>
              </w:rPr>
              <w:t xml:space="preserve">)</w:t>
            </w:r>
            <w:r>
              <w:rPr>
                <w:rFonts w:hint="eastAsia" w:ascii="宋体" w:hAnsi="宋体"/>
                <w:color w:val="auto"/>
                <w:highlight w:val="none"/>
              </w:rPr>
              <w:t xml:space="preserve">×</w:t>
            </w:r>
            <w:r>
              <w:rPr>
                <w:rFonts w:hint="eastAsia"/>
                <w:color w:val="auto"/>
                <w:highlight w:val="none"/>
              </w:rPr>
              <w:t xml:space="preserve">3</w:t>
            </w:r>
            <w:r>
              <w:rPr>
                <w:color w:val="auto"/>
                <w:highlight w:val="none"/>
              </w:rPr>
              <w:t xml:space="preserve">0</w:t>
            </w:r>
            <w:r>
              <w:rPr>
                <w:rFonts w:hint="eastAsia"/>
                <w:color w:val="auto"/>
                <w:highlight w:val="none"/>
              </w:rPr>
              <w:t xml:space="preserve">%</w:t>
            </w:r>
            <w:r>
              <w:rPr>
                <w:rFonts w:hint="eastAsia" w:ascii="宋体" w:hAnsi="宋体"/>
                <w:color w:val="auto"/>
                <w:highlight w:val="none"/>
              </w:rPr>
              <w:t xml:space="preserve">×</w:t>
            </w:r>
            <w:r>
              <w:rPr>
                <w:rFonts w:hint="eastAsia"/>
                <w:color w:val="auto"/>
                <w:highlight w:val="none"/>
              </w:rPr>
              <w:t xml:space="preserve">100</w:t>
            </w:r>
            <w:r>
              <w:rPr>
                <w:rFonts w:hint="eastAsia" w:ascii="宋体" w:hAnsi="宋体"/>
                <w:color w:val="auto"/>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color w:val="auto"/>
                <w:highlight w:val="none"/>
              </w:rPr>
            </w:pPr>
            <w:r>
              <w:rPr>
                <w:rFonts w:hint="eastAsia"/>
                <w:color w:val="auto"/>
                <w:highlight w:val="none"/>
              </w:rPr>
              <w:t xml:space="preserve">3</w:t>
            </w:r>
            <w:r>
              <w:rPr>
                <w:color w:val="auto"/>
                <w:highlight w:val="none"/>
              </w:rPr>
              <w:t xml:space="preserve">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color w:val="auto"/>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color w:val="auto"/>
                <w:highlight w:val="none"/>
              </w:rPr>
            </w:pPr>
            <w:r>
              <w:rPr>
                <w:rFonts w:hint="eastAsia" w:ascii="宋体" w:hAnsi="宋体"/>
                <w:color w:val="auto"/>
                <w:highlight w:val="none"/>
              </w:rPr>
              <w:t xml:space="preserve">主观分</w:t>
            </w:r>
            <w:r/>
          </w:p>
          <w:p>
            <w:pPr>
              <w:jc w:val="center"/>
              <w:rPr>
                <w:color w:val="auto"/>
                <w:highlight w:val="none"/>
              </w:rPr>
            </w:pPr>
            <w:r>
              <w:rPr>
                <w:rFonts w:hint="eastAsia" w:ascii="宋体" w:hAnsi="宋体"/>
                <w:color w:val="auto"/>
                <w:highlight w:val="none"/>
              </w:rPr>
              <w:t xml:space="preserve">（技术分）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color w:val="auto"/>
                <w:highlight w:val="none"/>
              </w:rPr>
            </w:pP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color w:val="auto"/>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bCs/>
                <w:color w:val="auto"/>
                <w:highlight w:val="none"/>
              </w:rPr>
            </w:pPr>
            <w:r>
              <w:rPr>
                <w:rFonts w:hint="eastAsia" w:ascii="宋体" w:hAnsi="宋体"/>
                <w:color w:val="auto"/>
                <w:highlight w:val="none"/>
              </w:rPr>
              <w:t xml:space="preserve">实施方案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rFonts w:hint="eastAsia"/>
                <w:bCs/>
                <w:color w:val="auto"/>
                <w:highlight w:val="none"/>
                <w:lang w:val="en-US"/>
              </w:rPr>
            </w:pPr>
            <w:r>
              <w:rPr>
                <w:rFonts w:hint="eastAsia"/>
                <w:bCs/>
                <w:color w:val="auto"/>
                <w:highlight w:val="none"/>
                <w:lang w:eastAsia="zh-CN"/>
              </w:rPr>
              <w:t xml:space="preserve">投标人</w:t>
            </w:r>
            <w:r>
              <w:rPr>
                <w:rFonts w:hint="eastAsia"/>
                <w:bCs/>
                <w:color w:val="auto"/>
                <w:highlight w:val="none"/>
              </w:rPr>
              <w:t xml:space="preserve">需根据</w:t>
            </w:r>
            <w:r>
              <w:rPr>
                <w:rFonts w:hint="eastAsia"/>
                <w:bCs/>
                <w:color w:val="auto"/>
                <w:highlight w:val="none"/>
                <w:lang w:eastAsia="zh-CN"/>
              </w:rPr>
              <w:t xml:space="preserve">招标文件</w:t>
            </w:r>
            <w:r>
              <w:rPr>
                <w:rFonts w:hint="eastAsia"/>
                <w:bCs/>
                <w:color w:val="auto"/>
                <w:highlight w:val="none"/>
              </w:rPr>
              <w:t xml:space="preserve">的要求，</w:t>
            </w:r>
            <w:r>
              <w:rPr>
                <w:rFonts w:hint="eastAsia"/>
                <w:bCs/>
                <w:color w:val="auto"/>
                <w:highlight w:val="none"/>
                <w:lang w:val="en-US" w:eastAsia="zh-CN"/>
              </w:rPr>
              <w:t xml:space="preserve">提供完整的项目实施方案:包括施工组织、进度控制及措施、质量保证及措施、具体施工方法。根据实施方案的全面性、完整性、科学性等进行评审，本项最高得9分。</w:t>
            </w:r>
            <w:r/>
          </w:p>
          <w:p>
            <w:pPr>
              <w:jc w:val="left"/>
              <w:rPr>
                <w:rFonts w:hint="eastAsia"/>
                <w:bCs/>
                <w:color w:val="auto"/>
                <w:highlight w:val="none"/>
              </w:rPr>
            </w:pPr>
            <w:r>
              <w:rPr>
                <w:rFonts w:hint="eastAsia"/>
                <w:bCs/>
                <w:color w:val="auto"/>
                <w:highlight w:val="none"/>
              </w:rPr>
              <w:t xml:space="preserve">1）方案</w:t>
            </w:r>
            <w:r>
              <w:rPr>
                <w:rFonts w:hint="eastAsia"/>
                <w:bCs/>
                <w:color w:val="auto"/>
                <w:highlight w:val="none"/>
                <w:lang w:eastAsia="zh-CN"/>
              </w:rPr>
              <w:t xml:space="preserve">全面</w:t>
            </w:r>
            <w:r>
              <w:rPr>
                <w:rFonts w:hint="eastAsia"/>
                <w:bCs/>
                <w:color w:val="auto"/>
                <w:highlight w:val="none"/>
              </w:rPr>
              <w:t xml:space="preserve">、</w:t>
            </w:r>
            <w:r>
              <w:rPr>
                <w:rFonts w:hint="eastAsia"/>
                <w:bCs/>
                <w:color w:val="auto"/>
                <w:highlight w:val="none"/>
                <w:lang w:eastAsia="zh-CN"/>
              </w:rPr>
              <w:t xml:space="preserve">完整</w:t>
            </w:r>
            <w:r>
              <w:rPr>
                <w:rFonts w:hint="eastAsia"/>
                <w:bCs/>
                <w:color w:val="auto"/>
                <w:highlight w:val="none"/>
              </w:rPr>
              <w:t xml:space="preserve">、</w:t>
            </w:r>
            <w:r>
              <w:rPr>
                <w:rFonts w:hint="eastAsia"/>
                <w:bCs/>
                <w:color w:val="auto"/>
                <w:highlight w:val="none"/>
                <w:lang w:eastAsia="zh-CN"/>
              </w:rPr>
              <w:t xml:space="preserve">科学</w:t>
            </w:r>
            <w:r>
              <w:rPr>
                <w:rFonts w:hint="eastAsia"/>
                <w:bCs/>
                <w:color w:val="auto"/>
                <w:highlight w:val="none"/>
              </w:rPr>
              <w:t xml:space="preserve">，</w:t>
            </w:r>
            <w:r>
              <w:rPr>
                <w:rFonts w:hint="eastAsia"/>
                <w:bCs/>
                <w:color w:val="auto"/>
                <w:highlight w:val="none"/>
                <w:lang w:eastAsia="zh-CN"/>
              </w:rPr>
              <w:t xml:space="preserve">完全满足且</w:t>
            </w:r>
            <w:r>
              <w:rPr>
                <w:rFonts w:hint="eastAsia"/>
                <w:bCs/>
                <w:color w:val="auto"/>
                <w:highlight w:val="none"/>
              </w:rPr>
              <w:t xml:space="preserve">有利项目开展的，得</w:t>
            </w:r>
            <w:r>
              <w:rPr>
                <w:rFonts w:hint="eastAsia"/>
                <w:bCs/>
                <w:color w:val="auto"/>
                <w:highlight w:val="none"/>
                <w:lang w:val="en-US" w:eastAsia="zh-CN"/>
              </w:rPr>
              <w:t xml:space="preserve">9</w:t>
            </w:r>
            <w:r>
              <w:rPr>
                <w:rFonts w:hint="eastAsia"/>
                <w:bCs/>
                <w:color w:val="auto"/>
                <w:highlight w:val="none"/>
              </w:rPr>
              <w:t xml:space="preserve">分；</w:t>
            </w:r>
            <w:r/>
          </w:p>
          <w:p>
            <w:pPr>
              <w:jc w:val="left"/>
              <w:rPr>
                <w:rFonts w:hint="eastAsia"/>
                <w:bCs/>
                <w:color w:val="auto"/>
                <w:highlight w:val="none"/>
              </w:rPr>
            </w:pPr>
            <w:r>
              <w:rPr>
                <w:rFonts w:hint="eastAsia"/>
                <w:bCs/>
                <w:color w:val="auto"/>
                <w:highlight w:val="none"/>
              </w:rPr>
              <w:t xml:space="preserve">2）方案较</w:t>
            </w:r>
            <w:r>
              <w:rPr>
                <w:rFonts w:hint="eastAsia"/>
                <w:bCs/>
                <w:color w:val="auto"/>
                <w:highlight w:val="none"/>
                <w:lang w:eastAsia="zh-CN"/>
              </w:rPr>
              <w:t xml:space="preserve">全面</w:t>
            </w:r>
            <w:r>
              <w:rPr>
                <w:rFonts w:hint="eastAsia"/>
                <w:bCs/>
                <w:color w:val="auto"/>
                <w:highlight w:val="none"/>
              </w:rPr>
              <w:t xml:space="preserve">、较</w:t>
            </w:r>
            <w:r>
              <w:rPr>
                <w:rFonts w:hint="eastAsia"/>
                <w:bCs/>
                <w:color w:val="auto"/>
                <w:highlight w:val="none"/>
                <w:lang w:eastAsia="zh-CN"/>
              </w:rPr>
              <w:t xml:space="preserve">完整</w:t>
            </w:r>
            <w:r>
              <w:rPr>
                <w:rFonts w:hint="eastAsia"/>
                <w:bCs/>
                <w:color w:val="auto"/>
                <w:highlight w:val="none"/>
              </w:rPr>
              <w:t xml:space="preserve">、较</w:t>
            </w:r>
            <w:r>
              <w:rPr>
                <w:rFonts w:hint="eastAsia"/>
                <w:bCs/>
                <w:color w:val="auto"/>
                <w:highlight w:val="none"/>
                <w:lang w:eastAsia="zh-CN"/>
              </w:rPr>
              <w:t xml:space="preserve">科学</w:t>
            </w:r>
            <w:r>
              <w:rPr>
                <w:rFonts w:hint="eastAsia"/>
                <w:bCs/>
                <w:color w:val="auto"/>
                <w:highlight w:val="none"/>
              </w:rPr>
              <w:t xml:space="preserve">，</w:t>
            </w:r>
            <w:r>
              <w:rPr>
                <w:rFonts w:hint="eastAsia"/>
                <w:bCs/>
                <w:color w:val="auto"/>
                <w:highlight w:val="none"/>
                <w:lang w:eastAsia="zh-CN"/>
              </w:rPr>
              <w:t xml:space="preserve">满足</w:t>
            </w:r>
            <w:r>
              <w:rPr>
                <w:rFonts w:hint="eastAsia"/>
                <w:bCs/>
                <w:color w:val="auto"/>
                <w:highlight w:val="none"/>
              </w:rPr>
              <w:t xml:space="preserve">项目</w:t>
            </w:r>
            <w:r>
              <w:rPr>
                <w:rFonts w:hint="eastAsia"/>
                <w:bCs/>
                <w:color w:val="auto"/>
                <w:highlight w:val="none"/>
                <w:lang w:eastAsia="zh-CN"/>
              </w:rPr>
              <w:t xml:space="preserve">需求</w:t>
            </w:r>
            <w:r>
              <w:rPr>
                <w:rFonts w:hint="eastAsia"/>
                <w:bCs/>
                <w:color w:val="auto"/>
                <w:highlight w:val="none"/>
              </w:rPr>
              <w:t xml:space="preserve">的，得</w:t>
            </w:r>
            <w:r>
              <w:rPr>
                <w:rFonts w:hint="eastAsia"/>
                <w:bCs/>
                <w:color w:val="auto"/>
                <w:highlight w:val="none"/>
                <w:lang w:val="en-US" w:eastAsia="zh-CN"/>
              </w:rPr>
              <w:t xml:space="preserve">6</w:t>
            </w:r>
            <w:r>
              <w:rPr>
                <w:rFonts w:hint="eastAsia"/>
                <w:bCs/>
                <w:color w:val="auto"/>
                <w:highlight w:val="none"/>
              </w:rPr>
              <w:t xml:space="preserve">分；</w:t>
            </w:r>
            <w:r/>
          </w:p>
          <w:p>
            <w:pPr>
              <w:jc w:val="left"/>
              <w:rPr>
                <w:rFonts w:hint="eastAsia"/>
                <w:bCs/>
                <w:color w:val="auto"/>
                <w:highlight w:val="none"/>
                <w:lang w:val="en-US" w:eastAsia="zh-CN"/>
              </w:rPr>
            </w:pPr>
            <w:r>
              <w:rPr>
                <w:rFonts w:hint="eastAsia"/>
                <w:bCs/>
                <w:color w:val="auto"/>
                <w:highlight w:val="none"/>
              </w:rPr>
              <w:t xml:space="preserve">3）</w:t>
            </w:r>
            <w:r>
              <w:rPr>
                <w:rFonts w:hint="eastAsia"/>
                <w:bCs/>
                <w:color w:val="auto"/>
                <w:highlight w:val="none"/>
                <w:lang w:eastAsia="zh-CN"/>
              </w:rPr>
              <w:t xml:space="preserve">方案有少许缺漏项，</w:t>
            </w:r>
            <w:r>
              <w:rPr>
                <w:rFonts w:hint="eastAsia"/>
                <w:bCs/>
                <w:color w:val="auto"/>
                <w:highlight w:val="none"/>
                <w:lang w:val="en-US" w:eastAsia="zh-CN"/>
              </w:rPr>
              <w:t xml:space="preserve">基本满足项目需求的，得3分；</w:t>
            </w:r>
            <w:r/>
          </w:p>
          <w:p>
            <w:pPr>
              <w:jc w:val="left"/>
              <w:rPr>
                <w:rFonts w:hint="eastAsia"/>
                <w:bCs/>
                <w:color w:val="auto"/>
                <w:highlight w:val="none"/>
              </w:rPr>
            </w:pPr>
            <w:r>
              <w:rPr>
                <w:rFonts w:hint="eastAsia"/>
                <w:bCs/>
                <w:color w:val="auto"/>
                <w:highlight w:val="none"/>
                <w:lang w:val="en-US" w:eastAsia="zh-CN"/>
              </w:rPr>
              <w:t xml:space="preserve">4）</w:t>
            </w:r>
            <w:r>
              <w:rPr>
                <w:rFonts w:hint="eastAsia"/>
                <w:bCs/>
                <w:color w:val="auto"/>
                <w:highlight w:val="none"/>
              </w:rPr>
              <w:t xml:space="preserve">方案</w:t>
            </w:r>
            <w:r>
              <w:rPr>
                <w:rFonts w:hint="eastAsia"/>
                <w:bCs/>
                <w:color w:val="auto"/>
                <w:highlight w:val="none"/>
                <w:lang w:eastAsia="zh-CN"/>
              </w:rPr>
              <w:t xml:space="preserve">缺漏项较多，片面</w:t>
            </w:r>
            <w:r>
              <w:rPr>
                <w:rFonts w:hint="eastAsia"/>
                <w:bCs/>
                <w:color w:val="auto"/>
                <w:highlight w:val="none"/>
              </w:rPr>
              <w:t xml:space="preserve">、欠缺的，得</w:t>
            </w:r>
            <w:r>
              <w:rPr>
                <w:rFonts w:hint="eastAsia"/>
                <w:bCs/>
                <w:color w:val="auto"/>
                <w:highlight w:val="none"/>
                <w:lang w:val="en-US" w:eastAsia="zh-CN"/>
              </w:rPr>
              <w:t xml:space="preserve">1</w:t>
            </w:r>
            <w:r>
              <w:rPr>
                <w:rFonts w:hint="eastAsia"/>
                <w:bCs/>
                <w:color w:val="auto"/>
                <w:highlight w:val="none"/>
              </w:rPr>
              <w:t xml:space="preserve">分；</w:t>
            </w:r>
            <w:r/>
          </w:p>
          <w:p>
            <w:pPr>
              <w:jc w:val="left"/>
              <w:rPr>
                <w:bCs/>
                <w:color w:val="auto"/>
                <w:highlight w:val="none"/>
              </w:rPr>
            </w:pPr>
            <w:r>
              <w:rPr>
                <w:rFonts w:hint="eastAsia"/>
                <w:bCs/>
                <w:color w:val="auto"/>
                <w:highlight w:val="none"/>
                <w:lang w:val="en-US" w:eastAsia="zh-CN"/>
              </w:rPr>
              <w:t xml:space="preserve">5</w:t>
            </w:r>
            <w:r>
              <w:rPr>
                <w:rFonts w:hint="eastAsia"/>
                <w:bCs/>
                <w:color w:val="auto"/>
                <w:highlight w:val="none"/>
              </w:rPr>
              <w:t xml:space="preserve">）未提供方案的不得分。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ascii="宋体" w:hAnsi="宋体" w:eastAsia="宋体"/>
                <w:color w:val="auto"/>
                <w:highlight w:val="none"/>
                <w:lang w:eastAsia="zh-CN"/>
              </w:rPr>
            </w:pPr>
            <w:r>
              <w:rPr>
                <w:rFonts w:hint="eastAsia"/>
                <w:color w:val="auto"/>
                <w:highlight w:val="none"/>
                <w:lang w:val="en-US" w:eastAsia="zh-CN"/>
              </w:rPr>
              <w:t xml:space="preserve">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color w:val="auto"/>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color w:val="auto"/>
                <w:highlight w:val="none"/>
              </w:rPr>
            </w:pPr>
            <w:r>
              <w:rPr>
                <w:rFonts w:hint="eastAsia" w:ascii="宋体" w:hAnsi="宋体"/>
                <w:color w:val="auto"/>
                <w:highlight w:val="none"/>
              </w:rPr>
              <w:t xml:space="preserve">售后服务方案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lang w:eastAsia="zh-CN"/>
              </w:rPr>
              <w:t xml:space="preserve">投标人</w:t>
            </w:r>
            <w:r>
              <w:rPr>
                <w:rFonts w:hint="eastAsia" w:ascii="宋体" w:hAnsi="宋体"/>
                <w:color w:val="auto"/>
                <w:highlight w:val="none"/>
              </w:rPr>
              <w:t xml:space="preserve">需根据</w:t>
            </w:r>
            <w:r>
              <w:rPr>
                <w:rFonts w:hint="eastAsia" w:ascii="宋体" w:hAnsi="宋体"/>
                <w:color w:val="auto"/>
                <w:highlight w:val="none"/>
                <w:lang w:eastAsia="zh-CN"/>
              </w:rPr>
              <w:t xml:space="preserve">招标文件</w:t>
            </w:r>
            <w:r>
              <w:rPr>
                <w:rFonts w:hint="eastAsia" w:ascii="宋体" w:hAnsi="宋体"/>
                <w:color w:val="auto"/>
                <w:highlight w:val="none"/>
              </w:rPr>
              <w:t xml:space="preserve">的要求，提供详细的售后服务方案，包括</w:t>
            </w:r>
            <w:r>
              <w:rPr>
                <w:rFonts w:hint="eastAsia" w:ascii="宋体" w:hAnsi="宋体"/>
                <w:color w:val="auto"/>
                <w:highlight w:val="none"/>
                <w:lang w:eastAsia="zh-CN"/>
              </w:rPr>
              <w:t xml:space="preserve">质保期限、</w:t>
            </w:r>
            <w:r>
              <w:rPr>
                <w:rFonts w:hint="eastAsia" w:ascii="宋体" w:hAnsi="宋体"/>
                <w:color w:val="auto"/>
                <w:highlight w:val="none"/>
              </w:rPr>
              <w:t xml:space="preserve">故障响应时间、重大故障的应急预案和措施、维保备件的安排、本地化服务能力等情况，本项最高得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jc w:val="left"/>
              <w:rPr>
                <w:rFonts w:hint="eastAsia" w:ascii="宋体" w:hAnsi="宋体"/>
                <w:color w:val="auto"/>
                <w:highlight w:val="none"/>
              </w:rPr>
            </w:pPr>
            <w:r>
              <w:rPr>
                <w:rFonts w:hint="eastAsia" w:ascii="宋体" w:hAnsi="宋体"/>
                <w:color w:val="auto"/>
                <w:highlight w:val="none"/>
              </w:rPr>
              <w:t xml:space="preserve">1）方案</w:t>
            </w:r>
            <w:r>
              <w:rPr>
                <w:rFonts w:hint="eastAsia" w:ascii="宋体" w:hAnsi="宋体"/>
                <w:color w:val="auto"/>
                <w:highlight w:val="none"/>
                <w:lang w:eastAsia="zh-CN"/>
              </w:rPr>
              <w:t xml:space="preserve">思路清晰、针对性强</w:t>
            </w:r>
            <w:r>
              <w:rPr>
                <w:rFonts w:hint="eastAsia" w:ascii="宋体" w:hAnsi="宋体"/>
                <w:color w:val="auto"/>
                <w:highlight w:val="none"/>
              </w:rPr>
              <w:t xml:space="preserve">，</w:t>
            </w:r>
            <w:r>
              <w:rPr>
                <w:rFonts w:hint="eastAsia" w:ascii="宋体" w:hAnsi="宋体"/>
                <w:color w:val="auto"/>
                <w:highlight w:val="none"/>
                <w:lang w:eastAsia="zh-CN"/>
              </w:rPr>
              <w:t xml:space="preserve">描述明确合理，利于开展售后服务要的，</w:t>
            </w:r>
            <w:r>
              <w:rPr>
                <w:rFonts w:hint="eastAsia" w:ascii="宋体" w:hAnsi="宋体"/>
                <w:color w:val="auto"/>
                <w:highlight w:val="none"/>
              </w:rPr>
              <w:t xml:space="preserve">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jc w:val="left"/>
              <w:rPr>
                <w:rFonts w:hint="eastAsia" w:ascii="宋体" w:hAnsi="宋体"/>
                <w:color w:val="auto"/>
                <w:highlight w:val="none"/>
              </w:rPr>
            </w:pPr>
            <w:r>
              <w:rPr>
                <w:rFonts w:hint="eastAsia" w:ascii="宋体" w:hAnsi="宋体"/>
                <w:color w:val="auto"/>
                <w:highlight w:val="none"/>
              </w:rPr>
              <w:t xml:space="preserve">2）方案</w:t>
            </w:r>
            <w:r>
              <w:rPr>
                <w:rFonts w:hint="eastAsia" w:ascii="宋体" w:hAnsi="宋体"/>
                <w:color w:val="auto"/>
                <w:highlight w:val="none"/>
                <w:lang w:eastAsia="zh-CN"/>
              </w:rPr>
              <w:t xml:space="preserve">思路较清晰、针对性较强</w:t>
            </w:r>
            <w:r>
              <w:rPr>
                <w:rFonts w:hint="eastAsia" w:ascii="宋体" w:hAnsi="宋体"/>
                <w:color w:val="auto"/>
                <w:highlight w:val="none"/>
              </w:rPr>
              <w:t xml:space="preserve">，</w:t>
            </w:r>
            <w:r>
              <w:rPr>
                <w:rFonts w:hint="eastAsia" w:ascii="宋体" w:hAnsi="宋体"/>
                <w:color w:val="auto"/>
                <w:highlight w:val="none"/>
                <w:lang w:eastAsia="zh-CN"/>
              </w:rPr>
              <w:t xml:space="preserve">描述较明确合理，能基本满足售后服务的，</w:t>
            </w:r>
            <w:r>
              <w:rPr>
                <w:rFonts w:hint="eastAsia" w:ascii="宋体" w:hAnsi="宋体"/>
                <w:color w:val="auto"/>
                <w:highlight w:val="none"/>
              </w:rPr>
              <w:t xml:space="preserve">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jc w:val="left"/>
              <w:rPr>
                <w:rFonts w:hint="eastAsia" w:ascii="宋体" w:hAnsi="宋体"/>
                <w:color w:val="auto"/>
                <w:highlight w:val="none"/>
              </w:rPr>
            </w:pPr>
            <w:r>
              <w:rPr>
                <w:rFonts w:hint="eastAsia" w:ascii="宋体" w:hAnsi="宋体"/>
                <w:color w:val="auto"/>
                <w:highlight w:val="none"/>
              </w:rPr>
              <w:t xml:space="preserve">3）方案</w:t>
            </w:r>
            <w:r>
              <w:rPr>
                <w:rFonts w:hint="eastAsia" w:ascii="宋体" w:hAnsi="宋体"/>
                <w:color w:val="auto"/>
                <w:highlight w:val="none"/>
                <w:lang w:eastAsia="zh-CN"/>
              </w:rPr>
              <w:t xml:space="preserve">思路稍模糊、针对性一般</w:t>
            </w:r>
            <w:r>
              <w:rPr>
                <w:rFonts w:hint="eastAsia" w:ascii="宋体" w:hAnsi="宋体"/>
                <w:color w:val="auto"/>
                <w:highlight w:val="none"/>
              </w:rPr>
              <w:t xml:space="preserve">，</w:t>
            </w:r>
            <w:r>
              <w:rPr>
                <w:rFonts w:hint="eastAsia" w:ascii="宋体" w:hAnsi="宋体"/>
                <w:color w:val="auto"/>
                <w:highlight w:val="none"/>
                <w:lang w:eastAsia="zh-CN"/>
              </w:rPr>
              <w:t xml:space="preserve">描述一般的，</w:t>
            </w:r>
            <w:r>
              <w:rPr>
                <w:rFonts w:hint="eastAsia" w:ascii="宋体" w:hAnsi="宋体"/>
                <w:color w:val="auto"/>
                <w:highlight w:val="none"/>
              </w:rPr>
              <w:t xml:space="preserve">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jc w:val="left"/>
              <w:rPr>
                <w:rFonts w:hint="eastAsia" w:ascii="宋体" w:hAnsi="宋体"/>
                <w:color w:val="auto"/>
                <w:highlight w:val="none"/>
                <w:lang w:val="en-US" w:eastAsia="zh-CN"/>
              </w:rPr>
            </w:pPr>
            <w:r>
              <w:rPr>
                <w:rFonts w:hint="eastAsia" w:ascii="宋体" w:hAnsi="宋体"/>
                <w:color w:val="auto"/>
                <w:highlight w:val="none"/>
              </w:rPr>
              <w:t xml:space="preserve">4）</w:t>
            </w:r>
            <w:r>
              <w:rPr>
                <w:rFonts w:hint="eastAsia" w:ascii="宋体" w:hAnsi="宋体"/>
                <w:color w:val="auto"/>
                <w:highlight w:val="none"/>
                <w:lang w:eastAsia="zh-CN"/>
              </w:rPr>
              <w:t xml:space="preserve">方案思路混乱、针对性不强的，得</w:t>
            </w:r>
            <w:r>
              <w:rPr>
                <w:rFonts w:hint="eastAsia" w:ascii="宋体" w:hAnsi="宋体"/>
                <w:color w:val="auto"/>
                <w:highlight w:val="none"/>
                <w:lang w:val="en-US" w:eastAsia="zh-CN"/>
              </w:rPr>
              <w:t xml:space="preserve">2分；</w:t>
            </w:r>
            <w:r/>
          </w:p>
          <w:p>
            <w:pPr>
              <w:jc w:val="left"/>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未提供方案的不得分。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eastAsia="宋体"/>
                <w:color w:val="auto"/>
                <w:highlight w:val="none"/>
                <w:lang w:eastAsia="zh-CN"/>
              </w:rPr>
            </w:pPr>
            <w:r>
              <w:rPr>
                <w:rFonts w:hint="eastAsia"/>
                <w:color w:val="auto"/>
                <w:highlight w:val="none"/>
                <w:lang w:val="en-US" w:eastAsia="zh-CN"/>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color w:val="auto"/>
                <w:highlight w:val="none"/>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color w:val="auto"/>
                <w:highlight w:val="none"/>
              </w:rPr>
            </w:pPr>
            <w:r>
              <w:rPr>
                <w:rFonts w:hint="eastAsia" w:ascii="宋体" w:hAnsi="宋体"/>
                <w:color w:val="auto"/>
                <w:highlight w:val="none"/>
              </w:rPr>
              <w:t xml:space="preserve">客观分</w:t>
            </w:r>
            <w:r/>
          </w:p>
          <w:p>
            <w:pPr>
              <w:jc w:val="center"/>
              <w:rPr>
                <w:color w:val="auto"/>
                <w:highlight w:val="none"/>
              </w:rPr>
            </w:pPr>
            <w:r>
              <w:rPr>
                <w:rFonts w:hint="eastAsia" w:ascii="宋体" w:hAnsi="宋体"/>
                <w:color w:val="auto"/>
                <w:highlight w:val="none"/>
              </w:rPr>
              <w:t xml:space="preserve">（商务分）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color w:val="auto"/>
                <w:highlight w:val="none"/>
              </w:rPr>
            </w:pP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color w:val="auto"/>
                <w:highlight w:val="none"/>
              </w:rPr>
            </w:pP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color w:val="auto"/>
                <w:highlight w:val="none"/>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rFonts w:hint="eastAsia"/>
                <w:color w:val="auto"/>
                <w:highlight w:val="none"/>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color w:val="auto"/>
                <w:highlight w:val="none"/>
              </w:rPr>
            </w:pPr>
            <w:r>
              <w:rPr>
                <w:rFonts w:hint="eastAsia"/>
                <w:color w:val="auto"/>
                <w:highlight w:val="none"/>
              </w:rPr>
              <w:t xml:space="preserve">技术参数响应情况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lang w:eastAsia="zh-CN"/>
              </w:rPr>
              <w:t xml:space="preserve">投标人对招标文件具体项目需求的响应程度</w:t>
            </w:r>
            <w:r>
              <w:rPr>
                <w:rFonts w:hint="eastAsia" w:ascii="宋体" w:hAnsi="宋体"/>
                <w:color w:val="auto"/>
                <w:highlight w:val="none"/>
              </w:rPr>
              <w:t xml:space="preserve">，即对提供货物的技术参数、配置、性能</w:t>
            </w:r>
            <w:r>
              <w:rPr>
                <w:rFonts w:hint="eastAsia" w:ascii="宋体" w:hAnsi="宋体"/>
                <w:color w:val="auto"/>
                <w:highlight w:val="none"/>
                <w:lang w:eastAsia="zh-CN"/>
              </w:rPr>
              <w:t xml:space="preserve">及服务要求</w:t>
            </w:r>
            <w:r>
              <w:rPr>
                <w:rFonts w:hint="eastAsia" w:ascii="宋体" w:hAnsi="宋体"/>
                <w:color w:val="auto"/>
                <w:highlight w:val="none"/>
              </w:rPr>
              <w:t xml:space="preserve">是否符合</w:t>
            </w:r>
            <w:r>
              <w:rPr>
                <w:rFonts w:hint="eastAsia" w:ascii="宋体" w:hAnsi="宋体"/>
                <w:color w:val="auto"/>
                <w:highlight w:val="none"/>
                <w:lang w:eastAsia="zh-CN"/>
              </w:rPr>
              <w:t xml:space="preserve">招标</w:t>
            </w:r>
            <w:r>
              <w:rPr>
                <w:rFonts w:hint="eastAsia" w:ascii="宋体" w:hAnsi="宋体"/>
                <w:color w:val="auto"/>
                <w:highlight w:val="none"/>
              </w:rPr>
              <w:t xml:space="preserve">文件要求进行评审:</w:t>
            </w:r>
            <w:r/>
          </w:p>
          <w:p>
            <w:pPr>
              <w:jc w:val="lef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完全满足招标文件的技术参数、配置、性能及服务要求的</w:t>
            </w:r>
            <w:r>
              <w:rPr>
                <w:rFonts w:hint="eastAsia" w:ascii="宋体" w:hAnsi="宋体"/>
                <w:color w:val="auto"/>
                <w:highlight w:val="none"/>
              </w:rPr>
              <w:t xml:space="preserve">，得3</w:t>
            </w:r>
            <w:r>
              <w:rPr>
                <w:rFonts w:hint="eastAsia" w:ascii="宋体" w:hAnsi="宋体"/>
                <w:color w:val="auto"/>
                <w:highlight w:val="none"/>
                <w:lang w:val="en-US" w:eastAsia="zh-CN"/>
              </w:rPr>
              <w:t xml:space="preserve">0</w:t>
            </w:r>
            <w:r>
              <w:rPr>
                <w:rFonts w:hint="eastAsia" w:ascii="宋体" w:hAnsi="宋体"/>
                <w:color w:val="auto"/>
                <w:highlight w:val="none"/>
              </w:rPr>
              <w:t xml:space="preserve">分；</w:t>
            </w:r>
            <w:r/>
          </w:p>
          <w:p>
            <w:pPr>
              <w:jc w:val="left"/>
              <w:rPr>
                <w:rFonts w:hint="eastAsia" w:ascii="宋体" w:hAnsi="宋体"/>
                <w:color w:val="auto"/>
                <w:highlight w:val="none"/>
                <w:lang w:eastAsia="zh-CN"/>
              </w:rPr>
            </w:pPr>
            <w:r>
              <w:rPr>
                <w:rFonts w:hint="eastAsia" w:ascii="宋体" w:hAnsi="宋体"/>
                <w:color w:val="auto"/>
                <w:highlight w:val="none"/>
              </w:rPr>
              <w:t xml:space="preserve">2.项目清单中加“▲”项为重要技术参数指标，如有负偏离、配置不详、技术参数不明确或缺漏项的有一项扣2分，扣完为止</w:t>
            </w:r>
            <w:r>
              <w:rPr>
                <w:rFonts w:hint="eastAsia" w:ascii="宋体" w:hAnsi="宋体"/>
                <w:color w:val="auto"/>
                <w:highlight w:val="none"/>
                <w:lang w:eastAsia="zh-CN"/>
              </w:rPr>
              <w:t xml:space="preserve">；</w:t>
            </w:r>
            <w:r/>
          </w:p>
          <w:p>
            <w:pPr>
              <w:jc w:val="lef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eastAsia="zh-CN"/>
              </w:rPr>
              <w:t xml:space="preserve">项目需求中除</w:t>
            </w:r>
            <w:r>
              <w:rPr>
                <w:rFonts w:hint="eastAsia" w:ascii="宋体" w:hAnsi="宋体"/>
                <w:color w:val="auto"/>
                <w:highlight w:val="none"/>
              </w:rPr>
              <w:t xml:space="preserve">加“▲”项</w:t>
            </w:r>
            <w:r>
              <w:rPr>
                <w:rFonts w:hint="eastAsia" w:ascii="宋体" w:hAnsi="宋体"/>
                <w:color w:val="auto"/>
                <w:highlight w:val="none"/>
                <w:lang w:eastAsia="zh-CN"/>
              </w:rPr>
              <w:t xml:space="preserve">以外的</w:t>
            </w:r>
            <w:r>
              <w:rPr>
                <w:rFonts w:hint="eastAsia" w:ascii="宋体" w:hAnsi="宋体"/>
                <w:color w:val="auto"/>
                <w:highlight w:val="none"/>
              </w:rPr>
              <w:t xml:space="preserve">技术参数、配置、性能</w:t>
            </w:r>
            <w:r>
              <w:rPr>
                <w:rFonts w:hint="eastAsia" w:ascii="宋体" w:hAnsi="宋体"/>
                <w:color w:val="auto"/>
                <w:highlight w:val="none"/>
                <w:lang w:eastAsia="zh-CN"/>
              </w:rPr>
              <w:t xml:space="preserve">及服务要求</w:t>
            </w:r>
            <w:r>
              <w:rPr>
                <w:rFonts w:hint="eastAsia" w:ascii="宋体" w:hAnsi="宋体"/>
                <w:color w:val="auto"/>
                <w:highlight w:val="none"/>
              </w:rPr>
              <w:t xml:space="preserve">，如有负偏离、配置不详、技术参数不明确或缺漏项的一项扣1分，扣完为止。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eastAsia="宋体"/>
                <w:color w:val="auto"/>
                <w:highlight w:val="none"/>
                <w:lang w:eastAsia="zh-CN"/>
              </w:rPr>
            </w:pPr>
            <w:r>
              <w:rPr>
                <w:color w:val="auto"/>
                <w:highlight w:val="none"/>
              </w:rPr>
              <w:t xml:space="preserve">3</w:t>
            </w:r>
            <w:r>
              <w:rPr>
                <w:rFonts w:hint="eastAsia"/>
                <w:color w:val="auto"/>
                <w:highlight w:val="none"/>
                <w:lang w:val="en-US" w:eastAsia="zh-CN"/>
              </w:rPr>
              <w:t xml:space="preserve">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rFonts w:hint="eastAsia" w:ascii="宋体" w:hAnsi="宋体"/>
                <w:color w:val="auto"/>
                <w:highlight w:val="none"/>
                <w:lang w:eastAsia="zh-CN"/>
              </w:rPr>
              <w:t xml:space="preserve">投标人</w:t>
            </w:r>
            <w:r>
              <w:rPr>
                <w:rFonts w:hint="eastAsia" w:ascii="宋体" w:hAnsi="宋体"/>
                <w:color w:val="auto"/>
                <w:highlight w:val="none"/>
              </w:rPr>
              <w:t xml:space="preserve">需在“采购需求偏离表”中如实逐项填列所提供产品的参数及服务承诺，如招标文件要求提供相应证明材料</w:t>
            </w:r>
            <w:r>
              <w:rPr>
                <w:rFonts w:hint="eastAsia" w:ascii="宋体" w:hAnsi="宋体"/>
                <w:color w:val="auto"/>
                <w:highlight w:val="none"/>
                <w:lang w:eastAsia="zh-CN"/>
              </w:rPr>
              <w:t xml:space="preserve">（如检测报告、功能截图、产品证书、技术参数表或其他技术资料证明等）</w:t>
            </w:r>
            <w:r>
              <w:rPr>
                <w:rFonts w:hint="eastAsia" w:ascii="宋体" w:hAnsi="宋体"/>
                <w:color w:val="auto"/>
                <w:highlight w:val="none"/>
              </w:rPr>
              <w:t xml:space="preserve">的，应在偏离表中注明证明材料</w:t>
            </w:r>
            <w:r>
              <w:rPr>
                <w:rFonts w:hint="eastAsia" w:ascii="宋体" w:hAnsi="宋体"/>
                <w:color w:val="auto"/>
                <w:highlight w:val="none"/>
                <w:lang w:eastAsia="zh-CN"/>
              </w:rPr>
              <w:t xml:space="preserve">复印件</w:t>
            </w:r>
            <w:r>
              <w:rPr>
                <w:rFonts w:hint="eastAsia" w:ascii="宋体" w:hAnsi="宋体"/>
                <w:color w:val="auto"/>
                <w:highlight w:val="none"/>
              </w:rPr>
              <w:t xml:space="preserve">所在投标文件的页码位置，否则评审小组有权</w:t>
            </w:r>
            <w:r>
              <w:rPr>
                <w:rFonts w:hint="eastAsia" w:ascii="宋体" w:hAnsi="宋体"/>
                <w:color w:val="auto"/>
                <w:highlight w:val="none"/>
                <w:lang w:eastAsia="zh-CN"/>
              </w:rPr>
              <w:t xml:space="preserve">作</w:t>
            </w:r>
            <w:r>
              <w:rPr>
                <w:rFonts w:hint="eastAsia" w:ascii="宋体" w:hAnsi="宋体"/>
                <w:color w:val="auto"/>
                <w:highlight w:val="none"/>
              </w:rPr>
              <w:t xml:space="preserve">负偏离处理</w:t>
            </w:r>
            <w:r>
              <w:rPr>
                <w:rFonts w:hint="eastAsia" w:ascii="宋体" w:hAnsi="宋体"/>
                <w:color w:val="auto"/>
                <w:highlight w:val="none"/>
                <w:lang w:eastAsia="zh-CN"/>
              </w:rPr>
              <w:t xml:space="preserve">。</w:t>
            </w:r>
            <w:r>
              <w:rPr>
                <w:rFonts w:hint="eastAsia" w:ascii="宋体" w:hAnsi="宋体"/>
                <w:color w:val="auto"/>
                <w:highlight w:val="none"/>
              </w:rPr>
              <w:t xml:space="preserve">如有提供虚假技术参数的，一经发现按无效</w:t>
            </w:r>
            <w:r>
              <w:rPr>
                <w:rFonts w:hint="eastAsia" w:ascii="宋体" w:hAnsi="宋体"/>
                <w:color w:val="auto"/>
                <w:highlight w:val="none"/>
                <w:lang w:eastAsia="zh-CN"/>
              </w:rPr>
              <w:t xml:space="preserve">投标</w:t>
            </w:r>
            <w:r>
              <w:rPr>
                <w:rFonts w:hint="eastAsia" w:ascii="宋体" w:hAnsi="宋体"/>
                <w:color w:val="auto"/>
                <w:highlight w:val="none"/>
              </w:rPr>
              <w:t xml:space="preserve">处理。</w:t>
            </w:r>
            <w:r/>
          </w:p>
        </w:tc>
      </w:tr>
      <w:tr>
        <w:trPr>
          <w:jc w:val="center"/>
          <w:trHeight w:val="1339"/>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rFonts w:hint="eastAsia"/>
                <w:color w:val="auto"/>
                <w:highlight w:val="none"/>
              </w:rPr>
              <w:t xml:space="preserve">3.2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pStyle w:val="1037"/>
              <w:jc w:val="center"/>
              <w:rPr>
                <w:rFonts w:hint="eastAsia" w:ascii="宋体" w:cs="Times New Roman"/>
                <w:color w:val="auto"/>
                <w:sz w:val="21"/>
                <w:szCs w:val="21"/>
                <w:highlight w:val="none"/>
              </w:rPr>
            </w:pPr>
            <w:r>
              <w:rPr>
                <w:rFonts w:hint="eastAsia" w:ascii="宋体" w:cs="Times New Roman"/>
                <w:color w:val="auto"/>
                <w:sz w:val="21"/>
                <w:szCs w:val="21"/>
                <w:highlight w:val="none"/>
              </w:rPr>
              <w:t xml:space="preserve">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rStyle w:val="1444"/>
                <w:rFonts w:ascii="宋体" w:hAnsi="宋体"/>
                <w:color w:val="auto"/>
                <w:highlight w:val="none"/>
              </w:rPr>
            </w:pPr>
            <w:r>
              <w:rPr>
                <w:rStyle w:val="1444"/>
                <w:rFonts w:hint="eastAsia" w:ascii="宋体" w:hAnsi="宋体"/>
                <w:color w:val="auto"/>
                <w:highlight w:val="none"/>
              </w:rPr>
              <w:t xml:space="preserve">投标人自</w:t>
            </w:r>
            <w:r>
              <w:rPr>
                <w:rStyle w:val="1444"/>
                <w:rFonts w:hint="eastAsia"/>
                <w:color w:val="auto"/>
                <w:highlight w:val="none"/>
              </w:rPr>
              <w:t xml:space="preserve">202</w:t>
            </w:r>
            <w:r>
              <w:rPr>
                <w:rStyle w:val="1444"/>
                <w:rFonts w:hint="eastAsia" w:ascii="宋体" w:hAnsi="宋体"/>
                <w:color w:val="auto"/>
                <w:highlight w:val="none"/>
                <w:lang w:val="en-US" w:eastAsia="zh-CN"/>
              </w:rPr>
              <w:t xml:space="preserve">0</w:t>
            </w:r>
            <w:r>
              <w:rPr>
                <w:rStyle w:val="1444"/>
                <w:rFonts w:hint="eastAsia" w:ascii="宋体" w:hAnsi="宋体"/>
                <w:color w:val="auto"/>
                <w:highlight w:val="none"/>
              </w:rPr>
              <w:t xml:space="preserve">年</w:t>
            </w:r>
            <w:r>
              <w:rPr>
                <w:rStyle w:val="1444"/>
                <w:rFonts w:hint="eastAsia"/>
                <w:color w:val="auto"/>
                <w:highlight w:val="none"/>
                <w:lang w:val="en-US" w:eastAsia="zh-CN"/>
              </w:rPr>
              <w:t xml:space="preserve">2</w:t>
            </w:r>
            <w:r>
              <w:rPr>
                <w:rStyle w:val="1444"/>
                <w:rFonts w:hint="eastAsia" w:ascii="宋体" w:hAnsi="宋体"/>
                <w:color w:val="auto"/>
                <w:highlight w:val="none"/>
              </w:rPr>
              <w:t xml:space="preserve">月</w:t>
            </w:r>
            <w:r>
              <w:rPr>
                <w:rStyle w:val="1444"/>
                <w:rFonts w:hint="eastAsia"/>
                <w:color w:val="auto"/>
                <w:highlight w:val="none"/>
              </w:rPr>
              <w:t xml:space="preserve">1</w:t>
            </w:r>
            <w:r>
              <w:rPr>
                <w:rStyle w:val="1444"/>
                <w:rFonts w:hint="eastAsia" w:ascii="宋体" w:hAnsi="宋体"/>
                <w:color w:val="auto"/>
                <w:highlight w:val="none"/>
              </w:rPr>
              <w:t xml:space="preserve">日至投标截止之日（时间以合同书上载明的时间为准）具有类似项目业绩，有一个得</w:t>
            </w:r>
            <w:r>
              <w:rPr>
                <w:rStyle w:val="1444"/>
                <w:rFonts w:hint="eastAsia"/>
                <w:color w:val="auto"/>
                <w:highlight w:val="none"/>
                <w:lang w:val="en-US" w:eastAsia="zh-CN"/>
              </w:rPr>
              <w:t xml:space="preserve">2</w:t>
            </w:r>
            <w:r>
              <w:rPr>
                <w:rStyle w:val="1444"/>
                <w:rFonts w:hint="eastAsia" w:ascii="宋体" w:hAnsi="宋体"/>
                <w:color w:val="auto"/>
                <w:highlight w:val="none"/>
              </w:rPr>
              <w:t xml:space="preserve">分，最高</w:t>
            </w:r>
            <w:r>
              <w:rPr>
                <w:rStyle w:val="1444"/>
                <w:rFonts w:hint="eastAsia"/>
                <w:color w:val="auto"/>
                <w:highlight w:val="none"/>
                <w:lang w:val="en-US" w:eastAsia="zh-CN"/>
              </w:rPr>
              <w:t xml:space="preserve">6</w:t>
            </w:r>
            <w:r>
              <w:rPr>
                <w:rStyle w:val="1444"/>
                <w:rFonts w:hint="eastAsia" w:ascii="宋体" w:hAnsi="宋体"/>
                <w:color w:val="auto"/>
                <w:highlight w:val="none"/>
              </w:rPr>
              <w:t xml:space="preserve">分。</w:t>
            </w:r>
            <w:r/>
          </w:p>
          <w:p>
            <w:pPr>
              <w:jc w:val="left"/>
              <w:rPr>
                <w:bCs/>
                <w:color w:val="auto"/>
                <w:highlight w:val="none"/>
              </w:rPr>
            </w:pPr>
            <w:r>
              <w:rPr>
                <w:rFonts w:hint="eastAsia" w:ascii="宋体" w:hAnsi="宋体"/>
                <w:bCs/>
                <w:color w:val="auto"/>
                <w:highlight w:val="none"/>
              </w:rPr>
              <w:t xml:space="preserve">注</w:t>
            </w:r>
            <w:r>
              <w:rPr>
                <w:rFonts w:ascii="宋体" w:hAnsi="宋体"/>
                <w:bCs/>
                <w:color w:val="auto"/>
                <w:highlight w:val="none"/>
              </w:rPr>
              <w:t xml:space="preserve">：</w:t>
            </w:r>
            <w:r>
              <w:rPr>
                <w:rFonts w:hint="eastAsia" w:ascii="宋体" w:hAnsi="宋体"/>
                <w:color w:val="auto"/>
                <w:highlight w:val="none"/>
              </w:rPr>
              <w:t xml:space="preserve">时间以合同签订时间为准。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rFonts w:hint="eastAsia" w:ascii="宋体" w:hAnsi="宋体"/>
                <w:color w:val="auto"/>
                <w:highlight w:val="none"/>
              </w:rPr>
              <w:t xml:space="preserve">提供</w:t>
            </w:r>
            <w:r>
              <w:rPr>
                <w:rFonts w:hint="eastAsia" w:ascii="宋体" w:hAnsi="宋体"/>
                <w:color w:val="auto"/>
                <w:highlight w:val="none"/>
                <w:lang w:val="en-US" w:eastAsia="zh-CN"/>
              </w:rPr>
              <w:t xml:space="preserve">完整</w:t>
            </w:r>
            <w:r>
              <w:rPr>
                <w:rFonts w:hint="eastAsia" w:ascii="宋体" w:hAnsi="宋体"/>
                <w:color w:val="auto"/>
                <w:highlight w:val="none"/>
              </w:rPr>
              <w:t xml:space="preserve">合同</w:t>
            </w:r>
            <w:r>
              <w:rPr>
                <w:rFonts w:hint="eastAsia" w:ascii="宋体" w:hAnsi="宋体"/>
                <w:color w:val="auto"/>
                <w:highlight w:val="none"/>
                <w:lang w:val="en-US" w:eastAsia="zh-CN"/>
              </w:rPr>
              <w:t xml:space="preserve">扫描件</w:t>
            </w:r>
            <w:r>
              <w:rPr>
                <w:rFonts w:hint="eastAsia" w:ascii="宋体" w:hAnsi="宋体"/>
                <w:color w:val="auto"/>
                <w:highlight w:val="none"/>
              </w:rPr>
              <w:t xml:space="preserve">并加盖投标人公章</w:t>
            </w:r>
            <w:r/>
          </w:p>
        </w:tc>
      </w:tr>
      <w:tr>
        <w:trPr>
          <w:jc w:val="center"/>
          <w:trHeight w:val="1324"/>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rFonts w:hint="eastAsia"/>
                <w:color w:val="auto"/>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rFonts w:hint="default" w:eastAsia="宋体"/>
                <w:color w:val="auto"/>
                <w:highlight w:val="none"/>
                <w:lang w:val="en-US" w:eastAsia="zh-CN"/>
              </w:rPr>
            </w:pPr>
            <w:r>
              <w:rPr>
                <w:rFonts w:hint="eastAsia" w:ascii="宋体" w:hAnsi="宋体"/>
                <w:color w:val="auto"/>
                <w:highlight w:val="none"/>
                <w:lang w:val="en-US" w:eastAsia="zh-CN"/>
              </w:rPr>
              <w:t xml:space="preserve">项目负责人</w:t>
            </w:r>
            <w:r>
              <w:rPr>
                <w:rFonts w:hint="eastAsia" w:ascii="宋体" w:hAnsi="宋体"/>
                <w:color w:val="auto"/>
                <w:highlight w:val="none"/>
              </w:rPr>
              <w:t xml:space="preserve">（限评</w:t>
            </w:r>
            <w:r>
              <w:rPr>
                <w:rFonts w:hint="eastAsia"/>
                <w:color w:val="auto"/>
                <w:highlight w:val="none"/>
              </w:rPr>
              <w:t xml:space="preserve">1</w:t>
            </w:r>
            <w:r>
              <w:rPr>
                <w:rFonts w:hint="eastAsia" w:ascii="宋体" w:hAnsi="宋体"/>
                <w:color w:val="auto"/>
                <w:highlight w:val="none"/>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bCs/>
                <w:color w:val="auto"/>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具有高级信息系统项目管理师证书的，得1分；具有中级及以上工程师</w:t>
            </w:r>
            <w:r>
              <w:rPr>
                <w:rFonts w:hint="eastAsia" w:ascii="宋体" w:hAnsi="宋体" w:cs="宋体"/>
                <w:b w:val="0"/>
                <w:bCs w:val="0"/>
                <w:i w:val="0"/>
                <w:iCs w:val="0"/>
                <w:color w:val="auto"/>
                <w:sz w:val="21"/>
                <w:szCs w:val="21"/>
                <w:highlight w:val="none"/>
                <w:u w:val="none"/>
                <w:lang w:val="en-US" w:eastAsia="zh-CN" w:bidi="ar"/>
              </w:rPr>
              <w:t xml:space="preserve">职称</w:t>
            </w:r>
            <w:r>
              <w:rPr>
                <w:rFonts w:hint="eastAsia" w:ascii="宋体" w:hAnsi="宋体" w:eastAsia="宋体" w:cs="宋体"/>
                <w:b w:val="0"/>
                <w:bCs w:val="0"/>
                <w:i w:val="0"/>
                <w:iCs w:val="0"/>
                <w:color w:val="auto"/>
                <w:sz w:val="21"/>
                <w:szCs w:val="21"/>
                <w:highlight w:val="none"/>
                <w:u w:val="none"/>
                <w:lang w:val="en-US" w:eastAsia="zh-CN" w:bidi="ar"/>
              </w:rPr>
              <w:t xml:space="preserve">证书的，得1分；具有二级及以上建造师证书的，得1分；最高得3分。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eastAsia="宋体"/>
                <w:color w:val="auto"/>
                <w:highlight w:val="none"/>
                <w:lang w:eastAsia="zh-CN"/>
              </w:rPr>
            </w:pPr>
            <w:r>
              <w:rPr>
                <w:rFonts w:hint="eastAsia"/>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1" w:type="pct"/>
            <w:vAlign w:val="center"/>
            <w:vMerge w:val="restart"/>
            <w:textDirection w:val="lrTb"/>
            <w:noWrap w:val="false"/>
          </w:tcPr>
          <w:p>
            <w:pPr>
              <w:jc w:val="left"/>
              <w:rPr>
                <w:color w:val="auto"/>
                <w:highlight w:val="none"/>
              </w:rPr>
            </w:pPr>
            <w:r>
              <w:rPr>
                <w:rFonts w:hint="eastAsia" w:ascii="宋体" w:hAnsi="宋体"/>
                <w:color w:val="auto"/>
                <w:highlight w:val="none"/>
              </w:rPr>
              <w:t xml:space="preserve">提供人员相应证书扫描件及</w:t>
            </w:r>
            <w:r>
              <w:rPr>
                <w:rFonts w:hint="eastAsia" w:ascii="宋体" w:hAnsi="宋体"/>
                <w:color w:val="auto"/>
                <w:highlight w:val="none"/>
                <w:lang w:eastAsia="zh-CN"/>
              </w:rPr>
              <w:t xml:space="preserve">投标人为其缴纳的近</w:t>
            </w:r>
            <w:r>
              <w:rPr>
                <w:rFonts w:hint="eastAsia" w:ascii="宋体" w:hAnsi="宋体"/>
                <w:color w:val="auto"/>
                <w:highlight w:val="none"/>
                <w:lang w:val="en-US" w:eastAsia="zh-CN"/>
              </w:rPr>
              <w:t xml:space="preserve">6个月（2024年10月-2025年3月）社保缴纳凭证复印件，</w:t>
            </w:r>
            <w:r>
              <w:rPr>
                <w:rFonts w:hint="eastAsia" w:ascii="宋体" w:hAnsi="宋体"/>
                <w:color w:val="auto"/>
                <w:highlight w:val="none"/>
                <w:lang w:eastAsia="zh-CN"/>
              </w:rPr>
              <w:t xml:space="preserve">均需</w:t>
            </w:r>
            <w:r>
              <w:rPr>
                <w:rFonts w:hint="eastAsia" w:ascii="宋体" w:hAnsi="宋体"/>
                <w:color w:val="auto"/>
                <w:highlight w:val="none"/>
              </w:rPr>
              <w:t xml:space="preserve">加盖</w:t>
            </w:r>
            <w:r>
              <w:rPr>
                <w:rFonts w:hint="eastAsia" w:ascii="宋体" w:hAnsi="宋体"/>
                <w:color w:val="auto"/>
                <w:highlight w:val="none"/>
                <w:lang w:eastAsia="zh-CN"/>
              </w:rPr>
              <w:t xml:space="preserve">投标人</w:t>
            </w:r>
            <w:r>
              <w:rPr>
                <w:rFonts w:hint="eastAsia" w:ascii="宋体" w:hAnsi="宋体"/>
                <w:color w:val="auto"/>
                <w:highlight w:val="none"/>
              </w:rPr>
              <w:t xml:space="preserve">公章</w:t>
            </w:r>
            <w:r>
              <w:rPr>
                <w:rFonts w:hint="eastAsia" w:ascii="宋体" w:hAnsi="宋体"/>
                <w:color w:val="auto"/>
                <w:highlight w:val="none"/>
                <w:lang w:val="en-US" w:eastAsia="zh-CN"/>
              </w:rPr>
              <w:t xml:space="preserve">，否则不得分</w:t>
            </w:r>
            <w:r>
              <w:rPr>
                <w:rFonts w:hint="eastAsia"/>
                <w:color w:val="auto"/>
                <w:highlight w:val="none"/>
              </w:rPr>
              <w:t xml:space="preserve">。</w:t>
            </w:r>
            <w:r/>
          </w:p>
        </w:tc>
      </w:tr>
      <w:tr>
        <w:trPr>
          <w:jc w:val="center"/>
          <w:trHeight w:val="1042"/>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rFonts w:hint="eastAsia"/>
                <w:color w:val="auto"/>
                <w:highlight w:val="none"/>
              </w:rPr>
              <w:t xml:space="preserve">3.4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rFonts w:cs="宋体"/>
                <w:color w:val="auto"/>
                <w:highlight w:val="none"/>
              </w:rPr>
            </w:pPr>
            <w:r>
              <w:rPr>
                <w:rFonts w:hint="eastAsia" w:ascii="宋体" w:hAnsi="宋体"/>
                <w:color w:val="auto"/>
                <w:highlight w:val="none"/>
              </w:rPr>
              <w:t xml:space="preserve">拟派技术负责人（限评</w:t>
            </w:r>
            <w:r>
              <w:rPr>
                <w:rFonts w:hint="eastAsia"/>
                <w:color w:val="auto"/>
                <w:highlight w:val="none"/>
              </w:rPr>
              <w:t xml:space="preserve">1</w:t>
            </w:r>
            <w:r>
              <w:rPr>
                <w:rFonts w:hint="eastAsia" w:ascii="宋体" w:hAnsi="宋体"/>
                <w:color w:val="auto"/>
                <w:highlight w:val="none"/>
              </w:rPr>
              <w:t xml:space="preserve">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bCs/>
                <w:color w:val="auto"/>
                <w:highlight w:val="none"/>
              </w:rPr>
            </w:pPr>
            <w:r>
              <w:rPr>
                <w:rFonts w:hint="eastAsia" w:ascii="宋体" w:hAnsi="宋体" w:eastAsia="宋体" w:cs="宋体"/>
                <w:b w:val="0"/>
                <w:bCs w:val="0"/>
                <w:i w:val="0"/>
                <w:iCs w:val="0"/>
                <w:color w:val="auto"/>
                <w:sz w:val="21"/>
                <w:szCs w:val="21"/>
                <w:highlight w:val="none"/>
                <w:u w:val="none"/>
                <w:lang w:val="en-US" w:eastAsia="zh-CN" w:bidi="ar"/>
              </w:rPr>
              <w:t xml:space="preserve">具有高级工程师</w:t>
            </w:r>
            <w:r>
              <w:rPr>
                <w:rFonts w:hint="eastAsia" w:ascii="宋体" w:hAnsi="宋体" w:cs="宋体"/>
                <w:b w:val="0"/>
                <w:bCs w:val="0"/>
                <w:i w:val="0"/>
                <w:iCs w:val="0"/>
                <w:color w:val="auto"/>
                <w:sz w:val="21"/>
                <w:szCs w:val="21"/>
                <w:highlight w:val="none"/>
                <w:u w:val="none"/>
                <w:lang w:val="en-US" w:eastAsia="zh-CN" w:bidi="ar"/>
              </w:rPr>
              <w:t xml:space="preserve">职称</w:t>
            </w:r>
            <w:r>
              <w:rPr>
                <w:rFonts w:hint="eastAsia" w:ascii="宋体" w:hAnsi="宋体" w:eastAsia="宋体" w:cs="宋体"/>
                <w:b w:val="0"/>
                <w:bCs w:val="0"/>
                <w:i w:val="0"/>
                <w:iCs w:val="0"/>
                <w:color w:val="auto"/>
                <w:sz w:val="21"/>
                <w:szCs w:val="21"/>
                <w:highlight w:val="none"/>
                <w:u w:val="none"/>
                <w:lang w:val="en-US" w:eastAsia="zh-CN" w:bidi="ar"/>
              </w:rPr>
              <w:t xml:space="preserve">证书的，得1分；具有ITSS-IT服务工程师证书的，得1分；最高得2分。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eastAsia="宋体"/>
                <w:color w:val="auto"/>
                <w:highlight w:val="none"/>
                <w:lang w:eastAsia="zh-CN"/>
              </w:rPr>
            </w:pPr>
            <w:r>
              <w:rPr>
                <w:rFonts w:hint="eastAsia"/>
                <w:color w:val="auto"/>
                <w:highlight w:val="none"/>
                <w:lang w:val="en-US" w:eastAsia="zh-CN"/>
              </w:rPr>
              <w:t xml:space="preserve">2</w:t>
            </w:r>
            <w:r/>
          </w:p>
        </w:tc>
        <w:tc>
          <w:tcPr>
            <w:tcBorders>
              <w:top w:val="single" w:color="000000" w:sz="8" w:space="0"/>
              <w:left w:val="none" w:color="000000" w:sz="4" w:space="0"/>
              <w:right w:val="single" w:color="000000" w:sz="8" w:space="0"/>
            </w:tcBorders>
            <w:tcMar>
              <w:left w:w="108" w:type="dxa"/>
              <w:top w:w="0" w:type="dxa"/>
              <w:right w:w="108" w:type="dxa"/>
              <w:bottom w:w="0" w:type="dxa"/>
            </w:tcMar>
            <w:tcW w:w="1171" w:type="pct"/>
            <w:vMerge w:val="continue"/>
            <w:textDirection w:val="lrTb"/>
            <w:noWrap w:val="false"/>
          </w:tcPr>
          <w:p>
            <w:pPr>
              <w:jc w:val="left"/>
              <w:rPr>
                <w:color w:val="auto"/>
                <w:highlight w:val="none"/>
              </w:rPr>
            </w:pPr>
            <w:r>
              <w:rPr>
                <w:color w:val="auto"/>
                <w:highlight w:val="none"/>
              </w:rPr>
            </w:r>
            <w:r/>
          </w:p>
        </w:tc>
      </w:tr>
      <w:tr>
        <w:trPr>
          <w:jc w:val="center"/>
          <w:trHeight w:val="1601"/>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color w:val="auto"/>
                <w:highlight w:val="none"/>
              </w:rPr>
            </w:pPr>
            <w:r>
              <w:rPr>
                <w:rFonts w:hint="eastAsia"/>
                <w:color w:val="auto"/>
                <w:highlight w:val="none"/>
              </w:rPr>
              <w:t xml:space="preserve">3.5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rFonts w:hint="default" w:eastAsia="宋体"/>
                <w:color w:val="auto"/>
                <w:highlight w:val="none"/>
                <w:lang w:val="en-US" w:eastAsia="zh-CN"/>
              </w:rPr>
            </w:pPr>
            <w:r>
              <w:rPr>
                <w:rFonts w:hint="eastAsia" w:ascii="宋体" w:hAnsi="宋体"/>
                <w:color w:val="auto"/>
                <w:highlight w:val="none"/>
                <w:lang w:val="en-US" w:eastAsia="zh-CN"/>
              </w:rPr>
              <w:t xml:space="preserve">项目组成员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bCs/>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本项目拟配备服务人员团队（除项目</w:t>
            </w:r>
            <w:r>
              <w:rPr>
                <w:rFonts w:hint="eastAsia" w:ascii="宋体" w:hAnsi="宋体" w:cs="宋体"/>
                <w:i w:val="0"/>
                <w:iCs w:val="0"/>
                <w:color w:val="auto"/>
                <w:sz w:val="21"/>
                <w:szCs w:val="21"/>
                <w:highlight w:val="none"/>
                <w:u w:val="none"/>
                <w:lang w:val="en-US" w:eastAsia="zh-CN" w:bidi="ar"/>
              </w:rPr>
              <w:t xml:space="preserve">负责人</w:t>
            </w:r>
            <w:r>
              <w:rPr>
                <w:rFonts w:hint="eastAsia" w:ascii="宋体" w:hAnsi="宋体" w:eastAsia="宋体" w:cs="宋体"/>
                <w:i w:val="0"/>
                <w:iCs w:val="0"/>
                <w:color w:val="auto"/>
                <w:sz w:val="21"/>
                <w:szCs w:val="21"/>
                <w:highlight w:val="none"/>
                <w:u w:val="none"/>
                <w:lang w:val="en-US" w:eastAsia="zh-CN" w:bidi="ar"/>
              </w:rPr>
              <w:t xml:space="preserve">、项目技术负责人以外），成员中有电子信息或通信相关专业中级及以上工程师职称证书</w:t>
            </w:r>
            <w:r>
              <w:rPr>
                <w:rFonts w:hint="eastAsia" w:ascii="宋体" w:hAnsi="宋体" w:cs="宋体"/>
                <w:i w:val="0"/>
                <w:iCs w:val="0"/>
                <w:color w:val="auto"/>
                <w:sz w:val="21"/>
                <w:szCs w:val="21"/>
                <w:highlight w:val="none"/>
                <w:u w:val="none"/>
                <w:lang w:val="en-US" w:eastAsia="zh-CN" w:bidi="ar"/>
              </w:rPr>
              <w:t xml:space="preserve">的得1分；具有</w:t>
            </w:r>
            <w:r>
              <w:rPr>
                <w:rFonts w:hint="eastAsia" w:ascii="宋体" w:hAnsi="宋体" w:eastAsia="宋体" w:cs="宋体"/>
                <w:i w:val="0"/>
                <w:iCs w:val="0"/>
                <w:color w:val="auto"/>
                <w:sz w:val="21"/>
                <w:szCs w:val="21"/>
                <w:highlight w:val="none"/>
                <w:u w:val="none"/>
                <w:lang w:val="en-US" w:eastAsia="zh-CN" w:bidi="ar"/>
              </w:rPr>
              <w:t xml:space="preserve">中级及以上信息系统项目管理师证书</w:t>
            </w:r>
            <w:r>
              <w:rPr>
                <w:rFonts w:hint="eastAsia" w:ascii="宋体" w:hAnsi="宋体" w:cs="宋体"/>
                <w:i w:val="0"/>
                <w:iCs w:val="0"/>
                <w:color w:val="auto"/>
                <w:sz w:val="21"/>
                <w:szCs w:val="21"/>
                <w:highlight w:val="none"/>
                <w:u w:val="none"/>
                <w:lang w:val="en-US" w:eastAsia="zh-CN" w:bidi="ar"/>
              </w:rPr>
              <w:t xml:space="preserve">的</w:t>
            </w:r>
            <w:r>
              <w:rPr>
                <w:rFonts w:hint="eastAsia" w:ascii="宋体" w:hAnsi="宋体" w:eastAsia="宋体" w:cs="宋体"/>
                <w:b w:val="0"/>
                <w:bCs w:val="0"/>
                <w:i w:val="0"/>
                <w:iCs w:val="0"/>
                <w:color w:val="auto"/>
                <w:sz w:val="21"/>
                <w:szCs w:val="21"/>
                <w:highlight w:val="none"/>
                <w:u w:val="none"/>
                <w:lang w:val="en-US" w:eastAsia="zh-CN" w:bidi="ar"/>
              </w:rPr>
              <w:t xml:space="preserve">得1分，最高得2分。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eastAsia" w:eastAsia="宋体"/>
                <w:color w:val="auto"/>
                <w:highlight w:val="none"/>
                <w:lang w:eastAsia="zh-CN"/>
              </w:rPr>
            </w:pPr>
            <w:r>
              <w:rPr>
                <w:rFonts w:hint="eastAsia"/>
                <w:color w:val="auto"/>
                <w:highlight w:val="none"/>
                <w:lang w:val="en-US" w:eastAsia="zh-CN"/>
              </w:rPr>
              <w:t xml:space="preserve">2</w:t>
            </w:r>
            <w:r/>
          </w:p>
        </w:tc>
        <w:tc>
          <w:tcPr>
            <w:tcBorders>
              <w:left w:val="none" w:color="000000" w:sz="4" w:space="0"/>
              <w:right w:val="single" w:color="000000" w:sz="8" w:space="0"/>
            </w:tcBorders>
            <w:tcMar>
              <w:left w:w="108" w:type="dxa"/>
              <w:top w:w="0" w:type="dxa"/>
              <w:right w:w="108" w:type="dxa"/>
              <w:bottom w:w="0" w:type="dxa"/>
            </w:tcMar>
            <w:tcW w:w="1171" w:type="pct"/>
            <w:vMerge w:val="continue"/>
            <w:textDirection w:val="lrTb"/>
            <w:noWrap w:val="false"/>
          </w:tcPr>
          <w:p>
            <w:pPr>
              <w:jc w:val="left"/>
              <w:rPr>
                <w:color w:val="auto"/>
                <w:highlight w:val="none"/>
              </w:rPr>
            </w:pPr>
            <w:r>
              <w:rPr>
                <w:color w:val="auto"/>
                <w:highlight w:val="none"/>
              </w:rPr>
            </w:r>
            <w:r/>
          </w:p>
        </w:tc>
      </w:tr>
      <w:tr>
        <w:trPr>
          <w:jc w:val="center"/>
          <w:trHeight w:val="3915"/>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rFonts w:hint="eastAsia" w:eastAsia="宋体"/>
                <w:color w:val="auto"/>
                <w:highlight w:val="none"/>
                <w:lang w:eastAsia="zh-CN"/>
              </w:rPr>
            </w:pPr>
            <w:r>
              <w:rPr>
                <w:rFonts w:hint="eastAsia"/>
                <w:color w:val="auto"/>
                <w:highlight w:val="none"/>
              </w:rPr>
              <w:t xml:space="preserve">3.</w:t>
            </w:r>
            <w:r>
              <w:rPr>
                <w:rFonts w:hint="eastAsia"/>
                <w:color w:val="auto"/>
                <w:highlight w:val="none"/>
                <w:lang w:val="en-US" w:eastAsia="zh-CN"/>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企业资质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numPr>
                <w:ilvl w:val="0"/>
                <w:numId w:val="0"/>
              </w:numPr>
              <w:jc w:val="left"/>
              <w:spacing w:line="336"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6.1</w:t>
            </w:r>
            <w:r>
              <w:rPr>
                <w:rFonts w:hint="eastAsia" w:ascii="宋体" w:hAnsi="宋体" w:eastAsia="宋体" w:cs="宋体"/>
                <w:i w:val="0"/>
                <w:iCs w:val="0"/>
                <w:color w:val="auto"/>
                <w:sz w:val="21"/>
                <w:szCs w:val="21"/>
                <w:highlight w:val="none"/>
                <w:u w:val="none"/>
                <w:lang w:val="en-US" w:eastAsia="zh-CN" w:bidi="ar"/>
              </w:rPr>
              <w:t xml:space="preserve">投标人具有有效期内的质量管理体系认证证书、环境管理体系认证证书，每提供1个得</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分，最高得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numPr>
                <w:ilvl w:val="0"/>
                <w:numId w:val="0"/>
              </w:numPr>
              <w:jc w:val="left"/>
              <w:spacing w:line="336"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2投标人具有有效内的ISO10015培训管理体系认证证书的得2分。</w:t>
            </w:r>
            <w:r/>
          </w:p>
          <w:p>
            <w:pPr>
              <w:numPr>
                <w:ilvl w:val="0"/>
                <w:numId w:val="0"/>
              </w:numPr>
              <w:jc w:val="left"/>
              <w:spacing w:line="336"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6.</w:t>
            </w:r>
            <w:r>
              <w:rPr>
                <w:rFonts w:hint="eastAsia" w:ascii="宋体" w:hAnsi="宋体" w:eastAsia="宋体" w:cs="宋体"/>
                <w:b w:val="0"/>
                <w:bCs w:val="0"/>
                <w:i w:val="0"/>
                <w:iCs w:val="0"/>
                <w:color w:val="auto"/>
                <w:sz w:val="21"/>
                <w:szCs w:val="21"/>
                <w:highlight w:val="none"/>
                <w:u w:val="none"/>
                <w:lang w:val="en-US" w:eastAsia="zh-CN" w:bidi="ar"/>
              </w:rPr>
              <w:t xml:space="preserve">3投标人具有有效期内的ISO/IEC27040数据存储安全管理认证</w:t>
            </w:r>
            <w:r>
              <w:rPr>
                <w:rFonts w:hint="eastAsia" w:ascii="宋体" w:hAnsi="宋体" w:eastAsia="宋体" w:cs="宋体"/>
                <w:b w:val="0"/>
                <w:bCs w:val="0"/>
                <w:i w:val="0"/>
                <w:iCs w:val="0"/>
                <w:color w:val="auto"/>
                <w:sz w:val="21"/>
                <w:szCs w:val="21"/>
                <w:highlight w:val="none"/>
                <w:u w:val="none"/>
                <w:lang w:val="en-US" w:eastAsia="zh-CN" w:bidi="ar"/>
              </w:rPr>
              <w:t xml:space="preserve">证书</w:t>
            </w:r>
            <w:r>
              <w:rPr>
                <w:rFonts w:hint="eastAsia" w:ascii="宋体" w:hAnsi="宋体" w:eastAsia="宋体" w:cs="宋体"/>
                <w:b w:val="0"/>
                <w:bCs w:val="0"/>
                <w:i w:val="0"/>
                <w:iCs w:val="0"/>
                <w:color w:val="auto"/>
                <w:sz w:val="21"/>
                <w:szCs w:val="21"/>
                <w:highlight w:val="none"/>
                <w:u w:val="none"/>
                <w:lang w:val="en-US" w:eastAsia="zh-CN" w:bidi="ar"/>
              </w:rPr>
              <w:t xml:space="preserve">的得2分。</w:t>
            </w:r>
            <w:r/>
          </w:p>
          <w:p>
            <w:pPr>
              <w:numPr>
                <w:ilvl w:val="0"/>
                <w:numId w:val="0"/>
              </w:numPr>
              <w:jc w:val="left"/>
              <w:spacing w:line="336"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cs="宋体"/>
                <w:b w:val="0"/>
                <w:bCs w:val="0"/>
                <w:i w:val="0"/>
                <w:iCs w:val="0"/>
                <w:color w:val="auto"/>
                <w:sz w:val="21"/>
                <w:szCs w:val="21"/>
                <w:highlight w:val="none"/>
                <w:u w:val="none"/>
                <w:lang w:val="en-US" w:eastAsia="zh-CN" w:bidi="ar"/>
              </w:rPr>
              <w:t xml:space="preserve">6.</w:t>
            </w:r>
            <w:r>
              <w:rPr>
                <w:rFonts w:hint="eastAsia" w:ascii="宋体" w:hAnsi="宋体" w:eastAsia="宋体" w:cs="宋体"/>
                <w:b w:val="0"/>
                <w:bCs w:val="0"/>
                <w:i w:val="0"/>
                <w:iCs w:val="0"/>
                <w:color w:val="auto"/>
                <w:sz w:val="21"/>
                <w:szCs w:val="21"/>
                <w:highlight w:val="none"/>
                <w:u w:val="none"/>
                <w:lang w:val="en-US" w:eastAsia="zh-CN" w:bidi="ar"/>
              </w:rPr>
              <w:t xml:space="preserve">4投标人具有有效期内</w:t>
            </w:r>
            <w:bookmarkStart w:id="872" w:name="_GoBack"/>
            <w:r/>
            <w:bookmarkEnd w:id="872"/>
            <w:r>
              <w:rPr>
                <w:rFonts w:hint="eastAsia" w:ascii="宋体" w:hAnsi="宋体" w:eastAsia="宋体" w:cs="宋体"/>
                <w:b w:val="0"/>
                <w:bCs w:val="0"/>
                <w:i w:val="0"/>
                <w:iCs w:val="0"/>
                <w:color w:val="auto"/>
                <w:sz w:val="21"/>
                <w:szCs w:val="21"/>
                <w:highlight w:val="none"/>
                <w:u w:val="none"/>
                <w:lang w:val="en-US" w:eastAsia="zh-CN" w:bidi="ar"/>
              </w:rPr>
              <w:t xml:space="preserve">的ISO27701隐私信息管理体系、ISO27001信息安全管理体系认证证书的，每提供1个得1分，最高得2分</w:t>
            </w:r>
            <w:r>
              <w:rPr>
                <w:rFonts w:hint="eastAsia" w:ascii="宋体" w:hAnsi="宋体" w:eastAsia="宋体" w:cs="宋体"/>
                <w:i w:val="0"/>
                <w:iCs w:val="0"/>
                <w:color w:val="auto"/>
                <w:sz w:val="21"/>
                <w:szCs w:val="21"/>
                <w:highlight w:val="none"/>
                <w:u w:val="none"/>
                <w:lang w:val="en-US" w:eastAsia="zh-CN" w:bidi="ar"/>
              </w:rPr>
              <w:t xml:space="preserve">。</w:t>
            </w:r>
            <w:r/>
          </w:p>
          <w:p>
            <w:pPr>
              <w:jc w:val="left"/>
              <w:rPr>
                <w:color w:val="auto"/>
                <w:highlight w:val="none"/>
              </w:rPr>
            </w:pP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default" w:eastAsia="宋体"/>
                <w:color w:val="auto"/>
                <w:highlight w:val="none"/>
                <w:lang w:val="en-US" w:eastAsia="zh-CN"/>
              </w:rPr>
            </w:pPr>
            <w:r>
              <w:rPr>
                <w:rFonts w:hint="eastAsia"/>
                <w:color w:val="auto"/>
                <w:highlight w:val="none"/>
                <w:lang w:val="en-US" w:eastAsia="zh-CN"/>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color w:val="auto"/>
                <w:highlight w:val="none"/>
              </w:rPr>
            </w:pPr>
            <w:r>
              <w:rPr>
                <w:rFonts w:hint="eastAsia"/>
                <w:color w:val="auto"/>
                <w:highlight w:val="none"/>
                <w:lang w:eastAsia="zh-CN"/>
              </w:rPr>
              <w:t xml:space="preserve">投标文件</w:t>
            </w:r>
            <w:r>
              <w:rPr>
                <w:rFonts w:hint="eastAsia"/>
                <w:color w:val="auto"/>
                <w:highlight w:val="none"/>
              </w:rPr>
              <w:t xml:space="preserve">中需提供</w:t>
            </w:r>
            <w:r>
              <w:rPr>
                <w:rFonts w:hint="eastAsia"/>
                <w:color w:val="auto"/>
                <w:highlight w:val="none"/>
                <w:lang w:eastAsia="zh-CN"/>
              </w:rPr>
              <w:t xml:space="preserve">以上证明复印件</w:t>
            </w:r>
            <w:r>
              <w:rPr>
                <w:rFonts w:hint="eastAsia"/>
                <w:color w:val="auto"/>
                <w:highlight w:val="none"/>
              </w:rPr>
              <w:t xml:space="preserve">并加盖</w:t>
            </w:r>
            <w:r>
              <w:rPr>
                <w:rFonts w:hint="eastAsia"/>
                <w:color w:val="auto"/>
                <w:highlight w:val="none"/>
                <w:lang w:eastAsia="zh-CN"/>
              </w:rPr>
              <w:t xml:space="preserve">投标人</w:t>
            </w:r>
            <w:r>
              <w:rPr>
                <w:rFonts w:hint="eastAsia"/>
                <w:color w:val="auto"/>
                <w:highlight w:val="none"/>
              </w:rPr>
              <w:t xml:space="preserve">公章，</w:t>
            </w:r>
            <w:r>
              <w:rPr>
                <w:rFonts w:hint="eastAsia"/>
                <w:color w:val="auto"/>
                <w:highlight w:val="none"/>
                <w:lang w:eastAsia="zh-CN"/>
              </w:rPr>
              <w:t xml:space="preserve">序号</w:t>
            </w:r>
            <w:r>
              <w:rPr>
                <w:rFonts w:hint="eastAsia"/>
                <w:color w:val="auto"/>
                <w:highlight w:val="none"/>
                <w:lang w:val="en-US" w:eastAsia="zh-CN"/>
              </w:rPr>
              <w:t xml:space="preserve">3.6.1还</w:t>
            </w:r>
            <w:r>
              <w:rPr>
                <w:rFonts w:hint="eastAsia"/>
                <w:color w:val="auto"/>
                <w:highlight w:val="none"/>
                <w:lang w:eastAsia="zh-CN"/>
              </w:rPr>
              <w:t xml:space="preserve">需提供对应证书在认监委网站（www.cnca.gov.cn）查询显示“有效”状态的网页截图,否则</w:t>
            </w:r>
            <w:r>
              <w:rPr>
                <w:rFonts w:hint="eastAsia"/>
                <w:color w:val="auto"/>
                <w:highlight w:val="none"/>
              </w:rPr>
              <w:t xml:space="preserve">不得分。</w:t>
            </w:r>
            <w:r/>
          </w:p>
        </w:tc>
      </w:tr>
      <w:tr>
        <w:trPr>
          <w:jc w:val="center"/>
          <w:trHeight w:val="836"/>
        </w:trPr>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3.7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pct"/>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延保服务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pct"/>
            <w:vAlign w:val="center"/>
            <w:textDirection w:val="lrTb"/>
            <w:noWrap w:val="false"/>
          </w:tcPr>
          <w:p>
            <w:pPr>
              <w:jc w:val="left"/>
              <w:rPr>
                <w:color w:val="auto"/>
                <w:highlight w:val="none"/>
              </w:rPr>
            </w:pPr>
            <w:r>
              <w:rPr>
                <w:rFonts w:hint="eastAsia" w:ascii="宋体" w:hAnsi="宋体" w:cs="等线"/>
                <w:color w:val="auto"/>
                <w:highlight w:val="none"/>
              </w:rPr>
              <w:t xml:space="preserve">投标人承诺本项目质保期延长的，每延长1年得1分，最高得</w:t>
            </w:r>
            <w:r>
              <w:rPr>
                <w:rFonts w:hint="eastAsia" w:ascii="宋体" w:hAnsi="宋体" w:cs="等线"/>
                <w:color w:val="auto"/>
                <w:highlight w:val="none"/>
                <w:lang w:val="en-US" w:eastAsia="zh-CN"/>
              </w:rPr>
              <w:t xml:space="preserve">2</w:t>
            </w:r>
            <w:r>
              <w:rPr>
                <w:rFonts w:hint="eastAsia" w:ascii="宋体" w:hAnsi="宋体" w:cs="等线"/>
                <w:color w:val="auto"/>
                <w:highlight w:val="none"/>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 w:type="pct"/>
            <w:vAlign w:val="center"/>
            <w:textDirection w:val="lrTb"/>
            <w:noWrap w:val="false"/>
          </w:tcPr>
          <w:p>
            <w:pPr>
              <w:jc w:val="left"/>
              <w:rPr>
                <w:rFonts w:hint="default"/>
                <w:color w:val="auto"/>
                <w:highlight w:val="none"/>
                <w:lang w:val="en-US" w:eastAsia="zh-CN"/>
              </w:rPr>
            </w:pPr>
            <w:r>
              <w:rPr>
                <w:rFonts w:hint="eastAsia"/>
                <w:color w:val="auto"/>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1" w:type="pct"/>
            <w:vAlign w:val="center"/>
            <w:textDirection w:val="lrTb"/>
            <w:noWrap w:val="false"/>
          </w:tcPr>
          <w:p>
            <w:pPr>
              <w:jc w:val="left"/>
              <w:rPr>
                <w:rFonts w:hint="eastAsia"/>
                <w:color w:val="auto"/>
                <w:highlight w:val="none"/>
                <w:lang w:eastAsia="zh-CN"/>
              </w:rPr>
            </w:pPr>
            <w:r>
              <w:rPr>
                <w:rFonts w:hint="eastAsia" w:ascii="宋体" w:hAnsi="宋体"/>
                <w:color w:val="auto"/>
                <w:highlight w:val="none"/>
              </w:rPr>
              <w:t xml:space="preserve">提供承诺函并加盖投标人公章，格式</w:t>
            </w:r>
            <w:r>
              <w:rPr>
                <w:rFonts w:hint="eastAsia" w:ascii="宋体" w:hAnsi="宋体"/>
                <w:color w:val="auto"/>
                <w:highlight w:val="none"/>
                <w:lang w:val="en-US" w:eastAsia="zh-CN"/>
              </w:rPr>
              <w:t xml:space="preserve">自</w:t>
            </w:r>
            <w:r>
              <w:rPr>
                <w:rFonts w:hint="eastAsia" w:ascii="宋体" w:hAnsi="宋体"/>
                <w:color w:val="auto"/>
                <w:highlight w:val="none"/>
              </w:rPr>
              <w:t xml:space="preserve">拟。</w:t>
            </w:r>
            <w:r/>
          </w:p>
        </w:tc>
      </w:tr>
    </w:tbl>
    <w:p>
      <w:p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777"/>
      <w:r/>
      <w:r/>
    </w:p>
    <w:p>
      <w:pPr>
        <w:contextualSpacing/>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一、采购标的</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飞龙第二实验小学新建项目安全技术防范、校园广播、校园直录播系统采购及安装项目</w:t>
      </w:r>
      <w:r>
        <w:rPr>
          <w:rFonts w:hint="eastAsia" w:ascii="宋体" w:hAnsi="宋体" w:cs="宋体"/>
          <w:bCs/>
          <w:color w:val="auto"/>
          <w:sz w:val="24"/>
          <w:highlight w:val="none"/>
        </w:rPr>
        <w:t xml:space="preserve">，内容包括但不限于设备的采购、运输、装卸、安装、调试、测试等。</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二、商务要求</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1.交付的时间和地点</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（1）交货期：施工现场满足施工条件，中标人接到招标人入场通知后90日内完成安装调试工作。</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（2）交货地点：</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1）中标人负责将货物运到招标人指定地点，由中标人负责办理运输和装卸等，费用由中标人负责。</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2）由招标人按国家相关标准及招标文件验收条款组织验收，检验不合格或不符合质量要求，中标人除无条件退货、返工外，还应承担招标人的一切损失。</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3）中标人所提供的货物开箱后，如招标人发现有任何质量问题（如外观损伤、功能不齐全、无法正常使用等），中标人必须立即以同样型号的设备在招标人商定的时间内更换，确保其使用。</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合同签订后预付合同价款的30%；安装调试完成后支付至合同价的70%，项目竣工验收合格并经审计审定后，付至审定价（不含系统运营维护费）的100%，系统运营维护费待运营维护期满后一次性付清。</w:t>
      </w:r>
      <w:r/>
    </w:p>
    <w:p>
      <w:pPr>
        <w:numPr>
          <w:ilvl w:val="0"/>
          <w:numId w:val="16"/>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采购清单</w:t>
      </w:r>
      <w:r/>
    </w:p>
    <w:tbl>
      <w:tblPr>
        <w:tblStyle w:val="969"/>
        <w:tblW w:w="84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4"/>
        <w:gridCol w:w="1222"/>
        <w:gridCol w:w="4410"/>
        <w:gridCol w:w="510"/>
        <w:gridCol w:w="540"/>
        <w:gridCol w:w="1260"/>
      </w:tblGrid>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846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安全技术防范系统</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主要性能指标</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8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智能物联综合管理平台，包括系统管理、视频管理、报警管理、门禁管理、停车管理业务系统。其中;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1、系统管理;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①支持基础资源（组织、设备、人、卡、车等信息）管理，提供事件中心、数据存储、电子地图、日志记录等基础功能;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②支持平台运维，提供服务部署维护功能、支持模块化升级部署、系统资源使用情况监控等运维相关功能；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③支持级联、分布式、集群，实现系统核心能力提升；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④支持标准开放平台，提供rest ful 等多维度接口，显示数据互联互通；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w:t>
            </w:r>
            <w:r>
              <w:rPr>
                <w:rFonts w:hint="eastAsia" w:ascii="宋体" w:hAnsi="宋体" w:cs="宋体"/>
                <w:sz w:val="18"/>
                <w:szCs w:val="18"/>
                <w:highlight w:val="none"/>
                <w:lang w:bidi="ar"/>
              </w:rPr>
              <w:t xml:space="preserve">▲支持数据备份加密存储，支持TLS安全连接数据库，通过安全传输层协议(TLS)可加密保护网络传输过程中的数据，支持立即备份，周期性定时本地备份，周期性定时异地备份；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⑥支持按照用户配置的权限过滤展示组织设备树、部门人员树、数据查询；</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⑦</w:t>
            </w:r>
            <w:r>
              <w:rPr>
                <w:rFonts w:hint="eastAsia" w:ascii="宋体" w:hAnsi="宋体" w:cs="宋体"/>
                <w:sz w:val="18"/>
                <w:szCs w:val="18"/>
                <w:highlight w:val="none"/>
                <w:lang w:bidi="ar"/>
              </w:rPr>
              <w:t xml:space="preserve">▲支持监控、展示数据库TPS/QPS指标，用户采用秘密分享的方式进行灾难恢复密钥打印保管，发生灾难情况下，可使用分片密钥对硬盘的加密数据进行恢复；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2、视频管理;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①支持实时视频、录像回放、录像下载、电视墙、雷球联动，热成像;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②支持与移动设备的对接，提供车载单兵设备GPS信息接收服务;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③支持手机移动客户端进行实时视频监控，音频播放，本地截图，本地录像，云台控制，远程视频回放;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3、报警管理;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①支持报警主机接入及布撤防；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4、门禁管理;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①支持门禁设备管理;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②支持门禁控制，包括：门通道控制、门组分配、首卡开门、多卡开门、多门互锁、反潜回、开门计划、远程验证、常开常闭;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③支持门禁控制授权及复核，支持门禁管理任务查询；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④支持门禁系统集群，分布式方式提升接入能力;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⑤支持人员权限配置统计，可实时展示平台总人数、已配置权限人数、未配置权限人数；针对未配置权限人数可快速跳转至权限配置页面，配置权限。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⑥支持权限下发状态统计，可实时展示未完成、等待下发、下发中、下发失败的授权记录数，可感知权限下发的预计完成时间，同时可按照人、卡、生物特征等授权类型统计权限下发记录。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支持动态感知平台中是否有未完成的权限下发记录，并提供动态图标强化提醒，支持实时展示平台当前的授权下发速率、下发进度、预计完成时间，可根据当前平台总体未完成记录数与总体下发的速率，综合换算出授权下发预计完成时间，支持实时展示平台等待下发以及下发失败的权限数量，可按照人、卡、人脸及其他生物特征进行分类统计，且能通过链接跳转至各个细分栏的具体设备通道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5、停车管理;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①支持出入口管理、场区管理、地图管理、收费规则管理、用户布控设置、场内超速报警；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②支持配套云平台实现在线支付和无人值守；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③单台系统支持出入口设备最大50进50出；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6、操作系统：采用符合中国信息安全评测中心安全可靠评测结果的国产化服务器操作系统；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7、尺寸：机架式服务器机箱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8、处理器：≥1颗符合中国信息安全评测中心安全可靠评测结果的国产化CPU，≥24核 主频≥2.5GHz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9、内存：配置≥64G内存（2根32G DDR4 ECC内存条）4个DDR4 DIMM插槽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10、硬盘：≥2块4T 3.5吋 SATA 热插拔机械硬盘，最大支持12块3.5吋/2.5吋的SAS/SATA机械硬盘或固态硬盘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11、电源：2个900W交流电源模块，支持1+1冗余；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12、风扇：≥4个热拔插风扇，支持N+1冗余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13、RAID卡：SAS3408，支持RAID 0,1,10</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sz w:val="18"/>
                <w:szCs w:val="18"/>
                <w:highlight w:val="none"/>
              </w:rPr>
              <w:t xml:space="preserve">以上▲参数须提供具有CMA认证的检验中心所出具的权威检测报告全文、报告编号在国家市场监督管理总局全国认证认可信息公共服务平台查询的截图并加盖原厂公章。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￥55,052.55</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校时装置</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1、天线接口：BNC，1路，稳定度≤10 ns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2、面板显示：配置高亮度OLED液晶 支持轮循显示卫星状态、时间、卫星个数、网络、系统工作状态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3、WEB管理：1、 WEB设置：NTP设置，网络设置 2、 NTP状态：NTP服务器和授时客户端的同步和时间偏差情况, GPS状态：包括GPS卫星数，服务器部署位置的经纬度和高度，卫星时间，服务器时间以及参考源的同步情况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4、授时模式：支持NTP Peer Client/Server Broadcast Multicast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5、卫星接收机：支持GPS、北斗二代双参考源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6、高可靠性：双路220V冗余电源 支持双机热备 支持网卡绑定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7、配备30米长度天线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￥28,026.60</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管理主机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1、CPU：采用符合中国信息安全评测中心安全可靠评测结果的国产化CPU，≥8核，≥2.3GHZ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2、内存：≥8GB DDR4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3、存储：≥256GB NVME M.2 SSD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4、独立显卡：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1GB缓存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5、标配USB接口键鼠套装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24寸液晶显示器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7、操作系统：：采用符合中国信息安全评测中心安全可靠评测结果的国产化桌面操作系统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8、支持实时预览，支持保存视图名称的自定义命名；窗口预览手动切换主码流、码流；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9、支持录像回放，支持录像以时间轴分布结果，可左右滚动、可刻度缩放，且缩放可控范围在10秒至24小时；支持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7种倍速播放；支持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6种慢速播放；支持录像回放下抓图、连续抓图；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10、支持云台；支持预置点管理、调用、点位巡航、巡迹、线扫、水平旋转；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11、支持即时上墙、任务上墙；支持定时、轮巡电视墙计划；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￥6,300.00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入侵和紧急报警系统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室内入侵报警</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1、支持本地16路报警输入，最大可扩展到256路；支持接入常开或常闭型探测器；支持探测器防拆、防短、防遮挡功能;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2、支持本地4路报警输出，最大可扩展到256路；支持强制开启、强制关闭、自动控制功能，支持报警联动;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3、支持即时防区、延时防区、24小时无声等多种防区类型;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4、支持报警输入输出接口电路保护功能;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5、支持异常报警，包括主机防拆报警、键盘防拆报警、主电掉电报警、蓄电池掉电报警、蓄电池欠压报警、PSTN掉线报警、网络断开报警、IP冲突报警、MAC冲突报警等;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2路RS-485接口，支持最大32路键盘接入，支持打印机接入;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7、支持CID（Contact ID protocol），支持话机复用;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8、可选4G模块，支持短信报警，设置个人电话后TTS语音报警，支持4G电话反控，无线网络支持主动注册;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9、支持键盘、WEB多种配置方式，支持快速配置向导，支持远程配置及查询;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10、支持最多8个子系统，支持单防区和子系统布撤防，支持键盘、遥控器、IC卡等多种布撤防方式;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11、支持多个接警中心和报警数据上传策略;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12、支持海量日志查询功能;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13、支持双网口，2个有线中心;</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￥2,888.55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地址模块</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支持1路防区输入扩展，支持地址拨码设置，支持最大传输距离2400m，支持总线供电，遵循MBus通讯协议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￥163.51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吸顶探测器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1、吸顶微波红外探测器，吸顶安装；安装高度2.5~3.6m，探测范围直径</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8米，角度360°；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2、报警延时5s；支持下视窗技术，彻底消除探测死角；脉冲计数1P/2P可选，支持防拆报警；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3、常闭无电压输出，接点容量DC28V，100mA；支持温度补偿，可确保高温环境下探测距离不衰减，抗EMI/RFI干扰；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4、抗白光等级20000Lux，探测速度0.3~3m/s；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5、供电电压DC9~16V工作电流≤35mA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紧急按钮面板式（适合86底盒）钥匙复位, 无钉孔</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张力式电子围栏</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四道双防区控制杆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1、张力模块和控制器一体化设计，使安装更方便、简捷；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2、高精度张力传感器：能够侦测微小的张力变化，实时安全监测周界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3、多种报警监测：钢索拉紧、松弛、剪断、防拆、断电等均报警输出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4、自适应温度变化：创新设计侦测算法，能够自动追踪补偿环境温度变化而引起的张力误差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5、零售后维护设计：自适应系统张力变形，使用模糊控制算法，能自动补偿钢丝等变形而产生的误差，使系统长期稳定运行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6、宽电压供电范围，本地声光报警接口</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￥3,657.15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可两种角度调节，304不锈钢，分三部份组成：底坐背板和两个侧耳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￥136.50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1、支持共模4KV,差模2KV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2、达到V5能效等级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3、支持AC220V电压供电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4、支持AC24V3A输出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5、支持温度范围在-20℃~+70℃的环境下工作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不锈钢，长*宽*高(</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400mm*200mm*500mm)；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￥577.17</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氧化锌、复合材料</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角铁，984mm长，38mm宽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￥161.12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6平方铜导线，3m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张力终端受力杆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铝制材料+抗氧化处理，所有配件螺丝采用不锈钢；安装角度可调节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受力杆专用底座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一包含两个底座和螺丝，铝合金材质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张力中间支撑杆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一包含一个底座和配套螺丝，铝合金材质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万向滑轮</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  终端杆+4个滑轮就变成转向杆）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多股张力线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12号，304不锈钢，500米为单位</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￥881.27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张力收紧器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张力弹簧</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张力线束线器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铝合金材质，用于张力线之间的固定</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夜光型警示牌</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高压绝缘线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耐高压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15KV，单芯硅胶绝缘材质；100米一卷</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室外警灯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室外旋转警灯，声压：</w:t>
            </w:r>
            <w:r>
              <w:rPr>
                <w:rFonts w:hint="eastAsia" w:ascii="宋体" w:hAnsi="宋体" w:cs="宋体"/>
                <w:i w:val="0"/>
                <w:iCs w:val="0"/>
                <w:color w:val="auto"/>
                <w:sz w:val="18"/>
                <w:szCs w:val="18"/>
                <w:highlight w:val="none"/>
                <w:u w:val="none"/>
                <w:lang w:val="en-US" w:eastAsia="zh-CN" w:bidi="ar"/>
              </w:rPr>
              <w:t xml:space="preserve">不低于</w:t>
            </w:r>
            <w:r>
              <w:rPr>
                <w:rFonts w:hint="eastAsia" w:ascii="宋体" w:hAnsi="宋体" w:eastAsia="宋体" w:cs="宋体"/>
                <w:i w:val="0"/>
                <w:iCs w:val="0"/>
                <w:color w:val="auto"/>
                <w:sz w:val="18"/>
                <w:szCs w:val="18"/>
                <w:highlight w:val="none"/>
                <w:u w:val="none"/>
                <w:lang w:val="en-US" w:eastAsia="zh-CN" w:bidi="ar"/>
              </w:rPr>
              <w:t xml:space="preserve">110(dB/m)；闪光次数/每分钟：</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70；ABS环保塑料；12VDC供电，正常工作电流≤300mA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警灯电源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1、支持共模4KV,差模2KV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2、达到V5能效等级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3、支持AC100~240V电压供电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4、支持DC12V1A输出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5、适应温度-30~70℃； 湿度＜90%的环境应用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￥42.05</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1、支持本地16路报警输入，最大可扩展到256路；支持接入常开或常闭型探测器；支持探测器防拆、防短、防遮挡功能;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2、支持本地4路报警输出，最大可扩展到256路；支持强制开启、强制关闭、自动控制功能，支持报警联动;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3、支持即时防区、延时防区、24小时无声等多种防区类型;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4、支持报警输入输出接口电路保护功能;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5、支持异常报警，包括主机防拆报警、键盘防拆报警、主电掉电报警、蓄电池掉电报警、蓄电池欠压报警、PSTN掉线报警、网络断开报警、IP冲突报警、MAC冲突报警等;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6、支持2路RS-485接口，支持最大32路键盘接入，支持打印机接入;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7、支持CID（Contact ID protocol），支持话机复用;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8、可选4G模块，支持短信报警，设置个人电话后TTS语音报警，支持4G电话反控，无线网络支持主动注册;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9、支持键盘、WEB多种配置方式，支持快速配置向导，支持远程配置及查询;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10、支持最多8个子系统，支持单防区和子系统布撤防，支持键盘、遥控器、IC卡等多种布撤防方式;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11、支持多个接警中心和报警数据上传策略;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12、支持海量日志查询功能;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13、支持双网口，2个有线中心;</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￥2,888.55</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分辨率：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128x64 ，LCD屏尺寸：</w:t>
            </w:r>
            <w:r>
              <w:rPr>
                <w:rFonts w:hint="eastAsia" w:ascii="宋体" w:hAnsi="宋体" w:cs="宋体"/>
                <w:i w:val="0"/>
                <w:iCs w:val="0"/>
                <w:color w:val="auto"/>
                <w:sz w:val="18"/>
                <w:szCs w:val="18"/>
                <w:highlight w:val="none"/>
                <w:u w:val="none"/>
                <w:lang w:val="en-US" w:eastAsia="zh-CN" w:bidi="ar"/>
              </w:rPr>
              <w:t xml:space="preserve">不低于</w:t>
            </w:r>
            <w:r>
              <w:rPr>
                <w:rFonts w:hint="eastAsia" w:ascii="宋体" w:hAnsi="宋体" w:eastAsia="宋体" w:cs="宋体"/>
                <w:i w:val="0"/>
                <w:iCs w:val="0"/>
                <w:color w:val="auto"/>
                <w:sz w:val="18"/>
                <w:szCs w:val="18"/>
                <w:highlight w:val="none"/>
                <w:u w:val="none"/>
                <w:lang w:val="en-US" w:eastAsia="zh-CN" w:bidi="ar"/>
              </w:rPr>
              <w:t xml:space="preserve">56.27x38.35mm；具防区状态指示灯、故障指示灯、布撤防指示灯、网络指示灯、通讯指示灯；具有0~9数字键和菜单键；具蜂鸣器；壳体防拆；对主机编程、布撤防、消警、旁路/旁路恢复、 子系统操作、继电器操作、防区状态查询、步测模式等功能；支持防区状态、系统故障、程序版本、通信参数查询；支持无线433MHz,支持无线遥控器，RS485接口与主机连接</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输入输出扩展模块</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单防区扩展；单路继电器输出扩展；常开、常闭类型探测器可选；最大级联数120；通信协议Mbus</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￥163.51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12V7A蓄电池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￥155.29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DC12V 1W，室内安装，报警时发出声光报警信号，含电源</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门卫一键报警</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110报警专线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报警专线，接入学校属地进公安，含5年专线费用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￥11,935.09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400万像素网络结构化摄像机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1、采用超星光超低照度400万像素1/1.8英寸CMOS图像传感器，最大可输出400万(2688×1520)@25/30fps；镜头类型：电动变焦,镜头焦距：不小于8mm～32mm；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2、支持变焦镜头全焦段图像畸变校正功能，相机从短焦到长焦变倍全过程均可同步自动进行画面畸变校正，画面几何失真全焦段≤3%；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3、支持视频结构化：支持机动车、非机动车、人脸、人员等目标的抓拍和属性识别；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4、支持人脸检测：支持跟踪，支持优选，支持抓拍，支持上报最优的人脸抓图，支持人脸增强，人脸曝光，支持人脸属性提取，支持6种属性，8种表情，支持人脸去重；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5、支持人脸识别：支持添加10个人脸库;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6、支持复眼补光技术：减少光污染，补光均匀性好，提升夜晚补光通透性；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补光灯表面为微四边形阵列，采用多层透镜结构，补光灯透镜采用微四边形阵列镜面，通过多层透镜组合，可消除监控画面中目标的眩光、杂光和亮点等现象；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8、支持同画面内不同类型目标互不干扰抓拍，独立适配目标亮度、速度等特性，达到最优抓拍效果；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9、支持监控画面内运动物体无鬼影/拖影/重影，实现监画面中的运动物体更清晰、不重影；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10支持声光报警联动，当报警产生时，可触发联动声音警报和灯光闪烁；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11、支持报警3进2出，音频2进1出，485，BNC，最大支持512G Micro SD卡；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12、内置双麦克风，集成降噪算法，具有自适应降噪能力，可满足20米远程拾音；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13、内置高保真大口径扬声器，可覆盖室内30米距离；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14、支持DC12V/AC24V/POE供电方式，支持12V电源返送，最大电流165mA，峰值电流700mA；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w:t>
            </w:r>
            <w:r>
              <w:rPr>
                <w:rFonts w:hint="eastAsia" w:ascii="宋体" w:hAnsi="宋体" w:cs="宋体"/>
                <w:sz w:val="18"/>
                <w:szCs w:val="18"/>
                <w:highlight w:val="none"/>
                <w:lang w:bidi="ar"/>
              </w:rPr>
              <w:t xml:space="preserve">▲可通过指示灯显示设备启动、网络连接的工作状态；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16、▲设备镜头前盖玻璃呈倾斜状，与镜头平面呈8°夹角，可改变沿镜头光轴方向入射光束的反射光方向，降低鬼影对视频画面的影响；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17、支持IP67防护等级；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以上▲</w:t>
            </w:r>
            <w:r>
              <w:rPr>
                <w:rFonts w:hint="eastAsia" w:ascii="宋体" w:hAnsi="宋体" w:eastAsia="宋体" w:cs="宋体"/>
                <w:i w:val="0"/>
                <w:iCs w:val="0"/>
                <w:strike w:val="0"/>
                <w:color w:val="auto"/>
                <w:sz w:val="18"/>
                <w:szCs w:val="18"/>
                <w:highlight w:val="none"/>
                <w:u w:val="none"/>
                <w:lang w:val="en-US" w:eastAsia="zh-CN" w:bidi="ar"/>
              </w:rPr>
              <w:t xml:space="preserve">参数</w:t>
            </w:r>
            <w:r>
              <w:rPr>
                <w:rFonts w:hint="eastAsia" w:ascii="宋体" w:hAnsi="宋体" w:eastAsia="宋体" w:cs="宋体"/>
                <w:i w:val="0"/>
                <w:iCs w:val="0"/>
                <w:color w:val="auto"/>
                <w:sz w:val="18"/>
                <w:szCs w:val="18"/>
                <w:highlight w:val="none"/>
                <w:u w:val="none"/>
                <w:lang w:val="en-US" w:eastAsia="zh-CN" w:bidi="ar"/>
              </w:rPr>
              <w:t xml:space="preserve">具有CMA认证的检验中心所出具的权威检测报告全文、报告编号在国家市场监督管理总局全国认证认可信息公共服务平台查询的截图并加盖原厂公章。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￥6,401.32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高空全景摄像机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一体式枪球设计，单产品兼顾全景与细节。全景画面由4个传感器拼接而成，实现180度全景监控。采用大光圈镜头并结合自研流光技术，实现超星光级低照。全景支持图像矫正，主码流视频裁剪。高性能细节球机可配合全景实现枪球联动，快速定位细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2、全景参数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①采用4个高性能200万像素1/1.8英寸CMOS图像传感器。最大单路可输出800万(4096×1800)@25/30fps。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②视场角：水平：1 × 180°， 竖直：103°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③最低照度：0.0005Lux（彩色模式）；0.0001Lux（黑白模式）。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3、细节参数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①采用1个高性能400万像素1/1.8英寸CMOS图像传感器，最大单路可输出400万(2560×1440)@25/30fps。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②最低照度：0.001Lux F1.4（彩色模式）；0.0005Lux F1.4（黑白模式）；0Lux（红外灯开启）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③光学变倍：40倍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④数字变倍：16倍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⑤旋转范围：水平:0°~360°连续旋转，垂直:-11°~+90° 自动翻转180°后连续监视。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⑥球机内置高效红外补光灯，最大红外监控距离400米。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4、整机参数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①全景支持3种智能资源切换：周界防范，人群分布图，车辆密度。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②球机支持3种智能资源切换：周界防范，视频结构化，人脸识别。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③可加装 5G快装模块，实现5G功能：支持5G/4G/3G蜂窝网络自动/手动切换。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④可加装 </w:t>
            </w:r>
            <w:r>
              <w:rPr>
                <w:rFonts w:hint="eastAsia" w:ascii="宋体" w:hAnsi="宋体" w:cs="宋体"/>
                <w:sz w:val="18"/>
                <w:szCs w:val="18"/>
                <w:highlight w:val="none"/>
                <w:lang w:bidi="ar"/>
              </w:rPr>
              <w:t xml:space="preserve">Wi-Fi</w:t>
            </w:r>
            <w:r>
              <w:rPr>
                <w:rFonts w:hint="eastAsia" w:ascii="宋体" w:hAnsi="宋体" w:eastAsia="宋体" w:cs="宋体"/>
                <w:i w:val="0"/>
                <w:iCs w:val="0"/>
                <w:color w:val="auto"/>
                <w:sz w:val="18"/>
                <w:szCs w:val="18"/>
                <w:highlight w:val="none"/>
                <w:u w:val="none"/>
                <w:lang w:val="en-US" w:eastAsia="zh-CN" w:bidi="ar"/>
              </w:rPr>
              <w:t xml:space="preserve">模块，实现Wi-Fi功能：支持Wi-Fi 2.4G和Wi-Fi 5G。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⑤</w:t>
            </w:r>
            <w:r>
              <w:rPr>
                <w:rFonts w:hint="eastAsia" w:ascii="宋体" w:hAnsi="宋体" w:cs="宋体"/>
                <w:sz w:val="18"/>
                <w:szCs w:val="18"/>
                <w:highlight w:val="none"/>
                <w:lang w:bidi="ar"/>
              </w:rPr>
              <w:t xml:space="preserve">具有大模型设置选项，开启大模型模式后，对人群的检测距离可提升2倍</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strike w:val="0"/>
                <w:color w:val="auto"/>
                <w:sz w:val="18"/>
                <w:szCs w:val="18"/>
                <w:highlight w:val="none"/>
                <w:u w:val="none"/>
                <w:lang w:val="en-US" w:eastAsia="zh-CN" w:bidi="ar"/>
              </w:rPr>
              <w:t xml:space="preserve">（提供具有CMA认证的检验中心所出具的公安部有效检测报告复印件、报告编号在国家市场监督管理总局全国认证认可信息公共服务平台查询的截图</w:t>
            </w:r>
            <w:r>
              <w:rPr>
                <w:rFonts w:hint="eastAsia" w:ascii="宋体" w:hAnsi="宋体" w:cs="宋体"/>
                <w:i w:val="0"/>
                <w:iCs w:val="0"/>
                <w:strike w:val="0"/>
                <w:color w:val="auto"/>
                <w:sz w:val="18"/>
                <w:szCs w:val="18"/>
                <w:highlight w:val="none"/>
                <w:u w:val="none"/>
                <w:lang w:val="en-US" w:eastAsia="zh-CN" w:bidi="ar"/>
              </w:rPr>
              <w:t xml:space="preserve">并</w:t>
            </w:r>
            <w:r>
              <w:rPr>
                <w:rFonts w:hint="eastAsia" w:ascii="宋体" w:hAnsi="宋体" w:eastAsia="宋体" w:cs="宋体"/>
                <w:i w:val="0"/>
                <w:iCs w:val="0"/>
                <w:strike w:val="0"/>
                <w:color w:val="auto"/>
                <w:sz w:val="18"/>
                <w:szCs w:val="18"/>
                <w:highlight w:val="none"/>
                <w:u w:val="none"/>
                <w:lang w:val="en-US" w:eastAsia="zh-CN" w:bidi="ar"/>
              </w:rPr>
              <w:t xml:space="preserve">加盖原厂公章）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⑥支持枪球联动。支持GPS/北斗经纬度定位。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⑦</w:t>
            </w:r>
            <w:r>
              <w:rPr>
                <w:rFonts w:hint="eastAsia" w:ascii="宋体" w:hAnsi="宋体" w:cs="宋体"/>
                <w:sz w:val="18"/>
                <w:szCs w:val="18"/>
                <w:highlight w:val="none"/>
                <w:lang w:bidi="ar"/>
              </w:rPr>
              <w:t xml:space="preserve">摄像机自带雨刷，可远程控制开启雨刷</w:t>
            </w:r>
            <w:r>
              <w:rPr>
                <w:rFonts w:hint="eastAsia" w:ascii="宋体" w:hAnsi="宋体" w:cs="宋体"/>
                <w:sz w:val="18"/>
                <w:szCs w:val="18"/>
                <w:highlight w:val="none"/>
                <w:lang w:eastAsia="zh-CN" w:bidi="ar"/>
              </w:rPr>
              <w:t xml:space="preserve">。</w:t>
            </w:r>
            <w:r>
              <w:rPr>
                <w:rFonts w:hint="eastAsia" w:ascii="宋体" w:hAnsi="宋体" w:eastAsia="宋体" w:cs="宋体"/>
                <w:i w:val="0"/>
                <w:iCs w:val="0"/>
                <w:strike w:val="0"/>
                <w:color w:val="auto"/>
                <w:sz w:val="18"/>
                <w:szCs w:val="18"/>
                <w:highlight w:val="none"/>
                <w:u w:val="none"/>
                <w:lang w:val="en-US" w:eastAsia="zh-CN" w:bidi="ar"/>
              </w:rPr>
              <w:t xml:space="preserve">（提供具有CMA认证的检验中心所出具的公安部有效检测报告复印件、报告编号在国家市场监督管理总局全国认证认可信息公共服务平台查询的截图</w:t>
            </w:r>
            <w:r>
              <w:rPr>
                <w:rFonts w:hint="eastAsia" w:ascii="宋体" w:hAnsi="宋体" w:cs="宋体"/>
                <w:i w:val="0"/>
                <w:iCs w:val="0"/>
                <w:strike w:val="0"/>
                <w:color w:val="auto"/>
                <w:sz w:val="18"/>
                <w:szCs w:val="18"/>
                <w:highlight w:val="none"/>
                <w:u w:val="none"/>
                <w:lang w:val="en-US" w:eastAsia="zh-CN" w:bidi="ar"/>
              </w:rPr>
              <w:t xml:space="preserve">并</w:t>
            </w:r>
            <w:r>
              <w:rPr>
                <w:rFonts w:hint="eastAsia" w:ascii="宋体" w:hAnsi="宋体" w:eastAsia="宋体" w:cs="宋体"/>
                <w:i w:val="0"/>
                <w:iCs w:val="0"/>
                <w:strike w:val="0"/>
                <w:color w:val="auto"/>
                <w:sz w:val="18"/>
                <w:szCs w:val="18"/>
                <w:highlight w:val="none"/>
                <w:u w:val="none"/>
                <w:lang w:val="en-US" w:eastAsia="zh-CN" w:bidi="ar"/>
              </w:rPr>
              <w:t xml:space="preserve">加盖原厂公章）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⑧</w:t>
            </w:r>
            <w:r>
              <w:rPr>
                <w:rFonts w:hint="eastAsia" w:ascii="宋体" w:hAnsi="宋体" w:cs="宋体"/>
                <w:sz w:val="18"/>
                <w:szCs w:val="18"/>
                <w:highlight w:val="none"/>
                <w:lang w:bidi="ar"/>
              </w:rPr>
              <w:t xml:space="preserve">支持人群分布大模型算法，可对全景通道绘制区域内的人数进行统计。</w:t>
            </w:r>
            <w:r>
              <w:rPr>
                <w:rFonts w:hint="eastAsia" w:ascii="宋体" w:hAnsi="宋体" w:eastAsia="宋体" w:cs="宋体"/>
                <w:i w:val="0"/>
                <w:iCs w:val="0"/>
                <w:strike w:val="0"/>
                <w:color w:val="auto"/>
                <w:sz w:val="18"/>
                <w:szCs w:val="18"/>
                <w:highlight w:val="none"/>
                <w:u w:val="none"/>
                <w:lang w:val="en-US" w:eastAsia="zh-CN" w:bidi="ar"/>
              </w:rPr>
              <w:t xml:space="preserve">（提供具有CMA认证的检验中心所出具的公安部有效检测报告复印件、报告编号在国家市场监督管理总局全国认证认可信息公共服务平台查询的截图</w:t>
            </w:r>
            <w:r>
              <w:rPr>
                <w:rFonts w:hint="eastAsia" w:ascii="宋体" w:hAnsi="宋体" w:cs="宋体"/>
                <w:i w:val="0"/>
                <w:iCs w:val="0"/>
                <w:strike w:val="0"/>
                <w:color w:val="auto"/>
                <w:sz w:val="18"/>
                <w:szCs w:val="18"/>
                <w:highlight w:val="none"/>
                <w:u w:val="none"/>
                <w:lang w:val="en-US" w:eastAsia="zh-CN" w:bidi="ar"/>
              </w:rPr>
              <w:t xml:space="preserve">并</w:t>
            </w:r>
            <w:r>
              <w:rPr>
                <w:rFonts w:hint="eastAsia" w:ascii="宋体" w:hAnsi="宋体" w:eastAsia="宋体" w:cs="宋体"/>
                <w:i w:val="0"/>
                <w:iCs w:val="0"/>
                <w:strike w:val="0"/>
                <w:color w:val="auto"/>
                <w:sz w:val="18"/>
                <w:szCs w:val="18"/>
                <w:highlight w:val="none"/>
                <w:u w:val="none"/>
                <w:lang w:val="en-US" w:eastAsia="zh-CN" w:bidi="ar"/>
              </w:rPr>
              <w:t xml:space="preserve">加盖原厂公章）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⑨支持宽动态，3D降噪，强光抑制，背光补偿，适用不同监控环境。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⑩支持ROI，SMART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⑪支持报警7进3出，音频2进2出，1路BNC，1路RS485功能（可设置波特率），最大支持512G Micro SD卡。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⑫支持1个网口（RJ-45）。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⑬支持DC36V供电方式。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⑭支持无SD卡、SD卡空间不足、SD卡出错、网络断开、IP冲突、移动检测、视频遮挡事件报警。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⑮支持IP66防护等级。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￥33,793.20</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低空全景摄像机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1、内置GPU芯片，支持深度学习算法，有效提升检测准确率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2、支持电子云台，可对触发智能事件的目标进行放大和跟踪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3、采用4个高性能400万像素1/1.8英寸CMOS图像传感器，最大可输出1600万(5520×2700)@25/30fps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4、视场角：水平：不小于180°；垂直：不小于100°；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5、支持H.265编码，压缩比高，实现超低码流传输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6、内置高效红外补光灯，最大红外监控距离50米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7、支持AR标签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10、支持报警2进2出，音频1进1出，485，BNC，最大支持256G Micro SD卡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11、支持DC12V/AC24V/POE供电方式，方便工程安装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12、支持IP67，IK10防护等级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￥10,500.00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400万像素网络球型摄像机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1、内置GPU芯片，支持深度学习算法，支持人脸检测；支持人脸轨迹框；支持抓拍；支持人脸增强；支持人脸抠图区域可设：人脸，单寸照；支持实时抓拍，质量优先二种抓拍策略;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2、支持绊线入侵；支持区域入侵；支持穿越围栏；支持徘徊检测；支持物品遗留；支持物品搬移；支持快速移动；支持停车检测；支持人员聚集；支持人车分类报警；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3、支持23倍光学变倍，16倍数字变倍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4、采用400万像素1/2.8英寸CMOS传感器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5、支持超低照度，彩色：0.005Lux@F1.6；黑白：0.0005Lux@F1.6；0Lux，红外灯开启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6、支持H.265编码，实现超低码流传输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7、内置150米红外灯补光，采用倍率与补光灯功率匹配算法，补光效果更均匀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8、水平方向360°连续旋转，垂直方向-20°～90°自动翻转180°后连续观察,无观察盲区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9、支持300个预置位，8条巡航路径，5条巡迹路径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10、支持IP66防护等级，6000V防雷、防浪涌和防突波保护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11、支持DC24V±25%宽电压输入</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￥4,635.75</w:t>
            </w:r>
            <w:r/>
          </w:p>
        </w:tc>
      </w:tr>
      <w:tr>
        <w:trPr>
          <w:trHeight w:val="1800"/>
        </w:trPr>
        <w:tc>
          <w:tcPr>
            <w:shd w:val="clear" w:color="auto" w:fill="ffff00"/>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00"/>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400万像素网络枪型摄像机（核心产品）</w:t>
            </w:r>
            <w:r/>
          </w:p>
        </w:tc>
        <w:tc>
          <w:tcPr>
            <w:shd w:val="clear" w:color="auto" w:fill="ffff00"/>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1、采用高性能400万像素1/2.8英寸CMOS图像传感器，可输出400万(2560×1440)@25fps，最大可输出400万(2688×1520)@20fps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2、支持绊线入侵，区域入侵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3、支持H.265编码，压缩比高，实现超低码流传输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4、内置高效红外补光灯，最大红外监控距离50米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5、支持走廊模式，宽动态，3D降噪，强光抑制，背光补偿，数字水印，适用不同监控环境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7、支持DC12V供电方式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8、支持IP67防护等级</w:t>
            </w:r>
            <w:r/>
          </w:p>
        </w:tc>
        <w:tc>
          <w:tcPr>
            <w:shd w:val="clear" w:color="auto" w:fill="ffff00"/>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ffff0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626</w:t>
            </w:r>
            <w:r/>
          </w:p>
        </w:tc>
        <w:tc>
          <w:tcPr>
            <w:shd w:val="clear" w:color="auto" w:fill="ffff00"/>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￥822.15</w: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400万像素网络半球摄像机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1、采用高性能400万像素1/2.8英寸CMOS图像传感器，可输出400万(2560×1440)@25fps，最大可输出400万(2688×1520)@20fps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2、支持绊线入侵，区域入侵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3、支持H.265编码，压缩比高，实现超低码流传输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4、内置高效红外补光灯，最大红外监控距离30米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5、支持走廊模式，宽动态，3D降噪，强光抑制，背光补偿，数字水印，适用不同监控环境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7、最大支持256G Micro SD卡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8、支持MIC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9、支持DC12V供电方式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10、支持IP67、IK10防护等级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￥822.15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400万像素人流密度监测摄像机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1、支持人流密度检测算法，可实现拥挤区域的检测及报警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2、内置GPU芯片，支持深度学习算法，有效提升检测准确率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3、支持三种智能资源切换：通用行为分析、人数统计、异常行为分析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4、支持人数统计：支持排队管理；支持区域内人数统计；进入/离开人数统计，并可生成人数统计日/月/年报表，导出使用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5、支持绊线入侵，区域入侵，快速移动，物品遗留，物品搬移，徘徊检测，人员聚集，停车检测，离岗检测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6、支持声光报警联动，当报警产生时，可触发联动声音警报和灯光闪烁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7、支持一键撤防，可在自定义设置的时间段内对报警输出，邮件，音频，灯光等事件联动项进行统一撤防控制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8、采用星光级低照度1/2.7英寸CMOS图像传感器，最大可输出400万（2688 × 1520）@25fps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9、支持H.265编码，压缩比高，实现超低码流传输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10、内置高效暖光和红外补光灯，最大红外监控距离60米，最大暖光监控距离30米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11、支持走廊模式，宽动态，3D降噪，强光抑制，背光补偿，数字水印，适用不同监控环境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12、支持ROI，SMART H.264/H.265，AI H.264/H.265，适用不同带宽和存储环境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13、支持报警2进2出，音频1进1出，485，最大支持512G Micro SD卡，内置双MIC，内置扬声器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14、支持DC12V/POE供电方式，支持12V电源返送，最大电流165mA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￥1,810.20</w: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400万像素电梯专用半球摄像机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1、电梯专用半球，采用高性能400万像素1/2.8英寸CMOS图像传感器，低照度效果好，图像清晰度高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2、支持绊线入侵，区域入侵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3、可输出400万(2560×1440)@25fps，最大可输出400万(2688×1520)@20fps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4、支持H.265编码，压缩比高，实现超低码流传输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5、内置高效红外补光灯，最大红外监控距离20米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6、支持走廊模式，宽动态，3D降噪，强光抑制，背光补偿，数字水印，适用不同监控环境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8、支持报警1进1出，音频1进1出，最大支持256G Micro SD卡，内置MIC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9、支持DC12V/POE供电方式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10、支持IP67/IK10防护等级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￥822.15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400万像素防油污摄像机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1、采用高性能1/2.7英寸CMOS图像传感器，输出400万(2688 x 1520)@25fps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2、前盖采用卡扣式设计，便于拆卸更换及安装，维护方便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3、支持玩手机检测、人员着装检测（口罩、帽子、衣服颜色）智能功能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4、支持对垃圾桶未盖进行检测，当检测到垃圾桶未盖时可触发报警；报警的最短持续时间和重复报警时间可设置；可对未盖的垃圾桶持续报警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5、支持对老鼠进行检测，当检测到老鼠时可触发报警；报警的最短持续时间和重复报警时间可设置；可对老鼠持续报警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6、内置GPU芯片，支持深度学习算法，有效提升检测准确率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7、支持H.265编码，压缩比高，实现超低码流传输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8、内置高效红外补光灯，最大补光监控距离80米;内置暖光灯，最大补光监控距离30米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10、支持走廊模式，宽动态，3D降噪，强光抑制，背光补偿，数字水印，适用不同监控环境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11、支持智能侦测：区域入侵，绊线入侵，快速移动（三项均支持人车分类及精准检测），物品遗留，物品搬移，徘徊检测，人员聚集，停车检测，人脸检测，人数统计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12、支持通过RS485接口接入温湿度传感器，当温度、湿度超过预设的阈值时可触发报警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13、支持多种异常检测：动态检测，视频遮挡，场景变更，音频异常侦测，无SD卡，SD卡空间不足，SD卡出错，网络断开，IP冲突，非法访问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14、支持报警2进2出，音频1进1出，485，BNC，电源返送，最大支持512G Micro SD卡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15、支持DC12V/POE供电方式，方便工程安装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摄像机配件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球型摄像机支架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球型摄像机支架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枪型摄像机支架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枪型摄像机壁装支架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走廊监控吊装支架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I型吊装枪机支架，60～120cm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室外监控立杆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4米，含地笼，水泥基础浇筑，立杆接地，接地线等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￥1,020.60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楼顶监控立杆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L型，上臂可旋转</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结构化摄像机电源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AC100V~240V-60W-12V5A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￥95.93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全景摄像机电源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DC36V-120W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￥237.96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球机电源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AC24V3A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枪机/半球摄像机电源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DC 12V/2A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￥194.30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1、拾音范围：1-150平方米；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2、灵敏度：-38dB；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3、信噪比：85dB（1米40dB音源SPL）52dB(10米40dB 音源SPL)1KHz at 1 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4、指向特性：全指向性；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5、动态范围：106dB(1KHz at Max dB SPL)；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6、工作电压：直流稳压电源DC 12V（9V-18V）；功耗：0.7W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7、连接方式：3条引线：（电源、音频、公共地）；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￥430.50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单口光纤收发器，单网口，一对含两只（一收一发）</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￥249.79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1、设备业务端口：1×WAN口:100Mbps RJ-45(非标24V PoE IN)、1×LAN口:100Mbps RJ-45；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2、外置PoE电源模块端口参数：1×LAN口:100Mbps RJ-45(非标24V PoE OUT)、1×LAN口:100Mbps RJ-45、DC IN:12 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3、支持数码显示屏，可显示工作模式和信道等信息，不使用电脑也可轻松调试；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4、无线标准：IEEE 802.11 b/g/n；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5、推荐视频路数：1-2路200W像素4M码流IPC/1-2路400W像素4M码流IPC；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6、无线空口速率：300Mbps；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7、工作频率：2.4GHz - 2.484GHz；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8、工作温度：-20℃～+55℃；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￥762.09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室外防水箱，不锈钢，</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500*600mm，含配电空开，防浪涌保护器等，含地面混凝土基础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数据存储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381"/>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存储磁盘阵列</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1、采用64位国产品牌处理器，采用国产化操作系统，≥8（GB)内存，可扩展至4个内存条，128(GB)内存；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2、支持≥4个10/100/1000Mbps自适应以太网电口，1个10/100/1000Mbps自适应管理网口，可选配2张PCIE标卡；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3、硬盘接口：≥48个；支持SATA硬盘，单盘最大支持20TB硬盘；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4、最大支持512路（1024Mbps）前端接入、存储、转发，32路（64 Mbps）网络回放；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5、可通过ONVIF、GB28181、RTSP、视图库、主动注册等协议管理不同厂家前端摄像头，实现视频存储；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6、存储RAID支持JBOD、RAID 0/1/5/6/10/50/60、SRAID 支持全局热备和局部热备；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7、支持存储配额管理，支持基于通道的维度进行存储周期管理；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8、支持通过IPSAN、NAS（Samba、FTP、NFS）、视频直存模式访问存储资源；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9、支持关键录像加锁，确保不被循环覆盖；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10、支持N+M集群模式，可实现单台或多台设备故障时，故障设备业务自动迁移到其它健康设备上，保障业务不中断；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11、可配合智能前端摄像头，实现结构化告警、周界告警、入户电梯告警、高空抛物告警等多种报警事件、图片透传平台；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12、支持一键诊断功能：支持硬盘状态、单盘性能、RAID状态、raid配置、硬盘盘组、网络状态、录像状态的健康状态诊断，诊断用户配置合规性，协助用户更好的使用设备；</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￥47,250.00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18TB-256MB-7200RPM-3.5英寸-SATA接口</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￥2,579.00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显示系统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w:t>
            </w:r>
            <w:r>
              <w:rPr>
                <w:rFonts w:hint="eastAsia" w:ascii="宋体" w:hAnsi="宋体" w:cs="宋体"/>
                <w:sz w:val="18"/>
                <w:szCs w:val="18"/>
                <w:highlight w:val="none"/>
                <w:lang w:bidi="ar"/>
              </w:rPr>
              <w:t xml:space="preserve">≥</w:t>
            </w:r>
            <w:r>
              <w:rPr>
                <w:rFonts w:ascii="宋体" w:hAnsi="宋体" w:cs="宋体"/>
                <w:sz w:val="18"/>
                <w:szCs w:val="18"/>
                <w:highlight w:val="none"/>
                <w:lang w:bidi="ar"/>
              </w:rPr>
              <w:t xml:space="preserve">6</w:t>
            </w:r>
            <w:r>
              <w:rPr>
                <w:rFonts w:hint="eastAsia" w:ascii="宋体" w:hAnsi="宋体" w:eastAsia="宋体" w:cs="宋体"/>
                <w:i w:val="0"/>
                <w:iCs w:val="0"/>
                <w:color w:val="auto"/>
                <w:sz w:val="18"/>
                <w:szCs w:val="18"/>
                <w:highlight w:val="none"/>
                <w:u w:val="none"/>
                <w:lang w:val="en-US" w:eastAsia="zh-CN" w:bidi="ar"/>
              </w:rPr>
              <w:t xml:space="preserve">路HDMI信号输出，输出接口最大支持3840×2160@60及以下常规分辨率和自定义分辨率输出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1路HDMI接入和1路DP接入，可同时支持2路分辨率为3840×2160、60HZ的视频图像采集并输出显示，支持设置指定电脑允许的接管范围和窗口，除此之外的电脑内容不予以显示。支持RGB采集上墙显示，输出图像与采集源图像画质无明显差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整机解码支持4路32MP@25fps（仅H.265支持） / 14路12MP@25fps / 20路8MP@25fps / 28路6MP@25fps / 36路5MP@25fps / 36路4MP@30fps / 56路3MP@25fps / 72路1080p@30fps / 200路D1@30fps</w:t>
            </w:r>
            <w:r>
              <w:rPr>
                <w:rFonts w:hint="eastAsia" w:ascii="宋体" w:hAnsi="宋体" w:cs="宋体"/>
                <w:i w:val="0"/>
                <w:iCs w:val="0"/>
                <w:color w:val="auto"/>
                <w:sz w:val="18"/>
                <w:szCs w:val="18"/>
                <w:highlight w:val="none"/>
                <w:u w:val="none"/>
                <w:lang w:val="en-US" w:eastAsia="zh-CN" w:bidi="ar"/>
              </w:rPr>
              <w:t xml:space="preserve">支持</w:t>
            </w:r>
            <w:r>
              <w:rPr>
                <w:rFonts w:hint="eastAsia" w:ascii="宋体" w:hAnsi="宋体" w:eastAsia="宋体" w:cs="宋体"/>
                <w:i w:val="0"/>
                <w:iCs w:val="0"/>
                <w:color w:val="auto"/>
                <w:sz w:val="18"/>
                <w:szCs w:val="18"/>
                <w:highlight w:val="none"/>
                <w:u w:val="none"/>
                <w:lang w:val="en-US" w:eastAsia="zh-CN" w:bidi="ar"/>
              </w:rPr>
              <w:t xml:space="preserve">MPEG2/MPEG4/H.264/H.265/SVAC/MJPEG标准网络视频流解码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支持QCIF/CIF/2CIF/HD1/D1/960H/720p/1080p/3MP/4MP/5MP/6MP/8MP/12MP/32MP/视频解码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支持音频压缩格式：PCM/G711/AAC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、▲前面板集成旋钮(提供产品外观图片证明)，支持旋钮调节音量大小、设置IP，设置快捷控制电视墙等；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、▲前面板集成LCD液晶屏(提供产品外观图片证明)，显示设备状态，如IP、设备型号、版本号等；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、▲支持前面板快捷键进行预案切换(提供产品外观图片证明)，轮巡，采集信号快速上墙；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、支持每屏1/4/6/8/9/16/25/36分割，支持M×N自由分割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8</w:t>
            </w:r>
            <w:r>
              <w:rPr>
                <w:rFonts w:hint="eastAsia" w:ascii="宋体" w:hAnsi="宋体" w:eastAsia="宋体" w:cs="宋体"/>
                <w:i w:val="0"/>
                <w:iCs w:val="0"/>
                <w:color w:val="auto"/>
                <w:sz w:val="18"/>
                <w:szCs w:val="18"/>
                <w:highlight w:val="none"/>
                <w:u w:val="none"/>
                <w:lang w:val="en-US" w:eastAsia="zh-CN" w:bidi="ar"/>
              </w:rPr>
              <w:t xml:space="preserve">、支持任意开窗、漫游，每屏最大支持36路开窗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9</w:t>
            </w:r>
            <w:r>
              <w:rPr>
                <w:rFonts w:hint="eastAsia" w:ascii="宋体" w:hAnsi="宋体" w:eastAsia="宋体" w:cs="宋体"/>
                <w:i w:val="0"/>
                <w:iCs w:val="0"/>
                <w:color w:val="auto"/>
                <w:sz w:val="18"/>
                <w:szCs w:val="18"/>
                <w:highlight w:val="none"/>
                <w:u w:val="none"/>
                <w:lang w:val="en-US" w:eastAsia="zh-CN" w:bidi="ar"/>
              </w:rPr>
              <w:t xml:space="preserve">、支持电视墙默认底色设置，支持高清底图显示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10</w:t>
            </w:r>
            <w:r>
              <w:rPr>
                <w:rFonts w:hint="eastAsia" w:ascii="宋体" w:hAnsi="宋体" w:eastAsia="宋体" w:cs="宋体"/>
                <w:i w:val="0"/>
                <w:iCs w:val="0"/>
                <w:color w:val="auto"/>
                <w:sz w:val="18"/>
                <w:szCs w:val="18"/>
                <w:highlight w:val="none"/>
                <w:u w:val="none"/>
                <w:lang w:val="en-US" w:eastAsia="zh-CN" w:bidi="ar"/>
              </w:rPr>
              <w:t xml:space="preserve">、支持预案轮巡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、支持多屏融合拼接，跨屏画面毫秒级完美同步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、支持在大屏上叠加OSD文字信息，支持位置，字体大小等自定义设置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、支持Onvif，RTSP，GB28181协议接入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、支持2个千兆光口，2个千兆电口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以上▲参数具有CMA认证的检验中心所出具的权威检测报告全文、报告编号在国家市场监督管理总局全国认证认可信息公共服务平台查询的截图并加盖原厂公章。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￥28,123.20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55寸液晶拼接屏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55英寸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2、双边拼缝：≤3.5mm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3、分辨率：1920*1080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4、亮度：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500cd/m2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5、输入接口：VGA(D-Sub)</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1、CVBS(BNC)</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2、DVI-D</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1、HDMI</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1、RS232(RJ45)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1、USB（升级和多媒体）</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6、输出接口：CVBS(BNC)</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2、RS232(RJ45)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落地式后维护模块化支架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大屏高清线缆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HDMI线 10米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￥262.50</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高清解码器（单路）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1、支持1路HDMI信号或1路VGA输出，支持1路HDMI音频输出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2、支持SVAC/MPEG4/MPEG2/H.264/H.265/MJPEG标准网络视频流解码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3、QCIF/CIF/2CIF/HD1/D1/720P/1080P/300W/500W/600W/800W/1200W视频解码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4、支持支持3路1200W@25fps(4000*3000）4路800W@30fps，(3840*2160)，6路600W@25fps (3392*2008)，8路500W @25fps(2560*1920)，9路400W @25fps(2688*1520)，10路300W@30fps(2048*1536)，12路300W@25fps(2048*1536)，16路1080P @30fps(1920*1080)，支持8路1080P@60fps解码H264和H265解码能力相同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5、支持1/4/9/16/25/36/64画面分割切换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6、HDMI输出接口支持3840x2160,，1920x1080,1280x1024，1280x720，1024x768五种显示分辨率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7、支持Onvif、RTSP协议接入，支持国标GB28181接入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8、支持远程录像文件的解码输出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9、支持解码轮巡；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10、支持1个10M/100M/1000M自适应以太网接口</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￥9,508.28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55寸液晶电视机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55寸液晶电视机，带HDMI接口，含HDMI线，含壁挂支架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￥2,835.00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出入口控制系统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75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梯控面板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1、支持2.4寸液晶屏，屏幕显示分辩率达到240×320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2、支持语音提示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3、支持门铃功能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4、支持IC卡、NFC刷卡（手机需支持）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5、一机双用，支持控制器与读卡器双模式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6、全新外观设计，更具科技感的轻薄机身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7、支持3万个用户、3万张卡片、3万个密码、50个管理员、15万条记录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8、支持门控安全模块扩展，防止断电开门，提升门控安全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9、支持支持刷卡/远程/密码开门模式，并支持多种组合识别鉴权方式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10、支持胁迫报警、 防拆报警、 闯入报警、 门超时报警、非法卡超次报警、非法密码超次报警、外部报警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11、支持来宾用户、巡逻用户、黑名单用户、VIP用户、普通用户、其他用户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12、支持TCP/IP和WIFI接入网络，支持主动注册、P2P注册、DHCP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13、支持在线升级，USB升级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14、支持本机，平台，电脑web端和手机web端对设备进行管理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15、支持消防报警联动（需接入报警输入接口，并配置对应联动）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16、耐高低温，支持工作温度-30-65℃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17、支持IP65防护等级，可用于室内室外</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电子巡查系统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巡检器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1、采用RFID感应读卡技术，读取成功时，有声光提示，数据存储满时有提示功能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2、金属外壳，防水、防振和防低温设计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3、LED强光手电功能，满足夜间使用需求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4、读卡频率：125k，读卡距离：3-5cm，读卡响应时间：≤0.3s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5、57600BPS的标准下快速、稳定的数据传输，也具有给巡检器校时等功能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6、超低功耗，低电流量，电池寿命1年以上（正常读卡每天300次),可充电；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7、防护等级：IP55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8、工作温度范围：-40℃-70℃,工作湿度范围：30%-95%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￥1,650.86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感应地址纽</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感应式信息钮，防水防潮，防晒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感应式射频卡，数据存储采用 EEPROM,数据保存时间超过 10 年</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￥45.15</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停车场（库）管理系统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西、南校门口升降柱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手提式升降柱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1、外形尺寸:≥299mm*765mm（直径*高）；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2、柱体材料:304不锈钢；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3、地基盒:喷塑防腐工艺处理；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4、驱动方式:专用钥匙解锁，可手提移动；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5、拆卸功能:有锁止装置，通过专用钥匙可快速拆卸；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6、警示装置:3-5CM反光带；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7、防护等级:IP68；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8、柱体直径:φ219.0mm（±0.5mm）；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9、柱体厚度:6.0mm（±0.5mm）；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10、阻挡高度:600.0mm（±2mm）；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￥4,410.00</w:t>
            </w:r>
            <w:r/>
          </w:p>
        </w:tc>
      </w:tr>
      <w:tr>
        <w:trPr>
          <w:trHeight w:val="250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全自动升降柱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1、工作电压:220V±10%/50HZ；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2、电机功率:≥300W；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3、使用环境温度:-30℃±2℃～55℃±2℃；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4、升降柱体直径:219mm（±0.5mm）；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5、抗破坏等级（阻挡能量等级）:产品可承受不小于6800kg车辆以不小于65km/h速度碰撞产生的不小于1679KJ碰撞能量），需提供CMA认证及许可标志的检测报告，检测标准为《GA/T 1343-2016防暴升降式阻车路障》。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6、升降柱体厚度（壁厚）:12mm±0.1mm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7、升降高度（阻挡高度）:600mm（误差±1mm）。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8、升降性能: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(1)路障阻挡主体应能正常升降、无卡滞、到位可靠；升起速度大于或等于150 mm/s。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(2)在外部供电停止状态下，应自备应急电源及一键升降功能、具有手动升降功能。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9、柱体材质及表面处理:304不锈钢，表面抛光处理。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10、防护等级（浸水性能）:IP68（或主体在浸水状态下应无漏电现象，且能正常升降。）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11、驱动装置:双向一体液压。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12、预埋桶规格:≥325*400*800mm ，预埋桶厚度:≥2.5mm，预埋桶工艺:静电喷涂、防腐工艺。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13、警示装置:路障阻挡主体上应具有明显的警示标识（如超高亮度反光膜），且具有夜间警示功能(顶部高亮LED警示灯，带需加亚克力灯罩保护)。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14、支持遥控、手动控制。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5、防腐性能:大于或等于《GA_T 1343-2016防暴升降式阻车路障》规定的7级要求。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16、可靠性:常温下，路障连续升降5000次应无停机及故障产生，且升降灵活、到位准确。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17、控制系统安全性:控制系统的抗电强度、绝缘电阻、泄漏电流应符合GB16796—2009 中5.4.3、5.4.4和5.4.6的规定。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18、电磁兼容性:控制系统的静电放电抗扰度、电快速瞬变脉冲群抗扰度、浪涌(冲击)抗扰度应符合GB/T 30148—2013中9.3.4、12.3.4和13.3.4的规定。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19、法兰规格:法兰直径≥370mm*厚度8mm；预埋筒外沿固定不锈钢法兰盘处必须做防腐工艺（预防螺丝生锈处理等）。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￥7,350.00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自动升降柱控制器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1、通过手控盒或遥控器对控制柜接入的升降柱进行批量控制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2、升降柱升降过程通电运行时间1~10S可调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3、内置存贮装置，升降柱运行日志自动存储，操作记录可追溯查询；支持日志U盘导出查询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4、内置蓄电池，支持断电情况下操作应急按钮控制升降柱下降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5、预留安全保护接口，可接入红外、地感、雷达等保护信号，实现防撞防顶功能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6、LED环绕警示灯设置短路保护功能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7、220VAC/50HZ供电，3S快速升降，仅在升降过程通电，安全节能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￥4,725.00</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地面开挖</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地面开挖，尺寸宽800mm，深1300mm，含基础浇筑、回填沙石、路面恢复</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￥214.83</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UPVC管 50mm，排水管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￥14.32</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排水井</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尺寸：600*600*1500mm，砖砌，含井盖</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南侧地库入口</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出入口抓拍相机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1、传感器类型：1/2.8英寸CMOS；镜头：标配2.7~13.5mm电动变焦镜头；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2、图像分辨率：1920×1080（不包含OSD黑边）；视频分辨率：主码流：1080P（1920×1080）/720P（1280×720）辅码流：720P（1280×720）/D1（704× 576）；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3、最大补光距离：8m；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4、支持持获取道闸运行状态、工作状态、道闸运行次数、设备型号和故障代码。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5、支持获取防砸雷达运行状态、工作状态、继电器动作次数和设备型号；支持雷达参数设置。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6、支持2 种车头方向识别，包括正向和逆向；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7、支持水平60°、倾斜30°倾斜车牌识别。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8、触发方式：支持视频检测、I/O线圈、雷达三种触发方式；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9、报警事件：支持无存储卡、存储卡空间不足、存储卡出错、网络断开、IP冲突、非法访问等状况报警；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10、车辆检测：车辆捕获率≥99.5%；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11、车辆识别：支持车型、车标、车系、车身颜色、车牌颜色、车牌号码、车牌类型、无牌车、新能源车牌识别车牌识别率≥99.5%；视频结构化：支持；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12、供电方式：AC220V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￥2,940.00</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抓拍一体机杆件（银色+1.2米）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￥525.00</w:t>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光通量：700lm；供电方式：170Vac～264Vac；防护等级：IP66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￥567.00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室外通信总线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FS-RVVP-2*1.5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WDUZ-YJY-3*2.5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室内通信总线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WDZ-RYYP-2*1.5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探测器线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WDZ-RYY-4*1.0</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报警按钮线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WDZ-RYY-2*1.0</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WDUZ-YJY-3*2.5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室外摄像机电源线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FS-RVV-2*1.0</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7560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室内摄像机电源线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WDZ-RYY-2*1.0</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32285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梯控电源线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WDZ-RYY-2*1.0</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室外支管</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PE25，含路面开挖及回填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室外支管</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PE32，含路面开挖及回填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室外支管</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SC32，含路面开挖及回填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室外支管</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PE50，含路面开挖及回填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￥108,000.00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三年运营维护费</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￥118,179.42</w:t>
            </w:r>
            <w:r/>
          </w:p>
        </w:tc>
      </w:tr>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8466"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校园广播系统</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信息机房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硬件配置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1.工业级主板，国产CPU：≥8核 ，主频≥2.5Ghz，内存容量≥8GB，硬盘容量≥128G固态硬盘；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2.操作系统：支持国产主流操作系统；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3.触摸电容屏≥17.3寸，分辨率不小于1920*1080；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4.输出接口：≥HDMI*1、≥VGA*1。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软件功能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1.系统架构：系统采用BS架构，浏览器登录操作管理；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终端管理：支持批量添加终端，终端匹配自动上线；每个终端可以绑定一路监控视频流；支持列表视图（树形结构）和网格视图、地图模式三种管理模式；支持终端状态（在线、离线、广播）及任务状态显示及不同颜色提示；可视对讲终端有视频颜色特殊标识（提供软件界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3.终端故障自动检测：当IP终端的ID号或者IP地址冲突时，终端以红色提示异常，当在线终端离线时，终端以黄色提示异常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提供全双工语音对讲及视频对讲，响应各对讲终端的呼叫和视频通话请求，支持一键呼叫、一键对讲、一键求助、一键报警等通话模式，支持自动接听、手动接听，支持无应答自动转接，转接时间可设置，支持可视对讲终端视频分辨率选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5.地图模式：支持在线地图模式，地图可任意缩放，每个终端可以绑定一个坐标位置，在地图上显示（提供软件界面截图加盖厂家公章）；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实时任务:支持显示实时任务播放列表，支持一键启动和停止任务；支持MP3和WAV音频文件，支持播放歌曲列表显示，可以调整歌曲的播放顺序，支持文本转语音广播，可自定义播放时长，具备实时任务优先级调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计划任务：支持编程多套定时方案，支持选择任意终端和设置任意时间；支持定时任务执行测试、设置重复周期。支持定时任务多种音源选择（音乐播放、语音合成、终端采集）；支持显示当天定时任务列表，支持任务的复制、粘贴、冻结，每条任务均有执行日志，方便查看及管理；支持自定义开启功放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8.联动管理：支持消防报警信号接入、短路信号以及其他信号触发，可自定义触发区域，可自定义触发音源播放的时间，触发音源包括媒体库音频文件、终端采集、文本转语音广播；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9.支持终端短路输入联动触发，支持多种联动预案，可任意设置联动触发方案和触发终端数量，触发方案包括短路输出、音乐播放、终端采集、语音合成、警报等；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视频监控：终端可以绑定摄像头或网络视频流，选择终端即可显示绑定的监控或网络视频信息，发现异常可对指定的终端或者分区进行广播；监控画面显示支持全屏及分屏显示（提供软件界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11.媒体库：广播系统软件自带音频文件码流转换功能，支持分类保存音频文件，支持音频文件试听及下载；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12.历史记录：用户操作、广播、对讲以及终端的注册及离线的记录都可以保存，后期可以根据不同操作类型查看操作及广播记录；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13.录音录像；语音及可视对讲均可在服务器端同步录音录像；可自定义录音录像保存位置，可开启和关闭录音录像，录音录像可以进行下载播放；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14.用户管理：支持超级管理员、管理员、用户、操作员4种用户角色，可对每个用户角色功能及管理终端进行授权，分控端只需要通过浏览器登录即可操作，不需要安装任何插件；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15.分区管理：支持批量对终端进行分区，每个分区前会显示分区号，方便用IP话筒进行分区广播。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16.广播模式：支持单薄、组播两种模式，支持互联网、局域网部署；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17.平台支持3种皮肤颜色，一键切换系统配色；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18.支持广播系统备份，通过备份广播系统指定文件夹，可以备份终端信息、实时任务列表、定时任务以及媒体库音频文件；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19.SDK：提供SDK二次开发包与其它系统平台集成整合。第三方软件可直接控制对讲和广播，并接收终端当前状态；与监控系统配合，可由监控系统控制通话开关， 或通话时自动切换监控画面。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￥38,850.00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播放器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1.兼容DVD、CD、MP3等多种播放格式，可外接USB盘播放MP3音乐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2.音频信号左右声道输出，输出频响范围为20~20KHz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3.设有轻触式按键操作，可选择播放、立体声、左右声道、上一曲、下一曲、单曲循环、全部循环等功能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4.直接选择曲目，高亮度动态VFD荧光显示，清晰醒眼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5.具有通电后自动播放功能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￥1,667.40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1.≥10路输入通道(5路话筒、3路线路、2路紧急接口),≥4路音频输出接口；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▲2.≥两路受控电源管理；可控制其它设备的电源开启与关闭；</w:t>
            </w:r>
            <w:r>
              <w:rPr>
                <w:rFonts w:hint="eastAsia" w:ascii="宋体" w:hAnsi="宋体" w:cs="宋体"/>
                <w:i w:val="0"/>
                <w:iCs w:val="0"/>
                <w:color w:val="auto"/>
                <w:sz w:val="18"/>
                <w:szCs w:val="18"/>
                <w:highlight w:val="none"/>
                <w:u w:val="none"/>
                <w:lang w:val="en-US" w:eastAsia="zh-CN" w:bidi="ar"/>
              </w:rPr>
              <w:t xml:space="preserve">（提供设备背面设备接口实物图佐证并加盖厂家公章）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3.采用新型接地技术，当设备电源的接地端存在干扰时，可通过打开接地悬空开关，防止交流干扰；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4.MIC1具有最高优先、强行切入优先功能,设有优先深度调节旋钮，可根据使用情况调节优先深度；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5.EMC具有二级优先，强行切入优先功能,设有EMC增益调节旋钮，可根据使用情况调节EMC增益；</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￥1,365.00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IP网络音频采集终端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3.三段英国风格均衡；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￥3,748.50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分控中心</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IP广播分控软件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1.管理节目库资源。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2.编程定时任务。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3.支持终端音频采播功能。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4.支持本地音频采集功能。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5.支持终端监听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6.支持音频终端外控电源管理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7.支持对8路功率分区终端进行功率控制分区设置。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8.支持报警任务自动解除报警功能。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￥1,890.00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消控室</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消防接口设备</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1.专业机柜式消防联动设备，用于采集消防报警短路信号，安装在广播或消防机房。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2.采用嵌入式ARM芯片，可通过WEB登录修改设备参数；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3.支持≥32路报警输入，可联动服务软件对应任务；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4.报警输入支持短路信号和12V信号可选；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5.支持状态报警、开路报警、闭路报警三种模式选择；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6.标准IU机柜式设计，黑色铝合金拉丝面板；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7.报警任务可任意选择播放终端，具有报警任务断开停止任务、播放一整首、自定义播放时长三种模式选择；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8.报警任务具有媒体库、音频采集、文本转语音三种音源可选；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9.具有≥1个标准RJ45(10/100M)网络交换接口，支持局域网、广域网接入；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10.支持≥32路报警信号输入，可多台扩展接入； 50Hz</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￥4,636.80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领导办公室</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IP广播话筒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1.采用桌面式话筒设计，带有4.3英寸电容触摸显示屏；支持通过触摸呼叫广播及发起对讲；支持呼叫终端及多个终端、呼叫分区及多个分区、呼叫全区广播；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2.内置≥1路网络硬件音频解码模块，具有1路RJ45网络接口，100Mbps传输速率；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3.支持双向对讲功能，内置1W全频扬声器，实现双向通话。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4.支持≥1路3.5mm音频线路输入，支持采集播放功能；具有≥1路3.5mm音频线路输出，可外接功率放大器。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5.支持直接操作呼叫或对讲任意终端，支持通过话筒广播呼叫功能，广播延时低于100毫秒，支持线路输入采集及U盘广播。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6.支持多种呼叫策略，包括手动转移、无响应转移、占线转移、关机转移；自动接听、手动接听。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7.支持用户权限设置，可设置管理和显示指定分区及终端；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8.支持操作登录密码验证、操作登录密码验证支持开启和关闭；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9.支持广播提示音开启和关闭选择；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10.支持紧急广播、预警广播、自然灾害、地震广播四个快捷键，长按快捷键可以快速发起设置好的广播任务（提供界面截图加盖厂家公章）；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11.具有≥1路短路输出接口、≥1路短路输入接口。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12.支持WEB修改和配置话筒参数，包括本机IP、服务器IP、用户权限参数等（提供软件界面截图加盖厂家公章）；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13.支持自定义寻呼话筒是否接收广播，可以手动开启和关闭；</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￥4,042.50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广播分区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北教学楼1-5F走廊</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纯后级广播功放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1.提供RCA插口和XLR插口并接；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2.带压限电路,具有输出短路\过载\过热等多种保护和警告功能；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3.自带节能功能选择开关；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4.在无信号输入时，15分钟内能够自动进入待机状态，待机功率小于8W，符合节能环保要求，增加设备使用寿命（提供通过CMA认定的第三方检测机构出具的产品检测报告复印件加盖厂家公章）；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5.70V/100V或8欧定阻扬声器输出，输出功率≥500W；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￥6,106.80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IP网络防水音柱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1、喇叭单元： ≥5″×3，≥25芯号角高音″×1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2、频响范围： 90Hz-18kHz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 89±2dB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4、最大声压级： ≥112±2dB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5、额定功率/最大功率： ≥60W/120W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6、工作电压: 100V/70V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单口光纤收发器，单网口，一对含两只（一收一发）</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南教学楼1-5F走廊</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纯后级广播功放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1.提供RCA插口和XLR插口并接；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2.带压限电路,具有输出短路\过载\过热等多种保护和警告功能；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3.自带节能功能选择开关；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4.节能设计，无信号输入时，15分钟内系统自动进入待机状态；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5.待机功率小于8W，节能环保，增加设备使用寿命；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6.70V/100V或8欧定阻扬声器输出，输出功率≥500W；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￥6,106.80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IP网络防水音柱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1、喇叭单元： ≥5″×3，≥25芯号角高音″×1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2、频响范围： 90Hz-18kHz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 89±2dB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4、最大声压级： ≥112±2dB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5、额定功率/最大功率： ≥60W/120W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6、工作电压: 100V/70V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单口光纤收发器，单网口，一对含两只（一收一发）</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￥249.78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食堂一层</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一拖二领夹无线话筒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1.频率范围:640.25-690.00MHz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2.可用带宽:每通道250Hz；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3.调制方式:FM调频；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4.信道数目:红外线自动对频200信道；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5.系统包括有一台主机+两个领夹话筒；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▲话筒具备抗电磁干扰、射频干扰功能(提供</w:t>
            </w:r>
            <w:r>
              <w:rPr>
                <w:rFonts w:hint="eastAsia" w:ascii="宋体" w:hAnsi="宋体" w:cs="宋体"/>
                <w:i w:val="0"/>
                <w:iCs w:val="0"/>
                <w:color w:val="auto"/>
                <w:sz w:val="18"/>
                <w:szCs w:val="18"/>
                <w:highlight w:val="none"/>
                <w:u w:val="none"/>
                <w:lang w:val="en-US" w:eastAsia="zh-CN" w:bidi="ar"/>
              </w:rPr>
              <w:t xml:space="preserve">相关功能证书或</w:t>
            </w:r>
            <w:r>
              <w:rPr>
                <w:rFonts w:hint="eastAsia" w:ascii="宋体" w:hAnsi="宋体" w:eastAsia="宋体" w:cs="宋体"/>
                <w:i w:val="0"/>
                <w:iCs w:val="0"/>
                <w:color w:val="auto"/>
                <w:sz w:val="18"/>
                <w:szCs w:val="18"/>
                <w:highlight w:val="none"/>
                <w:u w:val="none"/>
                <w:lang w:val="en-US" w:eastAsia="zh-CN" w:bidi="ar"/>
              </w:rPr>
              <w:t xml:space="preserve">软件著作权证书复印件并附中国版权保护中心网站查询截图，加盖厂家公章)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￥2,704.28</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1.频率范围：500-950MHz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2.输入截断点：+22dBm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3.噪声比：4.0dB Type(Center Band)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4.增益：+6-9dB(Center Band)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5.输出阻抗：15dB 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6.阻抗：50Ω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7.频宽：450MHz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8.插座：BNC female</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信号放大器延长线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￥945.00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1.具有卡拉OK效果器，各部分功能可独立调节；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2.采用2Bit数据总线和32Bit DSP；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3.音乐设有≥7段参量均衡。话筒设有≥15段参量均衡。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4.主输出设有≥5段参量均衡。有压缩限幅器；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6.麦克风有≥4种反馈抑制模式：OFF 1 2 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7.采用智能 iot 音频嵌入管理技术，话筒输出、主输出、中置输出、超低音输出、后置输出,均设有压限及延时功能（提供通过CMA认定的第三方检测机构出具的产品检测报告复印件加盖厂家公章）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￥2,499.00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合并式功放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1.内置蓝牙模块，MP3解码播放器与FM收音机播放器；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2.设有2路话筒输入，3路线路输入，1路辅助输出，定压输出为70V/100V，定阻输出为4-16Ω，输出功率为120W；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3.输出频响范围为100~16KHz；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4.每路输入音量可独立控制，带有高低音音量调节；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5.话筒1设为最高优先功能，自动抑制其他输入信号；</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￥1,260.00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1.采用≥6平方电缆输入接口，输入电流达≥32A,最大40A,单路采用≥30A大功率继电器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2.可控制≥8路电源，每路开启/关闭延时间隔为1秒，通道单独控制开关，每路电源额定输出≥20A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3.具备6.35短路触发接口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4.兼容多种类型插头，STC MCU数据控制，带交流电压指示表，电压高低一目了然（误差±1%）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▲为了避免对扩声系统干扰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需</w:t>
            </w:r>
            <w:r>
              <w:rPr>
                <w:rFonts w:hint="eastAsia" w:ascii="宋体" w:hAnsi="宋体" w:cs="宋体"/>
                <w:i w:val="0"/>
                <w:iCs w:val="0"/>
                <w:color w:val="auto"/>
                <w:sz w:val="18"/>
                <w:szCs w:val="18"/>
                <w:highlight w:val="none"/>
                <w:u w:val="none"/>
                <w:lang w:val="en-US" w:eastAsia="zh-CN" w:bidi="ar"/>
              </w:rPr>
              <w:t xml:space="preserve">支持</w:t>
            </w:r>
            <w:r>
              <w:rPr>
                <w:rFonts w:hint="eastAsia" w:ascii="宋体" w:hAnsi="宋体" w:eastAsia="宋体" w:cs="宋体"/>
                <w:i w:val="0"/>
                <w:iCs w:val="0"/>
                <w:color w:val="auto"/>
                <w:sz w:val="18"/>
                <w:szCs w:val="18"/>
                <w:highlight w:val="none"/>
                <w:u w:val="none"/>
                <w:lang w:val="en-US" w:eastAsia="zh-CN" w:bidi="ar"/>
              </w:rPr>
              <w:t xml:space="preserve">智能截频多重净化技术</w:t>
            </w:r>
            <w:r>
              <w:rPr>
                <w:rFonts w:hint="eastAsia" w:ascii="宋体" w:hAnsi="宋体" w:cs="宋体"/>
                <w:i w:val="0"/>
                <w:iCs w:val="0"/>
                <w:color w:val="auto"/>
                <w:sz w:val="18"/>
                <w:szCs w:val="18"/>
                <w:highlight w:val="none"/>
                <w:u w:val="none"/>
                <w:lang w:val="en-US" w:eastAsia="zh-CN" w:bidi="ar"/>
              </w:rPr>
              <w:t xml:space="preserve">（提供智能截频多重净化技术相关证书或</w:t>
            </w:r>
            <w:r>
              <w:rPr>
                <w:rFonts w:hint="eastAsia" w:ascii="宋体" w:hAnsi="宋体" w:eastAsia="宋体" w:cs="宋体"/>
                <w:i w:val="0"/>
                <w:iCs w:val="0"/>
                <w:color w:val="auto"/>
                <w:sz w:val="18"/>
                <w:szCs w:val="18"/>
                <w:highlight w:val="none"/>
                <w:u w:val="none"/>
                <w:lang w:val="en-US" w:eastAsia="zh-CN" w:bidi="ar"/>
              </w:rPr>
              <w:t xml:space="preserve">软件著作权复印件并附中国版权保护中心网站查询截图加盖厂家公章</w:t>
            </w:r>
            <w:r>
              <w:rPr>
                <w:rFonts w:hint="eastAsia" w:ascii="宋体" w:hAnsi="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￥1,215.90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食堂二层</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1.标准RJ45接口、任何有以太网口地方即可接入、支持跨网段和跨路由，可接受服务器及其它IP网络设备的访问与控制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2.内置网络IP解码模块，支持TCP/IP、UDP、IGMP（组播）协议，实现网络化传输16位立体声CD音质和音频信号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3.采用工业级ARM芯片，支持WEB登录查看及修改设备参数；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4.100V、70V定压输出&amp;4Ω-16Ω定阻输出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5.输出具备短路、过流、过载保护及LED警示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6.内置自激、过热、开关机防冲击保护及LED警示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7.饱和失真及LED警示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8.信号电平指示LED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9.内置智能温度检测驱动风冷，采用低噪声风扇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10.2路RCA莲花混合输出、2路话筒输入、话筒1有强切入优先，并具备默音调节功能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11.网络音量、高低音、各输入通道音量独立调节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 术 参 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1.电源 AC220V/50Hz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2.噪声比 话筒：&gt;68dB   线路：&gt;82dB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3.总谐波失真&lt;0.1% at 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4.频率响应 60Hz-18KHz（±2dB）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5.音调 低音：±10dB at 100Hz，高音：±10dBB at 10KHz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6.话筒输入灵敏度&amp;阻抗：8mV/600Ω不平衡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7.线路输入灵敏度&amp;阻抗：250mV/10KΩ不平衡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8.线路输出灵敏度&amp;阻抗：1V/600Ω不平衡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9.默音调节 0-38dB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10.输出功率 180W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￥3,675.00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1.换能方式:永久极性电容收音头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2.指向性：单指向性；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3.信噪比:65db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4.频率响应：20-18Khz；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5.输出阻抗：75Ω欧姆；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6.灵敏度：-40db</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1.具有卡拉OK效果器，各部分功能可独立调节；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2.采用2Bit数据总线和32Bit DSP；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3.音乐设有7段参量均衡。话筒设有15段参量均衡。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4.主输出设有5段参量均衡。有压缩限幅器；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6.麦克风有4种反馈抑制模式：OFF 1 2 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7.话筒输出、主输出、中置输出、超低音输出、后置输出,均设有压限及延时功能；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￥2,499.00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合并式功放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1.内置蓝牙模块，MP3解码播放器与FM收音机播放器；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2.设有2路话筒输入，3路线路输入，1路辅助输出，定压输出为70V/100V，定阻输出为4-16Ω，输出功率为60W；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3.输出频响范围为100~16KHz；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4.每路输入音量可独立控制，带有高低音音量调节；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5.话筒1设为最高优先功能，自动抑制其他输入信号；</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￥1,260.00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1.输入电压： 70/100V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2.额定功率： 3/6W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 ： 110～15KHZ</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￥63.00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1.采用≥6平方电缆输入接口，输入电流达≥32A,最大40A,单路采用≥30A大功率继电器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2.可控制≥8路电源，每路开启/关闭延时间隔为1秒，通道单独控制开关，每路电源额定输出≥20A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3.具备6.35短路触发接口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4.兼容多种类型插头，STC MCU数据控制，带交流电压指示表，电压高低一目了然（误差±1%）</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￥1,215.90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室外操场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1.频率范围:640.25-690.00MHz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2.可用带宽:每通道250Hz；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3.调制方式:FM调频；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4.信道数目:红外线自动对频200信道；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5.系统包括有一台主机+两个手持话筒；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￥2,704.28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1.频率范围：500-950MHz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2.输入截断点：+22dBm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3.噪声比：4.0dB Type(Center Band)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4.增益：+6-9dB(Center Band)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5.输出阻抗：15dB 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6.阻抗：50Ω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7.频宽：450MHz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8.插座：BNC female</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信号放大器延长线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￥682.50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1.具有卡拉OK效果器，各部分功能可独立调节；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2.采用2Bit数据总线和32Bit DSP；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3.音乐设有7段参量均衡。话筒设有15段参量均衡。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4.主输出设有5段参量均衡。有压缩限幅器；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6.麦克风有4种反馈抑制模式：OFF 1 2 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7.话筒输出、主输出、中置输出、超低音输出、后置输出,均设有压限及延时功能；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￥2,499.00</w:t>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信号分配器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1.支持≥8路音频信号音量调节输出，在本地、主控软件均可控制信号分配模式，信号分配级联叠加，最多可同时实现2048路信号分配控制；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2.可任意选择工作模式，支持2组信号一进四出或1组一进八出，工作模式在主控软件可配；（提供设备软件工作界面截图并加盖厂家公章）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3.可对单路音频信号进行精确数字调节，可进行音量调节，调节精度达1%，支持主控软件远程控制；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▲4.具备独立工作能力，单机接入任意网络信息点即可进入广播系统平台接受主控软件对每路音频信号远程调节；（提供设备软件工作界面截图并加盖厂家公章）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5.输出信号音量可在内置中文显示器、主控软件等多个控制平台上实时查看；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6.每路信号增益调节后，工作记录实时反馈给主控软件并保留操作记录，通过收集工作数据，可形成工作日志报告；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7.可接入平衡音频以及非平衡音频信号，对各路不同输出参数进行同步等量比例增益调节，主控软件均可进行远程调节；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8.通过飞梭可设置全局音量一键同步，主控软件均可进行远程调节；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9.支持淡入淡出音效输出，音效时长可通过网络远程设置；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10.断电前后工作状态一致，可通过主控软件查看断电信息并将断电记录推送至移动端；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11.可提前设定多种场景音频调节工作模式，在主控软件可任意调用，最多可达999种。</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音频光端机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2进2出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￥624.55</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室外相控阵音箱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1.金属结构，有效保护机身的同时提供高效散热。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2.利用相控阵工作原理获得波束偏转，使声音具备指向性，获得空间增益，使声音控制在范围内传播，传播距离远，声压级均匀、衰减小。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▲3.有效解决噪音污染。前后声压差：全频段平均值：≥22dB</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分频段：125Hz～250Hz ≥18dB；250Hz～500Hz ≥20dB；500Hz～1000Hz ≥22dB；    1kHz～20kHz ≥25dB。（</w:t>
            </w:r>
            <w:r>
              <w:rPr>
                <w:rFonts w:hint="eastAsia" w:ascii="宋体" w:hAnsi="宋体" w:eastAsia="宋体" w:cs="宋体"/>
                <w:i w:val="0"/>
                <w:iCs w:val="0"/>
                <w:strike w:val="0"/>
                <w:color w:val="auto"/>
                <w:sz w:val="18"/>
                <w:szCs w:val="18"/>
                <w:highlight w:val="none"/>
                <w:u w:val="none"/>
                <w:lang w:val="en-US" w:eastAsia="zh-CN" w:bidi="ar"/>
              </w:rPr>
              <w:t xml:space="preserve">投标产品需国家认可的具有CMA标识的检测报告证书复印件、报告编号可在全国认证认可信息公共服务平台查询且提供查询截图，证明文件须加盖厂家公章。</w:t>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4.声源投射，音源立体多位，使听众产生身临其境的感觉，且音质效果好，语音清晰度高。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5.精巧尺寸，方便各种类型的场景应用，吊装、壁挂等多种安装方式，方便简易。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6.嵌入式系统，内置网络是数字音频解码模块，可通过网络直接接收数字音频信号进行放大，功耗小，处理速度快，可靠性高。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7.每个发声单元通道拥有自己的音源通道，经DSP算法处理后，可对每个发声单元进行垂直分布波束调整，控制声音指向性的偏转角度。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▲8.≥1路RJ45和≥1路XLR接口，支持数字与模拟双音频信号输入。（提供设备背面设备接口实物图并加盖厂家公章）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▲9.通过控制软件可对远程数字音频进行音量调节，在本地、主控软件均可进行远程数字化管理。（提供设备在线并控制音量、工作状态软件截图加盖厂家公章）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￥12,327.27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室外音箱立杆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4米，含地笼，水泥基础浇筑，立杆接地，接地线等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￥1,020.60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室外防水箱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300*250*150mm，含配电空开，防浪涌保护器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￥550.22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相控阵音箱管理主机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1、多套作息方案支持同时启用，能够批量增删改查、复制剪切、导入导出作息计划；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2、用户所在地区可选，自动获取当地天气信息，根据自定义配置信息，智能切换作息方案；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3、作息计划内容可配，可自定义触发机制、工作方式、设备启动时间，以及节目源的个数，每个计划可同时播出≥100路节目；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4、播放列表敏捷管理，支持一键增删改查，适用常见音频格式，包含MP3、WMA、AAC、OGG、MID、WAV、FLAC、APE等，集成文本文档转语音TTS功能；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5、提供CD级音质录播单元，支持边录边听、多节目源同步录播，音量、均衡可调节，能够用于个性化铃声的录制；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6、提供单声卡左右声道双节目源输出功能，可一键配置多进多出音频矩阵；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7、所有设备通道可重命名，提供一键开关、终端分配、强制复位等实用功能，接入软件的设备通过网络均可控可配；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8、系统运行日志可读，支持软件运行日志、设备状态日志、设备工作日志等，支持故障信息APP推送；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9、数据自动备份，周期可调（每天、每周、每月），支持主备服务器数据自动同步。</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
              </w:rPr>
              <w:t xml:space="preserve">10、提供“相控声柱数字调音软件”类似字样的软件著作权证书复印件并加盖厂家公章。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硬件配置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8核2.3GHZ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内存：8GB DDR4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存储：256GB NVME M.2 SSD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独立显卡：1GB缓存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标配USB接口键鼠套装</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￥7,100.00</w:t>
            </w:r>
            <w:r/>
          </w:p>
        </w:tc>
      </w:tr>
      <w:tr>
        <w:trPr>
          <w:trHeight w:val="133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24口千兆接入千兆上行接入交换机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交换容量≥336Gbps，包转发率≥120Mpps；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24个 10/100/1000Base-T 以太网端口，4个千兆 SFP；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支持4K VLAN，支持Voice VLAN、支持端口VLAN、协议VLAN、IP子网VLAN；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支持静态路由、RIP、OSPF、RIPng、OSPFv3；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支持堆叠，主机堆叠数不小于9台；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支持SNMP v1/v2/v3、Telnet、RMON、SSHv2；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支持通过命令行、Web、中文图形化配置软件等方式进行配置和管理；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支持Telemetry技术，配合网络分析组件通过智能故障识别算法对网络数据进行分析，精准展现网络实时状态，并能及时有效地定界故障以及定位故障发生原因，发现影响用户体验的网络问题，精准保障用户体验；</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￥2,326.92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WDUZ-YJY-3*4</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WDUZ-YJY-3*6</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￥24.15</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音频信号线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1.OS2零水峰增强型万兆单模2芯紧套中心管式铠装室外光缆，PE阻燃护套，E-GLASS增强，管内充以特种油膏，钢带铠装，双面涂塑钢带（PSP）提高光缆的抗透潮能力，能够支持10Gbps 10GBASE传输距离达到10000米；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2.光学特性：衰减：G652D≤0.36db/km@1310nm；≤0.32db/km@1310nm（Typical）；G652D≤0.22db/km@1550nm；≤0.20db/km@1550nm（Typical）；宏弯附加衰减：≤0.05db/km@1310nm; ≤0.05db/km@1550nm。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控制信号线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六类非屏蔽室外防水线缆，PE护套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1、线缆内部采用十字隔离骨架，可有效防止因线对之间绞距变化带来的性能下降；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2、芯线导体23AWG，线缆外径6.4(±0.03mm），带宽≥250MHz。</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￥2.94</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4口光纤盒，可安装4个双工LC（8芯）或4单工SC/ST/FC（4 芯）耦合器，不含尾纤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ABS材质，尺寸：100mm*80mm*30mm，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￥56.70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1、配线架端口：24口；高度：1U；</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2、安装方式：19 英寸机柜式安装，可直接安装于墙面；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3、安装双工 LC 可达 48 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4、连接衰耗：多模 0.1dB；单模 0.2dB；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5、全钢喷塑壳体，结构牢固，美观大方，使用方便，有效防尘；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6、配套提供暗装底盒，暗装盒内设有线缆盘绕存储架，保证光纤的最小曲率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半径；不含适配器，不含尾纤。</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LC熔接尾纤</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OS2 9/125µm,单模单工OS2尾纤，LC接头，1米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光纤耦合器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LC-LC双工单模，蓝色，带耳朵，氧化锆（ZrO2）陶瓷套筒，最大插入损耗（IL）：&lt; 0.2dB</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LC/FC 单模跳纤</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LC-FC单模OS2跳线，2米，LSZH,抗弯曲</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￥26.25</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24口非屏蔽六类配线架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六类非屏蔽配线架，1U，24口，满配六类模块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1、规格：RJ45 模块插座，端接方式具备90度或180度打线端接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2、具备T568A和T568B两种通用线序，通用线序标签清晰标注于模块上，安装后免拆卸可灵活改变颜色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3、接触针部分镀金50μm，可接线径22-26AWG，具有向下兼容性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4、传输带宽≥250MHz，拔插寿命：≥ 750 次，端接寿命：≥200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￥811.91</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六类非屏蔽跳线（2米）</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六类非屏蔽软跳线，2米，国际灰色, 环保PVC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1、传输带宽超过250MHZ，传输速率：1000Base-T和10GBase-T，导体为24AWG的多股软跳线, 导体为7/0.18的多股软跳线；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3、内部3叉插针水晶头设计，水晶头内带线托，分离线对，提高传输性能；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4、RJ45接头内插针镀金厚度为50μm；保证至少1000次插接。</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体育馆</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1.频率范围:640.25-690.00MHz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2.可用带宽:每通道250Hz；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3.调制方式:FM调频；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4.信道数目:红外线自动对频200信道；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5.系统包括有一台主机+两个手持话筒；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￥2,704.28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1.频率范围：500-950MHz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2.输入截断点：+22dBm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3.噪声比：4.0dB Type(Center Band)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4.增益：+6-9dB(Center Band)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5.输出阻抗：15dB min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6.阻抗：50Ω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7.频宽：450MHz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8.插座：BNC female</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信号放大器延长线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15米</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￥157.50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1.具有卡拉OK效果器，各部分功能可独立调节；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2.采用2Bit数据总线和32Bit DSP；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3.音乐设有7段参量均衡。话筒设有15段参量均衡。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4.主输出设有5段参量均衡。有压缩限幅器；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6.麦克风有4种反馈抑制模式：OFF 1 2 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7.话筒输出、主输出、中置输出、超低音输出、后置输出,均设有压限及延时功能；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￥4,200.00</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￥2,499.00</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1.输入采用24 bit，48kHz的AKM  A / D转换器；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2.采用智能iot音频嵌入管理管理技术包括功能有：增益、极性转换、参量均衡器、棚架滤波器、时间延时、分频功能、压缩、限制和信号路由，D / A转换器使用24位delta-sigma转换器；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3.对每路输入可控制增益、延迟和六个滤波器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▲4.实现全功能混音矩阵，具有≥4路MIC输入、≥2路LINE输入、≥2路AEC输入、≥1路AEC CHANNEL、≥1路AFC CHANNEL，≥2路AEC输出、≥2路SPK输出，用于录播、远程会议、外接设备等场景的混音矩阵设置（提供软件界面截图加盖厂家公章）；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5.≥2路输入和≥4路输出；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▲具备数字音频降噪和音频处理功能</w:t>
            </w:r>
            <w:r>
              <w:rPr>
                <w:rFonts w:hint="eastAsia" w:ascii="宋体" w:hAnsi="宋体" w:cs="宋体"/>
                <w:i w:val="0"/>
                <w:iCs w:val="0"/>
                <w:color w:val="auto"/>
                <w:sz w:val="18"/>
                <w:szCs w:val="18"/>
                <w:highlight w:val="none"/>
                <w:u w:val="none"/>
                <w:lang w:val="en-US" w:eastAsia="zh-CN" w:bidi="ar"/>
              </w:rPr>
              <w:t xml:space="preserve">，（提供</w:t>
            </w:r>
            <w:r>
              <w:rPr>
                <w:rFonts w:hint="eastAsia" w:ascii="宋体" w:hAnsi="宋体" w:eastAsia="宋体" w:cs="宋体"/>
                <w:i w:val="0"/>
                <w:iCs w:val="0"/>
                <w:color w:val="auto"/>
                <w:sz w:val="18"/>
                <w:szCs w:val="18"/>
                <w:highlight w:val="none"/>
                <w:u w:val="none"/>
                <w:lang w:val="en-US" w:eastAsia="zh-CN" w:bidi="ar"/>
              </w:rPr>
              <w:t xml:space="preserve">数字音频降噪系统、数字音频处理器控制系统软件著作权复印件加盖厂家公章</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￥5,775.00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1.Class D拓扑架构并集成开关电源设计，体积小，重量轻，1U机架空间；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2.拥有高效率功率转换电路；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3.前面板精准增益（音量）控制，有电源、信号、消波和保护的工作信号灯；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▲4.每通道</w:t>
            </w:r>
            <w:r>
              <w:rPr>
                <w:rFonts w:hint="eastAsia" w:ascii="宋体" w:hAnsi="宋体" w:cs="宋体"/>
                <w:i w:val="0"/>
                <w:iCs w:val="0"/>
                <w:strike w:val="0"/>
                <w:color w:val="auto"/>
                <w:sz w:val="18"/>
                <w:szCs w:val="18"/>
                <w:highlight w:val="none"/>
                <w:u w:val="none"/>
                <w:lang w:val="en-US" w:eastAsia="zh-CN" w:bidi="ar"/>
              </w:rPr>
              <w:t xml:space="preserve">具有</w:t>
            </w:r>
            <w:r>
              <w:rPr>
                <w:rFonts w:hint="eastAsia" w:ascii="宋体" w:hAnsi="宋体" w:eastAsia="宋体" w:cs="宋体"/>
                <w:i w:val="0"/>
                <w:iCs w:val="0"/>
                <w:color w:val="auto"/>
                <w:sz w:val="18"/>
                <w:szCs w:val="18"/>
                <w:highlight w:val="none"/>
                <w:u w:val="none"/>
                <w:lang w:val="en-US" w:eastAsia="zh-CN" w:bidi="ar"/>
              </w:rPr>
              <w:t xml:space="preserve">全自动保护电路设计，保护功能有直流、短路、削峰以及限幅，有效的保证设备安全长期使用（提供功率放大器限幅、短路、削峰保护系统</w:t>
            </w:r>
            <w:r>
              <w:rPr>
                <w:rFonts w:hint="eastAsia" w:ascii="宋体" w:hAnsi="宋体" w:cs="宋体"/>
                <w:i w:val="0"/>
                <w:iCs w:val="0"/>
                <w:color w:val="auto"/>
                <w:sz w:val="18"/>
                <w:szCs w:val="18"/>
                <w:highlight w:val="none"/>
                <w:u w:val="none"/>
                <w:lang w:val="en-US" w:eastAsia="zh-CN" w:bidi="ar"/>
              </w:rPr>
              <w:t xml:space="preserve">相关证书或</w:t>
            </w:r>
            <w:r>
              <w:rPr>
                <w:rFonts w:hint="eastAsia" w:ascii="宋体" w:hAnsi="宋体" w:eastAsia="宋体" w:cs="宋体"/>
                <w:i w:val="0"/>
                <w:iCs w:val="0"/>
                <w:color w:val="auto"/>
                <w:sz w:val="18"/>
                <w:szCs w:val="18"/>
                <w:highlight w:val="none"/>
                <w:u w:val="none"/>
                <w:lang w:val="en-US" w:eastAsia="zh-CN" w:bidi="ar"/>
              </w:rPr>
              <w:t xml:space="preserve">软件著作权复印件并附中国版权保护中心网站查询截图,加盖厂家公章）；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5.采用平衡XLR输入接口和专业SPEAKON输出接口；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6.后排拔动开关用于选择立体声或桥接、并接工作模式；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7.多环路调控技术，模块化设计。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8.低底噪，搭配液压轴承风扇优秀风噪控制，满足近场使用场景需求；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9.功率（8</w:t>
            </w:r>
            <w:r>
              <w:rPr>
                <w:rFonts w:ascii="Calibri" w:hAnsi="Calibri" w:eastAsia="宋体" w:cs="Calibri"/>
                <w:i w:val="0"/>
                <w:iCs w:val="0"/>
                <w:color w:val="auto"/>
                <w:sz w:val="18"/>
                <w:szCs w:val="18"/>
                <w:highlight w:val="none"/>
                <w:u w:val="none"/>
                <w:lang w:val="en-US" w:eastAsia="zh-CN" w:bidi="ar"/>
              </w:rPr>
              <w:t xml:space="preserve">Ω</w:t>
            </w:r>
            <w:r>
              <w:rPr>
                <w:rFonts w:hint="eastAsia" w:ascii="宋体" w:hAnsi="宋体" w:eastAsia="宋体" w:cs="宋体"/>
                <w:i w:val="0"/>
                <w:iCs w:val="0"/>
                <w:color w:val="auto"/>
                <w:sz w:val="18"/>
                <w:szCs w:val="18"/>
                <w:highlight w:val="none"/>
                <w:u w:val="none"/>
                <w:lang w:val="en-US" w:eastAsia="zh-CN" w:bidi="ar"/>
              </w:rPr>
              <w:t xml:space="preserve">）：2*≥500W。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￥5,775.00</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1.单元配置：≥1x10寸低音单元  ≥50芯音圈，≥250W/8Ω，≥170磁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≥1x34mm高音单元  ≥34芯音圈，≥1寸口径，≥50W/8Ω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2.吊挂配件：底部支撑孔，顶部侧面吊挂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3.接线方式：2 x NL4 Speakon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4.频响范围：65Hz-20KHz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5.灵敏度：≥96dB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6.额定功率：≥300W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7.峰值功率：≥1200W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8.最大声压级：≥122dB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9.阻抗：8（Ω）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10.分频点：≥2.5KHz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11.覆盖角：≥80°×≥50°（H×V）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音箱壁装支架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1.采用≥6平方电缆输入接口，输入电流达≥32A,最大40A,单路采用≥30A大功率继电器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2.可控制≥8路电源，每路开启/关闭延时间隔为1秒，通道单独控制开关，每路电源额定输出≥20A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3.具备6.35短路触发接口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4.兼容多种类型插头，STC MCU数据控制，带交流电压指示表，电压高低一目了然（误差±1%）</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￥1,215.90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HDMI口*1、话筒接口*1、音频接口*1、5孔电源插座*2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￥461.46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中央环廊1-4F走廊</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纯后级广播功放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1.提供RCA插口和XLR插口并接；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2.带压限电路,具有输出短路\过载\过热等多种保护和警告功能；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3.自带节能功能选择开关；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4.节能设计，无信号输入时，15分钟内系统自动进入待机状态；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5.待机功率小于8W，节能环保，增加设备使用寿命；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6.70V/100V或8欧定阻扬声器输出，输出功率≥500W；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￥6,106.80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综合楼1-5F走廊</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IP网络解码终端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1.≥10路输入（6路6.35话筒，3路RCA莲花线路,1路6.35紧急）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3.可接收IP广播数据流，转发给模拟功放；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4.≥一路RJ45接口，有网络的地方即可接入；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5.支持协议：ARP、UDP、TCP/IP、ICMP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6.≥4路可控触发电源接口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7.高对比度≥128X64中文点阵屏,内置音源信息一目了然,自动屏保功能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8.内置高品质蓝牙解码芯片</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9.内置高品质MP3解码芯片USB接口,兼容MP3/WAV等多种音频格式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￥1,980.30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纯后级广播功放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1.提供RCA插口和XLR插口并接；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2.带压限电路,具有输出短路\过载\过热等多种保护和警告功能；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3.自带节能功能选择开关；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4.节能设计，无信号输入时，15分钟内系统自动进入待机状态；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5.待机功率小于8W，节能环保，增加设备使用寿命；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6.70V/100V或8欧定阻扬声器输出，输出功率≥500W；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￥6,106.80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IP网络防水音柱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1、喇叭单元： ≥5″×3，≥25芯号角高音″×1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2、频响范围： 90Hz-18kHz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 89±2dB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4、最大声压级： ≥112±2dB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5、额定功率/最大功率： ≥60W/120W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6、工作电压: 100V/70V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南校前广场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1.标准RJ45接口、任何有以太网口地方即可接入、支持跨网段和跨路由，可接受服务器及其它IP网络设备的访问与控制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2.内置网络IP解码模块，支持TCP/IP、UDP、IGMP（组播）协议，实现网络化传输16位立体声CD音质和音频信号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3.采用工业级ARM芯片，支持WEB登录查看及修改设备参数；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4.100V、70V定压输出&amp;4Ω-16Ω定阻输出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5.输出具备短路、过流、过载保护及LED警示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6.内置自激、过热、开关机防冲击保护及LED警示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7.饱和失真及LED警示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8.信号电平指示LED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9.内置智能温度检测驱动风冷，采用低噪声风扇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10.2路RCA莲花混合输出、2路话筒输入、话筒1有强切入优先，并具备默音调节功能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11.网络音量、高低音、各输入通道音量独立调节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 术 参 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1.电源 AC220V/50Hz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2.噪声比 话筒：&gt;68dB   线路：&gt;82dB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3.总谐波失真&lt;0.1% at 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4.频率响应 60Hz-18KHz（±2dB）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5.音调 低音：±10dB at 100Hz，高音：±10dBB at 10KHz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6.话筒输入灵敏度&amp;阻抗：8mV/600Ω不平衡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7.线路输入灵敏度&amp;阻抗：250mV/10KΩ不平衡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8.线路输出灵敏度&amp;阻抗：1V/600Ω不平衡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9.默音调节 0-38dB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10.输出功率 80W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￥3,675.00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草坪音箱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1.输入电压:70V/100V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2.额定功率:10/20W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3.频响（Hz）:80-10K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4.灵敏度:95dB</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￥361.73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西校前广场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1.标准RJ45接口、任何有以太网口地方即可接入、支持跨网段和跨路由，可接受服务器及其它IP网络设备的访问与控制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2.内置网络IP解码模块，支持TCP/IP、UDP、IGMP（组播）协议，实现网络化传输16位立体声CD音质和音频信号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3.采用工业级ARM芯片，支持WEB登录查看及修改设备参数；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4.100V、70V定压输出&amp;4Ω-16Ω定阻输出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5.输出具备短路、过流、过载保护及LED警示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6.内置自激、过热、开关机防冲击保护及LED警示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7.饱和失真及LED警示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8.信号电平指示LED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9.内置智能温度检测驱动风冷，采用低噪声风扇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10.2路RCA莲花混合输出、2路话筒输入、话筒1有强切入优先，并具备默音调节功能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11.网络音量、高低音、各输入通道音量独立调节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 术 参 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1.电源 AC220V/50Hz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2.噪声比 话筒：&gt;68dB   线路：&gt;82dB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3.总谐波失真&lt;0.1% at 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4.频率响应 60Hz-18KHz（±2dB）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5.音调 低音：±10dB at 100Hz，高音：±10dBB at 10KHz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6.话筒输入灵敏度&amp;阻抗：8mV/600Ω不平衡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7.线路输入灵敏度&amp;阻抗：250mV/10KΩ不平衡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8.线路输出灵敏度&amp;阻抗：1V/600Ω不平衡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9.默音调节 0-38dB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10.输出功率 80W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￥3,675.00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草坪音箱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1.输入电压:70V/100V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2.额定功率:10/20W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3.频响（Hz）:80-10K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4.灵敏度:95dB</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￥361.73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地下一层报告厅外部走廊</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9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1.标准RJ45接口、任何有以太网口地方即可接入、支持跨网段和跨路由，可接受服务器及其它IP网络设备的访问与控制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2.内置网络IP解码模块，支持TCP/IP、UDP、IGMP（组播）协议，实现网络化传输16位立体声CD音质和音频信号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3.采用工业级ARM芯片，支持WEB登录查看及修改设备参数；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4.100V、70V定压输出&amp;4Ω-16Ω定阻输出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5.输出具备短路、过流、过载保护及LED警示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6.内置自激、过热、开关机防冲击保护及LED警示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7.饱和失真及LED警示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8.信号电平指示LED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9.内置智能温度检测驱动风冷，采用低噪声风扇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10.2路RCA莲花混合输出、2路话筒输入、话筒1有强切入优先，并具备默音调节功能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11.网络音量、高低音、各输入通道音量独立调节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 术 参 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1.电源 AC220V/50Hz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2.噪声比 话筒：&gt;68dB   线路：&gt;82dB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3.总谐波失真&lt;0.1% at 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4.频率响应 60Hz-18KHz（±2dB）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5.音调 低音：±10dB at 100Hz，高音：±10dBB at 10KHz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6.话筒输入灵敏度&amp;阻抗：8mV/600Ω不平衡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7.线路输入灵敏度&amp;阻抗：250mV/10KΩ不平衡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8.线路输出灵敏度&amp;阻抗：1V/600Ω不平衡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9.默音调节 0-38dB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10.输出功率 80W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￥3,675.00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地下室车库</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IP网络广播功放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1.标准RJ45接口、任何有以太网口地方即可接入、支持跨网段和跨路由，可接受服务器及其它IP网络设备的访问与控制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2.内置网络IP解码模块，支持TCP/IP、UDP、IGMP（组播）协议，实现网络化传输16位立体声CD音质和音频信号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3.采用工业级ARM芯片，支持WEB登录查看及修改设备参数；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4.100V、70V定压输出&amp;4Ω-16Ω定阻输出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5.输出具备短路、过流、过载保护及LED警示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6.内置自激、过热、开关机防冲击保护及LED警示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7.饱和失真及LED警示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8.信号电平指示LED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9.内置智能温度检测驱动风冷，采用低噪声风扇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10.2路RCA莲花混合输出、2路话筒输入、话筒1有强切入优先，并具备默音调节功能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11.网络音量、高低音、各输入通道音量独立调节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技 术 参 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1.电源 AC220V/50Hz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2.噪声比 话筒：&gt;68dB   线路：&gt;82dB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3.总谐波失真&lt;0.1% at 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4.频率响应 60Hz-18KHz（±2dB）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5.音调 低音：±10dB at 100Hz，高音：±10dBB at 10KHz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6.话筒输入灵敏度&amp;阻抗：8mV/600Ω不平衡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7.线路输入灵敏度&amp;阻抗：250mV/10KΩ不平衡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8.线路输出灵敏度&amp;阻抗：1V/600Ω不平衡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9.默音调节 0-38dB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10.输出功率 360W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￥5,696.25</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1.额定/最大功率 ≥5/10W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2.输入电压 70V/100V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3.频响（Hz） 90-18K</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3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IP网络壁挂音箱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1.标准RJ45接口、任何有以太网口地方即可接入、支持跨网段和跨路由，可接受服务器及其它IP网络设备的访问与控制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2.内置网络IP解码模块，支持TCP/IP、UDP、IGMP（组播）协议，实现网络化传输16位立体声CD音质和音频信号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3.采用工业级ARM芯片，支持WEB登录查看及修改设备参数；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4.100V、70V定压输出&amp;4Ω-16Ω定阻输出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5.输出具备短路、过流、过载保护及LED警示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6.内置自激、过热、开关机防冲击保护及LED警示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7.饱和失真及LED警示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8.信号电平指示LED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9.内置智能温度检测驱动风冷，采用低噪声风扇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10.≥2路RCA莲花混合输出、≥2路话筒输入、话筒1有强切入优先，并具备默音调节功能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11.网络音量、高低音、各输入通道音量独立调节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10.输出功率大鱼≥80W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￥1,861.10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IP网络壁挂音箱（副）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1.喇叭单元 ≥5″*1 ≥高音*1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2.额定功率 ≥15W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3.工作电压 100V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4.灵敏度（1m，1W） ≥91dB±2dB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5.最大声压级（1m） ≥99dB±2dB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6.频率响应 80-14kHz</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￥262.50</w:t>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1.≥1.8寸LCD液晶显示屏, 显示充电中、低电量、发射机与接收机信号锁定、音量大小、PPT无线翻页功能和ACG。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2.按键采用金属密封式轻触开关、手感好巨有防水、防潮、防尘的功能,性能稳定持久耐用。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3.音量大小调节数字液晶显示、U型背夹设计放便使用.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4.内/外置麦克风切换功能、手持、领夹、头戴麦多种使用方式。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5.一键静音功能放便老师与他人勾通.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6.无音频信号输入自动降噪静音功能。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7.远距离电子激光教鞭、根据用户要求可增加PPT翻页、空中鼠标和一键黑屏功能。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8.锂电池供电环保节能、连续工作≥12个小时、待机时间≥60天。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9.传输范围：视环境变化约20M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3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舞蹈教室</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一拖二领夹无线话筒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1.频率范围:640.25-690.00MHz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2.可用带宽:每通道250Hz；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3.调制方式:FM调频；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4.信道数目:红外线自动对频200信道；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5.系统包括有一台主机+两个领夹话筒；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￥3,879.86</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1.具有卡拉OK效果器，各部分功能可独立调节；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2.采用2Bit数据总线和32Bit DSP；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3.音乐设有7段参量均衡。话筒设有15段参量均衡。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4.主输出设有5段参量均衡。有压缩限幅器；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6.麦克风有4种反馈抑制模式：OFF 1 2 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7.话筒输出、主输出、中置输出、超低音输出、后置输出,均设有压限及延时功能；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￥4,381.78</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￥2,499.00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1.输入采用24 bit，48kHz的AKM  A / D转换器；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2.采用智能iot音频嵌入管理管理技术包括功能有：增益、极性转换、参量均衡器、棚架滤波器、时间延时、分频功能、压缩、限制和信号路由，D / A转换器使用24位delta-sigma转换器；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3.对每路输入可控制增益、延迟和六个滤波器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4.可存储多达30个预置。预设文件完全存储当前所有通道的所有控制数据；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5.≥2路输入和≥4路输出；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￥4,643.10</w:t>
            </w:r>
            <w:r/>
          </w:p>
        </w:tc>
      </w:tr>
      <w:tr>
        <w:trPr>
          <w:trHeight w:val="135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1.Class D拓扑架构并集成开关电源设计，体积小，重量轻，1U机架空间；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2.拥有高效率功率转换电路；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3.前面板精准增益（音量）控制，有电源、信号、消波和保护的工作信号灯；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4.每通道独特全自动保护电路设计，保护功能有直流、短路、削峰以及限幅，有效的保证设备安全长期使用；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5.采用平衡XLR输入接口和专业SPEAKON输出接口；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6.后排拔动开关用于选择立体声或桥接、并接工作模式；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7.多环路调控技术，模块化设计。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8.低底噪，搭配液压轴承风扇优秀风噪控制，满足近场使用场景需求；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9.功率（8Ω）：2*≥300W；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￥5,775.00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1.系统类型：≥8″x1,≥3″x2；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2.频响：45Hz-18KHz；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3.灵敏度：≥88dB 1W/1m；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4.阻抗：8Ω；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5.功率：≥120WATTS(RMS)/≥160WATTS(MAX)；</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￥1,992.44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音箱壁装支架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1.采用≥6平方电缆输入接口，输入电流达≥32A,最大40A,单路采用≥30A大功率继电器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2.可控制≥8路电源，每路开启/关闭延时间隔为1秒，通道单独控制开关，每路电源额定输出≥20A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3.具备6.35短路触发接口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4.兼容多种类型插头，STC MCU数据控制，带交流电压指示表，电压高低一目了然（误差±1%）</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￥1,215.90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600mm*600mm*1600mm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￥1,587.60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音频墙面插座</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音频墙面插座，双莲花头</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WDZ-RYYP-2*0.5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WDZ-RYY-2*2.5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3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音乐教室</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一拖二领夹无线话筒</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1.频率范围:640.25-690.00MHz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2.可用带宽:每通道250Hz；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3.调制方式:FM调频；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4.信道数目:红外线自动对频200信道；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5.系统包括有一台主机+两个领夹话筒；</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￥3,879.86</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1.具有卡拉OK效果器，各部分功能可独立调节；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2.采用2Bit数据总线和32Bit DSP；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3.音乐设有7段参量均衡。话筒设有15段参量均衡。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4.主输出设有5段参量均衡。有压缩限幅器；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6.麦克风有4种反馈抑制模式：OFF 1 2 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7.话筒输出、主输出、中置输出、超低音输出、后置输出,均设有压限及延时功能；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￥4,381.78</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1.≥8路平衡式话筒输入，≥2组母线输出，≥1组AUX辅助输出，MP3播放器功能；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2.提供+48V幻像电源；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3.≥1组AUX辅助输出AUX1为推子前；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4.采用≥16种数字显示延时数码效果器；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￥2,499.00</w:t>
            </w:r>
            <w:r/>
          </w:p>
        </w:tc>
      </w:tr>
      <w:tr>
        <w:trPr>
          <w:trHeight w:val="145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1.Class D拓扑架构并集成开关电源设计，体积小，重量轻，1U机架空间；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2.拥有高效率功率转换电路，绿色环保；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3.前面板精准增益（音量）控制，有电源、信号、消波和保护的工作信号灯；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4.每通道独特全自动保护电路设计，保护功能有直流、短路、削峰以及限幅，有效的保证设备安全长期使用；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5.采用平衡XLR输入接口和专业SPEAKON输出接口；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6.后排拔动开关用于选择立体声或桥接、并接工作模式；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7.多环路调控技术，模块化设计。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8.低底噪，搭配液压轴承风扇优秀风噪控制，满足近场使用场景需求；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9.功率（8Ω）：2*≥300W；</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￥5,775.00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1.系统类型：≥8″x1,≥3″x2；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2.频响：45Hz-18KHz；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3.灵敏度：≥88dB 1W/1m；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4.阻抗：8Ω；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5.功率：≥120WATTS(RMS)/≥160WATTS(MAX)；</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音箱壁装支架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1.采用≥6平方电缆输入接口，输入电流达≥32A,最大40A,单路采用≥30A大功率继电器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2.可控制≥8路电源，每路开启/关闭延时间隔为1秒，通道单独控制开关，每路电源额定输出≥20A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3.具备6.35短路触发接口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4.兼容多种类型插头，STC MCU数据控制，带交流电压指示表，电压高低一目了然（误差±1%）</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￥1,215.90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600mm*600mm*1600mm</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￥1,587.60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WDZ-RYY-2*2.5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￥8.84</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室内广播线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WDZ-RYJS-2*1.5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室外广播线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WDZ-RYY-2*2.5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WDZ-RYYP-2*0.5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￥2.63</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￥53,000.00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运营维护</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三年运营维护费</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￥52,529.79</w:t>
            </w:r>
            <w:r/>
          </w:p>
        </w:tc>
      </w:tr>
      <w:tr>
        <w:trPr>
          <w:trHeight w:val="285"/>
        </w:trPr>
        <w:tc>
          <w:tcPr>
            <w:gridSpan w:val="6"/>
            <w:shd w:val="clear" w:color="auto" w:fill="auto"/>
            <w:tcBorders>
              <w:top w:val="single" w:color="auto" w:sz="4" w:space="0"/>
              <w:left w:val="single" w:color="auto" w:sz="4" w:space="0"/>
              <w:bottom w:val="single" w:color="auto" w:sz="4" w:space="0"/>
              <w:right w:val="single" w:color="auto" w:sz="4" w:space="0"/>
            </w:tcBorders>
            <w:tcW w:w="8466"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校园直录播系统</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88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教学教研应用平台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左箱耳(含USB3.0&amp;amp:VGA) /标准右箱耳/国产处理器*1/散热片≥2/DDR4 3200 32G≥2/≥2TB 3.5吋7.2K 12Gb SAS*8/横插04盘12G SAS 硬盘背板≥2/4G 8I RIAD卡≥1/板载双口千兆网卡≥1/550W冗余电源模块≥2/滑轨/150cm国标电源</w:t>
            </w:r>
            <w:r>
              <w:rPr>
                <w:rFonts w:hint="eastAsia" w:ascii="宋体" w:hAnsi="宋体" w:cs="宋体"/>
                <w:i w:val="0"/>
                <w:iCs w:val="0"/>
                <w:strike w:val="0"/>
                <w:color w:val="auto"/>
                <w:sz w:val="18"/>
                <w:szCs w:val="18"/>
                <w:highlight w:val="none"/>
                <w:u w:val="none"/>
                <w:lang w:val="en-US" w:eastAsia="zh-CN" w:bidi="ar"/>
              </w:rPr>
              <w:t xml:space="preserve">接口</w:t>
            </w: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一、基础模块：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基础功能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1）门户页面采用简洁风格设计，支持自定义设置门户导航目录，可通过直观图标排列呈现系统模块，用户点击模块图标可跳转至对应功能页面；支持自定义设置各模块显示状态及对应的图标；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2）支持国家重大事件发生时，一键将平台设置为灰色风格；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3）支持对教室进行管理及设备查看,支持一键跳转集控管理平台进行设备管理；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4）支持录播设备接入平台实现自动转码、多画面直播及点播等，支持扫码观看直播、查看公告及浏览资源等；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5）采用引用计数和垃圾回收技术，支持单条资源被多级平台共同调用，某处删除不影响其他站点用户使用，支持系统自动判断当每级站点都不需要此资源时再自动删除；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个人空间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1）支持在个人空间针对原视频进行裁剪、编辑、合成及发布，具备文字轨道、视频轨道、台标等编辑功能；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查看我的课表，通过在个人课表添加课表或者导入课表进行约课，支持查看我的授课班级、授课班级学生，班主任可以编辑班级信息、进行学生模型训练、班级归档操作；支持查看我所加入的教研组、我的备课情况、我的磨课情况、我的视频教研情况、听课任务及记录听课进度等，支持查看我申请的优课评选及得奖课程，支持创建、编辑磨课组、添加课例等，支持查看我的教学反思、收到的反思及教学反思统计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应用管理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1）支持学情分析阈值设置，可新增、编辑及删除敏感词，支持管理员通过上传多位教师照片进行批量模型训练；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2）支持用户在点播观看视频时可通过系统提供的量表进行在线打分评价，支持自定义设置量表；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3）支持用户对课堂视频录像进行量化评估，可根据实际教学评估要求设置多套评估标准，每套评估标准可设置不同总分，可设置多项评估项目，每项评估项目可设置多项评估子项，满足不同评估要求；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课表管理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1）支持课表约课时控制录像、直播、聊天室、AI分析、直播评课、直播时移、手机端直播的功能开启状态，支持设置≥5种直播访问方式；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视频点播、直播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1）支持多画面资源模式点播，如以三分屏的方式同步播放教师画面、学生画面、课件画面，支持视频直接拖拽播放；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2）支持观看视频时可通过系统提供的量表进行在线打分评价；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3）支持直播时移，直播开始后可拖动播放器时间轴回放直播；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数据统计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1）支持以图表形式直观显示领导及教师数量，呈现教学视频、教案、导学案、课件和其它资源数量，呈现个人备课、集体磨课、听评课数量，呈现各科教学模式及教学行为应用占比等数据；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2）支持移动鼠标至相应图表呈现具体数值，如各类型资源数值、各类型教学模式具体占比数值、十一种类型教学行为具体占比数值等；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3）支持导出学校的用户数、录播教室数、AI录播教室数、AI分析课程数、直播数、资源数、教研组数、个人备课数、磨课数、听评课数、优课评选数、量表报告数等数据；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4）支持按照学校各学科、年级、学科、学段导出AI分析课程数、直播数、资源数、教研组数、个人备课数、磨课数、听评课数、量表报告数等数据；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二、优课中心：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按照资源发布时间、点赞数量和播放量，对资源进行排行展示，支持手动推荐资源在优课中心进行重点展示，支持按照学校、学段、学科进行筛选优课，支持按资源名称、作者、标签搜索查找优课，支持教案、课件、习题等文档进行在线无插件预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三、个人备课：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用户开展个人备课，提供线上科学化备课流程，支持在教案设计的教学前期分析中内置分析维度，教师可基于内置维度进行教案的教学前期分析，支持在教学反思中内置维度，教师基于内置维度进行教学反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2）支持个人备课按不同维度统计备课数量，支持按学段、学科筛选备课，支持搜索备课名称、新建备课、对已有备课进行编辑操作，支持修改备课学段、学科、年级、教材版本、册及章节内容；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3）支持采用教案设计、导学案设计、教学资源、课堂实录、教学反思的科学化备课流程开展个人备课活动；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4）个人备课的教案设计支持向导式教案模式、无模板模式及上传已有文档模式，向导式教案模式支持采用教学前期分析、教学策略与方案、教学过程设计、课堂板书设计的流程进行教案设计；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个人备课的导学案设计支持向导式导学案模式及上传已有导学案模式，向导式导学案模式支持采用学习目标、重难点指导、导学过程设计的环节进行导学案设计，支持上传教学资源、导学资源和其他资源的视频文件或文档，支持将录像库文件与课堂实录进行关联，支持手动上传课程视频文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6）个人备课的教学反思支持向导式教学反思模式及上传已有反思模式，向导式教学反思模式支持采用内置的反思维度进行教学反思；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7）个人备课过程支持课表约课，支持与已有课表关联，支持引用我的备课、我的收藏及案例池中的备课资源；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8）支持首页展示平台个人备课数量、教学视频数量、教案数量、导学案数量、其他数量；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以图表形式直观显示新增个人备课趋势和新增个人备课资源趋势，可按近7天、近30天、本学期、本学年进行趋势查看，也可按指定时间段进行趋势查看；当移动鼠标至相应图表，可显示该日期新增备课、新增备课资源的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10支持以图表形式直观显示个人备课数、人均备课数及上传资源数；支持以图表形式直观显示各学科的个人备课数、人均备课数及上传资源数；当移动鼠标至相应图表，可显示具体数值；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四、集体磨课：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1）支持磨课小组成员观看课堂实录，课堂实录支持多源观看，自由切换教师、学生及ppt画面，支持在线预览教案、课件等文档；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2）支持环节对比，教师可对比两次磨课，直接调用课堂AI分析数据，支持显示量表和教学能力矩阵对比，支持生成报告和导出报告；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以图表形式直观显示新增集体磨课趋势和新增磨课资源趋势，可按近7天、近30天、本学期、本学年进行趋势查看，也可按指定时间段进行趋势查看；当移动鼠标至相应图表，可显示该日期新增集体磨课、新增磨课资源的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4）支持以图表形式直观显示集体磨课数、人均磨课数，支持按学段、学科进行筛选近7天、其他时间新增集体磨课数和人均磨课数，支持查看磨课平均值，当移动鼠标至相应图表，可显示具体数值；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5）支持以图表形式直观显示磨课热度排行榜、日均参与人数、参与磨课比，支持按学段、学科进行筛选磨课热度和参与度，当移动鼠标至相应图表，可显示具体数值；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6）支持以图表形式直观显示备课研讨次数分布、课堂研讨次数分布；支持按学段、学科进行筛选磨课流程分布当移动鼠标至相应图表，可显示具体数值；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7）支持以图表形式直观显示磨课资源上传数，支持以图表形式直观显示磨课资源上传数，支持按学段、学科进行筛选磨课资源上传情况，当移动鼠标至相应图表，可显示具体数值；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五、优课评选：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1）支持查看活动进程，用户可在活动首页查看活动报名数量统计及活动进程情况；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2）支持管理员或组织者可自定义创建评选活动、编辑活动信息，设置活动进程截止日、添加评委等；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3）支持发起优课评选活动时将活动设定为投票模式，对参加评选的课程可以投票，根据投票结果排名；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六、在线听课：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1）支持管理员创建听课任务，支持教师选择任务中的任一课程视频即可开始听课；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2）支持教师可一边观看课程视频一边做在线记录，支持对课程进行文字评论和在线讨论，支持根据设定好的评分量表对课程进行打分；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3）支持将听课记录、量表打分信息生成电子听课本并归档保存，支持教师将有听课记录的电子听课本提交，教育管理者可看到每位教师的听课记录情况；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4）支持教师查看个人的听课任务完成情况，并可统计听课任务完成情况；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七、听课评课：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1、活动管理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1）支持创建录像评课（课例评课）、直播评课（在线评课）和实地评课（现场观摩）三种类型网络听评课活动；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2、数据展示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1）支持听评课对比中可选择两节课进行对比，查看对比分析报告；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3、扫码教研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1）支持多路视角听评课，可以查看教师、学生、电影、VGA等多路视频，全方位听评课堂；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同课异构对比，对两节教研课进行对比分析，从课堂学情分析、课堂场景、师生行为、师生对话时长、学生应答时长、学生应答活跃度、四何问题分布、四何问题列表、老师教学特征、老师巡视特征、S-T曲线、课堂教学模式、课堂词云、课堂话语文本、量表得分、能力矩阵等多个维度对比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4、会议研讨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1）支持开展听评课活动时，教研组可基于 web 端直接发起1vN音视频互动；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2）支持同步开会，与教研活动同时开展，无需约会、约人；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3）支持课例同步，主持人拖动视频进度，课例视频同步跳转；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4）支持会议录像，录像自动上传到教研活动中，自动备案；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5）支持会议控制，具备静音、用户禁言、同意举手、手放下、开启/关闭视频、移出会议等；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6）支持基于语义推理的自动语音转写，及时保留教研交流成果；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7）支持文字聊天，沟通过程自动上传到教研活动中，自动备案；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8）支持会议后查看会议录像、转写、聊天记录，支持导出。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9）支持会议研讨悬浮框全屏拖拽移动，灵活定位视图，无缝切换布局，确保会议研讨的高效流畅。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八、学情分析：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呈现的课堂教学行为包括教师录播主机能自动识别的教师和学生行为,如：老师发言、课件操作、板书、巡视、师生对话、学生发言、学生应答、上台展示、生生互动、学生读写、学生听讲等多种行为；提供通过CMA认定的第三方检测机构出具的产品检测报告复印件加盖厂家公章并同时提供该检测报告的编号在国家认监委网站中查询该编号备注中显示审核通过或有效的截图以及本项软件功能截图加盖厂家公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教师查看每节课课堂实录，支持根据师生行为分析数据生成教学行为时序图，并基于教学行为时序图进行智能打点切片，可自动定位到课堂实录特定时刻，方便进行快速回顾教学环节；提供通过CMA认定的第三方检测机构出具的产品检测报告复印件加盖厂家公章并同时提供该检测报告的编号在国家认监委网站中查询该编号备注中显示审核通过或有效的截图以及本项软件功能截图加盖厂家公章</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3、支持基于结构化课堂观察方法，自动进行S-T分析，分析每节课教学模式；如：讲授型、练习型、对话型、混合型；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4、支持教师按照时间维度查看全班学生活跃度、行为一致性及参与度情况，以便调整自己的课堂节奏和教学设计；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5、支持校教学管理者查看各科教师课堂观察分析报告，支持在线预览和导出报告，为教学管理提供客观数据；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6、▲支持校教学管理者任选两位教师的课例进行同课同构、同课异构、异课异构对比，</w:t>
            </w:r>
            <w:r>
              <w:rPr>
                <w:rFonts w:hint="eastAsia" w:ascii="宋体" w:hAnsi="宋体" w:eastAsia="宋体" w:cs="宋体"/>
                <w:i w:val="0"/>
                <w:iCs w:val="0"/>
                <w:color w:val="auto"/>
                <w:sz w:val="18"/>
                <w:szCs w:val="18"/>
                <w:highlight w:val="none"/>
                <w:u w:val="none"/>
                <w:lang w:val="en-US" w:eastAsia="zh-CN" w:bidi="ar"/>
              </w:rPr>
              <w:t xml:space="preserve">可查看两位教师授课过程中的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的对比分析数据，支持导出对比报告；提供通过CMA认定的第三方检测机构出具的产品检测报告复印件加盖厂家公章并同时提供该检测报告的编号在国家认监委网站中查询该编号备注中显示审核通过或有效的截图以及本项软件功能截图加盖厂家公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7、支持校教学管理者根据学科、时间等自定义查询导出相应的教师长期数据；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将选定的2节课例进行对比分析，查看2节课例的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9、▲在课程页面上同时呈现教师画面和学</w:t>
            </w:r>
            <w:r>
              <w:rPr>
                <w:rFonts w:hint="eastAsia" w:ascii="宋体" w:hAnsi="宋体" w:eastAsia="宋体" w:cs="宋体"/>
                <w:i w:val="0"/>
                <w:iCs w:val="0"/>
                <w:color w:val="auto"/>
                <w:sz w:val="18"/>
                <w:szCs w:val="18"/>
                <w:highlight w:val="none"/>
                <w:u w:val="none"/>
                <w:lang w:val="en-US" w:eastAsia="zh-CN" w:bidi="ar"/>
              </w:rPr>
              <w:t xml:space="preserve">生画面，同步能够呈现课堂教学行为时序图和课堂学情时序图，课堂教学行为书序图中的AI分析数据包含老师发言、课件操作、板书、巡视、师生对话、学生发言、学生应答、上台展示、生生互动、学生读写、学生听讲等，课堂学情时序图的AI分析数据包含学生参与度、行为一致性、学生活跃度三条分析曲线及课堂内举手/站立、听讲、读写、背及其他指标等；提供通过CMA认定的第三方检测机构出具的产品检测报告复印件加盖厂家公章并同时提供该检测报告的编号在国家认监委网站中查询该编号备注中显示审核通过或有效的截图以及本项软件功能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在课程页面上同时呈现教师画面和学生画面，同步能够呈现学生应答时长分析数据、学生应答类型分析数据（至少包括声音过低、短应答、长应答、齐答）、学生应答活跃度分析数据、师生对话时长分析数据（至少包括老师话语、齐答、学生站立应答、学生直接应答、沉寂混乱）、站立学生位置分布数据；提供通过CMA认定的第三方检测机构出具的产品检测报告复印件加盖厂家公章并同时提供该检测报告的编号在国家认监委网站中查询该编号备注中显示审核通过或有效的截图以及本项软件功能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在课程页面上同时呈现教师画面和学生画面，同步能够呈现四何问题分析数据和具体问题列表，四何问题分析数据包括是何问题、若何问题、如何问题、为何问题及其他问题占比分析数据，具体问题列表支持列表中问题的手动编辑；提供通过CMA认定的第三方检测机构出具的产品检测报告复印件加盖厂家公章并同时提供该检测报告的编号在国家认监委网站中查询该编号备注中显示审核通过或有效的截图以及本项软件功能截图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￥177,692.31</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自动录播教室系统</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教学区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1、1U机箱的壁挂式终端，嵌入式ARM双核处理器，Linux系统；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2、▲壁挂式终端具备≥6寸触控液晶屏，方便教师和管理人员通过液晶触控屏进行视频画面的预览、摄像机云台的控制；设置及查看主机IP地址、系统信息、</w:t>
            </w:r>
            <w:r>
              <w:rPr>
                <w:rFonts w:hint="eastAsia" w:ascii="宋体" w:hAnsi="宋体" w:eastAsia="宋体" w:cs="宋体"/>
                <w:i w:val="0"/>
                <w:iCs w:val="0"/>
                <w:color w:val="auto"/>
                <w:sz w:val="18"/>
                <w:szCs w:val="18"/>
                <w:highlight w:val="none"/>
                <w:u w:val="none"/>
                <w:lang w:val="en-US" w:eastAsia="zh-CN" w:bidi="ar"/>
              </w:rPr>
              <w:t xml:space="preserve">网络、编码、云台等参数；可以通过触控屏进行录制的开始、暂停及停止操作；可以通过触控屏针对设备的SDI接口全部或指定某一路进行POC供电的开启或关闭。为了避免学生误操作设备，设备不接受按键的方式进行上述操作，所有操作必须通过液晶触控屏进行触控操作。液晶触控屏支持输入密码方可进入操作界面。提供具有CMA认证标志的检测机构出具的检测报告（内含高清录播主机样品照片：外观照片、接口照片、铭牌照片等）复印件加盖厂家公章，并同时提供该检测报告的编号在国家认监委网站中查询该编号备注中显示审核通过或有效的截图加盖厂家公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3、设备内置≥1T硬盘，支持录制课件的本地存储，并提供双USB端口，插入USB存储设备后可拷贝录像资源；支持自锁开关，使设备通电自动开机；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4、设备视频模块支持4路HD-SDI输入、2路VGA或2路HDMI选择输入，支持1路VGA输出、1路HDMI输出；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设备内置音频处理器，支持2路话筒（48V幻象）输入，1路线性输入，1路线路输出；具有噪声抑制和智能混音功能，具有极高的信噪比，音质清晰自然，通过简单的连接，即可达到极好的远程互动效果和本地录音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6、设备控制模块支持4路RS232接口，可外接摄像机云台等；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7、设备网络模块支持2个10/100/1000Mbps自适应网口；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8、设备视频采集方式采用硬件采集、编码；输入视频格式支持HD-SDI：1920*1080P 25/30fps、1280*720P 25/30/50/60fps，输入VGA格式支持1024*768@60到1920x1080@30可调；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9、设备支持本地导播方式，插上显示屏、鼠标键盘即可完成本地无延迟导播；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10、设备支持POC供电，实现高清视频、同轴等信号与供电电源复合一起，在一根同轴线上传输为摄像机供电，支持POC摄像机及非POC摄像机视频信号的同时采集；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11、内嵌AI模块，</w:t>
            </w:r>
            <w:r>
              <w:rPr>
                <w:rFonts w:hint="eastAsia" w:ascii="宋体" w:hAnsi="宋体" w:cs="宋体"/>
                <w:i w:val="0"/>
                <w:iCs w:val="0"/>
                <w:strike w:val="0"/>
                <w:color w:val="auto"/>
                <w:sz w:val="18"/>
                <w:szCs w:val="18"/>
                <w:highlight w:val="none"/>
                <w:u w:val="none"/>
                <w:lang w:val="en-US" w:eastAsia="zh-CN" w:bidi="ar"/>
              </w:rPr>
              <w:t xml:space="preserve">可</w:t>
            </w:r>
            <w:r>
              <w:rPr>
                <w:rFonts w:hint="eastAsia" w:ascii="宋体" w:hAnsi="宋体" w:eastAsia="宋体" w:cs="宋体"/>
                <w:i w:val="0"/>
                <w:iCs w:val="0"/>
                <w:color w:val="auto"/>
                <w:sz w:val="18"/>
                <w:szCs w:val="18"/>
                <w:highlight w:val="none"/>
                <w:u w:val="none"/>
                <w:lang w:val="en-US" w:eastAsia="zh-CN" w:bidi="ar"/>
              </w:rPr>
              <w:t xml:space="preserve">采用</w:t>
            </w:r>
            <w:r>
              <w:rPr>
                <w:rFonts w:hint="eastAsia" w:ascii="宋体" w:hAnsi="宋体" w:cs="宋体"/>
                <w:i w:val="0"/>
                <w:iCs w:val="0"/>
                <w:color w:val="auto"/>
                <w:sz w:val="18"/>
                <w:szCs w:val="18"/>
                <w:highlight w:val="none"/>
                <w:u w:val="none"/>
                <w:lang w:val="en-US" w:eastAsia="zh-CN" w:bidi="ar"/>
              </w:rPr>
              <w:t xml:space="preserve">类似</w:t>
            </w:r>
            <w:r>
              <w:rPr>
                <w:rFonts w:hint="eastAsia" w:ascii="宋体" w:hAnsi="宋体" w:eastAsia="宋体" w:cs="宋体"/>
                <w:i w:val="0"/>
                <w:iCs w:val="0"/>
                <w:color w:val="auto"/>
                <w:sz w:val="18"/>
                <w:szCs w:val="18"/>
                <w:highlight w:val="none"/>
                <w:u w:val="none"/>
                <w:lang w:val="en-US" w:eastAsia="zh-CN" w:bidi="ar"/>
              </w:rPr>
              <w:t xml:space="preserve">CPU + GPU + ISP的单一芯片，GPU≥256个CUDA核心；DRAM采用64位ARM CPU, 内存≥4GB，存储≥16GB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12、支持EPTZ电子云台，在采用两台4K高清摄像机的情况下，可实现教师全景、教师特写、学生全景、学生特写四个画面的拍摄；</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￥84,000.00</w:t>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录播流媒体处理软件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1、支持对设备的录制编码、帧率、IP地址、内置时间、视频输出、互动功能等参数进行设置；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2、支持电影模式、资源模式及“电影+资源”模式三种直播模式，其中资源模式最多支持6路视频图像，“电影+资源”模式最多支持7路视频图像，包含6路资源模式视频图像及1路电影模式视频图像；直播是采用Flash Player进行播放，支持多用户操作；支持标准的RTMP直播协议，可推送到服务器进行大规模的直播观看；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3、支持单流单画面的电影模式、多流多画面的资源模式以及单流多画面的“电影+资源”模式，可以单独录制也可以同时录制；支持在同一设备完成6路视频同时录制，所生成文件在同一文件夹。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备独立的页面可以显示系统当前的录像模式、录像状态、录像时间、直播状态、磁盘空间信息、视频源是否启用等信息，此页面亦包含电影模式画面、VGA信号及4路SDI视频信号的分辨率、录制编码、录制帧率、I帧间隔及直播地址等信息，满足管理人员基于一个页面即可查询到上述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5、需要提供预编辑录制窗口（PVW）和录制窗口（PGM），录制时辅助人员可在预编辑窗口完成对视频的编辑，如添加字幕、台标、设置画中画等，设置完成后可直接推送到直播/电影模式窗口，进行录制及直播。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6、只需要一根VGA或HDMI线缆即可完成教师机画面采集与侦测，无需安装辅助软件。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7、具备POC供电功能是否启用的总开关和5路摄像机的POC供电功能的独立开关设置。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￥2,814.00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AI智能跟踪处理软件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1.系统结构：实现全自动的跟踪识别；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2.定位与实时：自动识别目标位置、实时控制摄像头精确定位，并且能够特写模式拍摄。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3.智能图像识别，结合具体的场合能够实现多个活动的过程的识别跟踪，(含板书跟踪、鼠标移动侦测)；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4.抗干扰能力：图像识别系统完全不受光线、声音、电磁等外在的环境影响；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5.跟踪探测器：彩色摄像机，具备老师、学生、板书视频采集及坐标定位判断功能。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￥8,190.00</w:t>
            </w:r>
            <w:r/>
          </w:p>
        </w:tc>
      </w:tr>
      <w:tr>
        <w:trPr>
          <w:trHeight w:val="22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录播视频互动应用软件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1）支持RTSP、H.323视频传输协议。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2）支持预设互动数据，包括互动对象的名称、IP、协议方式等。支持预设20个互动录播教室信息，支持互动课室数据的批量导入和导出功能。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3）支持快速选择远程3个互动录播教室并“一键式”连接开启“一点对三点”互动。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录播模式和互动模式两种工作模式。互动模式下，支持通过导播画面实时监视远端互动录播教室学生画面，支持实时预览传到远端互动录播教室的最终互动画面。互动画面支持实时进行本地教师信号、学生信号、电脑信号以及远端信号的自由组合布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5）支持网络检测功能，支持UDP测试和带宽扫描两种测试方式，实时检测与远端互动设备的的丢包数、网速情况。支持启动网络自适应功能。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6）多方互动时，以多分屏组合方式显示各个互动端画面，每个互动端对应分屏画面都有实时码流和网络丢包率显示。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7）录播主机双向互动过程中，在5Mbps带宽下可实现1080P@30FPS和1080P@60FPS画质。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8）录播主机双向互动过程中，在系统总丢包率≤20%的网络环境下，视频清晰无破损，语音清晰连贯。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9）提供录播互动软件相关软件著作权证书复印件及软件测试报告复印件。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￥2,814.00</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智能课堂行为分析软件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1、▲内嵌AI模块，</w:t>
            </w:r>
            <w:r>
              <w:rPr>
                <w:rFonts w:hint="eastAsia" w:ascii="宋体" w:hAnsi="宋体" w:cs="宋体"/>
                <w:i w:val="0"/>
                <w:iCs w:val="0"/>
                <w:strike w:val="0"/>
                <w:color w:val="auto"/>
                <w:sz w:val="18"/>
                <w:szCs w:val="18"/>
                <w:highlight w:val="none"/>
                <w:u w:val="none"/>
                <w:lang w:val="en-US" w:eastAsia="zh-CN" w:bidi="ar"/>
              </w:rPr>
              <w:t xml:space="preserve">可</w:t>
            </w:r>
            <w:r>
              <w:rPr>
                <w:rFonts w:hint="eastAsia" w:ascii="宋体" w:hAnsi="宋体" w:eastAsia="宋体" w:cs="宋体"/>
                <w:i w:val="0"/>
                <w:iCs w:val="0"/>
                <w:color w:val="auto"/>
                <w:sz w:val="18"/>
                <w:szCs w:val="18"/>
                <w:highlight w:val="none"/>
                <w:u w:val="none"/>
                <w:lang w:val="en-US" w:eastAsia="zh-CN" w:bidi="ar"/>
              </w:rPr>
              <w:t xml:space="preserve">采用</w:t>
            </w:r>
            <w:r>
              <w:rPr>
                <w:rFonts w:hint="eastAsia" w:ascii="宋体" w:hAnsi="宋体" w:cs="宋体"/>
                <w:i w:val="0"/>
                <w:iCs w:val="0"/>
                <w:color w:val="auto"/>
                <w:sz w:val="18"/>
                <w:szCs w:val="18"/>
                <w:highlight w:val="none"/>
                <w:u w:val="none"/>
                <w:lang w:val="en-US" w:eastAsia="zh-CN" w:bidi="ar"/>
              </w:rPr>
              <w:t xml:space="preserve">类似</w:t>
            </w:r>
            <w:r>
              <w:rPr>
                <w:rFonts w:hint="eastAsia" w:ascii="宋体" w:hAnsi="宋体" w:eastAsia="宋体" w:cs="宋体"/>
                <w:i w:val="0"/>
                <w:iCs w:val="0"/>
                <w:color w:val="auto"/>
                <w:sz w:val="18"/>
                <w:szCs w:val="18"/>
                <w:highlight w:val="none"/>
                <w:u w:val="none"/>
                <w:lang w:val="en-US" w:eastAsia="zh-CN" w:bidi="ar"/>
              </w:rPr>
              <w:t xml:space="preserve">CPU + GPU + ISP的单一芯片，GPU≥256个CUDA核心；DRAM采用64位ARM CPU, 内存≥4GB，存储≥16GB。（提供通过CMA认定的第三方检测机构出具的产品检测报告复印件加盖厂家公章，并同时提供该检测报告的编号在国家认监委网站中查询该编号备注中显示审核通过或有效的截图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AI采集模块，支持对课堂场景进行自动捕捉与分析。支持通过浏览器直接访问ai模块地址进入AI分析页面；通过快速预览功能实时查看教师和学生的实时分析界面，实现教师及学生检测、教师及学生行为分析；一键配置向导功能，可自定义配置系统网络及2路分析摄像机信号；教师区及学生区的2路分析视频源设置等功能。（提供通过CMA认定的第三方检测机构出具的产品检测报告复印件加盖厂家公章，并同时提供该检测报告的编号在国家认监委网站中查询该编号备注中显示审核通过或有效的截图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￥5,775.00</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高清特写摄像机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1.信号系统：HD: 1080P60/50/30/25, 1080i60/50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2.成像器件：≥1/2.7英寸 CMOS；有效像素≥200万；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3.扫描方式：逐行；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4.镜头：≥12x, f3.5mm~42.3mm, F1.8~F2.8；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5.快门：1/30s~1/10000s；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6.白平衡：自动；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7.背光补偿：支持；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8.数字降噪：2D&amp;3D数字降噪；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9.预置位数量：不低于255；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10.视频编码：H.265/H.264；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11.视频输出：不低于1路3G-SDI、HDMI、RJ45网络；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12.通讯接口:1路RS232输入和输出，1路RS485；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￥11,515.61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高清摄像机管理软件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支持通用浏览器直接访问进行管理。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￥688.80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一主电输入，不少于八路受控电源输出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万用插座,符合欧美标准。前面板1路直通式万用插，后面板8个受控万用插座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定时控制功能：可设定4组定时断、开功能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各电源通路最大输出功率:2KW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延迟通断时间:小于1秒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中控接口RS232:有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联机支持:有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￥1,302.00</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1、支持8路全频AEC回声抑制功能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2、支持8路平衡式话筒输入，4路平衡式线路输入，采用裸线接口端子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3、支持6路平衡式线路输出，采用裸线接口端子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4、支持48V幻象电源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5、具备用于软件设置/控制的以太网端口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6、支持以太网接口用于多台设备联机工作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7、具备串行端口用于第三方RS-232远程控制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8、具备信号路由功能，对音频信号进行切换和分配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9、提供RMS均值和Peak峰值两种电平表，监测当前音频信号幅度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10、信号处理模块具备以下功能：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1）滤波模块：高通、低通；2）均衡器模块：10段图示均衡；3）音频处理模块：智能降噪、限幅器、压缩限制器、噪声门、增益控制、反馈抑制；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4）混音模块：智能混音、矩阵混音；5）延时模块；6）控制器：音量平衡、音量调节；</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￥9,492.00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数字音频处理软件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支持对音频处理。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￥1,974.00</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采访话筒（指向性）</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1、频率范围：40-18000Hz；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2、灵敏度：-35dB（18mV/Pa）；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3、指向性：超窄；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4、拾音角度：不低于120º；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5、最大声压级：不高于132dB；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6、阻抗：200Ω；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7、信噪比：≥70dB；</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￥840.00</w:t>
            </w:r>
            <w:r/>
          </w:p>
        </w:tc>
      </w:tr>
      <w:tr>
        <w:trPr>
          <w:trHeight w:val="3769"/>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rPr>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
              </w:rPr>
              <w:t xml:space="preserve">屏体硬件(含落地移动支架）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1.交互平板显示尺寸≥86英寸,物理分辨率：不低于3840×2160屏体亮度≥400cd/ ㎡，对比度≥5000：1，最大可视角度≥178度；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2.交互平板功率≤360W，且符合GB21520-2015能源1级要求；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交互平板采用3mm厚AG钢化玻璃，防眩光，减少玻璃反射光的影响，反射率小于1，透光率≥95%，表面钢化硬度≥莫氏9H，表面书写膜硬度≥2H，雾度≤5%。（提供通过CMA认定的第三方检测机构出具的产品检测报告复印件加盖厂家公章）</w:t>
            </w:r>
            <w:r>
              <w:rPr>
                <w:rFonts w:hint="eastAsia" w:ascii="宋体" w:hAnsi="宋体" w:eastAsia="宋体" w:cs="宋体"/>
                <w:i w:val="0"/>
                <w:iCs w:val="0"/>
                <w:strike/>
                <w:color w:val="auto"/>
                <w:sz w:val="18"/>
                <w:szCs w:val="18"/>
                <w:highlight w:val="none"/>
                <w:u w:val="none"/>
                <w:lang w:val="en-US" w:eastAsia="zh-CN" w:bidi="ar"/>
              </w:rPr>
              <w:br/>
            </w:r>
            <w:r>
              <w:rPr>
                <w:rFonts w:hint="eastAsia" w:ascii="宋体" w:hAnsi="宋体" w:eastAsia="宋体" w:cs="宋体"/>
                <w:i w:val="0"/>
                <w:iCs w:val="0"/>
                <w:strike w:val="0"/>
                <w:color w:val="auto"/>
                <w:sz w:val="18"/>
                <w:szCs w:val="18"/>
                <w:highlight w:val="none"/>
                <w:u w:val="none"/>
                <w:lang w:val="en-US" w:eastAsia="zh-CN" w:bidi="ar"/>
              </w:rPr>
              <w:t xml:space="preserve">4.智能交互平板显示部分需采用高色域覆盖技术，屏体sRGB标准色域格式下不低于130%；屏幕最高灰阶 256 灰阶</w:t>
            </w:r>
            <w:r>
              <w:rPr>
                <w:rFonts w:hint="eastAsia" w:ascii="宋体" w:hAnsi="宋体" w:eastAsia="宋体" w:cs="宋体"/>
                <w:i w:val="0"/>
                <w:iCs w:val="0"/>
                <w:strike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5.智能交互平板采用全贴合技术，在双系统下均支持不少于20点触控及同时书写；触摸高度≤2mm；最小识别直径≤2mm，书写延迟速度≤15ms；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▲6.前置端口采用前出式设计：≥3路双通道 PC/Android 共享 USB 接口 、≥1 路 HDMI输入接口、≥1路TYPE-C输入接口；（提供通过CMA认定的第三方检测机构出具的产品检测报告复印件加盖厂家公章）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▲7.智能交互平板自带两支可磁吸式触控笔，并可吸附在设备正面，方便使用及收纳；（提供通过CMA认定的第三方检测机构出具的产品检测报告复印件加盖厂家公章）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8.交互平板具有通屏笔槽结构，可放置书写笔、粉笔等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智能交互平板前置八个物理按键包含：开关机、信号源、菜单、音量+、音量-、节能、主页、电脑，并具有隐藏式电脑一键还原按钮；（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10.整机前面板具备天线模块，包含2.4G、5G双频WiFi；</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▲11.智能交互平板内置高性能安卓14.0系统平台，RAM≥4GB，ROM≥32GB，并支持蓝牙5.0技术。为方便教学使用，主页提供≥5个应用程序；（提供通过CMA认定的第三方检测机构出具的产品检测报告复印件加盖厂家公章）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具有全通道减滤蓝光护眼功能，具有检测到用户触摸屏幕时，自动调节屏幕亮度以减小对眼睛的刺激，并具有纸质护眼功能，全通道实现多种不同类型纸质护眼效果；（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13.通过多指滑动屏幕，可快速实现界面的切换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14.智能交互平板支持同时四画面无线传屏，并支持反向控制，双向控制，支持扫码传屏，支持手机、PAD和电脑多终端平台使用；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整机支持蓝牙Bluetooth5.0或以上标准，固件版本号HCI11.2/LMP11.2，整机可通过蓝牙模块与蓝牙音箱连接，同时具有蓝牙功能的手机连接，方便老师上课使用；（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智能交互平板自带白板功能：支持笔设置不同颜色、粗细，并支持三角板、直尺、圆规、量角器等工具，并可多方协同书写，屏幕可同时启动2/3/4个白板，分开左右区域显示，并可通过二维码分享白板内容；（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17.智能交互平板防蓝光危害达到RG0级（光源蓝光危害能量辐亮度值≤100 W/m2 /sr，并在2.8h内不造成对视网膜蓝光危害，属蓝光无危害类产品）并且通过无闪烁或闪烁等级≤-30dB(60Hz);（提供通过CMA认定的第三方检测机构出具的产品检测报告复印件加盖厂家公章）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18.无需借助PC，整机可一键进行硬件自检，包括对系统内存、屏温、触摸系统、内置电脑等进行状态提示及故障提示；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19.智能交互平板和内置电脑模块均通过平均无故障MTBF≥30万小时。（提供通过CMA认定的第三方检测机构出具的产品检测报告复印件加盖厂家公章）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20.交互平板具备供电保护模块，在插拔式电脑未固定的情况下，不给插拔式电脑供电。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内置电脑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1.采用80pin Intel通用标准接口,即插即用，易于维护；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2.CPU采用不低于4核8线程处理器；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3.内存：≥8G DDR4；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4.硬盘：≥256G SSD固态硬盘；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5.接口：非外扩展≥5个USB接口；具有独立非外扩展的视频输出接口：≥1路HDMI等。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￥14,637.00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观摩区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导播控制器</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面板类型 VA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面板尺寸 ≥27英寸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宽屏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屏幕比例不低于 16:9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最佳分辨率不低于 1920 x 1080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响应时间 小于4ms(GTG)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亮度 不低于250cd/m2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可视角度不低于 178/178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LED背光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￥1,470.00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导播控制台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1、支持对≥5路摄像机的云台控制，实现“上下翻转、左右翻转、放大缩小翻转”等操控，操控期间镜头变化的速度可自行调整，可为每个摄像机设定不少于7个 预置位，完成快速定位功能（提供通过CMA认定的第三方检测机构出具的产品检测报告复印件（内含样品照片：外观照片、接口照片等）加盖厂家公章）；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对主、副各6路视频画面的切换控制，完成各种画中画模式的开启与关闭、画中画副画面的切换、主副画面的切换等功能，可完成简单特技的添加和去除（提供通过CMA认定的第三方检测机构出具的产品检测报告复印件（内含样品照片：外观照片、接口照片等）加盖厂家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3、具备手动、自动切换功能，可控制录像的开始、暂停、停止，在无需键盘鼠标配合下，即可完成操作；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4、≥2路DB9标准RS232（用于录播机及跟踪机控制），≥1路DB15专用接口（可接5路摄像机控制），≥5路摄像机控制口，≥1路USB 2.0，可提供供电；</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￥5,460.00</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观摩终端</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 尺寸≥50 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对比度≥1400:1；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HDMI 接口≥2 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支持格式：2160p；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配套吊装支架。</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￥4,704.00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全频音箱</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额定功率30W，额定阻抗6欧姆，最大功率60W；声压级：1 W（1 kHz，1 米）时，92 dB (SPL)；频率范围(-10 dB)，190 Hz 至 18 kHz；开放角度：水平210°/132°，垂直50°/22°</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￥1,386.00</w:t>
            </w:r>
            <w:r/>
          </w:p>
        </w:tc>
      </w:tr>
      <w:tr>
        <w:trPr>
          <w:trHeight w:val="20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扩声功放</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1、额定功率8Ω:CHA:400W;CHB:400W；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2、最大增益:37.5dB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3、放大器种类:H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4、总谐波失真:&lt;0.025% @8Ω,20Hz-20kHz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5、互调失真:&lt;0.05% @8Ω,60Hz/7kHz 4:1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6、频率响应:&lt;±0.5dB 20Hz-20kHz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7、相移特性:&lt;±15°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8、阻尼系数:&gt;300:1 8Ω @20Hz-1kHz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9、信噪比:&gt;106dB 1kHz，A计权 @8Ω额定功率</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￥2,688.00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32U 网络机柜</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1、尺寸：600mm*600mm*1600mm；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2、厚度：方孔条≥2.0mm,其他≥1.2mm；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3、配置：带锁前后门；易卸散热型侧后门；固定板两块；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4、主要材料：冷扎钢板制作。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￥1,553.38</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尺寸约:长 1800×宽 600×高 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台面采用高密度板制作而成,厚度 25mm，箱体采用 1.2 和1.5mm 冷轧钢板结合制作；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表面处理：脱脂，酸洗，防锈磷化，静电喷涂；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底柜为设备安装空间，可安装标准 19″设备；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分体式设计，可拆卸，易运输；结构坚固，经久耐用，符合人体工程学，方便操作。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安装调试线材及辅配件</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施工及线材:以上设备施工所需全部的辅料,包括电源线,PVC槽管、接线板等、高清HDMI线、HD-SDI线、话筒线、音响多媒体施工所需的所有的线材等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￥16,380.00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报告厅</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录播摄像机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1.信号系统：HD: 1080P60/50/30/25, 1080i60/50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2.成像器件：≥1/2.7英寸 CMOS；有效像素≥200万；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3.扫描方式：逐行；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4.镜头：≥12x, f3.5mm~42.3mm, F1.8~F2.8；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5.快门：1/30s~1/10000s；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6.白平衡：自动；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7.背光补偿：支持；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8.数字降噪：2D&amp;3D数字降噪；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9.预置位数量：255；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10.视频编码：H.265/H.264；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11.视频输出：不低于1路3G-SDI、HDMI、RJ45网络；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12.通讯接口:1路RS232输入和输出，1路RS485；</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￥12,842.31</w:t>
            </w:r>
            <w:r/>
          </w:p>
        </w:tc>
      </w:tr>
      <w:tr>
        <w:trPr>
          <w:trHeight w:val="310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一、硬件要求：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1、采用嵌入式ARM架构处理器设计，壁挂式设计，支持音视频信号采集、导播、录制、跟踪、直播、点播、互动、编辑功能集成一体化；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机身内嵌≥6英寸触控屏，自带密码登录功能，输入密码后通过液晶触控屏支持预览视频画面、控制摄像机云台、控制录制开始/暂停/停止状态、控制主机全部或指定某一路SDI接口开关POC供电，实现高清视频、控制信号与供电电源复合在一根同轴线上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3、支持通过主机内嵌触控屏设置主机网络地址、查看系统信息、云台参数等；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4、内置≥1TB存储硬盘，支持录制课件的本地存储；内嵌2路USB端口，插入USB存储设备后可拷贝录像资源；内嵌≥4路RS-232摄像机云台控制接口；内嵌≥2个10/100/1000Mbps自适应网口；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5、内嵌≥4路支持POC供电的SDI输入接口、≥2路VGA及≥2路HDMI输入接口，内嵌≥1路VGA输出接口、≥1路HDMI输出接口；内嵌≥2路幻象供电的话筒输入接口、≥1路线性输入接口；内嵌≥1路线路输出接口；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6、采用硬件采集、编码方式，支持H.264视频编码，支持插上显示屏、鼠标键盘即可开展本地无延迟导播；支持扩展教学互动功能，可通过红外遥控器控制1vN的教学互动；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7、支持扩展内置AI硬件分析模块，实现对课堂教学行为的教室端本地化实时分析；支持通过快速预览功能实时查看教师和学生实时分析界面，实现教师及学生检测、教师及学生行为分析；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二、软件功能：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1.支持对设备的录制编码、帧率、IP地址、内置时间、视频输出、互动功能等参数进行设置；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2.支持电影模式、资源模式及“电影+资源”模式三种直播模式，其中资源模式最多支持6路视频图像，“电影+资源”模式最多支持7路视频图像，包含6路资源模式视频图像及1路电影模式视频图像；直播是采用Flash Player进行播放，支持多用户操作；支持标准的RTMP直播协议，可推送到服务器进行大规模的直播观看；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3.支持单流单画面的电影模式、多流多画面的资源模式以及单流多画面的“电影+资源”模式，可以单独录制也可以同时录制；支持在同一设备完成6路视频同时录制，所生成文件在同一文件夹。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备独立的页面可以显示系统当前的录像模式、录像状态、录像时间、直播状态、磁盘空间信息、视频源是否启用等信息，此页面亦包含电影模式画面、VGA信号及4路SDI视频信号的分辨率、录制编码、录制帧率、I帧间隔及直播地址等信息，满足管理人员基于一个页面即可查询到上述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5.需要提供预编辑录制窗口（PVW）和录制窗口（PGM），录制时辅助人员可在预编辑窗口完成对视频的编辑，如添加字幕、台标、设置画中画等，设置完成后可直接推送到直播/电影模式窗口，进行录制及直播。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6.只需要一根VGA或HDMI线缆即可完成教师机画面采集与侦测，无需安装辅助软件。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7.具备POC供电功能是否启用的总开关和5路摄像机的POC供电功能的独立开关设置。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￥25,684.62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录播主机内置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￥1,575.00</w:t>
            </w:r>
            <w:r/>
          </w:p>
        </w:tc>
      </w:tr>
      <w:tr>
        <w:trPr>
          <w:trHeight w:val="270"/>
        </w:trPr>
        <w:tc>
          <w:tcPr>
            <w:shd w:val="clear" w:color="auto" w:fill="d9d9d9"/>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w:t>
            </w:r>
            <w:r/>
          </w:p>
        </w:tc>
        <w:tc>
          <w:tcPr>
            <w:shd w:val="clear" w:color="auto" w:fill="d9d9d9"/>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系统集成</w:t>
            </w:r>
            <w:r>
              <w:rPr>
                <w:rFonts w:hint="eastAsia" w:ascii="宋体" w:hAnsi="宋体" w:cs="宋体"/>
                <w:i w:val="0"/>
                <w:iCs w:val="0"/>
                <w:color w:val="auto"/>
                <w:sz w:val="18"/>
                <w:szCs w:val="18"/>
                <w:highlight w:val="none"/>
                <w:u w:val="none"/>
                <w:lang w:val="en-US" w:eastAsia="zh-CN" w:bidi="ar"/>
              </w:rPr>
              <w:t xml:space="preserve">费</w:t>
            </w:r>
            <w:r/>
          </w:p>
        </w:tc>
        <w:tc>
          <w:tcPr>
            <w:shd w:val="clear" w:color="auto" w:fill="auto"/>
            <w:tcBorders>
              <w:top w:val="single" w:color="000000" w:sz="4" w:space="0"/>
              <w:left w:val="none" w:color="000000" w:sz="4" w:space="0"/>
              <w:bottom w:val="single" w:color="000000" w:sz="4" w:space="0"/>
              <w:right w:val="none" w:color="000000" w:sz="4" w:space="0"/>
            </w:tcBorders>
            <w:tcW w:w="4410"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￥23,000.00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三年运营维护费</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￥33,516.93</w:t>
            </w:r>
            <w:r/>
          </w:p>
        </w:tc>
      </w:tr>
    </w:tbl>
    <w:p>
      <w:pPr>
        <w:contextualSpacing/>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注：本项目核心产品：400万像素网络枪型摄像机</w:t>
      </w:r>
      <w:r/>
    </w:p>
    <w:p>
      <w:pPr>
        <w:contextualSpacing/>
        <w:ind w:firstLine="482"/>
        <w:spacing w:line="400" w:lineRule="exact"/>
        <w:rPr>
          <w:rFonts w:hint="default" w:ascii="Segoe UI Symbol" w:hAnsi="Segoe UI Symbol" w:cs="Segoe UI Symbol"/>
          <w:b/>
          <w:bCs/>
          <w:color w:val="auto"/>
          <w:sz w:val="24"/>
          <w:highlight w:val="none"/>
          <w:lang w:val="en-US" w:eastAsia="zh-CN"/>
        </w:rPr>
      </w:pPr>
      <w:r>
        <w:rPr>
          <w:rFonts w:ascii="Segoe UI Symbol" w:hAnsi="Segoe UI Symbol" w:cs="Segoe UI Symbol"/>
          <w:color w:val="auto"/>
          <w:sz w:val="24"/>
          <w:highlight w:val="none"/>
        </w:rPr>
        <w:t xml:space="preserve">★</w:t>
      </w:r>
      <w:r>
        <w:rPr>
          <w:rFonts w:hint="eastAsia" w:ascii="Segoe UI Symbol" w:hAnsi="Segoe UI Symbol" w:cs="Segoe UI Symbol"/>
          <w:b/>
          <w:bCs/>
          <w:color w:val="auto"/>
          <w:sz w:val="24"/>
          <w:highlight w:val="none"/>
          <w:lang w:val="en-US" w:eastAsia="zh-CN"/>
        </w:rPr>
        <w:t xml:space="preserve">1、管理主机</w:t>
      </w:r>
      <w:r>
        <w:rPr>
          <w:rFonts w:hint="eastAsia" w:ascii="Segoe UI Symbol" w:hAnsi="Segoe UI Symbol" w:cs="Segoe UI Symbol"/>
          <w:b/>
          <w:bCs/>
          <w:color w:val="auto"/>
          <w:sz w:val="24"/>
          <w:szCs w:val="24"/>
          <w:highlight w:val="none"/>
          <w:lang w:val="en-US" w:eastAsia="zh-CN"/>
        </w:rPr>
        <w:t xml:space="preserve">、55寸液晶拼接屏、55</w:t>
      </w:r>
      <w:r>
        <w:rPr>
          <w:rFonts w:hint="eastAsia" w:ascii="Segoe UI Symbol" w:hAnsi="Segoe UI Symbol" w:cs="Segoe UI Symbol"/>
          <w:b/>
          <w:bCs/>
          <w:color w:val="auto"/>
          <w:sz w:val="24"/>
          <w:highlight w:val="none"/>
          <w:lang w:val="en-US" w:eastAsia="zh-CN"/>
        </w:rPr>
        <w:t xml:space="preserve">寸液晶电视机、教学终端、导播控制器、观摩终端需提供有效期内的产品节能证书，</w:t>
      </w:r>
      <w:r>
        <w:rPr>
          <w:rFonts w:hint="eastAsia" w:ascii="Segoe UI Symbol" w:hAnsi="Segoe UI Symbol" w:cs="Segoe UI Symbol"/>
          <w:b/>
          <w:bCs/>
          <w:color w:val="auto"/>
          <w:sz w:val="24"/>
          <w:highlight w:val="none"/>
          <w:lang w:eastAsia="zh-CN"/>
        </w:rPr>
        <w:t xml:space="preserve">本项为实质性要求</w:t>
      </w:r>
      <w:r>
        <w:rPr>
          <w:rFonts w:hint="eastAsia" w:ascii="Segoe UI Symbol" w:hAnsi="Segoe UI Symbol" w:cs="Segoe UI Symbol"/>
          <w:b/>
          <w:bCs/>
          <w:color w:val="auto"/>
          <w:sz w:val="24"/>
          <w:highlight w:val="none"/>
          <w:lang w:val="en-US" w:eastAsia="zh-CN"/>
        </w:rPr>
        <w:t xml:space="preserve">，不提供作为无效响应。</w:t>
      </w:r>
      <w:r/>
    </w:p>
    <w:p>
      <w:pPr>
        <w:contextualSpacing/>
        <w:ind w:firstLine="482"/>
        <w:spacing w:line="400" w:lineRule="exact"/>
        <w:rPr>
          <w:rFonts w:hint="eastAsia" w:ascii="宋体" w:hAnsi="宋体" w:cs="宋体"/>
          <w:b/>
          <w:color w:val="auto"/>
          <w:sz w:val="24"/>
          <w:highlight w:val="none"/>
        </w:rPr>
      </w:pPr>
      <w:r>
        <w:rPr>
          <w:rFonts w:ascii="Segoe UI Symbol" w:hAnsi="Segoe UI Symbol" w:cs="Segoe UI Symbol"/>
          <w:color w:val="auto"/>
          <w:sz w:val="24"/>
          <w:highlight w:val="none"/>
        </w:rPr>
        <w:t xml:space="preserve">★</w:t>
      </w:r>
      <w:r>
        <w:rPr>
          <w:rFonts w:hint="eastAsia" w:ascii="Segoe UI Symbol" w:hAnsi="Segoe UI Symbol" w:cs="Segoe UI Symbol"/>
          <w:color w:val="auto"/>
          <w:sz w:val="24"/>
          <w:highlight w:val="none"/>
          <w:lang w:val="en-US" w:eastAsia="zh-CN"/>
        </w:rPr>
        <w:t xml:space="preserve">2、</w:t>
      </w:r>
      <w:r>
        <w:rPr>
          <w:rFonts w:hint="eastAsia" w:ascii="Segoe UI Symbol" w:hAnsi="Segoe UI Symbol" w:cs="Segoe UI Symbol"/>
          <w:b/>
          <w:bCs/>
          <w:color w:val="auto"/>
          <w:sz w:val="24"/>
          <w:highlight w:val="none"/>
          <w:lang w:val="en-US" w:eastAsia="zh-CN"/>
        </w:rPr>
        <w:t xml:space="preserve">采购清单中</w:t>
      </w:r>
      <w:r>
        <w:rPr>
          <w:rFonts w:hint="eastAsia" w:ascii="Segoe UI Symbol" w:hAnsi="Segoe UI Symbol" w:cs="Segoe UI Symbol"/>
          <w:b/>
          <w:bCs/>
          <w:color w:val="auto"/>
          <w:sz w:val="24"/>
          <w:highlight w:val="none"/>
        </w:rPr>
        <w:t xml:space="preserve">各项综合单价的报价≦控制价中相对应列项综合单价为有效投标报价，有一项不符此要求的投标报价为无效投标报价</w:t>
      </w:r>
      <w:r>
        <w:rPr>
          <w:rFonts w:hint="eastAsia" w:ascii="Segoe UI Symbol" w:hAnsi="Segoe UI Symbol" w:cs="Segoe UI Symbol"/>
          <w:b/>
          <w:bCs/>
          <w:color w:val="auto"/>
          <w:sz w:val="24"/>
          <w:highlight w:val="none"/>
          <w:lang w:eastAsia="zh-CN"/>
        </w:rPr>
        <w:t xml:space="preserve">，本项为实质性要求，不满足的供应商视为无效响应</w:t>
      </w:r>
      <w:r>
        <w:rPr>
          <w:rFonts w:hint="eastAsia" w:ascii="Segoe UI Symbol" w:hAnsi="Segoe UI Symbol" w:cs="Segoe UI Symbol"/>
          <w:b/>
          <w:bCs/>
          <w:color w:val="auto"/>
          <w:sz w:val="24"/>
          <w:highlight w:val="none"/>
        </w:rPr>
        <w:t xml:space="preserve">。</w:t>
      </w:r>
      <w:r/>
    </w:p>
    <w:p>
      <w:pPr>
        <w:contextualSpacing/>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、施工要求</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1.中标人的货物包括从投标货物的优化设计到整套方案设计、安装、调试和交付使用。在设备的安装、调试和交付使用期间，应派技术人员到用户现场进行技术协调。</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2.中标人项目经理应及时向招标人提供工程施工组织、施工进度、有关质量标准及施工技术安全管理措施。</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3.中标人应派具有专业资质的人员按照国家及行业相关电气设备施工规范等进行施工和质量检验。</w:t>
      </w:r>
      <w:r/>
    </w:p>
    <w:p>
      <w:pPr>
        <w:contextualSpacing/>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六、验收标准</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（1）产品到达交货地点后，采购人和中标人在2日内共同检验产品数量、质量等状况。中标人进行安装调试并经过性能测试后，由采购人组织联合验收小组验收。验收合格后，双方在《验收报告》上签字确认。</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（2）对产品的外观或质量问题，采购人应在发现和应当发现之日起30日内向中标人提出书面异议，中标人在接到书面异议后，应当在2日内负责处理。采购人逾期提出的，对所交产品视为符合合同的规定。</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（3）系统按合同规定的验收标准和招标文件要求进行验收，验收应遵循项目实际需求和现行有关规范或标准。当两者发生矛盾时，以所有文件中最高性能指标为准。</w:t>
      </w:r>
      <w:r/>
    </w:p>
    <w:p>
      <w:pPr>
        <w:contextualSpacing/>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七、质保期及售后服务</w:t>
      </w:r>
      <w:r/>
    </w:p>
    <w:p>
      <w:pPr>
        <w:contextualSpacing/>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1.</w:t>
      </w:r>
      <w:r>
        <w:rPr>
          <w:rFonts w:hint="eastAsia"/>
          <w:color w:val="auto"/>
          <w:highlight w:val="none"/>
        </w:rPr>
        <w:t xml:space="preserve"> </w:t>
      </w:r>
      <w:r>
        <w:rPr>
          <w:rFonts w:ascii="Segoe UI Symbol" w:hAnsi="Segoe UI Symbol" w:cs="Segoe UI Symbol"/>
          <w:color w:val="auto"/>
          <w:sz w:val="24"/>
          <w:highlight w:val="none"/>
        </w:rPr>
        <w:t xml:space="preserve">★</w:t>
      </w:r>
      <w:r>
        <w:rPr>
          <w:rFonts w:hint="eastAsia" w:ascii="宋体" w:hAnsi="宋体" w:cs="宋体"/>
          <w:bCs/>
          <w:color w:val="auto"/>
          <w:sz w:val="24"/>
          <w:highlight w:val="none"/>
        </w:rPr>
        <w:t xml:space="preserve">项目免费质保期：自验收合格之日起三年,</w:t>
      </w:r>
      <w:r>
        <w:rPr>
          <w:rFonts w:hint="eastAsia" w:ascii="宋体" w:hAnsi="宋体" w:cs="宋体"/>
          <w:bCs/>
          <w:color w:val="auto"/>
          <w:sz w:val="24"/>
          <w:highlight w:val="none"/>
          <w:lang w:val="en-US" w:eastAsia="zh-CN"/>
        </w:rPr>
        <w:t xml:space="preserve">投标人提供免费质保承诺书并加盖投标人公章（格式自拟）。</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2.项目质保期内所有产品第一个月出现故障整机更换；</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3.质保期内提供免费返厂维修服务；</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4.项目质保期内提供设备定期巡检、维护等服务。</w:t>
      </w:r>
      <w:r/>
    </w:p>
    <w:p>
      <w:pPr>
        <w:contextualSpacing/>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八、其他要求</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highlight w:val="none"/>
          <w:u w:val="single"/>
        </w:rPr>
        <w:t xml:space="preserve"> 0 </w:t>
      </w:r>
      <w:r>
        <w:rPr>
          <w:rFonts w:hint="eastAsia" w:ascii="宋体" w:hAnsi="宋体" w:cs="宋体"/>
          <w:bCs/>
          <w:color w:val="auto"/>
          <w:sz w:val="24"/>
          <w:highlight w:val="none"/>
        </w:rPr>
        <w:t xml:space="preserve">%。</w:t>
      </w:r>
      <w:r/>
    </w:p>
    <w:p>
      <w:pPr>
        <w:ind w:firstLine="482"/>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情况说明：</w:t>
      </w:r>
      <w:r>
        <w:rPr>
          <w:rFonts w:hint="eastAsia" w:ascii="宋体" w:hAnsi="宋体" w:cs="宋体"/>
          <w:color w:val="auto"/>
          <w:sz w:val="24"/>
          <w:highlight w:val="none"/>
        </w:rPr>
        <w:t xml:space="preserve">预留采购份额无法确保充分供应、充分竞争，存在可能影响政府采购目标实现的情形。</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九、报价方式</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本项目投标报价为</w:t>
      </w:r>
      <w:r>
        <w:rPr>
          <w:rFonts w:hint="eastAsia" w:ascii="宋体" w:hAnsi="宋体" w:cs="宋体"/>
          <w:b/>
          <w:color w:val="auto"/>
          <w:sz w:val="24"/>
          <w:highlight w:val="none"/>
        </w:rPr>
        <w:t xml:space="preserve">固定单价</w:t>
      </w:r>
      <w:r>
        <w:rPr>
          <w:rFonts w:hint="eastAsia" w:ascii="宋体" w:hAnsi="宋体" w:cs="宋体"/>
          <w:bCs/>
          <w:color w:val="auto"/>
          <w:sz w:val="24"/>
          <w:highlight w:val="none"/>
        </w:rPr>
        <w:t xml:space="preserve">，投标报价应包括招标文件所确定的招标范围相应货物和服务的供货、包装、运输、安装调试、测试、备品备件、保险、管理、维护、劳务、培训、验收、办公设备、设备、工具、耗材、运送工具及耗材、利润、风险、税金及政策性文件规定等各项应有费用，以及为完成该项货物和服务项目所涉及到的一切相关费用，采购人不再支付其他任何费用。注：每项系统中的系统集成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运营维护费</w:t>
      </w:r>
      <w:r>
        <w:rPr>
          <w:rFonts w:hint="eastAsia" w:ascii="宋体" w:hAnsi="宋体" w:cs="宋体"/>
          <w:bCs/>
          <w:color w:val="auto"/>
          <w:sz w:val="24"/>
          <w:highlight w:val="none"/>
        </w:rPr>
        <w:t xml:space="preserve">开具6%的增值税发票，其余设备开具13%的增值税发票。</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报价货币为人民币，评标时以人民币为准。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十、其他</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如需图纸请联系：0519-81081995。</w:t>
      </w:r>
      <w:r/>
    </w:p>
    <w:p>
      <w:pPr>
        <w:jc w:val="center"/>
        <w:spacing w:line="360" w:lineRule="auto"/>
        <w:rPr>
          <w:b/>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b/>
          <w:color w:val="auto"/>
          <w:sz w:val="36"/>
          <w:szCs w:val="36"/>
          <w:highlight w:val="none"/>
        </w:rPr>
      </w:r>
      <w:r/>
    </w:p>
    <w:p>
      <w:pPr>
        <w:jc w:val="center"/>
        <w:spacing w:line="360" w:lineRule="auto"/>
        <w:rPr>
          <w:b/>
          <w:color w:val="auto"/>
          <w:sz w:val="36"/>
          <w:szCs w:val="36"/>
          <w:highlight w:val="none"/>
        </w:rPr>
        <w:outlineLvl w:val="0"/>
      </w:pPr>
      <w:r/>
      <w:bookmarkStart w:id="778" w:name="_Toc5874"/>
      <w:r>
        <w:rPr>
          <w:b/>
          <w:color w:val="auto"/>
          <w:sz w:val="36"/>
          <w:szCs w:val="36"/>
          <w:highlight w:val="none"/>
        </w:rPr>
        <w:t xml:space="preserve">第六章   拟签订的合同文本</w:t>
      </w:r>
      <w:bookmarkEnd w:id="778"/>
      <w:r/>
      <w:r/>
    </w:p>
    <w:p>
      <w:pPr>
        <w:pStyle w:val="1224"/>
        <w:spacing w:line="360" w:lineRule="auto"/>
        <w:rPr>
          <w:rFonts w:hint="default" w:hAnsi="宋体" w:cs="宋体"/>
          <w:color w:val="auto"/>
          <w:sz w:val="24"/>
          <w:szCs w:val="24"/>
          <w:highlight w:val="none"/>
        </w:rPr>
      </w:pPr>
      <w:r>
        <w:rPr>
          <w:rFonts w:hAnsi="宋体" w:cs="宋体"/>
          <w:b/>
          <w:color w:val="auto"/>
          <w:sz w:val="24"/>
          <w:szCs w:val="24"/>
          <w:highlight w:val="none"/>
          <w:lang w:val="zh-CN"/>
        </w:rPr>
        <w:t xml:space="preserve">采购人（以下称甲</w:t>
      </w:r>
      <w:r>
        <w:rPr>
          <w:rFonts w:hAnsi="宋体" w:cs="宋体"/>
          <w:b/>
          <w:color w:val="auto"/>
          <w:sz w:val="24"/>
          <w:szCs w:val="24"/>
          <w:highlight w:val="none"/>
        </w:rPr>
        <w:t xml:space="preserve">方）:                         </w:t>
      </w:r>
      <w:r>
        <w:rPr>
          <w:rFonts w:hAnsi="宋体" w:cs="宋体"/>
          <w:color w:val="auto"/>
          <w:sz w:val="24"/>
          <w:szCs w:val="24"/>
          <w:highlight w:val="none"/>
        </w:rPr>
        <w:t xml:space="preserve">合同编号：</w:t>
      </w:r>
      <w:r/>
    </w:p>
    <w:p>
      <w:pPr>
        <w:pStyle w:val="1224"/>
        <w:spacing w:line="360" w:lineRule="auto"/>
        <w:rPr>
          <w:rFonts w:hint="default" w:hAnsi="宋体" w:cs="宋体"/>
          <w:color w:val="auto"/>
          <w:sz w:val="24"/>
          <w:szCs w:val="24"/>
          <w:highlight w:val="none"/>
          <w:u w:val="single"/>
        </w:rPr>
      </w:pPr>
      <w:r>
        <w:rPr>
          <w:rFonts w:hAnsi="宋体" w:cs="宋体"/>
          <w:b/>
          <w:color w:val="auto"/>
          <w:sz w:val="24"/>
          <w:szCs w:val="24"/>
          <w:highlight w:val="none"/>
        </w:rPr>
        <w:t xml:space="preserve">中标人（</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1188"/>
        <w:ind w:firstLine="5040"/>
        <w:spacing w:line="360" w:lineRule="auto"/>
        <w:rPr>
          <w:rFonts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pStyle w:val="1224"/>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乙方根据甲方需求提供下列产品：</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，产品名称、规格及数量详见乙方投标文件。</w:t>
      </w:r>
      <w:r/>
    </w:p>
    <w:p>
      <w:pPr>
        <w:pStyle w:val="1224"/>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1224"/>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签约合同总价（人民币，下同）：</w:t>
      </w:r>
      <w:r>
        <w:rPr>
          <w:rFonts w:hAnsi="宋体" w:cs="宋体"/>
          <w:b/>
          <w:color w:val="auto"/>
          <w:sz w:val="24"/>
          <w:szCs w:val="24"/>
          <w:highlight w:val="none"/>
          <w:u w:val="single"/>
        </w:rPr>
        <w:t xml:space="preserve">             元（小写       ），</w:t>
      </w:r>
      <w:r>
        <w:rPr>
          <w:rFonts w:hAnsi="宋体" w:cs="宋体"/>
          <w:b/>
          <w:color w:val="auto"/>
          <w:sz w:val="24"/>
          <w:szCs w:val="24"/>
          <w:highlight w:val="none"/>
        </w:rPr>
        <w:t xml:space="preserve">其中设备费</w:t>
      </w:r>
      <w:r>
        <w:rPr>
          <w:rFonts w:hint="eastAsia" w:hAnsi="宋体" w:cs="宋体"/>
          <w:b/>
          <w:color w:val="auto"/>
          <w:sz w:val="24"/>
          <w:szCs w:val="24"/>
          <w:highlight w:val="none"/>
          <w:lang w:eastAsia="zh-CN"/>
        </w:rPr>
        <w:t xml:space="preserve">（</w:t>
      </w:r>
      <w:r>
        <w:rPr>
          <w:rFonts w:hint="eastAsia" w:hAnsi="宋体" w:cs="宋体"/>
          <w:b/>
          <w:color w:val="auto"/>
          <w:sz w:val="24"/>
          <w:szCs w:val="24"/>
          <w:highlight w:val="none"/>
          <w:lang w:val="en-US" w:eastAsia="zh-CN"/>
        </w:rPr>
        <w:t xml:space="preserve">含安装）</w:t>
      </w:r>
      <w:r>
        <w:rPr>
          <w:rFonts w:hAnsi="宋体" w:cs="宋体"/>
          <w:b/>
          <w:color w:val="auto"/>
          <w:sz w:val="24"/>
          <w:szCs w:val="24"/>
          <w:highlight w:val="none"/>
          <w:u w:val="single"/>
        </w:rPr>
        <w:t xml:space="preserve"> </w:t>
      </w:r>
      <w:r>
        <w:rPr>
          <w:rFonts w:hint="default" w:hAnsi="宋体" w:cs="宋体"/>
          <w:b/>
          <w:color w:val="auto"/>
          <w:sz w:val="24"/>
          <w:szCs w:val="24"/>
          <w:highlight w:val="none"/>
          <w:u w:val="single"/>
        </w:rPr>
        <w:t xml:space="preserve">      </w:t>
      </w:r>
      <w:r>
        <w:rPr>
          <w:rFonts w:hAnsi="宋体" w:cs="宋体"/>
          <w:b/>
          <w:color w:val="auto"/>
          <w:sz w:val="24"/>
          <w:szCs w:val="24"/>
          <w:highlight w:val="none"/>
        </w:rPr>
        <w:t xml:space="preserve">元，开具1</w:t>
      </w:r>
      <w:r>
        <w:rPr>
          <w:rFonts w:hint="default" w:hAnsi="宋体" w:cs="宋体"/>
          <w:b/>
          <w:color w:val="auto"/>
          <w:sz w:val="24"/>
          <w:szCs w:val="24"/>
          <w:highlight w:val="none"/>
        </w:rPr>
        <w:t xml:space="preserve">3%</w:t>
      </w:r>
      <w:r>
        <w:rPr>
          <w:rFonts w:hAnsi="宋体" w:cs="宋体"/>
          <w:b/>
          <w:color w:val="auto"/>
          <w:sz w:val="24"/>
          <w:szCs w:val="24"/>
          <w:highlight w:val="none"/>
        </w:rPr>
        <w:t xml:space="preserve">的增值税发票，集成服务费</w:t>
      </w:r>
      <w:r>
        <w:rPr>
          <w:rFonts w:hAnsi="宋体" w:cs="宋体"/>
          <w:b/>
          <w:color w:val="auto"/>
          <w:sz w:val="24"/>
          <w:szCs w:val="24"/>
          <w:highlight w:val="none"/>
          <w:u w:val="single"/>
        </w:rPr>
        <w:t xml:space="preserve"> </w:t>
      </w:r>
      <w:r>
        <w:rPr>
          <w:rFonts w:hint="default" w:hAnsi="宋体" w:cs="宋体"/>
          <w:b/>
          <w:color w:val="auto"/>
          <w:sz w:val="24"/>
          <w:szCs w:val="24"/>
          <w:highlight w:val="none"/>
          <w:u w:val="single"/>
        </w:rPr>
        <w:t xml:space="preserve">     </w:t>
      </w:r>
      <w:r>
        <w:rPr>
          <w:rFonts w:hAnsi="宋体" w:cs="宋体"/>
          <w:b/>
          <w:color w:val="auto"/>
          <w:sz w:val="24"/>
          <w:szCs w:val="24"/>
          <w:highlight w:val="none"/>
        </w:rPr>
        <w:t xml:space="preserve">元</w:t>
      </w:r>
      <w:r>
        <w:rPr>
          <w:rFonts w:hint="eastAsia" w:hAnsi="宋体" w:cs="宋体"/>
          <w:b/>
          <w:color w:val="auto"/>
          <w:sz w:val="24"/>
          <w:szCs w:val="24"/>
          <w:highlight w:val="none"/>
          <w:lang w:eastAsia="zh-CN"/>
        </w:rPr>
        <w:t xml:space="preserve">、</w:t>
      </w:r>
      <w:r>
        <w:rPr>
          <w:rFonts w:hint="eastAsia" w:hAnsi="宋体" w:cs="宋体"/>
          <w:b/>
          <w:color w:val="auto"/>
          <w:sz w:val="24"/>
          <w:szCs w:val="24"/>
          <w:highlight w:val="none"/>
          <w:lang w:val="en-US" w:eastAsia="zh-CN"/>
        </w:rPr>
        <w:t xml:space="preserve">运营维护费</w:t>
      </w:r>
      <w:r>
        <w:rPr>
          <w:rFonts w:hint="eastAsia" w:hAnsi="宋体" w:cs="宋体"/>
          <w:b/>
          <w:color w:val="auto"/>
          <w:sz w:val="24"/>
          <w:szCs w:val="24"/>
          <w:highlight w:val="none"/>
          <w:u w:val="single"/>
          <w:lang w:val="en-US" w:eastAsia="zh-CN"/>
        </w:rPr>
        <w:t xml:space="preserve">       </w:t>
      </w:r>
      <w:r>
        <w:rPr>
          <w:rFonts w:hint="eastAsia" w:hAnsi="宋体" w:cs="宋体"/>
          <w:b/>
          <w:color w:val="auto"/>
          <w:sz w:val="24"/>
          <w:szCs w:val="24"/>
          <w:highlight w:val="none"/>
          <w:lang w:val="en-US" w:eastAsia="zh-CN"/>
        </w:rPr>
        <w:t xml:space="preserve">元</w:t>
      </w:r>
      <w:r>
        <w:rPr>
          <w:rFonts w:hAnsi="宋体" w:cs="宋体"/>
          <w:b/>
          <w:color w:val="auto"/>
          <w:sz w:val="24"/>
          <w:szCs w:val="24"/>
          <w:highlight w:val="none"/>
        </w:rPr>
        <w:t xml:space="preserve">开具6</w:t>
      </w:r>
      <w:r>
        <w:rPr>
          <w:rFonts w:hint="default" w:hAnsi="宋体" w:cs="宋体"/>
          <w:b/>
          <w:color w:val="auto"/>
          <w:sz w:val="24"/>
          <w:szCs w:val="24"/>
          <w:highlight w:val="none"/>
        </w:rPr>
        <w:t xml:space="preserve">%</w:t>
      </w:r>
      <w:r>
        <w:rPr>
          <w:rFonts w:hAnsi="宋体" w:cs="宋体"/>
          <w:b/>
          <w:color w:val="auto"/>
          <w:sz w:val="24"/>
          <w:szCs w:val="24"/>
          <w:highlight w:val="none"/>
        </w:rPr>
        <w:t xml:space="preserve">的增值税发票。 </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本合同总价款是货物设计、制造、包装、仓储、运输装缷、安装、调试、</w:t>
      </w:r>
      <w:r>
        <w:rPr>
          <w:rFonts w:hAnsi="宋体" w:cs="宋体"/>
          <w:bCs/>
          <w:color w:val="auto"/>
          <w:sz w:val="24"/>
          <w:szCs w:val="24"/>
          <w:highlight w:val="none"/>
        </w:rPr>
        <w:t xml:space="preserve">备品备件、</w:t>
      </w:r>
      <w:r>
        <w:rPr>
          <w:rFonts w:hAnsi="宋体" w:cs="宋体"/>
          <w:color w:val="auto"/>
          <w:sz w:val="24"/>
          <w:szCs w:val="24"/>
          <w:highlight w:val="none"/>
        </w:rPr>
        <w:t xml:space="preserve">测试保险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本合同总价款还包含乙方应当提供的伴随服务/售后服务费用。</w:t>
      </w:r>
      <w:r/>
    </w:p>
    <w:p>
      <w:pPr>
        <w:pStyle w:val="1224"/>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（1）招标文件（编号：；</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（2）乙方提供的投标文件；</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乙方应保证甲方在使用该货物或其任何一部分时不受第三方提出侵犯其专利权</w:t>
      </w:r>
      <w:r>
        <w:rPr>
          <w:rFonts w:hint="eastAsia" w:ascii="宋体" w:hAnsi="宋体" w:cs="宋体"/>
          <w:color w:val="auto"/>
          <w:sz w:val="24"/>
          <w:highlight w:val="none"/>
          <w:shd w:val="clear" w:color="auto" w:fill="ffffff"/>
        </w:rPr>
        <w:t xml:space="preserve">、著作权、商标权等知识产权的起诉。</w:t>
      </w:r>
      <w:r>
        <w:rPr>
          <w:rFonts w:hint="eastAsia" w:ascii="宋体" w:hAnsi="宋体" w:cs="宋体"/>
          <w:color w:val="auto"/>
          <w:sz w:val="24"/>
          <w:highlight w:val="none"/>
        </w:rPr>
        <w:t xml:space="preserve">一旦出现侵权、索赔或诉讼，乙方应承担全部责任，同时甲方有权解除本合同。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质量保证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pStyle w:val="1224"/>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包装要求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2.每一包装单元内应附详细的装箱单和质量合格凭证。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3.乙方保证货物不存在危及人身及财产安全的产品缺陷，否则应承担全部法律责任。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交货和验收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1.乙方应当在合同签订后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天内将货物交付甲方正常使用，地点由甲方指定。招标文件有约定的，从其约定。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3.货物的到货验收包括：生产厂家名称、品牌、型号、规格、数量、外观质量、配置及货物包装是否完好。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5.货物验收的标准：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5.1产品按国家、行业标准或甲方的技术要求进行验收，当发生矛盾时，以所有文件中最高性能指标为准。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5.2系统按合同规定的验收标准和招标文件要求进行验收，当两者发生矛盾时，以所有文件中最高性能指标为准。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3.结算原则：按实结算。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4.如设计变更，增加的货物在清单中有的，按投标时的报价执行，若增加的货物在清单中没有的，结算时参照相似设备的投标报价，双方协商解决。</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5.付款方式：</w:t>
      </w:r>
      <w:r>
        <w:rPr>
          <w:rFonts w:hint="eastAsia" w:ascii="宋体" w:hAnsi="宋体" w:cs="宋体"/>
          <w:bCs/>
          <w:color w:val="auto"/>
          <w:sz w:val="24"/>
          <w:highlight w:val="none"/>
          <w:lang w:eastAsia="zh-CN"/>
        </w:rPr>
        <w:t xml:space="preserve">合同签订后预付合同价款的30%；安装调试完成后支付至合同价的70%，项目竣工验收合格并经审计审定后，付至审定价（不含系统运营维护费）的100%，系统运营维护费待运营维护期满后一次性付清。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伴随服务／售后服务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1.乙方应按照国家有关法律法规规章和“三包”规定以及合同所附的“服务承诺”提供服务。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2.若招标文件中不包含有关伴随服务或售后服务的承诺，双方作如下约定：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2.2所购货物按乙方投标承诺提供免费维护和质量保证，保修费用计入总价。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2.4货物故障报修的响应时间按乙方投标承诺执行。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2.5若货物故障在检修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工作小时后仍无法排除，乙方应在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小时内免费提供不低于故障货物规格型号档次的备用货物供甲方使用，直至故障货物修复。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2.6所有货物保修服务方式均为乙方上门保修，即由乙方派员到货物使用现场维修，由此产生的一切费用均由乙方承担。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2.7保修期后的货物维护由双方协商再定。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4.本项目免费保修期为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年。自产品验收合格之日起计算。</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3.乙方所交付的货物品种、型号、规格不符合合同规定的，甲方有权拒收，同时有权解除合同，解除合同的通知自发出之日生效。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5.乙方未按本合同的规定和“服务承诺”提供伴随服务/售后服务的，甲方有权提前解除本合同，同时乙方应按合同总价款的5 %向甲方承担违约责任。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8.其他未尽事宜，以《中华人民共和国民法典》等有关法律法规规定为准，无相关规定的，双方协商解决。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第十三条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第十四条 质量问题或缺陷的索赔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乙方交付货物后，甲方发现货物的质量与合同内容不符或证</w:t>
      </w:r>
      <w:r>
        <w:rPr>
          <w:rFonts w:hint="eastAsia" w:ascii="宋体" w:hAnsi="宋体" w:cs="宋体"/>
          <w:color w:val="auto"/>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甲方因主张上述权利而支出的所有合理费用，包括但不限于律师费、诉讼费、鉴定费、差旅费、保函费等，均由乙方承担。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第十五条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（1）向甲方所在地有人民法院提起诉讼；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3、在法院审理和仲裁期间，除有争议部分外，本合同其他部分应继续履行。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第十六条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第十七条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2.本合同一式肆份，甲乙双方各执贰份。</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常州市新北区飞龙第二实验小学</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单位地址：常州市新北区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24"/>
          <w:highlight w:val="none"/>
        </w:rPr>
      </w:r>
      <w:r/>
    </w:p>
    <w:p>
      <w:pPr>
        <w:contextualSpacing/>
        <w:jc w:val="center"/>
        <w:spacing w:line="360" w:lineRule="auto"/>
        <w:rPr>
          <w:b/>
          <w:color w:val="auto"/>
          <w:sz w:val="36"/>
          <w:szCs w:val="36"/>
          <w:highlight w:val="none"/>
        </w:rPr>
        <w:outlineLvl w:val="0"/>
      </w:pPr>
      <w:r/>
      <w:bookmarkStart w:id="779" w:name="_Toc137"/>
      <w:r>
        <w:rPr>
          <w:b/>
          <w:color w:val="auto"/>
          <w:sz w:val="36"/>
          <w:szCs w:val="36"/>
          <w:highlight w:val="none"/>
        </w:rPr>
        <w:t xml:space="preserve">第七章   投标文件格式</w:t>
      </w:r>
      <w:bookmarkEnd w:id="779"/>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4、实行电子化不见面交易方式的，加盖公章、签名等均通过投标文件编制工具加盖电子公章、签字、签章或印鉴。</w:t>
      </w:r>
      <w:r/>
    </w:p>
    <w:p>
      <w:pPr>
        <w:ind w:left="142"/>
        <w:spacing w:line="360" w:lineRule="auto"/>
        <w:tabs>
          <w:tab w:val="left" w:pos="900" w:leader="none"/>
          <w:tab w:val="left" w:pos="1980" w:leader="none"/>
        </w:tabs>
        <w:rPr>
          <w:b/>
          <w:color w:val="auto"/>
          <w:sz w:val="30"/>
          <w:szCs w:val="20"/>
          <w:highlight w:val="none"/>
        </w:rPr>
      </w:pPr>
      <w:r>
        <w:rPr>
          <w:color w:val="auto"/>
          <w:sz w:val="24"/>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rPr>
          <w:b/>
          <w:bCs/>
          <w:color w:val="auto"/>
          <w:highlight w:val="none"/>
        </w:rPr>
      </w:pPr>
      <w:r>
        <w:rPr>
          <w:b/>
          <w:color w:val="auto"/>
          <w:highlight w:val="none"/>
        </w:rPr>
        <w:t xml:space="preserve">1-</w:t>
      </w:r>
      <w:r>
        <w:rPr>
          <w:rFonts w:hint="eastAsia"/>
          <w:b/>
          <w:color w:val="auto"/>
          <w:highlight w:val="none"/>
        </w:rPr>
        <w:t xml:space="preserve">1</w:t>
      </w:r>
      <w:r>
        <w:rPr>
          <w:b/>
          <w:color w:val="auto"/>
          <w:highlight w:val="none"/>
        </w:rPr>
        <w:t xml:space="preserve"> 投标人资格声明</w:t>
      </w:r>
      <w:r>
        <w:rPr>
          <w:rFonts w:hint="eastAsia"/>
          <w:b/>
          <w:color w:val="auto"/>
          <w:highlight w:val="none"/>
        </w:rPr>
        <w:t xml:space="preserve">函</w:t>
      </w:r>
      <w:r>
        <w:rPr>
          <w:b/>
          <w:color w:val="auto"/>
          <w:highlight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88"/>
        <w:ind w:firstLine="480"/>
        <w:spacing w:line="460" w:lineRule="exact"/>
        <w:rPr>
          <w:color w:val="auto"/>
          <w:highlight w:val="none"/>
        </w:rPr>
      </w:pPr>
      <w:r>
        <w:rPr>
          <w:color w:val="auto"/>
          <w:highlight w:val="none"/>
        </w:rPr>
      </w:r>
      <w:r/>
    </w:p>
    <w:p>
      <w:pPr>
        <w:pStyle w:val="1188"/>
        <w:ind w:firstLine="480"/>
        <w:spacing w:line="460" w:lineRule="exact"/>
        <w:rPr>
          <w:color w:val="auto"/>
          <w:highlight w:val="none"/>
        </w:rPr>
      </w:pPr>
      <w:r>
        <w:rPr>
          <w:rFonts w:hint="eastAsia"/>
          <w:color w:val="auto"/>
          <w:highlight w:val="none"/>
        </w:rPr>
        <w:t xml:space="preserve">致：江苏鑫洋建设项目管理有限公司</w:t>
      </w:r>
      <w:r/>
    </w:p>
    <w:p>
      <w:pPr>
        <w:pStyle w:val="1188"/>
        <w:ind w:firstLine="960"/>
        <w:spacing w:line="460" w:lineRule="exact"/>
        <w:rPr>
          <w:color w:val="auto"/>
          <w:highlight w:val="none"/>
          <w:u w:val="single"/>
        </w:rPr>
      </w:pPr>
      <w:r>
        <w:rPr>
          <w:rFonts w:hint="eastAsia"/>
          <w:color w:val="auto"/>
          <w:highlight w:val="none"/>
          <w:u w:val="single"/>
        </w:rPr>
        <w:t xml:space="preserve">（采购人名称）</w:t>
      </w:r>
      <w:r/>
    </w:p>
    <w:p>
      <w:pPr>
        <w:pStyle w:val="1188"/>
        <w:ind w:firstLine="480"/>
        <w:spacing w:line="460" w:lineRule="exact"/>
        <w:rPr>
          <w:color w:val="auto"/>
          <w:highlight w:val="none"/>
        </w:rPr>
      </w:pPr>
      <w:r>
        <w:rPr>
          <w:color w:val="auto"/>
          <w:highlight w:val="none"/>
        </w:rPr>
      </w:r>
      <w:r/>
    </w:p>
    <w:p>
      <w:pPr>
        <w:pStyle w:val="1188"/>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188"/>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188"/>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188"/>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188"/>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88"/>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188"/>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188"/>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188"/>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188"/>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188"/>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188"/>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188"/>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188"/>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188"/>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188"/>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88"/>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88"/>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88"/>
        <w:ind w:firstLine="480"/>
        <w:spacing w:line="460" w:lineRule="exact"/>
        <w:rPr>
          <w:color w:val="auto"/>
          <w:highlight w:val="none"/>
        </w:rPr>
      </w:pPr>
      <w:r>
        <w:rPr>
          <w:color w:val="auto"/>
          <w:highlight w:val="none"/>
        </w:rPr>
      </w:r>
      <w:r/>
    </w:p>
    <w:p>
      <w:pPr>
        <w:pStyle w:val="1188"/>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88"/>
        <w:ind w:firstLine="480"/>
        <w:spacing w:line="460" w:lineRule="exact"/>
        <w:rPr>
          <w:color w:val="auto"/>
          <w:highlight w:val="none"/>
        </w:rPr>
      </w:pPr>
      <w:r>
        <w:rPr>
          <w:color w:val="auto"/>
          <w:highlight w:val="none"/>
        </w:rPr>
      </w:r>
      <w:r/>
    </w:p>
    <w:p>
      <w:pPr>
        <w:pStyle w:val="1188"/>
        <w:ind w:firstLine="480"/>
        <w:spacing w:line="460" w:lineRule="exact"/>
        <w:rPr>
          <w:color w:val="auto"/>
          <w:highlight w:val="none"/>
        </w:rPr>
      </w:pPr>
      <w:r>
        <w:rPr>
          <w:color w:val="auto"/>
          <w:highlight w:val="none"/>
        </w:rPr>
      </w:r>
      <w:r/>
    </w:p>
    <w:p>
      <w:pPr>
        <w:pStyle w:val="1188"/>
        <w:ind w:firstLine="480"/>
        <w:spacing w:line="460" w:lineRule="exact"/>
        <w:rPr>
          <w:color w:val="auto"/>
          <w:highlight w:val="none"/>
        </w:rPr>
      </w:pPr>
      <w:r>
        <w:rPr>
          <w:rFonts w:hint="eastAsia"/>
          <w:color w:val="auto"/>
          <w:highlight w:val="none"/>
        </w:rPr>
        <w:t xml:space="preserve">                                            投标人：（加盖公章）</w:t>
      </w:r>
      <w:r/>
    </w:p>
    <w:p>
      <w:pPr>
        <w:pStyle w:val="1188"/>
        <w:ind w:firstLine="480"/>
        <w:spacing w:line="460" w:lineRule="exact"/>
        <w:rPr>
          <w:color w:val="auto"/>
          <w:highlight w:val="none"/>
        </w:rPr>
      </w:pPr>
      <w:r>
        <w:rPr>
          <w:rFonts w:hint="eastAsia"/>
          <w:color w:val="auto"/>
          <w:highlight w:val="none"/>
        </w:rPr>
        <w:t xml:space="preserve">                                           法定代表人（或单位负责人）签字或盖章：</w:t>
      </w:r>
      <w:r/>
    </w:p>
    <w:p>
      <w:pPr>
        <w:pStyle w:val="1188"/>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投标人承诺不实的，依据《政府采购法》第七十七条“提供虚假材料谋取中标、成交的”有关规定予以处理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pStyle w:val="1188"/>
        <w:ind w:firstLine="480"/>
        <w:spacing w:line="460" w:lineRule="exact"/>
        <w:rPr>
          <w:color w:val="auto"/>
          <w:highlight w:val="none"/>
        </w:rPr>
      </w:pPr>
      <w:r>
        <w:rPr>
          <w:rFonts w:hint="eastAsia"/>
          <w:color w:val="auto"/>
          <w:highlight w:val="none"/>
        </w:rPr>
        <w:t xml:space="preserve">2 本项目的特定资格要求：无</w:t>
      </w:r>
      <w:r/>
    </w:p>
    <w:p>
      <w:pPr>
        <w:jc w:val="center"/>
        <w:widowControl/>
        <w:rPr>
          <w:rFonts w:ascii="宋体" w:hAnsi="宋体"/>
          <w:b/>
          <w:color w:val="auto"/>
          <w:sz w:val="32"/>
          <w:szCs w:val="32"/>
          <w:highlight w:val="none"/>
        </w:rPr>
      </w:pPr>
      <w:r>
        <w:rPr>
          <w:rFonts w:ascii="宋体" w:hAnsi="宋体"/>
          <w:b/>
          <w:color w:val="auto"/>
          <w:sz w:val="32"/>
          <w:szCs w:val="32"/>
          <w:highlight w:val="none"/>
        </w:rPr>
        <w:br w:type="page" w:clear="all"/>
      </w:r>
      <w:r>
        <w:rPr>
          <w:rFonts w:ascii="宋体" w:hAnsi="宋体"/>
          <w:b/>
          <w:color w:val="auto"/>
          <w:sz w:val="32"/>
          <w:szCs w:val="32"/>
          <w:highlight w:val="none"/>
        </w:rPr>
        <w:t xml:space="preserve">二、商务技术文件格式</w:t>
      </w:r>
      <w:bookmarkStart w:id="780" w:name="_Toc142311058"/>
      <w:r/>
      <w:bookmarkStart w:id="781" w:name="_Ref467988698"/>
      <w:r/>
      <w:bookmarkStart w:id="782" w:name="_Toc226965829"/>
      <w:r/>
      <w:bookmarkStart w:id="783" w:name="_Toc520356217"/>
      <w:r/>
      <w:bookmarkStart w:id="784" w:name="_Toc150480794"/>
      <w:r/>
      <w:bookmarkStart w:id="785" w:name="_Toc480942349"/>
      <w:r/>
      <w:bookmarkStart w:id="786" w:name="_Toc226309800"/>
      <w:r/>
      <w:bookmarkStart w:id="787" w:name="_Toc150774761"/>
      <w:r/>
      <w:bookmarkStart w:id="788" w:name="_Toc226337252"/>
      <w:r/>
      <w:bookmarkStart w:id="789" w:name="_Toc127151556"/>
      <w:r/>
      <w:bookmarkStart w:id="790" w:name="_Toc195842921"/>
      <w:r/>
      <w:bookmarkStart w:id="791" w:name="_Toc226965746"/>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w:t>
      </w:r>
      <w:r>
        <w:rPr>
          <w:rFonts w:hint="eastAsia"/>
          <w:color w:val="auto"/>
          <w:sz w:val="24"/>
          <w:highlight w:val="none"/>
          <w:u w:val="single"/>
        </w:rPr>
        <w:t xml:space="preserve">采购人</w:t>
      </w:r>
      <w:r>
        <w:rPr>
          <w:color w:val="auto"/>
          <w:sz w:val="24"/>
          <w:highlight w:val="none"/>
          <w:u w:val="single"/>
        </w:rPr>
        <w:t xml:space="preserve">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792" w:name="_Hlt520356243"/>
      <w:r/>
      <w:bookmarkEnd w:id="792"/>
      <w:r/>
      <w:bookmarkStart w:id="793" w:name="_Hlt520355938"/>
      <w:r/>
      <w:bookmarkEnd w:id="793"/>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（投标人名称）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98"/>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9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74"/>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794" w:name="_Hlt520274065"/>
      <w:r/>
      <w:bookmarkEnd w:id="794"/>
      <w:r/>
      <w:bookmarkStart w:id="795" w:name="_Hlt520273711"/>
      <w:r/>
      <w:bookmarkEnd w:id="795"/>
      <w:r/>
      <w:bookmarkStart w:id="796" w:name="_Hlt520350918"/>
      <w:r/>
      <w:bookmarkEnd w:id="796"/>
      <w:r/>
      <w:bookmarkStart w:id="797" w:name="_Hlt520343392"/>
      <w:r/>
      <w:bookmarkEnd w:id="797"/>
      <w:r/>
      <w:bookmarkStart w:id="798" w:name="_Hlt520274121"/>
      <w:r/>
      <w:bookmarkEnd w:id="798"/>
      <w:r/>
      <w:bookmarkStart w:id="799" w:name="_Hlt520274407"/>
      <w:r/>
      <w:bookmarkEnd w:id="799"/>
      <w:r/>
      <w:bookmarkStart w:id="800" w:name="_Hlt520355504"/>
      <w:r/>
      <w:bookmarkEnd w:id="800"/>
      <w:r/>
      <w:bookmarkStart w:id="801" w:name="_Hlt520343000"/>
      <w:r/>
      <w:bookmarkEnd w:id="801"/>
      <w:r/>
      <w:bookmarkStart w:id="802" w:name="_Hlt520271212"/>
      <w:r/>
      <w:bookmarkEnd w:id="802"/>
      <w:r/>
      <w:bookmarkStart w:id="803" w:name="_Hlt520274393"/>
      <w:r/>
      <w:bookmarkEnd w:id="803"/>
      <w:r/>
      <w:bookmarkStart w:id="804" w:name="_Toc150774762"/>
      <w:r/>
      <w:bookmarkStart w:id="805" w:name="_Toc305158825"/>
      <w:r/>
      <w:bookmarkStart w:id="806" w:name="_Ref467988705"/>
      <w:r/>
      <w:bookmarkStart w:id="807" w:name="_Toc142311059"/>
      <w:r/>
      <w:bookmarkStart w:id="808" w:name="_Toc150480795"/>
      <w:r/>
      <w:bookmarkStart w:id="809" w:name="_Toc127151557"/>
      <w:r/>
      <w:bookmarkStart w:id="810" w:name="_Toc520356218"/>
      <w:r/>
      <w:bookmarkStart w:id="811" w:name="_Toc226965747"/>
      <w:r/>
      <w:bookmarkStart w:id="812" w:name="_Toc226309801"/>
      <w:r/>
      <w:bookmarkStart w:id="813" w:name="_Toc265228395"/>
      <w:r/>
      <w:bookmarkStart w:id="814" w:name="_Toc226337253"/>
      <w:r/>
      <w:bookmarkStart w:id="815" w:name="_Toc480942350"/>
      <w:r/>
      <w:bookmarkStart w:id="816" w:name="_Toc226965830"/>
      <w:r/>
      <w:bookmarkStart w:id="817" w:name="_Toc305158899"/>
      <w:r/>
      <w:bookmarkStart w:id="818" w:name="_Toc264969247"/>
      <w:r/>
      <w:bookmarkStart w:id="819" w:name="_Toc195842922"/>
      <w:r>
        <w:rPr>
          <w:color w:val="auto"/>
          <w:sz w:val="24"/>
          <w:szCs w:val="20"/>
          <w:highlight w:val="none"/>
        </w:rPr>
        <w:br w:type="page" w:clear="all"/>
      </w:r>
      <w:r>
        <w:rPr>
          <w:rFonts w:hint="eastAsia"/>
          <w:color w:val="auto"/>
          <w:sz w:val="24"/>
          <w:szCs w:val="20"/>
          <w:highlight w:val="none"/>
        </w:rPr>
        <w:t xml:space="preserve">4</w:t>
      </w:r>
      <w:r>
        <w:rPr>
          <w:color w:val="auto"/>
          <w:sz w:val="24"/>
          <w:szCs w:val="20"/>
          <w:highlight w:val="none"/>
        </w:rPr>
        <w:t xml:space="preserve">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jc w:val="center"/>
        <w:spacing w:line="360" w:lineRule="auto"/>
        <w:tabs>
          <w:tab w:val="left" w:pos="2775" w:leader="none"/>
          <w:tab w:val="center" w:pos="4153" w:leader="none"/>
        </w:tabs>
        <w:rPr>
          <w:b/>
          <w:color w:val="auto"/>
          <w:sz w:val="36"/>
          <w:szCs w:val="36"/>
          <w:highlight w:val="none"/>
        </w:rPr>
      </w:pPr>
      <w:r/>
      <w:bookmarkStart w:id="820" w:name="_Toc265228396"/>
      <w:r/>
      <w:bookmarkStart w:id="821" w:name="_Toc226965831"/>
      <w:r/>
      <w:bookmarkStart w:id="822" w:name="_Toc195842923"/>
      <w:r/>
      <w:bookmarkStart w:id="823" w:name="_Toc264969248"/>
      <w:r/>
      <w:bookmarkStart w:id="824" w:name="_Toc305158900"/>
      <w:r/>
      <w:bookmarkStart w:id="825" w:name="_Toc226337254"/>
      <w:r/>
      <w:bookmarkStart w:id="826" w:name="_Toc305158826"/>
      <w:r/>
      <w:bookmarkStart w:id="827" w:name="_Toc164608827"/>
      <w:r/>
      <w:bookmarkStart w:id="828" w:name="_Toc164608672"/>
      <w:r/>
      <w:bookmarkStart w:id="829" w:name="_Toc226309802"/>
      <w:r/>
      <w:bookmarkStart w:id="830" w:name="_Toc226965748"/>
      <w:r>
        <w:rPr>
          <w:rFonts w:hint="eastAsia"/>
          <w:b/>
          <w:color w:val="auto"/>
          <w:sz w:val="36"/>
          <w:szCs w:val="36"/>
          <w:highlight w:val="none"/>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69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3709"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3973"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（人民币：元）</w:t>
            </w:r>
            <w:r/>
          </w:p>
        </w:tc>
      </w:tr>
      <w:tr>
        <w:trPr>
          <w:jc w:val="center"/>
          <w:trHeight w:val="674"/>
        </w:trPr>
        <w:tc>
          <w:tcPr>
            <w:tcW w:w="69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3709"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1989"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1984"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3709"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89"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8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w:t>
      </w:r>
      <w:r>
        <w:rPr>
          <w:color w:val="auto"/>
          <w:sz w:val="24"/>
          <w:szCs w:val="20"/>
          <w:highlight w:val="none"/>
        </w:rPr>
        <w:t xml:space="preserve">此表的投标报价应和《投标分项报价表》中的总价相一致。</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highlight w:val="none"/>
        </w:rPr>
      </w:pPr>
      <w:r/>
      <w:bookmarkStart w:id="831" w:name="_Toc150480796"/>
      <w:r/>
      <w:bookmarkStart w:id="832" w:name="_Toc305158901"/>
      <w:r/>
      <w:bookmarkStart w:id="833" w:name="_Toc150774763"/>
      <w:r/>
      <w:bookmarkStart w:id="834" w:name="_Toc142311060"/>
      <w:r/>
      <w:bookmarkStart w:id="835" w:name="_Toc305158827"/>
      <w:r/>
      <w:bookmarkStart w:id="836" w:name="_Toc226309803"/>
      <w:r/>
      <w:bookmarkStart w:id="837" w:name="_Toc264969249"/>
      <w:r/>
      <w:bookmarkStart w:id="838" w:name="_Toc226965832"/>
      <w:r/>
      <w:bookmarkStart w:id="839" w:name="_Toc265228397"/>
      <w:r/>
      <w:bookmarkStart w:id="840" w:name="_Toc226965749"/>
      <w:r/>
      <w:bookmarkStart w:id="841" w:name="_Toc226337255"/>
      <w:r/>
      <w:bookmarkStart w:id="842" w:name="_Toc127151558"/>
      <w:r/>
      <w:bookmarkStart w:id="843" w:name="_Toc195842924"/>
      <w:r>
        <w:rPr>
          <w:color w:val="auto"/>
          <w:sz w:val="24"/>
          <w:szCs w:val="20"/>
          <w:highlight w:val="none"/>
        </w:rPr>
        <w:br w:type="page" w:clear="all"/>
      </w:r>
      <w:r>
        <w:rPr>
          <w:rFonts w:hint="eastAsia"/>
          <w:color w:val="auto"/>
          <w:sz w:val="24"/>
          <w:szCs w:val="20"/>
          <w:highlight w:val="none"/>
        </w:rPr>
        <w:t xml:space="preserve">5</w:t>
      </w:r>
      <w:r>
        <w:rPr>
          <w:color w:val="auto"/>
          <w:sz w:val="24"/>
          <w:szCs w:val="20"/>
          <w:highlight w:val="none"/>
        </w:rPr>
        <w:t xml:space="preserve">  投标分项报价表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color w:val="auto"/>
          <w:sz w:val="24"/>
          <w:szCs w:val="20"/>
          <w:highlight w:val="none"/>
        </w:rPr>
        <w:t xml:space="preserve">（实质性格式）</w:t>
      </w:r>
      <w:r/>
    </w:p>
    <w:p>
      <w:pPr>
        <w:jc w:val="left"/>
        <w:widowControl/>
        <w:rPr>
          <w:color w:val="auto"/>
          <w:sz w:val="24"/>
          <w:szCs w:val="20"/>
          <w:highlight w:val="none"/>
        </w:rPr>
      </w:pPr>
      <w:r>
        <w:rPr>
          <w:color w:val="auto"/>
          <w:sz w:val="24"/>
          <w:szCs w:val="20"/>
          <w:highlight w:val="none"/>
        </w:rPr>
      </w:r>
      <w:r/>
    </w:p>
    <w:p>
      <w:pPr>
        <w:jc w:val="center"/>
        <w:spacing w:line="360" w:lineRule="exact"/>
        <w:rPr>
          <w:color w:val="auto"/>
          <w:sz w:val="36"/>
          <w:szCs w:val="36"/>
          <w:highlight w:val="none"/>
        </w:rPr>
      </w:pPr>
      <w:r>
        <w:rPr>
          <w:color w:val="auto"/>
          <w:sz w:val="36"/>
          <w:szCs w:val="36"/>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项目编号：___________ 项目名称：__________报价单位：人民币元</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W w:w="88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名称</w:t>
            </w:r>
            <w:r/>
          </w:p>
        </w:tc>
        <w:tc>
          <w:tcPr>
            <w:tcW w:w="780"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88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78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rPr>
          <w:rFonts w:hint="eastAsia"/>
          <w:color w:val="auto"/>
          <w:sz w:val="24"/>
          <w:highlight w:val="none"/>
        </w:rPr>
        <w:t xml:space="preserve">1</w:t>
      </w:r>
      <w:r>
        <w:rPr>
          <w:color w:val="auto"/>
          <w:sz w:val="24"/>
          <w:highlight w:val="none"/>
        </w:rPr>
        <w:t xml:space="preserve">.如果不提供分项报价将视为没有实质性响应招标文件。</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3.</w:t>
      </w:r>
      <w:r>
        <w:rPr>
          <w:color w:val="auto"/>
          <w:sz w:val="24"/>
          <w:highlight w:val="none"/>
        </w:rPr>
        <w:t xml:space="preserve">上述各项的详细规格</w:t>
      </w:r>
      <w:r>
        <w:rPr>
          <w:rFonts w:hint="eastAsia"/>
          <w:color w:val="auto"/>
          <w:sz w:val="24"/>
          <w:highlight w:val="none"/>
        </w:rPr>
        <w:t xml:space="preserve">、技术参数如表格中填写不下的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spacing w:before="240" w:after="240"/>
        <w:rPr>
          <w:b/>
          <w:i/>
          <w:color w:val="auto"/>
          <w:sz w:val="24"/>
          <w:highlight w:val="none"/>
        </w:rPr>
      </w:pPr>
      <w:r>
        <w:rPr>
          <w:b/>
          <w:i/>
          <w:color w:val="auto"/>
          <w:sz w:val="24"/>
          <w:highlight w:val="none"/>
        </w:rPr>
      </w:r>
      <w:r/>
    </w:p>
    <w:p>
      <w:pPr>
        <w:jc w:val="left"/>
        <w:spacing w:before="240" w:after="240"/>
        <w:rPr>
          <w:b/>
          <w:i/>
          <w:color w:val="auto"/>
          <w:sz w:val="24"/>
          <w:highlight w:val="none"/>
        </w:rPr>
      </w:pPr>
      <w:r>
        <w:rPr>
          <w:b/>
          <w:i/>
          <w:color w:val="auto"/>
          <w:sz w:val="24"/>
          <w:highlight w:val="none"/>
        </w:rPr>
      </w:r>
      <w:r/>
    </w:p>
    <w:p>
      <w:pPr>
        <w:spacing w:line="360" w:lineRule="auto"/>
        <w:rPr>
          <w:color w:val="auto"/>
          <w:sz w:val="24"/>
          <w:szCs w:val="20"/>
          <w:highlight w:val="none"/>
        </w:rPr>
      </w:pPr>
      <w:r/>
      <w:bookmarkStart w:id="844" w:name="_Toc226309806"/>
      <w:r/>
      <w:bookmarkStart w:id="845" w:name="_Toc226965835"/>
      <w:r/>
      <w:bookmarkStart w:id="846" w:name="_Toc305158830"/>
      <w:r/>
      <w:bookmarkStart w:id="847" w:name="_Toc226965752"/>
      <w:r/>
      <w:bookmarkStart w:id="848" w:name="_Toc264969252"/>
      <w:r/>
      <w:bookmarkStart w:id="849" w:name="_Toc265228400"/>
      <w:r/>
      <w:bookmarkStart w:id="850" w:name="_Toc142311062"/>
      <w:r/>
      <w:bookmarkStart w:id="851" w:name="_Toc150480798"/>
      <w:r/>
      <w:bookmarkStart w:id="852" w:name="_Toc226337258"/>
      <w:r/>
      <w:bookmarkStart w:id="853" w:name="_Toc150774765"/>
      <w:r/>
      <w:bookmarkStart w:id="854" w:name="_Toc127151562"/>
      <w:r/>
      <w:bookmarkStart w:id="855" w:name="_Toc305158904"/>
      <w:r/>
      <w:bookmarkStart w:id="856" w:name="_Toc195842927"/>
      <w:r/>
      <w:bookmarkStart w:id="857" w:name="_Toc226965834"/>
      <w:r/>
      <w:bookmarkStart w:id="858" w:name="_Toc265228399"/>
      <w:r/>
      <w:bookmarkStart w:id="859" w:name="_Toc226309805"/>
      <w:r/>
      <w:bookmarkStart w:id="860" w:name="_Toc150774764"/>
      <w:r/>
      <w:bookmarkStart w:id="861" w:name="_Toc195842926"/>
      <w:r/>
      <w:bookmarkStart w:id="862" w:name="_Toc226337257"/>
      <w:r/>
      <w:bookmarkStart w:id="863" w:name="_Toc150480797"/>
      <w:r/>
      <w:bookmarkStart w:id="864" w:name="_Toc305158903"/>
      <w:r/>
      <w:bookmarkStart w:id="865" w:name="_Toc305158829"/>
      <w:r/>
      <w:bookmarkStart w:id="866" w:name="_Toc127151561"/>
      <w:r/>
      <w:bookmarkStart w:id="867" w:name="_Toc142311061"/>
      <w:r/>
      <w:bookmarkStart w:id="868" w:name="_Toc264969251"/>
      <w:r/>
      <w:bookmarkStart w:id="869" w:name="_Toc226965751"/>
      <w:r>
        <w:rPr>
          <w:color w:val="auto"/>
          <w:sz w:val="24"/>
          <w:szCs w:val="20"/>
          <w:highlight w:val="none"/>
        </w:rPr>
        <w:br w:type="page" w:clear="all"/>
      </w:r>
      <w:r>
        <w:rPr>
          <w:rFonts w:hint="eastAsia"/>
          <w:color w:val="auto"/>
          <w:sz w:val="24"/>
          <w:szCs w:val="20"/>
          <w:highlight w:val="none"/>
        </w:rPr>
        <w:t xml:space="preserve">6</w:t>
      </w:r>
      <w:r>
        <w:rPr>
          <w:color w:val="auto"/>
          <w:sz w:val="24"/>
          <w:szCs w:val="20"/>
          <w:highlight w:val="none"/>
        </w:rPr>
        <w:t xml:space="preserve">  合同条款偏离表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项目编号：_____________________     项目名称：_____________</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23"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2" w:type="dxa"/>
            <w:vAlign w:val="center"/>
            <w:textDirection w:val="lrTb"/>
            <w:noWrap w:val="false"/>
          </w:tcPr>
          <w:p>
            <w:pPr>
              <w:jc w:val="center"/>
              <w:rPr>
                <w:color w:val="auto"/>
                <w:sz w:val="24"/>
                <w:highlight w:val="none"/>
              </w:rPr>
            </w:pPr>
            <w:r>
              <w:rPr>
                <w:color w:val="auto"/>
                <w:sz w:val="24"/>
                <w:highlight w:val="none"/>
              </w:rPr>
              <w:t xml:space="preserve">……</w:t>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3"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auto"/>
          <w:sz w:val="24"/>
          <w:szCs w:val="20"/>
          <w:highlight w:val="none"/>
        </w:rPr>
        <w:t xml:space="preserve">采购需求偏离表（实质性格式）</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9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对招标文件中的所有商务、技术要求，除本表所列明的所有偏离外，均视作</w:t>
      </w:r>
      <w:r>
        <w:rPr>
          <w:rFonts w:hint="eastAsia"/>
          <w:color w:val="auto"/>
          <w:sz w:val="24"/>
          <w:highlight w:val="none"/>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rFonts w:hint="eastAsia"/>
          <w:color w:val="auto"/>
          <w:sz w:val="24"/>
          <w:highlight w:val="none"/>
        </w:rPr>
        <w:t xml:space="preserve">2.“偏离情况”列应据实填写“正偏离”、“负偏离”，若不存在偏离情况，只需在此表中填写“无偏离”。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tabs>
          <w:tab w:val="left" w:pos="5580" w:leader="none"/>
        </w:tabs>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spacing w:line="360" w:lineRule="auto"/>
        <w:tabs>
          <w:tab w:val="left" w:pos="5580" w:leader="none"/>
        </w:tabs>
        <w:rPr>
          <w:color w:val="auto"/>
          <w:sz w:val="24"/>
          <w:highlight w:val="none"/>
        </w:rPr>
      </w:pPr>
      <w:r>
        <w:rPr>
          <w:rFonts w:hint="eastAsia"/>
          <w:color w:val="auto"/>
          <w:sz w:val="24"/>
          <w:highlight w:val="none"/>
        </w:rPr>
        <w:t xml:space="preserve">2）对于多标的的采购项目，投标人应充分、准确地了解所投产品制造企业信息。对相关情况了解不清楚的，不建议填报本声明函。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3）中小企业认定标准以《关于印发中小企业划型标准规定的通知》（工信部联企业〔2011〕300号）文件规定为准。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5）</w:t>
      </w:r>
      <w:r>
        <w:rPr>
          <w:rFonts w:ascii="宋体" w:hAnsi="宋体"/>
          <w:b/>
          <w:color w:val="auto"/>
          <w:sz w:val="24"/>
          <w:highlight w:val="none"/>
        </w:rPr>
        <w:t xml:space="preserve">在货物采购项目中，</w:t>
      </w:r>
      <w:r>
        <w:rPr>
          <w:rFonts w:hint="eastAsia" w:ascii="宋体" w:hAnsi="宋体"/>
          <w:b/>
          <w:color w:val="auto"/>
          <w:sz w:val="24"/>
          <w:highlight w:val="none"/>
        </w:rPr>
        <w:t xml:space="preserve">投标人</w:t>
      </w:r>
      <w:r>
        <w:rPr>
          <w:rFonts w:ascii="宋体" w:hAnsi="宋体"/>
          <w:b/>
          <w:color w:val="auto"/>
          <w:sz w:val="24"/>
          <w:highlight w:val="none"/>
        </w:rPr>
        <w:t xml:space="preserve">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hint="eastAsia" w:ascii="宋体" w:hAnsi="宋体"/>
          <w:b/>
          <w:color w:val="auto"/>
          <w:sz w:val="24"/>
          <w:highlight w:val="none"/>
        </w:rPr>
        <w:t xml:space="preserve">小微企业未提供声明函的，价格分评审将不予价格扣除。</w:t>
      </w:r>
      <w:r/>
    </w:p>
    <w:p>
      <w:pPr>
        <w:jc w:val="left"/>
        <w:widowControl/>
        <w:rPr>
          <w:b/>
          <w:bCs/>
          <w:color w:val="auto"/>
          <w:sz w:val="24"/>
          <w:highlight w:val="none"/>
        </w:rPr>
      </w:pPr>
      <w:r>
        <w:rPr>
          <w:b/>
          <w:bCs/>
          <w:color w:val="auto"/>
          <w:sz w:val="24"/>
          <w:highlight w:val="none"/>
        </w:rPr>
        <w:br w:type="page" w:clear="all"/>
      </w:r>
      <w:r/>
    </w:p>
    <w:p>
      <w:pPr>
        <w:jc w:val="center"/>
        <w:spacing w:before="240" w:after="240" w:line="360" w:lineRule="auto"/>
        <w:rPr>
          <w:b/>
          <w:color w:val="auto"/>
          <w:sz w:val="36"/>
          <w:szCs w:val="36"/>
          <w:highlight w:val="none"/>
        </w:rPr>
      </w:pPr>
      <w:r>
        <w:rPr>
          <w:b/>
          <w:bCs/>
          <w:color w:val="auto"/>
          <w:sz w:val="36"/>
          <w:szCs w:val="36"/>
          <w:highlight w:val="none"/>
        </w:rPr>
        <w:t xml:space="preserve">中小企业声明函（货物）格式</w:t>
      </w:r>
      <w:r/>
    </w:p>
    <w:p>
      <w:pPr>
        <w:ind w:left="220" w:right="415" w:firstLine="640"/>
        <w:jc w:val="left"/>
        <w:spacing w:line="360" w:lineRule="auto"/>
        <w:rPr>
          <w:color w:val="auto"/>
          <w:sz w:val="24"/>
          <w:highlight w:val="none"/>
        </w:rPr>
      </w:pPr>
      <w:r>
        <w:rPr>
          <w:color w:val="auto"/>
          <w:sz w:val="24"/>
          <w:highlight w:val="none"/>
        </w:rPr>
        <w:t xml:space="preserve">本公司郑重声明，根据《政府采购促进中小企业发展管理办法》（财库﹝2020﹞46号）的规定，本公司参加</w:t>
      </w:r>
      <w:r>
        <w:rPr>
          <w:color w:val="auto"/>
          <w:spacing w:val="6"/>
          <w:sz w:val="24"/>
          <w:highlight w:val="non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单位名称</w:t>
      </w:r>
      <w:r>
        <w:rPr>
          <w:color w:val="auto"/>
          <w:spacing w:val="6"/>
          <w:sz w:val="24"/>
          <w:highlight w:val="none"/>
        </w:rPr>
        <w:t xml:space="preserve">）</w:t>
      </w:r>
      <w:r>
        <w:rPr>
          <w:color w:val="auto"/>
          <w:sz w:val="24"/>
          <w:highlight w:val="none"/>
        </w:rPr>
        <w:t xml:space="preserve">的</w:t>
      </w:r>
      <w:r>
        <w:rPr>
          <w:color w:val="auto"/>
          <w:spacing w:val="6"/>
          <w:sz w:val="24"/>
          <w:highlight w:val="non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项目名称</w:t>
      </w:r>
      <w:r>
        <w:rPr>
          <w:color w:val="auto"/>
          <w:spacing w:val="6"/>
          <w:sz w:val="24"/>
          <w:highlight w:val="none"/>
        </w:rPr>
        <w:t xml:space="preserve">）</w:t>
      </w:r>
      <w:r>
        <w:rPr>
          <w:color w:val="auto"/>
          <w:sz w:val="24"/>
          <w:highlight w:val="none"/>
        </w:rPr>
        <w:t xml:space="preserve">采购活动，提供的货物全部由符合政策要求的中小企业制造。相关企业的具体情况如下：</w:t>
      </w:r>
      <w:r/>
    </w:p>
    <w:p>
      <w:pPr>
        <w:ind w:left="220" w:right="415" w:firstLine="640"/>
        <w:jc w:val="left"/>
        <w:spacing w:line="360" w:lineRule="auto"/>
        <w:rPr>
          <w:color w:val="auto"/>
          <w:sz w:val="24"/>
          <w:highlight w:val="none"/>
        </w:rPr>
      </w:pPr>
      <w:r>
        <w:rPr>
          <w:rFonts w:hint="eastAsia"/>
          <w:color w:val="auto"/>
          <w:spacing w:val="6"/>
          <w:sz w:val="24"/>
          <w:highlight w:val="none"/>
          <w:u w:val="single"/>
        </w:rPr>
        <w:t xml:space="preserve">1.</w:t>
      </w:r>
      <w:r>
        <w:rPr>
          <w:color w:val="auto"/>
          <w:spacing w:val="6"/>
          <w:sz w:val="24"/>
          <w:highlight w:val="none"/>
          <w:u w:val="singl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标的名称）</w:t>
      </w:r>
      <w:r>
        <w:rPr>
          <w:color w:val="auto"/>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采购文件中明确的所属行业）</w:t>
      </w:r>
      <w:r>
        <w:rPr>
          <w:color w:val="auto"/>
          <w:sz w:val="24"/>
          <w:highlight w:val="none"/>
        </w:rPr>
        <w:t xml:space="preserve">行业；制造商为</w:t>
      </w:r>
      <w:r>
        <w:rPr>
          <w:color w:val="auto"/>
          <w:spacing w:val="6"/>
          <w:sz w:val="24"/>
          <w:highlight w:val="none"/>
          <w:u w:val="singl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color w:val="auto"/>
          <w:sz w:val="24"/>
          <w:highlight w:val="none"/>
        </w:rPr>
        <w:t xml:space="preserve">，属于</w:t>
      </w:r>
      <w:r>
        <w:rPr>
          <w:rFonts w:hint="eastAsia"/>
          <w:color w:val="auto"/>
          <w:spacing w:val="6"/>
          <w:sz w:val="24"/>
          <w:highlight w:val="none"/>
          <w:u w:val="single"/>
        </w:rPr>
        <w:t xml:space="preserve">选择其中一类填写</w:t>
      </w:r>
      <w:r>
        <w:rPr>
          <w:color w:val="auto"/>
          <w:spacing w:val="6"/>
          <w:sz w:val="24"/>
          <w:highlight w:val="none"/>
          <w:u w:val="single"/>
        </w:rPr>
        <w:t xml:space="preserve">（中型企业、小型企业、微型企业）</w:t>
      </w:r>
      <w:r>
        <w:rPr>
          <w:color w:val="auto"/>
          <w:sz w:val="24"/>
          <w:highlight w:val="none"/>
        </w:rPr>
        <w:t xml:space="preserve">；</w:t>
      </w:r>
      <w:r/>
    </w:p>
    <w:p>
      <w:pPr>
        <w:ind w:left="220" w:right="415" w:firstLine="640"/>
        <w:jc w:val="left"/>
        <w:spacing w:line="360" w:lineRule="auto"/>
        <w:rPr>
          <w:color w:val="auto"/>
          <w:sz w:val="24"/>
          <w:highlight w:val="none"/>
        </w:rPr>
      </w:pPr>
      <w:r>
        <w:rPr>
          <w:rFonts w:hint="eastAsia"/>
          <w:color w:val="auto"/>
          <w:spacing w:val="6"/>
          <w:sz w:val="24"/>
          <w:highlight w:val="none"/>
          <w:u w:val="single"/>
        </w:rPr>
        <w:t xml:space="preserve">2.</w:t>
      </w:r>
      <w:r>
        <w:rPr>
          <w:color w:val="auto"/>
          <w:spacing w:val="6"/>
          <w:sz w:val="24"/>
          <w:highlight w:val="none"/>
          <w:u w:val="singl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标的名称）</w:t>
      </w:r>
      <w:r>
        <w:rPr>
          <w:color w:val="auto"/>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采购文件中明确的所属行业）</w:t>
      </w:r>
      <w:r>
        <w:rPr>
          <w:color w:val="auto"/>
          <w:sz w:val="24"/>
          <w:highlight w:val="none"/>
        </w:rPr>
        <w:t xml:space="preserve">行业；制造商为</w:t>
      </w:r>
      <w:r>
        <w:rPr>
          <w:color w:val="auto"/>
          <w:spacing w:val="6"/>
          <w:sz w:val="24"/>
          <w:highlight w:val="none"/>
          <w:u w:val="single"/>
        </w:rPr>
        <w:t xml:space="preserve">（</w:t>
      </w:r>
      <w:r>
        <w:rPr>
          <w:rFonts w:hint="eastAsia"/>
          <w:color w:val="auto"/>
          <w:spacing w:val="6"/>
          <w:sz w:val="24"/>
          <w:highlight w:val="none"/>
          <w:u w:val="single"/>
        </w:rPr>
        <w:t xml:space="preserve">此处填</w:t>
      </w:r>
      <w:r>
        <w:rPr>
          <w:color w:val="auto"/>
          <w:spacing w:val="6"/>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color w:val="auto"/>
          <w:sz w:val="24"/>
          <w:highlight w:val="none"/>
        </w:rPr>
        <w:t xml:space="preserve">，属于</w:t>
      </w:r>
      <w:r>
        <w:rPr>
          <w:rFonts w:hint="eastAsia"/>
          <w:color w:val="auto"/>
          <w:spacing w:val="6"/>
          <w:sz w:val="24"/>
          <w:highlight w:val="none"/>
          <w:u w:val="single"/>
        </w:rPr>
        <w:t xml:space="preserve">选择其中一类填写</w:t>
      </w:r>
      <w:r>
        <w:rPr>
          <w:color w:val="auto"/>
          <w:spacing w:val="6"/>
          <w:sz w:val="24"/>
          <w:highlight w:val="none"/>
          <w:u w:val="single"/>
        </w:rPr>
        <w:t xml:space="preserve">（中型企业、小型企业、微型企业）</w:t>
      </w:r>
      <w:r>
        <w:rPr>
          <w:color w:val="auto"/>
          <w:sz w:val="24"/>
          <w:highlight w:val="none"/>
        </w:rPr>
        <w:t xml:space="preserve">；</w:t>
      </w:r>
      <w:r/>
    </w:p>
    <w:p>
      <w:pPr>
        <w:ind w:left="220" w:right="417" w:firstLine="645"/>
        <w:spacing w:line="360" w:lineRule="auto"/>
        <w:rPr>
          <w:color w:val="auto"/>
          <w:sz w:val="24"/>
          <w:highlight w:val="none"/>
        </w:rPr>
      </w:pPr>
      <w:r>
        <w:rPr>
          <w:rFonts w:hint="eastAsia"/>
          <w:color w:val="auto"/>
          <w:sz w:val="24"/>
          <w:highlight w:val="none"/>
        </w:rPr>
        <w:t xml:space="preserve">. . . . . . .</w:t>
      </w:r>
      <w:r/>
    </w:p>
    <w:p>
      <w:pPr>
        <w:ind w:left="220" w:right="417" w:firstLine="645"/>
        <w:spacing w:line="360" w:lineRule="auto"/>
        <w:rPr>
          <w:color w:val="auto"/>
          <w:sz w:val="24"/>
          <w:highlight w:val="none"/>
        </w:rPr>
      </w:pPr>
      <w:r>
        <w:rPr>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color w:val="auto"/>
          <w:sz w:val="24"/>
          <w:highlight w:val="none"/>
        </w:rPr>
      </w:pPr>
      <w:r>
        <w:rPr>
          <w:color w:val="auto"/>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tbl>
      <w:tblPr>
        <w:tblStyle w:val="96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ind w:firstLine="420"/>
        <w:jc w:val="left"/>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szCs w:val="20"/>
          <w:highlight w:val="none"/>
        </w:rPr>
      </w:pPr>
      <w:r>
        <w:rPr>
          <w:color w:val="auto"/>
          <w:sz w:val="24"/>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b/>
          <w:color w:val="auto"/>
          <w:sz w:val="24"/>
          <w:highlight w:val="none"/>
        </w:rPr>
      </w:pPr>
      <w:r>
        <w:rPr>
          <w:b/>
          <w:color w:val="auto"/>
          <w:sz w:val="24"/>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9</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jc w:val="left"/>
        <w:spacing w:line="560" w:lineRule="exact"/>
        <w:rPr>
          <w:color w:val="auto"/>
          <w:sz w:val="24"/>
          <w:szCs w:val="20"/>
          <w:highlight w:val="none"/>
        </w:rPr>
      </w:pPr>
      <w:r>
        <w:rPr>
          <w:rFonts w:hint="eastAsia"/>
          <w:color w:val="auto"/>
          <w:sz w:val="24"/>
          <w:szCs w:val="20"/>
          <w:highlight w:val="none"/>
        </w:rPr>
        <w:t xml:space="preserve">（1）实施方案；</w:t>
      </w:r>
      <w:r/>
    </w:p>
    <w:p>
      <w:pPr>
        <w:jc w:val="left"/>
        <w:spacing w:line="560" w:lineRule="exact"/>
        <w:rPr>
          <w:color w:val="auto"/>
          <w:sz w:val="24"/>
          <w:szCs w:val="20"/>
          <w:highlight w:val="none"/>
        </w:rPr>
      </w:pPr>
      <w:r>
        <w:rPr>
          <w:rFonts w:hint="eastAsia"/>
          <w:color w:val="auto"/>
          <w:sz w:val="24"/>
          <w:szCs w:val="20"/>
          <w:highlight w:val="none"/>
        </w:rPr>
        <w:t xml:space="preserve">（2）售后服务方案；</w:t>
      </w:r>
      <w:r/>
    </w:p>
    <w:p>
      <w:pPr>
        <w:jc w:val="left"/>
        <w:spacing w:line="560" w:lineRule="exact"/>
        <w:rPr>
          <w:color w:val="auto"/>
          <w:sz w:val="24"/>
          <w:szCs w:val="20"/>
          <w:highlight w:val="none"/>
        </w:rPr>
      </w:pPr>
      <w:r>
        <w:rPr>
          <w:color w:val="auto"/>
          <w:sz w:val="24"/>
          <w:szCs w:val="20"/>
          <w:highlight w:val="none"/>
        </w:rPr>
      </w:r>
      <w:r/>
    </w:p>
    <w:p>
      <w:pPr>
        <w:rPr>
          <w:color w:val="auto"/>
          <w:sz w:val="24"/>
          <w:szCs w:val="20"/>
          <w:highlight w:val="none"/>
        </w:rPr>
      </w:pPr>
      <w:r>
        <w:rPr>
          <w:color w:val="auto"/>
          <w:sz w:val="22"/>
          <w:highlight w:val="none"/>
        </w:rPr>
        <w:br w:type="page" w:clear="all"/>
      </w:r>
      <w:r>
        <w:rPr>
          <w:rFonts w:hint="eastAsia"/>
          <w:color w:val="auto"/>
          <w:sz w:val="24"/>
          <w:szCs w:val="20"/>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9"/>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870" w:name="_Toc288738839"/>
      <w:r/>
      <w:bookmarkStart w:id="871" w:name="_Toc288738397"/>
      <w:r>
        <w:rPr>
          <w:rFonts w:hint="eastAsia"/>
          <w:color w:val="auto"/>
          <w:sz w:val="24"/>
          <w:szCs w:val="20"/>
          <w:highlight w:val="none"/>
        </w:rPr>
        <w:t xml:space="preserve">11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870"/>
      <w:r/>
      <w:bookmarkEnd w:id="871"/>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9"/>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rFonts w:hint="eastAsia"/>
          <w:color w:val="auto"/>
          <w:sz w:val="24"/>
          <w:szCs w:val="20"/>
          <w:highlight w:val="none"/>
        </w:rPr>
        <w:t xml:space="preserve">12  </w:t>
      </w:r>
      <w:r>
        <w:rPr>
          <w:color w:val="auto"/>
          <w:sz w:val="24"/>
          <w:szCs w:val="20"/>
          <w:highlight w:val="none"/>
        </w:rPr>
        <w:t xml:space="preserve">招标文件要求提供或投标人认为应附的其他材料</w:t>
      </w:r>
      <w:r/>
    </w:p>
    <w:p>
      <w:pPr>
        <w:jc w:val="left"/>
        <w:widowControl/>
        <w:rPr>
          <w:b/>
          <w:color w:val="auto"/>
          <w:sz w:val="36"/>
          <w:szCs w:val="36"/>
          <w:highlight w:val="none"/>
        </w:rPr>
      </w:pPr>
      <w:r>
        <w:rPr>
          <w:b/>
          <w:color w:val="auto"/>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233"/>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8"/>
      </w:rPr>
      <w:framePr w:wrap="around" w:vAnchor="text" w:hAnchor="margin" w:xAlign="right" w:y="1"/>
    </w:pPr>
    <w:r>
      <w:rPr>
        <w:rStyle w:val="1258"/>
      </w:rPr>
      <w:fldChar w:fldCharType="begin"/>
    </w:r>
    <w:r>
      <w:rPr>
        <w:rStyle w:val="1258"/>
      </w:rPr>
      <w:instrText xml:space="preserve">PAGE  </w:instrText>
    </w:r>
    <w:r>
      <w:rPr>
        <w:rStyle w:val="1258"/>
      </w:rPr>
      <w:fldChar w:fldCharType="end"/>
    </w:r>
    <w:r/>
  </w:p>
  <w:p>
    <w:pPr>
      <w:pStyle w:val="123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rPr>
        <w:rStyle w:val="1258"/>
      </w:rPr>
      <w:framePr w:wrap="around" w:vAnchor="text" w:hAnchor="margin" w:xAlign="right" w:y="1"/>
    </w:pPr>
    <w:r>
      <w:rPr>
        <w:rStyle w:val="1258"/>
      </w:rPr>
      <w:fldChar w:fldCharType="begin"/>
    </w:r>
    <w:r>
      <w:rPr>
        <w:rStyle w:val="1258"/>
      </w:rPr>
      <w:instrText xml:space="preserve">PAGE  </w:instrText>
    </w:r>
    <w:r>
      <w:rPr>
        <w:rStyle w:val="1258"/>
      </w:rPr>
      <w:fldChar w:fldCharType="end"/>
    </w:r>
    <w:r/>
  </w:p>
  <w:p>
    <w:pPr>
      <w:pStyle w:val="1233"/>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p>
    <w:pPr>
      <w:pStyle w:val="98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right"/>
    </w:pPr>
    <w:r>
      <w:rPr>
        <w:rFonts w:hint="eastAsia"/>
        <w:lang w:eastAsia="zh-CN"/>
      </w:rPr>
      <w:t xml:space="preserve">飞龙第二实验小学新建项目安全技术防范、校园广播、校园直录播系统采购及安装项目</w:t>
    </w:r>
    <w:r>
      <w:rPr>
        <w:rFonts w:hint="eastAsia"/>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right"/>
    </w:pPr>
    <w:r>
      <w:rPr>
        <w:rFonts w:hint="eastAsia"/>
        <w:lang w:eastAsia="zh-CN"/>
      </w:rPr>
      <w:t xml:space="preserve">飞龙第二实验小学新建项目安全技术防范、校园广播、校园直录播系统采购及安装项目</w:t>
    </w: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38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83"/>
      <w:isLgl w:val="false"/>
      <w:suff w:val="tab"/>
      <w:lvlText w:val="%1"/>
      <w:lvlJc w:val="left"/>
      <w:pPr>
        <w:ind w:left="680" w:hanging="680"/>
      </w:pPr>
      <w:rPr>
        <w:rFonts w:hint="eastAsia" w:ascii="宋体" w:hAnsi="宋体" w:eastAsia="宋体"/>
      </w:rPr>
    </w:lvl>
    <w:lvl w:ilvl="1">
      <w:start w:val="1"/>
      <w:numFmt w:val="decimal"/>
      <w:pStyle w:val="1377"/>
      <w:isLgl w:val="false"/>
      <w:suff w:val="tab"/>
      <w:lvlText w:val="%1.%2"/>
      <w:lvlJc w:val="left"/>
      <w:pPr>
        <w:ind w:left="851" w:hanging="851"/>
      </w:pPr>
      <w:rPr>
        <w:rFonts w:hint="eastAsia" w:ascii="宋体" w:hAnsi="宋体" w:eastAsia="宋体"/>
        <w:color w:val="000000"/>
      </w:rPr>
    </w:lvl>
    <w:lvl w:ilvl="2">
      <w:start w:val="1"/>
      <w:numFmt w:val="decimal"/>
      <w:pStyle w:val="139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32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3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3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72"/>
      <w:isLgl w:val="false"/>
      <w:suff w:val="nothing"/>
      <w:lvlText w:val="%1.%2.%3.%4.%5.%6　"/>
      <w:lvlJc w:val="left"/>
      <w:pPr>
        <w:ind w:left="-25" w:firstLine="0"/>
      </w:pPr>
      <w:rPr>
        <w:rFonts w:ascii="Times New Roman" w:hAnsi="Times New Roman" w:eastAsia="宋体"/>
        <w:b/>
        <w:i w:val="0"/>
        <w:sz w:val="28"/>
      </w:rPr>
    </w:lvl>
    <w:lvl w:ilvl="6">
      <w:start w:val="1"/>
      <w:numFmt w:val="lowerLetter"/>
      <w:pStyle w:val="140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2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bullet"/>
      <w:pStyle w:val="103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0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0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lowerLetter"/>
      <w:pStyle w:val="136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5">
    <w:multiLevelType w:val="hybridMultilevel"/>
    <w:lvl w:ilvl="0">
      <w:start w:val="1"/>
      <w:numFmt w:val="decimal"/>
      <w:pStyle w:val="143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name w:val="Heading 1"/>
    <w:basedOn w:val="958"/>
    <w:next w:val="958"/>
    <w:link w:val="1038"/>
    <w:uiPriority w:val="9"/>
    <w:qFormat/>
    <w:pPr>
      <w:keepLines/>
      <w:keepNext/>
      <w:spacing w:before="480" w:after="200"/>
      <w:outlineLvl w:val="0"/>
    </w:pPr>
    <w:rPr>
      <w:rFonts w:ascii="Arial" w:hAnsi="Arial" w:eastAsia="Arial" w:cs="Arial"/>
      <w:sz w:val="40"/>
      <w:szCs w:val="40"/>
    </w:rPr>
  </w:style>
  <w:style w:type="paragraph" w:styleId="960">
    <w:name w:val="Heading 2"/>
    <w:basedOn w:val="958"/>
    <w:next w:val="958"/>
    <w:link w:val="1039"/>
    <w:uiPriority w:val="9"/>
    <w:unhideWhenUsed/>
    <w:qFormat/>
    <w:pPr>
      <w:keepLines/>
      <w:keepNext/>
      <w:spacing w:before="360" w:after="200"/>
      <w:outlineLvl w:val="1"/>
    </w:pPr>
    <w:rPr>
      <w:rFonts w:ascii="Arial" w:hAnsi="Arial" w:eastAsia="Arial" w:cs="Arial"/>
      <w:sz w:val="34"/>
    </w:rPr>
  </w:style>
  <w:style w:type="paragraph" w:styleId="961">
    <w:name w:val="Heading 3"/>
    <w:basedOn w:val="958"/>
    <w:next w:val="970"/>
    <w:link w:val="1040"/>
    <w:uiPriority w:val="9"/>
    <w:unhideWhenUsed/>
    <w:qFormat/>
    <w:pPr>
      <w:keepLines/>
      <w:keepNext/>
      <w:spacing w:before="320" w:after="200"/>
      <w:outlineLvl w:val="2"/>
    </w:pPr>
    <w:rPr>
      <w:rFonts w:ascii="Arial" w:hAnsi="Arial" w:eastAsia="Arial" w:cs="Arial"/>
      <w:sz w:val="30"/>
      <w:szCs w:val="30"/>
    </w:rPr>
  </w:style>
  <w:style w:type="paragraph" w:styleId="962">
    <w:name w:val="Heading 4"/>
    <w:basedOn w:val="958"/>
    <w:next w:val="958"/>
    <w:link w:val="1041"/>
    <w:uiPriority w:val="9"/>
    <w:unhideWhenUsed/>
    <w:qFormat/>
    <w:pPr>
      <w:keepLines/>
      <w:keepNext/>
      <w:spacing w:before="320" w:after="200"/>
      <w:outlineLvl w:val="3"/>
    </w:pPr>
    <w:rPr>
      <w:rFonts w:ascii="Arial" w:hAnsi="Arial" w:eastAsia="Arial" w:cs="Arial"/>
      <w:b/>
      <w:bCs/>
      <w:sz w:val="26"/>
      <w:szCs w:val="26"/>
    </w:rPr>
  </w:style>
  <w:style w:type="paragraph" w:styleId="963">
    <w:name w:val="Heading 5"/>
    <w:basedOn w:val="958"/>
    <w:next w:val="958"/>
    <w:link w:val="1042"/>
    <w:uiPriority w:val="9"/>
    <w:unhideWhenUsed/>
    <w:qFormat/>
    <w:pPr>
      <w:keepLines/>
      <w:keepNext/>
      <w:spacing w:before="320" w:after="200"/>
      <w:outlineLvl w:val="4"/>
    </w:pPr>
    <w:rPr>
      <w:rFonts w:ascii="Arial" w:hAnsi="Arial" w:eastAsia="Arial" w:cs="Arial"/>
      <w:b/>
      <w:bCs/>
      <w:sz w:val="24"/>
    </w:rPr>
  </w:style>
  <w:style w:type="paragraph" w:styleId="964">
    <w:name w:val="Heading 6"/>
    <w:basedOn w:val="958"/>
    <w:next w:val="958"/>
    <w:link w:val="1043"/>
    <w:uiPriority w:val="9"/>
    <w:unhideWhenUsed/>
    <w:qFormat/>
    <w:pPr>
      <w:keepLines/>
      <w:keepNext/>
      <w:spacing w:before="320" w:after="200"/>
      <w:outlineLvl w:val="5"/>
    </w:pPr>
    <w:rPr>
      <w:rFonts w:ascii="Arial" w:hAnsi="Arial" w:eastAsia="Arial" w:cs="Arial"/>
      <w:b/>
      <w:bCs/>
      <w:sz w:val="22"/>
      <w:szCs w:val="22"/>
    </w:rPr>
  </w:style>
  <w:style w:type="paragraph" w:styleId="965">
    <w:name w:val="Heading 7"/>
    <w:basedOn w:val="958"/>
    <w:next w:val="958"/>
    <w:link w:val="1044"/>
    <w:uiPriority w:val="9"/>
    <w:unhideWhenUsed/>
    <w:qFormat/>
    <w:pPr>
      <w:keepLines/>
      <w:keepNext/>
      <w:spacing w:before="320" w:after="200"/>
      <w:outlineLvl w:val="6"/>
    </w:pPr>
    <w:rPr>
      <w:rFonts w:ascii="Arial" w:hAnsi="Arial" w:eastAsia="Arial" w:cs="Arial"/>
      <w:b/>
      <w:bCs/>
      <w:i/>
      <w:iCs/>
      <w:sz w:val="22"/>
      <w:szCs w:val="22"/>
    </w:rPr>
  </w:style>
  <w:style w:type="paragraph" w:styleId="966">
    <w:name w:val="Heading 8"/>
    <w:basedOn w:val="958"/>
    <w:next w:val="958"/>
    <w:link w:val="1045"/>
    <w:uiPriority w:val="9"/>
    <w:unhideWhenUsed/>
    <w:qFormat/>
    <w:pPr>
      <w:keepLines/>
      <w:keepNext/>
      <w:spacing w:before="320" w:after="200"/>
      <w:outlineLvl w:val="7"/>
    </w:pPr>
    <w:rPr>
      <w:rFonts w:ascii="Arial" w:hAnsi="Arial" w:eastAsia="Arial" w:cs="Arial"/>
      <w:i/>
      <w:iCs/>
      <w:sz w:val="22"/>
      <w:szCs w:val="22"/>
    </w:rPr>
  </w:style>
  <w:style w:type="paragraph" w:styleId="967">
    <w:name w:val="Heading 9"/>
    <w:basedOn w:val="958"/>
    <w:next w:val="958"/>
    <w:link w:val="1046"/>
    <w:uiPriority w:val="9"/>
    <w:unhideWhenUsed/>
    <w:qFormat/>
    <w:pPr>
      <w:keepLines/>
      <w:keepNext/>
      <w:spacing w:before="320" w:after="200"/>
      <w:outlineLvl w:val="8"/>
    </w:pPr>
    <w:rPr>
      <w:rFonts w:ascii="Arial" w:hAnsi="Arial" w:eastAsia="Arial" w:cs="Arial"/>
      <w:i/>
      <w:iCs/>
      <w:szCs w:val="21"/>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Normal Indent"/>
    <w:basedOn w:val="958"/>
    <w:next w:val="958"/>
    <w:uiPriority w:val="0"/>
    <w:qFormat/>
    <w:pPr>
      <w:ind w:firstLine="420"/>
      <w:jc w:val="left"/>
    </w:pPr>
    <w:rPr>
      <w:rFonts w:ascii="宋体"/>
      <w:sz w:val="24"/>
    </w:rPr>
  </w:style>
  <w:style w:type="paragraph" w:styleId="971">
    <w:name w:val="toc 7"/>
    <w:basedOn w:val="958"/>
    <w:next w:val="958"/>
    <w:uiPriority w:val="39"/>
    <w:unhideWhenUsed/>
    <w:qFormat/>
    <w:pPr>
      <w:ind w:left="1701"/>
      <w:spacing w:after="57"/>
    </w:pPr>
  </w:style>
  <w:style w:type="paragraph" w:styleId="972">
    <w:name w:val="Caption"/>
    <w:basedOn w:val="958"/>
    <w:next w:val="9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3">
    <w:name w:val="annotation text"/>
    <w:basedOn w:val="958"/>
    <w:link w:val="1445"/>
    <w:uiPriority w:val="99"/>
    <w:semiHidden/>
    <w:unhideWhenUsed/>
    <w:qFormat/>
    <w:pPr>
      <w:jc w:val="left"/>
    </w:pPr>
  </w:style>
  <w:style w:type="paragraph" w:styleId="974">
    <w:name w:val="Body Text"/>
    <w:basedOn w:val="958"/>
    <w:uiPriority w:val="0"/>
    <w:qFormat/>
    <w:pPr>
      <w:spacing w:before="120" w:line="22" w:lineRule="atLeast"/>
      <w:tabs>
        <w:tab w:val="left" w:pos="567" w:leader="none"/>
      </w:tabs>
    </w:pPr>
    <w:rPr>
      <w:rFonts w:ascii="宋体" w:hAnsi="宋体"/>
      <w:sz w:val="24"/>
    </w:rPr>
  </w:style>
  <w:style w:type="paragraph" w:styleId="975">
    <w:name w:val="toc 5"/>
    <w:basedOn w:val="958"/>
    <w:next w:val="958"/>
    <w:uiPriority w:val="39"/>
    <w:unhideWhenUsed/>
    <w:qFormat/>
    <w:pPr>
      <w:ind w:left="1134"/>
      <w:spacing w:after="57"/>
    </w:pPr>
  </w:style>
  <w:style w:type="paragraph" w:styleId="976">
    <w:name w:val="toc 3"/>
    <w:basedOn w:val="958"/>
    <w:next w:val="958"/>
    <w:uiPriority w:val="39"/>
    <w:unhideWhenUsed/>
    <w:qFormat/>
    <w:pPr>
      <w:ind w:left="567"/>
      <w:spacing w:after="57"/>
    </w:pPr>
  </w:style>
  <w:style w:type="paragraph" w:styleId="977">
    <w:name w:val="toc 8"/>
    <w:basedOn w:val="958"/>
    <w:next w:val="958"/>
    <w:uiPriority w:val="39"/>
    <w:unhideWhenUsed/>
    <w:qFormat/>
    <w:pPr>
      <w:ind w:left="1984"/>
      <w:spacing w:after="57"/>
    </w:pPr>
  </w:style>
  <w:style w:type="paragraph" w:styleId="978">
    <w:name w:val="endnote text"/>
    <w:basedOn w:val="958"/>
    <w:link w:val="1184"/>
    <w:uiPriority w:val="99"/>
    <w:semiHidden/>
    <w:unhideWhenUsed/>
    <w:qFormat/>
    <w:rPr>
      <w:sz w:val="20"/>
    </w:rPr>
  </w:style>
  <w:style w:type="paragraph" w:styleId="979">
    <w:name w:val="Balloon Text"/>
    <w:basedOn w:val="958"/>
    <w:link w:val="1447"/>
    <w:uiPriority w:val="99"/>
    <w:semiHidden/>
    <w:unhideWhenUsed/>
    <w:qFormat/>
    <w:rPr>
      <w:sz w:val="18"/>
      <w:szCs w:val="18"/>
    </w:rPr>
  </w:style>
  <w:style w:type="paragraph" w:styleId="980">
    <w:name w:val="Footer"/>
    <w:basedOn w:val="958"/>
    <w:link w:val="1057"/>
    <w:uiPriority w:val="99"/>
    <w:unhideWhenUsed/>
    <w:qFormat/>
    <w:pPr>
      <w:tabs>
        <w:tab w:val="center" w:pos="7143" w:leader="none"/>
        <w:tab w:val="right" w:pos="14287" w:leader="none"/>
      </w:tabs>
    </w:pPr>
  </w:style>
  <w:style w:type="paragraph" w:styleId="981">
    <w:name w:val="Header"/>
    <w:basedOn w:val="958"/>
    <w:link w:val="1055"/>
    <w:uiPriority w:val="99"/>
    <w:unhideWhenUsed/>
    <w:qFormat/>
    <w:pPr>
      <w:tabs>
        <w:tab w:val="center" w:pos="7143" w:leader="none"/>
        <w:tab w:val="right" w:pos="14287" w:leader="none"/>
      </w:tabs>
    </w:pPr>
  </w:style>
  <w:style w:type="paragraph" w:styleId="982">
    <w:name w:val="toc 1"/>
    <w:basedOn w:val="958"/>
    <w:next w:val="958"/>
    <w:uiPriority w:val="39"/>
    <w:unhideWhenUsed/>
    <w:qFormat/>
    <w:pPr>
      <w:spacing w:after="57"/>
    </w:pPr>
  </w:style>
  <w:style w:type="paragraph" w:styleId="983">
    <w:name w:val="toc 4"/>
    <w:basedOn w:val="958"/>
    <w:next w:val="958"/>
    <w:uiPriority w:val="39"/>
    <w:unhideWhenUsed/>
    <w:qFormat/>
    <w:pPr>
      <w:ind w:left="850"/>
      <w:spacing w:after="57"/>
    </w:pPr>
  </w:style>
  <w:style w:type="paragraph" w:styleId="984">
    <w:name w:val="Subtitle"/>
    <w:basedOn w:val="958"/>
    <w:next w:val="958"/>
    <w:link w:val="1050"/>
    <w:uiPriority w:val="11"/>
    <w:qFormat/>
    <w:pPr>
      <w:spacing w:before="200" w:after="200"/>
    </w:pPr>
    <w:rPr>
      <w:sz w:val="24"/>
    </w:rPr>
  </w:style>
  <w:style w:type="paragraph" w:styleId="985">
    <w:name w:val="footnote text"/>
    <w:basedOn w:val="958"/>
    <w:link w:val="1183"/>
    <w:uiPriority w:val="99"/>
    <w:semiHidden/>
    <w:unhideWhenUsed/>
    <w:qFormat/>
    <w:pPr>
      <w:spacing w:after="40"/>
    </w:pPr>
    <w:rPr>
      <w:sz w:val="18"/>
    </w:rPr>
  </w:style>
  <w:style w:type="paragraph" w:styleId="986">
    <w:name w:val="toc 6"/>
    <w:basedOn w:val="958"/>
    <w:next w:val="958"/>
    <w:uiPriority w:val="39"/>
    <w:unhideWhenUsed/>
    <w:qFormat/>
    <w:pPr>
      <w:ind w:left="1417"/>
      <w:spacing w:after="57"/>
    </w:pPr>
  </w:style>
  <w:style w:type="paragraph" w:styleId="987">
    <w:name w:val="table of figures"/>
    <w:basedOn w:val="958"/>
    <w:next w:val="958"/>
    <w:uiPriority w:val="99"/>
    <w:unhideWhenUsed/>
    <w:qFormat/>
  </w:style>
  <w:style w:type="paragraph" w:styleId="988">
    <w:name w:val="toc 2"/>
    <w:basedOn w:val="958"/>
    <w:next w:val="958"/>
    <w:uiPriority w:val="39"/>
    <w:unhideWhenUsed/>
    <w:qFormat/>
    <w:pPr>
      <w:ind w:left="283"/>
      <w:spacing w:after="57"/>
    </w:pPr>
  </w:style>
  <w:style w:type="paragraph" w:styleId="989">
    <w:name w:val="toc 9"/>
    <w:basedOn w:val="958"/>
    <w:next w:val="958"/>
    <w:uiPriority w:val="39"/>
    <w:unhideWhenUsed/>
    <w:qFormat/>
    <w:pPr>
      <w:ind w:left="2268"/>
      <w:spacing w:after="57"/>
    </w:pPr>
  </w:style>
  <w:style w:type="paragraph" w:styleId="990">
    <w:name w:val="Title"/>
    <w:basedOn w:val="958"/>
    <w:next w:val="958"/>
    <w:link w:val="1049"/>
    <w:uiPriority w:val="10"/>
    <w:qFormat/>
    <w:pPr>
      <w:contextualSpacing/>
      <w:spacing w:before="300" w:after="200"/>
    </w:pPr>
    <w:rPr>
      <w:sz w:val="48"/>
      <w:szCs w:val="48"/>
    </w:rPr>
  </w:style>
  <w:style w:type="paragraph" w:styleId="991">
    <w:name w:val="annotation subject"/>
    <w:basedOn w:val="973"/>
    <w:next w:val="973"/>
    <w:link w:val="1446"/>
    <w:uiPriority w:val="99"/>
    <w:semiHidden/>
    <w:unhideWhenUsed/>
    <w:qFormat/>
    <w:rPr>
      <w:b/>
      <w:bCs/>
    </w:rPr>
  </w:style>
  <w:style w:type="paragraph" w:styleId="992">
    <w:name w:val="Body Text First Indent 2"/>
    <w:basedOn w:val="958"/>
    <w:next w:val="958"/>
    <w:uiPriority w:val="0"/>
    <w:qFormat/>
    <w:pPr>
      <w:ind w:left="420" w:firstLine="420"/>
      <w:spacing w:after="120" w:line="480" w:lineRule="exact"/>
    </w:pPr>
    <w:rPr>
      <w:szCs w:val="20"/>
    </w:rPr>
  </w:style>
  <w:style w:type="table" w:styleId="9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endnote reference"/>
    <w:uiPriority w:val="99"/>
    <w:semiHidden/>
    <w:unhideWhenUsed/>
    <w:qFormat/>
    <w:rPr>
      <w:vertAlign w:val="superscript"/>
    </w:rPr>
  </w:style>
  <w:style w:type="character" w:styleId="995">
    <w:name w:val="Hyperlink"/>
    <w:uiPriority w:val="99"/>
    <w:unhideWhenUsed/>
    <w:qFormat/>
    <w:rPr>
      <w:color w:val="0000ff" w:themeColor="hyperlink"/>
      <w:u w:val="single"/>
      <w14:textFill>
        <w14:solidFill>
          <w14:schemeClr w14:val="hlink"/>
        </w14:solidFill>
      </w14:textFill>
    </w:rPr>
  </w:style>
  <w:style w:type="character" w:styleId="996">
    <w:name w:val="annotation reference"/>
    <w:basedOn w:val="968"/>
    <w:uiPriority w:val="99"/>
    <w:semiHidden/>
    <w:unhideWhenUsed/>
    <w:qFormat/>
    <w:rPr>
      <w:sz w:val="21"/>
      <w:szCs w:val="21"/>
    </w:rPr>
  </w:style>
  <w:style w:type="character" w:styleId="997">
    <w:name w:val="footnote reference"/>
    <w:uiPriority w:val="99"/>
    <w:unhideWhenUsed/>
    <w:qFormat/>
    <w:rPr>
      <w:vertAlign w:val="superscript"/>
    </w:rPr>
  </w:style>
  <w:style w:type="character" w:styleId="998" w:customStyle="1">
    <w:name w:val="Heading 1 Char"/>
    <w:basedOn w:val="968"/>
    <w:uiPriority w:val="9"/>
    <w:qFormat/>
    <w:rPr>
      <w:rFonts w:ascii="Arial" w:hAnsi="Arial" w:eastAsia="Arial" w:cs="Arial"/>
      <w:sz w:val="40"/>
      <w:szCs w:val="40"/>
    </w:rPr>
  </w:style>
  <w:style w:type="character" w:styleId="999" w:customStyle="1">
    <w:name w:val="Heading 2 Char"/>
    <w:basedOn w:val="968"/>
    <w:uiPriority w:val="9"/>
    <w:qFormat/>
    <w:rPr>
      <w:rFonts w:ascii="Arial" w:hAnsi="Arial" w:eastAsia="Arial" w:cs="Arial"/>
      <w:sz w:val="34"/>
    </w:rPr>
  </w:style>
  <w:style w:type="character" w:styleId="1000" w:customStyle="1">
    <w:name w:val="Heading 3 Char"/>
    <w:basedOn w:val="968"/>
    <w:uiPriority w:val="9"/>
    <w:qFormat/>
    <w:rPr>
      <w:rFonts w:ascii="Arial" w:hAnsi="Arial" w:eastAsia="Arial" w:cs="Arial"/>
      <w:sz w:val="30"/>
      <w:szCs w:val="30"/>
    </w:rPr>
  </w:style>
  <w:style w:type="character" w:styleId="1001" w:customStyle="1">
    <w:name w:val="Heading 4 Char"/>
    <w:basedOn w:val="968"/>
    <w:uiPriority w:val="9"/>
    <w:qFormat/>
    <w:rPr>
      <w:rFonts w:ascii="Arial" w:hAnsi="Arial" w:eastAsia="Arial" w:cs="Arial"/>
      <w:b/>
      <w:bCs/>
      <w:sz w:val="26"/>
      <w:szCs w:val="26"/>
    </w:rPr>
  </w:style>
  <w:style w:type="character" w:styleId="1002" w:customStyle="1">
    <w:name w:val="Heading 5 Char"/>
    <w:basedOn w:val="968"/>
    <w:uiPriority w:val="9"/>
    <w:qFormat/>
    <w:rPr>
      <w:rFonts w:ascii="Arial" w:hAnsi="Arial" w:eastAsia="Arial" w:cs="Arial"/>
      <w:b/>
      <w:bCs/>
      <w:sz w:val="24"/>
      <w:szCs w:val="24"/>
    </w:rPr>
  </w:style>
  <w:style w:type="character" w:styleId="1003" w:customStyle="1">
    <w:name w:val="Heading 6 Char"/>
    <w:basedOn w:val="968"/>
    <w:uiPriority w:val="9"/>
    <w:qFormat/>
    <w:rPr>
      <w:rFonts w:ascii="Arial" w:hAnsi="Arial" w:eastAsia="Arial" w:cs="Arial"/>
      <w:b/>
      <w:bCs/>
      <w:sz w:val="22"/>
      <w:szCs w:val="22"/>
    </w:rPr>
  </w:style>
  <w:style w:type="character" w:styleId="1004" w:customStyle="1">
    <w:name w:val="Heading 7 Char"/>
    <w:basedOn w:val="968"/>
    <w:uiPriority w:val="9"/>
    <w:qFormat/>
    <w:rPr>
      <w:rFonts w:ascii="Arial" w:hAnsi="Arial" w:eastAsia="Arial" w:cs="Arial"/>
      <w:b/>
      <w:bCs/>
      <w:i/>
      <w:iCs/>
      <w:sz w:val="22"/>
      <w:szCs w:val="22"/>
    </w:rPr>
  </w:style>
  <w:style w:type="character" w:styleId="1005" w:customStyle="1">
    <w:name w:val="Heading 8 Char"/>
    <w:basedOn w:val="968"/>
    <w:uiPriority w:val="9"/>
    <w:qFormat/>
    <w:rPr>
      <w:rFonts w:ascii="Arial" w:hAnsi="Arial" w:eastAsia="Arial" w:cs="Arial"/>
      <w:i/>
      <w:iCs/>
      <w:sz w:val="22"/>
      <w:szCs w:val="22"/>
    </w:rPr>
  </w:style>
  <w:style w:type="character" w:styleId="1006" w:customStyle="1">
    <w:name w:val="Heading 9 Char"/>
    <w:basedOn w:val="968"/>
    <w:uiPriority w:val="9"/>
    <w:qFormat/>
    <w:rPr>
      <w:rFonts w:ascii="Arial" w:hAnsi="Arial" w:eastAsia="Arial" w:cs="Arial"/>
      <w:i/>
      <w:iCs/>
      <w:sz w:val="21"/>
      <w:szCs w:val="21"/>
    </w:rPr>
  </w:style>
  <w:style w:type="character" w:styleId="1007" w:customStyle="1">
    <w:name w:val="Title Char"/>
    <w:basedOn w:val="968"/>
    <w:uiPriority w:val="10"/>
    <w:qFormat/>
    <w:rPr>
      <w:sz w:val="48"/>
      <w:szCs w:val="48"/>
    </w:rPr>
  </w:style>
  <w:style w:type="character" w:styleId="1008" w:customStyle="1">
    <w:name w:val="Subtitle Char"/>
    <w:basedOn w:val="968"/>
    <w:uiPriority w:val="11"/>
    <w:qFormat/>
    <w:rPr>
      <w:sz w:val="24"/>
      <w:szCs w:val="24"/>
    </w:rPr>
  </w:style>
  <w:style w:type="character" w:styleId="1009" w:customStyle="1">
    <w:name w:val="Quote Char"/>
    <w:uiPriority w:val="29"/>
    <w:qFormat/>
    <w:rPr>
      <w:i/>
    </w:rPr>
  </w:style>
  <w:style w:type="character" w:styleId="1010" w:customStyle="1">
    <w:name w:val="Intense Quote Char"/>
    <w:uiPriority w:val="30"/>
    <w:qFormat/>
    <w:rPr>
      <w:i/>
    </w:rPr>
  </w:style>
  <w:style w:type="character" w:styleId="1011" w:customStyle="1">
    <w:name w:val="Header Char"/>
    <w:basedOn w:val="968"/>
    <w:uiPriority w:val="99"/>
    <w:qFormat/>
  </w:style>
  <w:style w:type="character" w:styleId="1012" w:customStyle="1">
    <w:name w:val="Caption Char"/>
    <w:uiPriority w:val="99"/>
    <w:qFormat/>
  </w:style>
  <w:style w:type="table" w:styleId="1013" w:customStyle="1">
    <w:name w:val="Plain Table 1"/>
    <w:basedOn w:val="9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2"/>
    <w:basedOn w:val="9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3"/>
    <w:basedOn w:val="9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6" w:customStyle="1">
    <w:name w:val="Plain Table 4"/>
    <w:basedOn w:val="9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7" w:customStyle="1">
    <w:name w:val="Plain Table 5"/>
    <w:basedOn w:val="9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8" w:customStyle="1">
    <w:name w:val="Grid Table 1 Light"/>
    <w:basedOn w:val="9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2"/>
    <w:basedOn w:val="9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3"/>
    <w:basedOn w:val="9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4"/>
    <w:basedOn w:val="9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5 Dark"/>
    <w:basedOn w:val="9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6 Colorful"/>
    <w:basedOn w:val="9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7 Colorful"/>
    <w:basedOn w:val="9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1 Light"/>
    <w:basedOn w:val="9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2"/>
    <w:basedOn w:val="9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3"/>
    <w:basedOn w:val="9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w:basedOn w:val="9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5 Dark"/>
    <w:basedOn w:val="9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basedOn w:val="9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7 Colorful"/>
    <w:basedOn w:val="9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Heading"/>
    <w:uiPriority w:val="39"/>
    <w:unhideWhenUsed/>
    <w:qFormat/>
    <w:rPr>
      <w:rFonts w:hint="default" w:ascii="Times New Roman" w:hAnsi="Times New Roman" w:eastAsia="宋体" w:cs="Times New Roman"/>
    </w:rPr>
  </w:style>
  <w:style w:type="paragraph" w:styleId="1035" w:customStyle="1">
    <w:name w:val="正文文本11"/>
    <w:basedOn w:val="958"/>
    <w:next w:val="1036"/>
    <w:uiPriority w:val="0"/>
    <w:qFormat/>
    <w:pPr>
      <w:spacing w:before="120" w:line="22" w:lineRule="atLeast"/>
      <w:tabs>
        <w:tab w:val="left" w:pos="567" w:leader="none"/>
      </w:tabs>
    </w:pPr>
    <w:rPr>
      <w:rFonts w:ascii="宋体" w:hAnsi="宋体"/>
      <w:sz w:val="24"/>
    </w:rPr>
  </w:style>
  <w:style w:type="paragraph" w:styleId="1036" w:customStyle="1">
    <w:name w:val="列表项目符号 51"/>
    <w:basedOn w:val="958"/>
    <w:uiPriority w:val="0"/>
    <w:qFormat/>
    <w:pPr>
      <w:numPr>
        <w:ilvl w:val="0"/>
        <w:numId w:val="1"/>
      </w:numPr>
    </w:pPr>
  </w:style>
  <w:style w:type="paragraph" w:styleId="103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38" w:customStyle="1">
    <w:name w:val="标题 1 字符"/>
    <w:link w:val="959"/>
    <w:uiPriority w:val="9"/>
    <w:qFormat/>
    <w:rPr>
      <w:rFonts w:ascii="Arial" w:hAnsi="Arial" w:eastAsia="Arial" w:cs="Arial"/>
      <w:sz w:val="40"/>
      <w:szCs w:val="40"/>
    </w:rPr>
  </w:style>
  <w:style w:type="character" w:styleId="1039" w:customStyle="1">
    <w:name w:val="标题 2 字符"/>
    <w:link w:val="960"/>
    <w:uiPriority w:val="9"/>
    <w:qFormat/>
    <w:rPr>
      <w:rFonts w:ascii="Arial" w:hAnsi="Arial" w:eastAsia="Arial" w:cs="Arial"/>
      <w:sz w:val="34"/>
    </w:rPr>
  </w:style>
  <w:style w:type="character" w:styleId="1040" w:customStyle="1">
    <w:name w:val="标题 3 字符"/>
    <w:link w:val="961"/>
    <w:uiPriority w:val="9"/>
    <w:qFormat/>
    <w:rPr>
      <w:rFonts w:ascii="Arial" w:hAnsi="Arial" w:eastAsia="Arial" w:cs="Arial"/>
      <w:sz w:val="30"/>
      <w:szCs w:val="30"/>
    </w:rPr>
  </w:style>
  <w:style w:type="character" w:styleId="1041" w:customStyle="1">
    <w:name w:val="标题 4 字符"/>
    <w:link w:val="962"/>
    <w:uiPriority w:val="9"/>
    <w:qFormat/>
    <w:rPr>
      <w:rFonts w:ascii="Arial" w:hAnsi="Arial" w:eastAsia="Arial" w:cs="Arial"/>
      <w:b/>
      <w:bCs/>
      <w:sz w:val="26"/>
      <w:szCs w:val="26"/>
    </w:rPr>
  </w:style>
  <w:style w:type="character" w:styleId="1042" w:customStyle="1">
    <w:name w:val="标题 5 字符"/>
    <w:link w:val="963"/>
    <w:uiPriority w:val="9"/>
    <w:qFormat/>
    <w:rPr>
      <w:rFonts w:ascii="Arial" w:hAnsi="Arial" w:eastAsia="Arial" w:cs="Arial"/>
      <w:b/>
      <w:bCs/>
      <w:sz w:val="24"/>
      <w:szCs w:val="24"/>
    </w:rPr>
  </w:style>
  <w:style w:type="character" w:styleId="1043" w:customStyle="1">
    <w:name w:val="标题 6 字符"/>
    <w:link w:val="964"/>
    <w:uiPriority w:val="9"/>
    <w:qFormat/>
    <w:rPr>
      <w:rFonts w:ascii="Arial" w:hAnsi="Arial" w:eastAsia="Arial" w:cs="Arial"/>
      <w:b/>
      <w:bCs/>
      <w:sz w:val="22"/>
      <w:szCs w:val="22"/>
    </w:rPr>
  </w:style>
  <w:style w:type="character" w:styleId="1044" w:customStyle="1">
    <w:name w:val="标题 7 字符"/>
    <w:link w:val="965"/>
    <w:uiPriority w:val="9"/>
    <w:qFormat/>
    <w:rPr>
      <w:rFonts w:ascii="Arial" w:hAnsi="Arial" w:eastAsia="Arial" w:cs="Arial"/>
      <w:b/>
      <w:bCs/>
      <w:i/>
      <w:iCs/>
      <w:sz w:val="22"/>
      <w:szCs w:val="22"/>
    </w:rPr>
  </w:style>
  <w:style w:type="character" w:styleId="1045" w:customStyle="1">
    <w:name w:val="标题 8 字符"/>
    <w:link w:val="966"/>
    <w:uiPriority w:val="9"/>
    <w:qFormat/>
    <w:rPr>
      <w:rFonts w:ascii="Arial" w:hAnsi="Arial" w:eastAsia="Arial" w:cs="Arial"/>
      <w:i/>
      <w:iCs/>
      <w:sz w:val="22"/>
      <w:szCs w:val="22"/>
    </w:rPr>
  </w:style>
  <w:style w:type="character" w:styleId="1046" w:customStyle="1">
    <w:name w:val="标题 9 字符"/>
    <w:link w:val="967"/>
    <w:uiPriority w:val="9"/>
    <w:qFormat/>
    <w:rPr>
      <w:rFonts w:ascii="Arial" w:hAnsi="Arial" w:eastAsia="Arial" w:cs="Arial"/>
      <w:i/>
      <w:iCs/>
      <w:sz w:val="21"/>
      <w:szCs w:val="21"/>
    </w:rPr>
  </w:style>
  <w:style w:type="paragraph" w:styleId="1047">
    <w:name w:val="List Paragraph"/>
    <w:basedOn w:val="958"/>
    <w:uiPriority w:val="34"/>
    <w:qFormat/>
    <w:pPr>
      <w:contextualSpacing/>
      <w:ind w:left="720"/>
    </w:pPr>
  </w:style>
  <w:style w:type="paragraph" w:styleId="1048">
    <w:name w:val="No Spacing"/>
    <w:uiPriority w:val="1"/>
    <w:qFormat/>
    <w:rPr>
      <w:rFonts w:hint="default" w:ascii="Times New Roman" w:hAnsi="Times New Roman" w:eastAsia="宋体" w:cs="Times New Roman"/>
      <w:lang w:val="en-US" w:eastAsia="zh-CN" w:bidi="ar-SA"/>
    </w:rPr>
  </w:style>
  <w:style w:type="character" w:styleId="1049" w:customStyle="1">
    <w:name w:val="标题 字符"/>
    <w:link w:val="990"/>
    <w:uiPriority w:val="10"/>
    <w:qFormat/>
    <w:rPr>
      <w:sz w:val="48"/>
      <w:szCs w:val="48"/>
    </w:rPr>
  </w:style>
  <w:style w:type="character" w:styleId="1050" w:customStyle="1">
    <w:name w:val="副标题 字符"/>
    <w:link w:val="984"/>
    <w:uiPriority w:val="11"/>
    <w:qFormat/>
    <w:rPr>
      <w:sz w:val="24"/>
      <w:szCs w:val="24"/>
    </w:rPr>
  </w:style>
  <w:style w:type="paragraph" w:styleId="1051">
    <w:name w:val="Quote"/>
    <w:basedOn w:val="958"/>
    <w:next w:val="958"/>
    <w:link w:val="1052"/>
    <w:uiPriority w:val="29"/>
    <w:qFormat/>
    <w:pPr>
      <w:ind w:left="720" w:right="720"/>
    </w:pPr>
    <w:rPr>
      <w:i/>
    </w:rPr>
  </w:style>
  <w:style w:type="character" w:styleId="1052" w:customStyle="1">
    <w:name w:val="引用 字符"/>
    <w:link w:val="1051"/>
    <w:uiPriority w:val="29"/>
    <w:qFormat/>
    <w:rPr>
      <w:i/>
    </w:rPr>
  </w:style>
  <w:style w:type="paragraph" w:styleId="1053">
    <w:name w:val="Intense Quote"/>
    <w:basedOn w:val="958"/>
    <w:next w:val="958"/>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customStyle="1">
    <w:name w:val="明显引用 字符"/>
    <w:link w:val="1053"/>
    <w:uiPriority w:val="30"/>
    <w:qFormat/>
    <w:rPr>
      <w:i/>
    </w:rPr>
  </w:style>
  <w:style w:type="character" w:styleId="1055" w:customStyle="1">
    <w:name w:val="页眉 字符"/>
    <w:link w:val="981"/>
    <w:uiPriority w:val="99"/>
    <w:qFormat/>
  </w:style>
  <w:style w:type="character" w:styleId="1056" w:customStyle="1">
    <w:name w:val="Footer Char"/>
    <w:uiPriority w:val="99"/>
    <w:qFormat/>
  </w:style>
  <w:style w:type="character" w:styleId="1057" w:customStyle="1">
    <w:name w:val="页脚 字符"/>
    <w:link w:val="980"/>
    <w:uiPriority w:val="99"/>
    <w:qFormat/>
  </w:style>
  <w:style w:type="table" w:styleId="10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3" w:customStyle="1">
    <w:name w:val="脚注文本 字符"/>
    <w:link w:val="985"/>
    <w:uiPriority w:val="99"/>
    <w:qFormat/>
    <w:rPr>
      <w:sz w:val="18"/>
    </w:rPr>
  </w:style>
  <w:style w:type="character" w:styleId="1184" w:customStyle="1">
    <w:name w:val="尾注文本 字符"/>
    <w:link w:val="978"/>
    <w:uiPriority w:val="99"/>
    <w:qFormat/>
    <w:rPr>
      <w:sz w:val="20"/>
    </w:rPr>
  </w:style>
  <w:style w:type="paragraph" w:styleId="1185" w:customStyle="1">
    <w:name w:val="TOC 标题1"/>
    <w:uiPriority w:val="39"/>
    <w:unhideWhenUsed/>
    <w:qFormat/>
    <w:rPr>
      <w:rFonts w:hint="default" w:ascii="Times New Roman" w:hAnsi="Times New Roman" w:eastAsia="宋体" w:cs="Times New Roman"/>
      <w:lang w:val="en-US" w:eastAsia="zh-CN" w:bidi="ar-SA"/>
    </w:rPr>
  </w:style>
  <w:style w:type="paragraph" w:styleId="1186" w:customStyle="1">
    <w:name w:val="标题 11"/>
    <w:basedOn w:val="958"/>
    <w:next w:val="958"/>
    <w:link w:val="1200"/>
    <w:uiPriority w:val="0"/>
    <w:qFormat/>
    <w:pPr>
      <w:jc w:val="center"/>
      <w:keepLines/>
      <w:keepNext/>
      <w:spacing w:before="240" w:after="120" w:line="300" w:lineRule="auto"/>
      <w:outlineLvl w:val="0"/>
    </w:pPr>
    <w:rPr>
      <w:rFonts w:ascii="宋体"/>
      <w:b/>
      <w:sz w:val="32"/>
      <w:szCs w:val="20"/>
    </w:rPr>
  </w:style>
  <w:style w:type="paragraph" w:styleId="1187" w:customStyle="1">
    <w:name w:val="标题 21"/>
    <w:basedOn w:val="958"/>
    <w:next w:val="1188"/>
    <w:link w:val="1201"/>
    <w:uiPriority w:val="0"/>
    <w:qFormat/>
    <w:pPr>
      <w:jc w:val="center"/>
      <w:keepLines/>
      <w:keepNext/>
      <w:spacing w:before="120" w:line="300" w:lineRule="auto"/>
      <w:outlineLvl w:val="1"/>
    </w:pPr>
    <w:rPr>
      <w:rFonts w:ascii="Arial" w:hAnsi="Arial" w:eastAsia="黑体"/>
      <w:b/>
      <w:sz w:val="30"/>
      <w:szCs w:val="20"/>
    </w:rPr>
  </w:style>
  <w:style w:type="paragraph" w:styleId="1188" w:customStyle="1">
    <w:name w:val="正文缩进11"/>
    <w:basedOn w:val="958"/>
    <w:next w:val="958"/>
    <w:link w:val="1202"/>
    <w:uiPriority w:val="0"/>
    <w:qFormat/>
    <w:pPr>
      <w:ind w:firstLine="420"/>
      <w:jc w:val="left"/>
    </w:pPr>
    <w:rPr>
      <w:rFonts w:ascii="宋体"/>
      <w:sz w:val="24"/>
    </w:rPr>
  </w:style>
  <w:style w:type="paragraph" w:styleId="1189" w:customStyle="1">
    <w:name w:val="标题 31"/>
    <w:basedOn w:val="958"/>
    <w:next w:val="958"/>
    <w:link w:val="1203"/>
    <w:uiPriority w:val="0"/>
    <w:qFormat/>
    <w:pPr>
      <w:jc w:val="left"/>
      <w:keepLines/>
      <w:keepNext/>
      <w:spacing w:before="360" w:after="120"/>
      <w:outlineLvl w:val="2"/>
    </w:pPr>
    <w:rPr>
      <w:rFonts w:ascii="宋体"/>
      <w:b/>
      <w:sz w:val="24"/>
      <w:szCs w:val="20"/>
      <w:u w:val="single"/>
    </w:rPr>
  </w:style>
  <w:style w:type="paragraph" w:styleId="1190" w:customStyle="1">
    <w:name w:val="标题 41"/>
    <w:basedOn w:val="958"/>
    <w:next w:val="1188"/>
    <w:link w:val="1204"/>
    <w:uiPriority w:val="0"/>
    <w:qFormat/>
    <w:pPr>
      <w:keepLines/>
      <w:keepNext/>
      <w:spacing w:before="280" w:after="290" w:line="376" w:lineRule="atLeast"/>
      <w:outlineLvl w:val="3"/>
    </w:pPr>
    <w:rPr>
      <w:rFonts w:ascii="Arial" w:hAnsi="Arial" w:eastAsia="黑体"/>
      <w:b/>
      <w:sz w:val="28"/>
      <w:szCs w:val="20"/>
    </w:rPr>
  </w:style>
  <w:style w:type="paragraph" w:styleId="1191" w:customStyle="1">
    <w:name w:val="标题 51"/>
    <w:basedOn w:val="958"/>
    <w:next w:val="958"/>
    <w:link w:val="1205"/>
    <w:uiPriority w:val="0"/>
    <w:qFormat/>
    <w:pPr>
      <w:keepLines/>
      <w:keepNext/>
      <w:spacing w:before="280" w:after="290" w:line="376" w:lineRule="atLeast"/>
      <w:outlineLvl w:val="4"/>
    </w:pPr>
    <w:rPr>
      <w:b/>
      <w:sz w:val="28"/>
      <w:szCs w:val="20"/>
    </w:rPr>
  </w:style>
  <w:style w:type="paragraph" w:styleId="1192" w:customStyle="1">
    <w:name w:val="标题 61"/>
    <w:basedOn w:val="958"/>
    <w:next w:val="958"/>
    <w:link w:val="1206"/>
    <w:uiPriority w:val="0"/>
    <w:qFormat/>
    <w:pPr>
      <w:keepLines/>
      <w:keepNext/>
      <w:spacing w:before="240" w:after="64" w:line="320" w:lineRule="atLeast"/>
      <w:outlineLvl w:val="5"/>
    </w:pPr>
    <w:rPr>
      <w:rFonts w:ascii="Arial" w:hAnsi="Arial" w:eastAsia="黑体"/>
      <w:b/>
      <w:sz w:val="24"/>
      <w:szCs w:val="20"/>
    </w:rPr>
  </w:style>
  <w:style w:type="paragraph" w:styleId="1193" w:customStyle="1">
    <w:name w:val="标题 71"/>
    <w:basedOn w:val="958"/>
    <w:next w:val="958"/>
    <w:link w:val="1207"/>
    <w:uiPriority w:val="0"/>
    <w:qFormat/>
    <w:pPr>
      <w:keepLines/>
      <w:keepNext/>
      <w:spacing w:before="240" w:after="64" w:line="320" w:lineRule="atLeast"/>
      <w:outlineLvl w:val="6"/>
    </w:pPr>
    <w:rPr>
      <w:b/>
      <w:sz w:val="24"/>
      <w:szCs w:val="20"/>
    </w:rPr>
  </w:style>
  <w:style w:type="paragraph" w:styleId="1194" w:customStyle="1">
    <w:name w:val="标题 81"/>
    <w:basedOn w:val="958"/>
    <w:next w:val="958"/>
    <w:link w:val="1208"/>
    <w:uiPriority w:val="0"/>
    <w:qFormat/>
    <w:pPr>
      <w:keepLines/>
      <w:keepNext/>
      <w:spacing w:before="240" w:after="64" w:line="320" w:lineRule="atLeast"/>
      <w:outlineLvl w:val="7"/>
    </w:pPr>
    <w:rPr>
      <w:rFonts w:ascii="Arial" w:hAnsi="Arial" w:eastAsia="黑体"/>
      <w:sz w:val="24"/>
      <w:szCs w:val="20"/>
    </w:rPr>
  </w:style>
  <w:style w:type="paragraph" w:styleId="1195" w:customStyle="1">
    <w:name w:val="标题 91"/>
    <w:basedOn w:val="958"/>
    <w:next w:val="958"/>
    <w:link w:val="1209"/>
    <w:uiPriority w:val="0"/>
    <w:qFormat/>
    <w:pPr>
      <w:keepLines/>
      <w:keepNext/>
      <w:spacing w:before="240" w:after="64" w:line="320" w:lineRule="atLeast"/>
      <w:outlineLvl w:val="8"/>
    </w:pPr>
    <w:rPr>
      <w:rFonts w:ascii="Arial" w:hAnsi="Arial" w:eastAsia="黑体"/>
      <w:szCs w:val="20"/>
    </w:rPr>
  </w:style>
  <w:style w:type="character" w:styleId="1196" w:customStyle="1">
    <w:name w:val="默认段落字体1"/>
    <w:uiPriority w:val="1"/>
    <w:unhideWhenUsed/>
    <w:qFormat/>
  </w:style>
  <w:style w:type="table" w:styleId="1197" w:customStyle="1">
    <w:name w:val="普通表格1"/>
    <w:uiPriority w:val="99"/>
    <w:unhideWhenUsed/>
    <w:qFormat/>
    <w:tblPr>
      <w:tblCellMar>
        <w:left w:w="0" w:type="dxa"/>
        <w:top w:w="0" w:type="dxa"/>
        <w:right w:w="0" w:type="dxa"/>
        <w:bottom w:w="0" w:type="dxa"/>
      </w:tblCellMar>
    </w:tblPr>
  </w:style>
  <w:style w:type="paragraph" w:styleId="1198" w:customStyle="1">
    <w:name w:val="正文文本1"/>
    <w:basedOn w:val="958"/>
    <w:next w:val="958"/>
    <w:link w:val="1199"/>
    <w:uiPriority w:val="0"/>
    <w:qFormat/>
    <w:pPr>
      <w:spacing w:before="120" w:line="22" w:lineRule="atLeast"/>
      <w:tabs>
        <w:tab w:val="left" w:pos="567" w:leader="none"/>
      </w:tabs>
    </w:pPr>
    <w:rPr>
      <w:rFonts w:ascii="宋体" w:hAnsi="宋体"/>
      <w:sz w:val="24"/>
    </w:rPr>
  </w:style>
  <w:style w:type="character" w:styleId="1199" w:customStyle="1">
    <w:name w:val="正文文本 Char"/>
    <w:basedOn w:val="1196"/>
    <w:link w:val="1198"/>
    <w:uiPriority w:val="0"/>
    <w:qFormat/>
    <w:rPr>
      <w:rFonts w:ascii="宋体" w:hAnsi="宋体"/>
      <w:sz w:val="24"/>
      <w:szCs w:val="24"/>
    </w:rPr>
  </w:style>
  <w:style w:type="character" w:styleId="1200" w:customStyle="1">
    <w:name w:val="标题 1 Char"/>
    <w:basedOn w:val="1196"/>
    <w:link w:val="1186"/>
    <w:uiPriority w:val="0"/>
    <w:qFormat/>
    <w:rPr>
      <w:rFonts w:ascii="宋体"/>
      <w:b/>
      <w:sz w:val="32"/>
    </w:rPr>
  </w:style>
  <w:style w:type="character" w:styleId="1201" w:customStyle="1">
    <w:name w:val="标题 2 Char1"/>
    <w:link w:val="1187"/>
    <w:uiPriority w:val="0"/>
    <w:qFormat/>
    <w:rPr>
      <w:rFonts w:ascii="Arial" w:hAnsi="Arial" w:eastAsia="黑体"/>
      <w:b/>
      <w:sz w:val="30"/>
      <w:lang w:val="en-US" w:eastAsia="zh-CN" w:bidi="ar-SA"/>
    </w:rPr>
  </w:style>
  <w:style w:type="character" w:styleId="1202" w:customStyle="1">
    <w:name w:val="正文缩进 Char1"/>
    <w:link w:val="1188"/>
    <w:uiPriority w:val="0"/>
    <w:qFormat/>
    <w:rPr>
      <w:rFonts w:ascii="宋体" w:eastAsia="宋体"/>
      <w:sz w:val="24"/>
      <w:szCs w:val="24"/>
      <w:lang w:val="en-US" w:eastAsia="zh-CN" w:bidi="ar-SA"/>
    </w:rPr>
  </w:style>
  <w:style w:type="character" w:styleId="1203" w:customStyle="1">
    <w:name w:val="标题 3 Char1"/>
    <w:link w:val="1189"/>
    <w:uiPriority w:val="0"/>
    <w:qFormat/>
    <w:rPr>
      <w:rFonts w:ascii="宋体" w:eastAsia="宋体"/>
      <w:b/>
      <w:sz w:val="24"/>
      <w:u w:val="single"/>
      <w:lang w:val="en-US" w:eastAsia="zh-CN" w:bidi="ar-SA"/>
    </w:rPr>
  </w:style>
  <w:style w:type="character" w:styleId="1204" w:customStyle="1">
    <w:name w:val="标题 4 Char"/>
    <w:basedOn w:val="1196"/>
    <w:link w:val="1190"/>
    <w:uiPriority w:val="0"/>
    <w:qFormat/>
    <w:rPr>
      <w:rFonts w:ascii="Arial" w:hAnsi="Arial" w:eastAsia="黑体"/>
      <w:b/>
      <w:sz w:val="28"/>
    </w:rPr>
  </w:style>
  <w:style w:type="character" w:styleId="1205" w:customStyle="1">
    <w:name w:val="标题 5 Char"/>
    <w:basedOn w:val="1196"/>
    <w:link w:val="1191"/>
    <w:uiPriority w:val="0"/>
    <w:qFormat/>
    <w:rPr>
      <w:b/>
      <w:sz w:val="28"/>
    </w:rPr>
  </w:style>
  <w:style w:type="character" w:styleId="1206" w:customStyle="1">
    <w:name w:val="标题 6 Char"/>
    <w:basedOn w:val="1196"/>
    <w:link w:val="1192"/>
    <w:uiPriority w:val="0"/>
    <w:qFormat/>
    <w:rPr>
      <w:rFonts w:ascii="Arial" w:hAnsi="Arial" w:eastAsia="黑体"/>
      <w:b/>
      <w:sz w:val="24"/>
    </w:rPr>
  </w:style>
  <w:style w:type="character" w:styleId="1207" w:customStyle="1">
    <w:name w:val="标题 7 Char"/>
    <w:basedOn w:val="1196"/>
    <w:link w:val="1193"/>
    <w:uiPriority w:val="0"/>
    <w:qFormat/>
    <w:rPr>
      <w:b/>
      <w:sz w:val="24"/>
    </w:rPr>
  </w:style>
  <w:style w:type="character" w:styleId="1208" w:customStyle="1">
    <w:name w:val="标题 8 Char"/>
    <w:basedOn w:val="1196"/>
    <w:link w:val="1194"/>
    <w:uiPriority w:val="0"/>
    <w:qFormat/>
    <w:rPr>
      <w:rFonts w:ascii="Arial" w:hAnsi="Arial" w:eastAsia="黑体"/>
      <w:sz w:val="24"/>
    </w:rPr>
  </w:style>
  <w:style w:type="character" w:styleId="1209" w:customStyle="1">
    <w:name w:val="标题 9 Char"/>
    <w:basedOn w:val="1196"/>
    <w:link w:val="1195"/>
    <w:uiPriority w:val="0"/>
    <w:qFormat/>
    <w:rPr>
      <w:rFonts w:ascii="Arial" w:hAnsi="Arial" w:eastAsia="黑体"/>
      <w:sz w:val="21"/>
    </w:rPr>
  </w:style>
  <w:style w:type="paragraph" w:styleId="1210" w:customStyle="1">
    <w:name w:val="目录 71"/>
    <w:basedOn w:val="958"/>
    <w:next w:val="958"/>
    <w:uiPriority w:val="0"/>
    <w:qFormat/>
    <w:pPr>
      <w:ind w:left="2520"/>
    </w:pPr>
  </w:style>
  <w:style w:type="paragraph" w:styleId="1211" w:customStyle="1">
    <w:name w:val="题注1"/>
    <w:basedOn w:val="958"/>
    <w:next w:val="958"/>
    <w:uiPriority w:val="0"/>
    <w:qFormat/>
    <w:pPr>
      <w:spacing w:line="480" w:lineRule="auto"/>
    </w:pPr>
    <w:rPr>
      <w:rFonts w:ascii="华文中宋" w:hAnsi="华文中宋" w:eastAsia="华文中宋"/>
      <w:sz w:val="36"/>
      <w:szCs w:val="20"/>
    </w:rPr>
  </w:style>
  <w:style w:type="paragraph" w:styleId="1212" w:customStyle="1">
    <w:name w:val="文档结构图1"/>
    <w:basedOn w:val="958"/>
    <w:link w:val="1213"/>
    <w:uiPriority w:val="0"/>
    <w:qFormat/>
    <w:pPr>
      <w:shd w:val="clear" w:color="auto" w:fill="000080"/>
    </w:pPr>
  </w:style>
  <w:style w:type="character" w:styleId="1213" w:customStyle="1">
    <w:name w:val="文档结构图 Char"/>
    <w:basedOn w:val="1196"/>
    <w:link w:val="1212"/>
    <w:uiPriority w:val="0"/>
    <w:qFormat/>
    <w:rPr>
      <w:sz w:val="21"/>
      <w:szCs w:val="24"/>
      <w:shd w:val="clear" w:color="auto" w:fill="000080"/>
    </w:rPr>
  </w:style>
  <w:style w:type="paragraph" w:styleId="1214" w:customStyle="1">
    <w:name w:val="批注文字1"/>
    <w:basedOn w:val="958"/>
    <w:link w:val="1215"/>
    <w:uiPriority w:val="99"/>
    <w:qFormat/>
    <w:pPr>
      <w:jc w:val="left"/>
    </w:pPr>
  </w:style>
  <w:style w:type="character" w:styleId="1215" w:customStyle="1">
    <w:name w:val="批注文字 Char1"/>
    <w:link w:val="1214"/>
    <w:uiPriority w:val="99"/>
    <w:qFormat/>
    <w:rPr>
      <w:sz w:val="21"/>
      <w:szCs w:val="24"/>
    </w:rPr>
  </w:style>
  <w:style w:type="paragraph" w:styleId="1216" w:customStyle="1">
    <w:name w:val="正文文本 31"/>
    <w:basedOn w:val="958"/>
    <w:link w:val="1217"/>
    <w:uiPriority w:val="0"/>
    <w:qFormat/>
    <w:pPr>
      <w:spacing w:after="120"/>
    </w:pPr>
    <w:rPr>
      <w:sz w:val="16"/>
      <w:szCs w:val="16"/>
    </w:rPr>
  </w:style>
  <w:style w:type="character" w:styleId="1217" w:customStyle="1">
    <w:name w:val="正文文本 3 Char"/>
    <w:basedOn w:val="1196"/>
    <w:link w:val="1216"/>
    <w:uiPriority w:val="0"/>
    <w:qFormat/>
    <w:rPr>
      <w:sz w:val="16"/>
      <w:szCs w:val="16"/>
    </w:rPr>
  </w:style>
  <w:style w:type="paragraph" w:styleId="1218" w:customStyle="1">
    <w:name w:val="正文文本缩进11"/>
    <w:basedOn w:val="958"/>
    <w:link w:val="1219"/>
    <w:uiPriority w:val="0"/>
    <w:qFormat/>
    <w:pPr>
      <w:ind w:firstLine="570"/>
      <w:spacing w:line="360" w:lineRule="auto"/>
    </w:pPr>
    <w:rPr>
      <w:sz w:val="24"/>
    </w:rPr>
  </w:style>
  <w:style w:type="character" w:styleId="1219" w:customStyle="1">
    <w:name w:val="正文文本缩进 Char2"/>
    <w:link w:val="1218"/>
    <w:uiPriority w:val="0"/>
    <w:qFormat/>
    <w:rPr>
      <w:rFonts w:eastAsia="宋体"/>
      <w:sz w:val="24"/>
      <w:szCs w:val="24"/>
      <w:lang w:val="en-US" w:eastAsia="zh-CN" w:bidi="ar-SA"/>
    </w:rPr>
  </w:style>
  <w:style w:type="paragraph" w:styleId="1220" w:customStyle="1">
    <w:name w:val="列表 21"/>
    <w:basedOn w:val="958"/>
    <w:uiPriority w:val="0"/>
    <w:qFormat/>
    <w:pPr>
      <w:ind w:left="100" w:hanging="200"/>
    </w:pPr>
  </w:style>
  <w:style w:type="paragraph" w:styleId="1221" w:customStyle="1">
    <w:name w:val="文本块1"/>
    <w:basedOn w:val="958"/>
    <w:uiPriority w:val="0"/>
    <w:qFormat/>
    <w:pPr>
      <w:ind w:left="480" w:right="-341" w:firstLine="513"/>
      <w:widowControl/>
    </w:pPr>
    <w:rPr>
      <w:sz w:val="24"/>
      <w:szCs w:val="20"/>
    </w:rPr>
  </w:style>
  <w:style w:type="paragraph" w:styleId="1222" w:customStyle="1">
    <w:name w:val="目录 51"/>
    <w:basedOn w:val="958"/>
    <w:next w:val="958"/>
    <w:uiPriority w:val="0"/>
    <w:qFormat/>
    <w:pPr>
      <w:ind w:left="1680"/>
    </w:pPr>
  </w:style>
  <w:style w:type="paragraph" w:styleId="1223" w:customStyle="1">
    <w:name w:val="目录 31"/>
    <w:basedOn w:val="958"/>
    <w:next w:val="958"/>
    <w:uiPriority w:val="39"/>
    <w:qFormat/>
    <w:pPr>
      <w:ind w:left="840"/>
    </w:pPr>
  </w:style>
  <w:style w:type="paragraph" w:styleId="1224" w:customStyle="1">
    <w:name w:val="纯文本11"/>
    <w:basedOn w:val="958"/>
    <w:next w:val="1188"/>
    <w:link w:val="1225"/>
    <w:uiPriority w:val="0"/>
    <w:qFormat/>
    <w:rPr>
      <w:rFonts w:hint="eastAsia" w:ascii="宋体" w:hAnsi="Courier New"/>
      <w:szCs w:val="20"/>
    </w:rPr>
  </w:style>
  <w:style w:type="character" w:styleId="1225" w:customStyle="1">
    <w:name w:val="纯文本 Char"/>
    <w:basedOn w:val="1196"/>
    <w:link w:val="1224"/>
    <w:uiPriority w:val="0"/>
    <w:qFormat/>
    <w:rPr>
      <w:rFonts w:hint="eastAsia" w:ascii="宋体" w:hAnsi="Courier New" w:eastAsia="宋体" w:cs="宋体"/>
      <w:sz w:val="21"/>
    </w:rPr>
  </w:style>
  <w:style w:type="paragraph" w:styleId="1226" w:customStyle="1">
    <w:name w:val="目录 81"/>
    <w:basedOn w:val="958"/>
    <w:next w:val="958"/>
    <w:uiPriority w:val="0"/>
    <w:qFormat/>
    <w:pPr>
      <w:ind w:left="2940"/>
    </w:pPr>
  </w:style>
  <w:style w:type="paragraph" w:styleId="1227" w:customStyle="1">
    <w:name w:val="日期1"/>
    <w:basedOn w:val="958"/>
    <w:next w:val="958"/>
    <w:link w:val="1228"/>
    <w:uiPriority w:val="0"/>
    <w:qFormat/>
    <w:pPr>
      <w:ind w:left="100"/>
    </w:pPr>
    <w:rPr>
      <w:rFonts w:ascii="仿宋_GB2312" w:hAnsi="宋体" w:eastAsia="仿宋_GB2312"/>
      <w:color w:val="000000"/>
      <w:sz w:val="24"/>
    </w:rPr>
  </w:style>
  <w:style w:type="character" w:styleId="1228" w:customStyle="1">
    <w:name w:val="日期 Char"/>
    <w:basedOn w:val="1196"/>
    <w:link w:val="1227"/>
    <w:uiPriority w:val="0"/>
    <w:qFormat/>
    <w:rPr>
      <w:rFonts w:ascii="仿宋_GB2312" w:hAnsi="宋体" w:eastAsia="仿宋_GB2312"/>
      <w:color w:val="000000"/>
      <w:sz w:val="24"/>
      <w:szCs w:val="24"/>
    </w:rPr>
  </w:style>
  <w:style w:type="paragraph" w:styleId="1229" w:customStyle="1">
    <w:name w:val="正文文本缩进 21"/>
    <w:basedOn w:val="958"/>
    <w:link w:val="1230"/>
    <w:uiPriority w:val="0"/>
    <w:qFormat/>
    <w:pPr>
      <w:ind w:firstLine="480"/>
    </w:pPr>
    <w:rPr>
      <w:rFonts w:ascii="仿宋_GB2312" w:eastAsia="仿宋_GB2312"/>
      <w:sz w:val="24"/>
    </w:rPr>
  </w:style>
  <w:style w:type="character" w:styleId="1230" w:customStyle="1">
    <w:name w:val="正文文本缩进 2 Char"/>
    <w:basedOn w:val="1196"/>
    <w:link w:val="1229"/>
    <w:uiPriority w:val="0"/>
    <w:qFormat/>
    <w:rPr>
      <w:rFonts w:ascii="仿宋_GB2312" w:eastAsia="仿宋_GB2312"/>
      <w:sz w:val="24"/>
      <w:szCs w:val="24"/>
    </w:rPr>
  </w:style>
  <w:style w:type="paragraph" w:styleId="1231" w:customStyle="1">
    <w:name w:val="批注框文本1"/>
    <w:basedOn w:val="958"/>
    <w:link w:val="1232"/>
    <w:uiPriority w:val="0"/>
    <w:qFormat/>
    <w:rPr>
      <w:sz w:val="18"/>
      <w:szCs w:val="18"/>
    </w:rPr>
  </w:style>
  <w:style w:type="character" w:styleId="1232" w:customStyle="1">
    <w:name w:val="批注框文本 Char"/>
    <w:basedOn w:val="1196"/>
    <w:link w:val="1231"/>
    <w:uiPriority w:val="0"/>
    <w:qFormat/>
    <w:rPr>
      <w:sz w:val="18"/>
      <w:szCs w:val="18"/>
    </w:rPr>
  </w:style>
  <w:style w:type="paragraph" w:styleId="1233" w:customStyle="1">
    <w:name w:val="页脚1"/>
    <w:basedOn w:val="958"/>
    <w:link w:val="1234"/>
    <w:uiPriority w:val="99"/>
    <w:qFormat/>
    <w:pPr>
      <w:jc w:val="left"/>
      <w:tabs>
        <w:tab w:val="center" w:pos="4153" w:leader="none"/>
        <w:tab w:val="right" w:pos="8306" w:leader="none"/>
      </w:tabs>
    </w:pPr>
    <w:rPr>
      <w:rFonts w:ascii="宋体"/>
      <w:sz w:val="18"/>
      <w:szCs w:val="20"/>
    </w:rPr>
  </w:style>
  <w:style w:type="character" w:styleId="1234" w:customStyle="1">
    <w:name w:val="页脚 Char1"/>
    <w:link w:val="1233"/>
    <w:uiPriority w:val="99"/>
    <w:qFormat/>
    <w:rPr>
      <w:rFonts w:ascii="宋体" w:eastAsia="宋体"/>
      <w:sz w:val="18"/>
      <w:lang w:val="en-US" w:eastAsia="zh-CN" w:bidi="ar-SA"/>
    </w:rPr>
  </w:style>
  <w:style w:type="paragraph" w:styleId="1235" w:customStyle="1">
    <w:name w:val="页眉1"/>
    <w:basedOn w:val="958"/>
    <w:link w:val="1236"/>
    <w:uiPriority w:val="0"/>
    <w:qFormat/>
    <w:pPr>
      <w:jc w:val="center"/>
      <w:tabs>
        <w:tab w:val="center" w:pos="4153" w:leader="none"/>
        <w:tab w:val="right" w:pos="8306" w:leader="none"/>
      </w:tabs>
      <w:pBdr>
        <w:bottom w:val="single" w:color="000000" w:sz="6" w:space="1"/>
      </w:pBdr>
    </w:pPr>
    <w:rPr>
      <w:sz w:val="18"/>
      <w:szCs w:val="18"/>
    </w:rPr>
  </w:style>
  <w:style w:type="character" w:styleId="1236" w:customStyle="1">
    <w:name w:val="页眉 Char1"/>
    <w:link w:val="1235"/>
    <w:uiPriority w:val="0"/>
    <w:qFormat/>
    <w:rPr>
      <w:rFonts w:eastAsia="宋体"/>
      <w:sz w:val="18"/>
      <w:szCs w:val="18"/>
      <w:lang w:val="en-US" w:eastAsia="zh-CN" w:bidi="ar-SA"/>
    </w:rPr>
  </w:style>
  <w:style w:type="paragraph" w:styleId="1237" w:customStyle="1">
    <w:name w:val="目录 11"/>
    <w:basedOn w:val="958"/>
    <w:next w:val="958"/>
    <w:uiPriority w:val="39"/>
    <w:qFormat/>
    <w:pPr>
      <w:spacing w:line="300" w:lineRule="auto"/>
      <w:tabs>
        <w:tab w:val="left" w:pos="1050" w:leader="none"/>
        <w:tab w:val="right" w:pos="8937" w:leader="dot"/>
      </w:tabs>
    </w:pPr>
    <w:rPr>
      <w:rFonts w:ascii="宋体" w:hAnsi="宋体"/>
      <w:b/>
      <w:sz w:val="24"/>
    </w:rPr>
  </w:style>
  <w:style w:type="paragraph" w:styleId="1238" w:customStyle="1">
    <w:name w:val="目录 41"/>
    <w:basedOn w:val="958"/>
    <w:next w:val="958"/>
    <w:uiPriority w:val="0"/>
    <w:qFormat/>
    <w:pPr>
      <w:ind w:left="1260"/>
    </w:pPr>
  </w:style>
  <w:style w:type="paragraph" w:styleId="1239" w:customStyle="1">
    <w:name w:val="目录 61"/>
    <w:basedOn w:val="958"/>
    <w:next w:val="958"/>
    <w:uiPriority w:val="0"/>
    <w:qFormat/>
    <w:pPr>
      <w:ind w:left="2100"/>
    </w:pPr>
  </w:style>
  <w:style w:type="paragraph" w:styleId="1240" w:customStyle="1">
    <w:name w:val="正文文本缩进 31"/>
    <w:basedOn w:val="958"/>
    <w:link w:val="1241"/>
    <w:uiPriority w:val="0"/>
    <w:qFormat/>
    <w:pPr>
      <w:ind w:left="720" w:firstLine="480"/>
      <w:jc w:val="left"/>
      <w:spacing w:before="120" w:line="22" w:lineRule="atLeast"/>
    </w:pPr>
    <w:rPr>
      <w:rFonts w:ascii="宋体"/>
      <w:sz w:val="24"/>
      <w:szCs w:val="20"/>
    </w:rPr>
  </w:style>
  <w:style w:type="character" w:styleId="1241" w:customStyle="1">
    <w:name w:val="正文文本缩进 3 Char"/>
    <w:basedOn w:val="1196"/>
    <w:link w:val="1240"/>
    <w:uiPriority w:val="0"/>
    <w:qFormat/>
    <w:rPr>
      <w:rFonts w:ascii="宋体"/>
      <w:sz w:val="24"/>
    </w:rPr>
  </w:style>
  <w:style w:type="paragraph" w:styleId="1242" w:customStyle="1">
    <w:name w:val="目录 21"/>
    <w:basedOn w:val="958"/>
    <w:next w:val="958"/>
    <w:uiPriority w:val="39"/>
    <w:qFormat/>
    <w:pPr>
      <w:ind w:left="420"/>
      <w:spacing w:line="312" w:lineRule="auto"/>
      <w:tabs>
        <w:tab w:val="right" w:pos="8937" w:leader="dot"/>
      </w:tabs>
    </w:pPr>
  </w:style>
  <w:style w:type="paragraph" w:styleId="1243" w:customStyle="1">
    <w:name w:val="目录 91"/>
    <w:basedOn w:val="958"/>
    <w:next w:val="958"/>
    <w:uiPriority w:val="0"/>
    <w:qFormat/>
    <w:pPr>
      <w:ind w:left="3360"/>
    </w:pPr>
  </w:style>
  <w:style w:type="paragraph" w:styleId="1244" w:customStyle="1">
    <w:name w:val="HTML 预设格式1"/>
    <w:basedOn w:val="958"/>
    <w:link w:val="12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45" w:customStyle="1">
    <w:name w:val="HTML 预设格式 Char"/>
    <w:basedOn w:val="1196"/>
    <w:link w:val="1244"/>
    <w:uiPriority w:val="0"/>
    <w:qFormat/>
    <w:rPr>
      <w:rFonts w:ascii="宋体" w:hAnsi="宋体" w:cs="宋体"/>
      <w:sz w:val="24"/>
      <w:szCs w:val="24"/>
    </w:rPr>
  </w:style>
  <w:style w:type="paragraph" w:styleId="1246" w:customStyle="1">
    <w:name w:val="普通(网站)1"/>
    <w:basedOn w:val="958"/>
    <w:uiPriority w:val="99"/>
    <w:unhideWhenUsed/>
    <w:qFormat/>
    <w:pPr>
      <w:jc w:val="left"/>
      <w:spacing w:before="100" w:beforeAutospacing="1" w:after="100" w:afterAutospacing="1"/>
      <w:widowControl/>
    </w:pPr>
    <w:rPr>
      <w:rFonts w:ascii="宋体" w:hAnsi="宋体" w:cs="宋体"/>
      <w:sz w:val="24"/>
    </w:rPr>
  </w:style>
  <w:style w:type="paragraph" w:styleId="1247" w:customStyle="1">
    <w:name w:val="索引 11"/>
    <w:basedOn w:val="958"/>
    <w:next w:val="958"/>
    <w:uiPriority w:val="0"/>
    <w:qFormat/>
    <w:rPr>
      <w:szCs w:val="20"/>
    </w:rPr>
  </w:style>
  <w:style w:type="paragraph" w:styleId="1248" w:customStyle="1">
    <w:name w:val="标题1"/>
    <w:basedOn w:val="958"/>
    <w:link w:val="1249"/>
    <w:uiPriority w:val="0"/>
    <w:qFormat/>
    <w:pPr>
      <w:jc w:val="center"/>
      <w:outlineLvl w:val="0"/>
    </w:pPr>
    <w:rPr>
      <w:b/>
      <w:sz w:val="32"/>
      <w:szCs w:val="20"/>
    </w:rPr>
  </w:style>
  <w:style w:type="character" w:styleId="1249" w:customStyle="1">
    <w:name w:val="标题 Char1"/>
    <w:link w:val="1248"/>
    <w:uiPriority w:val="0"/>
    <w:qFormat/>
    <w:rPr>
      <w:b/>
      <w:sz w:val="32"/>
    </w:rPr>
  </w:style>
  <w:style w:type="paragraph" w:styleId="1250" w:customStyle="1">
    <w:name w:val="批注主题1"/>
    <w:basedOn w:val="1214"/>
    <w:next w:val="1214"/>
    <w:link w:val="1251"/>
    <w:uiPriority w:val="0"/>
    <w:qFormat/>
    <w:rPr>
      <w:b/>
      <w:bCs/>
    </w:rPr>
  </w:style>
  <w:style w:type="character" w:styleId="1251" w:customStyle="1">
    <w:name w:val="批注主题 Char"/>
    <w:basedOn w:val="1252"/>
    <w:link w:val="1250"/>
    <w:uiPriority w:val="0"/>
    <w:qFormat/>
    <w:rPr>
      <w:rFonts w:ascii="Times New Roman" w:hAnsi="Times New Roman" w:eastAsia="宋体" w:cs="Times New Roman"/>
      <w:b/>
      <w:bCs/>
      <w:sz w:val="21"/>
      <w:szCs w:val="24"/>
      <w:lang w:val="en-US" w:eastAsia="zh-CN" w:bidi="ar-SA"/>
    </w:rPr>
  </w:style>
  <w:style w:type="character" w:styleId="1252" w:customStyle="1">
    <w:name w:val="批注文字 字符"/>
    <w:uiPriority w:val="99"/>
    <w:qFormat/>
    <w:rPr>
      <w:rFonts w:ascii="Times New Roman" w:hAnsi="Times New Roman" w:eastAsia="宋体" w:cs="Times New Roman"/>
      <w:sz w:val="24"/>
      <w:lang w:val="en-US" w:eastAsia="zh-CN" w:bidi="ar-SA"/>
    </w:rPr>
  </w:style>
  <w:style w:type="paragraph" w:styleId="1253" w:customStyle="1">
    <w:name w:val="正文首行缩进 21"/>
    <w:basedOn w:val="1218"/>
    <w:link w:val="1254"/>
    <w:uiPriority w:val="0"/>
    <w:qFormat/>
    <w:pPr>
      <w:ind w:left="420" w:firstLine="420"/>
      <w:spacing w:after="120" w:line="480" w:lineRule="exact"/>
    </w:pPr>
    <w:rPr>
      <w:szCs w:val="20"/>
    </w:rPr>
  </w:style>
  <w:style w:type="character" w:styleId="1254" w:customStyle="1">
    <w:name w:val="正文首行缩进 2 Char"/>
    <w:basedOn w:val="1219"/>
    <w:link w:val="1253"/>
    <w:uiPriority w:val="0"/>
    <w:qFormat/>
    <w:rPr>
      <w:rFonts w:eastAsia="宋体"/>
      <w:sz w:val="24"/>
      <w:szCs w:val="24"/>
      <w:lang w:val="en-US" w:eastAsia="zh-CN" w:bidi="ar-SA"/>
    </w:rPr>
  </w:style>
  <w:style w:type="table" w:styleId="1255" w:customStyle="1">
    <w:name w:val="网格型1"/>
    <w:basedOn w:val="1197"/>
    <w:uiPriority w:val="39"/>
    <w:qFormat/>
    <w:tblPr/>
  </w:style>
  <w:style w:type="table" w:styleId="1256" w:customStyle="1">
    <w:name w:val="中等深浅网格 1 - 强调文字颜色 21"/>
    <w:basedOn w:val="1197"/>
    <w:uiPriority w:val="0"/>
    <w:qFormat/>
    <w:rPr>
      <w:sz w:val="21"/>
      <w:szCs w:val="24"/>
    </w:rPr>
    <w:tblPr/>
  </w:style>
  <w:style w:type="character" w:styleId="1257" w:customStyle="1">
    <w:name w:val="要点1"/>
    <w:uiPriority w:val="0"/>
    <w:qFormat/>
    <w:rPr>
      <w:b/>
      <w:bCs/>
    </w:rPr>
  </w:style>
  <w:style w:type="character" w:styleId="1258" w:customStyle="1">
    <w:name w:val="页码1"/>
    <w:basedOn w:val="1196"/>
    <w:uiPriority w:val="0"/>
    <w:qFormat/>
  </w:style>
  <w:style w:type="character" w:styleId="1259" w:customStyle="1">
    <w:name w:val="已访问的超链接1"/>
    <w:uiPriority w:val="0"/>
    <w:qFormat/>
    <w:rPr>
      <w:color w:val="800080"/>
      <w:u w:val="single"/>
    </w:rPr>
  </w:style>
  <w:style w:type="character" w:styleId="1260" w:customStyle="1">
    <w:name w:val="强调1"/>
    <w:uiPriority w:val="0"/>
    <w:qFormat/>
    <w:rPr>
      <w:color w:val="cc0033"/>
    </w:rPr>
  </w:style>
  <w:style w:type="character" w:styleId="1261" w:customStyle="1">
    <w:name w:val="超链接1"/>
    <w:uiPriority w:val="99"/>
    <w:qFormat/>
    <w:rPr>
      <w:color w:val="0000ff"/>
      <w:u w:val="single"/>
    </w:rPr>
  </w:style>
  <w:style w:type="character" w:styleId="1262" w:customStyle="1">
    <w:name w:val="批注引用1"/>
    <w:uiPriority w:val="99"/>
    <w:qFormat/>
    <w:rPr>
      <w:sz w:val="21"/>
      <w:szCs w:val="21"/>
    </w:rPr>
  </w:style>
  <w:style w:type="character" w:styleId="1263" w:customStyle="1">
    <w:name w:val="HTML 引文1"/>
    <w:uiPriority w:val="0"/>
    <w:qFormat/>
    <w:rPr>
      <w:i/>
      <w:iCs/>
    </w:rPr>
  </w:style>
  <w:style w:type="character" w:styleId="1264" w:customStyle="1">
    <w:name w:val="中等深浅网格 1 - 强调文字颜色 2 Char"/>
    <w:link w:val="1265"/>
    <w:uiPriority w:val="0"/>
    <w:qFormat/>
    <w:rPr>
      <w:sz w:val="21"/>
      <w:szCs w:val="24"/>
      <w:lang w:val="zh-CN" w:eastAsia="zh-CN" w:bidi="ar-SA"/>
    </w:rPr>
  </w:style>
  <w:style w:type="paragraph" w:styleId="1265" w:customStyle="1">
    <w:name w:val="1"/>
    <w:link w:val="1264"/>
    <w:uiPriority w:val="0"/>
    <w:qFormat/>
    <w:rPr>
      <w:rFonts w:hint="default" w:ascii="Times New Roman" w:hAnsi="Times New Roman" w:eastAsia="宋体" w:cs="Times New Roman"/>
      <w:sz w:val="21"/>
      <w:szCs w:val="24"/>
      <w:lang w:val="zh-CN" w:eastAsia="zh-CN" w:bidi="ar-SA"/>
    </w:rPr>
  </w:style>
  <w:style w:type="character" w:styleId="1266" w:customStyle="1">
    <w:name w:val="正文文本缩进 Char1"/>
    <w:link w:val="1267"/>
    <w:uiPriority w:val="0"/>
    <w:qFormat/>
    <w:rPr>
      <w:rFonts w:ascii="宋体" w:hAnsi="宋体" w:eastAsia="宋体"/>
      <w:sz w:val="24"/>
      <w:szCs w:val="24"/>
      <w:lang w:bidi="ar-SA"/>
    </w:rPr>
  </w:style>
  <w:style w:type="paragraph" w:styleId="1267" w:customStyle="1">
    <w:name w:val="正文文本缩进1"/>
    <w:basedOn w:val="958"/>
    <w:link w:val="1266"/>
    <w:uiPriority w:val="0"/>
    <w:qFormat/>
    <w:pPr>
      <w:ind w:firstLine="480"/>
      <w:spacing w:line="480" w:lineRule="exact"/>
    </w:pPr>
    <w:rPr>
      <w:rFonts w:ascii="宋体" w:hAnsi="宋体"/>
      <w:sz w:val="24"/>
    </w:rPr>
  </w:style>
  <w:style w:type="character" w:styleId="1268" w:customStyle="1">
    <w:name w:val="chanpin拷贝"/>
    <w:basedOn w:val="1196"/>
    <w:uiPriority w:val="0"/>
    <w:qFormat/>
  </w:style>
  <w:style w:type="character" w:styleId="1269" w:customStyle="1">
    <w:name w:val="纯文本 字符1"/>
    <w:uiPriority w:val="0"/>
    <w:qFormat/>
    <w:rPr>
      <w:rFonts w:ascii="宋体" w:hAnsi="Courier New"/>
    </w:rPr>
  </w:style>
  <w:style w:type="character" w:styleId="1270" w:customStyle="1">
    <w:name w:val="street-address"/>
    <w:basedOn w:val="1196"/>
    <w:uiPriority w:val="0"/>
    <w:qFormat/>
  </w:style>
  <w:style w:type="character" w:styleId="1271" w:customStyle="1">
    <w:name w:val="正文格式 Char"/>
    <w:link w:val="1272"/>
    <w:uiPriority w:val="0"/>
    <w:qFormat/>
    <w:rPr>
      <w:rFonts w:ascii="宋体" w:hAnsi="宋体"/>
      <w:sz w:val="24"/>
      <w:szCs w:val="24"/>
      <w:lang w:val="en-GB"/>
    </w:rPr>
  </w:style>
  <w:style w:type="paragraph" w:styleId="1272" w:customStyle="1">
    <w:name w:val="正文格式"/>
    <w:basedOn w:val="958"/>
    <w:link w:val="1271"/>
    <w:uiPriority w:val="0"/>
    <w:qFormat/>
    <w:pPr>
      <w:ind w:firstLine="480"/>
      <w:spacing w:line="360" w:lineRule="auto"/>
    </w:pPr>
    <w:rPr>
      <w:rFonts w:ascii="宋体" w:hAnsi="宋体"/>
      <w:sz w:val="24"/>
      <w:lang w:val="en-GB"/>
    </w:rPr>
  </w:style>
  <w:style w:type="character" w:styleId="1273" w:customStyle="1">
    <w:name w:val="成文日期 Char"/>
    <w:link w:val="1274"/>
    <w:uiPriority w:val="0"/>
    <w:qFormat/>
    <w:rPr>
      <w:rFonts w:ascii="仿宋_GB2312" w:eastAsia="仿宋_GB2312"/>
      <w:sz w:val="32"/>
    </w:rPr>
  </w:style>
  <w:style w:type="paragraph" w:styleId="1274" w:customStyle="1">
    <w:name w:val="成文日期"/>
    <w:basedOn w:val="958"/>
    <w:link w:val="1273"/>
    <w:uiPriority w:val="0"/>
    <w:qFormat/>
    <w:pPr>
      <w:ind w:right="400" w:firstLine="200"/>
      <w:jc w:val="right"/>
      <w:spacing w:line="570" w:lineRule="exact"/>
    </w:pPr>
    <w:rPr>
      <w:rFonts w:ascii="仿宋_GB2312" w:eastAsia="仿宋_GB2312"/>
      <w:sz w:val="32"/>
      <w:szCs w:val="20"/>
    </w:rPr>
  </w:style>
  <w:style w:type="character" w:styleId="1275" w:customStyle="1">
    <w:name w:val="正文表格 Char"/>
    <w:link w:val="1276"/>
    <w:uiPriority w:val="0"/>
    <w:qFormat/>
    <w:rPr>
      <w:rFonts w:ascii="宋体" w:hAnsi="宋体"/>
      <w:color w:val="000000"/>
      <w:sz w:val="21"/>
      <w:szCs w:val="21"/>
    </w:rPr>
  </w:style>
  <w:style w:type="paragraph" w:styleId="1276" w:customStyle="1">
    <w:name w:val="正文表格"/>
    <w:basedOn w:val="958"/>
    <w:link w:val="1275"/>
    <w:uiPriority w:val="0"/>
    <w:qFormat/>
    <w:pPr>
      <w:jc w:val="left"/>
    </w:pPr>
    <w:rPr>
      <w:rFonts w:ascii="宋体" w:hAnsi="宋体"/>
      <w:color w:val="000000"/>
      <w:szCs w:val="21"/>
    </w:rPr>
  </w:style>
  <w:style w:type="character" w:styleId="1277" w:customStyle="1">
    <w:name w:val="正文大标题 Char"/>
    <w:link w:val="1278"/>
    <w:uiPriority w:val="0"/>
    <w:qFormat/>
    <w:rPr>
      <w:rFonts w:ascii="宋体" w:hAnsi="宋体"/>
      <w:b/>
      <w:color w:val="000000"/>
      <w:sz w:val="28"/>
      <w:szCs w:val="21"/>
    </w:rPr>
  </w:style>
  <w:style w:type="paragraph" w:styleId="1278" w:customStyle="1">
    <w:name w:val="正文大标题"/>
    <w:basedOn w:val="1279"/>
    <w:next w:val="1188"/>
    <w:link w:val="1277"/>
    <w:uiPriority w:val="0"/>
    <w:qFormat/>
    <w:pPr>
      <w:jc w:val="center"/>
    </w:pPr>
    <w:rPr>
      <w:i w:val="0"/>
      <w:color w:val="000000"/>
      <w:sz w:val="28"/>
      <w:szCs w:val="21"/>
    </w:rPr>
  </w:style>
  <w:style w:type="paragraph" w:styleId="1279" w:customStyle="1">
    <w:name w:val="正文小标题"/>
    <w:basedOn w:val="958"/>
    <w:next w:val="1188"/>
    <w:link w:val="1280"/>
    <w:uiPriority w:val="0"/>
    <w:qFormat/>
    <w:pPr>
      <w:ind w:firstLine="482"/>
      <w:jc w:val="left"/>
      <w:spacing w:before="312" w:after="312"/>
    </w:pPr>
    <w:rPr>
      <w:rFonts w:ascii="宋体" w:hAnsi="宋体"/>
      <w:b/>
      <w:i/>
      <w:color w:val="ff0000"/>
      <w:sz w:val="24"/>
      <w:szCs w:val="20"/>
    </w:rPr>
  </w:style>
  <w:style w:type="character" w:styleId="1280" w:customStyle="1">
    <w:name w:val="正文小标题 Char"/>
    <w:link w:val="1279"/>
    <w:uiPriority w:val="0"/>
    <w:qFormat/>
    <w:rPr>
      <w:rFonts w:ascii="宋体" w:hAnsi="宋体"/>
      <w:b/>
      <w:i/>
      <w:color w:val="ff0000"/>
      <w:sz w:val="24"/>
    </w:rPr>
  </w:style>
  <w:style w:type="character" w:styleId="1281" w:customStyle="1">
    <w:name w:val="bjh-p"/>
    <w:uiPriority w:val="0"/>
    <w:qFormat/>
  </w:style>
  <w:style w:type="character" w:styleId="1282" w:customStyle="1">
    <w:name w:val="正文缩进 Char Char"/>
    <w:link w:val="1283"/>
    <w:uiPriority w:val="0"/>
    <w:qFormat/>
    <w:rPr>
      <w:rFonts w:ascii="宋体" w:eastAsia="宋体"/>
      <w:color w:val="000000"/>
      <w:sz w:val="28"/>
      <w:lang w:bidi="ar-SA"/>
    </w:rPr>
  </w:style>
  <w:style w:type="paragraph" w:styleId="1283" w:customStyle="1">
    <w:name w:val="正文缩进1"/>
    <w:basedOn w:val="958"/>
    <w:link w:val="1282"/>
    <w:uiPriority w:val="0"/>
    <w:qFormat/>
    <w:pPr>
      <w:ind w:firstLine="567"/>
      <w:spacing w:line="480" w:lineRule="exact"/>
      <w:widowControl/>
    </w:pPr>
    <w:rPr>
      <w:rFonts w:ascii="宋体"/>
      <w:color w:val="000000"/>
      <w:sz w:val="28"/>
      <w:szCs w:val="20"/>
    </w:rPr>
  </w:style>
  <w:style w:type="character" w:styleId="1284" w:customStyle="1">
    <w:name w:val="标题 Char"/>
    <w:uiPriority w:val="0"/>
    <w:qFormat/>
    <w:rPr>
      <w:b/>
      <w:sz w:val="32"/>
    </w:rPr>
  </w:style>
  <w:style w:type="character" w:styleId="1285" w:customStyle="1">
    <w:name w:val="列出段落 Char"/>
    <w:uiPriority w:val="0"/>
    <w:qFormat/>
    <w:rPr>
      <w:rFonts w:ascii="Calibri" w:hAnsi="Calibri" w:eastAsia="宋体"/>
      <w:sz w:val="21"/>
      <w:szCs w:val="22"/>
      <w:lang w:val="en-US" w:eastAsia="zh-CN" w:bidi="ar-SA"/>
    </w:rPr>
  </w:style>
  <w:style w:type="character" w:styleId="1286" w:customStyle="1">
    <w:name w:val="Char Char111"/>
    <w:uiPriority w:val="0"/>
    <w:qFormat/>
    <w:rPr>
      <w:rFonts w:ascii="宋体" w:eastAsia="宋体"/>
      <w:b/>
      <w:sz w:val="24"/>
      <w:u w:val="single"/>
      <w:lang w:val="en-US" w:eastAsia="zh-CN" w:bidi="ar-SA"/>
    </w:rPr>
  </w:style>
  <w:style w:type="character" w:styleId="1287" w:customStyle="1">
    <w:name w:val="列出段落 Char1"/>
    <w:link w:val="1288"/>
    <w:uiPriority w:val="34"/>
    <w:qFormat/>
    <w:rPr>
      <w:rFonts w:ascii="Calibri" w:hAnsi="Calibri" w:eastAsia="宋体"/>
      <w:sz w:val="21"/>
      <w:szCs w:val="22"/>
      <w:lang w:val="en-US" w:eastAsia="zh-CN" w:bidi="ar-SA"/>
    </w:rPr>
  </w:style>
  <w:style w:type="paragraph" w:styleId="1288" w:customStyle="1">
    <w:name w:val="列出段落1"/>
    <w:basedOn w:val="958"/>
    <w:link w:val="1287"/>
    <w:uiPriority w:val="34"/>
    <w:qFormat/>
    <w:pPr>
      <w:ind w:firstLine="420"/>
    </w:pPr>
    <w:rPr>
      <w:rFonts w:ascii="Calibri" w:hAnsi="Calibri"/>
      <w:szCs w:val="22"/>
    </w:rPr>
  </w:style>
  <w:style w:type="character" w:styleId="1289" w:customStyle="1">
    <w:name w:val="注释 Char"/>
    <w:link w:val="1290"/>
    <w:uiPriority w:val="0"/>
    <w:qFormat/>
    <w:rPr>
      <w:rFonts w:ascii="宋体" w:hAnsi="宋体"/>
      <w:sz w:val="21"/>
      <w:szCs w:val="21"/>
    </w:rPr>
  </w:style>
  <w:style w:type="paragraph" w:styleId="1290" w:customStyle="1">
    <w:name w:val="注释"/>
    <w:basedOn w:val="958"/>
    <w:link w:val="1289"/>
    <w:uiPriority w:val="0"/>
    <w:qFormat/>
    <w:pPr>
      <w:ind w:left="420" w:hanging="420"/>
      <w:jc w:val="left"/>
    </w:pPr>
    <w:rPr>
      <w:rFonts w:ascii="宋体" w:hAnsi="宋体"/>
      <w:szCs w:val="21"/>
    </w:rPr>
  </w:style>
  <w:style w:type="character" w:styleId="1291" w:customStyle="1">
    <w:name w:val="txt"/>
    <w:basedOn w:val="1196"/>
    <w:uiPriority w:val="0"/>
    <w:qFormat/>
  </w:style>
  <w:style w:type="character" w:styleId="1292" w:customStyle="1">
    <w:name w:val="标题 2 Char Char"/>
    <w:uiPriority w:val="0"/>
    <w:qFormat/>
    <w:rPr>
      <w:rFonts w:ascii="Arial" w:hAnsi="Arial" w:eastAsia="黑体"/>
      <w:b/>
      <w:bCs/>
      <w:sz w:val="32"/>
      <w:szCs w:val="32"/>
      <w:lang w:val="en-US" w:eastAsia="zh-CN" w:bidi="ar-SA"/>
    </w:rPr>
  </w:style>
  <w:style w:type="character" w:styleId="1293" w:customStyle="1">
    <w:name w:val="纯文本 Char1"/>
    <w:uiPriority w:val="0"/>
    <w:qFormat/>
    <w:rPr>
      <w:rFonts w:ascii="宋体" w:hAnsi="Courier New" w:eastAsia="宋体"/>
      <w:sz w:val="21"/>
      <w:lang w:val="en-US" w:eastAsia="zh-CN" w:bidi="ar-SA"/>
    </w:rPr>
  </w:style>
  <w:style w:type="character" w:styleId="1294" w:customStyle="1">
    <w:name w:val="c21"/>
    <w:uiPriority w:val="0"/>
    <w:qFormat/>
    <w:rPr>
      <w:rFonts w:ascii="ˎ̥" w:hAnsi="ˎ̥"/>
      <w:color w:val="000000"/>
      <w:sz w:val="20"/>
      <w:szCs w:val="20"/>
      <w:u w:val="none"/>
    </w:rPr>
  </w:style>
  <w:style w:type="character" w:styleId="1295" w:customStyle="1">
    <w:name w:val="title4"/>
    <w:uiPriority w:val="0"/>
    <w:qFormat/>
    <w:rPr>
      <w:b/>
      <w:bCs/>
      <w:color w:val="1d87b3"/>
      <w:sz w:val="15"/>
      <w:szCs w:val="15"/>
    </w:rPr>
  </w:style>
  <w:style w:type="character" w:styleId="1296" w:customStyle="1">
    <w:name w:val="页脚 Char"/>
    <w:uiPriority w:val="0"/>
    <w:qFormat/>
    <w:rPr>
      <w:rFonts w:ascii="宋体" w:eastAsia="宋体"/>
      <w:sz w:val="18"/>
      <w:lang w:val="en-US" w:eastAsia="zh-CN" w:bidi="ar-SA"/>
    </w:rPr>
  </w:style>
  <w:style w:type="character" w:styleId="1297" w:customStyle="1">
    <w:name w:val="locality"/>
    <w:basedOn w:val="1196"/>
    <w:uiPriority w:val="0"/>
    <w:qFormat/>
  </w:style>
  <w:style w:type="character" w:styleId="1298" w:customStyle="1">
    <w:name w:val="black1"/>
    <w:uiPriority w:val="0"/>
    <w:qFormat/>
    <w:rPr>
      <w:color w:val="000000"/>
    </w:rPr>
  </w:style>
  <w:style w:type="character" w:styleId="1299" w:customStyle="1">
    <w:name w:val="chanpin1"/>
    <w:uiPriority w:val="0"/>
    <w:qFormat/>
    <w:rPr>
      <w:rFonts w:ascii="ˎ̥" w:hAnsi="ˎ̥"/>
      <w:color w:val="000000"/>
      <w:sz w:val="20"/>
      <w:szCs w:val="20"/>
      <w:u w:val="none"/>
    </w:rPr>
  </w:style>
  <w:style w:type="character" w:styleId="1300" w:customStyle="1">
    <w:name w:val="段1 Char"/>
    <w:uiPriority w:val="0"/>
    <w:qFormat/>
    <w:rPr>
      <w:rFonts w:ascii="宋体" w:eastAsia="宋体"/>
      <w:sz w:val="24"/>
      <w:lang w:val="en-US" w:eastAsia="zh-CN" w:bidi="ar-SA"/>
    </w:rPr>
  </w:style>
  <w:style w:type="character" w:styleId="1301" w:customStyle="1">
    <w:name w:val="标题 3 Char"/>
    <w:uiPriority w:val="0"/>
    <w:qFormat/>
    <w:rPr>
      <w:rFonts w:ascii="宋体" w:eastAsia="宋体"/>
      <w:b/>
      <w:sz w:val="24"/>
      <w:u w:val="single"/>
      <w:lang w:val="en-US" w:eastAsia="zh-CN" w:bidi="ar-SA"/>
    </w:rPr>
  </w:style>
  <w:style w:type="character" w:styleId="1302" w:customStyle="1">
    <w:name w:val="标题 2 Char"/>
    <w:uiPriority w:val="0"/>
    <w:qFormat/>
    <w:rPr>
      <w:rFonts w:ascii="Arial" w:hAnsi="Arial" w:eastAsia="黑体"/>
      <w:b/>
      <w:sz w:val="30"/>
      <w:lang w:val="en-US" w:eastAsia="zh-CN" w:bidi="ar-SA"/>
    </w:rPr>
  </w:style>
  <w:style w:type="character" w:styleId="1303" w:customStyle="1">
    <w:name w:val="正文文本缩进 Char"/>
    <w:uiPriority w:val="0"/>
    <w:qFormat/>
    <w:rPr>
      <w:rFonts w:eastAsia="宋体"/>
      <w:sz w:val="24"/>
      <w:szCs w:val="24"/>
      <w:lang w:val="en-US" w:eastAsia="zh-CN" w:bidi="ar-SA"/>
    </w:rPr>
  </w:style>
  <w:style w:type="character" w:styleId="1304" w:customStyle="1">
    <w:name w:val="Char Char11"/>
    <w:uiPriority w:val="0"/>
    <w:qFormat/>
    <w:rPr>
      <w:rFonts w:ascii="宋体" w:eastAsia="宋体"/>
      <w:b/>
      <w:sz w:val="24"/>
      <w:u w:val="single"/>
      <w:lang w:val="en-US" w:eastAsia="zh-CN" w:bidi="ar-SA"/>
    </w:rPr>
  </w:style>
  <w:style w:type="character" w:styleId="1305" w:customStyle="1">
    <w:name w:val="页眉 Char"/>
    <w:uiPriority w:val="0"/>
    <w:qFormat/>
    <w:rPr>
      <w:rFonts w:eastAsia="宋体"/>
      <w:sz w:val="18"/>
      <w:szCs w:val="18"/>
      <w:lang w:val="en-US" w:eastAsia="zh-CN" w:bidi="ar-SA"/>
    </w:rPr>
  </w:style>
  <w:style w:type="character" w:styleId="1306" w:customStyle="1">
    <w:name w:val="纯文本 字符"/>
    <w:uiPriority w:val="99"/>
    <w:qFormat/>
    <w:rPr>
      <w:rFonts w:ascii="宋体" w:hAnsi="Courier New" w:eastAsia="宋体" w:cs="Times New Roman"/>
      <w:sz w:val="21"/>
      <w:szCs w:val="21"/>
      <w:lang w:val="en-US" w:eastAsia="zh-CN" w:bidi="ar-SA"/>
    </w:rPr>
  </w:style>
  <w:style w:type="character" w:styleId="1307" w:customStyle="1">
    <w:name w:val="正文重点 Char"/>
    <w:link w:val="1308"/>
    <w:uiPriority w:val="0"/>
    <w:qFormat/>
    <w:rPr>
      <w:b/>
      <w:sz w:val="24"/>
    </w:rPr>
  </w:style>
  <w:style w:type="paragraph" w:styleId="1308" w:customStyle="1">
    <w:name w:val="正文重点"/>
    <w:basedOn w:val="958"/>
    <w:link w:val="1307"/>
    <w:uiPriority w:val="0"/>
    <w:qFormat/>
    <w:pPr>
      <w:ind w:firstLine="482"/>
      <w:jc w:val="left"/>
      <w:spacing w:line="360" w:lineRule="auto"/>
    </w:pPr>
    <w:rPr>
      <w:b/>
      <w:sz w:val="24"/>
      <w:szCs w:val="20"/>
    </w:rPr>
  </w:style>
  <w:style w:type="character" w:styleId="1309" w:customStyle="1">
    <w:name w:val="正文缩进 Char"/>
    <w:uiPriority w:val="0"/>
    <w:qFormat/>
    <w:rPr>
      <w:rFonts w:ascii="宋体" w:eastAsia="宋体"/>
      <w:sz w:val="24"/>
      <w:szCs w:val="24"/>
      <w:lang w:val="en-US" w:eastAsia="zh-CN" w:bidi="ar-SA"/>
    </w:rPr>
  </w:style>
  <w:style w:type="character" w:styleId="1310" w:customStyle="1">
    <w:name w:val="普通文字1 Char1"/>
    <w:uiPriority w:val="0"/>
    <w:qFormat/>
    <w:rPr>
      <w:rFonts w:ascii="宋体" w:hAnsi="Courier New" w:eastAsia="宋体"/>
      <w:sz w:val="21"/>
      <w:lang w:val="en-US" w:eastAsia="zh-CN" w:bidi="ar-SA"/>
    </w:rPr>
  </w:style>
  <w:style w:type="character" w:styleId="1311" w:customStyle="1">
    <w:name w:val="批注文字 Char"/>
    <w:uiPriority w:val="99"/>
    <w:qFormat/>
    <w:rPr>
      <w:sz w:val="21"/>
      <w:szCs w:val="24"/>
    </w:rPr>
  </w:style>
  <w:style w:type="character" w:styleId="1312" w:customStyle="1">
    <w:name w:val="apple-style-span"/>
    <w:uiPriority w:val="0"/>
    <w:qFormat/>
    <w:rPr>
      <w:rFonts w:cs="Times New Roman"/>
    </w:rPr>
  </w:style>
  <w:style w:type="character" w:styleId="1313" w:customStyle="1">
    <w:name w:val="标题 3 Char Char"/>
    <w:uiPriority w:val="0"/>
    <w:qFormat/>
    <w:rPr>
      <w:rFonts w:eastAsia="宋体"/>
      <w:b/>
      <w:bCs/>
      <w:sz w:val="32"/>
      <w:szCs w:val="32"/>
      <w:lang w:val="en-US" w:eastAsia="zh-CN" w:bidi="ar-SA"/>
    </w:rPr>
  </w:style>
  <w:style w:type="paragraph" w:styleId="131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xl38"/>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6" w:customStyle="1">
    <w:name w:val="Char"/>
    <w:basedOn w:val="958"/>
    <w:uiPriority w:val="0"/>
    <w:qFormat/>
    <w:pPr>
      <w:tabs>
        <w:tab w:val="left" w:pos="360" w:leader="none"/>
      </w:tabs>
    </w:pPr>
    <w:rPr>
      <w:sz w:val="24"/>
    </w:rPr>
  </w:style>
  <w:style w:type="paragraph" w:styleId="1317" w:customStyle="1">
    <w:name w:val="xl25"/>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customStyle="1">
    <w:name w:val="xl45"/>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9" w:customStyle="1">
    <w:name w:val="列出段落11"/>
    <w:basedOn w:val="958"/>
    <w:uiPriority w:val="0"/>
    <w:qFormat/>
    <w:pPr>
      <w:ind w:firstLine="420"/>
    </w:pPr>
    <w:rPr>
      <w:rFonts w:ascii="Calibri" w:hAnsi="Calibri"/>
      <w:szCs w:val="22"/>
    </w:rPr>
  </w:style>
  <w:style w:type="paragraph" w:styleId="1320" w:customStyle="1">
    <w:name w:val="Char Char Char Char Char Char Char Char Char Char"/>
    <w:basedOn w:val="958"/>
    <w:uiPriority w:val="0"/>
    <w:qFormat/>
  </w:style>
  <w:style w:type="paragraph" w:styleId="1321" w:customStyle="1">
    <w:name w:val="xl40"/>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2" w:customStyle="1">
    <w:name w:val="Char3 Char Char Char1"/>
    <w:basedOn w:val="958"/>
    <w:uiPriority w:val="0"/>
    <w:qFormat/>
    <w:rPr>
      <w:rFonts w:ascii="Tahoma" w:hAnsi="Tahoma"/>
      <w:sz w:val="24"/>
      <w:szCs w:val="20"/>
    </w:rPr>
  </w:style>
  <w:style w:type="paragraph" w:styleId="1323" w:customStyle="1">
    <w:name w:val="正文列项_数字"/>
    <w:basedOn w:val="958"/>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324" w:customStyle="1">
    <w:name w:val="Char1 Char Char Char1"/>
    <w:basedOn w:val="958"/>
    <w:uiPriority w:val="0"/>
    <w:qFormat/>
    <w:rPr>
      <w:rFonts w:ascii="Tahoma" w:hAnsi="Tahoma" w:cs="仿宋_GB2312"/>
      <w:sz w:val="24"/>
      <w:szCs w:val="28"/>
    </w:rPr>
  </w:style>
  <w:style w:type="paragraph" w:styleId="1325" w:customStyle="1">
    <w:name w:val="正文缩进2"/>
    <w:basedOn w:val="958"/>
    <w:uiPriority w:val="0"/>
    <w:qFormat/>
    <w:pPr>
      <w:ind w:firstLine="567"/>
      <w:spacing w:line="480" w:lineRule="exact"/>
      <w:widowControl/>
    </w:pPr>
    <w:rPr>
      <w:rFonts w:ascii="宋体"/>
      <w:color w:val="000000"/>
      <w:sz w:val="28"/>
      <w:szCs w:val="20"/>
      <w:lang w:val="zh-CN"/>
    </w:rPr>
  </w:style>
  <w:style w:type="paragraph" w:styleId="1326" w:customStyle="1">
    <w:name w:val="xl33"/>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7" w:customStyle="1">
    <w:name w:val="项目符号1"/>
    <w:basedOn w:val="1328"/>
    <w:uiPriority w:val="0"/>
    <w:qFormat/>
    <w:pPr>
      <w:ind w:left="-25" w:firstLine="0"/>
    </w:pPr>
  </w:style>
  <w:style w:type="paragraph" w:styleId="1328" w:customStyle="1">
    <w:name w:val="正文文本样式"/>
    <w:basedOn w:val="958"/>
    <w:uiPriority w:val="0"/>
    <w:qFormat/>
    <w:pPr>
      <w:ind w:firstLine="482"/>
      <w:spacing w:line="360" w:lineRule="auto"/>
    </w:pPr>
    <w:rPr>
      <w:rFonts w:cs="宋体"/>
      <w:sz w:val="24"/>
      <w:szCs w:val="20"/>
    </w:rPr>
  </w:style>
  <w:style w:type="paragraph" w:styleId="1329" w:customStyle="1">
    <w:name w:val="章标题"/>
    <w:next w:val="958"/>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30" w:customStyle="1">
    <w:name w:val="xl46"/>
    <w:basedOn w:val="95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1" w:customStyle="1">
    <w:name w:val="默认段落字体 Para Char Char Char Char"/>
    <w:basedOn w:val="958"/>
    <w:uiPriority w:val="0"/>
    <w:qFormat/>
    <w:rPr>
      <w:rFonts w:ascii="Arial" w:hAnsi="Arial" w:cs="Arial"/>
      <w:szCs w:val="21"/>
    </w:rPr>
  </w:style>
  <w:style w:type="paragraph" w:styleId="1332" w:customStyle="1">
    <w:name w:val="图中文字"/>
    <w:basedOn w:val="958"/>
    <w:uiPriority w:val="0"/>
    <w:qFormat/>
    <w:pPr>
      <w:jc w:val="center"/>
      <w:spacing w:line="0" w:lineRule="atLeast"/>
    </w:pPr>
    <w:rPr>
      <w:sz w:val="24"/>
      <w:szCs w:val="20"/>
    </w:rPr>
  </w:style>
  <w:style w:type="paragraph" w:styleId="1333" w:customStyle="1">
    <w:name w:val="Char Char Char Char Char Char Char Char Char Char2"/>
    <w:basedOn w:val="958"/>
    <w:uiPriority w:val="0"/>
    <w:qFormat/>
    <w:rPr>
      <w:rFonts w:ascii="宋体" w:hAnsi="宋体" w:cs="Courier New"/>
      <w:sz w:val="32"/>
      <w:szCs w:val="32"/>
    </w:rPr>
  </w:style>
  <w:style w:type="paragraph" w:styleId="1334" w:customStyle="1">
    <w:name w:val="三级条标题"/>
    <w:basedOn w:val="1335"/>
    <w:next w:val="958"/>
    <w:uiPriority w:val="0"/>
    <w:qFormat/>
    <w:pPr>
      <w:numPr>
        <w:ilvl w:val="3"/>
        <w:numId w:val="2"/>
      </w:numPr>
      <w:ind w:left="0" w:hanging="840"/>
      <w:tabs>
        <w:tab w:val="left" w:pos="360" w:leader="none"/>
        <w:tab w:val="left" w:pos="840" w:leader="none"/>
      </w:tabs>
      <w:outlineLvl w:val="3"/>
    </w:pPr>
  </w:style>
  <w:style w:type="paragraph" w:styleId="1335" w:customStyle="1">
    <w:name w:val="二级条标题"/>
    <w:basedOn w:val="1336"/>
    <w:next w:val="95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36" w:customStyle="1">
    <w:name w:val="一级条标题"/>
    <w:basedOn w:val="1329"/>
    <w:next w:val="958"/>
    <w:uiPriority w:val="0"/>
    <w:qFormat/>
    <w:pPr>
      <w:numPr>
        <w:ilvl w:val="1"/>
      </w:numPr>
      <w:ind w:left="0" w:hanging="840"/>
      <w:tabs>
        <w:tab w:val="left" w:pos="360" w:leader="none"/>
        <w:tab w:val="left" w:pos="840" w:leader="none"/>
      </w:tabs>
      <w:outlineLvl w:val="1"/>
    </w:pPr>
  </w:style>
  <w:style w:type="paragraph" w:styleId="1337" w:customStyle="1">
    <w:name w:val="Char Char41"/>
    <w:basedOn w:val="958"/>
    <w:uiPriority w:val="0"/>
    <w:qFormat/>
    <w:pPr>
      <w:jc w:val="center"/>
      <w:spacing w:line="400" w:lineRule="exact"/>
      <w:widowControl/>
    </w:pPr>
  </w:style>
  <w:style w:type="paragraph" w:styleId="133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339" w:customStyle="1">
    <w:name w:val="Char Char Char Char Char Char Char2"/>
    <w:basedOn w:val="958"/>
    <w:uiPriority w:val="0"/>
    <w:qFormat/>
    <w:pPr>
      <w:ind w:firstLine="200"/>
      <w:spacing w:line="360" w:lineRule="auto"/>
    </w:pPr>
    <w:rPr>
      <w:rFonts w:eastAsia="仿宋_GB2312"/>
      <w:sz w:val="24"/>
    </w:rPr>
  </w:style>
  <w:style w:type="paragraph" w:styleId="1340" w:customStyle="1">
    <w:name w:val="xl35"/>
    <w:basedOn w:val="9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1" w:customStyle="1">
    <w:name w:val="Char Char Char2"/>
    <w:basedOn w:val="958"/>
    <w:uiPriority w:val="0"/>
    <w:qFormat/>
    <w:rPr>
      <w:rFonts w:ascii="Tahoma" w:hAnsi="Tahoma"/>
      <w:sz w:val="24"/>
      <w:szCs w:val="20"/>
    </w:rPr>
  </w:style>
  <w:style w:type="paragraph" w:styleId="1342" w:customStyle="1">
    <w:name w:val="Char2 Char Char Char Char Char Char1"/>
    <w:basedOn w:val="958"/>
    <w:uiPriority w:val="0"/>
    <w:qFormat/>
    <w:pPr>
      <w:jc w:val="center"/>
      <w:spacing w:line="400" w:lineRule="exact"/>
      <w:widowControl/>
    </w:pPr>
  </w:style>
  <w:style w:type="paragraph" w:styleId="1343" w:customStyle="1">
    <w:name w:val="缺省文本"/>
    <w:basedOn w:val="958"/>
    <w:uiPriority w:val="0"/>
    <w:qFormat/>
    <w:pPr>
      <w:jc w:val="left"/>
    </w:pPr>
    <w:rPr>
      <w:sz w:val="24"/>
    </w:rPr>
  </w:style>
  <w:style w:type="paragraph" w:styleId="1344" w:customStyle="1">
    <w:name w:val="Char1"/>
    <w:basedOn w:val="958"/>
    <w:uiPriority w:val="0"/>
    <w:qFormat/>
    <w:pPr>
      <w:tabs>
        <w:tab w:val="left" w:pos="360" w:leader="none"/>
      </w:tabs>
    </w:pPr>
    <w:rPr>
      <w:sz w:val="24"/>
    </w:rPr>
  </w:style>
  <w:style w:type="paragraph" w:styleId="1345" w:customStyle="1">
    <w:name w:val="Char Char Char Char Char Char Char"/>
    <w:basedOn w:val="958"/>
    <w:uiPriority w:val="0"/>
    <w:qFormat/>
    <w:pPr>
      <w:ind w:firstLine="200"/>
      <w:spacing w:line="360" w:lineRule="auto"/>
    </w:pPr>
    <w:rPr>
      <w:rFonts w:eastAsia="仿宋_GB2312"/>
      <w:sz w:val="24"/>
    </w:rPr>
  </w:style>
  <w:style w:type="paragraph" w:styleId="1346" w:customStyle="1">
    <w:name w:val="字元 字元2"/>
    <w:basedOn w:val="958"/>
    <w:uiPriority w:val="0"/>
    <w:qFormat/>
    <w:rPr>
      <w:rFonts w:ascii="Tahoma" w:hAnsi="Tahoma"/>
      <w:sz w:val="24"/>
      <w:szCs w:val="20"/>
    </w:rPr>
  </w:style>
  <w:style w:type="paragraph" w:styleId="1347" w:customStyle="1">
    <w:name w:val="Char Char Char Char Char Char Char1"/>
    <w:basedOn w:val="958"/>
    <w:uiPriority w:val="0"/>
    <w:qFormat/>
    <w:pPr>
      <w:ind w:firstLine="200"/>
      <w:spacing w:line="360" w:lineRule="auto"/>
    </w:pPr>
    <w:rPr>
      <w:rFonts w:eastAsia="仿宋_GB2312"/>
      <w:sz w:val="24"/>
    </w:rPr>
  </w:style>
  <w:style w:type="paragraph" w:styleId="1348" w:customStyle="1">
    <w:name w:val="xl41"/>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9" w:customStyle="1">
    <w:name w:val="Char2"/>
    <w:basedOn w:val="958"/>
    <w:uiPriority w:val="0"/>
    <w:qFormat/>
    <w:rPr>
      <w:rFonts w:ascii="Tahoma" w:hAnsi="Tahoma"/>
      <w:sz w:val="24"/>
      <w:szCs w:val="20"/>
    </w:rPr>
  </w:style>
  <w:style w:type="paragraph" w:styleId="1350" w:customStyle="1">
    <w:name w:val="xl52"/>
    <w:basedOn w:val="9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51" w:customStyle="1">
    <w:name w:val="字元 字元"/>
    <w:basedOn w:val="958"/>
    <w:uiPriority w:val="0"/>
    <w:qFormat/>
    <w:rPr>
      <w:rFonts w:ascii="Tahoma" w:hAnsi="Tahoma"/>
      <w:sz w:val="24"/>
      <w:szCs w:val="20"/>
    </w:rPr>
  </w:style>
  <w:style w:type="paragraph" w:styleId="1352" w:customStyle="1">
    <w:name w:val="修订1"/>
    <w:uiPriority w:val="0"/>
    <w:qFormat/>
    <w:rPr>
      <w:rFonts w:hint="default" w:ascii="Times New Roman" w:hAnsi="Times New Roman" w:eastAsia="宋体" w:cs="Times New Roman"/>
      <w:sz w:val="21"/>
      <w:szCs w:val="24"/>
      <w:lang w:val="en-US" w:eastAsia="zh-CN" w:bidi="ar-SA"/>
    </w:rPr>
  </w:style>
  <w:style w:type="paragraph" w:styleId="1353" w:customStyle="1">
    <w:name w:val="font8"/>
    <w:basedOn w:val="958"/>
    <w:uiPriority w:val="0"/>
    <w:qFormat/>
    <w:pPr>
      <w:jc w:val="left"/>
      <w:spacing w:before="100" w:beforeAutospacing="1" w:after="100" w:afterAutospacing="1"/>
      <w:widowControl/>
    </w:pPr>
    <w:rPr>
      <w:sz w:val="36"/>
      <w:szCs w:val="36"/>
    </w:rPr>
  </w:style>
  <w:style w:type="paragraph" w:styleId="1354" w:customStyle="1">
    <w:name w:val="font5"/>
    <w:basedOn w:val="958"/>
    <w:uiPriority w:val="0"/>
    <w:qFormat/>
    <w:pPr>
      <w:jc w:val="left"/>
      <w:spacing w:before="100" w:beforeAutospacing="1" w:after="100" w:afterAutospacing="1"/>
      <w:widowControl/>
    </w:pPr>
    <w:rPr>
      <w:rFonts w:ascii="宋体" w:hAnsi="宋体" w:cs="宋体"/>
      <w:sz w:val="18"/>
      <w:szCs w:val="18"/>
    </w:rPr>
  </w:style>
  <w:style w:type="paragraph" w:styleId="1355" w:customStyle="1">
    <w:name w:val="xl49"/>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6" w:customStyle="1">
    <w:name w:val="Char Char4"/>
    <w:basedOn w:val="958"/>
    <w:uiPriority w:val="0"/>
    <w:qFormat/>
    <w:pPr>
      <w:jc w:val="center"/>
      <w:spacing w:line="400" w:lineRule="exact"/>
      <w:widowControl/>
    </w:pPr>
  </w:style>
  <w:style w:type="paragraph" w:styleId="1357" w:customStyle="1">
    <w:name w:val="xl28"/>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customStyle="1">
    <w:name w:val="xl53"/>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xl47"/>
    <w:basedOn w:val="9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0" w:customStyle="1">
    <w:name w:val="xl31"/>
    <w:basedOn w:val="9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1" w:customStyle="1">
    <w:name w:val="Char Char Char1 Char1"/>
    <w:basedOn w:val="958"/>
    <w:uiPriority w:val="0"/>
    <w:qFormat/>
    <w:rPr>
      <w:rFonts w:ascii="Tahoma" w:hAnsi="Tahoma"/>
      <w:sz w:val="24"/>
      <w:szCs w:val="20"/>
    </w:rPr>
  </w:style>
  <w:style w:type="paragraph" w:styleId="1362" w:customStyle="1">
    <w:name w:val="Char Char Char1"/>
    <w:basedOn w:val="958"/>
    <w:uiPriority w:val="0"/>
    <w:qFormat/>
    <w:rPr>
      <w:rFonts w:ascii="Tahoma" w:hAnsi="Tahoma"/>
      <w:sz w:val="24"/>
      <w:szCs w:val="20"/>
    </w:rPr>
  </w:style>
  <w:style w:type="paragraph" w:styleId="1363" w:customStyle="1">
    <w:name w:val="xl42"/>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4" w:customStyle="1">
    <w:name w:val="无标题条"/>
    <w:next w:val="958"/>
    <w:uiPriority w:val="0"/>
    <w:qFormat/>
    <w:pPr>
      <w:jc w:val="both"/>
    </w:pPr>
    <w:rPr>
      <w:rFonts w:hint="default" w:ascii="Times New Roman" w:hAnsi="Times New Roman" w:eastAsia="宋体" w:cs="Times New Roman"/>
      <w:sz w:val="21"/>
      <w:lang w:val="en-US" w:eastAsia="zh-CN" w:bidi="ar-SA"/>
    </w:rPr>
  </w:style>
  <w:style w:type="paragraph" w:styleId="1365" w:customStyle="1">
    <w:name w:val="Char Char1 Char Char Char Char Char Char Char Char"/>
    <w:basedOn w:val="958"/>
    <w:uiPriority w:val="0"/>
    <w:qFormat/>
    <w:pPr>
      <w:jc w:val="left"/>
      <w:spacing w:after="160" w:line="240" w:lineRule="exact"/>
      <w:widowControl/>
    </w:pPr>
    <w:rPr>
      <w:rFonts w:ascii="Verdana" w:hAnsi="Verdana"/>
      <w:sz w:val="20"/>
      <w:szCs w:val="20"/>
      <w:lang w:eastAsia="en-US"/>
    </w:rPr>
  </w:style>
  <w:style w:type="paragraph" w:styleId="1366" w:customStyle="1">
    <w:name w:val="项目编号3"/>
    <w:basedOn w:val="1328"/>
    <w:uiPriority w:val="0"/>
    <w:qFormat/>
    <w:pPr>
      <w:numPr>
        <w:ilvl w:val="0"/>
        <w:numId w:val="3"/>
      </w:numPr>
    </w:pPr>
  </w:style>
  <w:style w:type="paragraph" w:styleId="1367" w:customStyle="1">
    <w:name w:val="字元 字元1"/>
    <w:basedOn w:val="958"/>
    <w:uiPriority w:val="0"/>
    <w:qFormat/>
    <w:rPr>
      <w:rFonts w:ascii="Tahoma" w:hAnsi="Tahoma"/>
      <w:sz w:val="24"/>
      <w:szCs w:val="20"/>
    </w:rPr>
  </w:style>
  <w:style w:type="paragraph" w:styleId="1368" w:customStyle="1">
    <w:name w:val="xl23"/>
    <w:basedOn w:val="958"/>
    <w:uiPriority w:val="0"/>
    <w:qFormat/>
    <w:pPr>
      <w:spacing w:before="100" w:beforeAutospacing="1" w:after="100" w:afterAutospacing="1" w:line="360" w:lineRule="auto"/>
      <w:widowControl/>
    </w:pPr>
    <w:rPr>
      <w:sz w:val="24"/>
      <w:szCs w:val="20"/>
    </w:rPr>
  </w:style>
  <w:style w:type="paragraph" w:styleId="1369" w:customStyle="1">
    <w:name w:val="xl34"/>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70" w:customStyle="1">
    <w:name w:val="Char Char Char Char Char Char Char Char Char Char1"/>
    <w:basedOn w:val="958"/>
    <w:uiPriority w:val="0"/>
    <w:qFormat/>
    <w:rPr>
      <w:rFonts w:ascii="宋体" w:hAnsi="宋体" w:cs="Courier New"/>
      <w:sz w:val="32"/>
      <w:szCs w:val="32"/>
    </w:rPr>
  </w:style>
  <w:style w:type="paragraph" w:styleId="1371" w:customStyle="1">
    <w:name w:val="Char2 Char Char Char Char Char Char"/>
    <w:basedOn w:val="958"/>
    <w:uiPriority w:val="0"/>
    <w:qFormat/>
    <w:pPr>
      <w:jc w:val="center"/>
      <w:spacing w:line="400" w:lineRule="exact"/>
      <w:widowControl/>
    </w:pPr>
  </w:style>
  <w:style w:type="paragraph" w:styleId="1372" w:customStyle="1">
    <w:name w:val="五级条标题"/>
    <w:basedOn w:val="1373"/>
    <w:next w:val="958"/>
    <w:uiPriority w:val="0"/>
    <w:qFormat/>
    <w:pPr>
      <w:numPr>
        <w:ilvl w:val="5"/>
      </w:numPr>
      <w:ind w:left="0" w:hanging="840"/>
      <w:tabs>
        <w:tab w:val="left" w:pos="360" w:leader="none"/>
        <w:tab w:val="left" w:pos="840" w:leader="none"/>
      </w:tabs>
      <w:outlineLvl w:val="5"/>
    </w:pPr>
  </w:style>
  <w:style w:type="paragraph" w:styleId="1373" w:customStyle="1">
    <w:name w:val="四级条标题"/>
    <w:basedOn w:val="1334"/>
    <w:next w:val="958"/>
    <w:uiPriority w:val="0"/>
    <w:qFormat/>
    <w:pPr>
      <w:numPr>
        <w:ilvl w:val="4"/>
      </w:numPr>
      <w:ind w:left="0" w:hanging="840"/>
      <w:outlineLvl w:val="4"/>
    </w:pPr>
  </w:style>
  <w:style w:type="paragraph" w:styleId="1374" w:customStyle="1">
    <w:name w:val="xl50"/>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5" w:customStyle="1">
    <w:name w:val="Char Char Char1 Char2"/>
    <w:basedOn w:val="958"/>
    <w:uiPriority w:val="0"/>
    <w:qFormat/>
    <w:rPr>
      <w:rFonts w:ascii="Tahoma" w:hAnsi="Tahoma"/>
      <w:sz w:val="24"/>
      <w:szCs w:val="20"/>
    </w:rPr>
  </w:style>
  <w:style w:type="paragraph" w:styleId="1376" w:customStyle="1">
    <w:name w:val="xl29"/>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7" w:customStyle="1">
    <w:name w:val="正文须知-2级"/>
    <w:basedOn w:val="958"/>
    <w:uiPriority w:val="0"/>
    <w:qFormat/>
    <w:pPr>
      <w:numPr>
        <w:ilvl w:val="1"/>
        <w:numId w:val="4"/>
      </w:numPr>
      <w:spacing w:line="300" w:lineRule="auto"/>
    </w:pPr>
    <w:rPr>
      <w:rFonts w:ascii="宋体" w:hAnsi="Calibri"/>
      <w:sz w:val="24"/>
      <w:szCs w:val="21"/>
    </w:rPr>
  </w:style>
  <w:style w:type="paragraph" w:styleId="1378" w:customStyle="1">
    <w:name w:val="Table Paragraph"/>
    <w:basedOn w:val="958"/>
    <w:uiPriority w:val="1"/>
    <w:qFormat/>
    <w:pPr>
      <w:jc w:val="left"/>
    </w:pPr>
    <w:rPr>
      <w:rFonts w:ascii="宋体" w:hAnsi="宋体" w:cs="宋体"/>
      <w:sz w:val="22"/>
      <w:szCs w:val="22"/>
      <w:lang w:eastAsia="en-US"/>
    </w:rPr>
  </w:style>
  <w:style w:type="paragraph" w:styleId="1379" w:customStyle="1">
    <w:name w:val="xl24"/>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customStyle="1">
    <w:name w:val="22222222222222"/>
    <w:basedOn w:val="958"/>
    <w:uiPriority w:val="0"/>
    <w:qFormat/>
    <w:pPr>
      <w:ind w:firstLine="480"/>
      <w:jc w:val="left"/>
      <w:spacing w:line="360" w:lineRule="auto"/>
      <w:widowControl/>
    </w:pPr>
    <w:rPr>
      <w:color w:val="ff0000"/>
      <w:sz w:val="24"/>
      <w:szCs w:val="20"/>
    </w:rPr>
  </w:style>
  <w:style w:type="paragraph" w:styleId="1381" w:customStyle="1">
    <w:name w:val="项目编号1"/>
    <w:basedOn w:val="958"/>
    <w:uiPriority w:val="0"/>
    <w:qFormat/>
    <w:pPr>
      <w:numPr>
        <w:ilvl w:val="0"/>
        <w:numId w:val="5"/>
      </w:numPr>
      <w:spacing w:before="100" w:beforeAutospacing="1" w:after="100" w:afterAutospacing="1" w:line="360" w:lineRule="auto"/>
    </w:pPr>
    <w:rPr>
      <w:sz w:val="24"/>
    </w:rPr>
  </w:style>
  <w:style w:type="paragraph" w:styleId="1382" w:customStyle="1">
    <w:name w:val="正文 + 楷体_GB2312"/>
    <w:basedOn w:val="958"/>
    <w:uiPriority w:val="0"/>
    <w:qFormat/>
    <w:pPr>
      <w:jc w:val="left"/>
      <w:widowControl/>
    </w:pPr>
    <w:rPr>
      <w:rFonts w:ascii="楷体_GB2312" w:eastAsia="楷体_GB2312" w:cs="Arial"/>
      <w:sz w:val="24"/>
    </w:rPr>
  </w:style>
  <w:style w:type="paragraph" w:styleId="1383" w:customStyle="1">
    <w:name w:val="正文须知-1级"/>
    <w:basedOn w:val="958"/>
    <w:next w:val="958"/>
    <w:uiPriority w:val="0"/>
    <w:qFormat/>
    <w:pPr>
      <w:numPr>
        <w:ilvl w:val="0"/>
        <w:numId w:val="4"/>
      </w:numPr>
      <w:spacing w:line="300" w:lineRule="auto"/>
    </w:pPr>
    <w:rPr>
      <w:rFonts w:ascii="宋体" w:hAnsi="Calibri"/>
      <w:sz w:val="24"/>
      <w:szCs w:val="21"/>
    </w:rPr>
  </w:style>
  <w:style w:type="paragraph" w:styleId="1384" w:customStyle="1">
    <w:name w:val="Char Char1 Char Char Char Char Char Char"/>
    <w:basedOn w:val="958"/>
    <w:uiPriority w:val="0"/>
    <w:qFormat/>
    <w:pPr>
      <w:jc w:val="left"/>
      <w:spacing w:after="160" w:line="240" w:lineRule="exact"/>
      <w:widowControl/>
    </w:pPr>
    <w:rPr>
      <w:rFonts w:ascii="Verdana" w:hAnsi="Verdana" w:eastAsia="仿宋_GB2312"/>
      <w:sz w:val="24"/>
      <w:szCs w:val="20"/>
      <w:lang w:eastAsia="en-US"/>
    </w:rPr>
  </w:style>
  <w:style w:type="paragraph" w:styleId="1385" w:customStyle="1">
    <w:name w:val="表格文字"/>
    <w:basedOn w:val="1218"/>
    <w:uiPriority w:val="0"/>
    <w:qFormat/>
    <w:pPr>
      <w:ind w:firstLine="0"/>
      <w:spacing w:before="20" w:after="20" w:line="240" w:lineRule="auto"/>
    </w:pPr>
    <w:rPr>
      <w:rFonts w:ascii="Century Gothic" w:hAnsi="Century Gothic"/>
      <w:sz w:val="20"/>
      <w:szCs w:val="20"/>
    </w:rPr>
  </w:style>
  <w:style w:type="paragraph" w:styleId="1386" w:customStyle="1">
    <w:name w:val="xl30"/>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7" w:customStyle="1">
    <w:name w:val="表格1"/>
    <w:basedOn w:val="958"/>
    <w:uiPriority w:val="0"/>
    <w:qFormat/>
    <w:pPr>
      <w:ind w:firstLine="480"/>
      <w:jc w:val="center"/>
    </w:pPr>
    <w:rPr>
      <w:sz w:val="24"/>
      <w:szCs w:val="20"/>
    </w:rPr>
  </w:style>
  <w:style w:type="paragraph" w:styleId="1388" w:customStyle="1">
    <w:name w:val="background1"/>
    <w:basedOn w:val="958"/>
    <w:uiPriority w:val="0"/>
    <w:qFormat/>
    <w:pPr>
      <w:jc w:val="left"/>
      <w:spacing w:before="100" w:beforeAutospacing="1" w:after="100" w:afterAutospacing="1"/>
      <w:widowControl/>
    </w:pPr>
    <w:rPr>
      <w:rFonts w:ascii="宋体" w:hAnsi="宋体" w:cs="宋体"/>
      <w:sz w:val="24"/>
    </w:rPr>
  </w:style>
  <w:style w:type="paragraph" w:styleId="1389" w:customStyle="1">
    <w:name w:val="纯文本1"/>
    <w:next w:val="1238"/>
    <w:uiPriority w:val="0"/>
    <w:qFormat/>
    <w:pPr>
      <w:jc w:val="both"/>
      <w:widowControl w:val="off"/>
    </w:pPr>
    <w:rPr>
      <w:rFonts w:hint="default" w:ascii="宋体" w:hAnsi="宋体" w:eastAsia="宋体" w:cs="Times New Roman"/>
      <w:sz w:val="26"/>
      <w:lang w:val="en-US" w:eastAsia="zh-CN" w:bidi="ar-SA"/>
    </w:rPr>
  </w:style>
  <w:style w:type="paragraph" w:styleId="1390" w:customStyle="1">
    <w:name w:val="Char Char Char1 Char"/>
    <w:basedOn w:val="958"/>
    <w:uiPriority w:val="0"/>
    <w:qFormat/>
    <w:rPr>
      <w:rFonts w:ascii="Tahoma" w:hAnsi="Tahoma"/>
      <w:sz w:val="24"/>
      <w:szCs w:val="20"/>
    </w:rPr>
  </w:style>
  <w:style w:type="paragraph" w:styleId="1391" w:customStyle="1">
    <w:name w:val="font9"/>
    <w:basedOn w:val="95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92" w:customStyle="1">
    <w:name w:val="正文文本缩进2"/>
    <w:basedOn w:val="958"/>
    <w:uiPriority w:val="0"/>
    <w:qFormat/>
    <w:pPr>
      <w:ind w:firstLine="480"/>
      <w:spacing w:line="480" w:lineRule="exact"/>
    </w:pPr>
    <w:rPr>
      <w:rFonts w:ascii="宋体" w:hAnsi="宋体"/>
      <w:sz w:val="24"/>
      <w:lang w:val="zh-CN"/>
    </w:rPr>
  </w:style>
  <w:style w:type="paragraph" w:styleId="1393" w:customStyle="1">
    <w:name w:val="正文文本样式 加粗"/>
    <w:basedOn w:val="1328"/>
    <w:uiPriority w:val="0"/>
    <w:qFormat/>
    <w:rPr>
      <w:b/>
    </w:rPr>
  </w:style>
  <w:style w:type="paragraph" w:styleId="1394" w:customStyle="1">
    <w:name w:val="正文须知-3级"/>
    <w:basedOn w:val="958"/>
    <w:uiPriority w:val="0"/>
    <w:qFormat/>
    <w:pPr>
      <w:numPr>
        <w:ilvl w:val="2"/>
        <w:numId w:val="4"/>
      </w:numPr>
      <w:ind w:hanging="355"/>
      <w:spacing w:line="300" w:lineRule="auto"/>
    </w:pPr>
    <w:rPr>
      <w:rFonts w:ascii="宋体" w:hAnsi="Calibri"/>
      <w:sz w:val="24"/>
      <w:szCs w:val="21"/>
    </w:rPr>
  </w:style>
  <w:style w:type="paragraph" w:styleId="1395" w:customStyle="1">
    <w:name w:val="Char3 Char Char Char"/>
    <w:basedOn w:val="958"/>
    <w:uiPriority w:val="0"/>
    <w:qFormat/>
    <w:rPr>
      <w:rFonts w:ascii="Tahoma" w:hAnsi="Tahoma"/>
      <w:sz w:val="24"/>
      <w:szCs w:val="20"/>
    </w:rPr>
  </w:style>
  <w:style w:type="paragraph" w:styleId="1396" w:customStyle="1">
    <w:name w:val="Char Char Char Char Char Char Char Char Char Char Char Char Char Char Char Char"/>
    <w:basedOn w:val="958"/>
    <w:uiPriority w:val="0"/>
    <w:qFormat/>
    <w:pPr>
      <w:jc w:val="center"/>
      <w:spacing w:after="160" w:line="240" w:lineRule="exact"/>
      <w:widowControl/>
    </w:pPr>
    <w:rPr>
      <w:rFonts w:ascii="宋体" w:hAnsi="宋体"/>
      <w:b/>
      <w:sz w:val="30"/>
      <w:szCs w:val="30"/>
      <w:lang w:eastAsia="en-US"/>
    </w:rPr>
  </w:style>
  <w:style w:type="paragraph" w:styleId="1397" w:customStyle="1">
    <w:name w:val="Char Char Char"/>
    <w:basedOn w:val="958"/>
    <w:uiPriority w:val="0"/>
    <w:qFormat/>
    <w:rPr>
      <w:rFonts w:ascii="Tahoma" w:hAnsi="Tahoma"/>
      <w:sz w:val="24"/>
      <w:szCs w:val="20"/>
    </w:rPr>
  </w:style>
  <w:style w:type="paragraph" w:styleId="1398" w:customStyle="1">
    <w:name w:val="_Style 160"/>
    <w:uiPriority w:val="0"/>
    <w:qFormat/>
    <w:rPr>
      <w:rFonts w:hint="default" w:ascii="Times New Roman" w:hAnsi="Times New Roman" w:eastAsia="宋体" w:cs="Times New Roman"/>
      <w:sz w:val="21"/>
      <w:szCs w:val="24"/>
      <w:lang w:val="en-US" w:eastAsia="zh-CN" w:bidi="ar-SA"/>
    </w:rPr>
  </w:style>
  <w:style w:type="paragraph" w:styleId="1399" w:customStyle="1">
    <w:name w:val="xl36"/>
    <w:basedOn w:val="95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0"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401" w:customStyle="1">
    <w:name w:val="Char Char1"/>
    <w:basedOn w:val="1212"/>
    <w:uiPriority w:val="0"/>
    <w:qFormat/>
    <w:rPr>
      <w:rFonts w:ascii="Tahoma" w:hAnsi="Tahoma"/>
      <w:sz w:val="24"/>
    </w:rPr>
  </w:style>
  <w:style w:type="paragraph" w:styleId="1402" w:customStyle="1">
    <w:name w:val="正文列项_字母"/>
    <w:basedOn w:val="958"/>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403" w:customStyle="1">
    <w:name w:val="图例"/>
    <w:basedOn w:val="958"/>
    <w:uiPriority w:val="0"/>
    <w:qFormat/>
    <w:pPr>
      <w:jc w:val="center"/>
      <w:spacing w:before="120" w:after="120" w:line="360" w:lineRule="auto"/>
    </w:pPr>
    <w:rPr>
      <w:rFonts w:eastAsia="仿宋_GB2312"/>
      <w:b/>
      <w:sz w:val="24"/>
      <w:szCs w:val="20"/>
    </w:rPr>
  </w:style>
  <w:style w:type="paragraph" w:styleId="1404" w:customStyle="1">
    <w:name w:val="xl39"/>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5" w:customStyle="1">
    <w:name w:val="xl37"/>
    <w:basedOn w:val="9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6" w:customStyle="1">
    <w:name w:val="xl48"/>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07" w:customStyle="1">
    <w:name w:val="项目编号2"/>
    <w:basedOn w:val="1381"/>
    <w:uiPriority w:val="0"/>
    <w:qFormat/>
    <w:pPr>
      <w:numPr>
        <w:numId w:val="6"/>
      </w:numPr>
    </w:pPr>
  </w:style>
  <w:style w:type="paragraph" w:styleId="1408" w:customStyle="1">
    <w:name w:val="样式 标题 2 + 宋体 五号 行距: 单倍行距"/>
    <w:basedOn w:val="1187"/>
    <w:uiPriority w:val="0"/>
    <w:qFormat/>
    <w:pPr>
      <w:numPr>
        <w:ilvl w:val="1"/>
        <w:numId w:val="7"/>
      </w:numPr>
      <w:jc w:val="left"/>
      <w:spacing w:before="260" w:after="260" w:line="240" w:lineRule="auto"/>
    </w:pPr>
    <w:rPr>
      <w:rFonts w:ascii="宋体" w:hAnsi="宋体" w:eastAsia="宋体"/>
      <w:bCs/>
      <w:sz w:val="21"/>
    </w:rPr>
  </w:style>
  <w:style w:type="paragraph" w:styleId="140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410" w:customStyle="1">
    <w:name w:val="xl44"/>
    <w:basedOn w:val="9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11" w:customStyle="1">
    <w:name w:val="样式2"/>
    <w:basedOn w:val="1247"/>
    <w:uiPriority w:val="0"/>
    <w:qFormat/>
    <w:pPr>
      <w:jc w:val="center"/>
      <w:spacing w:line="360" w:lineRule="auto"/>
    </w:pPr>
    <w:rPr>
      <w:sz w:val="24"/>
    </w:rPr>
  </w:style>
  <w:style w:type="paragraph" w:styleId="1412" w:customStyle="1">
    <w:name w:val="xl51"/>
    <w:basedOn w:val="9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3" w:customStyle="1">
    <w:name w:val="图文"/>
    <w:basedOn w:val="958"/>
    <w:uiPriority w:val="0"/>
    <w:qFormat/>
    <w:pPr>
      <w:spacing w:after="50" w:line="360" w:lineRule="auto"/>
    </w:pPr>
    <w:rPr>
      <w:sz w:val="24"/>
    </w:rPr>
  </w:style>
  <w:style w:type="paragraph" w:styleId="1414" w:customStyle="1">
    <w:name w:val="Char Char Char Char Char Char Char Char Char Char Char Char Char Char Char Char1"/>
    <w:basedOn w:val="958"/>
    <w:uiPriority w:val="0"/>
    <w:qFormat/>
    <w:pPr>
      <w:jc w:val="center"/>
      <w:spacing w:after="160" w:line="240" w:lineRule="exact"/>
      <w:widowControl/>
    </w:pPr>
    <w:rPr>
      <w:rFonts w:ascii="宋体" w:hAnsi="宋体"/>
      <w:b/>
      <w:sz w:val="30"/>
      <w:szCs w:val="30"/>
      <w:lang w:eastAsia="en-US"/>
    </w:rPr>
  </w:style>
  <w:style w:type="paragraph" w:styleId="1415" w:customStyle="1">
    <w:name w:val="正文 + 宋体"/>
    <w:basedOn w:val="958"/>
    <w:uiPriority w:val="0"/>
    <w:qFormat/>
    <w:pPr>
      <w:ind w:left="360" w:hanging="360"/>
      <w:jc w:val="left"/>
      <w:widowControl/>
    </w:pPr>
    <w:rPr>
      <w:rFonts w:ascii="宋体" w:hAnsi="宋体" w:cs="宋体"/>
      <w:b/>
      <w:bCs/>
      <w:color w:val="000000"/>
      <w:sz w:val="18"/>
      <w:szCs w:val="18"/>
    </w:rPr>
  </w:style>
  <w:style w:type="paragraph" w:styleId="1416" w:customStyle="1">
    <w:name w:val="Char3 Char Char Char2"/>
    <w:basedOn w:val="958"/>
    <w:uiPriority w:val="0"/>
    <w:qFormat/>
    <w:rPr>
      <w:rFonts w:ascii="Tahoma" w:hAnsi="Tahoma"/>
      <w:sz w:val="24"/>
      <w:szCs w:val="20"/>
    </w:rPr>
  </w:style>
  <w:style w:type="paragraph" w:styleId="1417" w:customStyle="1">
    <w:name w:val="xl27"/>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8" w:customStyle="1">
    <w:name w:val="Char Char1 Char Char Char Char Char Char1"/>
    <w:basedOn w:val="958"/>
    <w:uiPriority w:val="0"/>
    <w:qFormat/>
    <w:pPr>
      <w:jc w:val="left"/>
      <w:spacing w:after="160" w:line="240" w:lineRule="exact"/>
      <w:widowControl/>
    </w:pPr>
    <w:rPr>
      <w:rFonts w:ascii="Verdana" w:hAnsi="Verdana" w:eastAsia="仿宋_GB2312"/>
      <w:sz w:val="24"/>
      <w:szCs w:val="20"/>
      <w:lang w:eastAsia="en-US"/>
    </w:rPr>
  </w:style>
  <w:style w:type="paragraph" w:styleId="1419" w:customStyle="1">
    <w:name w:val="1 Char Char Char Char"/>
    <w:basedOn w:val="958"/>
    <w:uiPriority w:val="0"/>
    <w:qFormat/>
    <w:rPr>
      <w:rFonts w:ascii="Tahoma" w:hAnsi="Tahoma"/>
      <w:sz w:val="24"/>
      <w:szCs w:val="20"/>
    </w:rPr>
  </w:style>
  <w:style w:type="paragraph" w:styleId="1420" w:customStyle="1">
    <w:name w:val="List Paragraph1"/>
    <w:basedOn w:val="958"/>
    <w:uiPriority w:val="0"/>
    <w:qFormat/>
    <w:pPr>
      <w:ind w:firstLine="420"/>
    </w:pPr>
    <w:rPr>
      <w:rFonts w:ascii="Calibri" w:hAnsi="Calibri"/>
      <w:szCs w:val="22"/>
    </w:rPr>
  </w:style>
  <w:style w:type="paragraph" w:styleId="1421" w:customStyle="1">
    <w:name w:val="文档正文"/>
    <w:basedOn w:val="958"/>
    <w:uiPriority w:val="0"/>
    <w:qFormat/>
    <w:pPr>
      <w:spacing w:before="120" w:after="120" w:line="180" w:lineRule="auto"/>
    </w:pPr>
    <w:rPr>
      <w:rFonts w:ascii="Arial" w:hAnsi="Arial"/>
      <w:szCs w:val="20"/>
    </w:rPr>
  </w:style>
  <w:style w:type="paragraph" w:styleId="1422" w:customStyle="1">
    <w:name w:val="xl32"/>
    <w:basedOn w:val="9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3" w:customStyle="1">
    <w:name w:val="列出段落2"/>
    <w:basedOn w:val="958"/>
    <w:uiPriority w:val="0"/>
    <w:qFormat/>
    <w:pPr>
      <w:ind w:firstLine="420"/>
    </w:pPr>
    <w:rPr>
      <w:rFonts w:ascii="Calibri" w:hAnsi="Calibri"/>
      <w:szCs w:val="22"/>
    </w:rPr>
  </w:style>
  <w:style w:type="paragraph" w:styleId="1424" w:customStyle="1">
    <w:name w:val="font6"/>
    <w:basedOn w:val="958"/>
    <w:uiPriority w:val="0"/>
    <w:qFormat/>
    <w:pPr>
      <w:jc w:val="left"/>
      <w:spacing w:before="100" w:beforeAutospacing="1" w:after="100" w:afterAutospacing="1"/>
      <w:widowControl/>
    </w:pPr>
    <w:rPr>
      <w:rFonts w:ascii="宋体" w:hAnsi="宋体" w:cs="宋体"/>
      <w:sz w:val="20"/>
      <w:szCs w:val="20"/>
    </w:rPr>
  </w:style>
  <w:style w:type="paragraph" w:styleId="1425" w:customStyle="1">
    <w:name w:val="xl43"/>
    <w:basedOn w:val="9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26" w:customStyle="1">
    <w:name w:val="Char3"/>
    <w:basedOn w:val="958"/>
    <w:uiPriority w:val="0"/>
    <w:qFormat/>
    <w:pPr>
      <w:tabs>
        <w:tab w:val="left" w:pos="360" w:leader="none"/>
      </w:tabs>
    </w:pPr>
    <w:rPr>
      <w:sz w:val="24"/>
    </w:rPr>
  </w:style>
  <w:style w:type="paragraph" w:styleId="1427" w:customStyle="1">
    <w:name w:val="样式 宋体 五号 行距: 单倍行距"/>
    <w:basedOn w:val="958"/>
    <w:uiPriority w:val="0"/>
    <w:qFormat/>
    <w:pPr>
      <w:jc w:val="left"/>
    </w:pPr>
    <w:rPr>
      <w:rFonts w:ascii="宋体" w:hAnsi="宋体"/>
      <w:szCs w:val="20"/>
    </w:rPr>
  </w:style>
  <w:style w:type="paragraph" w:styleId="1428" w:customStyle="1">
    <w:name w:val="标题1-附件"/>
    <w:basedOn w:val="1186"/>
    <w:uiPriority w:val="0"/>
    <w:qFormat/>
    <w:pPr>
      <w:jc w:val="left"/>
    </w:pPr>
    <w:rPr>
      <w:sz w:val="24"/>
      <w:szCs w:val="24"/>
    </w:rPr>
  </w:style>
  <w:style w:type="paragraph" w:styleId="1429" w:customStyle="1">
    <w:name w:val="default"/>
    <w:basedOn w:val="958"/>
    <w:uiPriority w:val="0"/>
    <w:qFormat/>
    <w:pPr>
      <w:jc w:val="left"/>
      <w:spacing w:before="100" w:beforeAutospacing="1" w:after="100" w:afterAutospacing="1"/>
      <w:widowControl/>
    </w:pPr>
    <w:rPr>
      <w:rFonts w:ascii="宋体" w:hAnsi="宋体" w:cs="宋体"/>
      <w:sz w:val="24"/>
    </w:rPr>
  </w:style>
  <w:style w:type="paragraph" w:styleId="1430" w:customStyle="1">
    <w:name w:val="font7"/>
    <w:basedOn w:val="958"/>
    <w:uiPriority w:val="0"/>
    <w:qFormat/>
    <w:pPr>
      <w:jc w:val="left"/>
      <w:spacing w:before="100" w:beforeAutospacing="1" w:after="100" w:afterAutospacing="1"/>
      <w:widowControl/>
    </w:pPr>
    <w:rPr>
      <w:rFonts w:eastAsia="Arial Unicode MS"/>
      <w:b/>
      <w:bCs/>
      <w:color w:val="000000"/>
      <w:sz w:val="20"/>
      <w:szCs w:val="20"/>
    </w:rPr>
  </w:style>
  <w:style w:type="paragraph" w:styleId="1431" w:customStyle="1">
    <w:name w:val="1名"/>
    <w:basedOn w:val="958"/>
    <w:uiPriority w:val="0"/>
    <w:qFormat/>
    <w:pPr>
      <w:numPr>
        <w:ilvl w:val="0"/>
        <w:numId w:val="8"/>
      </w:numPr>
      <w:spacing w:before="120"/>
    </w:pPr>
    <w:rPr>
      <w:rFonts w:ascii="宋体"/>
      <w:sz w:val="28"/>
      <w:szCs w:val="20"/>
    </w:rPr>
  </w:style>
  <w:style w:type="paragraph" w:styleId="1432" w:customStyle="1">
    <w:name w:val="Char21"/>
    <w:basedOn w:val="958"/>
    <w:uiPriority w:val="0"/>
    <w:qFormat/>
    <w:rPr>
      <w:rFonts w:ascii="Tahoma" w:hAnsi="Tahoma"/>
      <w:sz w:val="24"/>
      <w:szCs w:val="20"/>
    </w:rPr>
  </w:style>
  <w:style w:type="paragraph" w:styleId="1433" w:customStyle="1">
    <w:name w:val="Char22"/>
    <w:basedOn w:val="958"/>
    <w:uiPriority w:val="0"/>
    <w:qFormat/>
    <w:rPr>
      <w:rFonts w:ascii="Tahoma" w:hAnsi="Tahoma"/>
      <w:sz w:val="24"/>
      <w:szCs w:val="20"/>
    </w:rPr>
  </w:style>
  <w:style w:type="paragraph" w:styleId="1434" w:customStyle="1">
    <w:name w:val="xl26"/>
    <w:basedOn w:val="9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43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436" w:customStyle="1">
    <w:name w:val="font21"/>
    <w:basedOn w:val="1196"/>
    <w:uiPriority w:val="0"/>
    <w:qFormat/>
    <w:rPr>
      <w:rFonts w:hint="eastAsia" w:ascii="宋体" w:hAnsi="宋体" w:eastAsia="宋体" w:cs="宋体"/>
      <w:color w:val="000000"/>
      <w:sz w:val="24"/>
      <w:szCs w:val="24"/>
      <w:u w:val="none"/>
    </w:rPr>
  </w:style>
  <w:style w:type="character" w:styleId="1437" w:customStyle="1">
    <w:name w:val="font41"/>
    <w:basedOn w:val="1196"/>
    <w:uiPriority w:val="0"/>
    <w:qFormat/>
    <w:rPr>
      <w:rFonts w:hint="eastAsia" w:ascii="宋体" w:hAnsi="宋体" w:eastAsia="宋体" w:cs="宋体"/>
      <w:color w:val="000000"/>
      <w:sz w:val="24"/>
      <w:szCs w:val="24"/>
      <w:u w:val="none"/>
      <w:vertAlign w:val="subscript"/>
    </w:rPr>
  </w:style>
  <w:style w:type="character" w:styleId="1438" w:customStyle="1">
    <w:name w:val="font11"/>
    <w:basedOn w:val="1196"/>
    <w:uiPriority w:val="0"/>
    <w:qFormat/>
    <w:rPr>
      <w:rFonts w:hint="eastAsia" w:ascii="宋体" w:hAnsi="宋体" w:eastAsia="宋体" w:cs="宋体"/>
      <w:color w:val="000000"/>
      <w:sz w:val="22"/>
      <w:szCs w:val="22"/>
      <w:u w:val="none"/>
    </w:rPr>
  </w:style>
  <w:style w:type="paragraph" w:styleId="1439" w:customStyle="1">
    <w:name w:val="p0"/>
    <w:basedOn w:val="958"/>
    <w:uiPriority w:val="0"/>
    <w:qFormat/>
    <w:pPr>
      <w:jc w:val="left"/>
      <w:spacing w:before="100" w:beforeAutospacing="1" w:after="100" w:afterAutospacing="1"/>
      <w:widowControl/>
    </w:pPr>
    <w:rPr>
      <w:rFonts w:ascii="宋体" w:hAnsi="宋体" w:cs="宋体"/>
      <w:sz w:val="24"/>
    </w:rPr>
  </w:style>
  <w:style w:type="character" w:styleId="1440" w:customStyle="1">
    <w:name w:val="font31"/>
    <w:basedOn w:val="968"/>
    <w:uiPriority w:val="0"/>
    <w:qFormat/>
    <w:rPr>
      <w:rFonts w:hint="eastAsia" w:ascii="微软雅黑" w:hAnsi="微软雅黑" w:eastAsia="微软雅黑" w:cs="微软雅黑"/>
      <w:color w:val="000000"/>
      <w:sz w:val="20"/>
      <w:szCs w:val="20"/>
      <w:u w:val="none"/>
    </w:rPr>
  </w:style>
  <w:style w:type="character" w:styleId="1441" w:customStyle="1">
    <w:name w:val="font61"/>
    <w:basedOn w:val="968"/>
    <w:uiPriority w:val="0"/>
    <w:qFormat/>
    <w:rPr>
      <w:rFonts w:hint="eastAsia" w:ascii="微软雅黑" w:hAnsi="微软雅黑" w:eastAsia="微软雅黑" w:cs="微软雅黑"/>
      <w:b/>
      <w:bCs/>
      <w:color w:val="000000"/>
      <w:sz w:val="20"/>
      <w:szCs w:val="20"/>
      <w:u w:val="none"/>
    </w:rPr>
  </w:style>
  <w:style w:type="character" w:styleId="1442" w:customStyle="1">
    <w:name w:val="font71"/>
    <w:basedOn w:val="968"/>
    <w:uiPriority w:val="0"/>
    <w:qFormat/>
    <w:rPr>
      <w:rFonts w:hint="eastAsia" w:ascii="微软雅黑" w:hAnsi="微软雅黑" w:eastAsia="微软雅黑" w:cs="微软雅黑"/>
      <w:color w:val="000000"/>
      <w:sz w:val="20"/>
      <w:szCs w:val="20"/>
      <w:u w:val="none"/>
    </w:rPr>
  </w:style>
  <w:style w:type="character" w:styleId="1443" w:customStyle="1">
    <w:name w:val="font101"/>
    <w:basedOn w:val="968"/>
    <w:uiPriority w:val="0"/>
    <w:qFormat/>
    <w:rPr>
      <w:rFonts w:hint="eastAsia" w:ascii="微软雅黑" w:hAnsi="微软雅黑" w:eastAsia="微软雅黑" w:cs="微软雅黑"/>
      <w:b/>
      <w:bCs/>
      <w:color w:val="000000"/>
      <w:sz w:val="20"/>
      <w:szCs w:val="20"/>
      <w:u w:val="none"/>
    </w:rPr>
  </w:style>
  <w:style w:type="character" w:styleId="1444" w:customStyle="1">
    <w:name w:val="15"/>
    <w:uiPriority w:val="0"/>
    <w:qFormat/>
    <w:rPr>
      <w:rFonts w:ascii="Times New Roman" w:hAnsi="Times New Roman" w:cs="Times New Roman"/>
      <w:sz w:val="21"/>
      <w:szCs w:val="21"/>
    </w:rPr>
  </w:style>
  <w:style w:type="character" w:styleId="1445" w:customStyle="1">
    <w:name w:val="批注文字 字符1"/>
    <w:basedOn w:val="968"/>
    <w:link w:val="973"/>
    <w:uiPriority w:val="99"/>
    <w:semiHidden/>
    <w:qFormat/>
    <w:rPr>
      <w:sz w:val="21"/>
      <w:szCs w:val="24"/>
    </w:rPr>
  </w:style>
  <w:style w:type="character" w:styleId="1446" w:customStyle="1">
    <w:name w:val="批注主题 字符"/>
    <w:basedOn w:val="1445"/>
    <w:link w:val="991"/>
    <w:uiPriority w:val="99"/>
    <w:semiHidden/>
    <w:qFormat/>
    <w:rPr>
      <w:b/>
      <w:bCs/>
      <w:sz w:val="21"/>
      <w:szCs w:val="24"/>
    </w:rPr>
  </w:style>
  <w:style w:type="character" w:styleId="1447" w:customStyle="1">
    <w:name w:val="批注框文本 字符"/>
    <w:basedOn w:val="968"/>
    <w:link w:val="979"/>
    <w:uiPriority w:val="99"/>
    <w:semiHidden/>
    <w:qFormat/>
    <w:rPr>
      <w:sz w:val="18"/>
      <w:szCs w:val="18"/>
    </w:rPr>
  </w:style>
  <w:style w:type="character" w:styleId="1448" w:customStyle="1">
    <w:name w:val="font112"/>
    <w:basedOn w:val="968"/>
    <w:uiPriority w:val="0"/>
    <w:qFormat/>
    <w:rPr>
      <w:rFonts w:hint="eastAsia" w:ascii="宋体" w:hAnsi="宋体" w:eastAsia="宋体" w:cs="宋体"/>
      <w:color w:val="000000"/>
      <w:sz w:val="18"/>
      <w:szCs w:val="18"/>
      <w:u w:val="none"/>
    </w:rPr>
  </w:style>
  <w:style w:type="character" w:styleId="1449" w:customStyle="1">
    <w:name w:val="font201"/>
    <w:basedOn w:val="968"/>
    <w:uiPriority w:val="0"/>
    <w:qFormat/>
    <w:rPr>
      <w:rFonts w:ascii="Calibri" w:hAnsi="Calibri" w:cs="Calibri"/>
      <w:color w:val="000000"/>
      <w:sz w:val="18"/>
      <w:szCs w:val="18"/>
      <w:u w:val="none"/>
    </w:rPr>
  </w:style>
  <w:style w:type="numbering" w:styleId="14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叶居上</cp:lastModifiedBy>
  <cp:revision>17</cp:revision>
  <dcterms:created xsi:type="dcterms:W3CDTF">2024-07-15T01:01:00Z</dcterms:created>
  <dcterms:modified xsi:type="dcterms:W3CDTF">2025-06-12T08:52:08Z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86F441DFF9104C36BAE400790A6EFF9D_13</vt:lpwstr>
  </property>
  <property fmtid="{D5CDD505-2E9C-101B-9397-08002B2CF9AE}" pid="4" name="KSOTemplateDocerSaveRecord">
    <vt:lpwstr>eyJoZGlkIjoiNmVkNWMyOGZmNmQ5YTRlMzY4ODExOTljYThlMTcwNDUiLCJ1c2VySWQiOiIxNDYzMjU5NCJ9</vt:lpwstr>
  </property>
</Properties>
</file>