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5"/>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p>
    <w:p>
      <w:pPr>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项目名称：南京晓庄学院人工智能互动平台设备</w:t>
      </w:r>
      <w:r>
        <w:rPr>
          <w:rFonts w:hint="eastAsia" w:ascii="Arial" w:hAnsi="Arial" w:eastAsia="宋体" w:cs="Times New Roman"/>
          <w:b/>
          <w:bCs/>
          <w:color w:val="000000"/>
          <w:sz w:val="32"/>
          <w:szCs w:val="24"/>
          <w:lang w:val="en-US" w:eastAsia="zh-CN"/>
        </w:rPr>
        <w:t xml:space="preserve"> </w:t>
      </w:r>
      <w:r/>
    </w:p>
    <w:p>
      <w:pPr>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JSZC-320100-JZCG-X2025-0092</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5"/>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2025年4月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1025"/>
        <w:ind w:firstLine="0"/>
        <w:jc w:val="center"/>
        <w:rPr>
          <w:rFonts w:hint="eastAsia" w:ascii="Arial" w:hAnsi="Arial"/>
          <w:sz w:val="24"/>
          <w:szCs w:val="24"/>
        </w:rPr>
      </w:pPr>
      <w:r>
        <w:rPr>
          <w:rFonts w:hint="eastAsia" w:ascii="Arial" w:hAnsi="Arial"/>
          <w:sz w:val="24"/>
          <w:szCs w:val="24"/>
        </w:rPr>
      </w:r>
      <w:r/>
    </w:p>
    <w:p>
      <w:pPr>
        <w:pStyle w:val="1025"/>
        <w:ind w:firstLine="0"/>
        <w:jc w:val="center"/>
        <w:rPr>
          <w:rFonts w:hint="eastAsia" w:ascii="Arial" w:hAnsi="Arial"/>
          <w:sz w:val="24"/>
          <w:szCs w:val="24"/>
        </w:rPr>
      </w:pPr>
      <w:r>
        <w:rPr>
          <w:rFonts w:hint="eastAsia" w:ascii="Arial" w:hAnsi="Arial"/>
          <w:sz w:val="24"/>
          <w:szCs w:val="24"/>
        </w:rPr>
      </w:r>
      <w:r/>
    </w:p>
    <w:p>
      <w:pPr>
        <w:pStyle w:val="1025"/>
        <w:ind w:firstLine="0"/>
        <w:jc w:val="center"/>
        <w:rPr>
          <w:rFonts w:hint="eastAsia" w:ascii="Arial" w:hAnsi="Arial"/>
          <w:sz w:val="24"/>
          <w:szCs w:val="24"/>
        </w:rPr>
      </w:pPr>
      <w:r>
        <w:rPr>
          <w:rFonts w:hint="eastAsia" w:ascii="Arial" w:hAnsi="Arial"/>
          <w:sz w:val="24"/>
          <w:szCs w:val="24"/>
        </w:rPr>
        <w:t xml:space="preserve"> </w:t>
      </w:r>
      <w:r/>
    </w:p>
    <w:p>
      <w:pPr>
        <w:pStyle w:val="1025"/>
        <w:ind w:firstLine="0"/>
        <w:jc w:val="center"/>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21</w:t>
      </w:r>
      <w:r/>
    </w:p>
    <w:p>
      <w:pPr>
        <w:pStyle w:val="1007"/>
        <w:ind w:left="0" w:firstLine="0"/>
        <w:rPr>
          <w:rFonts w:hint="eastAsia"/>
        </w:rPr>
      </w:pPr>
      <w:r>
        <w:rPr>
          <w:rFonts w:hint="eastAsia"/>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p>
    <w:p>
      <w:pPr>
        <w:ind w:firstLine="480"/>
        <w:pageBreakBefore w:val="0"/>
        <w:spacing w:line="264" w:lineRule="auto"/>
        <w:widowControl w:val="off"/>
        <w:rPr>
          <w:rFonts w:hint="eastAsia" w:ascii="宋体" w:hAnsi="宋体"/>
          <w:sz w:val="24"/>
          <w:szCs w:val="24"/>
        </w:rPr>
      </w:pPr>
      <w:r/>
      <w:bookmarkStart w:id="6" w:name="_Toc120614211"/>
      <w:r/>
      <w:r/>
    </w:p>
    <w:p>
      <w:pPr>
        <w:ind w:firstLine="480"/>
        <w:pageBreakBefore w:val="0"/>
        <w:spacing w:line="264" w:lineRule="auto"/>
        <w:widowControl w:val="off"/>
        <w:rPr>
          <w:rFonts w:hint="eastAsia" w:ascii="宋体" w:hAnsi="宋体" w:cs="宋体"/>
          <w:bCs/>
          <w:color w:val="000000"/>
          <w:szCs w:val="21"/>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南京晓庄学院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color w:val="000000"/>
          <w:sz w:val="24"/>
          <w:szCs w:val="24"/>
        </w:rPr>
        <w:t xml:space="preserve">南京晓庄学院人工智能互动平台设备</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w:t>
      </w:r>
      <w:r>
        <w:rPr>
          <w:rFonts w:hint="eastAsia" w:ascii="宋体" w:hAnsi="宋体" w:eastAsia="宋体" w:cs="Times New Roman"/>
          <w:color w:val="000000"/>
          <w:sz w:val="24"/>
          <w:szCs w:val="24"/>
        </w:rPr>
        <w:t xml:space="preserve">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询价采购，欢迎符合条件的供应商</w:t>
      </w:r>
      <w:r>
        <w:rPr>
          <w:rFonts w:hint="eastAsia" w:ascii="宋体" w:hAnsi="宋体" w:eastAsia="宋体" w:cs="Times New Roman"/>
          <w:color w:val="000000"/>
          <w:sz w:val="24"/>
          <w:szCs w:val="24"/>
          <w:lang w:val="zh-CN"/>
        </w:rPr>
        <w:t xml:space="preserve">提交响应文件，并一次性报出不得更改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val="zh-CN"/>
        </w:rPr>
        <w:t xml:space="preserve">价格</w:t>
      </w:r>
      <w:r>
        <w:rPr>
          <w:rFonts w:hint="eastAsia" w:ascii="宋体" w:hAnsi="宋体" w:eastAsia="宋体" w:cs="Times New Roman"/>
          <w:color w:val="000000"/>
          <w:sz w:val="24"/>
          <w:szCs w:val="24"/>
        </w:rPr>
        <w:t xml:space="preserve">。</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w:t>
      </w:r>
      <w:r>
        <w:rPr>
          <w:rFonts w:hint="eastAsia" w:ascii="宋体" w:hAnsi="宋体" w:cs="Times New Roman"/>
          <w:color w:val="000000"/>
          <w:sz w:val="24"/>
          <w:szCs w:val="24"/>
          <w:lang w:eastAsia="zh-CN"/>
        </w:rPr>
        <w:t xml:space="preserve">JSZC-320100-JZCG-X2025-0092</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2.项目名称：南京晓庄学院人工智能互动平台设备</w:t>
      </w:r>
      <w:r/>
    </w:p>
    <w:p>
      <w:pPr>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t xml:space="preserve">万元</w:t>
      </w:r>
      <w:r/>
    </w:p>
    <w:p>
      <w:pPr>
        <w:ind w:firstLine="480"/>
        <w:pageBreakBefore w:val="0"/>
        <w:spacing w:line="264"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p>
    <w:p>
      <w:pPr>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bookmarkStart w:id="7" w:name="OLE_LINK1"/>
      <w:r>
        <w:rPr>
          <w:rFonts w:hint="eastAsia" w:ascii="宋体" w:hAnsi="宋体"/>
          <w:sz w:val="24"/>
          <w:szCs w:val="24"/>
        </w:rPr>
        <w:t xml:space="preserve">人工智能互动平台设备采购</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询价</w:t>
      </w:r>
      <w:r>
        <w:rPr>
          <w:rFonts w:hint="eastAsia" w:ascii="宋体" w:hAnsi="宋体" w:cs="宋体"/>
          <w:color w:val="000000"/>
          <w:sz w:val="24"/>
          <w:szCs w:val="24"/>
        </w:rPr>
        <w:t xml:space="preserve">文件第四章）</w:t>
      </w:r>
      <w:bookmarkEnd w:id="7"/>
      <w:r>
        <w:rPr>
          <w:rFonts w:hint="eastAsia" w:ascii="宋体" w:hAnsi="宋体" w:cs="宋体"/>
          <w:color w:val="000000"/>
          <w:sz w:val="24"/>
          <w:szCs w:val="24"/>
        </w:rPr>
        <w:t xml:space="preserve"> </w:t>
      </w:r>
      <w:r/>
    </w:p>
    <w:p>
      <w:pPr>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eastAsia="宋体"/>
          <w:color w:val="000000"/>
          <w:sz w:val="24"/>
          <w:szCs w:val="24"/>
          <w:lang w:val="en-US" w:eastAsia="zh-CN"/>
        </w:rPr>
        <w:t xml:space="preserve">合同签订后15天内完成交货及验收。</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Times New Roman"/>
          <w:color w:val="000000"/>
          <w:sz w:val="24"/>
          <w:szCs w:val="24"/>
          <w:lang w:val="en-US" w:eastAsia="zh-CN"/>
        </w:rPr>
        <w:t xml:space="preserve">进口产品。</w:t>
      </w:r>
      <w:r/>
    </w:p>
    <w:p>
      <w:pPr>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p>
    <w:p>
      <w:pPr>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w:t>
      </w:r>
      <w:r>
        <w:rPr>
          <w:rFonts w:hint="eastAsia" w:ascii="宋体" w:hAnsi="宋体" w:eastAsia="宋体" w:cs="宋体"/>
          <w:color w:val="000000"/>
          <w:sz w:val="24"/>
          <w:szCs w:val="24"/>
          <w:lang w:eastAsia="zh-CN"/>
        </w:rPr>
        <w:t xml:space="preserve">询价</w:t>
      </w:r>
      <w:r>
        <w:rPr>
          <w:rFonts w:hint="eastAsia" w:ascii="宋体" w:hAnsi="宋体" w:eastAsia="宋体" w:cs="宋体"/>
          <w:color w:val="000000"/>
          <w:sz w:val="24"/>
          <w:szCs w:val="24"/>
        </w:rPr>
        <w:t xml:space="preserve">文件公告发布之日起。</w:t>
      </w:r>
      <w:r/>
    </w:p>
    <w:p>
      <w:pPr>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933"/>
        <w:ind w:firstLine="372"/>
        <w:pageBreakBefore w:val="0"/>
        <w:spacing w:before="145" w:after="145" w:line="264" w:lineRule="auto"/>
        <w:widowControl w:val="off"/>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u w:val="none"/>
        </w:rPr>
        <w:t xml:space="preserve"> </w:t>
      </w:r>
      <w:r>
        <w:rPr>
          <w:rFonts w:hint="eastAsia" w:ascii="宋体" w:hAnsi="宋体"/>
          <w:b w:val="0"/>
          <w:bCs w:val="0"/>
          <w:color w:val="000000"/>
          <w:sz w:val="24"/>
          <w:szCs w:val="24"/>
          <w:u w:val="none"/>
          <w:lang w:val="en-US" w:eastAsia="zh-CN"/>
        </w:rPr>
        <w:t xml:space="preserve">2025</w:t>
      </w:r>
      <w:r>
        <w:rPr>
          <w:rFonts w:hint="eastAsia" w:ascii="宋体" w:hAnsi="宋体"/>
          <w:b w:val="0"/>
          <w:bCs w:val="0"/>
          <w:color w:val="000000"/>
          <w:sz w:val="24"/>
          <w:szCs w:val="24"/>
          <w:u w:val="none"/>
        </w:rPr>
        <w:t xml:space="preserve">年5</w:t>
      </w:r>
      <w:r>
        <w:rPr>
          <w:rFonts w:hint="eastAsia" w:ascii="宋体" w:hAnsi="宋体"/>
          <w:b w:val="0"/>
          <w:bCs w:val="0"/>
          <w:color w:val="000000"/>
          <w:sz w:val="24"/>
          <w:szCs w:val="24"/>
          <w:u w:val="none"/>
        </w:rPr>
        <w:t xml:space="preserve">月</w:t>
      </w:r>
      <w:r>
        <w:rPr>
          <w:rFonts w:hint="eastAsia" w:ascii="宋体" w:hAnsi="宋体"/>
          <w:b w:val="0"/>
          <w:bCs w:val="0"/>
          <w:color w:val="000000"/>
          <w:sz w:val="24"/>
          <w:szCs w:val="24"/>
          <w:u w:val="none"/>
        </w:rPr>
        <w:t xml:space="preserve">7日09</w:t>
      </w:r>
      <w:r>
        <w:rPr>
          <w:rFonts w:hint="eastAsia" w:ascii="宋体" w:hAnsi="宋体"/>
          <w:b w:val="0"/>
          <w:bCs w:val="0"/>
          <w:color w:val="000000"/>
          <w:sz w:val="24"/>
          <w:szCs w:val="24"/>
          <w:u w:val="none"/>
          <w:lang w:val="en-US" w:eastAsia="zh-CN"/>
        </w:rPr>
        <w:t xml:space="preserve">时30</w:t>
      </w:r>
      <w:r>
        <w:rPr>
          <w:rFonts w:hint="eastAsia" w:ascii="宋体" w:hAnsi="宋体"/>
          <w:b w:val="0"/>
          <w:bCs w:val="0"/>
          <w:color w:val="000000"/>
          <w:sz w:val="24"/>
          <w:szCs w:val="24"/>
          <w:u w:val="none"/>
        </w:rPr>
        <w:t xml:space="preserve">分（北京时间）</w:t>
      </w:r>
      <w:r>
        <w:rPr>
          <w:rFonts w:hint="eastAsia" w:ascii="宋体" w:hAnsi="宋体"/>
          <w:b w:val="0"/>
          <w:bCs w:val="0"/>
          <w:color w:val="000000"/>
          <w:sz w:val="24"/>
          <w:szCs w:val="24"/>
          <w:u w:val="none"/>
          <w:lang w:eastAsia="zh-CN"/>
        </w:rPr>
        <w:t xml:space="preserve">。</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保证金。</w:t>
      </w:r>
      <w:r/>
    </w:p>
    <w:p>
      <w:pPr>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02"/>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称：南京晓庄学院          </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江宁</w:t>
      </w:r>
      <w:r>
        <w:rPr>
          <w:rFonts w:hint="eastAsia" w:ascii="宋体" w:hAnsi="宋体" w:eastAsia="宋体" w:cs="宋体"/>
          <w:color w:val="000000"/>
          <w:sz w:val="24"/>
          <w:szCs w:val="24"/>
          <w:highlight w:val="none"/>
          <w:u w:val="none"/>
          <w:lang w:val="en-US" w:eastAsia="zh-CN"/>
        </w:rPr>
        <w:t xml:space="preserve">区弘景大道3601号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闵老师</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8" w:name="_Toc28359086"/>
      <w:r/>
      <w:bookmarkStart w:id="9" w:name="_Toc28359009"/>
      <w:r>
        <w:rPr>
          <w:rFonts w:hint="eastAsia" w:ascii="宋体" w:hAnsi="宋体"/>
          <w:sz w:val="24"/>
          <w:szCs w:val="24"/>
        </w:rPr>
        <w:t xml:space="preserve">025-86178250</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8"/>
      <w:r/>
      <w:bookmarkEnd w:id="9"/>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陈先生</w:t>
      </w:r>
      <w:r/>
    </w:p>
    <w:p>
      <w:pPr>
        <w:ind w:firstLine="480"/>
        <w:pageBreakBefore w:val="0"/>
        <w:spacing w:line="264"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联系电话：025-68505915</w:t>
      </w:r>
      <w:r/>
    </w:p>
    <w:p>
      <w:pPr>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lang w:val="en-US" w:eastAsia="zh-CN"/>
        </w:rPr>
        <w:t xml:space="preserve">供应商须知</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 w:name="_Toc513029203"/>
      <w:r/>
      <w:bookmarkStart w:id="11" w:name="_Toc16938519"/>
      <w:r/>
      <w:bookmarkStart w:id="12" w:name="_Toc120614214"/>
      <w:r/>
      <w:bookmarkStart w:id="13" w:name="_Toc20823275"/>
      <w:r>
        <w:rPr>
          <w:rFonts w:hint="eastAsia" w:ascii="方正黑体_GBK" w:hAnsi="方正黑体_GBK" w:eastAsia="方正黑体_GBK" w:cs="方正黑体_GBK"/>
          <w:b w:val="0"/>
          <w:bCs w:val="0"/>
          <w:color w:val="000000"/>
          <w:sz w:val="30"/>
          <w:szCs w:val="30"/>
        </w:rPr>
        <w:t xml:space="preserve">一、总则</w:t>
      </w:r>
      <w:bookmarkEnd w:id="10"/>
      <w:r/>
      <w:bookmarkEnd w:id="11"/>
      <w:r/>
      <w:bookmarkEnd w:id="12"/>
      <w:r/>
      <w:bookmarkEnd w:id="13"/>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 w:name="_Hlt16619475"/>
      <w:r/>
      <w:bookmarkEnd w:id="14"/>
      <w:r/>
      <w:bookmarkStart w:id="15" w:name="_Toc458694821"/>
      <w:r/>
      <w:bookmarkStart w:id="16" w:name="_Toc16938520"/>
      <w:r/>
      <w:bookmarkStart w:id="17" w:name="_Toc20823276"/>
      <w:r/>
      <w:bookmarkStart w:id="18" w:name="_Toc513029204"/>
      <w:r>
        <w:rPr>
          <w:rFonts w:hint="eastAsia" w:ascii="方正楷体_GBK" w:hAnsi="方正楷体_GBK" w:eastAsia="方正楷体_GBK" w:cs="方正楷体_GBK"/>
          <w:b/>
          <w:bCs/>
          <w:sz w:val="28"/>
          <w:szCs w:val="28"/>
          <w:lang w:val="en-US" w:eastAsia="zh-CN"/>
        </w:rPr>
        <w:t xml:space="preserve">1</w:t>
      </w:r>
      <w:bookmarkEnd w:id="15"/>
      <w:r>
        <w:rPr>
          <w:rFonts w:hint="eastAsia" w:ascii="方正楷体_GBK" w:hAnsi="方正楷体_GBK" w:eastAsia="方正楷体_GBK" w:cs="方正楷体_GBK"/>
          <w:b/>
          <w:bCs/>
          <w:sz w:val="28"/>
          <w:szCs w:val="28"/>
          <w:lang w:val="en-US" w:eastAsia="zh-CN"/>
        </w:rPr>
        <w:t xml:space="preserve">.采购方式</w:t>
      </w:r>
      <w:bookmarkEnd w:id="16"/>
      <w:r/>
      <w:bookmarkEnd w:id="17"/>
      <w:r/>
      <w:bookmarkEnd w:id="1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 本次</w:t>
      </w:r>
      <w:r>
        <w:rPr>
          <w:rFonts w:hint="eastAsia" w:ascii="宋体" w:hAnsi="宋体" w:eastAsia="宋体" w:cs="Times New Roman"/>
          <w:color w:val="000000"/>
          <w:sz w:val="24"/>
          <w:szCs w:val="21"/>
          <w:lang w:eastAsia="zh-CN"/>
        </w:rPr>
        <w:t xml:space="preserve">政府采购活动</w:t>
      </w:r>
      <w:r>
        <w:rPr>
          <w:rFonts w:hint="eastAsia" w:ascii="宋体" w:hAnsi="宋体" w:eastAsia="宋体" w:cs="Times New Roman"/>
          <w:color w:val="000000"/>
          <w:sz w:val="24"/>
          <w:szCs w:val="21"/>
        </w:rPr>
        <w:t xml:space="preserve">采取</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9" w:name="_Toc16938521"/>
      <w:r/>
      <w:bookmarkStart w:id="20" w:name="_Toc513029205"/>
      <w:r/>
      <w:bookmarkStart w:id="21" w:name="_Toc20823277"/>
      <w:r>
        <w:rPr>
          <w:rFonts w:hint="eastAsia" w:ascii="方正楷体_GBK" w:hAnsi="方正楷体_GBK" w:eastAsia="方正楷体_GBK" w:cs="方正楷体_GBK"/>
          <w:b/>
          <w:bCs/>
          <w:sz w:val="28"/>
          <w:szCs w:val="28"/>
          <w:lang w:val="en-US" w:eastAsia="zh-CN"/>
        </w:rPr>
        <w:t xml:space="preserve">2.合格的</w:t>
      </w:r>
      <w:bookmarkEnd w:id="19"/>
      <w:r/>
      <w:bookmarkEnd w:id="20"/>
      <w:r/>
      <w:bookmarkEnd w:id="21"/>
      <w:r>
        <w:rPr>
          <w:rFonts w:hint="eastAsia" w:ascii="方正楷体_GBK" w:hAnsi="方正楷体_GBK" w:eastAsia="方正楷体_GBK" w:cs="方正楷体_GBK"/>
          <w:b/>
          <w:bCs/>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22" w:name="_Toc20823278"/>
      <w:r/>
      <w:bookmarkStart w:id="23" w:name="_Toc513029206"/>
      <w:r/>
      <w:bookmarkStart w:id="24" w:name="_Toc16938522"/>
      <w:r>
        <w:rPr>
          <w:rFonts w:hint="eastAsia" w:ascii="宋体" w:hAnsi="宋体" w:eastAsia="宋体" w:cs="Times New Roman"/>
          <w:color w:val="000000"/>
          <w:sz w:val="24"/>
          <w:szCs w:val="21"/>
        </w:rPr>
        <w:t xml:space="preserve">2.1 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询价</w:t>
      </w:r>
      <w:r>
        <w:rPr>
          <w:rFonts w:hint="eastAsia" w:ascii="宋体" w:hAnsi="宋体" w:eastAsia="宋体" w:cs="Times New Roman"/>
          <w:color w:val="000000"/>
          <w:sz w:val="24"/>
          <w:lang w:eastAsia="zh-CN"/>
        </w:rPr>
        <w:t xml:space="preserve">文件规定的实质性要求和条件。</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2"/>
      <w:r/>
      <w:bookmarkEnd w:id="23"/>
      <w:r/>
      <w:bookmarkEnd w:id="24"/>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本次采购及由此产生的合同受中华人民共和国有关的法律法规制约和保护。</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5" w:name="_Toc462564067"/>
      <w:r/>
      <w:bookmarkStart w:id="26" w:name="_Toc16938523"/>
      <w:r/>
      <w:bookmarkStart w:id="27" w:name="_Toc513029207"/>
      <w:r/>
      <w:bookmarkStart w:id="28" w:name="_Toc20823279"/>
      <w:r>
        <w:rPr>
          <w:rFonts w:hint="eastAsia" w:ascii="方正楷体_GBK" w:hAnsi="方正楷体_GBK" w:eastAsia="方正楷体_GBK" w:cs="方正楷体_GBK"/>
          <w:b/>
          <w:bCs/>
          <w:sz w:val="28"/>
          <w:szCs w:val="28"/>
          <w:lang w:val="en-US" w:eastAsia="zh-CN"/>
        </w:rPr>
        <w:t xml:space="preserve">4.询价费用</w:t>
      </w:r>
      <w:bookmarkEnd w:id="25"/>
      <w:r/>
      <w:bookmarkEnd w:id="26"/>
      <w:r/>
      <w:bookmarkEnd w:id="27"/>
      <w:r/>
      <w:bookmarkEnd w:id="2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供应商应自行承担所有与参加本次采购有关的费用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无论采购过程中的做法和结果如何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交易</w:t>
      </w:r>
      <w:r>
        <w:rPr>
          <w:rFonts w:hint="eastAsia" w:ascii="宋体" w:hAnsi="宋体" w:eastAsia="宋体" w:cs="Times New Roman"/>
          <w:color w:val="000000"/>
          <w:sz w:val="24"/>
          <w:szCs w:val="21"/>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本次采购</w:t>
      </w:r>
      <w:r>
        <w:rPr>
          <w:rFonts w:hint="eastAsia" w:ascii="宋体" w:hAnsi="宋体" w:eastAsia="宋体" w:cs="Times New Roman"/>
          <w:color w:val="000000"/>
          <w:sz w:val="24"/>
          <w:szCs w:val="21"/>
          <w:lang w:eastAsia="zh-CN"/>
        </w:rPr>
        <w:t xml:space="preserve">交易</w:t>
      </w:r>
      <w:r>
        <w:rPr>
          <w:rFonts w:hint="eastAsia" w:ascii="宋体" w:hAnsi="宋体" w:eastAsia="宋体" w:cs="Times New Roman"/>
          <w:color w:val="000000"/>
          <w:sz w:val="24"/>
          <w:szCs w:val="21"/>
        </w:rPr>
        <w:t xml:space="preserve">中心和采购人不收取</w:t>
      </w:r>
      <w:r>
        <w:rPr>
          <w:rFonts w:hint="eastAsia" w:ascii="宋体" w:hAnsi="宋体" w:eastAsia="宋体" w:cs="Times New Roman"/>
          <w:color w:val="000000"/>
          <w:sz w:val="24"/>
          <w:szCs w:val="21"/>
          <w:lang w:eastAsia="zh-CN"/>
        </w:rPr>
        <w:t xml:space="preserve">询价文件</w:t>
      </w:r>
      <w:r>
        <w:rPr>
          <w:rFonts w:hint="eastAsia" w:ascii="宋体" w:hAnsi="宋体" w:eastAsia="宋体" w:cs="Times New Roman"/>
          <w:color w:val="000000"/>
          <w:sz w:val="24"/>
          <w:szCs w:val="21"/>
        </w:rPr>
        <w:t xml:space="preserve">工本费与成交服务费。</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 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9" w:name="_Toc513029209"/>
      <w:r/>
      <w:bookmarkStart w:id="30" w:name="_Toc120614215"/>
      <w:r/>
      <w:bookmarkStart w:id="31" w:name="_Toc20823281"/>
      <w:r/>
      <w:bookmarkStart w:id="32" w:name="_Toc16938525"/>
      <w:r>
        <w:rPr>
          <w:rFonts w:hint="eastAsia" w:ascii="方正黑体_GBK" w:hAnsi="方正黑体_GBK" w:eastAsia="方正黑体_GBK" w:cs="方正黑体_GBK"/>
          <w:b w:val="0"/>
          <w:bCs w:val="0"/>
          <w:color w:val="000000"/>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000000"/>
          <w:sz w:val="30"/>
          <w:szCs w:val="30"/>
          <w:lang w:val="en-US" w:eastAsia="zh-CN"/>
        </w:rPr>
        <w:t xml:space="preserve">询价</w:t>
      </w:r>
      <w:r>
        <w:rPr>
          <w:rFonts w:hint="eastAsia" w:ascii="方正黑体_GBK" w:hAnsi="方正黑体_GBK" w:eastAsia="方正黑体_GBK" w:cs="方正黑体_GBK"/>
          <w:b w:val="0"/>
          <w:bCs w:val="0"/>
          <w:color w:val="000000"/>
          <w:sz w:val="30"/>
          <w:szCs w:val="30"/>
        </w:rPr>
        <w:t xml:space="preserve">文件</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3" w:name="_Toc16938526"/>
      <w:r/>
      <w:bookmarkStart w:id="34" w:name="_Toc513029210"/>
      <w:r/>
      <w:bookmarkStart w:id="35" w:name="_Toc20823282"/>
      <w:r>
        <w:rPr>
          <w:rFonts w:hint="eastAsia" w:ascii="方正楷体_GBK" w:hAnsi="方正楷体_GBK" w:eastAsia="方正楷体_GBK" w:cs="方正楷体_GBK"/>
          <w:b/>
          <w:bCs/>
          <w:sz w:val="28"/>
          <w:szCs w:val="28"/>
          <w:lang w:val="en-US" w:eastAsia="zh-CN"/>
        </w:rPr>
        <w:t xml:space="preserve">6.询价文件构成</w:t>
      </w:r>
      <w:bookmarkEnd w:id="33"/>
      <w:r/>
      <w:bookmarkEnd w:id="34"/>
      <w:r/>
      <w:bookmarkEnd w:id="35"/>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6.1</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供应商应仔细检查</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6.2 供应商应认真阅读</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文件中所有的事项、格式、条款和规范等要求。按</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文件作出实质性响应，否则其风险由供应商自行承担。</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6" w:name="_Toc513029211"/>
      <w:r/>
      <w:bookmarkStart w:id="37" w:name="_Toc20823283"/>
      <w:r/>
      <w:bookmarkStart w:id="38" w:name="_Toc16938527"/>
      <w:r/>
      <w:bookmarkStart w:id="39" w:name="_Toc462564070"/>
      <w:r>
        <w:rPr>
          <w:rFonts w:hint="eastAsia" w:ascii="方正楷体_GBK" w:hAnsi="方正楷体_GBK" w:eastAsia="方正楷体_GBK" w:cs="方正楷体_GBK"/>
          <w:b/>
          <w:bCs/>
          <w:sz w:val="28"/>
          <w:szCs w:val="28"/>
          <w:lang w:val="en-US" w:eastAsia="zh-CN"/>
        </w:rPr>
        <w:t xml:space="preserve">7.询价文件的澄清</w:t>
      </w:r>
      <w:bookmarkEnd w:id="36"/>
      <w:r/>
      <w:bookmarkEnd w:id="37"/>
      <w:r/>
      <w:bookmarkEnd w:id="38"/>
      <w:r/>
      <w:bookmarkEnd w:id="39"/>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40" w:name="_Toc16938528"/>
      <w:r/>
      <w:bookmarkStart w:id="41" w:name="_Toc462564071"/>
      <w:r/>
      <w:bookmarkStart w:id="42" w:name="_Toc20823284"/>
      <w:r/>
      <w:bookmarkStart w:id="43" w:name="_Toc513029212"/>
      <w:r>
        <w:rPr>
          <w:rFonts w:hint="eastAsia" w:ascii="宋体" w:hAnsi="宋体" w:eastAsia="宋体" w:cs="Times New Roman"/>
          <w:color w:val="000000"/>
          <w:sz w:val="24"/>
          <w:szCs w:val="21"/>
          <w:lang w:val="zh-CN" w:eastAsia="zh-CN"/>
        </w:rPr>
        <w:t xml:space="preserve">7.1 任何要求对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文件进行澄清的供应商，应在响应文件接收截止时间三日前按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公告中的通讯地址，以书面形式通知交易中心。</w:t>
      </w:r>
      <w:bookmarkEnd w:id="40"/>
      <w:r/>
      <w:bookmarkEnd w:id="41"/>
      <w:r/>
      <w:bookmarkEnd w:id="42"/>
      <w:r/>
      <w:bookmarkEnd w:id="43"/>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513029213"/>
      <w:r/>
      <w:bookmarkStart w:id="45" w:name="_Toc20823285"/>
      <w:r/>
      <w:bookmarkStart w:id="46" w:name="_Toc462564072"/>
      <w:r/>
      <w:bookmarkStart w:id="47" w:name="_Toc16938529"/>
      <w:r/>
      <w:bookmarkStart w:id="48" w:name="_Toc120614216"/>
      <w:r>
        <w:rPr>
          <w:rFonts w:hint="eastAsia" w:ascii="方正楷体_GBK" w:hAnsi="方正楷体_GBK" w:eastAsia="方正楷体_GBK" w:cs="方正楷体_GBK"/>
          <w:b/>
          <w:bCs/>
          <w:sz w:val="28"/>
          <w:szCs w:val="28"/>
          <w:lang w:val="en-US" w:eastAsia="zh-CN"/>
        </w:rPr>
        <w:t xml:space="preserve">8.询价文件的修改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8.1 在响应文件提交截止时间前，交易中心可以对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文件进行修改。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文件的修改将在原公告媒体发布更正公告，更正内容将作为</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交易中心有权按照法定的要求推迟提交响应文件截止时间，并在原公告媒体发布更正公告。</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4"/>
      <w:r/>
      <w:bookmarkEnd w:id="45"/>
      <w:r/>
      <w:bookmarkEnd w:id="46"/>
      <w:r/>
      <w:bookmarkEnd w:id="47"/>
      <w:r/>
      <w:bookmarkEnd w:id="48"/>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9" w:name="_Toc513029214"/>
      <w:r/>
      <w:bookmarkStart w:id="50" w:name="_Toc20823286"/>
      <w:r/>
      <w:bookmarkStart w:id="51" w:name="_Toc16938530"/>
      <w:r/>
      <w:bookmarkStart w:id="52"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49"/>
      <w:r/>
      <w:bookmarkEnd w:id="50"/>
      <w:r/>
      <w:bookmarkEnd w:id="51"/>
      <w:r/>
      <w:bookmarkEnd w:id="52"/>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除技术性能另有规定外，响应文件所使用的度量衡单位，均须采用国家法定计量单位。</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3" w:name="_Toc20823287"/>
      <w:r/>
      <w:bookmarkStart w:id="54" w:name="_Toc513029215"/>
      <w:r/>
      <w:bookmarkStart w:id="55" w:name="_Toc462564074"/>
      <w:r/>
      <w:bookmarkStart w:id="56" w:name="_Toc16938531"/>
      <w:r>
        <w:rPr>
          <w:rFonts w:hint="eastAsia" w:ascii="方正楷体_GBK" w:hAnsi="方正楷体_GBK" w:eastAsia="方正楷体_GBK" w:cs="方正楷体_GBK"/>
          <w:b/>
          <w:bCs/>
          <w:sz w:val="28"/>
          <w:szCs w:val="28"/>
          <w:lang w:val="en-US" w:eastAsia="zh-CN"/>
        </w:rPr>
        <w:t xml:space="preserve">10.响应文件构成</w:t>
      </w:r>
      <w:bookmarkEnd w:id="53"/>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57" w:name="_Hlt26670360"/>
      <w:r/>
      <w:bookmarkEnd w:id="57"/>
      <w:r/>
      <w:bookmarkStart w:id="58" w:name="_Hlt26668975"/>
      <w:r/>
      <w:bookmarkEnd w:id="58"/>
      <w:r/>
      <w:bookmarkStart w:id="59" w:name="_Hlt26954838"/>
      <w:r/>
      <w:bookmarkEnd w:id="59"/>
      <w:r/>
      <w:bookmarkStart w:id="60" w:name="_Toc49090509"/>
      <w:r/>
      <w:bookmarkStart w:id="61" w:name="_Toc49090507"/>
      <w:r/>
      <w:bookmarkStart w:id="62" w:name="_Toc49090508"/>
      <w:r/>
      <w:bookmarkStart w:id="63" w:name="_Toc14577355"/>
      <w:r/>
      <w:bookmarkStart w:id="64" w:name="_Toc14577354"/>
      <w:r/>
      <w:bookmarkStart w:id="65" w:name="_Toc513029216"/>
      <w:r/>
      <w:bookmarkStart w:id="66" w:name="_Toc513029219"/>
      <w:r/>
      <w:bookmarkStart w:id="67" w:name="_Toc14577357"/>
      <w:r>
        <w:rPr>
          <w:rFonts w:hint="eastAsia" w:ascii="宋体" w:hAnsi="宋体" w:eastAsia="宋体" w:cs="Times New Roman"/>
          <w:color w:val="000000"/>
          <w:sz w:val="24"/>
          <w:szCs w:val="21"/>
          <w:lang w:val="zh-CN" w:eastAsia="zh-CN"/>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供应商编写的响应文件应包括资格证明文件、符合性证明文件、分项报价表、响应及偏离表、其他证明文件、询价响应函等部分。</w:t>
      </w:r>
      <w:bookmarkEnd w:id="60"/>
      <w:r/>
      <w:bookmarkEnd w:id="61"/>
      <w:r/>
      <w:bookmarkEnd w:id="62"/>
      <w:r/>
      <w:bookmarkEnd w:id="63"/>
      <w:r/>
      <w:bookmarkEnd w:id="64"/>
      <w:r/>
      <w:bookmarkEnd w:id="65"/>
      <w:r/>
      <w:bookmarkEnd w:id="66"/>
      <w:r/>
      <w:bookmarkEnd w:id="67"/>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供应商应按照法律、法规、规章和规范性文件以及</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文件要求提交证明文件，证明响应标的符合</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11.2</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文件对证明文件无明确形式要求的，证明文件可以以文字资料、图纸和数据等形式提交。</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68" w:name="_Hlt26670486"/>
      <w:r/>
      <w:bookmarkEnd w:id="68"/>
      <w:r/>
      <w:bookmarkStart w:id="69" w:name="_Hlt26954731"/>
      <w:r/>
      <w:bookmarkEnd w:id="69"/>
      <w:r/>
      <w:bookmarkStart w:id="70" w:name="_Hlt26670482"/>
      <w:r/>
      <w:bookmarkEnd w:id="70"/>
      <w:r/>
      <w:bookmarkStart w:id="71" w:name="_Hlt26954848"/>
      <w:r/>
      <w:bookmarkEnd w:id="71"/>
      <w:r/>
      <w:bookmarkStart w:id="72" w:name="_Hlt26954846"/>
      <w:r/>
      <w:bookmarkEnd w:id="72"/>
      <w:r>
        <w:rPr>
          <w:rFonts w:hint="eastAsia" w:ascii="宋体" w:hAnsi="宋体" w:eastAsia="宋体" w:cs="Times New Roman"/>
          <w:color w:val="000000"/>
          <w:sz w:val="24"/>
          <w:szCs w:val="21"/>
          <w:lang w:val="zh-CN" w:eastAsia="zh-CN"/>
        </w:rPr>
        <w:t xml:space="preserve">12.1 供应商应按照</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文件另有规定的按规定执行。</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供应商需对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供应商可在响应文件中提供认为需要的其他技术文件或说明。</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3" w:name="_Toc49090511"/>
      <w:r/>
      <w:bookmarkStart w:id="74" w:name="_Toc14577360"/>
      <w:r>
        <w:rPr>
          <w:rFonts w:hint="eastAsia" w:ascii="方正楷体_GBK" w:hAnsi="方正楷体_GBK" w:eastAsia="方正楷体_GBK" w:cs="方正楷体_GBK"/>
          <w:b/>
          <w:bCs/>
          <w:sz w:val="28"/>
          <w:szCs w:val="28"/>
          <w:lang w:val="en-US" w:eastAsia="zh-CN"/>
        </w:rPr>
        <w:t xml:space="preserve">14.询价响应函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 供应商应按照询价文件中提供的格式完整、正确填报询价响应函。</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.1 询价有效期为采购公告规定的提交响应文件截止之日起六十天。询价有效期比规定短的将被视为非实质性响应询价文件而被拒绝。</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Hlt26954852"/>
      <w:r/>
      <w:bookmarkEnd w:id="75"/>
      <w:r/>
      <w:bookmarkStart w:id="76" w:name="_Hlt26954739"/>
      <w:r/>
      <w:bookmarkEnd w:id="76"/>
      <w:r/>
      <w:bookmarkStart w:id="77" w:name="_Toc120614217"/>
      <w:r/>
      <w:bookmarkStart w:id="78" w:name="_Toc16938540"/>
      <w:r/>
      <w:bookmarkStart w:id="79" w:name="_Toc513029224"/>
      <w:r/>
      <w:bookmarkStart w:id="80" w:name="_Toc20823296"/>
      <w:r>
        <w:rPr>
          <w:rFonts w:hint="eastAsia" w:ascii="方正黑体_GBK" w:hAnsi="方正黑体_GBK" w:eastAsia="方正黑体_GBK" w:cs="方正黑体_GBK"/>
          <w:b w:val="0"/>
          <w:bCs w:val="0"/>
          <w:color w:val="000000"/>
          <w:sz w:val="30"/>
          <w:szCs w:val="30"/>
        </w:rPr>
        <w:t xml:space="preserve">四、响应文件的递交</w:t>
      </w:r>
      <w:bookmarkEnd w:id="77"/>
      <w:r/>
      <w:bookmarkEnd w:id="78"/>
      <w:r/>
      <w:bookmarkEnd w:id="79"/>
      <w:r/>
      <w:bookmarkEnd w:id="80"/>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16938541"/>
      <w:r/>
      <w:bookmarkStart w:id="82" w:name="_Toc462564084"/>
      <w:r/>
      <w:bookmarkStart w:id="83" w:name="_Toc513029225"/>
      <w:r/>
      <w:bookmarkStart w:id="84" w:name="_Toc20823297"/>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供应商应当按照《操作手册》规定</w:t>
      </w:r>
      <w:bookmarkStart w:id="85" w:name="_Toc513029226"/>
      <w:r/>
      <w:bookmarkStart w:id="86" w:name="_Toc16938542"/>
      <w:r/>
      <w:bookmarkStart w:id="87" w:name="_Toc20823298"/>
      <w:r>
        <w:rPr>
          <w:rFonts w:hint="eastAsia" w:ascii="宋体" w:hAnsi="宋体" w:eastAsia="宋体" w:cs="Times New Roman"/>
          <w:color w:val="000000"/>
          <w:sz w:val="24"/>
          <w:szCs w:val="21"/>
          <w:lang w:val="zh-CN" w:eastAsia="zh-CN"/>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公告规定的提交响应文件截止时间前制作并上传电子响应文件。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lang w:val="zh-CN" w:eastAsia="zh-CN"/>
        </w:rPr>
        <w:t xml:space="preserve">供应商应充分考虑网络环境、网络带宽等因素</w:t>
      </w:r>
      <w:r>
        <w:rPr>
          <w:rFonts w:hint="eastAsia" w:ascii="宋体" w:hAnsi="宋体" w:eastAsia="宋体" w:cs="Times New Roman"/>
          <w:color w:val="000000"/>
          <w:sz w:val="24"/>
          <w:szCs w:val="21"/>
          <w:lang w:val="en-US" w:eastAsia="zh-CN"/>
        </w:rPr>
        <w:t xml:space="preserve">可能产生的影响</w:t>
      </w:r>
      <w:r>
        <w:rPr>
          <w:rFonts w:hint="eastAsia" w:ascii="宋体" w:hAnsi="宋体" w:eastAsia="宋体" w:cs="Times New Roman"/>
          <w:color w:val="000000"/>
          <w:sz w:val="24"/>
          <w:szCs w:val="21"/>
          <w:lang w:val="zh-CN" w:eastAsia="zh-CN"/>
        </w:rPr>
        <w:t xml:space="preserve">，如因供应商自身原因造成的电子响应文件上传不成功</w:t>
      </w:r>
      <w:r>
        <w:rPr>
          <w:rFonts w:hint="eastAsia" w:ascii="宋体" w:hAnsi="宋体" w:eastAsia="宋体" w:cs="Times New Roman"/>
          <w:color w:val="000000"/>
          <w:sz w:val="24"/>
          <w:szCs w:val="21"/>
          <w:lang w:val="zh-CN"/>
        </w:rPr>
        <w:t xml:space="preserve">由供应商自行承担全部责任</w:t>
      </w:r>
      <w:r>
        <w:rPr>
          <w:rFonts w:hint="eastAsia" w:ascii="宋体" w:hAnsi="宋体" w:eastAsia="宋体" w:cs="Times New Roman"/>
          <w:color w:val="000000"/>
          <w:sz w:val="24"/>
          <w:szCs w:val="21"/>
          <w:lang w:val="zh-CN" w:eastAsia="zh-CN"/>
        </w:rPr>
        <w:t xml:space="preserve">，并按照本采购文件第二章第2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交易中心可以按照规定，通过修改询价文件酌情延长提交响应文件截止日期，在此情况下，供应商的所有权利和义务均以延长后新的截止日期为准。</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5"/>
      <w:r/>
      <w:bookmarkEnd w:id="86"/>
      <w:r/>
      <w:bookmarkEnd w:id="87"/>
      <w:r/>
      <w:bookmarkStart w:id="88" w:name="_Toc20823299"/>
      <w:r/>
      <w:bookmarkStart w:id="89" w:name="_Toc16938543"/>
      <w:r/>
      <w:bookmarkStart w:id="90" w:name="_Toc513029227"/>
      <w:r>
        <w:rPr>
          <w:rFonts w:hint="eastAsia" w:ascii="方正楷体_GBK" w:hAnsi="方正楷体_GBK" w:eastAsia="方正楷体_GBK" w:cs="方正楷体_GBK"/>
          <w:b/>
          <w:bCs/>
          <w:sz w:val="28"/>
          <w:szCs w:val="28"/>
          <w:lang w:val="en-US" w:eastAsia="zh-CN"/>
        </w:rPr>
        <w:t xml:space="preserve">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提交响应文件截止时间后上传的任何响应文件将被拒绝。</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1" w:name="_Toc16938544"/>
      <w:r/>
      <w:bookmarkStart w:id="92" w:name="_Toc513029228"/>
      <w:r/>
      <w:bookmarkStart w:id="93"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94" w:name="_Toc513029229"/>
      <w:r/>
      <w:bookmarkStart w:id="95" w:name="_Toc20823301"/>
      <w:r/>
      <w:bookmarkStart w:id="96" w:name="_Toc120614218"/>
      <w:r/>
      <w:bookmarkStart w:id="97" w:name="_Toc16938545"/>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供应商撤回电子响应文件，则认为其不再参与本项目采购活动。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lang w:val="zh-CN" w:eastAsia="zh-CN"/>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在提交响应文件截止时间至询价文件中规定的询价有效期满之间的这段时间内，供应商不得撤回其响应文件。</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16938547"/>
      <w:r/>
      <w:bookmarkStart w:id="99" w:name="_Toc513029231"/>
      <w:r/>
      <w:bookmarkStart w:id="100" w:name="_Toc20823303"/>
      <w:r>
        <w:rPr>
          <w:rFonts w:hint="eastAsia" w:ascii="方正楷体_GBK" w:hAnsi="方正楷体_GBK" w:eastAsia="方正楷体_GBK" w:cs="方正楷体_GBK"/>
          <w:b/>
          <w:bCs/>
          <w:sz w:val="28"/>
          <w:szCs w:val="28"/>
          <w:lang w:val="en-US" w:eastAsia="zh-CN"/>
        </w:rPr>
        <w:t xml:space="preserve">21.询价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询价小组由采购人代表和有关技术、经济或法律等方面的专家组成，且人员构成符合政府采购有关规定。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询价小组独立工作，负责评审所有响应文件并推荐成交候选人，或根据采购人授权直接确定成交供应商。</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1" w:name="_Toc513029232"/>
      <w:r/>
      <w:bookmarkStart w:id="102" w:name="_Toc20823304"/>
      <w:r/>
      <w:bookmarkStart w:id="103" w:name="_Toc16938548"/>
      <w:r>
        <w:rPr>
          <w:rFonts w:hint="eastAsia" w:ascii="宋体" w:hAnsi="宋体" w:eastAsia="宋体" w:cs="Times New Roman"/>
          <w:color w:val="000000"/>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交易中心和询价小组不向未成交的供应商解释未成交原因，也不公布评审过程中的相关细节。</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1"/>
      <w:r/>
      <w:bookmarkEnd w:id="102"/>
      <w:r/>
      <w:bookmarkEnd w:id="103"/>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4" w:name="_Toc16938549"/>
      <w:r/>
      <w:bookmarkStart w:id="105" w:name="_Toc513029233"/>
      <w:r/>
      <w:bookmarkStart w:id="106" w:name="_Toc20823305"/>
      <w:r>
        <w:rPr>
          <w:rFonts w:hint="eastAsia" w:ascii="宋体" w:hAnsi="宋体" w:eastAsia="宋体" w:cs="Times New Roman"/>
          <w:color w:val="000000"/>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接到询价小组澄清、说明和补正要求的供应商如未按规定做出澄清、说明和补正，其风险由供应商自行承担。</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4"/>
      <w:r/>
      <w:bookmarkEnd w:id="105"/>
      <w:r/>
      <w:bookmarkEnd w:id="106"/>
      <w:r>
        <w:rPr>
          <w:rFonts w:hint="eastAsia" w:ascii="方正楷体_GBK" w:hAnsi="方正楷体_GBK" w:eastAsia="方正楷体_GBK" w:cs="方正楷体_GBK"/>
          <w:b/>
          <w:bCs/>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7" w:name="_Toc513029234"/>
      <w:r/>
      <w:bookmarkStart w:id="108" w:name="_Toc20823306"/>
      <w:r/>
      <w:bookmarkStart w:id="109" w:name="_Toc16938550"/>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资格审查。依据法律法规和询价文件的规定，询价小组对响应文件中的资格证明文件进行审查，以确定供应商是否具备参加询价的资格。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询价小组进行资格审查时，将在“信用中国”网站（www.creditchina.gov.cn）查询供应商的信用记录，以确定供应商是否具备询价资格，查询结果留存并归档。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未实质性响应询价文件的情形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供应商未按照询价文件要求上传电子响应文件。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不符合询价文件中规定的实质性要求和条件（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响应文件未按照询价文件要求加盖电子公章。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法律法规及本询价文件规定的其他无效响应的情形。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未实质性响应询价文件的响应文件按无效响应处理。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如果响应文件实质上没有响应询价文件的要求，询价小组将予以拒绝，供应商不得通过修改或撤销不合要求的偏离或保留而使其成为实质性响应的文件。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zh-CN"/>
        </w:rPr>
        <w:t xml:space="preserve">联系。</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7"/>
      <w:r/>
      <w:bookmarkEnd w:id="108"/>
      <w:r/>
      <w:bookmarkEnd w:id="109"/>
      <w:r>
        <w:rPr>
          <w:rFonts w:hint="eastAsia" w:ascii="方正楷体_GBK" w:hAnsi="方正楷体_GBK" w:eastAsia="方正楷体_GBK" w:cs="方正楷体_GBK"/>
          <w:b/>
          <w:bCs/>
          <w:sz w:val="28"/>
          <w:szCs w:val="28"/>
          <w:lang w:val="en-US"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25.1 成交标准见询价文件第五章。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25.2 询价采购终止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zh-CN" w:eastAsia="zh-CN"/>
        </w:rPr>
      </w:pPr>
      <w:r>
        <w:rPr>
          <w:rFonts w:hint="eastAsia" w:ascii="宋体" w:hAnsi="宋体" w:eastAsia="宋体" w:cs="Times New Roman"/>
          <w:b/>
          <w:bCs/>
          <w:color w:val="000000"/>
          <w:sz w:val="24"/>
          <w:szCs w:val="21"/>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.3.1因情况变化，不再符合规定的询价采购方式适用情形。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.3.4在询价过程中符合要求的供应商或者报价未超过采购预算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szCs w:val="21"/>
          <w:lang w:val="zh-CN" w:eastAsia="zh-CN"/>
        </w:rPr>
        <w:t xml:space="preserve">的供应商不足三家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.3.5法律法规规定的其他应当终止情形。</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0" w:name="_Toc513029238"/>
      <w:r/>
      <w:bookmarkStart w:id="111" w:name="_Toc20823310"/>
      <w:r/>
      <w:bookmarkStart w:id="112" w:name="_Toc16938554"/>
      <w:r/>
      <w:bookmarkStart w:id="113" w:name="_Toc513029236"/>
      <w:r/>
      <w:bookmarkStart w:id="114" w:name="_Toc16938552"/>
      <w:r/>
      <w:bookmarkStart w:id="115" w:name="_Toc120614220"/>
      <w:r/>
      <w:bookmarkStart w:id="116" w:name="_Toc20823308"/>
      <w:r>
        <w:rPr>
          <w:rFonts w:hint="eastAsia" w:ascii="方正楷体_GBK" w:hAnsi="方正楷体_GBK" w:eastAsia="方正楷体_GBK" w:cs="方正楷体_GBK"/>
          <w:b/>
          <w:bCs/>
          <w:sz w:val="28"/>
          <w:szCs w:val="28"/>
          <w:lang w:val="en-US" w:eastAsia="zh-CN"/>
        </w:rPr>
        <w:t xml:space="preserve">2</w:t>
      </w:r>
      <w:bookmarkEnd w:id="110"/>
      <w:r>
        <w:rPr>
          <w:rFonts w:hint="eastAsia" w:ascii="方正楷体_GBK" w:hAnsi="方正楷体_GBK" w:eastAsia="方正楷体_GBK" w:cs="方正楷体_GBK"/>
          <w:b/>
          <w:bCs/>
          <w:sz w:val="28"/>
          <w:szCs w:val="28"/>
          <w:lang w:val="en-US" w:eastAsia="zh-CN"/>
        </w:rPr>
        <w:t xml:space="preserve">6.确定</w:t>
      </w:r>
      <w:bookmarkEnd w:id="111"/>
      <w:r/>
      <w:bookmarkEnd w:id="112"/>
      <w:r>
        <w:rPr>
          <w:rFonts w:hint="eastAsia" w:ascii="方正楷体_GBK" w:hAnsi="方正楷体_GBK" w:eastAsia="方正楷体_GBK" w:cs="方正楷体_GBK"/>
          <w:b/>
          <w:bCs/>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成交候选供应商的确定原则和数量见询价文件第五章。</w:t>
      </w:r>
      <w:r/>
    </w:p>
    <w:p>
      <w:pPr>
        <w:ind w:firstLine="420"/>
        <w:keepLines w:val="0"/>
        <w:keepNext w:val="0"/>
        <w:pageBreakBefore w:val="0"/>
        <w:spacing w:line="240" w:lineRule="auto"/>
        <w:widowControl w:val="off"/>
        <w:rPr>
          <w:rFonts w:ascii="宋体" w:hAnsi="宋体" w:eastAsia="宋体" w:cs="Times New Roman"/>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（1）询价小组直接确定排名第一的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（2）采购人在询价小组推荐的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bookmarkEnd w:id="113"/>
      <w:r/>
      <w:bookmarkEnd w:id="114"/>
      <w:r/>
      <w:bookmarkEnd w:id="115"/>
      <w:r/>
      <w:bookmarkEnd w:id="116"/>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7" w:name="_Toc120614221"/>
      <w:r/>
      <w:bookmarkStart w:id="118" w:name="_Toc20823314"/>
      <w:r/>
      <w:bookmarkStart w:id="119" w:name="_Toc16938558"/>
      <w:r/>
      <w:bookmarkStart w:id="120" w:name="_Toc479757207"/>
      <w:r/>
      <w:bookmarkStart w:id="121" w:name="_Toc513029242"/>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935"/>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供应商（含潜在供应商）对采购方式、采购需求、供应商资格条件及审查结果、成交标准、合同文本的询问、质疑向采购人提出，由采购人负责答复。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val="0"/>
          <w:bCs w:val="0"/>
          <w:color w:val="000000"/>
          <w:sz w:val="24"/>
          <w:lang w:val="en-US" w:eastAsia="zh-CN"/>
        </w:rPr>
        <w:t xml:space="preserve">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3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本项目中的货物全部由</w:t>
      </w:r>
      <w:r>
        <w:rPr>
          <w:rFonts w:hint="eastAsia" w:ascii="宋体" w:hAnsi="宋体" w:eastAsia="宋体" w:cs="Times New Roman"/>
          <w:color w:val="000000"/>
          <w:sz w:val="24"/>
          <w:lang w:val="zh-CN"/>
        </w:rPr>
        <w:t xml:space="preserve">中小企业制造</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供应商享受中小企业扶持政策。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935"/>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p>
    <w:p>
      <w:pPr>
        <w:pStyle w:val="935"/>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935"/>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935"/>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7"/>
      <w:r/>
      <w:bookmarkEnd w:id="118"/>
      <w:r/>
      <w:bookmarkEnd w:id="119"/>
      <w:r/>
      <w:bookmarkEnd w:id="120"/>
      <w:r/>
      <w:bookmarkEnd w:id="121"/>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22" w:name="_Hlt16619369"/>
      <w:r/>
      <w:bookmarkEnd w:id="122"/>
      <w:r/>
      <w:bookmarkStart w:id="123" w:name="_Toc20823315"/>
      <w:r/>
      <w:bookmarkStart w:id="124" w:name="_Toc16938559"/>
      <w:r/>
      <w:bookmarkStart w:id="125" w:name="_Toc513029243"/>
      <w:r/>
      <w:bookmarkStart w:id="126" w:name="_Hlt16619350"/>
      <w:r/>
      <w:bookmarkStart w:id="127" w:name="_Toc120614244"/>
      <w:r/>
      <w:bookmarkStart w:id="128" w:name="_Toc16938590"/>
      <w:r/>
      <w:bookmarkStart w:id="129" w:name="_Toc20823346"/>
      <w:r/>
      <w:bookmarkStart w:id="130" w:name="_Toc462564139"/>
      <w:r/>
      <w:bookmarkStart w:id="13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缴纳履约保证金。合同履行结束后，甲方按以下约定退还：</w:t>
      </w:r>
      <w:r/>
    </w:p>
    <w:p>
      <w:pPr>
        <w:keepLines w:val="0"/>
        <w:keepNext w:val="0"/>
        <w:pageBreakBefore w:val="0"/>
        <w:spacing w:line="240" w:lineRule="auto"/>
        <w:widowControl w:val="off"/>
        <w:rPr>
          <w:rFonts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6.1.1 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ascii="宋体" w:hAnsi="宋体" w:eastAsia="宋体" w:cs="Courier New"/>
          <w:sz w:val="24"/>
          <w:szCs w:val="24"/>
          <w:lang w:val="en-US" w:eastAsia="zh-CN"/>
        </w:rPr>
        <w:t xml:space="preserve">.1 合同签订后，甲方支付合同总价款的30%作为预付款。</w:t>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供货结束并验收合格后，甲方支付合同总价款的70%。</w:t>
      </w:r>
      <w:r/>
    </w:p>
    <w:p>
      <w:pPr>
        <w:pStyle w:val="9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96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根据工业和信息化</w:t>
      </w:r>
      <w:r>
        <w:rPr>
          <w:rFonts w:hint="eastAsia" w:ascii="宋体" w:hAnsi="宋体" w:eastAsia="宋体" w:cs="Courier New"/>
          <w:sz w:val="24"/>
          <w:szCs w:val="24"/>
        </w:rPr>
        <w:t xml:space="preserve">部关于印发《保障中小企业款项支付投诉处理暂行办法》的通知（工信部企业〔2021〕224 号）</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6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23"/>
      <w:r/>
      <w:bookmarkEnd w:id="124"/>
      <w:r/>
      <w:bookmarkEnd w:id="125"/>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6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6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6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p>
    <w:p>
      <w:pPr>
        <w:pStyle w:val="96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6"/>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7"/>
      <w:r/>
      <w:bookmarkEnd w:id="128"/>
      <w:r/>
      <w:bookmarkEnd w:id="129"/>
      <w:r/>
      <w:bookmarkStart w:id="132" w:name="_Toc26554093"/>
      <w:r/>
      <w:bookmarkStart w:id="133" w:name="_Toc49090575"/>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spacing w:line="264" w:lineRule="auto"/>
        <w:rPr>
          <w:color w:val="000000"/>
          <w:szCs w:val="21"/>
        </w:rPr>
      </w:pPr>
      <w:r>
        <w:rPr>
          <w:rFonts w:hint="eastAsia" w:ascii="宋体" w:hAnsi="宋体" w:cs="宋体"/>
          <w:color w:val="000000"/>
          <w:sz w:val="24"/>
          <w:szCs w:val="24"/>
        </w:rPr>
        <w:t xml:space="preserve">为深入贯彻落实国家关于推动人工智能技术与人文社科研究深度融合的政策要求，进一步提升陶行知教育思想研究的科学性与创新性，以支撑陶行知研究相关文献分析、数据挖掘及成果转化工作；满足人工智能互动平台相关应用的开发、测试与优化需求，推动项目顺利进展；为</w:t>
      </w:r>
      <w:r>
        <w:rPr>
          <w:rFonts w:hint="eastAsia" w:ascii="宋体" w:hAnsi="宋体" w:cs="宋体"/>
          <w:color w:val="000000"/>
          <w:sz w:val="24"/>
          <w:szCs w:val="24"/>
          <w:lang w:val="en-US" w:eastAsia="zh-CN"/>
        </w:rPr>
        <w:t xml:space="preserve">学院</w:t>
      </w:r>
      <w:r>
        <w:rPr>
          <w:rFonts w:hint="eastAsia" w:ascii="宋体" w:hAnsi="宋体" w:cs="宋体"/>
          <w:color w:val="000000"/>
          <w:sz w:val="24"/>
          <w:szCs w:val="24"/>
        </w:rPr>
        <w:t xml:space="preserve">相关科研工作提供强大的硬件支持，提升科研效率与成果质量。</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spacing w:line="264"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遵循国家、行业及地方现行的规范和标准。符合市政府办公厅关于印发《南京市市级行政事业单位资产配置标准》、《南京市市级行政事业单位资产使用年限标准》（2016年修订版）的通知（宁政办发〔2016〕53号）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1046"/>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4"/>
        <w:gridCol w:w="1873"/>
        <w:gridCol w:w="699"/>
        <w:gridCol w:w="669"/>
        <w:gridCol w:w="1392"/>
        <w:gridCol w:w="1151"/>
        <w:gridCol w:w="991"/>
        <w:gridCol w:w="1154"/>
        <w:gridCol w:w="1232"/>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分项</w:t>
            </w:r>
            <w:r>
              <w:rPr>
                <w:rFonts w:hint="eastAsia" w:ascii="宋体" w:hAnsi="宋体" w:eastAsia="宋体" w:cs="宋体"/>
                <w:b/>
                <w:bCs w:val="0"/>
                <w:color w:val="000000"/>
                <w:sz w:val="24"/>
                <w:szCs w:val="24"/>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单位</w:t>
            </w:r>
            <w:r/>
          </w:p>
        </w:tc>
        <w:tc>
          <w:tcPr>
            <w:tcW w:w="53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单价上限</w:t>
            </w:r>
            <w:r/>
          </w:p>
          <w:p>
            <w:pPr>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元</w:t>
            </w:r>
            <w:r>
              <w:rPr>
                <w:rFonts w:hint="eastAsia" w:ascii="宋体" w:hAnsi="宋体" w:eastAsia="宋体" w:cs="宋体"/>
                <w:b/>
                <w:bCs w:val="0"/>
                <w:color w:val="000000"/>
                <w:sz w:val="24"/>
                <w:szCs w:val="24"/>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产品类型</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所属</w:t>
            </w:r>
            <w:r>
              <w:rPr>
                <w:rFonts w:hint="eastAsia" w:ascii="宋体" w:hAnsi="宋体" w:eastAsia="宋体" w:cs="宋体"/>
                <w:b/>
                <w:bCs w:val="0"/>
                <w:color w:val="000000"/>
                <w:sz w:val="24"/>
                <w:szCs w:val="24"/>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属性</w:t>
            </w:r>
            <w:r/>
          </w:p>
        </w:tc>
        <w:tc>
          <w:tcPr>
            <w:tcW w:w="65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eastAsia="zh-CN"/>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995"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color w:val="000000"/>
                <w:sz w:val="24"/>
                <w:szCs w:val="24"/>
              </w:rPr>
              <w:t xml:space="preserve">人工智能互动平台设备</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p>
        </w:tc>
        <w:tc>
          <w:tcPr>
            <w:tcW w:w="539"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400000</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p>
        </w:tc>
        <w:tc>
          <w:tcPr>
            <w:tcW w:w="6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tbl>
      <w:tblPr>
        <w:tblStyle w:val="758"/>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产品</w:t>
            </w:r>
            <w:r>
              <w:rPr>
                <w:rFonts w:hint="eastAsia" w:ascii="宋体" w:hAnsi="宋体" w:eastAsia="宋体" w:cs="宋体"/>
                <w:b/>
                <w:bCs w:val="0"/>
                <w:color w:val="000000"/>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功能、性能、配置要求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eastAsia="zh-CN"/>
              </w:rPr>
              <w:t xml:space="preserve">人工智能</w:t>
            </w:r>
            <w:r>
              <w:rPr>
                <w:rFonts w:hint="eastAsia" w:ascii="宋体" w:hAnsi="宋体" w:eastAsia="宋体" w:cs="宋体"/>
                <w:b w:val="0"/>
                <w:bCs/>
                <w:color w:val="000000"/>
                <w:sz w:val="24"/>
                <w:szCs w:val="24"/>
                <w:lang w:val="en-US" w:eastAsia="zh-CN"/>
              </w:rPr>
              <w:t xml:space="preserve">互动平台设备（工作站）</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（1）核心内存、GPU、CPU参数性能不低于：256G内存（32G DDR4 3200 R-ECC服务器内存8根）+NVIDIA RTX 5880 Ada Generation 48G GDDR6*8块+双路Intel8368Q  38核心76线程2.6G 2颗；</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（2）芯片组：Intel C621A（支持8路双槽全高GPU显卡）；</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（3）固态盘：容量不低于1TB NVME M.2固态盘；</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（4）机械盘：容量不低于4TB 3.5机械硬盘；</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（5）显卡：支撑不低于8张双宽带性能GPU显卡；</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（6）电源：不低于2000W（2+2）冗余服务器电源；</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（7）机箱：4U机架式标准服务器机箱，产品尺寸：长790mm；宽433mm；高177mm；</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（8）主板：支持16根DDR4 RECC 內存插槽 8通道 最高3200MHz 最大支持PCIE标准：8个PCI-E 4.0x16插槽（支持多达8个双幅GPU）+4个PCI-E4.0 x16插槽（前置半高）；存储拓展：板载1个M.2插槽（M-Key）支持PCIe4.0x4/x27DSATA 6Gb/s的2242/2260/2280存储设备，板载8个原生SATA 6Cb/s接口（与M2A共用通道），提供SATA存储设备的RAID 0, RAID 1, RAID5和RAID 10，双口千兆；</w:t>
            </w:r>
            <w:r/>
          </w:p>
          <w:p>
            <w:pP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（9）支持安装： windows、Ubuntu、CentOS等软件；</w:t>
            </w:r>
            <w:r/>
          </w:p>
          <w:p>
            <w:pP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（10）售后服务：三年，服务费用包含在总报价中。</w:t>
            </w:r>
            <w:r/>
          </w:p>
        </w:tc>
      </w:tr>
    </w:tbl>
    <w:p>
      <w:pPr>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（1）总体要求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工作站需基于高性能硬件架构（如多核CPU、GPU加速卡、大内存及高速存储），支持主流AI框架（TensorFlow/PyTorch），符合数据安全标准，具备模块化扩展能力，适配分布式计算与云边协同场景。</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（2）质量要求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设备需通过工业级稳定性测试，支持7×24小时不间断运行；</w:t>
      </w:r>
      <w:r>
        <w:rPr>
          <w:rFonts w:hint="eastAsia" w:ascii="宋体" w:hAnsi="宋体" w:cs="宋体"/>
          <w:color w:val="000000"/>
          <w:sz w:val="24"/>
          <w:szCs w:val="24"/>
        </w:rPr>
        <w:t xml:space="preserve">设备</w:t>
      </w:r>
      <w:r>
        <w:rPr>
          <w:rFonts w:ascii="宋体" w:hAnsi="宋体" w:cs="宋体"/>
          <w:color w:val="000000"/>
          <w:sz w:val="24"/>
          <w:szCs w:val="24"/>
        </w:rPr>
        <w:t xml:space="preserve">需通过功能完整性、</w:t>
      </w:r>
      <w:r>
        <w:rPr>
          <w:rFonts w:hint="eastAsia" w:ascii="宋体" w:hAnsi="宋体" w:cs="宋体"/>
          <w:color w:val="000000"/>
          <w:sz w:val="24"/>
          <w:szCs w:val="24"/>
        </w:rPr>
        <w:t xml:space="preserve">软件</w:t>
      </w:r>
      <w:r>
        <w:rPr>
          <w:rFonts w:ascii="宋体" w:hAnsi="宋体" w:cs="宋体"/>
          <w:color w:val="000000"/>
          <w:sz w:val="24"/>
          <w:szCs w:val="24"/>
        </w:rPr>
        <w:t xml:space="preserve">兼容性及压力测试，确保算法训练/推理效率达标，故障率低于0.1%</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提高</w:t>
      </w:r>
      <w:r>
        <w:rPr>
          <w:rFonts w:hint="eastAsia" w:ascii="宋体" w:hAnsi="宋体" w:cs="宋体"/>
          <w:color w:val="000000"/>
          <w:sz w:val="24"/>
          <w:szCs w:val="24"/>
        </w:rPr>
        <w:t xml:space="preserve">市场认可度高、长期使用质量有保证的产品，</w:t>
      </w:r>
      <w:r>
        <w:rPr>
          <w:rFonts w:hint="eastAsia" w:ascii="宋体" w:hAnsi="宋体" w:cs="宋体"/>
          <w:color w:val="000000"/>
          <w:sz w:val="24"/>
          <w:szCs w:val="24"/>
          <w:lang w:val="en-US" w:eastAsia="zh-CN"/>
        </w:rPr>
        <w:t xml:space="preserve">满足</w:t>
      </w:r>
      <w:r>
        <w:rPr>
          <w:rFonts w:hint="eastAsia" w:ascii="宋体" w:hAnsi="宋体" w:cs="宋体"/>
          <w:color w:val="000000"/>
          <w:sz w:val="24"/>
          <w:szCs w:val="24"/>
        </w:rPr>
        <w:t xml:space="preserve">采购人对产品质量的要求；集成服务要确保工作稳定性的要求；对以上不能满足采购人要求的，将视为供应商“影响服务质量或者不能诚信履约”，项目验收将不能通过，采购人不退还履约保证金。</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分阶段验收——到货核验配置与外观；安装调试后测试性能基准（如吞吐量、延迟）；试运行15天监测稳定性；最终交付完整文档（操作指南、API说明）及操作培训。</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（4）质保（维保）及售后要求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①质保期内</w:t>
      </w:r>
      <w:r>
        <w:rPr>
          <w:rFonts w:hint="eastAsia" w:ascii="宋体" w:hAnsi="宋体" w:cs="宋体"/>
          <w:color w:val="000000"/>
          <w:sz w:val="24"/>
          <w:szCs w:val="24"/>
        </w:rPr>
        <w:t xml:space="preserve">，</w:t>
      </w:r>
      <w:r>
        <w:rPr>
          <w:rFonts w:ascii="宋体" w:hAnsi="宋体" w:cs="宋体"/>
          <w:color w:val="000000"/>
          <w:sz w:val="24"/>
          <w:szCs w:val="24"/>
        </w:rPr>
        <w:t xml:space="preserve">每年维护保养1次</w:t>
      </w:r>
      <w:r>
        <w:rPr>
          <w:rFonts w:hint="eastAsia" w:ascii="宋体" w:hAnsi="宋体" w:cs="宋体"/>
          <w:color w:val="000000"/>
          <w:sz w:val="24"/>
          <w:szCs w:val="24"/>
        </w:rPr>
        <w:t xml:space="preserve">，</w:t>
      </w:r>
      <w:r>
        <w:rPr>
          <w:rFonts w:ascii="宋体" w:hAnsi="宋体" w:cs="宋体"/>
          <w:color w:val="000000"/>
          <w:sz w:val="24"/>
          <w:szCs w:val="24"/>
        </w:rPr>
        <w:t xml:space="preserve">维护保养及更换损坏件的费用包含在总价中。</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w:t>
      </w:r>
      <w:r>
        <w:rPr>
          <w:rFonts w:ascii="宋体" w:hAnsi="宋体" w:cs="宋体"/>
          <w:color w:val="000000"/>
          <w:sz w:val="24"/>
          <w:szCs w:val="24"/>
        </w:rPr>
        <w:t xml:space="preserve">供应商接到报修请求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w:t>
      </w:r>
      <w:r>
        <w:rPr>
          <w:rFonts w:hint="eastAsia" w:ascii="宋体" w:hAnsi="宋体" w:cs="宋体"/>
          <w:color w:val="000000"/>
          <w:sz w:val="24"/>
          <w:szCs w:val="24"/>
        </w:rPr>
        <w:t xml:space="preserve">，</w:t>
      </w:r>
      <w:r>
        <w:rPr>
          <w:rFonts w:ascii="宋体" w:hAnsi="宋体" w:cs="宋体"/>
          <w:color w:val="000000"/>
          <w:sz w:val="24"/>
          <w:szCs w:val="24"/>
        </w:rPr>
        <w:t xml:space="preserve">12小时内维修人员到达现场进行修理、更换或退货</w:t>
      </w:r>
      <w:r>
        <w:rPr>
          <w:rFonts w:hint="eastAsia" w:ascii="宋体" w:hAnsi="宋体" w:cs="宋体"/>
          <w:color w:val="000000"/>
          <w:sz w:val="24"/>
          <w:szCs w:val="24"/>
        </w:rPr>
        <w:t xml:space="preserve">，</w:t>
      </w:r>
      <w:r>
        <w:rPr>
          <w:rFonts w:ascii="宋体" w:hAnsi="宋体" w:cs="宋体"/>
          <w:color w:val="000000"/>
          <w:sz w:val="24"/>
          <w:szCs w:val="24"/>
        </w:rPr>
        <w:t xml:space="preserve">费用由供应商负责。如供应商在接到通知后2小时内没有答复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本身质量原因造成的直接经济损失全部由供应商负责。无法短时间完成维修的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p>
    <w:p>
      <w:pPr>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质保期内维修（人为因素除外）费用包含在总价中，质保期外提供不高于市场价格的终身维护。成交后提供质保期外配件价格明细表。</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pStyle w:val="966"/>
        <w:rPr>
          <w:rFonts w:hint="eastAsia"/>
        </w:rPr>
      </w:pPr>
      <w:r>
        <w:rPr>
          <w:rFonts w:hint="eastAsia"/>
        </w:rPr>
      </w:r>
      <w:r/>
    </w:p>
    <w:p>
      <w:pPr>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jc w:val="center"/>
        <w:spacing w:line="259" w:lineRule="auto"/>
        <w:rPr>
          <w:rFonts w:hint="eastAsia" w:ascii="黑体" w:hAnsi="宋体" w:eastAsia="黑体" w:cs="宋体"/>
          <w:spacing w:val="-10"/>
          <w:sz w:val="36"/>
          <w:szCs w:val="36"/>
          <w:lang w:val="zh-CN"/>
        </w:rPr>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询价小组从质量和服务均满足采购文件实质性要求的供应商中，按照</w:t>
      </w:r>
      <w:r>
        <w:rPr>
          <w:rFonts w:hint="eastAsia" w:ascii="宋体" w:hAnsi="宋体" w:eastAsia="宋体" w:cs="宋体"/>
          <w:color w:val="000000"/>
          <w:sz w:val="24"/>
          <w:szCs w:val="24"/>
          <w:lang w:val="en-US" w:eastAsia="zh-CN"/>
        </w:rPr>
        <w:t xml:space="preserve">报价</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成交候选供应商，并编写评审报告。</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供应商的报价如相同，</w:t>
      </w:r>
      <w:r>
        <w:rPr>
          <w:rFonts w:hint="eastAsia" w:ascii="宋体" w:hAnsi="宋体" w:eastAsia="宋体" w:cs="Times New Roman"/>
          <w:b w:val="0"/>
          <w:bCs w:val="0"/>
          <w:color w:val="000000"/>
          <w:sz w:val="24"/>
          <w:szCs w:val="24"/>
          <w:highlight w:val="none"/>
          <w:lang w:val="en-US" w:eastAsia="zh-CN"/>
        </w:rPr>
        <w:t xml:space="preserve">则优先采购“环境标志产品”和“节能产品”，按供应商所投“环境标志产品”和“节能产品”总金额排序，总金额高的优先</w:t>
      </w:r>
      <w:r>
        <w:rPr>
          <w:rFonts w:hint="eastAsia" w:ascii="宋体" w:hAnsi="宋体" w:eastAsia="宋体" w:cs="宋体"/>
          <w:b w:val="0"/>
          <w:bCs w:val="0"/>
          <w:color w:val="000000"/>
          <w:sz w:val="24"/>
          <w:szCs w:val="24"/>
          <w:lang w:val="en-US" w:eastAsia="zh-CN"/>
        </w:rPr>
        <w:t xml:space="preserve">。环境标志产品是指列入财政部、环境保护部最新公布的《环境标志产品品目清单》内的产品；节能产品是指列入财政部、国家发改委最新公布的《节能产品品目清单》内的产品。</w:t>
      </w:r>
      <w:r/>
    </w:p>
    <w:p>
      <w:pPr>
        <w:ind w:firstLine="480"/>
        <w:keepLines w:val="0"/>
        <w:keepNext w:val="0"/>
        <w:pageBreakBefore w:val="0"/>
        <w:spacing w:line="360"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sz w:val="24"/>
          <w:szCs w:val="24"/>
          <w:lang w:val="zh-CN" w:eastAsia="zh-CN"/>
        </w:rPr>
        <w:t xml:space="preserve">20%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lang w:eastAsia="zh-CN"/>
        </w:rPr>
      </w:pPr>
      <w:r>
        <w:rPr>
          <w:rFonts w:hint="eastAsia"/>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lang w:val="zh-CN"/>
        </w:rPr>
      </w:pP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2"/>
      <w:r/>
      <w:bookmarkEnd w:id="133"/>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hint="eastAsia" w:ascii="宋体" w:hAnsi="宋体"/>
          <w:b/>
          <w:sz w:val="72"/>
          <w:szCs w:val="21"/>
        </w:rPr>
      </w:pPr>
      <w:r/>
      <w:bookmarkStart w:id="134" w:name="_Hlt26955039"/>
      <w:r/>
      <w:bookmarkEnd w:id="134"/>
      <w:r/>
      <w:bookmarkStart w:id="135" w:name="_Hlt26671244"/>
      <w:r/>
      <w:bookmarkEnd w:id="135"/>
      <w:r/>
      <w:bookmarkStart w:id="136" w:name="_Toc26554094"/>
      <w:r/>
      <w:bookmarkStart w:id="137" w:name="_Toc49090576"/>
      <w:r/>
      <w:bookmarkStart w:id="138"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t xml:space="preserve">七、</w:t>
      </w:r>
      <w:r>
        <w:rPr>
          <w:rFonts w:hint="eastAsia" w:ascii="宋体" w:hAnsi="宋体" w:eastAsia="宋体" w:cs="宋体"/>
          <w:b w:val="0"/>
          <w:bCs w:val="0"/>
          <w:i w:val="0"/>
          <w:sz w:val="28"/>
          <w:szCs w:val="28"/>
          <w:u w:val="none"/>
          <w:lang w:val="en-US" w:eastAsia="zh-CN"/>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t xml:space="preserve">八、商务</w:t>
      </w:r>
      <w:r>
        <w:rPr>
          <w:rFonts w:hint="eastAsia" w:ascii="宋体" w:hAnsi="宋体" w:eastAsia="宋体" w:cs="宋体"/>
          <w:b w:val="0"/>
          <w:bCs w:val="0"/>
          <w:i w:val="0"/>
          <w:sz w:val="28"/>
          <w:szCs w:val="28"/>
          <w:u w:val="none"/>
          <w:lang w:val="en-US" w:eastAsia="zh-CN"/>
        </w:rPr>
        <w:t xml:space="preserve">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bookmarkEnd w:id="136"/>
      <w:r/>
      <w:bookmarkEnd w:id="137"/>
      <w:r/>
      <w:bookmarkEnd w:id="138"/>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cs="Times New Roman"/>
          <w:i w:val="0"/>
          <w:sz w:val="32"/>
          <w:szCs w:val="32"/>
          <w:u w:val="none"/>
          <w:lang w:val="en-US" w:eastAsia="zh-CN"/>
        </w:rPr>
      </w:pPr>
      <w:r/>
      <w:bookmarkStart w:id="139" w:name="_Toc120614284"/>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04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016"/>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016"/>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1016"/>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1016"/>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1016"/>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16"/>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1016"/>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0" w:name="_Hlt26671380"/>
      <w:r/>
      <w:bookmarkEnd w:id="140"/>
      <w:r/>
      <w:bookmarkStart w:id="141" w:name="_Hlt26955070"/>
      <w:r/>
      <w:bookmarkEnd w:id="141"/>
      <w:r/>
      <w:bookmarkStart w:id="142" w:name="_格式3__银行出具的资信证明"/>
      <w:r/>
      <w:bookmarkEnd w:id="142"/>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四、询价响应函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询价响应函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102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p>
    <w:p>
      <w:pPr>
        <w:pStyle w:val="102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1025"/>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102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102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102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102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2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007"/>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30"/>
      <w:r/>
      <w:bookmarkEnd w:id="131"/>
      <w:r/>
      <w:bookmarkEnd w:id="139"/>
      <w:r>
        <w:rPr>
          <w:rFonts w:hint="eastAsia" w:ascii="黑体" w:hAnsi="黑体" w:eastAsia="黑体" w:cs="Times New Roman"/>
          <w:i w:val="0"/>
          <w:sz w:val="32"/>
          <w:szCs w:val="32"/>
          <w:u w:val="none"/>
          <w:lang w:val="en-US" w:eastAsia="zh-CN"/>
        </w:rPr>
        <w:t xml:space="preserve">五、询价报价表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询价报价表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                                 </w:t>
      </w:r>
      <w:r/>
    </w:p>
    <w:tbl>
      <w:tblPr>
        <w:tblStyle w:val="758"/>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2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r/>
      <w:r/>
    </w:p>
    <w:p>
      <w:r/>
      <w:r/>
    </w:p>
    <w:p>
      <w:pPr>
        <w:pStyle w:val="932"/>
      </w:pPr>
      <w:r/>
      <w:r/>
    </w:p>
    <w:p>
      <w:r/>
      <w:r/>
    </w:p>
    <w:p>
      <w:pPr>
        <w:pStyle w:val="932"/>
      </w:pPr>
      <w:r/>
      <w:r/>
    </w:p>
    <w:p>
      <w:r/>
      <w:r/>
    </w:p>
    <w:p>
      <w:pPr>
        <w:pStyle w:val="932"/>
      </w:pPr>
      <w:r/>
      <w:r/>
    </w:p>
    <w:p>
      <w:r/>
      <w:r/>
    </w:p>
    <w:p>
      <w:pPr>
        <w:pStyle w:val="932"/>
      </w:pPr>
      <w:r/>
      <w:r/>
    </w:p>
    <w:p>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58"/>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0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3.供应商所报产品须与“第四章-项目清单”中的产品一一对应，如有缺项、漏项或者超出单价上限，视为无效响应。“项目清单”中分项仅为一项的，此表无需提供。</w:t>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932"/>
      </w:pPr>
      <w:r/>
      <w:r/>
    </w:p>
    <w:p>
      <w:r/>
      <w:r/>
    </w:p>
    <w:p>
      <w:pPr>
        <w:pStyle w:val="759"/>
      </w:p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zh-CN" w:eastAsia="zh-CN"/>
        </w:rPr>
      </w:pPr>
      <w:r>
        <w:rPr>
          <w:rFonts w:hint="eastAsia" w:ascii="黑体" w:hAnsi="黑体" w:eastAsia="黑体" w:cs="Times New Roman"/>
          <w:i w:val="0"/>
          <w:sz w:val="32"/>
          <w:szCs w:val="32"/>
          <w:u w:val="none"/>
          <w:lang w:val="zh-CN"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9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成交供应商签订合同时应按询价文件要求和响应文件响应内容向采购人提供相应证明材料核验（如：白皮书、彩页、手册、网站截图、具有CMA标识的检测报告等），另有约定的除外。成交供应商未按询价文件要求和响应文件响应内容提供相应证明材料或者提供的证明材料不符合</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文件要求的</w:t>
      </w:r>
      <w:r>
        <w:rPr>
          <w:rFonts w:hint="eastAsia" w:cs="宋体"/>
          <w:color w:val="000000"/>
          <w:lang w:val="en-US" w:eastAsia="zh-CN"/>
        </w:rPr>
        <w:t xml:space="preserve">，</w:t>
      </w:r>
      <w:r>
        <w:rPr>
          <w:rFonts w:hint="eastAsia" w:ascii="宋体" w:hAnsi="宋体" w:eastAsia="宋体" w:cs="宋体"/>
          <w:color w:val="000000"/>
          <w:lang w:val="en-US" w:eastAsia="zh-CN"/>
        </w:rPr>
        <w:t xml:space="preserve">视为提供虚假材料谋取成交</w:t>
      </w:r>
      <w:r>
        <w:rPr>
          <w:rFonts w:hint="eastAsia" w:cs="宋体"/>
          <w:color w:val="000000"/>
          <w:lang w:val="en-US" w:eastAsia="zh-CN"/>
        </w:rPr>
        <w:t xml:space="preserve">，</w:t>
      </w:r>
      <w:r>
        <w:rPr>
          <w:rFonts w:hint="eastAsia" w:ascii="宋体" w:hAnsi="宋体" w:eastAsia="宋体" w:cs="宋体"/>
          <w:color w:val="000000"/>
          <w:lang w:val="en-US" w:eastAsia="zh-CN"/>
        </w:rPr>
        <w:t xml:space="preserve">采购人将取消其成交资格。</w:t>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1007"/>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9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p>
    <w:p>
      <w:pPr>
        <w:pStyle w:val="99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100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00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47"/>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bookmarkStart w:id="143" w:name="_GoBack"/>
      <w:r/>
      <w:bookmarkEnd w:id="143"/>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询价</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59"/>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3">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link w:val="10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7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customStyle="1">
    <w:name w:val="正文首行缩进 21"/>
    <w:basedOn w:val="760"/>
    <w:next w:val="747"/>
    <w:link w:val="944"/>
    <w:uiPriority w:val="0"/>
    <w:qFormat/>
    <w:pPr>
      <w:ind w:left="0" w:firstLine="420"/>
      <w:spacing w:after="0" w:line="360" w:lineRule="auto"/>
    </w:pPr>
    <w:rPr>
      <w:rFonts w:ascii="宋体" w:hAnsi="宋体" w:eastAsia="宋体" w:cs="Times New Roman"/>
      <w:szCs w:val="20"/>
    </w:rPr>
  </w:style>
  <w:style w:type="paragraph" w:styleId="760" w:customStyle="1">
    <w:name w:val="正文文本缩进11"/>
    <w:basedOn w:val="747"/>
    <w:next w:val="761"/>
    <w:link w:val="943"/>
    <w:uiPriority w:val="0"/>
    <w:unhideWhenUsed/>
    <w:qFormat/>
    <w:pPr>
      <w:ind w:left="420"/>
      <w:spacing w:after="120"/>
    </w:pPr>
  </w:style>
  <w:style w:type="paragraph" w:styleId="761" w:customStyle="1">
    <w:name w:val="寄信人地址1"/>
    <w:basedOn w:val="747"/>
    <w:uiPriority w:val="0"/>
    <w:qFormat/>
    <w:rPr>
      <w:rFonts w:ascii="Arial" w:hAnsi="Arial" w:eastAsia="宋体" w:cs="宋体"/>
    </w:rPr>
  </w:style>
  <w:style w:type="paragraph" w:styleId="762">
    <w:name w:val="toc 7"/>
    <w:basedOn w:val="747"/>
    <w:next w:val="747"/>
    <w:uiPriority w:val="39"/>
    <w:unhideWhenUsed/>
    <w:pPr>
      <w:ind w:left="1701" w:right="0" w:firstLine="0"/>
      <w:spacing w:after="57"/>
    </w:pPr>
  </w:style>
  <w:style w:type="paragraph" w:styleId="763">
    <w:name w:val="Caption"/>
    <w:basedOn w:val="747"/>
    <w:next w:val="747"/>
    <w:uiPriority w:val="35"/>
    <w:semiHidden/>
    <w:unhideWhenUsed/>
    <w:qFormat/>
    <w:pPr>
      <w:spacing w:line="276" w:lineRule="auto"/>
    </w:pPr>
    <w:rPr>
      <w:b/>
      <w:bCs/>
      <w:color w:val="4f81bd" w:themeColor="accent1"/>
      <w:sz w:val="18"/>
      <w:szCs w:val="18"/>
    </w:rPr>
  </w:style>
  <w:style w:type="paragraph" w:styleId="764">
    <w:name w:val="toc 5"/>
    <w:basedOn w:val="747"/>
    <w:next w:val="747"/>
    <w:uiPriority w:val="39"/>
    <w:unhideWhenUsed/>
    <w:qFormat/>
    <w:pPr>
      <w:ind w:left="1134" w:right="0" w:firstLine="0"/>
      <w:spacing w:after="57"/>
    </w:pPr>
  </w:style>
  <w:style w:type="paragraph" w:styleId="765">
    <w:name w:val="toc 3"/>
    <w:basedOn w:val="747"/>
    <w:next w:val="747"/>
    <w:uiPriority w:val="39"/>
    <w:unhideWhenUsed/>
    <w:pPr>
      <w:ind w:left="567" w:right="0" w:firstLine="0"/>
      <w:spacing w:after="57"/>
    </w:pPr>
  </w:style>
  <w:style w:type="paragraph" w:styleId="766">
    <w:name w:val="toc 8"/>
    <w:basedOn w:val="747"/>
    <w:next w:val="747"/>
    <w:uiPriority w:val="39"/>
    <w:unhideWhenUsed/>
    <w:qFormat/>
    <w:pPr>
      <w:ind w:left="1984" w:right="0" w:firstLine="0"/>
      <w:spacing w:after="57"/>
    </w:pPr>
  </w:style>
  <w:style w:type="paragraph" w:styleId="767">
    <w:name w:val="endnote text"/>
    <w:basedOn w:val="747"/>
    <w:link w:val="929"/>
    <w:uiPriority w:val="99"/>
    <w:semiHidden/>
    <w:unhideWhenUsed/>
    <w:pPr>
      <w:spacing w:after="0" w:line="240" w:lineRule="auto"/>
    </w:pPr>
    <w:rPr>
      <w:sz w:val="20"/>
    </w:rPr>
  </w:style>
  <w:style w:type="paragraph" w:styleId="768">
    <w:name w:val="Footer"/>
    <w:basedOn w:val="747"/>
    <w:link w:val="802"/>
    <w:uiPriority w:val="99"/>
    <w:unhideWhenUsed/>
    <w:qFormat/>
    <w:pPr>
      <w:spacing w:after="0" w:line="240" w:lineRule="auto"/>
      <w:tabs>
        <w:tab w:val="center" w:pos="7143" w:leader="none"/>
        <w:tab w:val="right" w:pos="14287" w:leader="none"/>
      </w:tabs>
    </w:pPr>
  </w:style>
  <w:style w:type="paragraph" w:styleId="769">
    <w:name w:val="Header"/>
    <w:basedOn w:val="747"/>
    <w:link w:val="800"/>
    <w:uiPriority w:val="99"/>
    <w:unhideWhenUsed/>
    <w:qFormat/>
    <w:pPr>
      <w:spacing w:after="0" w:line="240" w:lineRule="auto"/>
      <w:tabs>
        <w:tab w:val="center" w:pos="7143" w:leader="none"/>
        <w:tab w:val="right" w:pos="14287" w:leader="none"/>
      </w:tabs>
    </w:pPr>
  </w:style>
  <w:style w:type="paragraph" w:styleId="770">
    <w:name w:val="toc 1"/>
    <w:basedOn w:val="747"/>
    <w:next w:val="747"/>
    <w:uiPriority w:val="39"/>
    <w:unhideWhenUsed/>
    <w:qFormat/>
    <w:pPr>
      <w:ind w:left="0" w:right="0" w:firstLine="0"/>
      <w:spacing w:after="57"/>
    </w:pPr>
  </w:style>
  <w:style w:type="paragraph" w:styleId="771">
    <w:name w:val="toc 4"/>
    <w:basedOn w:val="747"/>
    <w:next w:val="747"/>
    <w:uiPriority w:val="39"/>
    <w:unhideWhenUsed/>
    <w:qFormat/>
    <w:pPr>
      <w:ind w:left="850" w:right="0" w:firstLine="0"/>
      <w:spacing w:after="57"/>
    </w:pPr>
  </w:style>
  <w:style w:type="paragraph" w:styleId="772">
    <w:name w:val="Subtitle"/>
    <w:basedOn w:val="747"/>
    <w:next w:val="747"/>
    <w:link w:val="795"/>
    <w:uiPriority w:val="11"/>
    <w:qFormat/>
    <w:pPr>
      <w:spacing w:before="200" w:after="200"/>
    </w:pPr>
    <w:rPr>
      <w:sz w:val="24"/>
      <w:szCs w:val="24"/>
    </w:rPr>
  </w:style>
  <w:style w:type="paragraph" w:styleId="773">
    <w:name w:val="footnote text"/>
    <w:basedOn w:val="747"/>
    <w:link w:val="928"/>
    <w:uiPriority w:val="99"/>
    <w:semiHidden/>
    <w:unhideWhenUsed/>
    <w:qFormat/>
    <w:pPr>
      <w:spacing w:after="40" w:line="240" w:lineRule="auto"/>
    </w:pPr>
    <w:rPr>
      <w:sz w:val="18"/>
    </w:rPr>
  </w:style>
  <w:style w:type="paragraph" w:styleId="774">
    <w:name w:val="toc 6"/>
    <w:basedOn w:val="747"/>
    <w:next w:val="747"/>
    <w:uiPriority w:val="39"/>
    <w:unhideWhenUsed/>
    <w:qFormat/>
    <w:pPr>
      <w:ind w:left="1417" w:right="0" w:firstLine="0"/>
      <w:spacing w:after="57"/>
    </w:pPr>
  </w:style>
  <w:style w:type="paragraph" w:styleId="775">
    <w:name w:val="table of figures"/>
    <w:basedOn w:val="747"/>
    <w:next w:val="747"/>
    <w:uiPriority w:val="99"/>
    <w:unhideWhenUsed/>
    <w:qFormat/>
    <w:pPr>
      <w:spacing w:after="0" w:afterAutospacing="0"/>
    </w:pPr>
  </w:style>
  <w:style w:type="paragraph" w:styleId="776">
    <w:name w:val="toc 2"/>
    <w:basedOn w:val="747"/>
    <w:next w:val="747"/>
    <w:uiPriority w:val="39"/>
    <w:unhideWhenUsed/>
    <w:qFormat/>
    <w:pPr>
      <w:ind w:left="283" w:right="0" w:firstLine="0"/>
      <w:spacing w:after="57"/>
    </w:pPr>
  </w:style>
  <w:style w:type="paragraph" w:styleId="777">
    <w:name w:val="toc 9"/>
    <w:basedOn w:val="747"/>
    <w:next w:val="747"/>
    <w:uiPriority w:val="39"/>
    <w:unhideWhenUsed/>
    <w:qFormat/>
    <w:pPr>
      <w:ind w:left="2268" w:right="0" w:firstLine="0"/>
      <w:spacing w:after="57"/>
    </w:pPr>
  </w:style>
  <w:style w:type="paragraph" w:styleId="778">
    <w:name w:val="Title"/>
    <w:basedOn w:val="747"/>
    <w:next w:val="747"/>
    <w:link w:val="794"/>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rPr>
  </w:style>
  <w:style w:type="character" w:styleId="782">
    <w:name w:val="footnote reference"/>
    <w:uiPriority w:val="99"/>
    <w:unhideWhenUsed/>
    <w:qFormat/>
    <w:rPr>
      <w:vertAlign w:val="superscript"/>
    </w:rPr>
  </w:style>
  <w:style w:type="character" w:styleId="783" w:customStyle="1">
    <w:name w:val="Heading 1 Char"/>
    <w:link w:val="748"/>
    <w:uiPriority w:val="9"/>
    <w:qFormat/>
    <w:rPr>
      <w:rFonts w:ascii="Arial" w:hAnsi="Arial" w:eastAsia="Arial" w:cs="Arial"/>
      <w:sz w:val="40"/>
      <w:szCs w:val="40"/>
    </w:rPr>
  </w:style>
  <w:style w:type="character" w:styleId="784" w:customStyle="1">
    <w:name w:val="Heading 2 Char"/>
    <w:link w:val="749"/>
    <w:uiPriority w:val="9"/>
    <w:qFormat/>
    <w:rPr>
      <w:rFonts w:ascii="Arial" w:hAnsi="Arial" w:eastAsia="Arial" w:cs="Arial"/>
      <w:sz w:val="34"/>
    </w:rPr>
  </w:style>
  <w:style w:type="character" w:styleId="785" w:customStyle="1">
    <w:name w:val="Heading 3 Char"/>
    <w:link w:val="750"/>
    <w:uiPriority w:val="9"/>
    <w:qFormat/>
    <w:rPr>
      <w:rFonts w:ascii="Arial" w:hAnsi="Arial" w:eastAsia="Arial" w:cs="Arial"/>
      <w:sz w:val="30"/>
      <w:szCs w:val="30"/>
    </w:rPr>
  </w:style>
  <w:style w:type="character" w:styleId="786" w:customStyle="1">
    <w:name w:val="Heading 4 Char"/>
    <w:link w:val="751"/>
    <w:uiPriority w:val="9"/>
    <w:qFormat/>
    <w:rPr>
      <w:rFonts w:ascii="Arial" w:hAnsi="Arial" w:eastAsia="Arial" w:cs="Arial"/>
      <w:b/>
      <w:bCs/>
      <w:sz w:val="26"/>
      <w:szCs w:val="26"/>
    </w:rPr>
  </w:style>
  <w:style w:type="character" w:styleId="787" w:customStyle="1">
    <w:name w:val="Heading 5 Char"/>
    <w:link w:val="752"/>
    <w:uiPriority w:val="9"/>
    <w:qFormat/>
    <w:rPr>
      <w:rFonts w:ascii="Arial" w:hAnsi="Arial" w:eastAsia="Arial" w:cs="Arial"/>
      <w:b/>
      <w:bCs/>
      <w:sz w:val="24"/>
      <w:szCs w:val="24"/>
    </w:rPr>
  </w:style>
  <w:style w:type="character" w:styleId="788" w:customStyle="1">
    <w:name w:val="Heading 6 Char"/>
    <w:link w:val="753"/>
    <w:uiPriority w:val="9"/>
    <w:qFormat/>
    <w:rPr>
      <w:rFonts w:ascii="Arial" w:hAnsi="Arial" w:eastAsia="Arial" w:cs="Arial"/>
      <w:b/>
      <w:bCs/>
      <w:sz w:val="22"/>
      <w:szCs w:val="22"/>
    </w:rPr>
  </w:style>
  <w:style w:type="character" w:styleId="789" w:customStyle="1">
    <w:name w:val="Heading 7 Char"/>
    <w:link w:val="754"/>
    <w:uiPriority w:val="9"/>
    <w:qFormat/>
    <w:rPr>
      <w:rFonts w:ascii="Arial" w:hAnsi="Arial" w:eastAsia="Arial" w:cs="Arial"/>
      <w:b/>
      <w:bCs/>
      <w:i/>
      <w:iCs/>
      <w:sz w:val="22"/>
      <w:szCs w:val="22"/>
    </w:rPr>
  </w:style>
  <w:style w:type="character" w:styleId="790" w:customStyle="1">
    <w:name w:val="Heading 8 Char"/>
    <w:link w:val="755"/>
    <w:uiPriority w:val="9"/>
    <w:qFormat/>
    <w:rPr>
      <w:rFonts w:ascii="Arial" w:hAnsi="Arial" w:eastAsia="Arial" w:cs="Arial"/>
      <w:i/>
      <w:iCs/>
      <w:sz w:val="22"/>
      <w:szCs w:val="22"/>
    </w:rPr>
  </w:style>
  <w:style w:type="character" w:styleId="791" w:customStyle="1">
    <w:name w:val="Heading 9 Char"/>
    <w:link w:val="756"/>
    <w:uiPriority w:val="9"/>
    <w:qFormat/>
    <w:rPr>
      <w:rFonts w:ascii="Arial" w:hAnsi="Arial" w:eastAsia="Arial" w:cs="Arial"/>
      <w:i/>
      <w:iCs/>
      <w:sz w:val="21"/>
      <w:szCs w:val="21"/>
    </w:rPr>
  </w:style>
  <w:style w:type="paragraph" w:styleId="792">
    <w:name w:val="List Paragraph"/>
    <w:basedOn w:val="747"/>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8"/>
    <w:uiPriority w:val="10"/>
    <w:qFormat/>
    <w:rPr>
      <w:sz w:val="48"/>
      <w:szCs w:val="48"/>
    </w:rPr>
  </w:style>
  <w:style w:type="character" w:styleId="795" w:customStyle="1">
    <w:name w:val="Subtitle Char"/>
    <w:link w:val="772"/>
    <w:uiPriority w:val="11"/>
    <w:qFormat/>
    <w:rPr>
      <w:sz w:val="24"/>
      <w:szCs w:val="24"/>
    </w:rPr>
  </w:style>
  <w:style w:type="paragraph" w:styleId="796">
    <w:name w:val="Quote"/>
    <w:basedOn w:val="747"/>
    <w:next w:val="747"/>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7"/>
    <w:next w:val="747"/>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link w:val="769"/>
    <w:uiPriority w:val="99"/>
    <w:qFormat/>
  </w:style>
  <w:style w:type="character" w:styleId="801" w:customStyle="1">
    <w:name w:val="Footer Char"/>
    <w:link w:val="768"/>
    <w:uiPriority w:val="99"/>
    <w:qFormat/>
  </w:style>
  <w:style w:type="character" w:styleId="802" w:customStyle="1">
    <w:name w:val="Caption Char"/>
    <w:link w:val="768"/>
    <w:uiPriority w:val="99"/>
    <w:qFormat/>
  </w:style>
  <w:style w:type="table" w:styleId="8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3"/>
    <w:uiPriority w:val="99"/>
    <w:qFormat/>
    <w:rPr>
      <w:sz w:val="18"/>
    </w:rPr>
  </w:style>
  <w:style w:type="character" w:styleId="929" w:customStyle="1">
    <w:name w:val="Endnote Text Char"/>
    <w:link w:val="767"/>
    <w:uiPriority w:val="99"/>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
    <w:basedOn w:val="747"/>
    <w:next w:val="747"/>
    <w:link w:val="945"/>
    <w:uiPriority w:val="0"/>
    <w:qFormat/>
    <w:pPr>
      <w:jc w:val="center"/>
      <w:keepNext/>
      <w:outlineLvl w:val="0"/>
    </w:pPr>
    <w:rPr>
      <w:rFonts w:ascii="楷体_GB2312" w:hAnsi="Times New Roman" w:eastAsia="楷体_GB2312" w:cs="Times New Roman"/>
      <w:sz w:val="28"/>
      <w:szCs w:val="28"/>
    </w:rPr>
  </w:style>
  <w:style w:type="paragraph" w:styleId="932" w:customStyle="1">
    <w:name w:val="标题 21"/>
    <w:basedOn w:val="747"/>
    <w:next w:val="747"/>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标题 31"/>
    <w:basedOn w:val="747"/>
    <w:next w:val="934"/>
    <w:link w:val="94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customStyle="1">
    <w:name w:val="正文缩进1"/>
    <w:basedOn w:val="747"/>
    <w:link w:val="948"/>
    <w:uiPriority w:val="0"/>
    <w:pPr>
      <w:ind w:firstLine="420"/>
    </w:pPr>
    <w:rPr>
      <w:szCs w:val="21"/>
    </w:rPr>
  </w:style>
  <w:style w:type="paragraph" w:styleId="935" w:customStyle="1">
    <w:name w:val="标题 41"/>
    <w:basedOn w:val="747"/>
    <w:next w:val="934"/>
    <w:link w:val="949"/>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47"/>
    <w:next w:val="934"/>
    <w:link w:val="950"/>
    <w:uiPriority w:val="0"/>
    <w:qFormat/>
    <w:pPr>
      <w:keepNext/>
      <w:outlineLvl w:val="4"/>
    </w:pPr>
    <w:rPr>
      <w:rFonts w:ascii="宋体" w:hAnsi="Times New Roman" w:eastAsia="宋体" w:cs="Times New Roman"/>
      <w:color w:val="000000"/>
      <w:sz w:val="28"/>
      <w:szCs w:val="28"/>
    </w:rPr>
  </w:style>
  <w:style w:type="paragraph" w:styleId="937" w:customStyle="1">
    <w:name w:val="标题 61"/>
    <w:basedOn w:val="747"/>
    <w:next w:val="747"/>
    <w:link w:val="95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8" w:customStyle="1">
    <w:name w:val="标题 71"/>
    <w:basedOn w:val="747"/>
    <w:next w:val="747"/>
    <w:link w:val="95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9" w:customStyle="1">
    <w:name w:val="标题 81"/>
    <w:basedOn w:val="747"/>
    <w:next w:val="747"/>
    <w:link w:val="95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0" w:customStyle="1">
    <w:name w:val="标题 91"/>
    <w:basedOn w:val="747"/>
    <w:next w:val="747"/>
    <w:link w:val="95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1" w:customStyle="1">
    <w:name w:val="默认段落字体1"/>
    <w:link w:val="747"/>
    <w:uiPriority w:val="1"/>
    <w:unhideWhenUsed/>
  </w:style>
  <w:style w:type="table" w:styleId="942" w:customStyle="1">
    <w:name w:val="普通表格11"/>
    <w:uiPriority w:val="99"/>
    <w:unhideWhenUsed/>
    <w:tblPr/>
  </w:style>
  <w:style w:type="character" w:styleId="943" w:customStyle="1">
    <w:name w:val="正文文本缩进 Char"/>
    <w:basedOn w:val="941"/>
    <w:link w:val="760"/>
    <w:uiPriority w:val="99"/>
    <w:semiHidden/>
  </w:style>
  <w:style w:type="character" w:styleId="944" w:customStyle="1">
    <w:name w:val="正文首行缩进 2 Char"/>
    <w:link w:val="759"/>
    <w:uiPriority w:val="0"/>
    <w:qFormat/>
    <w:rPr>
      <w:rFonts w:ascii="宋体" w:hAnsi="宋体" w:eastAsia="宋体" w:cs="Times New Roman"/>
      <w:szCs w:val="20"/>
    </w:rPr>
  </w:style>
  <w:style w:type="character" w:styleId="945" w:customStyle="1">
    <w:name w:val="标题 1 Char"/>
    <w:link w:val="931"/>
    <w:uiPriority w:val="0"/>
    <w:qFormat/>
    <w:rPr>
      <w:rFonts w:ascii="楷体_GB2312" w:hAnsi="Times New Roman" w:eastAsia="楷体_GB2312" w:cs="Times New Roman"/>
      <w:sz w:val="28"/>
      <w:szCs w:val="28"/>
    </w:rPr>
  </w:style>
  <w:style w:type="character" w:styleId="946" w:customStyle="1">
    <w:name w:val="标题 2 Char"/>
    <w:link w:val="932"/>
    <w:uiPriority w:val="0"/>
    <w:qFormat/>
    <w:rPr>
      <w:rFonts w:ascii="Arial" w:hAnsi="Arial" w:eastAsia="幼圆" w:cs="Arial"/>
      <w:b/>
      <w:bCs/>
      <w:sz w:val="44"/>
      <w:szCs w:val="44"/>
    </w:rPr>
  </w:style>
  <w:style w:type="character" w:styleId="947" w:customStyle="1">
    <w:name w:val="标题 3 Char"/>
    <w:link w:val="933"/>
    <w:uiPriority w:val="0"/>
    <w:qFormat/>
    <w:rPr>
      <w:rFonts w:ascii="Times New Roman" w:hAnsi="Times New Roman" w:eastAsia="宋体" w:cs="Times New Roman"/>
      <w:b/>
      <w:bCs/>
      <w:sz w:val="32"/>
      <w:szCs w:val="32"/>
    </w:rPr>
  </w:style>
  <w:style w:type="character" w:styleId="948" w:customStyle="1">
    <w:name w:val="正文缩进 Char"/>
    <w:link w:val="934"/>
    <w:uiPriority w:val="0"/>
    <w:rPr>
      <w:szCs w:val="21"/>
    </w:rPr>
  </w:style>
  <w:style w:type="character" w:styleId="949" w:customStyle="1">
    <w:name w:val="标题 4 Char"/>
    <w:link w:val="935"/>
    <w:uiPriority w:val="0"/>
    <w:rPr>
      <w:rFonts w:ascii="Arial" w:hAnsi="Arial" w:eastAsia="黑体" w:cs="Arial"/>
      <w:b/>
      <w:bCs/>
      <w:sz w:val="28"/>
      <w:szCs w:val="28"/>
    </w:rPr>
  </w:style>
  <w:style w:type="character" w:styleId="950" w:customStyle="1">
    <w:name w:val="标题 5 Char"/>
    <w:link w:val="936"/>
    <w:uiPriority w:val="0"/>
    <w:qFormat/>
    <w:rPr>
      <w:rFonts w:ascii="宋体" w:hAnsi="Times New Roman" w:eastAsia="宋体" w:cs="Times New Roman"/>
      <w:color w:val="000000"/>
      <w:sz w:val="28"/>
      <w:szCs w:val="28"/>
    </w:rPr>
  </w:style>
  <w:style w:type="character" w:styleId="951" w:customStyle="1">
    <w:name w:val="标题 6 Char"/>
    <w:link w:val="937"/>
    <w:uiPriority w:val="0"/>
    <w:rPr>
      <w:rFonts w:ascii="Arial" w:hAnsi="Arial" w:eastAsia="黑体" w:cs="Times New Roman"/>
      <w:b/>
      <w:bCs/>
      <w:sz w:val="24"/>
      <w:szCs w:val="24"/>
    </w:rPr>
  </w:style>
  <w:style w:type="character" w:styleId="952" w:customStyle="1">
    <w:name w:val="标题 7 Char"/>
    <w:link w:val="938"/>
    <w:uiPriority w:val="0"/>
    <w:qFormat/>
    <w:rPr>
      <w:rFonts w:ascii="Times New Roman" w:hAnsi="Times New Roman" w:eastAsia="宋体" w:cs="Times New Roman"/>
      <w:b/>
      <w:bCs/>
      <w:sz w:val="24"/>
      <w:szCs w:val="24"/>
    </w:rPr>
  </w:style>
  <w:style w:type="character" w:styleId="953" w:customStyle="1">
    <w:name w:val="标题 8 Char"/>
    <w:link w:val="939"/>
    <w:uiPriority w:val="0"/>
    <w:qFormat/>
    <w:rPr>
      <w:rFonts w:ascii="Arial" w:hAnsi="Arial" w:eastAsia="黑体" w:cs="Times New Roman"/>
      <w:sz w:val="24"/>
      <w:szCs w:val="24"/>
    </w:rPr>
  </w:style>
  <w:style w:type="character" w:styleId="954" w:customStyle="1">
    <w:name w:val="标题 9 Char"/>
    <w:link w:val="940"/>
    <w:uiPriority w:val="0"/>
    <w:qFormat/>
    <w:rPr>
      <w:rFonts w:ascii="Arial" w:hAnsi="Arial" w:eastAsia="黑体" w:cs="Times New Roman"/>
      <w:szCs w:val="21"/>
    </w:rPr>
  </w:style>
  <w:style w:type="paragraph" w:styleId="955" w:customStyle="1">
    <w:name w:val="列表 31"/>
    <w:basedOn w:val="747"/>
    <w:uiPriority w:val="0"/>
    <w:qFormat/>
    <w:pPr>
      <w:ind w:left="100" w:hanging="200"/>
    </w:pPr>
    <w:rPr>
      <w:rFonts w:ascii="Times New Roman" w:hAnsi="Times New Roman" w:eastAsia="宋体" w:cs="Times New Roman"/>
      <w:szCs w:val="21"/>
    </w:rPr>
  </w:style>
  <w:style w:type="paragraph" w:styleId="956" w:customStyle="1">
    <w:name w:val="目录 71"/>
    <w:basedOn w:val="747"/>
    <w:next w:val="747"/>
    <w:uiPriority w:val="0"/>
    <w:semiHidden/>
    <w:qFormat/>
    <w:pPr>
      <w:ind w:left="1260"/>
      <w:jc w:val="left"/>
    </w:pPr>
    <w:rPr>
      <w:rFonts w:ascii="Times New Roman" w:hAnsi="Times New Roman" w:eastAsia="宋体" w:cs="Times New Roman"/>
      <w:szCs w:val="21"/>
    </w:rPr>
  </w:style>
  <w:style w:type="paragraph" w:styleId="957" w:customStyle="1">
    <w:name w:val="文档结构图1"/>
    <w:basedOn w:val="747"/>
    <w:link w:val="958"/>
    <w:uiPriority w:val="0"/>
    <w:semiHidden/>
    <w:qFormat/>
    <w:pPr>
      <w:shd w:val="clear" w:color="auto" w:fill="000080"/>
    </w:pPr>
    <w:rPr>
      <w:rFonts w:ascii="Times New Roman" w:hAnsi="Times New Roman" w:eastAsia="宋体" w:cs="Times New Roman"/>
      <w:szCs w:val="21"/>
    </w:rPr>
  </w:style>
  <w:style w:type="character" w:styleId="958" w:customStyle="1">
    <w:name w:val="文档结构图 Char"/>
    <w:link w:val="957"/>
    <w:uiPriority w:val="0"/>
    <w:semiHidden/>
    <w:qFormat/>
    <w:rPr>
      <w:rFonts w:ascii="Times New Roman" w:hAnsi="Times New Roman" w:eastAsia="宋体" w:cs="Times New Roman"/>
      <w:szCs w:val="21"/>
      <w:shd w:val="clear" w:color="auto" w:fill="000080"/>
    </w:rPr>
  </w:style>
  <w:style w:type="paragraph" w:styleId="959" w:customStyle="1">
    <w:name w:val="批注文字1"/>
    <w:basedOn w:val="747"/>
    <w:link w:val="960"/>
    <w:uiPriority w:val="0"/>
    <w:unhideWhenUsed/>
    <w:qFormat/>
    <w:pPr>
      <w:jc w:val="left"/>
    </w:pPr>
  </w:style>
  <w:style w:type="character" w:styleId="960" w:customStyle="1">
    <w:name w:val="批注文字 Char"/>
    <w:basedOn w:val="941"/>
    <w:link w:val="959"/>
    <w:uiPriority w:val="99"/>
    <w:semiHidden/>
    <w:qFormat/>
  </w:style>
  <w:style w:type="paragraph" w:styleId="961" w:customStyle="1">
    <w:name w:val="正文文本 31"/>
    <w:basedOn w:val="747"/>
    <w:link w:val="962"/>
    <w:uiPriority w:val="0"/>
    <w:qFormat/>
    <w:rPr>
      <w:rFonts w:ascii="仿宋_GB2312" w:hAnsi="Arial" w:eastAsia="仿宋_GB2312" w:cs="Times New Roman"/>
      <w:sz w:val="32"/>
      <w:szCs w:val="32"/>
    </w:rPr>
  </w:style>
  <w:style w:type="character" w:styleId="962" w:customStyle="1">
    <w:name w:val="正文文本 3 Char"/>
    <w:link w:val="961"/>
    <w:uiPriority w:val="0"/>
    <w:qFormat/>
    <w:rPr>
      <w:rFonts w:ascii="仿宋_GB2312" w:hAnsi="Arial" w:eastAsia="仿宋_GB2312" w:cs="Times New Roman"/>
      <w:sz w:val="32"/>
      <w:szCs w:val="32"/>
    </w:rPr>
  </w:style>
  <w:style w:type="paragraph" w:styleId="963" w:customStyle="1">
    <w:name w:val="正文文本1"/>
    <w:basedOn w:val="747"/>
    <w:link w:val="964"/>
    <w:uiPriority w:val="0"/>
    <w:qFormat/>
    <w:rPr>
      <w:rFonts w:ascii="楷体_GB2312" w:hAnsi="Arial" w:eastAsia="楷体_GB2312" w:cs="Times New Roman"/>
      <w:sz w:val="28"/>
      <w:szCs w:val="28"/>
    </w:rPr>
  </w:style>
  <w:style w:type="character" w:styleId="964" w:customStyle="1">
    <w:name w:val="正文文本 Char"/>
    <w:link w:val="963"/>
    <w:uiPriority w:val="0"/>
    <w:qFormat/>
    <w:rPr>
      <w:rFonts w:ascii="楷体_GB2312" w:hAnsi="Arial" w:eastAsia="楷体_GB2312" w:cs="Times New Roman"/>
      <w:sz w:val="28"/>
      <w:szCs w:val="28"/>
    </w:rPr>
  </w:style>
  <w:style w:type="paragraph" w:styleId="965" w:customStyle="1">
    <w:name w:val="列表 21"/>
    <w:basedOn w:val="747"/>
    <w:uiPriority w:val="0"/>
    <w:qFormat/>
    <w:pPr>
      <w:ind w:left="100" w:hanging="200"/>
    </w:pPr>
    <w:rPr>
      <w:rFonts w:ascii="Times New Roman" w:hAnsi="Times New Roman" w:eastAsia="宋体" w:cs="Times New Roman"/>
      <w:szCs w:val="21"/>
    </w:rPr>
  </w:style>
  <w:style w:type="paragraph" w:styleId="966" w:customStyle="1">
    <w:name w:val="索引 411"/>
    <w:basedOn w:val="747"/>
    <w:next w:val="747"/>
    <w:uiPriority w:val="0"/>
    <w:semiHidden/>
    <w:qFormat/>
    <w:pPr>
      <w:ind w:left="1260"/>
    </w:pPr>
  </w:style>
  <w:style w:type="paragraph" w:styleId="967" w:customStyle="1">
    <w:name w:val="目录 51"/>
    <w:basedOn w:val="747"/>
    <w:next w:val="747"/>
    <w:uiPriority w:val="0"/>
    <w:semiHidden/>
    <w:qFormat/>
    <w:pPr>
      <w:ind w:left="840"/>
      <w:jc w:val="left"/>
    </w:pPr>
    <w:rPr>
      <w:rFonts w:ascii="Times New Roman" w:hAnsi="Times New Roman" w:eastAsia="宋体" w:cs="Times New Roman"/>
      <w:szCs w:val="21"/>
    </w:rPr>
  </w:style>
  <w:style w:type="paragraph" w:styleId="968" w:customStyle="1">
    <w:name w:val="目录 31"/>
    <w:basedOn w:val="747"/>
    <w:next w:val="747"/>
    <w:uiPriority w:val="0"/>
    <w:semiHidden/>
    <w:qFormat/>
    <w:pPr>
      <w:ind w:left="420"/>
      <w:jc w:val="left"/>
    </w:pPr>
    <w:rPr>
      <w:rFonts w:ascii="Times New Roman" w:hAnsi="Times New Roman" w:eastAsia="宋体" w:cs="Times New Roman"/>
      <w:i/>
      <w:iCs/>
      <w:szCs w:val="24"/>
    </w:rPr>
  </w:style>
  <w:style w:type="paragraph" w:styleId="969" w:customStyle="1">
    <w:name w:val="纯文本1"/>
    <w:basedOn w:val="747"/>
    <w:link w:val="970"/>
    <w:uiPriority w:val="0"/>
    <w:qFormat/>
    <w:rPr>
      <w:rFonts w:ascii="宋体" w:hAnsi="Courier New" w:eastAsia="宋体" w:cs="Courier New"/>
      <w:szCs w:val="21"/>
    </w:rPr>
  </w:style>
  <w:style w:type="character" w:styleId="970" w:customStyle="1">
    <w:name w:val="纯文本 Char"/>
    <w:link w:val="969"/>
    <w:uiPriority w:val="0"/>
    <w:qFormat/>
    <w:rPr>
      <w:rFonts w:ascii="宋体" w:hAnsi="Courier New" w:eastAsia="宋体" w:cs="Courier New"/>
      <w:szCs w:val="21"/>
    </w:rPr>
  </w:style>
  <w:style w:type="paragraph" w:styleId="971" w:customStyle="1">
    <w:name w:val="目录 81"/>
    <w:basedOn w:val="747"/>
    <w:next w:val="747"/>
    <w:uiPriority w:val="0"/>
    <w:semiHidden/>
    <w:qFormat/>
    <w:pPr>
      <w:ind w:left="1470"/>
      <w:jc w:val="left"/>
    </w:pPr>
    <w:rPr>
      <w:rFonts w:ascii="Times New Roman" w:hAnsi="Times New Roman" w:eastAsia="宋体" w:cs="Times New Roman"/>
      <w:szCs w:val="21"/>
    </w:rPr>
  </w:style>
  <w:style w:type="paragraph" w:styleId="972" w:customStyle="1">
    <w:name w:val="日期1"/>
    <w:basedOn w:val="747"/>
    <w:next w:val="747"/>
    <w:link w:val="973"/>
    <w:uiPriority w:val="0"/>
    <w:qFormat/>
    <w:rPr>
      <w:rFonts w:ascii="Times New Roman" w:hAnsi="Times New Roman" w:eastAsia="宋体" w:cs="Times New Roman"/>
      <w:sz w:val="24"/>
      <w:szCs w:val="24"/>
    </w:rPr>
  </w:style>
  <w:style w:type="character" w:styleId="973" w:customStyle="1">
    <w:name w:val="日期 Char"/>
    <w:link w:val="972"/>
    <w:uiPriority w:val="0"/>
    <w:qFormat/>
    <w:rPr>
      <w:rFonts w:ascii="Times New Roman" w:hAnsi="Times New Roman" w:eastAsia="宋体" w:cs="Times New Roman"/>
      <w:sz w:val="24"/>
      <w:szCs w:val="24"/>
    </w:rPr>
  </w:style>
  <w:style w:type="paragraph" w:styleId="974" w:customStyle="1">
    <w:name w:val="正文文本缩进 21"/>
    <w:basedOn w:val="747"/>
    <w:link w:val="975"/>
    <w:uiPriority w:val="0"/>
    <w:qFormat/>
    <w:pPr>
      <w:ind w:left="630" w:firstLine="645"/>
    </w:pPr>
    <w:rPr>
      <w:rFonts w:ascii="Arial" w:hAnsi="Arial" w:eastAsia="仿宋_GB2312" w:cs="Arial"/>
      <w:sz w:val="32"/>
      <w:szCs w:val="32"/>
    </w:rPr>
  </w:style>
  <w:style w:type="character" w:styleId="975" w:customStyle="1">
    <w:name w:val="正文文本缩进 2 Char"/>
    <w:link w:val="974"/>
    <w:uiPriority w:val="0"/>
    <w:qFormat/>
    <w:rPr>
      <w:rFonts w:ascii="Arial" w:hAnsi="Arial" w:eastAsia="仿宋_GB2312" w:cs="Arial"/>
      <w:sz w:val="32"/>
      <w:szCs w:val="32"/>
    </w:rPr>
  </w:style>
  <w:style w:type="paragraph" w:styleId="976" w:customStyle="1">
    <w:name w:val="批注框文本1"/>
    <w:basedOn w:val="747"/>
    <w:link w:val="977"/>
    <w:uiPriority w:val="0"/>
    <w:semiHidden/>
    <w:qFormat/>
    <w:rPr>
      <w:rFonts w:ascii="Times New Roman" w:hAnsi="Times New Roman" w:eastAsia="宋体" w:cs="Times New Roman"/>
      <w:sz w:val="18"/>
      <w:szCs w:val="18"/>
    </w:rPr>
  </w:style>
  <w:style w:type="character" w:styleId="977" w:customStyle="1">
    <w:name w:val="批注框文本 Char"/>
    <w:link w:val="976"/>
    <w:uiPriority w:val="0"/>
    <w:semiHidden/>
    <w:qFormat/>
    <w:rPr>
      <w:rFonts w:ascii="Times New Roman" w:hAnsi="Times New Roman" w:eastAsia="宋体" w:cs="Times New Roman"/>
      <w:sz w:val="18"/>
      <w:szCs w:val="18"/>
    </w:rPr>
  </w:style>
  <w:style w:type="paragraph" w:styleId="978" w:customStyle="1">
    <w:name w:val="页脚1"/>
    <w:basedOn w:val="747"/>
    <w:link w:val="9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9" w:customStyle="1">
    <w:name w:val="页脚 Char"/>
    <w:link w:val="978"/>
    <w:uiPriority w:val="0"/>
    <w:qFormat/>
    <w:rPr>
      <w:rFonts w:ascii="Times New Roman" w:hAnsi="Times New Roman" w:eastAsia="宋体" w:cs="Times New Roman"/>
      <w:sz w:val="18"/>
      <w:szCs w:val="18"/>
    </w:rPr>
  </w:style>
  <w:style w:type="paragraph" w:styleId="980" w:customStyle="1">
    <w:name w:val="页眉1"/>
    <w:basedOn w:val="747"/>
    <w:link w:val="98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customStyle="1">
    <w:name w:val="页眉 Char"/>
    <w:link w:val="980"/>
    <w:uiPriority w:val="0"/>
    <w:qFormat/>
    <w:rPr>
      <w:rFonts w:ascii="Times New Roman" w:hAnsi="Times New Roman" w:eastAsia="宋体" w:cs="Times New Roman"/>
      <w:sz w:val="18"/>
      <w:szCs w:val="18"/>
    </w:rPr>
  </w:style>
  <w:style w:type="paragraph" w:styleId="982" w:customStyle="1">
    <w:name w:val="目录 11"/>
    <w:basedOn w:val="747"/>
    <w:next w:val="74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3" w:customStyle="1">
    <w:name w:val="目录 41"/>
    <w:basedOn w:val="747"/>
    <w:next w:val="747"/>
    <w:uiPriority w:val="0"/>
    <w:semiHidden/>
    <w:qFormat/>
    <w:pPr>
      <w:ind w:left="630"/>
      <w:jc w:val="left"/>
    </w:pPr>
    <w:rPr>
      <w:rFonts w:ascii="Times New Roman" w:hAnsi="Times New Roman" w:eastAsia="宋体" w:cs="Times New Roman"/>
      <w:szCs w:val="21"/>
    </w:rPr>
  </w:style>
  <w:style w:type="paragraph" w:styleId="984" w:customStyle="1">
    <w:name w:val="列表1"/>
    <w:basedOn w:val="747"/>
    <w:uiPriority w:val="0"/>
    <w:qFormat/>
    <w:pPr>
      <w:ind w:left="200" w:hanging="200"/>
    </w:pPr>
    <w:rPr>
      <w:rFonts w:ascii="Times New Roman" w:hAnsi="Times New Roman" w:eastAsia="宋体" w:cs="Times New Roman"/>
      <w:szCs w:val="21"/>
    </w:rPr>
  </w:style>
  <w:style w:type="paragraph" w:styleId="985" w:customStyle="1">
    <w:name w:val="目录 61"/>
    <w:basedOn w:val="747"/>
    <w:next w:val="747"/>
    <w:uiPriority w:val="0"/>
    <w:semiHidden/>
    <w:pPr>
      <w:ind w:left="1050"/>
      <w:jc w:val="left"/>
    </w:pPr>
    <w:rPr>
      <w:rFonts w:ascii="Times New Roman" w:hAnsi="Times New Roman" w:eastAsia="宋体" w:cs="Times New Roman"/>
      <w:szCs w:val="21"/>
    </w:rPr>
  </w:style>
  <w:style w:type="paragraph" w:styleId="986" w:customStyle="1">
    <w:name w:val="正文文本缩进 31"/>
    <w:basedOn w:val="747"/>
    <w:link w:val="987"/>
    <w:uiPriority w:val="0"/>
    <w:pPr>
      <w:ind w:left="645" w:firstLine="645"/>
    </w:pPr>
    <w:rPr>
      <w:rFonts w:ascii="Arial" w:hAnsi="Arial" w:eastAsia="仿宋_GB2312" w:cs="Arial"/>
      <w:color w:val="ffff00"/>
      <w:sz w:val="32"/>
      <w:szCs w:val="32"/>
    </w:rPr>
  </w:style>
  <w:style w:type="character" w:styleId="987" w:customStyle="1">
    <w:name w:val="正文文本缩进 3 Char"/>
    <w:link w:val="986"/>
    <w:uiPriority w:val="0"/>
    <w:rPr>
      <w:rFonts w:ascii="Arial" w:hAnsi="Arial" w:eastAsia="仿宋_GB2312" w:cs="Arial"/>
      <w:color w:val="ffff00"/>
      <w:sz w:val="32"/>
      <w:szCs w:val="32"/>
    </w:rPr>
  </w:style>
  <w:style w:type="paragraph" w:styleId="988" w:customStyle="1">
    <w:name w:val="图表目录1"/>
    <w:basedOn w:val="747"/>
    <w:next w:val="747"/>
    <w:uiPriority w:val="0"/>
    <w:semiHidden/>
    <w:pPr>
      <w:ind w:left="840" w:hanging="420"/>
    </w:pPr>
    <w:rPr>
      <w:rFonts w:ascii="Times New Roman" w:hAnsi="Times New Roman" w:eastAsia="宋体" w:cs="Times New Roman"/>
      <w:szCs w:val="21"/>
    </w:rPr>
  </w:style>
  <w:style w:type="paragraph" w:styleId="989" w:customStyle="1">
    <w:name w:val="目录 21"/>
    <w:basedOn w:val="747"/>
    <w:next w:val="747"/>
    <w:uiPriority w:val="0"/>
    <w:semiHidden/>
    <w:pPr>
      <w:ind w:left="210"/>
      <w:jc w:val="left"/>
    </w:pPr>
    <w:rPr>
      <w:rFonts w:ascii="Times New Roman" w:hAnsi="Times New Roman" w:eastAsia="宋体" w:cs="Times New Roman"/>
      <w:smallCaps/>
      <w:szCs w:val="24"/>
    </w:rPr>
  </w:style>
  <w:style w:type="paragraph" w:styleId="990" w:customStyle="1">
    <w:name w:val="目录 91"/>
    <w:basedOn w:val="747"/>
    <w:next w:val="747"/>
    <w:uiPriority w:val="0"/>
    <w:semiHidden/>
    <w:pPr>
      <w:ind w:left="1680"/>
      <w:jc w:val="left"/>
    </w:pPr>
    <w:rPr>
      <w:rFonts w:ascii="Times New Roman" w:hAnsi="Times New Roman" w:eastAsia="宋体" w:cs="Times New Roman"/>
      <w:szCs w:val="21"/>
    </w:rPr>
  </w:style>
  <w:style w:type="paragraph" w:styleId="991" w:customStyle="1">
    <w:name w:val="正文文本 21"/>
    <w:basedOn w:val="747"/>
    <w:link w:val="992"/>
    <w:uiPriority w:val="0"/>
    <w:qFormat/>
    <w:pPr>
      <w:jc w:val="center"/>
      <w:widowControl/>
    </w:pPr>
    <w:rPr>
      <w:rFonts w:ascii="楷体_GB2312" w:hAnsi="Times New Roman" w:eastAsia="楷体_GB2312" w:cs="Times New Roman"/>
      <w:sz w:val="28"/>
      <w:szCs w:val="28"/>
    </w:rPr>
  </w:style>
  <w:style w:type="character" w:styleId="992" w:customStyle="1">
    <w:name w:val="正文文本 2 Char"/>
    <w:link w:val="991"/>
    <w:uiPriority w:val="0"/>
    <w:qFormat/>
    <w:rPr>
      <w:rFonts w:ascii="楷体_GB2312" w:hAnsi="Times New Roman" w:eastAsia="楷体_GB2312" w:cs="Times New Roman"/>
      <w:sz w:val="28"/>
      <w:szCs w:val="28"/>
    </w:rPr>
  </w:style>
  <w:style w:type="paragraph" w:styleId="993"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994" w:customStyle="1">
    <w:name w:val="索引 11"/>
    <w:basedOn w:val="747"/>
    <w:next w:val="747"/>
    <w:uiPriority w:val="0"/>
    <w:semiHidden/>
    <w:qFormat/>
    <w:pPr>
      <w:spacing w:line="240" w:lineRule="atLeast"/>
    </w:pPr>
    <w:rPr>
      <w:rFonts w:ascii="Times New Roman" w:hAnsi="Times New Roman" w:eastAsia="宋体" w:cs="Times New Roman"/>
      <w:b/>
      <w:bCs/>
      <w:szCs w:val="21"/>
    </w:rPr>
  </w:style>
  <w:style w:type="paragraph" w:styleId="995" w:customStyle="1">
    <w:name w:val="批注主题1"/>
    <w:basedOn w:val="959"/>
    <w:next w:val="959"/>
    <w:link w:val="996"/>
    <w:uiPriority w:val="0"/>
    <w:semiHidden/>
    <w:qFormat/>
    <w:rPr>
      <w:rFonts w:ascii="Times New Roman" w:hAnsi="Times New Roman" w:eastAsia="宋体" w:cs="Times New Roman"/>
      <w:b/>
      <w:bCs/>
      <w:szCs w:val="21"/>
    </w:rPr>
  </w:style>
  <w:style w:type="character" w:styleId="996" w:customStyle="1">
    <w:name w:val="批注主题 Char"/>
    <w:link w:val="995"/>
    <w:uiPriority w:val="0"/>
    <w:semiHidden/>
    <w:qFormat/>
    <w:rPr>
      <w:rFonts w:ascii="Times New Roman" w:hAnsi="Times New Roman" w:eastAsia="宋体" w:cs="Times New Roman"/>
      <w:b/>
      <w:bCs/>
      <w:szCs w:val="21"/>
    </w:rPr>
  </w:style>
  <w:style w:type="paragraph" w:styleId="997" w:customStyle="1">
    <w:name w:val="正文首行缩进1"/>
    <w:basedOn w:val="747"/>
    <w:link w:val="998"/>
    <w:uiPriority w:val="0"/>
    <w:qFormat/>
    <w:pPr>
      <w:ind w:firstLine="200"/>
      <w:spacing w:line="360" w:lineRule="auto"/>
    </w:pPr>
    <w:rPr>
      <w:rFonts w:ascii="仿宋_GB2312" w:hAnsi="Times New Roman" w:eastAsia="仿宋_GB2312" w:cs="Times New Roman"/>
      <w:sz w:val="30"/>
      <w:szCs w:val="30"/>
    </w:rPr>
  </w:style>
  <w:style w:type="character" w:styleId="998" w:customStyle="1">
    <w:name w:val="正文首行缩进 Char"/>
    <w:link w:val="997"/>
    <w:uiPriority w:val="0"/>
    <w:qFormat/>
    <w:rPr>
      <w:rFonts w:ascii="仿宋_GB2312" w:hAnsi="Times New Roman" w:eastAsia="仿宋_GB2312" w:cs="Times New Roman"/>
      <w:sz w:val="30"/>
      <w:szCs w:val="30"/>
    </w:rPr>
  </w:style>
  <w:style w:type="table" w:styleId="999" w:customStyle="1">
    <w:name w:val="网格型11"/>
    <w:basedOn w:val="942"/>
    <w:uiPriority w:val="0"/>
    <w:qFormat/>
    <w:pPr>
      <w:jc w:val="both"/>
      <w:widowControl w:val="off"/>
    </w:pPr>
    <w:rPr>
      <w:rFonts w:ascii="Times New Roman" w:hAnsi="Times New Roman" w:eastAsia="宋体" w:cs="Times New Roman"/>
      <w:sz w:val="20"/>
      <w:szCs w:val="20"/>
    </w:rPr>
    <w:tblPr/>
  </w:style>
  <w:style w:type="character" w:styleId="1000" w:customStyle="1">
    <w:name w:val="要点1"/>
    <w:link w:val="747"/>
    <w:uiPriority w:val="0"/>
    <w:qFormat/>
    <w:rPr>
      <w:b/>
      <w:bCs/>
    </w:rPr>
  </w:style>
  <w:style w:type="character" w:styleId="1001" w:customStyle="1">
    <w:name w:val="页码1"/>
    <w:link w:val="747"/>
    <w:uiPriority w:val="0"/>
    <w:qFormat/>
  </w:style>
  <w:style w:type="character" w:styleId="1002" w:customStyle="1">
    <w:name w:val="已访问的超链接1"/>
    <w:link w:val="747"/>
    <w:uiPriority w:val="0"/>
    <w:qFormat/>
    <w:rPr>
      <w:color w:val="800080"/>
      <w:u w:val="single"/>
    </w:rPr>
  </w:style>
  <w:style w:type="character" w:styleId="1003" w:customStyle="1">
    <w:name w:val="超链接1"/>
    <w:link w:val="747"/>
    <w:uiPriority w:val="0"/>
    <w:rPr>
      <w:color w:val="0000ff"/>
      <w:u w:val="single"/>
    </w:rPr>
  </w:style>
  <w:style w:type="character" w:styleId="1004" w:customStyle="1">
    <w:name w:val="批注引用1"/>
    <w:link w:val="747"/>
    <w:uiPriority w:val="0"/>
    <w:semiHidden/>
    <w:rPr>
      <w:sz w:val="21"/>
      <w:szCs w:val="21"/>
    </w:rPr>
  </w:style>
  <w:style w:type="paragraph" w:styleId="1005" w:customStyle="1">
    <w:name w:val="正文文本缩进1"/>
    <w:basedOn w:val="747"/>
    <w:next w:val="1006"/>
    <w:uiPriority w:val="0"/>
    <w:unhideWhenUsed/>
    <w:qFormat/>
    <w:pPr>
      <w:ind w:left="420"/>
      <w:spacing w:after="120"/>
    </w:pPr>
  </w:style>
  <w:style w:type="paragraph" w:styleId="1006" w:customStyle="1">
    <w:name w:val="正文文本首行缩进 2"/>
    <w:basedOn w:val="1005"/>
    <w:uiPriority w:val="0"/>
    <w:qFormat/>
    <w:pPr>
      <w:ind w:left="0" w:firstLine="420"/>
      <w:spacing w:after="0" w:line="360" w:lineRule="auto"/>
    </w:pPr>
    <w:rPr>
      <w:rFonts w:ascii="宋体" w:hAnsi="宋体"/>
      <w:sz w:val="20"/>
      <w:szCs w:val="20"/>
      <w:lang w:val="en-US" w:eastAsia="en-US"/>
    </w:rPr>
  </w:style>
  <w:style w:type="paragraph" w:styleId="1007" w:customStyle="1">
    <w:name w:val="索引 41"/>
    <w:basedOn w:val="747"/>
    <w:next w:val="747"/>
    <w:uiPriority w:val="0"/>
    <w:semiHidden/>
    <w:qFormat/>
    <w:pPr>
      <w:ind w:left="1260"/>
    </w:pPr>
    <w:rPr>
      <w:rFonts w:ascii="Calibri" w:hAnsi="Calibri" w:eastAsia="Calibri" w:cs="宋体"/>
      <w:sz w:val="20"/>
      <w:lang w:val="zh-CN"/>
    </w:rPr>
  </w:style>
  <w:style w:type="character" w:styleId="1008" w:customStyle="1">
    <w:name w:val="二级目录 Char"/>
    <w:link w:val="1009"/>
    <w:uiPriority w:val="0"/>
    <w:qFormat/>
    <w:rPr>
      <w:b/>
      <w:sz w:val="30"/>
      <w:szCs w:val="28"/>
    </w:rPr>
  </w:style>
  <w:style w:type="paragraph" w:styleId="1009" w:customStyle="1">
    <w:name w:val="二级目录"/>
    <w:next w:val="747"/>
    <w:link w:val="100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47"/>
    <w:link w:val="1010"/>
    <w:uiPriority w:val="0"/>
    <w:qFormat/>
    <w:pPr>
      <w:contextualSpacing/>
      <w:ind w:left="720"/>
      <w:jc w:val="left"/>
      <w:widowControl/>
    </w:pPr>
    <w:rPr>
      <w:rFonts w:ascii="Calibri" w:hAnsi="Calibri"/>
      <w:sz w:val="24"/>
      <w:szCs w:val="24"/>
      <w:lang w:eastAsia="en-US" w:bidi="en-US"/>
    </w:rPr>
  </w:style>
  <w:style w:type="character" w:styleId="1012" w:customStyle="1">
    <w:name w:val="font5 Char"/>
    <w:link w:val="747"/>
    <w:uiPriority w:val="0"/>
    <w:qFormat/>
    <w:rPr>
      <w:rFonts w:ascii="宋体" w:hAnsi="宋体" w:eastAsia="宋体"/>
      <w:sz w:val="28"/>
      <w:szCs w:val="28"/>
      <w:lang w:val="en-US" w:eastAsia="zh-CN" w:bidi="ar-SA"/>
    </w:rPr>
  </w:style>
  <w:style w:type="paragraph" w:styleId="1013"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font5"/>
    <w:basedOn w:val="747"/>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Char"/>
    <w:basedOn w:val="747"/>
    <w:uiPriority w:val="0"/>
    <w:qFormat/>
    <w:pPr>
      <w:ind w:firstLine="200"/>
      <w:tabs>
        <w:tab w:val="left" w:pos="360" w:leader="none"/>
      </w:tabs>
    </w:pPr>
    <w:rPr>
      <w:rFonts w:ascii="Times New Roman" w:hAnsi="Times New Roman" w:eastAsia="宋体" w:cs="Times New Roman"/>
      <w:sz w:val="28"/>
      <w:szCs w:val="3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font7"/>
    <w:basedOn w:val="7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9" w:customStyle="1">
    <w:name w:val="Body Text(ch)"/>
    <w:basedOn w:val="747"/>
    <w:next w:val="963"/>
    <w:uiPriority w:val="0"/>
    <w:qFormat/>
    <w:pPr>
      <w:spacing w:after="120"/>
    </w:pPr>
    <w:rPr>
      <w:rFonts w:ascii="宋体" w:hAnsi="Arial" w:eastAsia="宋体" w:cs="Times New Roman"/>
      <w:bCs/>
      <w:iCs/>
      <w:szCs w:val="24"/>
    </w:rPr>
  </w:style>
  <w:style w:type="paragraph" w:styleId="1020" w:customStyle="1">
    <w:name w:val="table_lines"/>
    <w:basedOn w:val="747"/>
    <w:uiPriority w:val="0"/>
    <w:qFormat/>
    <w:pPr>
      <w:jc w:val="left"/>
      <w:widowControl/>
    </w:pPr>
    <w:rPr>
      <w:rFonts w:ascii="Times New Roman" w:hAnsi="Times New Roman" w:eastAsia="宋体" w:cs="Times New Roman"/>
      <w:sz w:val="20"/>
      <w:szCs w:val="20"/>
      <w:lang w:val="de-DE" w:eastAsia="de-DE"/>
    </w:rPr>
  </w:style>
  <w:style w:type="paragraph" w:styleId="1021" w:customStyle="1">
    <w:name w:val=" Char"/>
    <w:basedOn w:val="957"/>
    <w:uiPriority w:val="0"/>
    <w:qFormat/>
    <w:rPr>
      <w:rFonts w:ascii="Tahoma" w:hAnsi="Tahoma"/>
      <w:sz w:val="24"/>
      <w:szCs w:val="24"/>
    </w:rPr>
  </w:style>
  <w:style w:type="paragraph" w:styleId="1022"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列出段落"/>
    <w:basedOn w:val="747"/>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 Char Char Char Char"/>
    <w:basedOn w:val="957"/>
    <w:uiPriority w:val="0"/>
    <w:qFormat/>
    <w:pPr>
      <w:spacing w:line="360" w:lineRule="auto"/>
    </w:pPr>
    <w:rPr>
      <w:rFonts w:ascii="Tahoma" w:hAnsi="Tahoma"/>
      <w:sz w:val="24"/>
      <w:szCs w:val="24"/>
    </w:rPr>
  </w:style>
  <w:style w:type="paragraph" w:styleId="1025" w:customStyle="1">
    <w:name w:val="普通正文"/>
    <w:basedOn w:val="1026"/>
    <w:uiPriority w:val="0"/>
    <w:qFormat/>
    <w:pPr>
      <w:ind w:firstLine="480"/>
      <w:jc w:val="left"/>
      <w:spacing w:before="120" w:after="120" w:line="360" w:lineRule="auto"/>
    </w:pPr>
    <w:rPr>
      <w:rFonts w:ascii="Arial" w:hAnsi="Arial" w:eastAsia="宋体" w:cs="Times New Roman"/>
      <w:sz w:val="24"/>
      <w:szCs w:val="24"/>
    </w:rPr>
  </w:style>
  <w:style w:type="paragraph" w:styleId="102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1027" w:customStyle="1">
    <w:name w:val="4"/>
    <w:basedOn w:val="747"/>
    <w:next w:val="986"/>
    <w:uiPriority w:val="0"/>
    <w:qFormat/>
    <w:pPr>
      <w:ind w:firstLine="420"/>
      <w:spacing w:line="360" w:lineRule="auto"/>
    </w:pPr>
    <w:rPr>
      <w:rFonts w:ascii="Times New Roman" w:hAnsi="Times New Roman" w:eastAsia="宋体" w:cs="Times New Roman"/>
      <w:color w:val="ff0000"/>
      <w:sz w:val="24"/>
      <w:szCs w:val="24"/>
    </w:rPr>
  </w:style>
  <w:style w:type="paragraph" w:styleId="1028" w:customStyle="1">
    <w:name w:val="普通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1029" w:customStyle="1">
    <w:name w:val=" Char Char Char Char Char Char Char Char Char Char"/>
    <w:basedOn w:val="747"/>
    <w:uiPriority w:val="0"/>
    <w:qFormat/>
    <w:pPr>
      <w:spacing w:line="360" w:lineRule="auto"/>
    </w:pPr>
    <w:rPr>
      <w:rFonts w:ascii="Times New Roman" w:hAnsi="Times New Roman" w:eastAsia="宋体" w:cs="Times New Roman"/>
      <w:sz w:val="24"/>
      <w:szCs w:val="20"/>
    </w:rPr>
  </w:style>
  <w:style w:type="paragraph" w:styleId="1030" w:customStyle="1">
    <w:name w:val="样式1"/>
    <w:basedOn w:val="747"/>
    <w:uiPriority w:val="0"/>
    <w:qFormat/>
    <w:pPr>
      <w:numPr>
        <w:ilvl w:val="0"/>
        <w:numId w:val="3"/>
      </w:numPr>
    </w:pPr>
    <w:rPr>
      <w:rFonts w:ascii="宋体" w:hAnsi="宋体" w:eastAsia="宋体" w:cs="Times New Roman"/>
      <w:szCs w:val="21"/>
    </w:rPr>
  </w:style>
  <w:style w:type="paragraph" w:styleId="1031" w:customStyle="1">
    <w:name w:val="font6"/>
    <w:basedOn w:val="74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2"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4" w:customStyle="1">
    <w:name w:val="标题3"/>
    <w:basedOn w:val="747"/>
    <w:next w:val="747"/>
    <w:uiPriority w:val="0"/>
    <w:qFormat/>
    <w:pPr>
      <w:ind w:firstLine="624"/>
      <w:spacing w:line="590" w:lineRule="atLeast"/>
    </w:pPr>
    <w:rPr>
      <w:rFonts w:ascii="方正黑体_GBK" w:hAnsi="Times New Roman" w:eastAsia="方正黑体_GBK" w:cs="Times New Roman"/>
      <w:sz w:val="32"/>
      <w:szCs w:val="32"/>
    </w:rPr>
  </w:style>
  <w:style w:type="paragraph" w:styleId="1035"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customStyle="1">
    <w:name w:val="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38"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9" w:customStyle="1">
    <w:name w:val=" 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xl30"/>
    <w:basedOn w:val="7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1" w:customStyle="1">
    <w:name w:val="Char Char Char Char"/>
    <w:basedOn w:val="957"/>
    <w:uiPriority w:val="0"/>
    <w:qFormat/>
    <w:pPr>
      <w:spacing w:line="360" w:lineRule="auto"/>
    </w:pPr>
    <w:rPr>
      <w:rFonts w:ascii="Tahoma" w:hAnsi="Tahoma"/>
      <w:sz w:val="24"/>
      <w:szCs w:val="24"/>
    </w:rPr>
  </w:style>
  <w:style w:type="paragraph" w:styleId="1042" w:customStyle="1">
    <w:name w:val="table_1stline"/>
    <w:basedOn w:val="74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3" w:customStyle="1">
    <w:name w:val="标题1"/>
    <w:basedOn w:val="747"/>
    <w:next w:val="7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5" w:customStyle="1">
    <w:name w:val="正文文本 211"/>
    <w:basedOn w:val="747"/>
    <w:uiPriority w:val="99"/>
    <w:qFormat/>
    <w:pPr>
      <w:jc w:val="center"/>
    </w:pPr>
    <w:rPr>
      <w:b/>
      <w:bCs/>
      <w:sz w:val="20"/>
      <w:szCs w:val="20"/>
    </w:rPr>
  </w:style>
  <w:style w:type="table" w:styleId="1046" w:customStyle="1">
    <w:name w:val="Table Normal"/>
    <w:uiPriority w:val="0"/>
    <w:qFormat/>
    <w:tblPr/>
  </w:style>
  <w:style w:type="paragraph" w:styleId="1047" w:customStyle="1">
    <w:name w:val="正文文本12"/>
    <w:basedOn w:val="747"/>
    <w:uiPriority w:val="1"/>
    <w:qFormat/>
    <w:pPr>
      <w:ind w:left="120"/>
    </w:pPr>
    <w:rPr>
      <w:rFonts w:ascii="宋体" w:hAnsi="宋体" w:eastAsia="宋体" w:cs="宋体"/>
      <w:sz w:val="21"/>
      <w:szCs w:val="21"/>
      <w:lang w:val="zh-CN" w:eastAsia="zh-CN" w:bidi="zh-CN"/>
    </w:rPr>
  </w:style>
  <w:style w:type="table" w:styleId="1048" w:customStyle="1">
    <w:name w:val="网格型1"/>
    <w:basedOn w:val="1049"/>
    <w:uiPriority w:val="0"/>
    <w:qFormat/>
    <w:pPr>
      <w:jc w:val="both"/>
      <w:widowControl w:val="off"/>
    </w:pPr>
    <w:tblPr/>
  </w:style>
  <w:style w:type="table" w:styleId="1049" w:customStyle="1">
    <w:name w:val="普通表格1"/>
    <w:uiPriority w:val="99"/>
    <w:unhideWhenUsed/>
    <w:qFormat/>
    <w:tbl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8</cp:revision>
  <dcterms:created xsi:type="dcterms:W3CDTF">2023-03-27T07:28:00Z</dcterms:created>
  <dcterms:modified xsi:type="dcterms:W3CDTF">2025-04-28T01:19:17Z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5694C1EE2A70447EBD29B497E92BC330</vt:lpwstr>
  </property>
</Properties>
</file>