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660"/>
        <w:rPr>
          <w:rFonts w:asciiTheme="minorEastAsia" w:hAnsiTheme="minorEastAsia"/>
          <w:bCs/>
          <w:color w:val="auto"/>
          <w:sz w:val="30"/>
          <w:highlight w:val="none"/>
        </w:rPr>
      </w:pPr>
    </w:p>
    <w:p>
      <w:pPr>
        <w:pStyle w:val="60"/>
        <w:rPr>
          <w:rFonts w:asciiTheme="minorEastAsia" w:hAnsiTheme="minorEastAsia"/>
          <w:bCs/>
          <w:color w:val="auto"/>
          <w:sz w:val="30"/>
          <w:highlight w:val="none"/>
        </w:rPr>
      </w:pPr>
    </w:p>
    <w:p>
      <w:pPr>
        <w:pStyle w:val="60"/>
        <w:rPr>
          <w:rFonts w:asciiTheme="minorEastAsia" w:hAnsiTheme="minorEastAsia"/>
          <w:bCs/>
          <w:color w:val="auto"/>
          <w:sz w:val="30"/>
          <w:highlight w:val="none"/>
        </w:rPr>
      </w:pPr>
    </w:p>
    <w:p>
      <w:pPr>
        <w:spacing w:line="360" w:lineRule="auto"/>
        <w:ind w:left="660"/>
        <w:rPr>
          <w:rFonts w:asciiTheme="minorEastAsia" w:hAnsiTheme="minorEastAsia"/>
          <w:bCs/>
          <w:color w:val="auto"/>
          <w:sz w:val="30"/>
          <w:highlight w:val="none"/>
        </w:rPr>
      </w:pPr>
    </w:p>
    <w:p>
      <w:pPr>
        <w:spacing w:line="300" w:lineRule="auto"/>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lang w:val="en-US" w:eastAsia="zh-CN"/>
        </w:rPr>
        <w:t>无锡市</w:t>
      </w:r>
      <w:r>
        <w:rPr>
          <w:rFonts w:hint="eastAsia" w:ascii="黑体" w:hAnsi="华文中宋" w:eastAsia="黑体"/>
          <w:bCs/>
          <w:color w:val="auto"/>
          <w:spacing w:val="20"/>
          <w:sz w:val="72"/>
          <w:szCs w:val="72"/>
          <w:highlight w:val="none"/>
        </w:rPr>
        <w:t>政府采购项目</w:t>
      </w:r>
    </w:p>
    <w:p>
      <w:pPr>
        <w:spacing w:line="300" w:lineRule="auto"/>
        <w:rPr>
          <w:rFonts w:hint="eastAsia" w:ascii="华文中宋" w:hAnsi="华文中宋" w:eastAsia="华文中宋"/>
          <w:bCs/>
          <w:color w:val="auto"/>
          <w:sz w:val="30"/>
          <w:highlight w:val="none"/>
        </w:rPr>
      </w:pPr>
    </w:p>
    <w:p>
      <w:pPr>
        <w:spacing w:line="300" w:lineRule="auto"/>
        <w:rPr>
          <w:rFonts w:hint="eastAsia" w:ascii="华文中宋" w:hAnsi="华文中宋" w:eastAsia="华文中宋"/>
          <w:bCs/>
          <w:color w:val="auto"/>
          <w:sz w:val="30"/>
          <w:highlight w:val="none"/>
        </w:rPr>
      </w:pPr>
    </w:p>
    <w:p>
      <w:pPr>
        <w:spacing w:line="300" w:lineRule="auto"/>
        <w:jc w:val="center"/>
        <w:rPr>
          <w:rFonts w:ascii="黑体" w:hAnsi="华文中宋" w:eastAsia="黑体"/>
          <w:b/>
          <w:color w:val="auto"/>
          <w:spacing w:val="20"/>
          <w:sz w:val="72"/>
          <w:szCs w:val="72"/>
          <w:highlight w:val="none"/>
        </w:rPr>
      </w:pPr>
      <w:r>
        <w:rPr>
          <w:rFonts w:hint="eastAsia" w:ascii="黑体" w:hAnsi="华文中宋" w:eastAsia="黑体"/>
          <w:b/>
          <w:color w:val="auto"/>
          <w:spacing w:val="20"/>
          <w:sz w:val="72"/>
          <w:szCs w:val="72"/>
          <w:highlight w:val="none"/>
        </w:rPr>
        <w:t>公</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开</w:t>
      </w:r>
    </w:p>
    <w:p>
      <w:pPr>
        <w:spacing w:line="300" w:lineRule="auto"/>
        <w:jc w:val="center"/>
        <w:rPr>
          <w:rFonts w:ascii="黑体" w:hAnsi="华文中宋" w:eastAsia="黑体"/>
          <w:b/>
          <w:color w:val="auto"/>
          <w:spacing w:val="20"/>
          <w:sz w:val="72"/>
          <w:szCs w:val="72"/>
          <w:highlight w:val="none"/>
        </w:rPr>
      </w:pPr>
      <w:r>
        <w:rPr>
          <w:rFonts w:ascii="黑体" w:hAnsi="华文中宋" w:eastAsia="黑体"/>
          <w:b/>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AkU4VP0gEAALoDAAAOAAAAAAAAAAEAIAAA&#10;ACQBAABkcnMvZTJvRG9jLnhtbFBLBQYAAAAABgAGAFkBAABoBQAAAAA=&#10;">
                <v:fill on="t" focussize="0,0"/>
                <v:stroke color="#000000" joinstyle="round"/>
                <v:imagedata o:title=""/>
                <o:lock v:ext="edit" aspectratio="f"/>
              </v:line>
            </w:pict>
          </mc:Fallback>
        </mc:AlternateContent>
      </w:r>
      <w:r>
        <w:rPr>
          <w:rFonts w:hint="eastAsia" w:ascii="黑体" w:hAnsi="华文中宋" w:eastAsia="黑体"/>
          <w:b/>
          <w:color w:val="auto"/>
          <w:spacing w:val="20"/>
          <w:sz w:val="72"/>
          <w:szCs w:val="72"/>
          <w:highlight w:val="none"/>
        </w:rPr>
        <w:t>招</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标</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文</w:t>
      </w:r>
      <w:r>
        <w:rPr>
          <w:rFonts w:ascii="黑体" w:hAnsi="华文中宋" w:eastAsia="黑体"/>
          <w:b/>
          <w:color w:val="auto"/>
          <w:spacing w:val="20"/>
          <w:sz w:val="72"/>
          <w:szCs w:val="72"/>
          <w:highlight w:val="none"/>
        </w:rPr>
        <w:t xml:space="preserve"> </w:t>
      </w:r>
      <w:r>
        <w:rPr>
          <w:rFonts w:hint="eastAsia" w:ascii="黑体" w:hAnsi="华文中宋" w:eastAsia="黑体"/>
          <w:b/>
          <w:color w:val="auto"/>
          <w:spacing w:val="20"/>
          <w:sz w:val="72"/>
          <w:szCs w:val="72"/>
          <w:highlight w:val="none"/>
        </w:rPr>
        <w:t xml:space="preserve"> 件</w:t>
      </w:r>
    </w:p>
    <w:p>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pPr>
        <w:spacing w:line="360" w:lineRule="auto"/>
        <w:jc w:val="center"/>
        <w:rPr>
          <w:rFonts w:asciiTheme="minorEastAsia" w:hAnsiTheme="minorEastAsia"/>
          <w:b/>
          <w:bCs/>
          <w:color w:val="auto"/>
          <w:spacing w:val="20"/>
          <w:sz w:val="52"/>
          <w:szCs w:val="52"/>
          <w:highlight w:val="none"/>
        </w:rPr>
      </w:pPr>
    </w:p>
    <w:p>
      <w:pPr>
        <w:spacing w:line="360" w:lineRule="auto"/>
        <w:rPr>
          <w:rFonts w:asciiTheme="minorEastAsia" w:hAnsiTheme="minorEastAsia"/>
          <w:b/>
          <w:bCs/>
          <w:color w:val="auto"/>
          <w:sz w:val="30"/>
          <w:highlight w:val="none"/>
        </w:rPr>
      </w:pPr>
    </w:p>
    <w:p>
      <w:pPr>
        <w:spacing w:line="360" w:lineRule="auto"/>
        <w:rPr>
          <w:rFonts w:hint="eastAsia" w:eastAsia="宋体" w:asciiTheme="minorEastAsia" w:hAnsiTheme="minorEastAsia"/>
          <w:bCs/>
          <w:color w:val="auto"/>
          <w:sz w:val="30"/>
          <w:szCs w:val="30"/>
          <w:highlight w:val="none"/>
          <w:lang w:eastAsia="zh-CN"/>
        </w:rPr>
      </w:pPr>
    </w:p>
    <w:p>
      <w:pPr>
        <w:spacing w:line="360" w:lineRule="auto"/>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政府采购编号</w:t>
      </w:r>
      <w:r>
        <w:rPr>
          <w:rFonts w:hint="eastAsia" w:asciiTheme="minorEastAsia" w:hAnsiTheme="minorEastAsia"/>
          <w:bCs/>
          <w:color w:val="auto"/>
          <w:sz w:val="30"/>
          <w:szCs w:val="30"/>
          <w:highlight w:val="none"/>
        </w:rPr>
        <w:t>：</w:t>
      </w:r>
      <w:r>
        <w:rPr>
          <w:rFonts w:hint="eastAsia" w:eastAsia="宋体" w:asciiTheme="minorEastAsia" w:hAnsiTheme="minorEastAsia"/>
          <w:bCs/>
          <w:color w:val="auto"/>
          <w:sz w:val="30"/>
          <w:szCs w:val="30"/>
          <w:highlight w:val="none"/>
          <w:lang w:eastAsia="zh-CN"/>
        </w:rPr>
        <w:t>JSZC-320292-BZDL-G2024-0082</w:t>
      </w:r>
    </w:p>
    <w:p>
      <w:pPr>
        <w:spacing w:line="360" w:lineRule="auto"/>
        <w:ind w:left="2100" w:hanging="2100" w:hangingChars="700"/>
        <w:jc w:val="left"/>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eastAsia="宋体" w:asciiTheme="minorEastAsia" w:hAnsiTheme="minorEastAsia"/>
          <w:bCs/>
          <w:color w:val="auto"/>
          <w:sz w:val="30"/>
          <w:szCs w:val="30"/>
          <w:highlight w:val="none"/>
          <w:lang w:eastAsia="zh-CN"/>
        </w:rPr>
        <w:t>太湖街道街道管养绿化养护</w:t>
      </w:r>
    </w:p>
    <w:p>
      <w:pPr>
        <w:spacing w:line="360" w:lineRule="auto"/>
        <w:jc w:val="left"/>
        <w:rPr>
          <w:rFonts w:hint="default" w:eastAsia="宋体" w:asciiTheme="minorEastAsia" w:hAnsiTheme="minorEastAsia"/>
          <w:bCs/>
          <w:color w:val="auto"/>
          <w:sz w:val="30"/>
          <w:szCs w:val="30"/>
          <w:highlight w:val="none"/>
          <w:lang w:val="en-US" w:eastAsia="zh-CN"/>
        </w:rPr>
      </w:pPr>
      <w:r>
        <w:rPr>
          <w:rFonts w:hint="eastAsia" w:eastAsia="宋体" w:asciiTheme="minorEastAsia" w:hAnsiTheme="minorEastAsia"/>
          <w:bCs/>
          <w:color w:val="auto"/>
          <w:sz w:val="30"/>
          <w:szCs w:val="30"/>
          <w:highlight w:val="none"/>
          <w:lang w:val="en-US" w:eastAsia="zh-CN"/>
        </w:rPr>
        <w:t>采购人：无锡市滨湖区太湖街道办事处</w:t>
      </w:r>
    </w:p>
    <w:p>
      <w:pPr>
        <w:spacing w:line="360" w:lineRule="auto"/>
        <w:jc w:val="left"/>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采购代理机构</w:t>
      </w:r>
      <w:r>
        <w:rPr>
          <w:rFonts w:asciiTheme="minorEastAsia" w:hAnsiTheme="minorEastAsia"/>
          <w:bCs/>
          <w:color w:val="auto"/>
          <w:sz w:val="30"/>
          <w:szCs w:val="30"/>
          <w:highlight w:val="none"/>
        </w:rPr>
        <w:t xml:space="preserve">: </w:t>
      </w:r>
      <w:r>
        <w:rPr>
          <w:rFonts w:hint="eastAsia" w:eastAsia="宋体" w:asciiTheme="minorEastAsia" w:hAnsiTheme="minorEastAsia"/>
          <w:bCs/>
          <w:color w:val="auto"/>
          <w:sz w:val="30"/>
          <w:szCs w:val="30"/>
          <w:highlight w:val="none"/>
          <w:lang w:eastAsia="zh-CN"/>
        </w:rPr>
        <w:t>江苏博智工程咨询有限公司</w:t>
      </w:r>
    </w:p>
    <w:p>
      <w:pPr>
        <w:spacing w:line="360" w:lineRule="auto"/>
        <w:rPr>
          <w:rFonts w:asciiTheme="minorEastAsia" w:hAnsiTheme="minorEastAsia"/>
          <w:bCs/>
          <w:color w:val="auto"/>
          <w:sz w:val="32"/>
          <w:highlight w:val="none"/>
        </w:rPr>
      </w:pPr>
    </w:p>
    <w:p>
      <w:pPr>
        <w:spacing w:line="360" w:lineRule="auto"/>
        <w:rPr>
          <w:rFonts w:asciiTheme="minorEastAsia" w:hAnsiTheme="minorEastAsia"/>
          <w:bCs/>
          <w:color w:val="auto"/>
          <w:sz w:val="30"/>
          <w:highlight w:val="none"/>
        </w:rPr>
      </w:pPr>
    </w:p>
    <w:p>
      <w:pPr>
        <w:spacing w:line="360" w:lineRule="auto"/>
        <w:rPr>
          <w:rFonts w:asciiTheme="minorEastAsia" w:hAnsiTheme="minorEastAsia"/>
          <w:bCs/>
          <w:color w:val="auto"/>
          <w:sz w:val="30"/>
          <w:highlight w:val="none"/>
        </w:rPr>
      </w:pPr>
    </w:p>
    <w:p>
      <w:pPr>
        <w:spacing w:line="360" w:lineRule="auto"/>
        <w:jc w:val="center"/>
        <w:rPr>
          <w:rFonts w:asciiTheme="minorEastAsia" w:hAnsiTheme="minorEastAsia"/>
          <w:bCs/>
          <w:color w:val="auto"/>
          <w:sz w:val="44"/>
          <w:szCs w:val="44"/>
          <w:highlight w:val="none"/>
        </w:rPr>
      </w:pPr>
      <w:r>
        <w:rPr>
          <w:rFonts w:hint="eastAsia" w:asciiTheme="minorEastAsia" w:hAnsiTheme="minorEastAsia"/>
          <w:bCs/>
          <w:color w:val="auto"/>
          <w:sz w:val="44"/>
          <w:szCs w:val="44"/>
          <w:highlight w:val="none"/>
        </w:rPr>
        <w:t>二</w:t>
      </w:r>
      <w:r>
        <w:rPr>
          <w:rFonts w:hint="eastAsia" w:eastAsia="宋体" w:asciiTheme="minorEastAsia" w:hAnsiTheme="minorEastAsia"/>
          <w:bCs/>
          <w:color w:val="auto"/>
          <w:sz w:val="44"/>
          <w:szCs w:val="44"/>
          <w:highlight w:val="none"/>
          <w:lang w:val="en-US" w:eastAsia="zh-CN"/>
        </w:rPr>
        <w:t>〇</w:t>
      </w:r>
      <w:r>
        <w:rPr>
          <w:rFonts w:hint="eastAsia" w:asciiTheme="minorEastAsia" w:hAnsiTheme="minorEastAsia"/>
          <w:bCs/>
          <w:color w:val="auto"/>
          <w:sz w:val="44"/>
          <w:szCs w:val="44"/>
          <w:highlight w:val="none"/>
        </w:rPr>
        <w:t>二四年</w:t>
      </w:r>
      <w:r>
        <w:rPr>
          <w:rFonts w:hint="eastAsia" w:eastAsia="宋体" w:asciiTheme="minorEastAsia" w:hAnsiTheme="minorEastAsia"/>
          <w:bCs/>
          <w:color w:val="auto"/>
          <w:sz w:val="44"/>
          <w:szCs w:val="44"/>
          <w:highlight w:val="none"/>
          <w:lang w:val="en-US" w:eastAsia="zh-CN"/>
        </w:rPr>
        <w:t>十二</w:t>
      </w:r>
      <w:r>
        <w:rPr>
          <w:rFonts w:hint="eastAsia" w:asciiTheme="minorEastAsia" w:hAnsiTheme="minorEastAsia"/>
          <w:bCs/>
          <w:color w:val="auto"/>
          <w:sz w:val="44"/>
          <w:szCs w:val="44"/>
          <w:highlight w:val="none"/>
        </w:rPr>
        <w:t>月</w:t>
      </w:r>
    </w:p>
    <w:p>
      <w:pPr>
        <w:spacing w:line="360" w:lineRule="auto"/>
        <w:rPr>
          <w:rStyle w:val="55"/>
          <w:rFonts w:asciiTheme="minorEastAsia" w:hAnsiTheme="minorEastAsia"/>
          <w:bCs/>
          <w:color w:val="auto"/>
          <w:sz w:val="48"/>
          <w:highlight w:val="none"/>
        </w:rPr>
      </w:pPr>
    </w:p>
    <w:p>
      <w:pPr>
        <w:pStyle w:val="394"/>
        <w:spacing w:line="360" w:lineRule="auto"/>
        <w:ind w:firstLine="0"/>
        <w:jc w:val="center"/>
        <w:rPr>
          <w:rFonts w:hint="eastAsia" w:ascii="黑体" w:hAnsi="黑体" w:eastAsia="黑体"/>
          <w:color w:val="auto"/>
          <w:sz w:val="36"/>
          <w:szCs w:val="36"/>
          <w:highlight w:val="none"/>
        </w:rPr>
      </w:pPr>
    </w:p>
    <w:p>
      <w:pPr>
        <w:pStyle w:val="394"/>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目  录</w:t>
      </w:r>
    </w:p>
    <w:p>
      <w:pPr>
        <w:spacing w:line="360" w:lineRule="auto"/>
        <w:jc w:val="center"/>
        <w:outlineLvl w:val="0"/>
        <w:rPr>
          <w:rFonts w:ascii="黑体" w:hAnsi="Arial" w:eastAsia="黑体"/>
          <w:color w:val="auto"/>
          <w:sz w:val="44"/>
          <w:highlight w:val="none"/>
        </w:rPr>
      </w:pPr>
    </w:p>
    <w:p>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pPr>
        <w:spacing w:line="360" w:lineRule="auto"/>
        <w:rPr>
          <w:rFonts w:asciiTheme="minorEastAsia" w:hAnsiTheme="minorEastAsia"/>
          <w:bCs/>
          <w:color w:val="auto"/>
          <w:sz w:val="28"/>
          <w:szCs w:val="28"/>
          <w:highlight w:val="none"/>
        </w:rPr>
      </w:pPr>
    </w:p>
    <w:p>
      <w:pPr>
        <w:spacing w:line="360" w:lineRule="auto"/>
        <w:rPr>
          <w:rFonts w:asciiTheme="minorEastAsia" w:hAnsiTheme="minorEastAsia"/>
          <w:bCs/>
          <w:color w:val="auto"/>
          <w:sz w:val="32"/>
          <w:highlight w:val="none"/>
        </w:rPr>
      </w:pPr>
    </w:p>
    <w:p>
      <w:pPr>
        <w:spacing w:line="360" w:lineRule="auto"/>
        <w:rPr>
          <w:rFonts w:asciiTheme="minorEastAsia" w:hAnsiTheme="minorEastAsia"/>
          <w:bCs/>
          <w:color w:val="auto"/>
          <w:sz w:val="32"/>
          <w:highlight w:val="none"/>
        </w:rPr>
      </w:pPr>
    </w:p>
    <w:p>
      <w:pPr>
        <w:spacing w:line="360" w:lineRule="auto"/>
        <w:rPr>
          <w:rFonts w:asciiTheme="minorEastAsia" w:hAnsiTheme="minorEastAsia"/>
          <w:bCs/>
          <w:color w:val="auto"/>
          <w:sz w:val="32"/>
          <w:highlight w:val="none"/>
        </w:rPr>
      </w:pPr>
    </w:p>
    <w:p>
      <w:pPr>
        <w:spacing w:line="360" w:lineRule="auto"/>
        <w:rPr>
          <w:rFonts w:asciiTheme="minorEastAsia" w:hAnsiTheme="minorEastAsia"/>
          <w:bCs/>
          <w:color w:val="auto"/>
          <w:sz w:val="32"/>
          <w:highlight w:val="none"/>
        </w:rPr>
      </w:pPr>
    </w:p>
    <w:p>
      <w:pPr>
        <w:spacing w:line="360" w:lineRule="auto"/>
        <w:rPr>
          <w:rFonts w:asciiTheme="minorEastAsia" w:hAnsiTheme="minorEastAsia"/>
          <w:color w:val="auto"/>
          <w:sz w:val="32"/>
          <w:szCs w:val="32"/>
          <w:highlight w:val="none"/>
        </w:rPr>
      </w:pPr>
    </w:p>
    <w:p>
      <w:pPr>
        <w:spacing w:line="360" w:lineRule="auto"/>
        <w:rPr>
          <w:rFonts w:asciiTheme="minorEastAsia" w:hAnsiTheme="minorEastAsia"/>
          <w:color w:val="auto"/>
          <w:sz w:val="32"/>
          <w:szCs w:val="32"/>
          <w:highlight w:val="none"/>
        </w:rPr>
      </w:pPr>
    </w:p>
    <w:p>
      <w:pPr>
        <w:spacing w:line="360" w:lineRule="auto"/>
        <w:rPr>
          <w:rFonts w:asciiTheme="minorEastAsia" w:hAnsiTheme="minorEastAsia"/>
          <w:bCs/>
          <w:color w:val="auto"/>
          <w:sz w:val="32"/>
          <w:highlight w:val="none"/>
        </w:rPr>
      </w:pPr>
    </w:p>
    <w:p>
      <w:pPr>
        <w:spacing w:line="360" w:lineRule="auto"/>
        <w:rPr>
          <w:rFonts w:asciiTheme="minorEastAsia" w:hAnsiTheme="minorEastAsia"/>
          <w:bCs/>
          <w:color w:val="auto"/>
          <w:sz w:val="32"/>
          <w:highlight w:val="none"/>
        </w:rPr>
      </w:pPr>
    </w:p>
    <w:p>
      <w:pPr>
        <w:pStyle w:val="35"/>
        <w:spacing w:line="360" w:lineRule="auto"/>
        <w:ind w:firstLine="0"/>
        <w:jc w:val="both"/>
        <w:rPr>
          <w:rFonts w:asciiTheme="minorEastAsia" w:hAnsiTheme="minorEastAsia"/>
          <w:color w:val="auto"/>
          <w:highlight w:val="none"/>
        </w:rPr>
      </w:pPr>
      <w:bookmarkStart w:id="0" w:name="报价方须知前附表"/>
      <w:bookmarkEnd w:id="0"/>
    </w:p>
    <w:p>
      <w:pPr>
        <w:spacing w:line="360" w:lineRule="auto"/>
        <w:jc w:val="center"/>
        <w:rPr>
          <w:rFonts w:asciiTheme="minorEastAsia" w:hAnsiTheme="minorEastAsia"/>
          <w:b/>
          <w:bCs/>
          <w:color w:val="auto"/>
          <w:sz w:val="28"/>
          <w:szCs w:val="28"/>
          <w:highlight w:val="none"/>
        </w:rPr>
      </w:pPr>
    </w:p>
    <w:p>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pPr>
        <w:spacing w:line="360" w:lineRule="auto"/>
        <w:jc w:val="center"/>
        <w:rPr>
          <w:rFonts w:hint="eastAsia"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t>一．投标邀请函</w:t>
      </w:r>
    </w:p>
    <w:p>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江苏博智工程咨询有限公司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lang w:eastAsia="zh-CN"/>
        </w:rPr>
        <w:t>无锡市滨湖区太湖街道办事处</w:t>
      </w:r>
      <w:r>
        <w:rPr>
          <w:rFonts w:hint="eastAsia" w:asciiTheme="minorEastAsia" w:hAnsiTheme="minorEastAsia"/>
          <w:bCs/>
          <w:color w:val="auto"/>
          <w:sz w:val="24"/>
          <w:szCs w:val="24"/>
          <w:highlight w:val="none"/>
        </w:rPr>
        <w:t>的委托，对</w:t>
      </w:r>
      <w:r>
        <w:rPr>
          <w:rFonts w:hint="eastAsia" w:eastAsia="宋体" w:asciiTheme="minorEastAsia" w:hAnsiTheme="minorEastAsia"/>
          <w:bCs/>
          <w:color w:val="auto"/>
          <w:sz w:val="24"/>
          <w:highlight w:val="none"/>
          <w:lang w:eastAsia="zh-CN"/>
        </w:rPr>
        <w:t>太湖街道街道管养绿化养护</w:t>
      </w:r>
      <w:r>
        <w:rPr>
          <w:rFonts w:hint="eastAsia" w:asciiTheme="minorEastAsia" w:hAnsiTheme="minorEastAsia"/>
          <w:bCs/>
          <w:color w:val="auto"/>
          <w:sz w:val="24"/>
          <w:szCs w:val="24"/>
          <w:highlight w:val="none"/>
        </w:rPr>
        <w:t>进行公开招标采购，欢迎符合相关条件的供应商参加投标。</w:t>
      </w:r>
    </w:p>
    <w:p>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eastAsia="宋体" w:cs="宋体" w:asciiTheme="minorEastAsia" w:hAnsiTheme="minorEastAsia"/>
          <w:color w:val="auto"/>
          <w:sz w:val="24"/>
          <w:highlight w:val="none"/>
          <w:lang w:eastAsia="zh-CN"/>
        </w:rPr>
        <w:t>太湖街道街道管养绿化养护</w:t>
      </w:r>
      <w:r>
        <w:rPr>
          <w:rFonts w:hint="eastAsia" w:ascii="宋体" w:hAnsi="宋体"/>
          <w:color w:val="auto"/>
          <w:sz w:val="24"/>
          <w:szCs w:val="24"/>
          <w:highlight w:val="none"/>
        </w:rPr>
        <w:t>的潜在投标人应在“无锡政府采购网”“江苏政府采购网”自行浏览招标文件，如有投标意向须在本招标文件有效获取期内通过登录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5</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1</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13</w:t>
      </w:r>
      <w:r>
        <w:rPr>
          <w:rFonts w:hint="eastAsia" w:ascii="宋体" w:hAnsi="宋体"/>
          <w:b/>
          <w:bCs/>
          <w:color w:val="auto"/>
          <w:sz w:val="24"/>
          <w:szCs w:val="24"/>
          <w:highlight w:val="none"/>
        </w:rPr>
        <w:t>日09点30分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pPr>
        <w:spacing w:line="360" w:lineRule="auto"/>
        <w:ind w:firstLine="241"/>
        <w:rPr>
          <w:rFonts w:hint="eastAsia" w:asciiTheme="minorEastAsia" w:hAnsiTheme="minorEastAsia"/>
          <w:b/>
          <w:bCs/>
          <w:color w:val="auto"/>
          <w:sz w:val="24"/>
          <w:szCs w:val="24"/>
          <w:highlight w:val="none"/>
        </w:rPr>
      </w:pPr>
    </w:p>
    <w:p>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eastAsia="宋体" w:cs="宋体" w:asciiTheme="minorEastAsia" w:hAnsiTheme="minorEastAsia"/>
          <w:color w:val="auto"/>
          <w:sz w:val="24"/>
          <w:szCs w:val="24"/>
          <w:highlight w:val="none"/>
          <w:lang w:eastAsia="zh-CN"/>
        </w:rPr>
        <w:t>太湖街道街道管养绿化养护</w:t>
      </w:r>
    </w:p>
    <w:p>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eastAsia="宋体" w:cs="宋体" w:asciiTheme="minorEastAsia" w:hAnsiTheme="minorEastAsia"/>
          <w:color w:val="auto"/>
          <w:sz w:val="24"/>
          <w:szCs w:val="24"/>
          <w:highlight w:val="none"/>
          <w:lang w:eastAsia="zh-CN"/>
        </w:rPr>
        <w:t>JSZC-320292-BZDL-G2024-0082</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val="en-US" w:eastAsia="zh-CN"/>
        </w:rPr>
        <w:t>190.342842万元</w:t>
      </w:r>
      <w:r>
        <w:rPr>
          <w:rFonts w:hint="eastAsia" w:cs="宋体" w:asciiTheme="minorEastAsia" w:hAnsiTheme="minorEastAsia"/>
          <w:color w:val="auto"/>
          <w:sz w:val="24"/>
          <w:szCs w:val="24"/>
          <w:highlight w:val="none"/>
        </w:rPr>
        <w:t>；</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190.342842</w:t>
      </w:r>
      <w:r>
        <w:rPr>
          <w:rFonts w:hint="eastAsia" w:cs="宋体" w:asciiTheme="minorEastAsia" w:hAnsiTheme="minorEastAsia"/>
          <w:color w:val="auto"/>
          <w:sz w:val="24"/>
          <w:szCs w:val="24"/>
          <w:highlight w:val="none"/>
        </w:rPr>
        <w:t>万元。</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asciiTheme="minorEastAsia" w:hAnsiTheme="minorEastAsia"/>
          <w:color w:val="auto"/>
          <w:sz w:val="24"/>
          <w:szCs w:val="24"/>
          <w:highlight w:val="none"/>
        </w:rPr>
        <w:t xml:space="preserve"> 合同履行期限：</w:t>
      </w:r>
      <w:r>
        <w:rPr>
          <w:rFonts w:hint="eastAsia" w:ascii="宋体" w:hAnsi="宋体" w:cs="宋体"/>
          <w:color w:val="auto"/>
          <w:sz w:val="24"/>
          <w:szCs w:val="24"/>
          <w:highlight w:val="none"/>
        </w:rPr>
        <w:t>详见招标文件第四章</w:t>
      </w:r>
      <w:r>
        <w:rPr>
          <w:rFonts w:hint="eastAsia" w:ascii="宋体" w:hAnsi="宋体" w:cs="宋体"/>
          <w:b/>
          <w:bCs/>
          <w:color w:val="auto"/>
          <w:sz w:val="24"/>
          <w:szCs w:val="24"/>
          <w:highlight w:val="none"/>
        </w:rPr>
        <w:t>《采购需求》</w:t>
      </w:r>
      <w:r>
        <w:rPr>
          <w:rFonts w:hint="eastAsia" w:cs="宋体" w:asciiTheme="minorEastAsia" w:hAnsiTheme="minorEastAsia"/>
          <w:color w:val="auto"/>
          <w:sz w:val="24"/>
          <w:szCs w:val="24"/>
          <w:highlight w:val="none"/>
        </w:rPr>
        <w:t>；</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7. 本项目是否专门面向中小微企业：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8. 本项目标的所属行业：</w:t>
      </w:r>
      <w:r>
        <w:rPr>
          <w:rFonts w:hint="eastAsia" w:cs="宋体" w:asciiTheme="minorEastAsia" w:hAnsiTheme="minorEastAsia"/>
          <w:color w:val="auto"/>
          <w:sz w:val="24"/>
          <w:highlight w:val="none"/>
        </w:rPr>
        <w:t>其他未列明行业。从业人员300人以下的为中小微型企业。其中，从业人员100人及以上的为中型企业；从业人员10人及以上的为小型企业；从业人员10人以下的为微型企业。</w:t>
      </w:r>
    </w:p>
    <w:p>
      <w:pPr>
        <w:widowControl/>
        <w:shd w:val="clear" w:color="auto" w:fill="FFFFFF"/>
        <w:spacing w:line="360" w:lineRule="auto"/>
        <w:ind w:firstLine="480"/>
        <w:jc w:val="left"/>
        <w:rPr>
          <w:rFonts w:asciiTheme="minorEastAsia" w:hAnsiTheme="minorEastAsia"/>
          <w:color w:val="auto"/>
          <w:highlight w:val="none"/>
        </w:rPr>
      </w:pPr>
      <w:r>
        <w:rPr>
          <w:rFonts w:hint="eastAsia" w:cs="宋体" w:asciiTheme="minorEastAsia" w:hAnsiTheme="minorEastAsia"/>
          <w:color w:val="auto"/>
          <w:sz w:val="24"/>
          <w:szCs w:val="24"/>
          <w:highlight w:val="none"/>
        </w:rPr>
        <w:t>9.本项目</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2.1中小企业政策：供应商为中型企业/小型企业/微型企业（监狱企业/残疾人福利性单位视同小微企业）；</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3.本项目的特定资格要求：无。</w:t>
      </w:r>
    </w:p>
    <w:p>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pPr>
        <w:spacing w:line="360" w:lineRule="auto"/>
        <w:ind w:firstLine="540"/>
        <w:rPr>
          <w:rStyle w:val="5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cs="Times New Roman" w:asciiTheme="minorEastAsia" w:hAnsiTheme="minorEastAsia"/>
          <w:b/>
          <w:bCs/>
          <w:color w:val="auto"/>
          <w:sz w:val="24"/>
          <w:szCs w:val="24"/>
          <w:highlight w:val="none"/>
        </w:rPr>
        <w:t>202</w:t>
      </w:r>
      <w:r>
        <w:rPr>
          <w:rFonts w:hint="eastAsia" w:eastAsia="宋体" w:cs="Times New Roman" w:asciiTheme="minorEastAsia" w:hAnsiTheme="minorEastAsia"/>
          <w:b/>
          <w:bCs/>
          <w:color w:val="auto"/>
          <w:sz w:val="24"/>
          <w:szCs w:val="24"/>
          <w:highlight w:val="none"/>
          <w:lang w:val="en-US" w:eastAsia="zh-CN"/>
        </w:rPr>
        <w:t>5</w:t>
      </w:r>
      <w:r>
        <w:rPr>
          <w:rFonts w:hint="eastAsia" w:cs="Times New Roman" w:asciiTheme="minorEastAsia" w:hAnsiTheme="minorEastAsia"/>
          <w:b/>
          <w:bCs/>
          <w:color w:val="auto"/>
          <w:sz w:val="24"/>
          <w:szCs w:val="24"/>
          <w:highlight w:val="none"/>
        </w:rPr>
        <w:t>年</w:t>
      </w:r>
      <w:r>
        <w:rPr>
          <w:rFonts w:hint="eastAsia" w:eastAsia="宋体" w:cs="Times New Roman" w:asciiTheme="minorEastAsia" w:hAnsiTheme="minorEastAsia"/>
          <w:b/>
          <w:bCs/>
          <w:color w:val="auto"/>
          <w:sz w:val="24"/>
          <w:szCs w:val="24"/>
          <w:highlight w:val="none"/>
          <w:lang w:val="en-US" w:eastAsia="zh-CN"/>
        </w:rPr>
        <w:t>1</w:t>
      </w:r>
      <w:r>
        <w:rPr>
          <w:rFonts w:hint="eastAsia" w:cs="Times New Roman" w:asciiTheme="minorEastAsia" w:hAnsiTheme="minorEastAsia"/>
          <w:b/>
          <w:bCs/>
          <w:color w:val="auto"/>
          <w:sz w:val="24"/>
          <w:szCs w:val="24"/>
          <w:highlight w:val="none"/>
        </w:rPr>
        <w:t>月</w:t>
      </w:r>
      <w:r>
        <w:rPr>
          <w:rFonts w:hint="eastAsia" w:eastAsia="宋体" w:cs="Times New Roman" w:asciiTheme="minorEastAsia" w:hAnsiTheme="minorEastAsia"/>
          <w:b/>
          <w:bCs/>
          <w:color w:val="auto"/>
          <w:sz w:val="24"/>
          <w:szCs w:val="24"/>
          <w:highlight w:val="none"/>
          <w:lang w:val="en-US" w:eastAsia="zh-CN"/>
        </w:rPr>
        <w:t>13</w:t>
      </w:r>
      <w:r>
        <w:rPr>
          <w:rFonts w:hint="eastAsia" w:cs="Times New Roman" w:asciiTheme="minorEastAsia" w:hAnsiTheme="minorEastAsia"/>
          <w:b/>
          <w:bCs/>
          <w:color w:val="auto"/>
          <w:sz w:val="24"/>
          <w:szCs w:val="24"/>
          <w:highlight w:val="none"/>
        </w:rPr>
        <w:t>日9点30分</w:t>
      </w:r>
      <w:r>
        <w:rPr>
          <w:rFonts w:hint="eastAsia" w:cs="Times New Roman" w:asciiTheme="minorEastAsia" w:hAnsiTheme="minorEastAsia"/>
          <w:bCs/>
          <w:color w:val="auto"/>
          <w:sz w:val="24"/>
          <w:szCs w:val="24"/>
          <w:highlight w:val="none"/>
        </w:rPr>
        <w:t>（北京时间），截止时间后上传的任何投标文件恕不接受。</w:t>
      </w:r>
    </w:p>
    <w:p>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pPr>
        <w:pStyle w:val="145"/>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pPr>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1.采购人：</w:t>
      </w:r>
    </w:p>
    <w:p>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无锡市滨湖区太湖街道办事处</w:t>
      </w:r>
    </w:p>
    <w:p>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联系人：陆蔚沅</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联系电话： 0510-85622097</w:t>
      </w:r>
    </w:p>
    <w:p>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联系地址：无锡市滨湖区</w:t>
      </w:r>
      <w:r>
        <w:rPr>
          <w:rFonts w:hint="eastAsia" w:eastAsia="宋体" w:cs="宋体" w:asciiTheme="minorEastAsia" w:hAnsiTheme="minorEastAsia"/>
          <w:color w:val="auto"/>
          <w:sz w:val="24"/>
          <w:szCs w:val="24"/>
          <w:highlight w:val="none"/>
          <w:lang w:val="en-US" w:eastAsia="zh-CN"/>
        </w:rPr>
        <w:t>太湖街道周新东路58号</w:t>
      </w:r>
    </w:p>
    <w:p>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江苏博智工程咨询有限公司</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：郭威</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eastAsia="zh-CN"/>
        </w:rPr>
        <w:t>0510-82820918</w:t>
      </w:r>
      <w:r>
        <w:rPr>
          <w:rFonts w:hint="eastAsia" w:cs="宋体" w:asciiTheme="minorEastAsia" w:hAnsiTheme="minorEastAsia"/>
          <w:color w:val="auto"/>
          <w:sz w:val="24"/>
          <w:szCs w:val="24"/>
          <w:highlight w:val="none"/>
        </w:rPr>
        <w:t xml:space="preserve">              </w:t>
      </w:r>
    </w:p>
    <w:p>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地址: 无锡市经开区高浪东路508号华发大厦A座22楼    </w:t>
      </w:r>
    </w:p>
    <w:p>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584440423@qq.om</w:t>
      </w:r>
    </w:p>
    <w:p>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）访问“无锡政府采购网”点击“江苏省政府采购（苏采云）平台”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w:t>
      </w:r>
      <w:r>
        <w:rPr>
          <w:rFonts w:hint="eastAsia" w:ascii="宋体" w:hAnsi="宋体" w:eastAsia="宋体"/>
          <w:color w:val="auto"/>
          <w:sz w:val="24"/>
          <w:szCs w:val="24"/>
          <w:highlight w:val="none"/>
          <w:lang w:eastAsia="zh-CN"/>
        </w:rPr>
        <w:t>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江苏博智工程咨询有限公司</w:t>
      </w:r>
      <w:r>
        <w:rPr>
          <w:rFonts w:hint="eastAsia" w:ascii="宋体" w:hAnsi="宋体"/>
          <w:bCs/>
          <w:color w:val="auto"/>
          <w:sz w:val="24"/>
          <w:szCs w:val="24"/>
          <w:highlight w:val="none"/>
        </w:rPr>
        <w:t>在“无锡政府采购网”“江苏政府采购网”发布的更正公告。</w:t>
      </w:r>
    </w:p>
    <w:p>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1）纸质投标文件：本项目为不见面开标，报价人无需递交纸质投标文件至现场，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1" w:name="_Toc120614211"/>
    </w:p>
    <w:p>
      <w:pPr>
        <w:widowControl/>
        <w:spacing w:line="360" w:lineRule="auto"/>
        <w:jc w:val="center"/>
        <w:rPr>
          <w:rFonts w:ascii="黑体" w:hAnsi="黑体" w:eastAsia="黑体"/>
          <w:color w:val="auto"/>
          <w:sz w:val="36"/>
          <w:szCs w:val="36"/>
          <w:highlight w:val="none"/>
        </w:rPr>
      </w:pPr>
    </w:p>
    <w:p>
      <w:pPr>
        <w:widowControl/>
        <w:spacing w:line="360" w:lineRule="auto"/>
        <w:jc w:val="center"/>
        <w:rPr>
          <w:rFonts w:ascii="黑体" w:hAnsi="黑体" w:eastAsia="黑体"/>
          <w:color w:val="auto"/>
          <w:sz w:val="36"/>
          <w:szCs w:val="36"/>
          <w:highlight w:val="none"/>
        </w:rPr>
      </w:pPr>
    </w:p>
    <w:p>
      <w:pPr>
        <w:widowControl/>
        <w:spacing w:line="360" w:lineRule="auto"/>
        <w:jc w:val="center"/>
        <w:rPr>
          <w:rFonts w:ascii="黑体" w:hAnsi="黑体" w:eastAsia="黑体"/>
          <w:color w:val="auto"/>
          <w:sz w:val="36"/>
          <w:szCs w:val="36"/>
          <w:highlight w:val="none"/>
        </w:rPr>
      </w:pPr>
    </w:p>
    <w:p>
      <w:pPr>
        <w:widowControl/>
        <w:spacing w:line="360" w:lineRule="auto"/>
        <w:jc w:val="center"/>
        <w:rPr>
          <w:rFonts w:ascii="黑体" w:hAnsi="黑体" w:eastAsia="黑体"/>
          <w:color w:val="auto"/>
          <w:sz w:val="36"/>
          <w:szCs w:val="36"/>
          <w:highlight w:val="none"/>
        </w:rPr>
      </w:pPr>
    </w:p>
    <w:p>
      <w:pPr>
        <w:widowControl/>
        <w:spacing w:line="360" w:lineRule="auto"/>
        <w:jc w:val="center"/>
        <w:rPr>
          <w:rFonts w:ascii="黑体" w:hAnsi="黑体" w:eastAsia="黑体"/>
          <w:color w:val="auto"/>
          <w:sz w:val="36"/>
          <w:szCs w:val="36"/>
          <w:highlight w:val="none"/>
        </w:rPr>
      </w:pPr>
    </w:p>
    <w:p>
      <w:pPr>
        <w:rPr>
          <w:color w:val="auto"/>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hint="eastAsia" w:ascii="黑体" w:hAnsi="黑体" w:eastAsia="黑体"/>
          <w:color w:val="auto"/>
          <w:sz w:val="36"/>
          <w:szCs w:val="36"/>
          <w:highlight w:val="none"/>
        </w:rPr>
      </w:pPr>
    </w:p>
    <w:p>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1"/>
      <w:bookmarkStart w:id="2" w:name="_Toc120614213"/>
      <w:bookmarkStart w:id="3" w:name="_Toc20823274"/>
      <w:bookmarkStart w:id="4" w:name="_Toc16938518"/>
      <w:bookmarkStart w:id="5" w:name="_Toc513029202"/>
      <w:r>
        <w:rPr>
          <w:rFonts w:hint="eastAsia" w:ascii="黑体" w:hAnsi="黑体" w:eastAsia="黑体"/>
          <w:color w:val="auto"/>
          <w:sz w:val="36"/>
          <w:szCs w:val="36"/>
          <w:highlight w:val="none"/>
        </w:rPr>
        <w:t>投标人须知</w:t>
      </w:r>
      <w:bookmarkEnd w:id="2"/>
      <w:bookmarkEnd w:id="3"/>
      <w:bookmarkEnd w:id="4"/>
      <w:bookmarkEnd w:id="5"/>
    </w:p>
    <w:p>
      <w:pPr>
        <w:pStyle w:val="145"/>
        <w:keepNext w:val="0"/>
        <w:keepLines w:val="0"/>
        <w:spacing w:before="0" w:after="0" w:line="360" w:lineRule="auto"/>
        <w:ind w:firstLine="452"/>
        <w:rPr>
          <w:color w:val="auto"/>
          <w:sz w:val="30"/>
          <w:szCs w:val="30"/>
          <w:highlight w:val="none"/>
          <w:lang w:eastAsia="zh-CN"/>
        </w:rPr>
      </w:pPr>
      <w:bookmarkStart w:id="6" w:name="_Toc20823275"/>
      <w:bookmarkStart w:id="7" w:name="_Toc16938519"/>
      <w:bookmarkStart w:id="8" w:name="_Toc513029203"/>
      <w:bookmarkStart w:id="9" w:name="_Toc120614214"/>
      <w:r>
        <w:rPr>
          <w:rFonts w:hint="eastAsia"/>
          <w:color w:val="auto"/>
          <w:sz w:val="30"/>
          <w:szCs w:val="30"/>
          <w:highlight w:val="none"/>
          <w:lang w:eastAsia="zh-CN"/>
        </w:rPr>
        <w:t>一、总则</w:t>
      </w:r>
      <w:bookmarkEnd w:id="6"/>
      <w:bookmarkEnd w:id="7"/>
      <w:bookmarkEnd w:id="8"/>
      <w:bookmarkEnd w:id="9"/>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0" w:name="_Hlt16619475"/>
      <w:bookmarkEnd w:id="10"/>
      <w:bookmarkStart w:id="11" w:name="_Toc20823276"/>
      <w:bookmarkStart w:id="12" w:name="_Toc16938520"/>
      <w:bookmarkStart w:id="13" w:name="_Toc513029204"/>
      <w:r>
        <w:rPr>
          <w:rFonts w:hint="eastAsia" w:ascii="宋体" w:hAnsi="宋体" w:eastAsia="宋体"/>
          <w:bCs w:val="0"/>
          <w:color w:val="auto"/>
          <w:highlight w:val="none"/>
          <w:lang w:eastAsia="zh-CN"/>
        </w:rPr>
        <w:t>1.招标方式</w:t>
      </w:r>
      <w:bookmarkEnd w:id="11"/>
      <w:bookmarkEnd w:id="12"/>
      <w:bookmarkEnd w:id="13"/>
    </w:p>
    <w:p>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4" w:name="_Toc20823277"/>
      <w:bookmarkStart w:id="15" w:name="_Toc513029205"/>
      <w:bookmarkStart w:id="16" w:name="_Toc16938521"/>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7" w:name="_Toc16938522"/>
      <w:bookmarkStart w:id="18" w:name="_Toc513029206"/>
      <w:bookmarkStart w:id="19" w:name="_Toc20823278"/>
      <w:r>
        <w:rPr>
          <w:rFonts w:hint="eastAsia" w:ascii="宋体" w:hAnsi="宋体" w:eastAsia="宋体"/>
          <w:bCs w:val="0"/>
          <w:color w:val="auto"/>
          <w:highlight w:val="none"/>
          <w:lang w:eastAsia="zh-CN"/>
        </w:rPr>
        <w:t>3.适用法律</w:t>
      </w:r>
      <w:bookmarkEnd w:id="17"/>
      <w:bookmarkEnd w:id="18"/>
      <w:bookmarkEnd w:id="19"/>
    </w:p>
    <w:p>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20" w:name="_Toc513029207"/>
      <w:bookmarkStart w:id="21" w:name="_Toc20823279"/>
      <w:bookmarkStart w:id="22" w:name="_Toc16938523"/>
      <w:bookmarkStart w:id="23" w:name="_Toc462564067"/>
      <w:r>
        <w:rPr>
          <w:rFonts w:hint="eastAsia" w:ascii="宋体" w:hAnsi="宋体" w:eastAsia="宋体"/>
          <w:bCs w:val="0"/>
          <w:color w:val="auto"/>
          <w:highlight w:val="none"/>
          <w:lang w:eastAsia="zh-CN"/>
        </w:rPr>
        <w:t>4.投标费用</w:t>
      </w:r>
      <w:bookmarkEnd w:id="20"/>
      <w:bookmarkEnd w:id="21"/>
      <w:bookmarkEnd w:id="22"/>
      <w:bookmarkEnd w:id="23"/>
    </w:p>
    <w:p>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江苏博智工程咨询有限公司</w:t>
      </w:r>
      <w:r>
        <w:rPr>
          <w:rFonts w:hint="eastAsia" w:ascii="宋体" w:hAnsi="宋体"/>
          <w:color w:val="auto"/>
          <w:sz w:val="24"/>
          <w:highlight w:val="none"/>
        </w:rPr>
        <w:t>在任何情况下均无义务和责任承担这些费用。</w:t>
      </w:r>
    </w:p>
    <w:p>
      <w:pPr>
        <w:spacing w:line="360" w:lineRule="auto"/>
        <w:ind w:firstLine="480"/>
        <w:rPr>
          <w:rFonts w:ascii="宋体" w:hAnsi="宋体"/>
          <w:color w:val="auto"/>
          <w:sz w:val="24"/>
          <w:highlight w:val="none"/>
        </w:rPr>
      </w:pPr>
      <w:r>
        <w:rPr>
          <w:rFonts w:hint="eastAsia" w:ascii="宋体" w:hAnsi="宋体"/>
          <w:color w:val="auto"/>
          <w:sz w:val="24"/>
          <w:highlight w:val="none"/>
        </w:rPr>
        <w:t>4.2本次招标标书工本费、招标文件均免费。</w:t>
      </w:r>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pPr>
        <w:pStyle w:val="145"/>
        <w:keepNext w:val="0"/>
        <w:keepLines w:val="0"/>
        <w:spacing w:before="0" w:after="0" w:line="360" w:lineRule="auto"/>
        <w:ind w:firstLine="452"/>
        <w:rPr>
          <w:color w:val="auto"/>
          <w:sz w:val="30"/>
          <w:szCs w:val="30"/>
          <w:highlight w:val="none"/>
          <w:lang w:eastAsia="zh-CN"/>
        </w:rPr>
      </w:pPr>
      <w:bookmarkStart w:id="24" w:name="_Toc16938525"/>
      <w:bookmarkStart w:id="25" w:name="_Toc20823281"/>
      <w:bookmarkStart w:id="26" w:name="_Toc513029209"/>
      <w:bookmarkStart w:id="27" w:name="_Toc120614215"/>
      <w:r>
        <w:rPr>
          <w:rFonts w:hint="eastAsia"/>
          <w:color w:val="auto"/>
          <w:sz w:val="30"/>
          <w:szCs w:val="30"/>
          <w:highlight w:val="none"/>
          <w:lang w:eastAsia="zh-CN"/>
        </w:rPr>
        <w:t>二、招标文件</w:t>
      </w:r>
      <w:bookmarkEnd w:id="24"/>
      <w:bookmarkEnd w:id="25"/>
      <w:bookmarkEnd w:id="26"/>
      <w:bookmarkEnd w:id="27"/>
    </w:p>
    <w:p>
      <w:pPr>
        <w:pStyle w:val="322"/>
        <w:keepNext w:val="0"/>
        <w:keepLines w:val="0"/>
        <w:spacing w:before="0" w:after="0" w:line="360" w:lineRule="auto"/>
        <w:ind w:firstLine="422"/>
        <w:rPr>
          <w:rFonts w:ascii="宋体" w:hAnsi="宋体" w:eastAsia="宋体"/>
          <w:bCs w:val="0"/>
          <w:color w:val="auto"/>
          <w:highlight w:val="none"/>
          <w:lang w:eastAsia="zh-CN"/>
        </w:rPr>
      </w:pPr>
      <w:bookmarkStart w:id="28" w:name="_Toc20823282"/>
      <w:bookmarkStart w:id="29" w:name="_Toc513029210"/>
      <w:bookmarkStart w:id="30" w:name="_Toc16938526"/>
      <w:r>
        <w:rPr>
          <w:rFonts w:hint="eastAsia" w:ascii="宋体" w:hAnsi="宋体" w:eastAsia="宋体"/>
          <w:bCs w:val="0"/>
          <w:color w:val="auto"/>
          <w:highlight w:val="none"/>
          <w:lang w:eastAsia="zh-CN"/>
        </w:rPr>
        <w:t>6.招标文件构成</w:t>
      </w:r>
      <w:bookmarkEnd w:id="28"/>
      <w:bookmarkEnd w:id="29"/>
      <w:bookmarkEnd w:id="30"/>
    </w:p>
    <w:p>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val="en-US" w:eastAsia="zh-CN"/>
        </w:rPr>
        <w:t>采购代理机构</w:t>
      </w:r>
      <w:r>
        <w:rPr>
          <w:rFonts w:hint="eastAsia" w:ascii="宋体" w:hAnsi="宋体"/>
          <w:color w:val="auto"/>
          <w:sz w:val="24"/>
          <w:highlight w:val="none"/>
        </w:rPr>
        <w:t>联系解决。</w:t>
      </w:r>
    </w:p>
    <w:p>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31" w:name="_Toc513029211"/>
      <w:bookmarkStart w:id="32" w:name="_Toc462564070"/>
      <w:bookmarkStart w:id="33" w:name="_Toc16938527"/>
      <w:bookmarkStart w:id="34" w:name="_Toc20823283"/>
      <w:r>
        <w:rPr>
          <w:rFonts w:hint="eastAsia" w:ascii="宋体" w:hAnsi="宋体" w:eastAsia="宋体"/>
          <w:bCs w:val="0"/>
          <w:color w:val="auto"/>
          <w:highlight w:val="none"/>
          <w:lang w:eastAsia="zh-CN"/>
        </w:rPr>
        <w:t>7.招标文件的澄清</w:t>
      </w:r>
      <w:bookmarkEnd w:id="31"/>
      <w:bookmarkEnd w:id="32"/>
      <w:bookmarkEnd w:id="33"/>
      <w:bookmarkEnd w:id="34"/>
    </w:p>
    <w:p>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val="en-US" w:eastAsia="zh-CN"/>
        </w:rPr>
        <w:t>采购代理机构</w:t>
      </w:r>
      <w:r>
        <w:rPr>
          <w:rFonts w:hint="eastAsia" w:ascii="宋体" w:hAnsi="宋体"/>
          <w:bCs/>
          <w:color w:val="auto"/>
          <w:sz w:val="24"/>
          <w:highlight w:val="none"/>
        </w:rPr>
        <w:t>以书面形式提出。</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35" w:name="_Toc20823284"/>
      <w:bookmarkStart w:id="36" w:name="_Toc462564071"/>
      <w:bookmarkStart w:id="37" w:name="_Toc513029212"/>
      <w:bookmarkStart w:id="38" w:name="_Toc16938528"/>
      <w:r>
        <w:rPr>
          <w:rFonts w:hint="eastAsia" w:ascii="宋体" w:hAnsi="宋体" w:eastAsia="宋体"/>
          <w:bCs w:val="0"/>
          <w:color w:val="auto"/>
          <w:highlight w:val="none"/>
          <w:lang w:eastAsia="zh-CN"/>
        </w:rPr>
        <w:t>8.招标文件的修改</w:t>
      </w:r>
      <w:bookmarkEnd w:id="35"/>
      <w:bookmarkEnd w:id="36"/>
      <w:bookmarkEnd w:id="37"/>
      <w:bookmarkEnd w:id="38"/>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pPr>
        <w:pStyle w:val="145"/>
        <w:keepNext w:val="0"/>
        <w:keepLines w:val="0"/>
        <w:spacing w:before="0" w:after="0" w:line="360" w:lineRule="auto"/>
        <w:ind w:firstLine="452"/>
        <w:rPr>
          <w:color w:val="auto"/>
          <w:sz w:val="30"/>
          <w:szCs w:val="30"/>
          <w:highlight w:val="none"/>
          <w:lang w:eastAsia="zh-CN"/>
        </w:rPr>
      </w:pPr>
      <w:bookmarkStart w:id="39" w:name="_Toc20823285"/>
      <w:bookmarkStart w:id="40" w:name="_Toc120614216"/>
      <w:bookmarkStart w:id="41" w:name="_Toc462564072"/>
      <w:bookmarkStart w:id="42" w:name="_Toc513029213"/>
      <w:bookmarkStart w:id="43" w:name="_Toc16938529"/>
      <w:r>
        <w:rPr>
          <w:rFonts w:hint="eastAsia"/>
          <w:color w:val="auto"/>
          <w:sz w:val="30"/>
          <w:szCs w:val="30"/>
          <w:highlight w:val="none"/>
          <w:lang w:eastAsia="zh-CN"/>
        </w:rPr>
        <w:t>三、投标文件的编制</w:t>
      </w:r>
      <w:bookmarkEnd w:id="39"/>
      <w:bookmarkEnd w:id="40"/>
      <w:bookmarkEnd w:id="41"/>
      <w:bookmarkEnd w:id="42"/>
      <w:bookmarkEnd w:id="43"/>
    </w:p>
    <w:p>
      <w:pPr>
        <w:pStyle w:val="322"/>
        <w:keepNext w:val="0"/>
        <w:keepLines w:val="0"/>
        <w:spacing w:before="0" w:after="0" w:line="360" w:lineRule="auto"/>
        <w:ind w:firstLine="422"/>
        <w:rPr>
          <w:rFonts w:ascii="宋体" w:hAnsi="宋体" w:eastAsia="宋体"/>
          <w:bCs w:val="0"/>
          <w:color w:val="auto"/>
          <w:highlight w:val="none"/>
          <w:lang w:eastAsia="zh-CN"/>
        </w:rPr>
      </w:pPr>
      <w:bookmarkStart w:id="44" w:name="_Toc20823286"/>
      <w:bookmarkStart w:id="45" w:name="_Toc513029214"/>
      <w:bookmarkStart w:id="46" w:name="_Toc462564073"/>
      <w:bookmarkStart w:id="47" w:name="_Toc16938530"/>
      <w:r>
        <w:rPr>
          <w:rFonts w:hint="eastAsia" w:ascii="宋体" w:hAnsi="宋体" w:eastAsia="宋体"/>
          <w:bCs w:val="0"/>
          <w:color w:val="auto"/>
          <w:highlight w:val="none"/>
          <w:lang w:eastAsia="zh-CN"/>
        </w:rPr>
        <w:t>9.投标文件的语言及度量衡单位</w:t>
      </w:r>
      <w:bookmarkEnd w:id="44"/>
      <w:bookmarkEnd w:id="45"/>
      <w:bookmarkEnd w:id="46"/>
      <w:bookmarkEnd w:id="47"/>
    </w:p>
    <w:p>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48" w:name="_Toc16938531"/>
      <w:bookmarkStart w:id="49" w:name="_Toc513029215"/>
      <w:bookmarkStart w:id="50" w:name="_Toc462564074"/>
      <w:bookmarkStart w:id="51" w:name="_Toc20823287"/>
      <w:r>
        <w:rPr>
          <w:rFonts w:hint="eastAsia" w:ascii="宋体" w:hAnsi="宋体" w:eastAsia="宋体"/>
          <w:bCs w:val="0"/>
          <w:color w:val="auto"/>
          <w:highlight w:val="none"/>
          <w:lang w:eastAsia="zh-CN"/>
        </w:rPr>
        <w:t>10.投标文件构成</w:t>
      </w:r>
      <w:bookmarkEnd w:id="48"/>
      <w:bookmarkEnd w:id="49"/>
      <w:bookmarkEnd w:id="50"/>
      <w:bookmarkEnd w:id="51"/>
    </w:p>
    <w:p>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52" w:name="_Hlt26670360"/>
      <w:bookmarkEnd w:id="52"/>
      <w:bookmarkStart w:id="53" w:name="_Hlt26954838"/>
      <w:bookmarkEnd w:id="53"/>
      <w:bookmarkStart w:id="54" w:name="_Hlt26668975"/>
      <w:bookmarkEnd w:id="54"/>
      <w:bookmarkStart w:id="55" w:name="_Toc14577357"/>
      <w:bookmarkStart w:id="56" w:name="_Toc513029219"/>
      <w:bookmarkStart w:id="57" w:name="_Toc49090509"/>
      <w:bookmarkStart w:id="58" w:name="_Toc49090507"/>
      <w:bookmarkStart w:id="59" w:name="_Toc14577354"/>
      <w:bookmarkStart w:id="60" w:name="_Toc513029216"/>
      <w:r>
        <w:rPr>
          <w:rFonts w:hint="eastAsia" w:ascii="宋体" w:hAnsi="宋体" w:eastAsia="宋体"/>
          <w:bCs w:val="0"/>
          <w:color w:val="auto"/>
          <w:highlight w:val="none"/>
          <w:lang w:eastAsia="zh-CN"/>
        </w:rPr>
        <w:t>11.证明投标人及投标标的符合招标文件规定的文件</w:t>
      </w:r>
      <w:bookmarkEnd w:id="55"/>
      <w:bookmarkEnd w:id="56"/>
      <w:bookmarkEnd w:id="57"/>
    </w:p>
    <w:bookmarkEnd w:id="58"/>
    <w:bookmarkEnd w:id="59"/>
    <w:bookmarkEnd w:id="60"/>
    <w:p>
      <w:pPr>
        <w:spacing w:line="360" w:lineRule="auto"/>
        <w:ind w:firstLine="480"/>
        <w:rPr>
          <w:rFonts w:ascii="宋体" w:hAnsi="宋体"/>
          <w:bCs/>
          <w:color w:val="auto"/>
          <w:sz w:val="24"/>
          <w:highlight w:val="none"/>
        </w:rPr>
      </w:pPr>
      <w:bookmarkStart w:id="61" w:name="_Toc49090508"/>
      <w:bookmarkStart w:id="62" w:name="_Toc14577355"/>
      <w:r>
        <w:rPr>
          <w:rFonts w:hint="eastAsia" w:ascii="宋体" w:hAnsi="宋体"/>
          <w:bCs/>
          <w:color w:val="auto"/>
          <w:sz w:val="24"/>
          <w:highlight w:val="none"/>
        </w:rPr>
        <w:t>11.1投标人应按照法律、法规、规章和规范性文件以及招标文件要求提交证明文件，证明其及投标标的符合招标文件规定。</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63" w:name="_Toc49090510"/>
      <w:bookmarkStart w:id="64" w:name="_Toc14577359"/>
      <w:r>
        <w:rPr>
          <w:rFonts w:hint="eastAsia" w:ascii="宋体" w:hAnsi="宋体" w:eastAsia="宋体"/>
          <w:bCs w:val="0"/>
          <w:color w:val="auto"/>
          <w:highlight w:val="none"/>
          <w:lang w:eastAsia="zh-CN"/>
        </w:rPr>
        <w:t>12.投标函、承诺书和开标一览表</w:t>
      </w:r>
    </w:p>
    <w:p>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67" w:name="_Hlt26668983"/>
      <w:bookmarkEnd w:id="67"/>
      <w:bookmarkStart w:id="68" w:name="_Hlt26670486"/>
      <w:bookmarkEnd w:id="68"/>
      <w:bookmarkStart w:id="69" w:name="_Hlt26954844"/>
      <w:bookmarkEnd w:id="69"/>
      <w:bookmarkStart w:id="70" w:name="_Hlt26670482"/>
      <w:bookmarkEnd w:id="70"/>
      <w:bookmarkStart w:id="71" w:name="_Hlt26954848"/>
      <w:bookmarkEnd w:id="71"/>
      <w:bookmarkStart w:id="72" w:name="_Hlt26954842"/>
      <w:bookmarkEnd w:id="72"/>
      <w:bookmarkStart w:id="73" w:name="_Hlt26670403"/>
      <w:bookmarkEnd w:id="73"/>
      <w:bookmarkStart w:id="74" w:name="_Hlt26954731"/>
      <w:bookmarkEnd w:id="74"/>
      <w:bookmarkStart w:id="75" w:name="_Hlt26670425"/>
      <w:bookmarkEnd w:id="75"/>
      <w:bookmarkStart w:id="76" w:name="_Hlt26954846"/>
      <w:bookmarkEnd w:id="76"/>
      <w:r>
        <w:rPr>
          <w:rFonts w:hint="eastAsia" w:ascii="宋体" w:hAnsi="宋体" w:eastAsia="宋体"/>
          <w:bCs w:val="0"/>
          <w:color w:val="auto"/>
          <w:highlight w:val="none"/>
          <w:lang w:eastAsia="zh-CN"/>
        </w:rPr>
        <w:t>14.投标偏离表</w:t>
      </w:r>
    </w:p>
    <w:p>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77" w:name="_Hlt26954734"/>
      <w:bookmarkEnd w:id="77"/>
      <w:bookmarkStart w:id="78" w:name="_Hlt26670489"/>
      <w:bookmarkEnd w:id="78"/>
      <w:bookmarkStart w:id="79" w:name="_Hlt26954850"/>
      <w:bookmarkEnd w:id="79"/>
      <w:bookmarkStart w:id="80" w:name="_Toc49090511"/>
      <w:bookmarkStart w:id="81" w:name="_Toc14577360"/>
      <w:r>
        <w:rPr>
          <w:rFonts w:hint="eastAsia" w:ascii="宋体" w:hAnsi="宋体" w:eastAsia="宋体"/>
          <w:bCs w:val="0"/>
          <w:color w:val="auto"/>
          <w:highlight w:val="none"/>
          <w:lang w:eastAsia="zh-CN"/>
        </w:rPr>
        <w:t>15.投标有效期</w:t>
      </w:r>
      <w:bookmarkEnd w:id="80"/>
      <w:bookmarkEnd w:id="81"/>
    </w:p>
    <w:p>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pPr>
        <w:pStyle w:val="145"/>
        <w:keepNext w:val="0"/>
        <w:keepLines w:val="0"/>
        <w:spacing w:before="0" w:after="0" w:line="360" w:lineRule="auto"/>
        <w:ind w:firstLine="452"/>
        <w:rPr>
          <w:color w:val="auto"/>
          <w:sz w:val="30"/>
          <w:szCs w:val="30"/>
          <w:highlight w:val="none"/>
          <w:lang w:eastAsia="zh-CN"/>
        </w:rPr>
      </w:pPr>
      <w:bookmarkStart w:id="82" w:name="_Hlt26954852"/>
      <w:bookmarkEnd w:id="82"/>
      <w:bookmarkStart w:id="83" w:name="_Hlt26954739"/>
      <w:bookmarkEnd w:id="83"/>
      <w:bookmarkStart w:id="84" w:name="_Toc16938540"/>
      <w:bookmarkStart w:id="85" w:name="_Toc120614217"/>
      <w:bookmarkStart w:id="86" w:name="_Toc513029224"/>
      <w:bookmarkStart w:id="87" w:name="_Toc20823296"/>
      <w:r>
        <w:rPr>
          <w:rFonts w:hint="eastAsia"/>
          <w:color w:val="auto"/>
          <w:sz w:val="30"/>
          <w:szCs w:val="30"/>
          <w:highlight w:val="none"/>
          <w:lang w:eastAsia="zh-CN"/>
        </w:rPr>
        <w:t>四、投标文件的递交</w:t>
      </w:r>
      <w:bookmarkEnd w:id="84"/>
      <w:bookmarkEnd w:id="85"/>
      <w:bookmarkEnd w:id="86"/>
      <w:bookmarkEnd w:id="87"/>
    </w:p>
    <w:p>
      <w:pPr>
        <w:pStyle w:val="322"/>
        <w:keepNext w:val="0"/>
        <w:keepLines w:val="0"/>
        <w:spacing w:before="0" w:after="0" w:line="360" w:lineRule="auto"/>
        <w:ind w:firstLine="422"/>
        <w:rPr>
          <w:rFonts w:ascii="宋体" w:hAnsi="宋体" w:eastAsia="宋体"/>
          <w:bCs w:val="0"/>
          <w:color w:val="auto"/>
          <w:highlight w:val="none"/>
          <w:lang w:eastAsia="zh-CN"/>
        </w:rPr>
      </w:pPr>
      <w:bookmarkStart w:id="88" w:name="_Toc513029225"/>
      <w:bookmarkStart w:id="89" w:name="_Toc462564084"/>
      <w:bookmarkStart w:id="90" w:name="_Toc16938541"/>
      <w:bookmarkStart w:id="91" w:name="_Toc20823297"/>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pPr>
        <w:pStyle w:val="408"/>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513029226"/>
      <w:bookmarkStart w:id="93" w:name="_Toc20823298"/>
      <w:bookmarkStart w:id="94" w:name="_Toc16938542"/>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投标人应充分考虑到网络环境、网络带宽等风险因素，如因投标人自身原因造成的电子投标文件上传不成功的视作投标人未按照招标文件要求上传电子投标文件，做无效投标处理。</w:t>
      </w:r>
    </w:p>
    <w:p>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95" w:name="_Toc20823299"/>
      <w:bookmarkStart w:id="96" w:name="_Toc513029227"/>
      <w:bookmarkStart w:id="97" w:name="_Toc16938543"/>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98" w:name="_Toc20823300"/>
      <w:bookmarkStart w:id="99" w:name="_Toc513029228"/>
      <w:bookmarkStart w:id="100" w:name="_Toc16938544"/>
      <w:r>
        <w:rPr>
          <w:rFonts w:hint="eastAsia" w:ascii="宋体" w:hAnsi="宋体" w:eastAsia="宋体"/>
          <w:bCs w:val="0"/>
          <w:color w:val="auto"/>
          <w:highlight w:val="none"/>
          <w:lang w:eastAsia="zh-CN"/>
        </w:rPr>
        <w:t>20.投标文件的撤回和修改</w:t>
      </w:r>
      <w:bookmarkEnd w:id="98"/>
      <w:bookmarkEnd w:id="99"/>
      <w:bookmarkEnd w:id="100"/>
    </w:p>
    <w:p>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pPr>
        <w:spacing w:line="360" w:lineRule="auto"/>
        <w:ind w:firstLine="480"/>
        <w:rPr>
          <w:rFonts w:ascii="宋体" w:hAnsi="宋体"/>
          <w:color w:val="auto"/>
          <w:sz w:val="24"/>
          <w:highlight w:val="none"/>
        </w:rPr>
      </w:pPr>
      <w:r>
        <w:rPr>
          <w:rFonts w:hint="eastAsia" w:ascii="宋体" w:hAnsi="宋体"/>
          <w:color w:val="auto"/>
          <w:sz w:val="24"/>
          <w:highlight w:val="none"/>
        </w:rPr>
        <w:t>21.1.1电子投标文件的撤回</w:t>
      </w:r>
    </w:p>
    <w:p>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pPr>
        <w:pStyle w:val="145"/>
        <w:keepNext w:val="0"/>
        <w:keepLines w:val="0"/>
        <w:spacing w:before="0" w:after="0" w:line="360" w:lineRule="auto"/>
        <w:ind w:firstLine="452"/>
        <w:rPr>
          <w:color w:val="auto"/>
          <w:sz w:val="30"/>
          <w:szCs w:val="30"/>
          <w:highlight w:val="none"/>
          <w:lang w:eastAsia="zh-CN"/>
        </w:rPr>
      </w:pPr>
      <w:bookmarkStart w:id="101" w:name="_Toc16938545"/>
      <w:bookmarkStart w:id="102" w:name="_Toc120614218"/>
      <w:bookmarkStart w:id="103" w:name="_Toc513029229"/>
      <w:bookmarkStart w:id="104" w:name="_Toc20823301"/>
      <w:r>
        <w:rPr>
          <w:rFonts w:hint="eastAsia"/>
          <w:color w:val="auto"/>
          <w:sz w:val="30"/>
          <w:szCs w:val="30"/>
          <w:highlight w:val="none"/>
          <w:lang w:eastAsia="zh-CN"/>
        </w:rPr>
        <w:t>五、开标与评标</w:t>
      </w:r>
      <w:bookmarkEnd w:id="101"/>
      <w:bookmarkEnd w:id="102"/>
      <w:bookmarkEnd w:id="103"/>
      <w:bookmarkEnd w:id="104"/>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05" w:name="_Toc16938546"/>
      <w:bookmarkStart w:id="106" w:name="_Toc20823302"/>
      <w:bookmarkStart w:id="107" w:name="_Toc513029230"/>
      <w:r>
        <w:rPr>
          <w:rFonts w:hint="eastAsia" w:ascii="宋体" w:hAnsi="宋体" w:eastAsia="宋体"/>
          <w:bCs w:val="0"/>
          <w:color w:val="auto"/>
          <w:highlight w:val="none"/>
          <w:lang w:eastAsia="zh-CN"/>
        </w:rPr>
        <w:t>21.开标</w:t>
      </w:r>
      <w:bookmarkEnd w:id="105"/>
      <w:bookmarkEnd w:id="106"/>
      <w:bookmarkEnd w:id="107"/>
    </w:p>
    <w:p>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21.3投标人在开标过程中涉及到的投标文件解密、开标结果确认等工作，应按照《操作手册》规定执行。</w:t>
      </w:r>
    </w:p>
    <w:p>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08" w:name="_Toc16938547"/>
      <w:bookmarkStart w:id="109" w:name="_Toc513029231"/>
      <w:bookmarkStart w:id="110" w:name="_Toc20823303"/>
      <w:r>
        <w:rPr>
          <w:rFonts w:hint="eastAsia" w:ascii="宋体" w:hAnsi="宋体" w:eastAsia="宋体"/>
          <w:bCs w:val="0"/>
          <w:color w:val="auto"/>
          <w:highlight w:val="none"/>
          <w:lang w:eastAsia="zh-CN"/>
        </w:rPr>
        <w:t>22.评标委员会</w:t>
      </w:r>
    </w:p>
    <w:p>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11" w:name="_Toc16938548"/>
      <w:bookmarkStart w:id="112" w:name="_Toc513029232"/>
      <w:bookmarkStart w:id="113" w:name="_Toc20823304"/>
      <w:r>
        <w:rPr>
          <w:rFonts w:hint="eastAsia" w:ascii="宋体" w:hAnsi="宋体" w:eastAsia="宋体"/>
          <w:bCs w:val="0"/>
          <w:color w:val="auto"/>
          <w:highlight w:val="none"/>
          <w:lang w:eastAsia="zh-CN"/>
        </w:rPr>
        <w:t>24.投标文件的澄清</w:t>
      </w:r>
      <w:bookmarkEnd w:id="111"/>
      <w:bookmarkEnd w:id="112"/>
      <w:bookmarkEnd w:id="113"/>
    </w:p>
    <w:p>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24.3接到评委会澄清、说明和补正要求的投标人如未按规定及时做出澄清、说明和补正，其风险由投标人自行承担。</w:t>
      </w:r>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14" w:name="_Toc16938549"/>
      <w:bookmarkStart w:id="115" w:name="_Toc20823305"/>
      <w:bookmarkStart w:id="116" w:name="_Toc513029233"/>
      <w:r>
        <w:rPr>
          <w:rFonts w:hint="eastAsia" w:ascii="宋体" w:hAnsi="宋体" w:eastAsia="宋体"/>
          <w:bCs w:val="0"/>
          <w:color w:val="auto"/>
          <w:highlight w:val="none"/>
          <w:lang w:eastAsia="zh-CN"/>
        </w:rPr>
        <w:t>25.对投标文件的初审</w:t>
      </w:r>
      <w:bookmarkEnd w:id="114"/>
      <w:bookmarkEnd w:id="115"/>
      <w:bookmarkEnd w:id="116"/>
    </w:p>
    <w:p>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.3如果投标文件实质上没有响应招标文件的要求，评委会将予以拒绝，其投标文件无效，投标人不得通过修改或撤销不合要求的偏离或保留而使其投标成为实质性响应的投标。</w:t>
      </w:r>
    </w:p>
    <w:p>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pPr>
        <w:spacing w:line="360" w:lineRule="auto"/>
        <w:ind w:firstLine="420"/>
        <w:rPr>
          <w:rFonts w:ascii="宋体" w:hAnsi="宋体"/>
          <w:color w:val="auto"/>
          <w:sz w:val="24"/>
          <w:highlight w:val="none"/>
        </w:rPr>
      </w:pPr>
      <w:bookmarkStart w:id="117" w:name="_Toc20823306"/>
      <w:bookmarkStart w:id="118" w:name="_Toc16938550"/>
      <w:bookmarkStart w:id="119" w:name="_Toc513029234"/>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pPr>
        <w:spacing w:line="360" w:lineRule="auto"/>
        <w:ind w:left="479"/>
        <w:rPr>
          <w:rFonts w:ascii="宋体" w:hAnsi="宋体"/>
          <w:bCs/>
          <w:color w:val="auto"/>
          <w:sz w:val="24"/>
          <w:highlight w:val="none"/>
        </w:rPr>
      </w:pPr>
      <w:bookmarkStart w:id="120" w:name="_Toc513029235"/>
      <w:bookmarkStart w:id="121" w:name="_Toc20823307"/>
      <w:bookmarkStart w:id="122" w:name="_Toc16938551"/>
      <w:r>
        <w:rPr>
          <w:rFonts w:hint="eastAsia" w:ascii="宋体" w:hAnsi="宋体"/>
          <w:bCs/>
          <w:color w:val="auto"/>
          <w:sz w:val="24"/>
          <w:highlight w:val="none"/>
        </w:rPr>
        <w:t>26.1无效投标条款</w:t>
      </w:r>
    </w:p>
    <w:p>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实质性要求和条件的</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26.1.24其他法律、法规及本招标文件规定的属无效投标的情形。</w:t>
      </w:r>
    </w:p>
    <w:p>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pPr>
        <w:pStyle w:val="145"/>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pPr>
        <w:pStyle w:val="322"/>
        <w:keepNext w:val="0"/>
        <w:keepLines w:val="0"/>
        <w:spacing w:before="0" w:after="0" w:line="360" w:lineRule="auto"/>
        <w:ind w:firstLine="422"/>
        <w:rPr>
          <w:rFonts w:ascii="宋体" w:hAnsi="宋体" w:eastAsia="宋体"/>
          <w:bCs w:val="0"/>
          <w:color w:val="auto"/>
          <w:highlight w:val="none"/>
          <w:lang w:eastAsia="zh-CN"/>
        </w:rPr>
      </w:pPr>
      <w:bookmarkStart w:id="124" w:name="_Toc513029238"/>
      <w:bookmarkStart w:id="125" w:name="_Toc16938554"/>
      <w:bookmarkStart w:id="126" w:name="_Toc20823310"/>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w:t>
      </w:r>
    </w:p>
    <w:p>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将在“无锡政府采购网”“江苏政府采购网”发布中标公告，公告期限为1个工作日。</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val="en-US" w:eastAsia="zh-CN"/>
        </w:rPr>
        <w:t>采购代理机构</w:t>
      </w:r>
      <w:r>
        <w:rPr>
          <w:rFonts w:hint="eastAsia" w:ascii="宋体" w:hAnsi="宋体"/>
          <w:color w:val="auto"/>
          <w:sz w:val="24"/>
          <w:szCs w:val="24"/>
          <w:highlight w:val="none"/>
        </w:rPr>
        <w:t>负责答复。</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pPr>
        <w:pStyle w:val="145"/>
        <w:keepNext w:val="0"/>
        <w:keepLines w:val="0"/>
        <w:spacing w:before="0" w:after="0" w:line="360" w:lineRule="auto"/>
        <w:ind w:firstLine="452"/>
        <w:rPr>
          <w:color w:val="auto"/>
          <w:sz w:val="30"/>
          <w:szCs w:val="30"/>
          <w:highlight w:val="none"/>
          <w:lang w:eastAsia="zh-CN"/>
        </w:rPr>
      </w:pPr>
      <w:bookmarkStart w:id="128" w:name="_Toc120614220"/>
      <w:bookmarkStart w:id="129" w:name="_Toc513029236"/>
      <w:bookmarkStart w:id="130" w:name="_Toc16938552"/>
      <w:bookmarkStart w:id="131" w:name="_Toc20823308"/>
      <w:r>
        <w:rPr>
          <w:rFonts w:hint="eastAsia"/>
          <w:color w:val="auto"/>
          <w:sz w:val="30"/>
          <w:szCs w:val="30"/>
          <w:highlight w:val="none"/>
          <w:lang w:eastAsia="zh-CN"/>
        </w:rPr>
        <w:t>七、授予合同</w:t>
      </w:r>
      <w:bookmarkEnd w:id="128"/>
    </w:p>
    <w:bookmarkEnd w:id="129"/>
    <w:bookmarkEnd w:id="130"/>
    <w:bookmarkEnd w:id="131"/>
    <w:p>
      <w:pPr>
        <w:pStyle w:val="322"/>
        <w:keepNext w:val="0"/>
        <w:keepLines w:val="0"/>
        <w:spacing w:before="0" w:after="0" w:line="360" w:lineRule="auto"/>
        <w:ind w:firstLine="422"/>
        <w:rPr>
          <w:rFonts w:ascii="宋体" w:hAnsi="宋体" w:eastAsia="宋体"/>
          <w:bCs w:val="0"/>
          <w:color w:val="auto"/>
          <w:highlight w:val="none"/>
          <w:lang w:eastAsia="zh-CN"/>
        </w:rPr>
      </w:pPr>
      <w:bookmarkStart w:id="132" w:name="_Toc16938553"/>
      <w:bookmarkStart w:id="133" w:name="_Toc20823309"/>
      <w:bookmarkStart w:id="134" w:name="_Toc513029237"/>
      <w:r>
        <w:rPr>
          <w:rFonts w:hint="eastAsia" w:ascii="宋体" w:hAnsi="宋体" w:eastAsia="宋体"/>
          <w:bCs w:val="0"/>
          <w:color w:val="auto"/>
          <w:highlight w:val="none"/>
          <w:lang w:eastAsia="zh-CN"/>
        </w:rPr>
        <w:t>30.签订合同</w:t>
      </w:r>
    </w:p>
    <w:p>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pPr>
        <w:pStyle w:val="322"/>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pPr>
        <w:pStyle w:val="319"/>
        <w:numPr>
          <w:ilvl w:val="0"/>
          <w:numId w:val="7"/>
        </w:numPr>
        <w:spacing w:line="360" w:lineRule="auto"/>
        <w:ind w:firstLine="281" w:firstLineChars="100"/>
        <w:jc w:val="both"/>
        <w:rPr>
          <w:rFonts w:hint="eastAsia" w:ascii="宋体" w:hAnsi="宋体" w:cs="Times New Roman"/>
          <w:b/>
          <w:bCs w:val="0"/>
          <w:color w:val="auto"/>
          <w:sz w:val="28"/>
          <w:szCs w:val="28"/>
          <w:highlight w:val="none"/>
          <w:lang w:val="en-US" w:eastAsia="zh-CN"/>
        </w:rPr>
      </w:pPr>
      <w:r>
        <w:rPr>
          <w:rFonts w:hint="eastAsia" w:ascii="宋体" w:hAnsi="宋体" w:cs="Times New Roman"/>
          <w:b/>
          <w:bCs w:val="0"/>
          <w:color w:val="auto"/>
          <w:sz w:val="28"/>
          <w:szCs w:val="28"/>
          <w:highlight w:val="none"/>
          <w:lang w:val="en-US" w:eastAsia="zh-CN"/>
        </w:rPr>
        <w:t>代理服务费</w:t>
      </w:r>
    </w:p>
    <w:p>
      <w:pPr>
        <w:pStyle w:val="319"/>
        <w:numPr>
          <w:ilvl w:val="0"/>
          <w:numId w:val="0"/>
        </w:numPr>
        <w:spacing w:line="360" w:lineRule="auto"/>
        <w:ind w:firstLine="480" w:firstLineChars="200"/>
        <w:jc w:val="both"/>
        <w:rPr>
          <w:rFonts w:hint="default" w:ascii="宋体" w:hAnsi="宋体" w:eastAsiaTheme="minorEastAsia" w:cstheme="minorBidi"/>
          <w:color w:val="auto"/>
          <w:sz w:val="24"/>
          <w:szCs w:val="24"/>
          <w:highlight w:val="none"/>
          <w:lang w:val="en-US" w:eastAsia="zh-CN"/>
        </w:rPr>
      </w:pPr>
      <w:r>
        <w:rPr>
          <w:rFonts w:hint="eastAsia" w:ascii="宋体" w:hAnsi="宋体" w:eastAsiaTheme="minorEastAsia" w:cstheme="minorBidi"/>
          <w:color w:val="auto"/>
          <w:sz w:val="24"/>
          <w:szCs w:val="24"/>
          <w:highlight w:val="none"/>
          <w:lang w:val="en-US" w:eastAsia="zh-CN"/>
        </w:rPr>
        <w:t>32.1本项目代理费由采购人支付，以中标金额为计费基础，按差额定率累进法计算：100万以下费率为1.5%，100万元至500万元内费率为0.8%，在此基础上打7折计取。</w:t>
      </w:r>
    </w:p>
    <w:p>
      <w:pPr>
        <w:pStyle w:val="319"/>
        <w:numPr>
          <w:ilvl w:val="0"/>
          <w:numId w:val="0"/>
        </w:numPr>
        <w:spacing w:line="360" w:lineRule="auto"/>
        <w:jc w:val="both"/>
        <w:rPr>
          <w:rFonts w:hint="default" w:ascii="宋体" w:hAnsi="宋体" w:cs="Times New Roman"/>
          <w:b/>
          <w:bCs w:val="0"/>
          <w:color w:val="auto"/>
          <w:sz w:val="28"/>
          <w:szCs w:val="28"/>
          <w:highlight w:val="none"/>
          <w:lang w:val="en-US" w:eastAsia="zh-CN"/>
        </w:rPr>
      </w:pPr>
    </w:p>
    <w:p>
      <w:pPr>
        <w:pStyle w:val="319"/>
        <w:spacing w:line="360" w:lineRule="auto"/>
        <w:jc w:val="center"/>
        <w:rPr>
          <w:rFonts w:ascii="黑体" w:eastAsia="黑体"/>
          <w:color w:val="auto"/>
          <w:sz w:val="36"/>
          <w:szCs w:val="36"/>
          <w:highlight w:val="none"/>
          <w:lang w:eastAsia="zh-CN"/>
        </w:rPr>
      </w:pPr>
    </w:p>
    <w:p>
      <w:pPr>
        <w:pStyle w:val="319"/>
        <w:spacing w:line="360" w:lineRule="auto"/>
        <w:jc w:val="center"/>
        <w:rPr>
          <w:rFonts w:ascii="黑体" w:eastAsia="黑体"/>
          <w:color w:val="auto"/>
          <w:sz w:val="36"/>
          <w:szCs w:val="36"/>
          <w:highlight w:val="none"/>
          <w:lang w:eastAsia="zh-CN"/>
        </w:rPr>
      </w:pPr>
    </w:p>
    <w:bookmarkEnd w:id="132"/>
    <w:bookmarkEnd w:id="133"/>
    <w:bookmarkEnd w:id="134"/>
    <w:p>
      <w:pPr>
        <w:pStyle w:val="319"/>
        <w:spacing w:line="360" w:lineRule="auto"/>
        <w:ind w:firstLine="0"/>
        <w:rPr>
          <w:rFonts w:ascii="黑体" w:eastAsia="黑体"/>
          <w:bCs/>
          <w:color w:val="auto"/>
          <w:sz w:val="36"/>
          <w:szCs w:val="36"/>
          <w:highlight w:val="none"/>
          <w:lang w:eastAsia="zh-CN"/>
        </w:rPr>
      </w:pPr>
      <w:bookmarkStart w:id="135" w:name="_Toc120614221"/>
      <w:bookmarkStart w:id="136" w:name="_Toc479757207"/>
      <w:bookmarkStart w:id="137" w:name="_Toc16938558"/>
      <w:bookmarkStart w:id="138" w:name="_Toc20823314"/>
      <w:bookmarkStart w:id="139" w:name="_Toc513029242"/>
    </w:p>
    <w:p>
      <w:pPr>
        <w:pStyle w:val="319"/>
        <w:spacing w:line="360" w:lineRule="auto"/>
        <w:ind w:firstLine="0"/>
        <w:rPr>
          <w:rFonts w:ascii="黑体" w:eastAsia="黑体"/>
          <w:bCs/>
          <w:color w:val="auto"/>
          <w:sz w:val="36"/>
          <w:szCs w:val="36"/>
          <w:highlight w:val="none"/>
          <w:lang w:eastAsia="zh-CN"/>
        </w:rPr>
      </w:pPr>
    </w:p>
    <w:p>
      <w:pPr>
        <w:pStyle w:val="319"/>
        <w:spacing w:line="360" w:lineRule="auto"/>
        <w:ind w:firstLine="0"/>
        <w:jc w:val="center"/>
        <w:rPr>
          <w:rFonts w:ascii="黑体" w:eastAsia="黑体"/>
          <w:color w:val="auto"/>
          <w:sz w:val="36"/>
          <w:szCs w:val="36"/>
          <w:highlight w:val="none"/>
          <w:lang w:eastAsia="zh-CN"/>
        </w:rPr>
      </w:pPr>
      <w:r>
        <w:rPr>
          <w:rFonts w:hint="eastAsia" w:ascii="黑体" w:eastAsia="黑体"/>
          <w:bCs/>
          <w:color w:val="auto"/>
          <w:sz w:val="36"/>
          <w:szCs w:val="36"/>
          <w:highlight w:val="none"/>
          <w:lang w:eastAsia="zh-CN"/>
        </w:rPr>
        <w:t>第三章  合同</w:t>
      </w:r>
      <w:bookmarkEnd w:id="135"/>
      <w:bookmarkEnd w:id="136"/>
      <w:bookmarkEnd w:id="137"/>
      <w:bookmarkEnd w:id="138"/>
      <w:bookmarkEnd w:id="139"/>
      <w:r>
        <w:rPr>
          <w:rFonts w:hint="eastAsia" w:ascii="黑体" w:eastAsia="黑体"/>
          <w:bCs/>
          <w:color w:val="auto"/>
          <w:sz w:val="36"/>
          <w:szCs w:val="36"/>
          <w:highlight w:val="none"/>
          <w:lang w:eastAsia="zh-CN"/>
        </w:rPr>
        <w:t>文本</w:t>
      </w:r>
    </w:p>
    <w:p>
      <w:pPr>
        <w:spacing w:line="360" w:lineRule="auto"/>
        <w:ind w:firstLine="480"/>
        <w:rPr>
          <w:rFonts w:ascii="宋体" w:hAnsi="宋体"/>
          <w:bCs/>
          <w:color w:val="auto"/>
          <w:sz w:val="24"/>
          <w:highlight w:val="none"/>
        </w:rPr>
      </w:pPr>
      <w:bookmarkStart w:id="140" w:name="_Toc16938559"/>
      <w:bookmarkStart w:id="141" w:name="_Toc20823315"/>
      <w:bookmarkStart w:id="142" w:name="_Toc513029243"/>
      <w:r>
        <w:rPr>
          <w:rFonts w:hint="eastAsia" w:ascii="宋体" w:hAnsi="宋体"/>
          <w:bCs/>
          <w:color w:val="auto"/>
          <w:sz w:val="24"/>
          <w:highlight w:val="none"/>
        </w:rPr>
        <w:t>以下为中标后签定本项目合同的通用条款，中标人不得提出实质性的修改。</w:t>
      </w:r>
    </w:p>
    <w:bookmarkEnd w:id="140"/>
    <w:bookmarkEnd w:id="141"/>
    <w:bookmarkEnd w:id="142"/>
    <w:p>
      <w:pPr>
        <w:spacing w:line="440" w:lineRule="exact"/>
        <w:rPr>
          <w:rFonts w:ascii="宋体" w:hAnsi="宋体"/>
          <w:bCs/>
          <w:color w:val="auto"/>
          <w:sz w:val="24"/>
          <w:szCs w:val="24"/>
          <w:highlight w:val="none"/>
          <w:u w:val="single"/>
        </w:rPr>
      </w:pPr>
      <w:bookmarkStart w:id="143" w:name="_Hlt16619369"/>
      <w:bookmarkEnd w:id="143"/>
      <w:bookmarkStart w:id="144" w:name="_Hlt16619350"/>
      <w:bookmarkStart w:id="145" w:name="_Toc20823346"/>
      <w:bookmarkStart w:id="146" w:name="_Toc120614244"/>
      <w:bookmarkStart w:id="147" w:name="_Toc16938590"/>
      <w:r>
        <w:rPr>
          <w:rFonts w:hint="eastAsia" w:ascii="宋体" w:hAnsi="宋体"/>
          <w:bCs/>
          <w:color w:val="auto"/>
          <w:sz w:val="24"/>
          <w:szCs w:val="24"/>
          <w:highlight w:val="none"/>
        </w:rPr>
        <w:t>需方（招标人）：</w:t>
      </w:r>
      <w:r>
        <w:rPr>
          <w:rFonts w:ascii="宋体" w:hAnsi="宋体"/>
          <w:bCs/>
          <w:color w:val="auto"/>
          <w:sz w:val="24"/>
          <w:szCs w:val="24"/>
          <w:highlight w:val="none"/>
          <w:u w:val="single"/>
        </w:rPr>
        <w:t xml:space="preserve">                         </w:t>
      </w:r>
    </w:p>
    <w:p>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住所：</w:t>
      </w:r>
      <w:r>
        <w:rPr>
          <w:rFonts w:hint="eastAsia" w:ascii="宋体" w:hAnsi="宋体"/>
          <w:bCs/>
          <w:color w:val="auto"/>
          <w:sz w:val="24"/>
          <w:szCs w:val="24"/>
          <w:highlight w:val="none"/>
          <w:u w:val="single"/>
        </w:rPr>
        <w:t xml:space="preserve">                                  </w:t>
      </w:r>
    </w:p>
    <w:p>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供方（中标方）：</w:t>
      </w:r>
      <w:r>
        <w:rPr>
          <w:rFonts w:ascii="宋体" w:hAnsi="宋体"/>
          <w:bCs/>
          <w:color w:val="auto"/>
          <w:sz w:val="24"/>
          <w:szCs w:val="24"/>
          <w:highlight w:val="none"/>
          <w:u w:val="single"/>
        </w:rPr>
        <w:t xml:space="preserve">                         </w:t>
      </w:r>
    </w:p>
    <w:p>
      <w:pPr>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住所：</w:t>
      </w:r>
      <w:r>
        <w:rPr>
          <w:rFonts w:hint="eastAsia"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采购项目编号：</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采购内容：</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数量：</w:t>
      </w:r>
      <w:r>
        <w:rPr>
          <w:rFonts w:hint="eastAsia"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中标总金额：（大写）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；（小写）</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质量要求及验收标准：</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lang w:val="en-US" w:eastAsia="zh-CN"/>
        </w:rPr>
        <w:t>养护服务</w:t>
      </w:r>
      <w:r>
        <w:rPr>
          <w:rFonts w:hint="eastAsia" w:ascii="宋体" w:hAnsi="宋体"/>
          <w:bCs/>
          <w:color w:val="auto"/>
          <w:sz w:val="24"/>
          <w:szCs w:val="24"/>
          <w:highlight w:val="none"/>
        </w:rPr>
        <w:t>期：</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lang w:val="en-US" w:eastAsia="zh-CN"/>
        </w:rPr>
        <w:t>服务</w:t>
      </w:r>
      <w:r>
        <w:rPr>
          <w:rFonts w:hint="eastAsia" w:ascii="宋体" w:hAnsi="宋体"/>
          <w:bCs/>
          <w:color w:val="auto"/>
          <w:sz w:val="24"/>
          <w:szCs w:val="24"/>
          <w:highlight w:val="none"/>
        </w:rPr>
        <w:t>地点和方式：</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货款支付步骤和办法：</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售后服务：</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违约责任：</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color w:val="auto"/>
          <w:sz w:val="24"/>
          <w:szCs w:val="24"/>
          <w:highlight w:val="none"/>
        </w:rPr>
        <w:t>解决争议的方式：</w:t>
      </w:r>
      <w:r>
        <w:rPr>
          <w:rFonts w:ascii="宋体" w:hAnsi="宋体"/>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其它事项：</w:t>
      </w:r>
      <w:r>
        <w:rPr>
          <w:rFonts w:ascii="宋体" w:hAnsi="宋体"/>
          <w:bCs/>
          <w:color w:val="auto"/>
          <w:sz w:val="24"/>
          <w:szCs w:val="24"/>
          <w:highlight w:val="none"/>
          <w:u w:val="single"/>
        </w:rPr>
        <w:t xml:space="preserve">                                                             </w:t>
      </w:r>
    </w:p>
    <w:p>
      <w:pPr>
        <w:numPr>
          <w:ilvl w:val="0"/>
          <w:numId w:val="8"/>
        </w:numPr>
        <w:tabs>
          <w:tab w:val="left" w:pos="210"/>
          <w:tab w:val="left" w:pos="840"/>
          <w:tab w:val="left" w:pos="1260"/>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合同不可分割部分：</w:t>
      </w:r>
    </w:p>
    <w:p>
      <w:pPr>
        <w:tabs>
          <w:tab w:val="left" w:pos="210"/>
          <w:tab w:val="left" w:pos="420"/>
          <w:tab w:val="left" w:pos="1155"/>
        </w:tabs>
        <w:spacing w:line="440" w:lineRule="exact"/>
        <w:ind w:firstLine="480" w:firstLineChars="200"/>
        <w:rPr>
          <w:rFonts w:ascii="宋体"/>
          <w:bCs/>
          <w:color w:val="auto"/>
          <w:sz w:val="24"/>
          <w:szCs w:val="24"/>
          <w:highlight w:val="none"/>
        </w:rPr>
      </w:pPr>
      <w:r>
        <w:rPr>
          <w:rFonts w:hint="eastAsia" w:ascii="宋体" w:hAnsi="宋体"/>
          <w:bCs/>
          <w:color w:val="auto"/>
          <w:sz w:val="24"/>
          <w:szCs w:val="24"/>
          <w:highlight w:val="none"/>
          <w:lang w:val="en-US" w:eastAsia="zh-CN"/>
        </w:rPr>
        <w:t>招标</w:t>
      </w:r>
      <w:r>
        <w:rPr>
          <w:rFonts w:hint="eastAsia" w:ascii="宋体" w:hAnsi="宋体"/>
          <w:bCs/>
          <w:color w:val="auto"/>
          <w:sz w:val="24"/>
          <w:szCs w:val="24"/>
          <w:highlight w:val="none"/>
          <w:lang w:eastAsia="zh-CN"/>
        </w:rPr>
        <w:t>文件</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投标</w:t>
      </w:r>
      <w:r>
        <w:rPr>
          <w:rFonts w:hint="eastAsia" w:ascii="宋体" w:hAnsi="宋体"/>
          <w:bCs/>
          <w:color w:val="auto"/>
          <w:sz w:val="24"/>
          <w:szCs w:val="24"/>
          <w:highlight w:val="none"/>
          <w:lang w:eastAsia="zh-CN"/>
        </w:rPr>
        <w:t>文件</w:t>
      </w:r>
      <w:r>
        <w:rPr>
          <w:rFonts w:hint="eastAsia" w:ascii="宋体" w:hAnsi="宋体"/>
          <w:bCs/>
          <w:color w:val="auto"/>
          <w:sz w:val="24"/>
          <w:szCs w:val="24"/>
          <w:highlight w:val="none"/>
        </w:rPr>
        <w:t>、合同条款及中标通知书，供方在投标、评标过程中所作其它有关承诺、声明、书面澄清等均为合同不可分割的部分，与主合同具有同等法律效力。</w:t>
      </w:r>
    </w:p>
    <w:p>
      <w:pPr>
        <w:numPr>
          <w:ilvl w:val="0"/>
          <w:numId w:val="8"/>
        </w:numPr>
        <w:tabs>
          <w:tab w:val="left" w:pos="210"/>
          <w:tab w:val="left" w:pos="840"/>
          <w:tab w:val="left" w:pos="1155"/>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合同备案：</w:t>
      </w:r>
    </w:p>
    <w:p>
      <w:pPr>
        <w:tabs>
          <w:tab w:val="left" w:pos="210"/>
          <w:tab w:val="left" w:pos="735"/>
          <w:tab w:val="left" w:pos="1155"/>
        </w:tabs>
        <w:spacing w:line="44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合同一式</w:t>
      </w:r>
      <w:r>
        <w:rPr>
          <w:rFonts w:hint="eastAsia" w:ascii="宋体" w:hAnsi="宋体" w:eastAsia="宋体"/>
          <w:bCs/>
          <w:color w:val="auto"/>
          <w:sz w:val="24"/>
          <w:szCs w:val="24"/>
          <w:highlight w:val="none"/>
          <w:lang w:val="en-US" w:eastAsia="zh-CN"/>
        </w:rPr>
        <w:t>伍</w:t>
      </w:r>
      <w:r>
        <w:rPr>
          <w:rFonts w:hint="eastAsia" w:ascii="宋体" w:hAnsi="宋体"/>
          <w:bCs/>
          <w:color w:val="auto"/>
          <w:sz w:val="24"/>
          <w:szCs w:val="24"/>
          <w:highlight w:val="none"/>
        </w:rPr>
        <w:t>份，供需双方各执两份，</w:t>
      </w:r>
      <w:r>
        <w:rPr>
          <w:rFonts w:hint="eastAsia" w:ascii="宋体" w:hAnsi="宋体"/>
          <w:bCs/>
          <w:color w:val="auto"/>
          <w:sz w:val="24"/>
          <w:szCs w:val="24"/>
          <w:highlight w:val="none"/>
          <w:lang w:val="en-US" w:eastAsia="zh-CN"/>
        </w:rPr>
        <w:t>江苏博智工程咨询有限公司</w:t>
      </w:r>
      <w:r>
        <w:rPr>
          <w:rFonts w:hint="eastAsia" w:ascii="宋体" w:hAnsi="宋体"/>
          <w:bCs/>
          <w:color w:val="auto"/>
          <w:sz w:val="24"/>
          <w:szCs w:val="24"/>
          <w:highlight w:val="none"/>
        </w:rPr>
        <w:t>一份。</w:t>
      </w:r>
    </w:p>
    <w:p>
      <w:pPr>
        <w:numPr>
          <w:ilvl w:val="0"/>
          <w:numId w:val="8"/>
        </w:numPr>
        <w:tabs>
          <w:tab w:val="left" w:pos="210"/>
          <w:tab w:val="left" w:pos="840"/>
          <w:tab w:val="left" w:pos="1155"/>
          <w:tab w:val="clear" w:pos="450"/>
        </w:tabs>
        <w:spacing w:line="440" w:lineRule="exact"/>
        <w:ind w:left="0" w:firstLine="523" w:firstLineChars="218"/>
        <w:rPr>
          <w:rFonts w:ascii="宋体"/>
          <w:bCs/>
          <w:color w:val="auto"/>
          <w:sz w:val="24"/>
          <w:szCs w:val="24"/>
          <w:highlight w:val="none"/>
        </w:rPr>
      </w:pPr>
      <w:r>
        <w:rPr>
          <w:rFonts w:hint="eastAsia" w:ascii="宋体" w:hAnsi="宋体"/>
          <w:bCs/>
          <w:color w:val="auto"/>
          <w:sz w:val="24"/>
          <w:szCs w:val="24"/>
          <w:highlight w:val="none"/>
        </w:rPr>
        <w:t>合同生效：</w:t>
      </w:r>
    </w:p>
    <w:p>
      <w:pPr>
        <w:tabs>
          <w:tab w:val="left" w:pos="210"/>
          <w:tab w:val="left" w:pos="840"/>
          <w:tab w:val="left" w:pos="1155"/>
        </w:tabs>
        <w:spacing w:line="440" w:lineRule="exact"/>
        <w:ind w:firstLine="480" w:firstLineChars="200"/>
        <w:rPr>
          <w:rFonts w:ascii="宋体"/>
          <w:bCs/>
          <w:color w:val="auto"/>
          <w:sz w:val="24"/>
          <w:szCs w:val="24"/>
          <w:highlight w:val="none"/>
        </w:rPr>
      </w:pPr>
      <w:r>
        <w:rPr>
          <w:rFonts w:hint="eastAsia" w:ascii="宋体" w:hAnsi="宋体"/>
          <w:bCs/>
          <w:color w:val="auto"/>
          <w:sz w:val="24"/>
          <w:szCs w:val="24"/>
          <w:highlight w:val="none"/>
        </w:rPr>
        <w:t>本合同由供需双方签字、盖章，并经代理机构见证后生效。</w:t>
      </w:r>
    </w:p>
    <w:p>
      <w:pPr>
        <w:tabs>
          <w:tab w:val="left" w:pos="210"/>
          <w:tab w:val="left" w:pos="840"/>
          <w:tab w:val="left" w:pos="1155"/>
        </w:tabs>
        <w:spacing w:line="440" w:lineRule="exact"/>
        <w:ind w:left="420" w:leftChars="200" w:firstLine="420" w:firstLineChars="175"/>
        <w:rPr>
          <w:rFonts w:ascii="宋体"/>
          <w:bCs/>
          <w:color w:val="auto"/>
          <w:sz w:val="24"/>
          <w:szCs w:val="24"/>
          <w:highlight w:val="none"/>
        </w:rPr>
      </w:pPr>
    </w:p>
    <w:p>
      <w:pPr>
        <w:tabs>
          <w:tab w:val="left" w:pos="210"/>
          <w:tab w:val="left" w:pos="840"/>
          <w:tab w:val="left" w:pos="1155"/>
        </w:tabs>
        <w:spacing w:line="440" w:lineRule="exact"/>
        <w:ind w:left="420" w:leftChars="200" w:firstLine="420" w:firstLineChars="175"/>
        <w:rPr>
          <w:rFonts w:ascii="宋体"/>
          <w:bCs/>
          <w:color w:val="auto"/>
          <w:sz w:val="24"/>
          <w:szCs w:val="24"/>
          <w:highlight w:val="none"/>
        </w:rPr>
      </w:pP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需方（招标人）：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（盖章）</w:t>
      </w:r>
      <w:r>
        <w:rPr>
          <w:rFonts w:ascii="宋体" w:hAnsi="宋体"/>
          <w:bCs/>
          <w:color w:val="auto"/>
          <w:sz w:val="24"/>
          <w:szCs w:val="24"/>
          <w:highlight w:val="none"/>
        </w:rPr>
        <w:t xml:space="preserve">   </w:t>
      </w:r>
      <w:r>
        <w:rPr>
          <w:rFonts w:hint="eastAsia" w:ascii="宋体" w:hAnsi="宋体"/>
          <w:bCs/>
          <w:color w:val="auto"/>
          <w:sz w:val="24"/>
          <w:szCs w:val="24"/>
          <w:highlight w:val="none"/>
        </w:rPr>
        <w:t>供方（中标方）：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（盖章）</w:t>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法定（授权）代表人：</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法定（授权）代表人：</w:t>
      </w:r>
      <w:r>
        <w:rPr>
          <w:rFonts w:ascii="宋体" w:hAnsi="宋体"/>
          <w:bCs/>
          <w:color w:val="auto"/>
          <w:sz w:val="24"/>
          <w:szCs w:val="24"/>
          <w:highlight w:val="none"/>
          <w:u w:val="single"/>
        </w:rPr>
        <w:t xml:space="preserve">                   </w:t>
      </w:r>
    </w:p>
    <w:p>
      <w:pPr>
        <w:spacing w:line="440" w:lineRule="exact"/>
        <w:ind w:firstLine="1440" w:firstLineChars="600"/>
        <w:rPr>
          <w:rFonts w:ascii="宋体"/>
          <w:bCs/>
          <w:color w:val="auto"/>
          <w:sz w:val="24"/>
          <w:szCs w:val="24"/>
          <w:highlight w:val="none"/>
          <w:u w:val="single"/>
        </w:rPr>
      </w:pP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日</w:t>
      </w:r>
      <w:r>
        <w:rPr>
          <w:rFonts w:ascii="宋体" w:hAnsi="宋体"/>
          <w:bCs/>
          <w:color w:val="auto"/>
          <w:sz w:val="24"/>
          <w:szCs w:val="24"/>
          <w:highlight w:val="non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日</w:t>
      </w:r>
    </w:p>
    <w:p>
      <w:pPr>
        <w:spacing w:line="440" w:lineRule="exact"/>
        <w:ind w:firstLine="480" w:firstLineChars="200"/>
        <w:rPr>
          <w:rFonts w:ascii="宋体"/>
          <w:bCs/>
          <w:color w:val="auto"/>
          <w:sz w:val="24"/>
          <w:szCs w:val="24"/>
          <w:highlight w:val="none"/>
          <w:u w:val="single"/>
        </w:rPr>
      </w:pPr>
      <w:r>
        <w:rPr>
          <w:rFonts w:ascii="宋体" w:hAnsi="宋体"/>
          <w:bCs/>
          <w:color w:val="auto"/>
          <w:sz w:val="24"/>
          <w:szCs w:val="24"/>
          <w:highlight w:val="none"/>
        </w:rPr>
        <w:t xml:space="preserve">                               </w:t>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见证方：</w:t>
      </w:r>
      <w:r>
        <w:rPr>
          <w:rFonts w:hint="eastAsia" w:ascii="宋体" w:hAnsi="宋体"/>
          <w:bCs/>
          <w:color w:val="auto"/>
          <w:sz w:val="24"/>
          <w:szCs w:val="24"/>
          <w:highlight w:val="none"/>
          <w:lang w:val="en-US" w:eastAsia="zh-CN"/>
        </w:rPr>
        <w:t>江苏博智</w:t>
      </w:r>
      <w:r>
        <w:rPr>
          <w:rFonts w:hint="eastAsia" w:ascii="宋体" w:hAnsi="宋体"/>
          <w:bCs/>
          <w:color w:val="auto"/>
          <w:sz w:val="24"/>
          <w:szCs w:val="24"/>
          <w:highlight w:val="none"/>
          <w:lang w:eastAsia="zh-CN"/>
        </w:rPr>
        <w:t>工程咨询有限公司</w:t>
      </w:r>
      <w:r>
        <w:rPr>
          <w:rFonts w:hint="eastAsia" w:ascii="宋体" w:hAnsi="宋体"/>
          <w:bCs/>
          <w:color w:val="auto"/>
          <w:sz w:val="24"/>
          <w:szCs w:val="24"/>
          <w:highlight w:val="none"/>
        </w:rPr>
        <w:t>（盖章）        供方户名：</w:t>
      </w:r>
      <w:r>
        <w:rPr>
          <w:rFonts w:hint="eastAsia" w:ascii="宋体" w:hAnsi="宋体"/>
          <w:bCs/>
          <w:color w:val="auto"/>
          <w:sz w:val="24"/>
          <w:szCs w:val="24"/>
          <w:highlight w:val="none"/>
          <w:u w:val="single"/>
        </w:rPr>
        <w:t xml:space="preserve">                             </w:t>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见证人：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供方开户银行：</w:t>
      </w:r>
      <w:r>
        <w:rPr>
          <w:rFonts w:hint="eastAsia" w:ascii="宋体" w:hAnsi="宋体"/>
          <w:bCs/>
          <w:color w:val="auto"/>
          <w:sz w:val="24"/>
          <w:szCs w:val="24"/>
          <w:highlight w:val="none"/>
          <w:u w:val="single"/>
        </w:rPr>
        <w:t xml:space="preserve">                         </w:t>
      </w:r>
    </w:p>
    <w:p>
      <w:pPr>
        <w:spacing w:line="44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月</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日   供方帐号：</w:t>
      </w:r>
      <w:r>
        <w:rPr>
          <w:rFonts w:hint="eastAsia" w:ascii="宋体" w:hAnsi="宋体"/>
          <w:bCs/>
          <w:color w:val="auto"/>
          <w:sz w:val="24"/>
          <w:szCs w:val="24"/>
          <w:highlight w:val="none"/>
          <w:u w:val="single"/>
        </w:rPr>
        <w:t xml:space="preserve">                             </w:t>
      </w:r>
    </w:p>
    <w:p>
      <w:pPr>
        <w:spacing w:line="440" w:lineRule="exact"/>
        <w:rPr>
          <w:rFonts w:ascii="宋体"/>
          <w:bCs/>
          <w:color w:val="auto"/>
          <w:sz w:val="24"/>
          <w:szCs w:val="24"/>
          <w:highlight w:val="none"/>
        </w:rPr>
      </w:pPr>
    </w:p>
    <w:p>
      <w:pPr>
        <w:jc w:val="left"/>
        <w:rPr>
          <w:rFonts w:ascii="宋体"/>
          <w:bCs/>
          <w:color w:val="auto"/>
          <w:sz w:val="24"/>
          <w:szCs w:val="24"/>
          <w:highlight w:val="none"/>
        </w:rPr>
      </w:pPr>
    </w:p>
    <w:p>
      <w:pPr>
        <w:jc w:val="left"/>
        <w:rPr>
          <w:rFonts w:ascii="宋体"/>
          <w:bCs/>
          <w:color w:val="auto"/>
          <w:sz w:val="24"/>
          <w:szCs w:val="24"/>
          <w:highlight w:val="none"/>
        </w:rPr>
      </w:pPr>
      <w:r>
        <w:rPr>
          <w:rFonts w:hint="eastAsia" w:ascii="宋体" w:hAnsi="宋体"/>
          <w:bCs/>
          <w:color w:val="auto"/>
          <w:sz w:val="24"/>
          <w:szCs w:val="24"/>
          <w:highlight w:val="none"/>
        </w:rPr>
        <w:t>★</w:t>
      </w:r>
      <w:r>
        <w:rPr>
          <w:rFonts w:ascii="宋体"/>
          <w:bCs/>
          <w:color w:val="auto"/>
          <w:sz w:val="24"/>
          <w:szCs w:val="24"/>
          <w:highlight w:val="none"/>
        </w:rPr>
        <w:t>.</w:t>
      </w:r>
      <w:r>
        <w:rPr>
          <w:rFonts w:hint="eastAsia" w:ascii="宋体" w:hAnsi="宋体"/>
          <w:b/>
          <w:bCs/>
          <w:color w:val="auto"/>
          <w:sz w:val="24"/>
          <w:szCs w:val="24"/>
          <w:highlight w:val="none"/>
        </w:rPr>
        <w:t>备注：</w:t>
      </w:r>
      <w:r>
        <w:rPr>
          <w:rFonts w:hint="eastAsia" w:ascii="宋体" w:hAnsi="宋体"/>
          <w:bCs/>
          <w:color w:val="auto"/>
          <w:sz w:val="24"/>
          <w:szCs w:val="24"/>
          <w:highlight w:val="none"/>
        </w:rPr>
        <w:t>供需双方必须以本格式文本，按照合同条款拟订合同。</w:t>
      </w:r>
    </w:p>
    <w:p>
      <w:pPr>
        <w:spacing w:line="360" w:lineRule="auto"/>
        <w:jc w:val="center"/>
        <w:rPr>
          <w:rFonts w:ascii="黑体" w:hAnsi="Times New Roman" w:eastAsia="黑体" w:cs="Times New Roman"/>
          <w:b/>
          <w:color w:val="auto"/>
          <w:sz w:val="32"/>
          <w:szCs w:val="32"/>
          <w:highlight w:val="none"/>
        </w:rPr>
      </w:pPr>
      <w:bookmarkStart w:id="148" w:name="五．合同条款"/>
      <w:bookmarkEnd w:id="148"/>
      <w:r>
        <w:rPr>
          <w:rFonts w:hint="eastAsia" w:ascii="黑体" w:eastAsia="黑体"/>
          <w:bCs/>
          <w:color w:val="auto"/>
          <w:sz w:val="28"/>
          <w:szCs w:val="28"/>
          <w:highlight w:val="none"/>
        </w:rPr>
        <w:br w:type="page"/>
      </w:r>
      <w:r>
        <w:rPr>
          <w:rFonts w:hint="eastAsia" w:ascii="黑体" w:hAnsi="Times New Roman" w:eastAsia="黑体" w:cs="Times New Roman"/>
          <w:b/>
          <w:color w:val="auto"/>
          <w:sz w:val="32"/>
          <w:szCs w:val="32"/>
          <w:highlight w:val="none"/>
        </w:rPr>
        <w:t>合同条款</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发包人：</w:t>
      </w:r>
      <w:r>
        <w:rPr>
          <w:rFonts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ascii="宋体" w:hAnsi="宋体" w:eastAsia="宋体" w:cs="宋体"/>
          <w:b/>
          <w:bCs/>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(以下简称“甲方”)</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承包人：</w:t>
      </w:r>
      <w:r>
        <w:rPr>
          <w:rFonts w:ascii="宋体" w:hAnsi="宋体" w:eastAsia="宋体" w:cs="宋体"/>
          <w:color w:val="auto"/>
          <w:sz w:val="24"/>
          <w:szCs w:val="24"/>
          <w:highlight w:val="none"/>
          <w:u w:val="single"/>
        </w:rPr>
        <w:t xml:space="preserve">   </w:t>
      </w:r>
      <w:r>
        <w:rPr>
          <w:rFonts w:ascii="宋体" w:hAnsi="宋体" w:eastAsia="宋体" w:cs="宋体"/>
          <w:b/>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(以下简称“乙方”)</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rPr>
        <w:t>民法典</w:t>
      </w:r>
      <w:r>
        <w:rPr>
          <w:rFonts w:ascii="宋体" w:hAnsi="宋体" w:eastAsia="宋体" w:cs="宋体"/>
          <w:color w:val="auto"/>
          <w:sz w:val="24"/>
          <w:szCs w:val="24"/>
          <w:highlight w:val="none"/>
        </w:rPr>
        <w:t>》及其他有关法律、行政法规，遵循平等、自愿、公平和诚实信用的原则，在双方承诺招标文件全部内容(含招标补充文件)和被认定的响应文件(及补充说明)全部内容的基础上，协商一致，订立本合同。</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一、项目概况</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项目名称：</w:t>
      </w:r>
      <w:r>
        <w:rPr>
          <w:rFonts w:ascii="宋体" w:hAnsi="宋体" w:eastAsia="宋体" w:cs="宋体"/>
          <w:b/>
          <w:bCs/>
          <w:color w:val="auto"/>
          <w:sz w:val="24"/>
          <w:szCs w:val="24"/>
          <w:highlight w:val="none"/>
          <w:u w:val="single"/>
        </w:rPr>
        <w:t xml:space="preserve">                  </w:t>
      </w:r>
    </w:p>
    <w:p>
      <w:pPr>
        <w:spacing w:line="360" w:lineRule="auto"/>
        <w:ind w:left="-141" w:leftChars="-67" w:right="-624" w:rightChars="-297"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服务</w:t>
      </w:r>
      <w:r>
        <w:rPr>
          <w:rFonts w:ascii="宋体" w:hAnsi="宋体" w:eastAsia="宋体" w:cs="宋体"/>
          <w:color w:val="auto"/>
          <w:sz w:val="24"/>
          <w:szCs w:val="24"/>
          <w:highlight w:val="none"/>
        </w:rPr>
        <w:t>内容：</w:t>
      </w:r>
      <w:r>
        <w:rPr>
          <w:rFonts w:ascii="宋体" w:hAnsi="宋体" w:eastAsia="宋体" w:cs="宋体"/>
          <w:b/>
          <w:bCs/>
          <w:color w:val="auto"/>
          <w:sz w:val="24"/>
          <w:szCs w:val="24"/>
          <w:highlight w:val="none"/>
          <w:u w:val="single"/>
        </w:rPr>
        <w:t xml:space="preserve">                  </w:t>
      </w:r>
    </w:p>
    <w:p>
      <w:pPr>
        <w:spacing w:line="360" w:lineRule="auto"/>
        <w:ind w:left="-141" w:leftChars="-67" w:right="-624" w:rightChars="-297"/>
        <w:rPr>
          <w:rFonts w:ascii="宋体" w:hAnsi="宋体" w:eastAsia="宋体" w:cs="宋体"/>
          <w:color w:val="auto"/>
          <w:sz w:val="24"/>
          <w:szCs w:val="24"/>
          <w:highlight w:val="none"/>
          <w:u w:val="single"/>
        </w:rPr>
      </w:pPr>
      <w:r>
        <w:rPr>
          <w:rFonts w:ascii="宋体" w:hAnsi="宋体" w:eastAsia="宋体" w:cs="宋体"/>
          <w:color w:val="auto"/>
          <w:sz w:val="24"/>
          <w:szCs w:val="24"/>
          <w:highlight w:val="none"/>
        </w:rPr>
        <w:t>二、承包范围：</w:t>
      </w:r>
      <w:r>
        <w:rPr>
          <w:rFonts w:ascii="宋体" w:hAnsi="宋体" w:eastAsia="宋体" w:cs="宋体"/>
          <w:color w:val="auto"/>
          <w:sz w:val="24"/>
          <w:szCs w:val="24"/>
          <w:highlight w:val="none"/>
          <w:u w:val="single"/>
        </w:rPr>
        <w:t xml:space="preserve">  </w:t>
      </w:r>
      <w:r>
        <w:rPr>
          <w:rFonts w:ascii="宋体" w:hAnsi="宋体" w:eastAsia="宋体" w:cs="宋体"/>
          <w:b/>
          <w:bCs/>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三、承包期</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日起至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个月，养护总历时天数：</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天；</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四、承包方式</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项目由乙方以包工、包料、包质量、包安全、包文明养护的方式实施总承包，乙方应对全部养护项目负责，中标以后不得分包、转包。如—经发现上述行为，甲方单方有权立即终止综合养护项目承包合同，由此产生一切法律责任和经济损失均由乙方承担。</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五、养护质量标准</w:t>
      </w:r>
    </w:p>
    <w:p>
      <w:pPr>
        <w:spacing w:line="360" w:lineRule="auto"/>
        <w:ind w:left="-141" w:leftChars="-67" w:right="-624" w:rightChars="-297"/>
        <w:rPr>
          <w:rFonts w:ascii="宋体" w:hAnsi="宋体" w:eastAsia="宋体" w:cs="宋体"/>
          <w:color w:val="auto"/>
          <w:sz w:val="24"/>
          <w:szCs w:val="24"/>
          <w:highlight w:val="none"/>
          <w:u w:val="single"/>
        </w:rPr>
      </w:pPr>
      <w:r>
        <w:rPr>
          <w:rFonts w:ascii="宋体" w:hAnsi="宋体" w:eastAsia="宋体" w:cs="宋体"/>
          <w:color w:val="auto"/>
          <w:sz w:val="24"/>
          <w:szCs w:val="24"/>
          <w:highlight w:val="none"/>
        </w:rPr>
        <w:t xml:space="preserve">    本项目养护质量标准：</w:t>
      </w:r>
      <w:r>
        <w:rPr>
          <w:rFonts w:ascii="宋体" w:hAnsi="宋体" w:eastAsia="宋体" w:cs="宋体"/>
          <w:color w:val="auto"/>
          <w:sz w:val="24"/>
          <w:szCs w:val="24"/>
          <w:highlight w:val="none"/>
          <w:u w:val="single"/>
        </w:rPr>
        <w:t xml:space="preserve">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六、合同价款</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合同总价</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 xml:space="preserve">(大写)   </w:t>
      </w:r>
      <w:r>
        <w:rPr>
          <w:rFonts w:ascii="宋体" w:hAnsi="宋体" w:eastAsia="宋体" w:cs="宋体"/>
          <w:b/>
          <w:b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/年</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(人民币)</w:t>
      </w:r>
    </w:p>
    <w:p>
      <w:pPr>
        <w:spacing w:line="360" w:lineRule="auto"/>
        <w:ind w:left="-141" w:leftChars="-67" w:right="-624" w:rightChars="-297" w:firstLine="1680" w:firstLineChars="700"/>
        <w:rPr>
          <w:rFonts w:ascii="宋体" w:hAnsi="宋体" w:eastAsia="宋体" w:cs="Times New Roman"/>
          <w:color w:val="auto"/>
          <w:sz w:val="24"/>
          <w:szCs w:val="24"/>
          <w:highlight w:val="none"/>
          <w:u w:val="single"/>
        </w:rPr>
      </w:pPr>
      <w:r>
        <w:rPr>
          <w:rFonts w:ascii="宋体" w:hAnsi="宋体" w:eastAsia="宋体" w:cs="宋体"/>
          <w:color w:val="auto"/>
          <w:sz w:val="24"/>
          <w:szCs w:val="24"/>
          <w:highlight w:val="none"/>
          <w:u w:val="single"/>
        </w:rPr>
        <w:t xml:space="preserve">￥    </w:t>
      </w:r>
      <w:r>
        <w:rPr>
          <w:rFonts w:ascii="宋体" w:hAnsi="宋体" w:eastAsia="宋体" w:cs="宋体"/>
          <w:b/>
          <w:bCs/>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ascii="宋体" w:hAnsi="宋体" w:eastAsia="宋体" w:cs="宋体"/>
          <w:b/>
          <w:bCs/>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年</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七、组成合同的文件</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(一)组成本合同的文件包括</w:t>
      </w:r>
    </w:p>
    <w:p>
      <w:pPr>
        <w:numPr>
          <w:ilvl w:val="0"/>
          <w:numId w:val="0"/>
        </w:numPr>
        <w:spacing w:line="360" w:lineRule="auto"/>
        <w:ind w:right="-624" w:rightChars="-297" w:firstLine="240" w:firstLineChars="1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本合同协议书</w:t>
      </w:r>
    </w:p>
    <w:p>
      <w:pPr>
        <w:numPr>
          <w:ilvl w:val="0"/>
          <w:numId w:val="0"/>
        </w:numPr>
        <w:spacing w:line="360" w:lineRule="auto"/>
        <w:ind w:leftChars="-67" w:right="-624" w:rightChars="-297"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中标通知书</w:t>
      </w:r>
    </w:p>
    <w:p>
      <w:pPr>
        <w:numPr>
          <w:ilvl w:val="0"/>
          <w:numId w:val="0"/>
        </w:numPr>
        <w:spacing w:line="360" w:lineRule="auto"/>
        <w:ind w:leftChars="-67" w:right="-624" w:rightChars="-297"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ascii="宋体" w:hAnsi="宋体" w:eastAsia="宋体" w:cs="宋体"/>
          <w:color w:val="auto"/>
          <w:sz w:val="24"/>
          <w:szCs w:val="24"/>
          <w:highlight w:val="none"/>
        </w:rPr>
        <w:t>投标书及附件</w:t>
      </w:r>
    </w:p>
    <w:p>
      <w:pPr>
        <w:numPr>
          <w:ilvl w:val="0"/>
          <w:numId w:val="0"/>
        </w:numPr>
        <w:spacing w:line="360" w:lineRule="auto"/>
        <w:ind w:leftChars="-67" w:right="-624" w:rightChars="-297"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本合同协议条款</w:t>
      </w:r>
    </w:p>
    <w:p>
      <w:pPr>
        <w:numPr>
          <w:ilvl w:val="0"/>
          <w:numId w:val="0"/>
        </w:numPr>
        <w:spacing w:line="360" w:lineRule="auto"/>
        <w:ind w:leftChars="-67" w:right="-624" w:rightChars="-297"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ascii="宋体" w:hAnsi="宋体" w:eastAsia="宋体" w:cs="宋体"/>
          <w:color w:val="auto"/>
          <w:sz w:val="24"/>
          <w:szCs w:val="24"/>
          <w:highlight w:val="none"/>
        </w:rPr>
        <w:t>标准、规范及有关技术文件</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(二)双方有关养护工作的洽商、变更等书面协议或文件视为本合同的组成部分。</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八、承包人向发包人承诺按照合同约定开展养护。</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九、发包人承诺按照合同约定的期限和方式支付合同价款及其他应当支付的款项。 </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十、本合同双方约定</w:t>
      </w:r>
      <w:r>
        <w:rPr>
          <w:rFonts w:ascii="宋体" w:hAnsi="宋体" w:eastAsia="宋体" w:cs="宋体"/>
          <w:b/>
          <w:bCs/>
          <w:color w:val="auto"/>
          <w:sz w:val="24"/>
          <w:szCs w:val="24"/>
          <w:highlight w:val="none"/>
          <w:u w:val="single"/>
        </w:rPr>
        <w:t>甲乙双方签字盖章</w:t>
      </w:r>
      <w:r>
        <w:rPr>
          <w:rFonts w:ascii="宋体" w:hAnsi="宋体" w:eastAsia="宋体" w:cs="宋体"/>
          <w:b/>
          <w:bCs/>
          <w:color w:val="auto"/>
          <w:sz w:val="24"/>
          <w:szCs w:val="24"/>
          <w:highlight w:val="none"/>
        </w:rPr>
        <w:t>后生效，至养护期满、验收合格、价款结清自行终止。</w:t>
      </w: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发包人(盖章)：                          承包人(盖章)：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法定代表人：                            法定代表人：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派驻现场代表：                          派驻现场代表：       </w:t>
      </w: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电   话：</w:t>
      </w:r>
      <w:r>
        <w:rPr>
          <w:rFonts w:hint="eastAsia"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                     电   话：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地   址：</w:t>
      </w:r>
      <w:r>
        <w:rPr>
          <w:rFonts w:hint="eastAsia"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                地   址：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年  月   日                              年   月   日</w:t>
      </w: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rPr>
          <w:rFonts w:ascii="宋体" w:hAnsi="宋体" w:eastAsia="宋体" w:cs="宋体"/>
          <w:color w:val="auto"/>
          <w:sz w:val="24"/>
          <w:szCs w:val="24"/>
          <w:highlight w:val="none"/>
        </w:rPr>
      </w:pPr>
    </w:p>
    <w:p>
      <w:pPr>
        <w:spacing w:line="360" w:lineRule="auto"/>
        <w:ind w:left="-141" w:leftChars="-67" w:right="-624" w:rightChars="-297"/>
        <w:jc w:val="center"/>
        <w:rPr>
          <w:rFonts w:ascii="宋体" w:hAnsi="宋体" w:eastAsia="宋体" w:cs="宋体"/>
          <w:b/>
          <w:bCs/>
          <w:color w:val="auto"/>
          <w:sz w:val="24"/>
          <w:szCs w:val="24"/>
          <w:highlight w:val="none"/>
        </w:rPr>
      </w:pPr>
      <w:r>
        <w:rPr>
          <w:rFonts w:ascii="宋体" w:hAnsi="宋体" w:eastAsia="宋体" w:cs="宋体"/>
          <w:color w:val="auto"/>
          <w:sz w:val="24"/>
          <w:szCs w:val="24"/>
          <w:highlight w:val="none"/>
        </w:rPr>
        <w:br w:type="page"/>
      </w:r>
      <w:r>
        <w:rPr>
          <w:rFonts w:ascii="宋体" w:hAnsi="宋体" w:eastAsia="宋体" w:cs="宋体"/>
          <w:b/>
          <w:bCs/>
          <w:color w:val="auto"/>
          <w:sz w:val="24"/>
          <w:szCs w:val="24"/>
          <w:highlight w:val="none"/>
        </w:rPr>
        <w:t>协议条款</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1 甲方代表</w:t>
      </w:r>
    </w:p>
    <w:p>
      <w:pPr>
        <w:spacing w:line="360" w:lineRule="auto"/>
        <w:ind w:left="-141" w:leftChars="-67" w:right="-624" w:rightChars="-297" w:firstLine="480" w:firstLineChars="200"/>
        <w:rPr>
          <w:rFonts w:ascii="宋体" w:hAnsi="宋体" w:eastAsia="宋体" w:cs="宋体"/>
          <w:b/>
          <w:bCs/>
          <w:color w:val="auto"/>
          <w:sz w:val="24"/>
          <w:szCs w:val="24"/>
          <w:highlight w:val="none"/>
        </w:rPr>
      </w:pPr>
      <w:r>
        <w:rPr>
          <w:rFonts w:ascii="宋体" w:hAnsi="宋体" w:eastAsia="宋体" w:cs="宋体"/>
          <w:color w:val="auto"/>
          <w:sz w:val="24"/>
          <w:szCs w:val="24"/>
          <w:highlight w:val="none"/>
        </w:rPr>
        <w:t xml:space="preserve">甲方指派 </w:t>
      </w:r>
      <w:r>
        <w:rPr>
          <w:rFonts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ascii="宋体" w:hAnsi="宋体" w:eastAsia="宋体" w:cs="宋体"/>
          <w:b/>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为派驻现场代表，全面负责日常养护作业的管理工作。</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2 乙方代表</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2.1 乙方指派</w:t>
      </w:r>
      <w:r>
        <w:rPr>
          <w:rFonts w:ascii="宋体" w:hAnsi="宋体" w:eastAsia="宋体" w:cs="宋体"/>
          <w:color w:val="auto"/>
          <w:sz w:val="24"/>
          <w:szCs w:val="24"/>
          <w:highlight w:val="none"/>
          <w:u w:val="single"/>
        </w:rPr>
        <w:t xml:space="preserve">  </w:t>
      </w:r>
      <w:r>
        <w:rPr>
          <w:rFonts w:ascii="宋体" w:hAnsi="宋体" w:eastAsia="宋体" w:cs="宋体"/>
          <w:b/>
          <w:bCs/>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ascii="宋体" w:hAnsi="宋体" w:eastAsia="宋体" w:cs="宋体"/>
          <w:b/>
          <w:bCs/>
          <w:color w:val="auto"/>
          <w:sz w:val="24"/>
          <w:szCs w:val="24"/>
          <w:highlight w:val="none"/>
          <w:u w:val="single"/>
        </w:rPr>
        <w:t xml:space="preserve"> </w:t>
      </w:r>
      <w:r>
        <w:rPr>
          <w:rFonts w:ascii="宋体" w:hAnsi="宋体" w:eastAsia="宋体" w:cs="宋体"/>
          <w:color w:val="auto"/>
          <w:sz w:val="24"/>
          <w:szCs w:val="24"/>
          <w:highlight w:val="none"/>
        </w:rPr>
        <w:t>为绿地养护项目负责人，具体负责本养护</w:t>
      </w:r>
      <w:r>
        <w:rPr>
          <w:rFonts w:hint="eastAsia" w:ascii="宋体" w:hAnsi="宋体" w:eastAsia="宋体" w:cs="宋体"/>
          <w:color w:val="auto"/>
          <w:sz w:val="24"/>
          <w:szCs w:val="24"/>
          <w:highlight w:val="none"/>
        </w:rPr>
        <w:t>项目</w:t>
      </w:r>
      <w:r>
        <w:rPr>
          <w:rFonts w:ascii="宋体" w:hAnsi="宋体" w:eastAsia="宋体" w:cs="宋体"/>
          <w:color w:val="auto"/>
          <w:sz w:val="24"/>
          <w:szCs w:val="24"/>
          <w:highlight w:val="none"/>
        </w:rPr>
        <w:t>作业工作，并用书面材料报甲方备案。</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2.2 项目负责人等有关人员必须按时参加由甲方召开的养护例会和各种必须参加的会议。</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2.3 乙方如需更换项目负责人，应至少提前5天以书面形式通知甲方，并征得甲方同意。后任继续行使合同文件约定的前任的职权，履行前任的义务。</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2.4 甲方可以与乙方协商，建议更换其认为不称职的项目负责人。</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3 甲方工作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3.1 负责向乙方提供中标绿地的有关资料。</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3.2 组织召开养护作业技术交底会。</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3.3 负责乙方的日常养护作业的管理和检查(定期检查和抽查相结合)。每月对乙方作出下月度养护工作计划布置和对当月度养护工作进行考核 (全年考核12次) ，考核按有关养护工作考核标准结合甲方养护工作计划要求综合进行，合同期满综合考核考评。</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3.4  甲方每月对乙方的养护质量进行检查考核，按本合同有关条款，支付相应养护经费。</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3.5 如遇突发事件，协调乙方在作业过程中与其他管理部门的关系。</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3.6甲方对于乙方因台风、雪灾等突发事件，需及时处理的绿化抢险工作发生的费用，按照《无锡市城市绿化抢险救灾资金使用管理办法》给予适当资金补贴。</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3.7 若乙方违反《招标绿地养护管理检查考核实施意见》、《关于实施市级招标绿地养护管理末位淘汰制的意见》及招标文件等有关规定</w:t>
      </w:r>
      <w:r>
        <w:rPr>
          <w:rFonts w:hint="eastAsia" w:ascii="宋体" w:hAnsi="宋体" w:eastAsia="宋体" w:cs="宋体"/>
          <w:color w:val="auto"/>
          <w:sz w:val="24"/>
          <w:szCs w:val="24"/>
          <w:highlight w:val="none"/>
          <w:lang w:eastAsia="zh-CN"/>
        </w:rPr>
        <w:t>的，甲方可直接</w:t>
      </w:r>
      <w:r>
        <w:rPr>
          <w:rFonts w:ascii="宋体" w:hAnsi="宋体" w:eastAsia="宋体" w:cs="宋体"/>
          <w:color w:val="auto"/>
          <w:sz w:val="24"/>
          <w:szCs w:val="24"/>
          <w:highlight w:val="none"/>
        </w:rPr>
        <w:t>解除承包合同。</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3.8 在合同期内，因国家需要征用、改造、临时占用绿地等需要调整乙方管护绿化地段和管护等级时，乙方应服从大局，退出原养护地段，或相应减少养护范围及经费。由此造成的经济损失，甲方不负赔偿责任。</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3.9甲方对乙方因养护管理不当，受到上级领导点名批评、媒体曝光、群众举报的，视情况扣除一定的养护经费，其中上级领导点名批评每次扣</w:t>
      </w:r>
      <w:r>
        <w:rPr>
          <w:rFonts w:hint="eastAsia" w:ascii="宋体" w:hAnsi="宋体" w:eastAsia="宋体" w:cs="宋体"/>
          <w:color w:val="auto"/>
          <w:sz w:val="24"/>
          <w:szCs w:val="24"/>
          <w:highlight w:val="none"/>
        </w:rPr>
        <w:t>1000</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2000</w:t>
      </w:r>
      <w:r>
        <w:rPr>
          <w:rFonts w:ascii="宋体" w:hAnsi="宋体" w:eastAsia="宋体" w:cs="宋体"/>
          <w:color w:val="auto"/>
          <w:sz w:val="24"/>
          <w:szCs w:val="24"/>
          <w:highlight w:val="none"/>
        </w:rPr>
        <w:t>元，情节严重的扣</w:t>
      </w:r>
      <w:r>
        <w:rPr>
          <w:rFonts w:hint="eastAsia" w:ascii="宋体" w:hAnsi="宋体" w:eastAsia="宋体" w:cs="宋体"/>
          <w:color w:val="auto"/>
          <w:sz w:val="24"/>
          <w:szCs w:val="24"/>
          <w:highlight w:val="none"/>
        </w:rPr>
        <w:t>3000</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5000</w:t>
      </w:r>
      <w:r>
        <w:rPr>
          <w:rFonts w:ascii="宋体" w:hAnsi="宋体" w:eastAsia="宋体" w:cs="宋体"/>
          <w:color w:val="auto"/>
          <w:sz w:val="24"/>
          <w:szCs w:val="24"/>
          <w:highlight w:val="none"/>
        </w:rPr>
        <w:t>元；媒体曝光后经查实的，每次扣3000-5000元；群众举报经查实的，每次扣1000-3000元。</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bCs/>
          <w:color w:val="auto"/>
          <w:sz w:val="24"/>
          <w:szCs w:val="24"/>
          <w:highlight w:val="none"/>
        </w:rPr>
        <w:t>3.10</w:t>
      </w:r>
      <w:r>
        <w:rPr>
          <w:rFonts w:ascii="宋体" w:hAnsi="宋体" w:eastAsia="宋体" w:cs="宋体"/>
          <w:color w:val="auto"/>
          <w:sz w:val="24"/>
          <w:szCs w:val="24"/>
          <w:highlight w:val="none"/>
        </w:rPr>
        <w:t>甲方应作的其他工作，双方在补充条款内约定。</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4 乙方工作</w:t>
      </w:r>
    </w:p>
    <w:p>
      <w:pPr>
        <w:numPr>
          <w:ilvl w:val="0"/>
          <w:numId w:val="0"/>
        </w:numPr>
        <w:spacing w:line="360" w:lineRule="auto"/>
        <w:ind w:right="-624" w:rightChars="-297"/>
        <w:rPr>
          <w:rFonts w:ascii="宋体" w:hAnsi="宋体" w:eastAsia="宋体" w:cs="宋体"/>
          <w:b/>
          <w:bCs/>
          <w:color w:val="auto"/>
          <w:sz w:val="24"/>
          <w:szCs w:val="24"/>
          <w:highlight w:val="none"/>
          <w:u w:val="single"/>
        </w:rPr>
      </w:pPr>
      <w:r>
        <w:rPr>
          <w:rFonts w:ascii="宋体" w:hAnsi="宋体" w:eastAsia="宋体" w:cs="宋体"/>
          <w:color w:val="auto"/>
          <w:sz w:val="24"/>
          <w:szCs w:val="24"/>
          <w:highlight w:val="none"/>
        </w:rPr>
        <w:t>根据甲方养护工作计划，乙方承担日常养护内容有：</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包括但不限于苗木的修剪、剥芽、病虫害防治、施肥、灌溉、树穴切边、除草、树叶、垃圾、杂物的清理，草坪的修剪和施肥、废弃物处理）等。</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4.2 做好详细的养护台帐，建立养护档案，并按时做好月、季、年度上报养护工作完成情况表，按甲方要求及时上报。</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4.3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 巡视中如发现绿化设施损坏，应在24小时内处理完毕，如发现人为造成的绿化设施损坏，必须在24小时内书面报告甲方和所在地监察部门。</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(2) 巡视中发现绿地内有违章搭建及其它破坏绿化等现象，必须当场予以制止，立即报告所在地的监察部门，协助做好有关工作，并将处理结果报告甲方。</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 汛期和台风季节要加强人员值班，随时处理各种情况。   </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4.5 超出常规养护范围的工作，需提前报甲方审批。中标地段原设施量清单中未纳入的周围相邻绿化(单位绿化或责任管护单位不明的绿化)，在该</w:t>
      </w:r>
      <w:r>
        <w:rPr>
          <w:rFonts w:hint="eastAsia" w:ascii="宋体" w:hAnsi="宋体" w:eastAsia="宋体" w:cs="宋体"/>
          <w:color w:val="auto"/>
          <w:sz w:val="24"/>
          <w:szCs w:val="24"/>
          <w:highlight w:val="none"/>
        </w:rPr>
        <w:t>项目</w:t>
      </w:r>
      <w:r>
        <w:rPr>
          <w:rFonts w:ascii="宋体" w:hAnsi="宋体" w:eastAsia="宋体" w:cs="宋体"/>
          <w:color w:val="auto"/>
          <w:sz w:val="24"/>
          <w:szCs w:val="24"/>
          <w:highlight w:val="none"/>
        </w:rPr>
        <w:t>交接完毕后5日内书面提交具体位置及设施量清单，甲方核验纳入经费核算范围，未及时提出的，视作无偿义务养护。</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4.6 及时解决来信、来访，并根据甲方要求及时处理。</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4.7 按时按量完成甲方交办的110等其它突击性任务和指令性任务。</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4.8 加强法定节假日的正常养护维修工作。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4.9 乙方应服从所在地的绿化行政主管部门的行业管理。</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4.10 如有移伐树木、占用绿地等事项，乙方应及时无偿负责移伐树木、占用绿地后的绿地修复工作。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4.11 在承包期内承包人应服从发包人的安排，做好以下的服务工作：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(1)因不可抗力造成的抢修保养工作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(2)防汛抗灾期间的汛前、汛期、汛后的各项工作；</w:t>
      </w:r>
    </w:p>
    <w:p>
      <w:pPr>
        <w:spacing w:line="360" w:lineRule="auto"/>
        <w:ind w:left="-141" w:leftChars="-67" w:right="-624" w:rightChars="-297"/>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3)养护相关的社会职能工作；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(4)上级布置的突击性活动而发生的各项工作；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(5)确保国定节假日的养护维修工作。</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4.12 乙方无偿承担防范、杀灭四害等有关规定的义务，所使用的肥料、农药等符合环保标准。</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4.13 乙方应作的其他工作，双方在补充条款内约定。</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养护组织设计</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5 进度计划</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5.1 乙方在本合同生效后15天内上报全年养护作业维修计划和该</w:t>
      </w:r>
      <w:r>
        <w:rPr>
          <w:rFonts w:hint="eastAsia" w:ascii="宋体" w:hAnsi="宋体" w:eastAsia="宋体" w:cs="宋体"/>
          <w:color w:val="auto"/>
          <w:sz w:val="24"/>
          <w:szCs w:val="24"/>
          <w:highlight w:val="none"/>
        </w:rPr>
        <w:t>项目</w:t>
      </w:r>
      <w:r>
        <w:rPr>
          <w:rFonts w:ascii="宋体" w:hAnsi="宋体" w:eastAsia="宋体" w:cs="宋体"/>
          <w:color w:val="auto"/>
          <w:sz w:val="24"/>
          <w:szCs w:val="24"/>
          <w:highlight w:val="none"/>
        </w:rPr>
        <w:t>养护管理人员网络组成表，并结合季节特点和绿化状况，制定季度、月度养护计划、材料计划送交甲方。甲方在7天内予以确认。</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6 质量标准</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养护维修质量标准参照</w:t>
      </w:r>
      <w:r>
        <w:rPr>
          <w:rFonts w:hint="eastAsia" w:ascii="宋体" w:hAnsi="宋体" w:eastAsia="宋体" w:cs="宋体"/>
          <w:color w:val="auto"/>
          <w:sz w:val="24"/>
          <w:szCs w:val="24"/>
          <w:highlight w:val="none"/>
        </w:rPr>
        <w:t>本“项目要求”</w:t>
      </w:r>
      <w:r>
        <w:rPr>
          <w:rFonts w:ascii="宋体" w:hAnsi="宋体" w:eastAsia="宋体" w:cs="宋体"/>
          <w:color w:val="auto"/>
          <w:sz w:val="24"/>
          <w:szCs w:val="24"/>
          <w:highlight w:val="none"/>
        </w:rPr>
        <w:t>约定的质量标准。因乙方原因养护质量达不到约定的质量标准，乙方承担违约责任。</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7 检查和考核</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7.1 乙方应认真按照补充条款中约定的质量标准进行养护，随时接受甲方的检查和考核，为检查和考核提供便利条件。</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7.2 对于养护质量不符合要求的，甲方先通知整改，乙方在两天内不整改的或整改效果不符合要求的，由甲方派其他队伍整改，费用在乙方养护费中扣除。</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7.3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ascii="宋体" w:hAnsi="宋体" w:eastAsia="宋体" w:cs="宋体"/>
          <w:color w:val="auto"/>
          <w:sz w:val="24"/>
          <w:szCs w:val="24"/>
          <w:highlight w:val="none"/>
        </w:rPr>
        <w:t xml:space="preserve">7.4 </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采取</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明查暗访，定期不定期检查和考核相结合。</w:t>
      </w:r>
    </w:p>
    <w:p>
      <w:pPr>
        <w:keepNext w:val="0"/>
        <w:keepLines w:val="0"/>
        <w:pageBreakBefore w:val="0"/>
        <w:widowControl w:val="0"/>
        <w:shd w:val="clear" w:color="auto" w:fill="auto"/>
        <w:tabs>
          <w:tab w:val="left" w:pos="1094"/>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1</w:t>
      </w: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由</w:t>
      </w: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甲方</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组织实施，对各养护单位质量实行百分制考核，考核得分与全年养护费挂钩。</w:t>
      </w:r>
    </w:p>
    <w:p>
      <w:pPr>
        <w:keepNext w:val="0"/>
        <w:keepLines w:val="0"/>
        <w:pageBreakBefore w:val="0"/>
        <w:widowControl w:val="0"/>
        <w:shd w:val="clear" w:color="auto" w:fill="auto"/>
        <w:tabs>
          <w:tab w:val="left" w:pos="1094"/>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2</w:t>
      </w: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为确保考评结果的客观真实，考核以《评分表》为标准采取明查暗访、看现场等，每月进行一次检查考核评分。</w:t>
      </w:r>
    </w:p>
    <w:p>
      <w:pPr>
        <w:keepNext w:val="0"/>
        <w:keepLines w:val="0"/>
        <w:pageBreakBefore w:val="0"/>
        <w:widowControl w:val="0"/>
        <w:shd w:val="clear" w:color="auto" w:fill="auto"/>
        <w:tabs>
          <w:tab w:val="left" w:pos="1107"/>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3</w:t>
      </w: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日常巡查，由绿化监管员负责，发现问题要求养护单位整改,如三次整改不到位扣一分，计入考评分内，每年累计最多扣满10分。</w:t>
      </w:r>
    </w:p>
    <w:p>
      <w:pPr>
        <w:keepNext w:val="0"/>
        <w:keepLines w:val="0"/>
        <w:pageBreakBefore w:val="0"/>
        <w:widowControl w:val="0"/>
        <w:shd w:val="clear" w:color="auto" w:fill="auto"/>
        <w:tabs>
          <w:tab w:val="left" w:pos="1100"/>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4</w:t>
      </w: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-84</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分扣减10%,75分-79分扣减15%,70分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-74</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分扣减20%,65分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-69</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分扣减25%,60分-64分扣减30%,60分以下（不含60分）停发当季养护费，待下季整改到位后再视情况支付。</w:t>
      </w:r>
    </w:p>
    <w:p>
      <w:pPr>
        <w:spacing w:line="360" w:lineRule="auto"/>
        <w:ind w:left="-141" w:leftChars="-67" w:right="-624" w:rightChars="-297" w:firstLine="480" w:firstLineChars="20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7.5</w:t>
      </w:r>
      <w:r>
        <w:rPr>
          <w:rFonts w:ascii="宋体" w:hAnsi="宋体" w:eastAsia="宋体" w:cs="宋体"/>
          <w:color w:val="auto"/>
          <w:sz w:val="24"/>
          <w:szCs w:val="24"/>
          <w:highlight w:val="none"/>
        </w:rPr>
        <w:t>乙方退出管护，绿地交接按《无锡市重点绿化工程竣工移交养护交接办法》与下一接管单位办理绿地交接手续，绿地需在规定时间内按要求整改到位后交付，逾期整改不到位由接管方进行整改，所需费用由原养护单位支付。</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8 安全文明养护与检查</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8.1 乙方应做好养护作业管理区内的安全管理工作，并随时接受甲方或行业安全检查人员依法实施的监督检查，采取必要的安全防护措施，消除事故隐患。</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8.2 由于乙方管理不善，引起政府职能部门处罚和停工整改，或安全措施不力造成事故的，由乙方承担一切责任和损失。</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9 安全防护</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养护作业人员应做好各项安全防范措施，必须着装上岗操作，养护期间按规定做好安全标识。</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10 事故处理</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发生重大伤亡及其他安全事故，乙方应按有关规定立即上报有关部门并通知甲方代表，同时按政府有关部门要求处理由事故责任方承担发生的费用。</w:t>
      </w:r>
    </w:p>
    <w:p>
      <w:pPr>
        <w:spacing w:line="360" w:lineRule="auto"/>
        <w:ind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11合同价款</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11.1 合同价款由甲、乙双方依据中标通知书中的中标价格在协议书内约定。</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11.2 乙方应向甲方提交月度养护作业统计报表。甲方可以按报表内容进行计量与考核，考核结果作为合同价款支付的依据。</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11.3 如实际养护作业量与设施量清单有出入时，乙方按照补充条款约定的时间上报计划变更单，经甲方审核并报有关部门审定后方可在下月养护计划中调整。</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11.4 对乙方超出养护范围和因乙方原因造成返工的工作量，甲方不予计量。</w:t>
      </w:r>
    </w:p>
    <w:p>
      <w:pPr>
        <w:spacing w:line="360" w:lineRule="auto"/>
        <w:ind w:left="-141" w:leftChars="-67" w:right="-624" w:rightChars="-297" w:firstLine="616" w:firstLineChars="257"/>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 xml:space="preserve">1.5 </w:t>
      </w:r>
      <w:r>
        <w:rPr>
          <w:rFonts w:hint="eastAsia" w:ascii="宋体" w:hAnsi="宋体" w:eastAsia="宋体" w:cs="宋体"/>
          <w:color w:val="auto"/>
          <w:sz w:val="24"/>
          <w:szCs w:val="24"/>
          <w:highlight w:val="none"/>
        </w:rPr>
        <w:t>履约担保要求及形式：本项目无需须向甲方缴纳履约保证金。</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12支付方式</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合同签订后，支付合同金额的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预付款</w:t>
      </w:r>
      <w:r>
        <w:rPr>
          <w:rFonts w:hint="eastAsia" w:ascii="宋体" w:hAnsi="宋体" w:eastAsia="宋体" w:cs="宋体"/>
          <w:color w:val="auto"/>
          <w:sz w:val="24"/>
          <w:szCs w:val="24"/>
          <w:highlight w:val="none"/>
        </w:rPr>
        <w:t>，剩余养护管理费每3个月结束经采购人考核合格后向中标单位支付，</w:t>
      </w:r>
      <w:r>
        <w:rPr>
          <w:rFonts w:hint="eastAsia" w:ascii="宋体" w:hAnsi="宋体" w:eastAsia="宋体" w:cs="宋体"/>
          <w:color w:val="auto"/>
          <w:sz w:val="24"/>
          <w:szCs w:val="24"/>
          <w:highlight w:val="none"/>
          <w:lang w:val="en-US" w:eastAsia="zh-CN"/>
        </w:rPr>
        <w:t>预付款在前6个月等比例扣回</w:t>
      </w:r>
      <w:r>
        <w:rPr>
          <w:rFonts w:hint="eastAsia" w:ascii="宋体" w:hAnsi="宋体" w:eastAsia="宋体" w:cs="宋体"/>
          <w:color w:val="auto"/>
          <w:sz w:val="24"/>
          <w:szCs w:val="24"/>
          <w:highlight w:val="none"/>
        </w:rPr>
        <w:t>。</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13 违约</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13.1 甲方代表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13.2 乙方不能达到所承诺的养护质量和有关技术规范标准，乙方按协议条款支付违约金并赔偿因违约给甲方造成的损失。</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13.3 因一方违约使合同不能履行，另一方欲终止或解除全部合同，应提前10天通知违约方后，</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方</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可终止或解除合同，由违约方承担违约责任。</w:t>
      </w:r>
    </w:p>
    <w:p>
      <w:pPr>
        <w:spacing w:line="360" w:lineRule="auto"/>
        <w:ind w:left="-141" w:leftChars="-67" w:right="-624" w:rightChars="-297"/>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 14 争议</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14.1 甲乙双方因合同发生争议，可由甲乙双方协商、调解、或约定仲裁机构仲裁、或向有管辖权的人民法院起诉解决。</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14.2发生争议后，除出现以下情况的，双方都应继续履行合同，保持养护连续性：</w:t>
      </w:r>
    </w:p>
    <w:p>
      <w:pPr>
        <w:spacing w:line="360" w:lineRule="auto"/>
        <w:ind w:left="69" w:leftChars="33" w:right="-624" w:rightChars="-297" w:firstLine="240" w:firstLineChars="100"/>
        <w:rPr>
          <w:rFonts w:ascii="宋体" w:hAnsi="宋体" w:eastAsia="宋体" w:cs="宋体"/>
          <w:color w:val="auto"/>
          <w:sz w:val="24"/>
          <w:szCs w:val="24"/>
          <w:highlight w:val="none"/>
        </w:rPr>
      </w:pPr>
      <w:r>
        <w:rPr>
          <w:rFonts w:ascii="宋体" w:hAnsi="宋体" w:eastAsia="宋体" w:cs="宋体"/>
          <w:color w:val="auto"/>
          <w:sz w:val="24"/>
          <w:szCs w:val="24"/>
          <w:highlight w:val="none"/>
        </w:rPr>
        <w:t>(1) 合同确已无法履行；</w:t>
      </w:r>
    </w:p>
    <w:p>
      <w:pPr>
        <w:spacing w:line="360" w:lineRule="auto"/>
        <w:ind w:left="69" w:leftChars="33" w:right="-624" w:rightChars="-297" w:firstLine="240" w:firstLineChars="100"/>
        <w:rPr>
          <w:rFonts w:ascii="宋体" w:hAnsi="宋体" w:eastAsia="宋体" w:cs="宋体"/>
          <w:color w:val="auto"/>
          <w:sz w:val="24"/>
          <w:szCs w:val="24"/>
          <w:highlight w:val="none"/>
        </w:rPr>
      </w:pPr>
      <w:r>
        <w:rPr>
          <w:rFonts w:ascii="宋体" w:hAnsi="宋体" w:eastAsia="宋体" w:cs="宋体"/>
          <w:color w:val="auto"/>
          <w:sz w:val="24"/>
          <w:szCs w:val="24"/>
          <w:highlight w:val="none"/>
        </w:rPr>
        <w:t>(2) 双方协议停止养护作业；</w:t>
      </w:r>
    </w:p>
    <w:p>
      <w:pPr>
        <w:spacing w:line="360" w:lineRule="auto"/>
        <w:ind w:left="69" w:leftChars="33" w:right="-624" w:rightChars="-297" w:firstLine="240" w:firstLineChars="100"/>
        <w:rPr>
          <w:rFonts w:ascii="宋体" w:hAnsi="宋体" w:eastAsia="宋体" w:cs="宋体"/>
          <w:color w:val="auto"/>
          <w:sz w:val="24"/>
          <w:szCs w:val="24"/>
          <w:highlight w:val="none"/>
        </w:rPr>
      </w:pPr>
      <w:r>
        <w:rPr>
          <w:rFonts w:ascii="宋体" w:hAnsi="宋体" w:eastAsia="宋体" w:cs="宋体"/>
          <w:color w:val="auto"/>
          <w:sz w:val="24"/>
          <w:szCs w:val="24"/>
          <w:highlight w:val="none"/>
        </w:rPr>
        <w:t>(3) 仲裁机关要求停止养护作业；</w:t>
      </w:r>
    </w:p>
    <w:p>
      <w:pPr>
        <w:spacing w:line="360" w:lineRule="auto"/>
        <w:ind w:left="69" w:leftChars="33" w:right="-624" w:rightChars="-297" w:firstLine="240" w:firstLineChars="100"/>
        <w:rPr>
          <w:rFonts w:ascii="宋体" w:hAnsi="宋体" w:eastAsia="宋体" w:cs="宋体"/>
          <w:color w:val="auto"/>
          <w:sz w:val="24"/>
          <w:szCs w:val="24"/>
          <w:highlight w:val="none"/>
        </w:rPr>
      </w:pPr>
      <w:r>
        <w:rPr>
          <w:rFonts w:ascii="宋体" w:hAnsi="宋体" w:eastAsia="宋体" w:cs="宋体"/>
          <w:color w:val="auto"/>
          <w:sz w:val="24"/>
          <w:szCs w:val="24"/>
          <w:highlight w:val="none"/>
        </w:rPr>
        <w:t>(4) 法院要求停止养护作业。</w:t>
      </w:r>
    </w:p>
    <w:p>
      <w:pPr>
        <w:spacing w:line="360" w:lineRule="auto"/>
        <w:ind w:left="-141" w:leftChars="-67" w:right="-624" w:rightChars="-297"/>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ascii="宋体" w:hAnsi="宋体" w:eastAsia="宋体" w:cs="宋体"/>
          <w:b/>
          <w:bCs/>
          <w:color w:val="auto"/>
          <w:sz w:val="24"/>
          <w:szCs w:val="24"/>
          <w:highlight w:val="none"/>
        </w:rPr>
        <w:t>5合同终止</w:t>
      </w:r>
    </w:p>
    <w:p>
      <w:pPr>
        <w:spacing w:line="360" w:lineRule="auto"/>
        <w:ind w:left="-141" w:leftChars="-67" w:right="-624" w:rightChars="-297"/>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15.1 承包范围内的养护管理项目，乙方不得采取任何形式实施分包和转包，凡违反此规定的，甲方将立即取消乙方的承包资格，终止或解除养护承包合同，由此产生的一切法律责任和经济损失由乙方承担；</w:t>
      </w:r>
    </w:p>
    <w:p>
      <w:pPr>
        <w:spacing w:line="360" w:lineRule="auto"/>
        <w:ind w:left="-141" w:leftChars="-67" w:right="-624" w:rightChars="-297"/>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ascii="宋体" w:hAnsi="宋体" w:eastAsia="宋体" w:cs="宋体"/>
          <w:b/>
          <w:bCs/>
          <w:color w:val="auto"/>
          <w:sz w:val="24"/>
          <w:szCs w:val="24"/>
          <w:highlight w:val="none"/>
        </w:rPr>
        <w:t>6其他</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16.1 在本合同执行过程中如遇和国家政策、地方法规的有关规定不符时，按有关政策法规执行。</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16.2 如遇自然灾害和不可抗力造成损失的，经双方协商解决。</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16.3 本合同如有未尽事宜，双方可通过协商补充协议解决。</w:t>
      </w:r>
    </w:p>
    <w:p>
      <w:pPr>
        <w:spacing w:line="360" w:lineRule="auto"/>
        <w:ind w:left="-141" w:leftChars="-67" w:right="-624" w:rightChars="-297"/>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ascii="宋体" w:hAnsi="宋体" w:eastAsia="宋体" w:cs="宋体"/>
          <w:b/>
          <w:bCs/>
          <w:color w:val="auto"/>
          <w:sz w:val="24"/>
          <w:szCs w:val="24"/>
          <w:highlight w:val="none"/>
        </w:rPr>
        <w:t>7合同生效与终止</w:t>
      </w:r>
    </w:p>
    <w:p>
      <w:pPr>
        <w:spacing w:line="360" w:lineRule="auto"/>
        <w:ind w:left="-141" w:leftChars="-67" w:right="-624" w:rightChars="-297"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双方在合同协议书中约定合同生效方式。双方履行合同全部义务，合同价款支付完毕后，本合同即告终止。</w:t>
      </w:r>
    </w:p>
    <w:p>
      <w:pPr>
        <w:spacing w:line="360" w:lineRule="auto"/>
        <w:ind w:left="-141" w:leftChars="-67" w:right="-624" w:rightChars="-297" w:firstLine="480" w:firstLineChars="200"/>
        <w:rPr>
          <w:rFonts w:ascii="宋体" w:hAnsi="宋体" w:eastAsia="宋体" w:cs="宋体"/>
          <w:bCs/>
          <w:color w:val="auto"/>
          <w:sz w:val="24"/>
          <w:szCs w:val="24"/>
          <w:highlight w:val="none"/>
        </w:rPr>
      </w:pPr>
      <w:r>
        <w:rPr>
          <w:rFonts w:ascii="宋体" w:hAnsi="宋体" w:eastAsia="宋体" w:cs="宋体"/>
          <w:color w:val="auto"/>
          <w:sz w:val="24"/>
          <w:szCs w:val="24"/>
          <w:highlight w:val="none"/>
        </w:rPr>
        <w:t>17.1</w:t>
      </w:r>
      <w:r>
        <w:rPr>
          <w:rFonts w:hint="eastAsia" w:ascii="宋体" w:hAnsi="宋体" w:eastAsia="宋体" w:cs="Times New Roman"/>
          <w:bCs/>
          <w:color w:val="auto"/>
          <w:sz w:val="24"/>
          <w:szCs w:val="24"/>
          <w:highlight w:val="none"/>
        </w:rPr>
        <w:t>合同一式五份，供需双方各执贰份，招标代理机构一份</w:t>
      </w:r>
      <w:r>
        <w:rPr>
          <w:rFonts w:ascii="宋体" w:hAnsi="宋体" w:eastAsia="宋体" w:cs="宋体"/>
          <w:bCs/>
          <w:color w:val="auto"/>
          <w:sz w:val="24"/>
          <w:szCs w:val="24"/>
          <w:highlight w:val="none"/>
        </w:rPr>
        <w:t>。</w:t>
      </w:r>
    </w:p>
    <w:p>
      <w:pPr>
        <w:spacing w:line="360" w:lineRule="auto"/>
        <w:ind w:firstLine="480" w:firstLineChars="200"/>
        <w:jc w:val="both"/>
        <w:outlineLvl w:val="0"/>
        <w:rPr>
          <w:rFonts w:ascii="宋体" w:hAnsi="宋体" w:cs="宋体"/>
          <w:color w:val="auto"/>
          <w:sz w:val="24"/>
          <w:highlight w:val="none"/>
        </w:rPr>
      </w:pPr>
      <w:r>
        <w:rPr>
          <w:rFonts w:ascii="宋体" w:hAnsi="宋体" w:eastAsia="宋体" w:cs="宋体"/>
          <w:color w:val="auto"/>
          <w:sz w:val="24"/>
          <w:szCs w:val="24"/>
          <w:highlight w:val="none"/>
        </w:rPr>
        <w:t>17.2本合同的解释权在</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w:t>
      </w: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pStyle w:val="21"/>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pStyle w:val="21"/>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pStyle w:val="21"/>
        <w:rPr>
          <w:rFonts w:hint="eastAsia"/>
          <w:color w:val="auto"/>
          <w:highlight w:val="none"/>
          <w:lang w:eastAsia="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r>
        <w:rPr>
          <w:rFonts w:hint="eastAsia" w:ascii="宋体" w:hAnsi="宋体" w:eastAsia="宋体" w:cs="宋体"/>
          <w:b/>
          <w:bCs/>
          <w:color w:val="auto"/>
          <w:spacing w:val="0"/>
          <w:w w:val="100"/>
          <w:kern w:val="0"/>
          <w:position w:val="0"/>
          <w:sz w:val="44"/>
          <w:szCs w:val="44"/>
          <w:highlight w:val="none"/>
          <w:shd w:val="clear" w:color="auto" w:fill="auto"/>
          <w:lang w:eastAsia="en-US" w:bidi="en-US"/>
        </w:rPr>
        <w:t>太湖街道外包绿化养护质量考核实施办法</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为进一步加强太湖街道城市绿化养护管理工作考核，规范绿化养护行为，切实提高绿化养护质量，确保街道绿化的完好和正常生长，提升整体品位和综合服务功能，根据《无锡市城市绿化管理条例》，结合我街道的实际情况，制定本实施意见。</w:t>
      </w:r>
    </w:p>
    <w:p>
      <w:pPr>
        <w:keepNext/>
        <w:keepLines/>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一、考核对象</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各绿化养护外包单位</w:t>
      </w:r>
    </w:p>
    <w:p>
      <w:pPr>
        <w:keepNext/>
        <w:keepLines/>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二、考核范围</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太湖街道管理范围的道路、河道岸坡、公共绿地、工业园区、小游园等绿</w:t>
      </w:r>
      <w:r>
        <w:rPr>
          <w:rFonts w:hint="eastAsia" w:ascii="宋体" w:hAnsi="宋体" w:eastAsia="宋体" w:cs="宋体"/>
          <w:color w:val="auto"/>
          <w:spacing w:val="0"/>
          <w:w w:val="100"/>
          <w:position w:val="0"/>
          <w:sz w:val="24"/>
          <w:szCs w:val="24"/>
          <w:highlight w:val="none"/>
          <w:u w:val="none"/>
          <w:shd w:val="clear" w:color="auto" w:fill="auto"/>
          <w:lang w:val="zh-CN" w:eastAsia="zh-CN" w:bidi="zh-CN"/>
        </w:rPr>
        <w:t>地。</w:t>
      </w:r>
    </w:p>
    <w:p>
      <w:pPr>
        <w:keepNext/>
        <w:keepLines/>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三、考核内容</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日常管理，设施完好情况，资料、台账管理等方面内容。</w:t>
      </w:r>
    </w:p>
    <w:p>
      <w:pPr>
        <w:keepNext w:val="0"/>
        <w:keepLines w:val="0"/>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四、考核办法</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采取</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每月度考核方式进行，考核在每月度未进行。</w:t>
      </w:r>
    </w:p>
    <w:p>
      <w:pPr>
        <w:keepNext/>
        <w:keepLines/>
        <w:pageBreakBefore w:val="0"/>
        <w:widowControl w:val="0"/>
        <w:shd w:val="clear" w:color="auto" w:fill="auto"/>
        <w:tabs>
          <w:tab w:val="left" w:pos="553"/>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五、考评细则（分值）</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修剪25分（乔木5分、灌木10分、草坪花木10分），施肥10分，病虫防治10分，抗旱防涝10分，除草15分，补植5分，绿化保洁15分，其他10分。</w:t>
      </w:r>
    </w:p>
    <w:p>
      <w:pPr>
        <w:keepNext/>
        <w:keepLines/>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2" w:firstLineChars="200"/>
        <w:jc w:val="both"/>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六、检查考核</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采取</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明查暗访，定期不定期检查和考核相结合。</w:t>
      </w:r>
    </w:p>
    <w:p>
      <w:pPr>
        <w:keepNext w:val="0"/>
        <w:keepLines w:val="0"/>
        <w:pageBreakBefore w:val="0"/>
        <w:widowControl w:val="0"/>
        <w:shd w:val="clear" w:color="auto" w:fill="auto"/>
        <w:tabs>
          <w:tab w:val="left" w:pos="1094"/>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1、由</w:t>
      </w: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甲方</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组织实施，对各养护单位质量实行百分制考核，考核得分与全年养护费挂钩。</w:t>
      </w:r>
    </w:p>
    <w:p>
      <w:pPr>
        <w:keepNext w:val="0"/>
        <w:keepLines w:val="0"/>
        <w:pageBreakBefore w:val="0"/>
        <w:widowControl w:val="0"/>
        <w:shd w:val="clear" w:color="auto" w:fill="auto"/>
        <w:tabs>
          <w:tab w:val="left" w:pos="1094"/>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2、为确保考评结果的客观真实，考核以《评分表》为标准采取明查暗访、看现场等，每月进行一次检查考核评分。</w:t>
      </w:r>
    </w:p>
    <w:p>
      <w:pPr>
        <w:keepNext w:val="0"/>
        <w:keepLines w:val="0"/>
        <w:pageBreakBefore w:val="0"/>
        <w:widowControl w:val="0"/>
        <w:shd w:val="clear" w:color="auto" w:fill="auto"/>
        <w:tabs>
          <w:tab w:val="left" w:pos="1107"/>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3、日常巡查，由绿化监管员负责，发现问题要求养护单位整改,如三次整改不到位扣一分，计入考评分内，每年累计最多扣满10分。</w:t>
      </w:r>
    </w:p>
    <w:p>
      <w:pPr>
        <w:keepNext w:val="0"/>
        <w:keepLines w:val="0"/>
        <w:pageBreakBefore w:val="0"/>
        <w:widowControl w:val="0"/>
        <w:shd w:val="clear" w:color="auto" w:fill="auto"/>
        <w:tabs>
          <w:tab w:val="left" w:pos="1100"/>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4、考评得分与日常巡查扣分直接与养护费挂钩。即90分以上按合同核定支付当季养护费，90分以下按实际扣减分值扣减当季养护费，85分-89分扣减5%,80分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-84</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分扣减10%,75分-79分扣减15%,70分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-74</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分扣减20%,65分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-69</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分扣减25%,60分-64分扣减30%,60分以下（不含60分）停发当季养护费，待下季整改到位后再视情况支付。</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50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CN" w:eastAsia="zh-CN" w:bidi="zh-CN"/>
        </w:rPr>
        <w:t>5、</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考核条款按街道制订的相关标准要求进行，如不按合同内各条款有关要求，或因人为因素出现重大责任事故或安全事故时，街道将</w:t>
      </w: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采取</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淘汰制，取消下一年的外包养护资格。</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50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附件1</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：绿化养护考核标准</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50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附件2：</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太湖街道绿化养护工作考核评分表</w:t>
      </w:r>
    </w:p>
    <w:p>
      <w:pPr>
        <w:keepNext w:val="0"/>
        <w:keepLines w:val="0"/>
        <w:pageBreakBefore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br w:type="page"/>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附件1：</w:t>
      </w: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r>
        <w:rPr>
          <w:rFonts w:hint="eastAsia" w:ascii="宋体" w:hAnsi="宋体" w:eastAsia="宋体" w:cs="宋体"/>
          <w:b/>
          <w:bCs/>
          <w:color w:val="auto"/>
          <w:spacing w:val="0"/>
          <w:w w:val="100"/>
          <w:kern w:val="0"/>
          <w:position w:val="0"/>
          <w:sz w:val="44"/>
          <w:szCs w:val="44"/>
          <w:highlight w:val="none"/>
          <w:shd w:val="clear" w:color="auto" w:fill="auto"/>
          <w:lang w:eastAsia="en-US" w:bidi="en-US"/>
        </w:rPr>
        <w:t>太湖街道城市绿化养护的质量标准和要求</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一、绿地养护质量标准</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按照《江苏省城市园林绿化植物养护技术规定》(试行)的要求，绿地养护应做到：</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每天进行绿地保洁，及时清除绿地内纸屑、烟蒂、果壳、垃圾堆放物等不洁物，保持绿地清洁。绿地中的乔木、灌木、花卉地被和草坪等植物，凡经栽植成活一年以上的其保存率应达到98%,植物生长健壮，无死树、无缺株；修剪合理、树型优美、叶茂花盛；花卉地被栽植等符合指标、无裸露地，草坪无空秃；病虫杂草控制良好。保持绿地设施完好无损，并有良好的景观面貌。</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2、行道树修剪、剥芽符合技术规程，长势良好。一条道路同一品种分枝点基本相同，无缺株、死株；树木倾斜度不超过10度；无断桩、坏桩、桩位绑扎规范化；基本无病虫害迹象，有防治措施。</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3、养护标段内在日常中发生绿地苗木抽稀，调整和改善土质等工作，是正常的养护内容。</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4、道路绿化隔离带植物叶面喷水除尘，根据实际情况进行作业。</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5、绿地附属栏杆的维护保养，保持完好、完整，每年油漆1次。</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6、日常保洁养护作业资料齐全，做到有计划、有记录、有统计，并且资料与实际养护情况相符。</w:t>
      </w:r>
    </w:p>
    <w:p>
      <w:pPr>
        <w:pStyle w:val="21"/>
        <w:ind w:firstLine="480" w:firstLineChars="200"/>
        <w:rPr>
          <w:rFonts w:hint="default"/>
          <w:color w:val="auto"/>
          <w:highlight w:val="none"/>
          <w:lang w:val="en-US" w:eastAsia="zh-CN"/>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7、冬季天堂草草坪应进行黑麦草交播保证冬季绿地景观效果。</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二、防汛防台风要求</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1、汛前准备：做好防汛准备工作，包括人员、物资，做好非汛期的区域内全部绿地排水的疏通工作。</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2、汛期抢险：安排人员加强值班，组织人员外出查询，雨后，必须及时组织人员进行排水工作。</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3、台风季节应由专人值班，并在出现灾害后及时(24小时内)处理完毕。</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三、文明安全养护要求</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1、应有安全员(需有上岗证书)并且施工人员进行安全教育和对施工设备和现场进行安全检查。</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2、绿化养护作业时，要充分利用和机械设备。绿化养护人员必须穿工作服，在夜间养护作业必须在作业区域内点红灯示意警戒标志。</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绿化养护作业时，应随时保持道路的清洁、畅通，并由专人负责监督，以确保文明安全养护。行道树修剪应尽量避开道路交通高峰时段，并按照规定做好现场安全维护隔离及指挥，修剪下的枝条应及时整理清运；打药水应提前告示居民，尽量避开出行高峰期。</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四、绿地养护等级标准</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太湖街道城市绿化养护目前执行的是二级养护标准</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乔木：</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1、生长正常，树冠基本完整，主侧枝分枝基本均匀，数量适宜，内膛通风透光；</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2、叶色基本正常，有少量黄叶(生长季节)、蕉叶、卷叶，有少量虫粪。</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3、枝干生长正常，无明显枯死枝，害虫害虽有生长，但能及时根除；</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4、缺株在4%以下(含4%)不得有连续3棵缺株、补植树木与原树木径级不超过35%。</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5、树空内无垃圾及高垦杂草、土壤不板结；</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草坪：</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1、生长良好，杂草率≤25%,覆盖率达90%以上；</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2、修剪高低符合要求，能及时处理堆料堆物；</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3、单块空秃面积不超过0.3㎡；</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花卉：</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1、全年换花4次；</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2、花卉生长正常，缺株、倒伏不超过3-5处，无枯枝残花(残花量≤15%)；</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3、花期基本整齐，覆盖面积达75%以上；</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绿篱及地被：</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1、生长茂盛，枝条虫害。</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2、修剪成型，完整无缺。</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3、无垃圾杂物。</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混合花镜：</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1、花镜养护设施量清单内品种数量及品种种植面积不变。</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2、现有花镜内林，宿根(球、块根)花卉比例与布局，位置不变；</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3、生长正常，无病虫害，无残花败叶，按自然花期开花。</w:t>
      </w:r>
    </w:p>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8"/>
          <w:szCs w:val="28"/>
          <w:highlight w:val="none"/>
          <w:shd w:val="clear" w:color="auto" w:fill="auto"/>
          <w:lang w:eastAsia="en-US" w:bidi="en-US"/>
        </w:rPr>
      </w:pPr>
      <w:r>
        <w:rPr>
          <w:rFonts w:hint="eastAsia" w:ascii="宋体" w:hAnsi="宋体" w:eastAsia="宋体" w:cs="宋体"/>
          <w:color w:val="auto"/>
          <w:spacing w:val="0"/>
          <w:w w:val="100"/>
          <w:kern w:val="0"/>
          <w:position w:val="0"/>
          <w:sz w:val="28"/>
          <w:szCs w:val="28"/>
          <w:highlight w:val="none"/>
          <w:shd w:val="clear" w:color="auto" w:fill="auto"/>
          <w:lang w:eastAsia="en-US" w:bidi="en-US"/>
        </w:rPr>
        <w:br w:type="page"/>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color w:val="auto"/>
          <w:spacing w:val="0"/>
          <w:w w:val="100"/>
          <w:kern w:val="0"/>
          <w:position w:val="0"/>
          <w:sz w:val="28"/>
          <w:szCs w:val="28"/>
          <w:highlight w:val="none"/>
          <w:shd w:val="clear" w:color="auto" w:fill="auto"/>
          <w:lang w:val="en-US" w:eastAsia="zh-CN" w:bidi="ar"/>
        </w:rPr>
      </w:pPr>
      <w:r>
        <w:rPr>
          <w:rFonts w:hint="eastAsia" w:ascii="宋体" w:hAnsi="宋体" w:eastAsia="宋体" w:cs="宋体"/>
          <w:color w:val="auto"/>
          <w:spacing w:val="0"/>
          <w:w w:val="100"/>
          <w:kern w:val="0"/>
          <w:position w:val="0"/>
          <w:sz w:val="28"/>
          <w:szCs w:val="28"/>
          <w:highlight w:val="none"/>
          <w:shd w:val="clear" w:color="auto" w:fill="auto"/>
          <w:lang w:val="en-US" w:eastAsia="zh-CN" w:bidi="ar"/>
        </w:rPr>
        <w:t>附件2：</w:t>
      </w: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r>
        <w:rPr>
          <w:rFonts w:hint="eastAsia" w:ascii="宋体" w:hAnsi="宋体" w:eastAsia="宋体" w:cs="宋体"/>
          <w:b/>
          <w:bCs/>
          <w:color w:val="auto"/>
          <w:spacing w:val="0"/>
          <w:w w:val="100"/>
          <w:kern w:val="0"/>
          <w:position w:val="0"/>
          <w:sz w:val="44"/>
          <w:szCs w:val="44"/>
          <w:highlight w:val="none"/>
          <w:shd w:val="clear" w:color="auto" w:fill="auto"/>
          <w:lang w:eastAsia="en-US" w:bidi="en-US"/>
        </w:rPr>
        <w:t>太湖街道绿化养护工作考核评分表</w:t>
      </w:r>
    </w:p>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单位：</w:t>
      </w:r>
      <w:r>
        <w:rPr>
          <w:rFonts w:hint="eastAsia" w:ascii="宋体" w:hAnsi="宋体" w:eastAsia="宋体" w:cs="宋体"/>
          <w:color w:val="auto"/>
          <w:spacing w:val="0"/>
          <w:w w:val="100"/>
          <w:kern w:val="0"/>
          <w:position w:val="0"/>
          <w:sz w:val="24"/>
          <w:szCs w:val="24"/>
          <w:highlight w:val="none"/>
          <w:shd w:val="clear" w:color="auto" w:fill="auto"/>
          <w:lang w:val="en-US" w:eastAsia="zh-CN" w:bidi="en-US"/>
        </w:rPr>
        <w:t xml:space="preserve">       </w:t>
      </w:r>
      <w:r>
        <w:rPr>
          <w:rFonts w:hint="eastAsia" w:ascii="宋体" w:hAnsi="宋体" w:eastAsia="宋体" w:cs="宋体"/>
          <w:color w:val="auto"/>
          <w:spacing w:val="0"/>
          <w:w w:val="100"/>
          <w:kern w:val="0"/>
          <w:position w:val="0"/>
          <w:sz w:val="24"/>
          <w:szCs w:val="24"/>
          <w:highlight w:val="none"/>
          <w:shd w:val="clear" w:color="auto" w:fill="auto"/>
          <w:lang w:eastAsia="en-US" w:bidi="en-US"/>
        </w:rPr>
        <w:t xml:space="preserve">        （第</w:t>
      </w:r>
      <w:r>
        <w:rPr>
          <w:rFonts w:hint="eastAsia" w:ascii="宋体" w:hAnsi="宋体" w:eastAsia="宋体" w:cs="宋体"/>
          <w:color w:val="auto"/>
          <w:spacing w:val="0"/>
          <w:w w:val="100"/>
          <w:kern w:val="0"/>
          <w:position w:val="0"/>
          <w:sz w:val="24"/>
          <w:szCs w:val="24"/>
          <w:highlight w:val="none"/>
          <w:shd w:val="clear" w:color="auto" w:fill="auto"/>
          <w:lang w:val="en-US" w:eastAsia="zh-CN" w:bidi="en-US"/>
        </w:rPr>
        <w:t xml:space="preserve">  </w:t>
      </w:r>
      <w:r>
        <w:rPr>
          <w:rFonts w:hint="eastAsia" w:ascii="宋体" w:hAnsi="宋体" w:eastAsia="宋体" w:cs="宋体"/>
          <w:color w:val="auto"/>
          <w:spacing w:val="0"/>
          <w:w w:val="100"/>
          <w:kern w:val="0"/>
          <w:position w:val="0"/>
          <w:sz w:val="24"/>
          <w:szCs w:val="24"/>
          <w:highlight w:val="none"/>
          <w:shd w:val="clear" w:color="auto" w:fill="auto"/>
          <w:lang w:eastAsia="en-US" w:bidi="en-US"/>
        </w:rPr>
        <w:t>月份）</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659"/>
        <w:gridCol w:w="2700"/>
        <w:gridCol w:w="901"/>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分类</w:t>
            </w:r>
          </w:p>
        </w:tc>
        <w:tc>
          <w:tcPr>
            <w:tcW w:w="659"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序号</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项目</w:t>
            </w:r>
          </w:p>
        </w:tc>
        <w:tc>
          <w:tcPr>
            <w:tcW w:w="90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分值</w:t>
            </w: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得分</w:t>
            </w: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修剪</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乔木</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2</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灌木</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val="en-US" w:eastAsia="zh-CN"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3</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花草等</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施肥</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4</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施肥</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防病</w:t>
            </w:r>
          </w:p>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治虫</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2700" w:type="dxa"/>
            <w:noWrap w:val="0"/>
            <w:vAlign w:val="center"/>
          </w:tcPr>
          <w:p>
            <w:pPr>
              <w:keepNext w:val="0"/>
              <w:keepLines w:val="0"/>
              <w:shd w:val="clear" w:color="auto" w:fill="auto"/>
              <w:bidi w:val="0"/>
              <w:spacing w:before="0" w:after="0" w:line="240" w:lineRule="auto"/>
              <w:ind w:left="0" w:right="0" w:firstLine="0"/>
              <w:jc w:val="both"/>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病虫害防治</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抗雨雪、防冻</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6</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花卉、苗木</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7</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树木、草地</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日常</w:t>
            </w:r>
          </w:p>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维护</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8</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除草</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val="en-US" w:eastAsia="zh-CN"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9</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补植</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zh-CN" w:bidi="en-US"/>
              </w:rPr>
            </w:pPr>
          </w:p>
        </w:tc>
        <w:tc>
          <w:tcPr>
            <w:tcW w:w="1421" w:type="dxa"/>
            <w:noWrap w:val="0"/>
            <w:vAlign w:val="center"/>
          </w:tcPr>
          <w:p>
            <w:pPr>
              <w:keepNext w:val="0"/>
              <w:keepLines w:val="0"/>
              <w:shd w:val="clear" w:color="auto" w:fill="auto"/>
              <w:tabs>
                <w:tab w:val="left" w:pos="285"/>
              </w:tabs>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zh-CN"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绿化保洁</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绿化保洁</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val="en-US" w:eastAsia="zh-CN" w:bidi="en-US"/>
              </w:rPr>
            </w:pPr>
          </w:p>
        </w:tc>
        <w:tc>
          <w:tcPr>
            <w:tcW w:w="1421" w:type="dxa"/>
            <w:noWrap w:val="0"/>
            <w:vAlign w:val="center"/>
          </w:tcPr>
          <w:p>
            <w:pPr>
              <w:keepNext w:val="0"/>
              <w:keepLines w:val="0"/>
              <w:shd w:val="clear" w:color="auto" w:fill="auto"/>
              <w:tabs>
                <w:tab w:val="left" w:pos="285"/>
              </w:tabs>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zh-CN"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其他</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11</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合同其他项目执行情况</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trPr>
        <w:tc>
          <w:tcPr>
            <w:tcW w:w="1420"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考核人员</w:t>
            </w:r>
          </w:p>
        </w:tc>
        <w:tc>
          <w:tcPr>
            <w:tcW w:w="4260" w:type="dxa"/>
            <w:gridSpan w:val="3"/>
            <w:noWrap w:val="0"/>
            <w:vAlign w:val="center"/>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总评得分</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bl>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int="eastAsia" w:ascii="黑体" w:eastAsia="黑体"/>
          <w:bCs/>
          <w:color w:val="auto"/>
          <w:sz w:val="36"/>
          <w:szCs w:val="36"/>
          <w:highlight w:val="none"/>
        </w:rPr>
      </w:pPr>
    </w:p>
    <w:p>
      <w:pPr>
        <w:spacing w:line="360" w:lineRule="auto"/>
        <w:ind w:firstLine="480"/>
        <w:jc w:val="center"/>
        <w:rPr>
          <w:rFonts w:hAnsi="宋体"/>
          <w:color w:val="auto"/>
          <w:sz w:val="36"/>
          <w:szCs w:val="36"/>
          <w:highlight w:val="none"/>
        </w:rPr>
      </w:pPr>
      <w:r>
        <w:rPr>
          <w:rFonts w:hint="eastAsia" w:ascii="黑体" w:eastAsia="黑体"/>
          <w:bCs/>
          <w:color w:val="auto"/>
          <w:sz w:val="36"/>
          <w:szCs w:val="36"/>
          <w:highlight w:val="none"/>
        </w:rPr>
        <w:t>第</w:t>
      </w:r>
      <w:bookmarkEnd w:id="144"/>
      <w:r>
        <w:rPr>
          <w:rFonts w:hint="eastAsia" w:ascii="黑体" w:eastAsia="黑体"/>
          <w:bCs/>
          <w:color w:val="auto"/>
          <w:sz w:val="36"/>
          <w:szCs w:val="36"/>
          <w:highlight w:val="none"/>
        </w:rPr>
        <w:t>四章 采购需求</w:t>
      </w:r>
      <w:bookmarkEnd w:id="145"/>
      <w:bookmarkEnd w:id="146"/>
      <w:bookmarkEnd w:id="147"/>
    </w:p>
    <w:p>
      <w:pPr>
        <w:rPr>
          <w:rFonts w:hint="eastAsia" w:ascii="宋体" w:hAnsi="宋体" w:eastAsia="宋体" w:cs="宋体"/>
          <w:bCs/>
          <w:color w:val="auto"/>
          <w:sz w:val="24"/>
          <w:highlight w:val="none"/>
        </w:rPr>
      </w:pPr>
      <w:bookmarkStart w:id="149" w:name="_Toc26554093"/>
      <w:bookmarkStart w:id="150" w:name="_Toc120614281"/>
      <w:bookmarkStart w:id="151" w:name="_Toc49090575"/>
      <w:r>
        <w:rPr>
          <w:rFonts w:hint="eastAsia" w:ascii="宋体" w:hAnsi="宋体" w:eastAsia="宋体" w:cs="宋体"/>
          <w:bCs/>
          <w:color w:val="auto"/>
          <w:sz w:val="24"/>
          <w:highlight w:val="none"/>
        </w:rPr>
        <w:t>一、项目概况</w:t>
      </w:r>
    </w:p>
    <w:p>
      <w:pPr>
        <w:spacing w:line="360" w:lineRule="auto"/>
        <w:ind w:left="-2" w:leftChars="-1" w:firstLine="420" w:firstLineChars="175"/>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本次采购项目为</w:t>
      </w:r>
      <w:r>
        <w:rPr>
          <w:rFonts w:hint="eastAsia" w:ascii="宋体" w:hAnsi="宋体" w:eastAsia="宋体" w:cs="宋体"/>
          <w:bCs/>
          <w:color w:val="auto"/>
          <w:sz w:val="24"/>
          <w:highlight w:val="none"/>
          <w:lang w:val="en-US" w:eastAsia="zh-CN"/>
        </w:rPr>
        <w:t>太湖街道街道管养绿化养护</w:t>
      </w:r>
      <w:r>
        <w:rPr>
          <w:rFonts w:hint="eastAsia" w:ascii="宋体" w:hAnsi="宋体" w:eastAsia="宋体" w:cs="宋体"/>
          <w:bCs/>
          <w:color w:val="auto"/>
          <w:sz w:val="24"/>
          <w:highlight w:val="none"/>
        </w:rPr>
        <w:t>，基本情况和管理服务要求如下：</w:t>
      </w:r>
    </w:p>
    <w:p>
      <w:pPr>
        <w:ind w:firstLine="48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项目地点：</w:t>
      </w:r>
      <w:r>
        <w:rPr>
          <w:rFonts w:hint="eastAsia" w:ascii="宋体" w:hAnsi="宋体" w:eastAsia="宋体" w:cs="宋体"/>
          <w:color w:val="auto"/>
          <w:sz w:val="24"/>
          <w:highlight w:val="none"/>
        </w:rPr>
        <w:t>无锡市</w:t>
      </w:r>
      <w:r>
        <w:rPr>
          <w:rFonts w:hint="eastAsia" w:ascii="宋体" w:hAnsi="宋体" w:eastAsia="宋体" w:cs="宋体"/>
          <w:color w:val="auto"/>
          <w:sz w:val="24"/>
          <w:highlight w:val="none"/>
          <w:lang w:val="en-US" w:eastAsia="zh-CN"/>
        </w:rPr>
        <w:t>滨湖区太湖街道</w:t>
      </w:r>
      <w:r>
        <w:rPr>
          <w:rFonts w:hint="eastAsia" w:ascii="宋体" w:hAnsi="宋体" w:eastAsia="宋体" w:cs="宋体"/>
          <w:color w:val="auto"/>
          <w:sz w:val="24"/>
          <w:highlight w:val="none"/>
        </w:rPr>
        <w:t>；</w:t>
      </w:r>
    </w:p>
    <w:p>
      <w:pPr>
        <w:spacing w:line="360" w:lineRule="auto"/>
        <w:ind w:left="-2" w:leftChars="-1" w:firstLine="420" w:firstLineChars="17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主要养护内容：太湖街道管养范围内的公共绿地，面积约20.24万m2；游园绿化养护，面积约2.06万m2；原自然河坡养护，面积约2.13万m2；树木修剪，约1608株；绿化废弃物处理；应急保障等</w:t>
      </w:r>
      <w:r>
        <w:rPr>
          <w:rFonts w:hint="eastAsia" w:ascii="宋体" w:hAnsi="宋体" w:cs="宋体"/>
          <w:color w:val="auto"/>
          <w:sz w:val="24"/>
          <w:highlight w:val="none"/>
          <w:lang w:val="en-US" w:eastAsia="zh-CN"/>
        </w:rPr>
        <w:t>。</w:t>
      </w:r>
    </w:p>
    <w:p>
      <w:pPr>
        <w:pStyle w:val="2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供应商应为中小企业（或监狱企业或残疾人福利性单位）</w:t>
      </w:r>
    </w:p>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二、</w:t>
      </w:r>
      <w:r>
        <w:rPr>
          <w:rFonts w:hint="eastAsia" w:ascii="宋体" w:hAnsi="宋体" w:eastAsia="宋体" w:cs="宋体"/>
          <w:b/>
          <w:bCs/>
          <w:color w:val="auto"/>
          <w:sz w:val="24"/>
          <w:highlight w:val="none"/>
        </w:rPr>
        <w:t>本项目需执行的国家相关标准、行业标准、地方标准或者其他标准、规范：</w:t>
      </w:r>
    </w:p>
    <w:p>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城市园林绿化养护管理规范及分级标准》、《无锡市城市绿化建设技术规范》、《园林绿化工程施工及验收规范》（CJJ82-2012）、《江苏省城市园林绿化植物养护技术规定》（试行）、《江苏省园林绿化养护质量评定标准》、《城市绿化养护及验收规范》（CJJT82-99）以及其他法律法规、江苏省和无锡市行业主管部门颁布的相关文件规定，如地方法规与国家法规相抵触按国家法规执行，合同作业期间如有新规范按新规范执行。</w:t>
      </w:r>
    </w:p>
    <w:p>
      <w:pPr>
        <w:pStyle w:val="41"/>
        <w:rPr>
          <w:rFonts w:hint="eastAsia" w:ascii="宋体" w:hAnsi="宋体" w:eastAsia="宋体" w:cs="宋体"/>
          <w:color w:val="auto"/>
          <w:highlight w:val="none"/>
          <w:lang w:val="en-US" w:eastAsia="zh-CN"/>
        </w:rPr>
      </w:pPr>
    </w:p>
    <w:p>
      <w:pPr>
        <w:numPr>
          <w:ilvl w:val="0"/>
          <w:numId w:val="9"/>
        </w:numPr>
        <w:ind w:left="-2" w:leftChars="-1" w:firstLine="420" w:firstLineChars="17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采购标的的数量：</w:t>
      </w:r>
    </w:p>
    <w:p>
      <w:pPr>
        <w:tabs>
          <w:tab w:val="left" w:pos="945"/>
        </w:tabs>
        <w:spacing w:line="360" w:lineRule="auto"/>
        <w:ind w:firstLine="560" w:firstLineChars="200"/>
        <w:rPr>
          <w:rFonts w:hint="eastAsia" w:ascii="仿宋_GB2312" w:hAnsi="Times New Roman" w:eastAsia="仿宋_GB2312" w:cs="Times New Roman"/>
          <w:color w:val="auto"/>
          <w:kern w:val="0"/>
          <w:sz w:val="28"/>
          <w:szCs w:val="20"/>
          <w:highlight w:val="none"/>
          <w:lang w:val="en-US"/>
        </w:rPr>
      </w:pPr>
      <w:r>
        <w:rPr>
          <w:rFonts w:hint="eastAsia" w:ascii="仿宋_GB2312" w:hAnsi="Times New Roman" w:eastAsia="仿宋_GB2312" w:cs="Times New Roman"/>
          <w:bCs w:val="0"/>
          <w:color w:val="auto"/>
          <w:kern w:val="0"/>
          <w:sz w:val="28"/>
          <w:szCs w:val="20"/>
          <w:highlight w:val="none"/>
          <w:lang w:val="en-US" w:eastAsia="zh-CN"/>
        </w:rPr>
        <w:t>①道路、河道、公共绿地及工业园区绿地管养明细</w:t>
      </w:r>
    </w:p>
    <w:tbl>
      <w:tblPr>
        <w:tblStyle w:val="49"/>
        <w:tblW w:w="92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00"/>
        <w:gridCol w:w="2083"/>
        <w:gridCol w:w="2269"/>
        <w:gridCol w:w="1294"/>
        <w:gridCol w:w="1612"/>
        <w:gridCol w:w="11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22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位置</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原有公共绿地</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太湖街道</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14216</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大桥吴巷</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吴巷</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3915</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3</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大桥路</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东绛第二实验小学外围包括瑞祥路</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12042</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4</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梁南苑外围</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鼎新路两侧</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5600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5</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东绛实验小学南</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东绛实验小学南</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3200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6</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圩湾里</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圩湾里村巷前后</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1190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7</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雪方苑</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雪方苑小区内</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1300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8</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社区健身广场</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五湖大道方庙路口</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5000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9</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双新园区</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雪丰路两侧</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14600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10</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丰裕苑外围</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五湖大道-老锡南路</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7200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11</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黄金湾工业园区</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黄金湾园区</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13810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12</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高远路</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五湖大道-信成道</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2200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13</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黄金湾驳岸景观绿地</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黄金湾园区</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2285.94</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14</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丰裕新村</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双新工业园区雪丰路</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2502.27</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15</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华润万家四周</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华润万家</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5600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16</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宪园道</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新园路-闪溪河</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1900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17</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立新路</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周新路-贡湖大道</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750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18</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老锡南路</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贡湖大道-扬名桥</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10800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19</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周新路</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贡湖大道-金石路</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31842</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20</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闪溪河两侧</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万顺道</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8365</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21</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邹家弄浜</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大通路南北</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10379</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22</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白水塘河坡</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白水塘浜</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1500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23</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庙桥港景观绿地</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庙桥港</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5776.03</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24</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周司桥浜</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丰裕桥-吴都路</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968</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25</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曹巷浜</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曹巷浜</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4085</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26</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闪溪河</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雪珊桥-宪园道</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4200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27</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万思桥浜</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立信大道-红星美凯龙（观顺道-信成道段除外）</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10460</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28</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曹王泾河</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梁南桥堍东南角，</w:t>
            </w:r>
          </w:p>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东绛大桥</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3615</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29</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东绛大桥壳牌加油站</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贡湖大道510号</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9371</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30</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西绛道</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大通路-周新路</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108</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31</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生达路</w:t>
            </w:r>
          </w:p>
        </w:tc>
        <w:tc>
          <w:tcPr>
            <w:tcW w:w="22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大通路-万顺道</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8"/>
                <w:szCs w:val="28"/>
                <w:highlight w:val="none"/>
                <w:u w:val="none"/>
                <w:lang w:val="en-US" w:eastAsia="zh-CN" w:bidi="ar"/>
              </w:rPr>
              <w:t>2706.8</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0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32</w:t>
            </w:r>
          </w:p>
        </w:tc>
        <w:tc>
          <w:tcPr>
            <w:tcW w:w="20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雪丰路（和玺一期）</w:t>
            </w:r>
          </w:p>
        </w:tc>
        <w:tc>
          <w:tcPr>
            <w:tcW w:w="226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信成道-三乡图道</w:t>
            </w:r>
          </w:p>
        </w:tc>
        <w:tc>
          <w:tcPr>
            <w:tcW w:w="12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61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8"/>
                <w:szCs w:val="28"/>
                <w:highlight w:val="none"/>
                <w:u w:val="none"/>
                <w:lang w:val="en-US" w:eastAsia="zh-CN" w:bidi="ar"/>
              </w:rPr>
              <w:t>928.5</w:t>
            </w:r>
          </w:p>
        </w:tc>
        <w:tc>
          <w:tcPr>
            <w:tcW w:w="1182"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bl>
    <w:p>
      <w:pPr>
        <w:tabs>
          <w:tab w:val="left" w:pos="945"/>
        </w:tabs>
        <w:spacing w:line="360" w:lineRule="auto"/>
        <w:ind w:firstLine="560" w:firstLineChars="200"/>
        <w:rPr>
          <w:rFonts w:hint="eastAsia" w:ascii="仿宋_GB2312" w:hAnsi="Times New Roman" w:eastAsia="仿宋_GB2312" w:cs="Times New Roman"/>
          <w:b w:val="0"/>
          <w:bCs w:val="0"/>
          <w:color w:val="auto"/>
          <w:kern w:val="0"/>
          <w:sz w:val="28"/>
          <w:szCs w:val="20"/>
          <w:highlight w:val="none"/>
          <w:lang w:val="en-US" w:eastAsia="zh-CN"/>
        </w:rPr>
      </w:pPr>
      <w:r>
        <w:rPr>
          <w:rFonts w:hint="eastAsia" w:ascii="仿宋_GB2312" w:hAnsi="Times New Roman" w:eastAsia="仿宋_GB2312" w:cs="Times New Roman"/>
          <w:b w:val="0"/>
          <w:bCs w:val="0"/>
          <w:color w:val="auto"/>
          <w:kern w:val="0"/>
          <w:sz w:val="28"/>
          <w:szCs w:val="20"/>
          <w:highlight w:val="none"/>
          <w:lang w:val="en-US" w:eastAsia="zh-CN"/>
        </w:rPr>
        <w:t>②太湖街道游园养护管养明细</w:t>
      </w:r>
    </w:p>
    <w:tbl>
      <w:tblPr>
        <w:tblStyle w:val="49"/>
        <w:tblW w:w="1003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6"/>
        <w:gridCol w:w="2602"/>
        <w:gridCol w:w="3040"/>
        <w:gridCol w:w="1156"/>
        <w:gridCol w:w="1187"/>
        <w:gridCol w:w="10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6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序号</w:t>
            </w:r>
          </w:p>
        </w:tc>
        <w:tc>
          <w:tcPr>
            <w:tcW w:w="262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名称</w:t>
            </w:r>
          </w:p>
        </w:tc>
        <w:tc>
          <w:tcPr>
            <w:tcW w:w="30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位置</w:t>
            </w:r>
          </w:p>
        </w:tc>
        <w:tc>
          <w:tcPr>
            <w:tcW w:w="11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单位</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数量</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6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26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谈巷休闲园</w:t>
            </w:r>
          </w:p>
        </w:tc>
        <w:tc>
          <w:tcPr>
            <w:tcW w:w="30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华盛苑南门</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7300</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小游园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6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262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南湖怡园</w:t>
            </w:r>
          </w:p>
        </w:tc>
        <w:tc>
          <w:tcPr>
            <w:tcW w:w="30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高运路兴梁道路口</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7260</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小游园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6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262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五湖大道地铁口</w:t>
            </w:r>
          </w:p>
        </w:tc>
        <w:tc>
          <w:tcPr>
            <w:tcW w:w="306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周新西路</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2962.2</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按游园标准养护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96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2625" w:type="dxa"/>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信成道小游园及周边</w:t>
            </w:r>
          </w:p>
        </w:tc>
        <w:tc>
          <w:tcPr>
            <w:tcW w:w="3067"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信成道（东华花苑-东泉花苑）（游园2400，周边717.28，含花箱）</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3117.28</w:t>
            </w:r>
          </w:p>
        </w:tc>
        <w:tc>
          <w:tcPr>
            <w:tcW w:w="110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小游园</w:t>
            </w:r>
          </w:p>
        </w:tc>
      </w:tr>
    </w:tbl>
    <w:p>
      <w:pPr>
        <w:pStyle w:val="21"/>
        <w:rPr>
          <w:rFonts w:hint="eastAsia"/>
          <w:color w:val="auto"/>
          <w:highlight w:val="none"/>
          <w:lang w:val="en-US" w:eastAsia="zh-CN"/>
        </w:rPr>
      </w:pPr>
      <w:r>
        <w:rPr>
          <w:rFonts w:hint="eastAsia"/>
          <w:color w:val="auto"/>
          <w:highlight w:val="none"/>
          <w:lang w:val="en-US" w:eastAsia="zh-CN"/>
        </w:rPr>
        <w:t>③原自然河坡绿化管养明细</w:t>
      </w:r>
    </w:p>
    <w:tbl>
      <w:tblPr>
        <w:tblStyle w:val="49"/>
        <w:tblW w:w="1003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4"/>
        <w:gridCol w:w="1254"/>
        <w:gridCol w:w="4259"/>
        <w:gridCol w:w="874"/>
        <w:gridCol w:w="1537"/>
        <w:gridCol w:w="15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序号</w:t>
            </w:r>
          </w:p>
        </w:tc>
        <w:tc>
          <w:tcPr>
            <w:tcW w:w="12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名称</w:t>
            </w:r>
          </w:p>
        </w:tc>
        <w:tc>
          <w:tcPr>
            <w:tcW w:w="42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位置</w:t>
            </w:r>
          </w:p>
        </w:tc>
        <w:tc>
          <w:tcPr>
            <w:tcW w:w="8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单位</w:t>
            </w:r>
          </w:p>
        </w:tc>
        <w:tc>
          <w:tcPr>
            <w:tcW w:w="1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数量</w:t>
            </w:r>
          </w:p>
        </w:tc>
        <w:tc>
          <w:tcPr>
            <w:tcW w:w="15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12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东湖外河</w:t>
            </w:r>
          </w:p>
        </w:tc>
        <w:tc>
          <w:tcPr>
            <w:tcW w:w="4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大剧院路万象九里到丝竹道</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10164.94</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12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方桥浜</w:t>
            </w:r>
          </w:p>
        </w:tc>
        <w:tc>
          <w:tcPr>
            <w:tcW w:w="4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五湖大道雪方桥以西</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1585.55</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w:t>
            </w:r>
          </w:p>
        </w:tc>
        <w:tc>
          <w:tcPr>
            <w:tcW w:w="12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顾道里浜</w:t>
            </w:r>
          </w:p>
        </w:tc>
        <w:tc>
          <w:tcPr>
            <w:tcW w:w="4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周新苑二期东门口衡源路南，立信大道东</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152.28</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w:t>
            </w:r>
          </w:p>
        </w:tc>
        <w:tc>
          <w:tcPr>
            <w:tcW w:w="12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湖东浜</w:t>
            </w:r>
          </w:p>
        </w:tc>
        <w:tc>
          <w:tcPr>
            <w:tcW w:w="4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大通路北河，沿万科一三期河北岸</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4038.07</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5</w:t>
            </w:r>
          </w:p>
        </w:tc>
        <w:tc>
          <w:tcPr>
            <w:tcW w:w="1254"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谢浦浜</w:t>
            </w:r>
          </w:p>
        </w:tc>
        <w:tc>
          <w:tcPr>
            <w:tcW w:w="4259"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周新路薛家桥东北沿河--梁塘河</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537"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3044.76</w:t>
            </w:r>
          </w:p>
        </w:tc>
        <w:tc>
          <w:tcPr>
            <w:tcW w:w="1537"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6</w:t>
            </w:r>
          </w:p>
        </w:tc>
        <w:tc>
          <w:tcPr>
            <w:tcW w:w="12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宣家巷浜</w:t>
            </w:r>
          </w:p>
        </w:tc>
        <w:tc>
          <w:tcPr>
            <w:tcW w:w="42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宣家巷</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1055.07</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7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7</w:t>
            </w:r>
          </w:p>
        </w:tc>
        <w:tc>
          <w:tcPr>
            <w:tcW w:w="125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曹王泾</w:t>
            </w:r>
          </w:p>
        </w:tc>
        <w:tc>
          <w:tcPr>
            <w:tcW w:w="42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东绛大桥--扬名桥</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1252.91</w:t>
            </w:r>
          </w:p>
        </w:tc>
        <w:tc>
          <w:tcPr>
            <w:tcW w:w="153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bl>
    <w:p>
      <w:pPr>
        <w:rPr>
          <w:rFonts w:hint="default"/>
          <w:color w:val="auto"/>
          <w:highlight w:val="none"/>
          <w:lang w:val="en-US" w:eastAsia="zh-CN"/>
        </w:rPr>
      </w:pPr>
    </w:p>
    <w:p>
      <w:pPr>
        <w:tabs>
          <w:tab w:val="left" w:pos="945"/>
        </w:tabs>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④其他</w:t>
      </w:r>
    </w:p>
    <w:tbl>
      <w:tblPr>
        <w:tblStyle w:val="49"/>
        <w:tblW w:w="1003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3"/>
        <w:gridCol w:w="4217"/>
        <w:gridCol w:w="1401"/>
        <w:gridCol w:w="1813"/>
        <w:gridCol w:w="18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序号</w:t>
            </w:r>
          </w:p>
        </w:tc>
        <w:tc>
          <w:tcPr>
            <w:tcW w:w="421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项目名称</w:t>
            </w:r>
          </w:p>
        </w:tc>
        <w:tc>
          <w:tcPr>
            <w:tcW w:w="140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单位</w:t>
            </w:r>
          </w:p>
        </w:tc>
        <w:tc>
          <w:tcPr>
            <w:tcW w:w="18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工程量</w:t>
            </w:r>
          </w:p>
        </w:tc>
        <w:tc>
          <w:tcPr>
            <w:tcW w:w="18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7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树木修剪</w:t>
            </w:r>
          </w:p>
        </w:tc>
        <w:tc>
          <w:tcPr>
            <w:tcW w:w="14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株</w:t>
            </w:r>
          </w:p>
        </w:tc>
        <w:tc>
          <w:tcPr>
            <w:tcW w:w="18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1608</w:t>
            </w:r>
          </w:p>
        </w:tc>
        <w:tc>
          <w:tcPr>
            <w:tcW w:w="18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按实结算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7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w:t>
            </w:r>
          </w:p>
        </w:tc>
        <w:tc>
          <w:tcPr>
            <w:tcW w:w="42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绿化废弃物处理</w:t>
            </w:r>
          </w:p>
        </w:tc>
        <w:tc>
          <w:tcPr>
            <w:tcW w:w="14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车</w:t>
            </w:r>
          </w:p>
        </w:tc>
        <w:tc>
          <w:tcPr>
            <w:tcW w:w="18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kern w:val="0"/>
                <w:sz w:val="28"/>
                <w:szCs w:val="28"/>
                <w:highlight w:val="none"/>
                <w:u w:val="none"/>
                <w:lang w:val="en-US" w:eastAsia="zh-CN" w:bidi="ar"/>
              </w:rPr>
              <w:t>200</w:t>
            </w:r>
          </w:p>
        </w:tc>
        <w:tc>
          <w:tcPr>
            <w:tcW w:w="181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车辆按3.5米长货车计量，工程量按实结算</w:t>
            </w:r>
          </w:p>
        </w:tc>
      </w:tr>
    </w:tbl>
    <w:p>
      <w:pPr>
        <w:pStyle w:val="21"/>
        <w:rPr>
          <w:rFonts w:hint="default"/>
          <w:color w:val="auto"/>
          <w:highlight w:val="none"/>
          <w:lang w:val="en-US" w:eastAsia="zh-CN"/>
        </w:rPr>
      </w:pPr>
    </w:p>
    <w:p>
      <w:pPr>
        <w:tabs>
          <w:tab w:val="left" w:pos="945"/>
        </w:tabs>
        <w:spacing w:line="360" w:lineRule="auto"/>
        <w:ind w:firstLine="482" w:firstLineChars="200"/>
        <w:rPr>
          <w:rFonts w:hint="eastAsia" w:ascii="宋体" w:hAnsi="宋体" w:eastAsia="宋体" w:cs="宋体"/>
          <w:b/>
          <w:bCs/>
          <w:color w:val="auto"/>
          <w:sz w:val="24"/>
          <w:highlight w:val="none"/>
        </w:rPr>
      </w:pPr>
    </w:p>
    <w:p>
      <w:pPr>
        <w:tabs>
          <w:tab w:val="left" w:pos="945"/>
        </w:tabs>
        <w:spacing w:line="360" w:lineRule="auto"/>
        <w:ind w:firstLine="482" w:firstLineChars="200"/>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项目内容</w:t>
      </w:r>
    </w:p>
    <w:p>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一、</w:t>
      </w:r>
      <w:r>
        <w:rPr>
          <w:rFonts w:hint="eastAsia" w:ascii="宋体" w:hAnsi="宋体" w:eastAsia="宋体" w:cs="宋体"/>
          <w:bCs/>
          <w:color w:val="auto"/>
          <w:sz w:val="24"/>
          <w:highlight w:val="none"/>
        </w:rPr>
        <w:t>本区域范围内绿地的养护工作(包括且不限于苗木的修剪、剥芽、病虫害防治、施肥、灌溉、树穴切边、除草、树叶、垃圾、杂物的清理，草坪的修剪和施肥、废弃物处理）等。</w:t>
      </w:r>
    </w:p>
    <w:p>
      <w:pPr>
        <w:pStyle w:val="22"/>
        <w:spacing w:line="360" w:lineRule="auto"/>
        <w:ind w:left="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绿地养护等级标准护：江苏省园林绿化植物养护</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级</w:t>
      </w:r>
    </w:p>
    <w:p>
      <w:pPr>
        <w:spacing w:line="360" w:lineRule="auto"/>
        <w:ind w:firstLine="544" w:firstLineChars="227"/>
        <w:rPr>
          <w:rFonts w:hint="eastAsia" w:ascii="宋体" w:hAnsi="宋体" w:eastAsia="宋体" w:cs="宋体"/>
          <w:color w:val="auto"/>
          <w:highlight w:val="none"/>
        </w:rPr>
      </w:pPr>
      <w:r>
        <w:rPr>
          <w:rFonts w:hint="eastAsia" w:ascii="宋体" w:hAnsi="宋体" w:eastAsia="宋体" w:cs="宋体"/>
          <w:bCs/>
          <w:color w:val="auto"/>
          <w:sz w:val="24"/>
          <w:highlight w:val="none"/>
        </w:rPr>
        <w:t>以上内容和范围投标供应商可到现场进行查看，以保证绿化养护方案的可行性。</w:t>
      </w:r>
    </w:p>
    <w:p>
      <w:pPr>
        <w:pStyle w:val="22"/>
        <w:spacing w:line="360" w:lineRule="auto"/>
        <w:ind w:left="0" w:leftChars="0" w:firstLine="422" w:firstLineChars="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有关说明</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1.拟派项目负责人必须取得绿化从业人员岗位证书，且成交后须常驻本项目现场，每月25日前制定详细绿化养护计划书提交甲方确定，并严格按照养护计划执行。</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2.所有进驻人员不得兼职。</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3.绿化养护人员工资待遇需符合国家、省、市相关政策。</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4.成交单位应按照相关规定，与所有聘用人员依法签订劳动合同，并承担聘用人员一切意外事件造成人身伤害等损失的费用。</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除非合同另有规定，报价清单所报的单价和总额价均已包括了实施和完成合同所需的劳务、材料、机械、质检（自检）、缺陷修复、管理、利润、税金等费用，以及合同明示或暗示的所有责任、义务和一般风险，及合同履行期间物价调整等社会风险。</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6、由投标单位综合报价。</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本项目服务期限：服务期限：自签订合同之日起一年。</w:t>
      </w:r>
    </w:p>
    <w:p>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8、配合采购单位完成绿化养护区域内补植及改造的准备工作，及时完成采购单位布置的相关任务。</w:t>
      </w:r>
    </w:p>
    <w:p>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付款方式：合同签订后，支付合同金额的</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预付款</w:t>
      </w:r>
      <w:r>
        <w:rPr>
          <w:rFonts w:hint="eastAsia" w:ascii="宋体" w:hAnsi="宋体" w:eastAsia="宋体" w:cs="宋体"/>
          <w:color w:val="auto"/>
          <w:sz w:val="24"/>
          <w:highlight w:val="none"/>
        </w:rPr>
        <w:t>，剩余养护管理费</w:t>
      </w:r>
      <w:r>
        <w:rPr>
          <w:rFonts w:hint="eastAsia" w:ascii="宋体" w:hAnsi="宋体" w:eastAsia="宋体" w:cs="宋体"/>
          <w:color w:val="auto"/>
          <w:sz w:val="24"/>
          <w:highlight w:val="none"/>
          <w:lang w:val="en-US" w:eastAsia="zh-CN"/>
        </w:rPr>
        <w:t>按季度结算，付款时先扣除预付款金额，每季度结束经采购人考核合格后，乙方于次季度的第一个月向甲方提交有效发票,甲方于收到发票之日起一个月内,将上季度</w:t>
      </w:r>
      <w:r>
        <w:rPr>
          <w:rFonts w:hint="eastAsia" w:ascii="宋体" w:hAnsi="宋体" w:eastAsia="宋体" w:cs="宋体"/>
          <w:color w:val="auto"/>
          <w:sz w:val="24"/>
          <w:highlight w:val="none"/>
        </w:rPr>
        <w:t>养护管理费</w:t>
      </w:r>
      <w:r>
        <w:rPr>
          <w:rFonts w:hint="eastAsia" w:ascii="宋体" w:hAnsi="宋体" w:eastAsia="宋体" w:cs="宋体"/>
          <w:color w:val="auto"/>
          <w:sz w:val="24"/>
          <w:highlight w:val="none"/>
          <w:lang w:val="en-US" w:eastAsia="zh-CN"/>
        </w:rPr>
        <w:t>转划至乙方指定的银行账户。</w:t>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bookmarkStart w:id="152" w:name="bookmark0"/>
      <w:bookmarkStart w:id="153" w:name="bookmark2"/>
      <w:bookmarkStart w:id="154" w:name="bookmark1"/>
      <w:r>
        <w:rPr>
          <w:rFonts w:hint="eastAsia" w:ascii="宋体" w:hAnsi="宋体" w:eastAsia="宋体" w:cs="宋体"/>
          <w:b/>
          <w:bCs/>
          <w:color w:val="auto"/>
          <w:spacing w:val="0"/>
          <w:w w:val="100"/>
          <w:kern w:val="0"/>
          <w:position w:val="0"/>
          <w:sz w:val="44"/>
          <w:szCs w:val="44"/>
          <w:highlight w:val="none"/>
          <w:shd w:val="clear" w:color="auto" w:fill="auto"/>
          <w:lang w:eastAsia="en-US" w:bidi="en-US"/>
        </w:rPr>
        <w:t>太湖街道外包绿化养护质量考核实施办法</w:t>
      </w:r>
      <w:bookmarkEnd w:id="152"/>
      <w:bookmarkEnd w:id="153"/>
      <w:bookmarkEnd w:id="154"/>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为进一步加强太湖街道城市绿化养护管理工作考核，规范绿化养护行为，切实提高绿化养护质量，确保街道绿化的完好和正常生长，提升整体品位和综合服务功能，根据《无锡市城市绿化管理条例》，结合我街道的实际情况，制定本实施意见。</w:t>
      </w:r>
    </w:p>
    <w:p>
      <w:pPr>
        <w:keepNext/>
        <w:keepLines/>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bookmarkStart w:id="155" w:name="bookmark5"/>
      <w:bookmarkStart w:id="156" w:name="bookmark6"/>
      <w:bookmarkStart w:id="157" w:name="bookmark3"/>
      <w:bookmarkStart w:id="158" w:name="bookmark4"/>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一</w:t>
      </w:r>
      <w:bookmarkEnd w:id="155"/>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、考核对象</w:t>
      </w:r>
      <w:bookmarkEnd w:id="156"/>
      <w:bookmarkEnd w:id="157"/>
      <w:bookmarkEnd w:id="158"/>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各绿化养护外包单位</w:t>
      </w:r>
    </w:p>
    <w:p>
      <w:pPr>
        <w:keepNext/>
        <w:keepLines/>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bookmarkStart w:id="159" w:name="bookmark9"/>
      <w:bookmarkStart w:id="160" w:name="bookmark8"/>
      <w:bookmarkStart w:id="161" w:name="bookmark7"/>
      <w:bookmarkStart w:id="162" w:name="bookmark10"/>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二</w:t>
      </w:r>
      <w:bookmarkEnd w:id="159"/>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、考核范围</w:t>
      </w:r>
      <w:bookmarkEnd w:id="160"/>
      <w:bookmarkEnd w:id="161"/>
      <w:bookmarkEnd w:id="162"/>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太湖街道管理范围的道路、河道岸坡、公共绿地、工业园区、小游园等绿</w:t>
      </w:r>
      <w:r>
        <w:rPr>
          <w:rFonts w:hint="eastAsia" w:ascii="宋体" w:hAnsi="宋体" w:eastAsia="宋体" w:cs="宋体"/>
          <w:color w:val="auto"/>
          <w:spacing w:val="0"/>
          <w:w w:val="100"/>
          <w:position w:val="0"/>
          <w:sz w:val="24"/>
          <w:szCs w:val="24"/>
          <w:highlight w:val="none"/>
          <w:u w:val="none"/>
          <w:shd w:val="clear" w:color="auto" w:fill="auto"/>
          <w:lang w:val="zh-CN" w:eastAsia="zh-CN" w:bidi="zh-CN"/>
        </w:rPr>
        <w:t>地。</w:t>
      </w:r>
    </w:p>
    <w:p>
      <w:pPr>
        <w:keepNext/>
        <w:keepLines/>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bookmarkStart w:id="163" w:name="bookmark13"/>
      <w:bookmarkStart w:id="164" w:name="bookmark14"/>
      <w:bookmarkStart w:id="165" w:name="bookmark11"/>
      <w:bookmarkStart w:id="166" w:name="bookmark12"/>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三</w:t>
      </w:r>
      <w:bookmarkEnd w:id="163"/>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、考核内容</w:t>
      </w:r>
      <w:bookmarkEnd w:id="164"/>
      <w:bookmarkEnd w:id="165"/>
      <w:bookmarkEnd w:id="166"/>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日常管理，设施完好情况，资料、台账管理等方面内容。</w:t>
      </w:r>
    </w:p>
    <w:p>
      <w:pPr>
        <w:keepNext w:val="0"/>
        <w:keepLines w:val="0"/>
        <w:pageBreakBefore w:val="0"/>
        <w:widowControl w:val="0"/>
        <w:shd w:val="clear" w:color="auto" w:fill="auto"/>
        <w:tabs>
          <w:tab w:val="left" w:pos="546"/>
        </w:tabs>
        <w:kinsoku/>
        <w:wordWrap/>
        <w:overflowPunct/>
        <w:topLinePunct w:val="0"/>
        <w:autoSpaceDE/>
        <w:autoSpaceDN/>
        <w:bidi w:val="0"/>
        <w:adjustRightInd w:val="0"/>
        <w:snapToGrid w:val="0"/>
        <w:spacing w:before="0" w:after="0" w:line="360" w:lineRule="auto"/>
        <w:ind w:left="0" w:right="0" w:firstLine="482"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bookmarkStart w:id="167" w:name="bookmark15"/>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四</w:t>
      </w:r>
      <w:bookmarkEnd w:id="167"/>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、考核办法</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采取</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每月度考核方式进行，考核在每月度未进行。</w:t>
      </w:r>
    </w:p>
    <w:p>
      <w:pPr>
        <w:keepNext/>
        <w:keepLines/>
        <w:pageBreakBefore w:val="0"/>
        <w:widowControl w:val="0"/>
        <w:shd w:val="clear" w:color="auto" w:fill="auto"/>
        <w:tabs>
          <w:tab w:val="left" w:pos="553"/>
        </w:tabs>
        <w:kinsoku/>
        <w:wordWrap/>
        <w:overflowPunct/>
        <w:topLinePunct w:val="0"/>
        <w:autoSpaceDE/>
        <w:autoSpaceDN/>
        <w:bidi w:val="0"/>
        <w:adjustRightInd w:val="0"/>
        <w:snapToGrid w:val="0"/>
        <w:spacing w:before="0" w:after="0" w:line="360" w:lineRule="auto"/>
        <w:ind w:left="0" w:right="0" w:firstLine="482" w:firstLineChars="200"/>
        <w:jc w:val="left"/>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bookmarkStart w:id="168" w:name="bookmark18"/>
      <w:bookmarkStart w:id="169" w:name="bookmark19"/>
      <w:bookmarkStart w:id="170" w:name="bookmark17"/>
      <w:bookmarkStart w:id="171" w:name="bookmark16"/>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五</w:t>
      </w:r>
      <w:bookmarkEnd w:id="168"/>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、考评细则（分值）</w:t>
      </w:r>
      <w:bookmarkEnd w:id="169"/>
      <w:bookmarkEnd w:id="170"/>
      <w:bookmarkEnd w:id="171"/>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修剪25分（乔木5分、灌木10分、草坪花木10分），施肥10分，病虫防治10分，抗旱防涝10分，除草15分，补植5分，绿化保洁15分，其他10分。</w:t>
      </w:r>
    </w:p>
    <w:p>
      <w:pPr>
        <w:keepNext/>
        <w:keepLines/>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2" w:firstLineChars="200"/>
        <w:jc w:val="both"/>
        <w:textAlignment w:val="auto"/>
        <w:outlineLvl w:val="1"/>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pPr>
      <w:bookmarkStart w:id="172" w:name="bookmark22"/>
      <w:bookmarkStart w:id="173" w:name="bookmark21"/>
      <w:bookmarkStart w:id="174" w:name="bookmark20"/>
      <w:r>
        <w:rPr>
          <w:rFonts w:hint="eastAsia" w:ascii="宋体" w:hAnsi="宋体" w:eastAsia="宋体" w:cs="宋体"/>
          <w:b/>
          <w:bCs/>
          <w:color w:val="auto"/>
          <w:spacing w:val="0"/>
          <w:w w:val="100"/>
          <w:position w:val="0"/>
          <w:sz w:val="24"/>
          <w:szCs w:val="24"/>
          <w:highlight w:val="none"/>
          <w:u w:val="none"/>
          <w:shd w:val="clear" w:color="auto" w:fill="auto"/>
          <w:lang w:val="zh-TW" w:eastAsia="zh-TW" w:bidi="zh-TW"/>
        </w:rPr>
        <w:t>六、检查考核</w:t>
      </w:r>
      <w:bookmarkEnd w:id="172"/>
      <w:bookmarkEnd w:id="173"/>
      <w:bookmarkEnd w:id="174"/>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采取</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明查暗访，定期不定期检查和考核相结合。</w:t>
      </w:r>
    </w:p>
    <w:p>
      <w:pPr>
        <w:keepNext w:val="0"/>
        <w:keepLines w:val="0"/>
        <w:pageBreakBefore w:val="0"/>
        <w:widowControl w:val="0"/>
        <w:shd w:val="clear" w:color="auto" w:fill="auto"/>
        <w:tabs>
          <w:tab w:val="left" w:pos="1094"/>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bookmarkStart w:id="175" w:name="bookmark23"/>
      <w:r>
        <w:rPr>
          <w:rFonts w:hint="eastAsia" w:ascii="宋体" w:hAnsi="宋体" w:eastAsia="宋体" w:cs="宋体"/>
          <w:color w:val="auto"/>
          <w:spacing w:val="0"/>
          <w:w w:val="100"/>
          <w:position w:val="0"/>
          <w:sz w:val="24"/>
          <w:szCs w:val="24"/>
          <w:highlight w:val="none"/>
          <w:u w:val="none"/>
          <w:shd w:val="clear" w:color="auto" w:fill="auto"/>
          <w:lang w:val="zh-TW" w:eastAsia="zh-TW" w:bidi="zh-TW"/>
        </w:rPr>
        <w:t>1</w:t>
      </w:r>
      <w:bookmarkEnd w:id="175"/>
      <w:r>
        <w:rPr>
          <w:rFonts w:hint="eastAsia" w:ascii="宋体" w:hAnsi="宋体" w:eastAsia="宋体" w:cs="宋体"/>
          <w:color w:val="auto"/>
          <w:spacing w:val="0"/>
          <w:w w:val="100"/>
          <w:position w:val="0"/>
          <w:sz w:val="24"/>
          <w:szCs w:val="24"/>
          <w:highlight w:val="none"/>
          <w:u w:val="none"/>
          <w:shd w:val="clear" w:color="auto" w:fill="auto"/>
          <w:lang w:val="zh-TW" w:eastAsia="zh-TW" w:bidi="zh-TW"/>
        </w:rPr>
        <w:t>、由</w:t>
      </w: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甲方</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组织实施，对各养护单位质量实行百分制考核，考核得分与全年养护费挂钩。</w:t>
      </w:r>
    </w:p>
    <w:p>
      <w:pPr>
        <w:keepNext w:val="0"/>
        <w:keepLines w:val="0"/>
        <w:pageBreakBefore w:val="0"/>
        <w:widowControl w:val="0"/>
        <w:shd w:val="clear" w:color="auto" w:fill="auto"/>
        <w:tabs>
          <w:tab w:val="left" w:pos="1094"/>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bookmarkStart w:id="176" w:name="bookmark24"/>
      <w:r>
        <w:rPr>
          <w:rFonts w:hint="eastAsia" w:ascii="宋体" w:hAnsi="宋体" w:eastAsia="宋体" w:cs="宋体"/>
          <w:color w:val="auto"/>
          <w:spacing w:val="0"/>
          <w:w w:val="100"/>
          <w:position w:val="0"/>
          <w:sz w:val="24"/>
          <w:szCs w:val="24"/>
          <w:highlight w:val="none"/>
          <w:u w:val="none"/>
          <w:shd w:val="clear" w:color="auto" w:fill="auto"/>
          <w:lang w:val="zh-TW" w:eastAsia="zh-TW" w:bidi="zh-TW"/>
        </w:rPr>
        <w:t>2</w:t>
      </w:r>
      <w:bookmarkEnd w:id="176"/>
      <w:r>
        <w:rPr>
          <w:rFonts w:hint="eastAsia" w:ascii="宋体" w:hAnsi="宋体" w:eastAsia="宋体" w:cs="宋体"/>
          <w:color w:val="auto"/>
          <w:spacing w:val="0"/>
          <w:w w:val="100"/>
          <w:position w:val="0"/>
          <w:sz w:val="24"/>
          <w:szCs w:val="24"/>
          <w:highlight w:val="none"/>
          <w:u w:val="none"/>
          <w:shd w:val="clear" w:color="auto" w:fill="auto"/>
          <w:lang w:val="zh-TW" w:eastAsia="zh-TW" w:bidi="zh-TW"/>
        </w:rPr>
        <w:t>、为确保考评结果的客观真实，考核以《评分表》为标准采取明查暗访、看现场等，每月进行一次检查考核评分。</w:t>
      </w:r>
    </w:p>
    <w:p>
      <w:pPr>
        <w:keepNext w:val="0"/>
        <w:keepLines w:val="0"/>
        <w:pageBreakBefore w:val="0"/>
        <w:widowControl w:val="0"/>
        <w:shd w:val="clear" w:color="auto" w:fill="auto"/>
        <w:tabs>
          <w:tab w:val="left" w:pos="1107"/>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bookmarkStart w:id="177" w:name="bookmark25"/>
      <w:r>
        <w:rPr>
          <w:rFonts w:hint="eastAsia" w:ascii="宋体" w:hAnsi="宋体" w:eastAsia="宋体" w:cs="宋体"/>
          <w:color w:val="auto"/>
          <w:spacing w:val="0"/>
          <w:w w:val="100"/>
          <w:position w:val="0"/>
          <w:sz w:val="24"/>
          <w:szCs w:val="24"/>
          <w:highlight w:val="none"/>
          <w:u w:val="none"/>
          <w:shd w:val="clear" w:color="auto" w:fill="auto"/>
          <w:lang w:val="zh-TW" w:eastAsia="zh-TW" w:bidi="zh-TW"/>
        </w:rPr>
        <w:t>3</w:t>
      </w:r>
      <w:bookmarkEnd w:id="177"/>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、日常巡查，由绿化监管员负责，发现问题要求养护单位整改,如三次整改不到位扣一分，计入考评分内，每年累计最多扣满10分。</w:t>
      </w:r>
    </w:p>
    <w:p>
      <w:pPr>
        <w:keepNext w:val="0"/>
        <w:keepLines w:val="0"/>
        <w:pageBreakBefore w:val="0"/>
        <w:widowControl w:val="0"/>
        <w:shd w:val="clear" w:color="auto" w:fill="auto"/>
        <w:tabs>
          <w:tab w:val="left" w:pos="1100"/>
        </w:tabs>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bookmarkStart w:id="178" w:name="bookmark26"/>
      <w:r>
        <w:rPr>
          <w:rFonts w:hint="eastAsia" w:ascii="宋体" w:hAnsi="宋体" w:eastAsia="宋体" w:cs="宋体"/>
          <w:color w:val="auto"/>
          <w:spacing w:val="0"/>
          <w:w w:val="100"/>
          <w:position w:val="0"/>
          <w:sz w:val="24"/>
          <w:szCs w:val="24"/>
          <w:highlight w:val="none"/>
          <w:u w:val="none"/>
          <w:shd w:val="clear" w:color="auto" w:fill="auto"/>
          <w:lang w:val="zh-TW" w:eastAsia="zh-TW" w:bidi="zh-TW"/>
        </w:rPr>
        <w:t>4</w:t>
      </w:r>
      <w:bookmarkEnd w:id="178"/>
      <w:r>
        <w:rPr>
          <w:rFonts w:hint="eastAsia" w:ascii="宋体" w:hAnsi="宋体" w:eastAsia="宋体" w:cs="宋体"/>
          <w:color w:val="auto"/>
          <w:spacing w:val="0"/>
          <w:w w:val="100"/>
          <w:position w:val="0"/>
          <w:sz w:val="24"/>
          <w:szCs w:val="24"/>
          <w:highlight w:val="none"/>
          <w:u w:val="none"/>
          <w:shd w:val="clear" w:color="auto" w:fill="auto"/>
          <w:lang w:val="zh-TW" w:eastAsia="zh-TW" w:bidi="zh-TW"/>
        </w:rPr>
        <w:t>、考评得分与日常巡查扣分直接与养护费挂钩。即90分以上按合同核定支付当季养护费，90分以下按实际扣减分值扣减当季养护费，85分-89分扣减5%,80分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-84</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分扣减10%,75分-79分扣减15%,70分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-74</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分扣减20%,65分</w:t>
      </w:r>
      <w:r>
        <w:rPr>
          <w:rFonts w:hint="eastAsia" w:ascii="宋体" w:hAnsi="宋体" w:eastAsia="宋体" w:cs="宋体"/>
          <w:color w:val="auto"/>
          <w:spacing w:val="0"/>
          <w:w w:val="100"/>
          <w:position w:val="0"/>
          <w:sz w:val="24"/>
          <w:szCs w:val="24"/>
          <w:highlight w:val="none"/>
          <w:u w:val="none"/>
          <w:shd w:val="clear" w:color="auto" w:fill="auto"/>
          <w:lang w:val="en-US" w:eastAsia="en-US" w:bidi="en-US"/>
        </w:rPr>
        <w:t>-69</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分扣减25%,60分-64分扣减30%,60分以下（不含60分）停发当季养护费，待下季整改到位后再视情况支付。</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50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bookmarkStart w:id="179" w:name="bookmark27"/>
      <w:r>
        <w:rPr>
          <w:rFonts w:hint="eastAsia" w:ascii="宋体" w:hAnsi="宋体" w:eastAsia="宋体" w:cs="宋体"/>
          <w:color w:val="auto"/>
          <w:spacing w:val="0"/>
          <w:w w:val="100"/>
          <w:position w:val="0"/>
          <w:sz w:val="24"/>
          <w:szCs w:val="24"/>
          <w:highlight w:val="none"/>
          <w:u w:val="none"/>
          <w:shd w:val="clear" w:color="auto" w:fill="auto"/>
          <w:lang w:val="zh-CN" w:eastAsia="zh-CN" w:bidi="zh-CN"/>
        </w:rPr>
        <w:t>5</w:t>
      </w:r>
      <w:bookmarkEnd w:id="179"/>
      <w:r>
        <w:rPr>
          <w:rFonts w:hint="eastAsia" w:ascii="宋体" w:hAnsi="宋体" w:eastAsia="宋体" w:cs="宋体"/>
          <w:color w:val="auto"/>
          <w:spacing w:val="0"/>
          <w:w w:val="100"/>
          <w:position w:val="0"/>
          <w:sz w:val="24"/>
          <w:szCs w:val="24"/>
          <w:highlight w:val="none"/>
          <w:u w:val="none"/>
          <w:shd w:val="clear" w:color="auto" w:fill="auto"/>
          <w:lang w:val="zh-CN" w:eastAsia="zh-CN" w:bidi="zh-CN"/>
        </w:rPr>
        <w:t>、</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考核条款按街道制订的相关标准要求进行，如不按合同内各条款有关要求，或因人为因素出现重大责任事故或安全事故时，街道将</w:t>
      </w:r>
      <w:r>
        <w:rPr>
          <w:rFonts w:hint="eastAsia" w:ascii="宋体" w:hAnsi="宋体" w:eastAsia="宋体" w:cs="宋体"/>
          <w:color w:val="auto"/>
          <w:spacing w:val="0"/>
          <w:w w:val="100"/>
          <w:position w:val="0"/>
          <w:sz w:val="24"/>
          <w:szCs w:val="24"/>
          <w:highlight w:val="none"/>
          <w:u w:val="none"/>
          <w:shd w:val="clear" w:color="auto" w:fill="auto"/>
          <w:lang w:val="zh-TW" w:eastAsia="zh-CN" w:bidi="zh-TW"/>
        </w:rPr>
        <w:t>采取</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淘汰制，取消下一年的外包养护资格。</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50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附件1</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：绿化养护考核标准</w:t>
      </w:r>
    </w:p>
    <w:p>
      <w:pPr>
        <w:keepNext w:val="0"/>
        <w:keepLines w:val="0"/>
        <w:pageBreakBefore w:val="0"/>
        <w:widowControl w:val="0"/>
        <w:shd w:val="clear" w:color="auto" w:fill="auto"/>
        <w:kinsoku/>
        <w:wordWrap/>
        <w:overflowPunct/>
        <w:topLinePunct w:val="0"/>
        <w:autoSpaceDE/>
        <w:autoSpaceDN/>
        <w:bidi w:val="0"/>
        <w:adjustRightInd w:val="0"/>
        <w:snapToGrid w:val="0"/>
        <w:spacing w:before="0" w:after="2240" w:line="360" w:lineRule="auto"/>
        <w:ind w:left="0" w:right="0" w:firstLine="480" w:firstLineChars="200"/>
        <w:jc w:val="left"/>
        <w:textAlignment w:val="auto"/>
        <w:rPr>
          <w:rFonts w:hint="eastAsia" w:ascii="宋体" w:hAnsi="宋体" w:eastAsia="宋体" w:cs="宋体"/>
          <w:color w:val="auto"/>
          <w:spacing w:val="0"/>
          <w:w w:val="100"/>
          <w:position w:val="0"/>
          <w:sz w:val="24"/>
          <w:szCs w:val="24"/>
          <w:highlight w:val="none"/>
          <w:u w:val="none"/>
          <w:shd w:val="clear" w:color="auto" w:fill="auto"/>
          <w:lang w:val="zh-TW" w:eastAsia="zh-TW" w:bidi="zh-TW"/>
        </w:rPr>
      </w:pPr>
      <w:r>
        <w:rPr>
          <w:rFonts w:hint="eastAsia" w:ascii="宋体" w:hAnsi="宋体" w:eastAsia="宋体" w:cs="宋体"/>
          <w:color w:val="auto"/>
          <w:spacing w:val="0"/>
          <w:w w:val="100"/>
          <w:position w:val="0"/>
          <w:sz w:val="24"/>
          <w:szCs w:val="24"/>
          <w:highlight w:val="none"/>
          <w:u w:val="none"/>
          <w:shd w:val="clear" w:color="auto" w:fill="auto"/>
          <w:lang w:val="en-US" w:eastAsia="zh-CN" w:bidi="zh-TW"/>
        </w:rPr>
        <w:t>附件2：</w:t>
      </w:r>
      <w:r>
        <w:rPr>
          <w:rFonts w:hint="eastAsia" w:ascii="宋体" w:hAnsi="宋体" w:eastAsia="宋体" w:cs="宋体"/>
          <w:color w:val="auto"/>
          <w:spacing w:val="0"/>
          <w:w w:val="100"/>
          <w:position w:val="0"/>
          <w:sz w:val="24"/>
          <w:szCs w:val="24"/>
          <w:highlight w:val="none"/>
          <w:u w:val="none"/>
          <w:shd w:val="clear" w:color="auto" w:fill="auto"/>
          <w:lang w:val="zh-TW" w:eastAsia="zh-TW" w:bidi="zh-TW"/>
        </w:rPr>
        <w:t>太湖街道绿化养护工作考核评分表</w:t>
      </w:r>
    </w:p>
    <w:p>
      <w:pPr>
        <w:keepNext w:val="0"/>
        <w:keepLines w:val="0"/>
        <w:pageBreakBefore w:val="0"/>
        <w:shd w:val="clear" w:color="auto" w:fill="auto"/>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color w:val="auto"/>
          <w:spacing w:val="0"/>
          <w:w w:val="100"/>
          <w:kern w:val="0"/>
          <w:position w:val="0"/>
          <w:sz w:val="24"/>
          <w:highlight w:val="none"/>
          <w:shd w:val="clear" w:color="auto" w:fill="auto"/>
          <w:lang w:eastAsia="en-US" w:bidi="en-US"/>
        </w:rPr>
      </w:pPr>
      <w:r>
        <w:rPr>
          <w:rFonts w:hint="eastAsia" w:ascii="宋体" w:hAnsi="宋体" w:eastAsia="宋体" w:cs="宋体"/>
          <w:color w:val="auto"/>
          <w:spacing w:val="0"/>
          <w:w w:val="100"/>
          <w:kern w:val="0"/>
          <w:position w:val="0"/>
          <w:sz w:val="24"/>
          <w:highlight w:val="none"/>
          <w:shd w:val="clear" w:color="auto" w:fill="auto"/>
          <w:lang w:eastAsia="en-US" w:bidi="en-US"/>
        </w:rPr>
        <w:br w:type="page"/>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color w:val="auto"/>
          <w:spacing w:val="0"/>
          <w:w w:val="100"/>
          <w:kern w:val="0"/>
          <w:position w:val="0"/>
          <w:sz w:val="28"/>
          <w:szCs w:val="28"/>
          <w:highlight w:val="none"/>
          <w:shd w:val="clear" w:color="auto" w:fill="auto"/>
          <w:lang w:val="en-US" w:eastAsia="zh-CN" w:bidi="ar"/>
        </w:rPr>
      </w:pPr>
      <w:r>
        <w:rPr>
          <w:rFonts w:hint="eastAsia" w:ascii="宋体" w:hAnsi="宋体" w:eastAsia="宋体" w:cs="宋体"/>
          <w:color w:val="auto"/>
          <w:spacing w:val="0"/>
          <w:w w:val="100"/>
          <w:kern w:val="0"/>
          <w:position w:val="0"/>
          <w:sz w:val="28"/>
          <w:szCs w:val="28"/>
          <w:highlight w:val="none"/>
          <w:shd w:val="clear" w:color="auto" w:fill="auto"/>
          <w:lang w:val="en-US" w:eastAsia="zh-CN" w:bidi="ar"/>
        </w:rPr>
        <w:t>附件1：</w:t>
      </w: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r>
        <w:rPr>
          <w:rFonts w:hint="eastAsia" w:ascii="宋体" w:hAnsi="宋体" w:eastAsia="宋体" w:cs="宋体"/>
          <w:b/>
          <w:bCs/>
          <w:color w:val="auto"/>
          <w:spacing w:val="0"/>
          <w:w w:val="100"/>
          <w:kern w:val="0"/>
          <w:position w:val="0"/>
          <w:sz w:val="44"/>
          <w:szCs w:val="44"/>
          <w:highlight w:val="none"/>
          <w:shd w:val="clear" w:color="auto" w:fill="auto"/>
          <w:lang w:eastAsia="en-US" w:bidi="en-US"/>
        </w:rPr>
        <w:t>太湖街道城市绿化养护的质量标准和要求</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一、绿地养护质量标准</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按照《江苏省城市园林绿化植物养护技术规定》(试行)的要求，绿地养护应做到：</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每天进行绿地保洁，及时清除绿地内纸屑、烟蒂、果壳、垃圾堆放物等不洁物，保持绿地清洁。绿地中的乔木、灌木、花卉地被和草坪等植物，凡经栽植成活一年以上的其保存率应达到98%,植物生长健壮，无死树、无缺株；修剪合理、树型优美、叶茂花盛；花卉地被栽植等符合指标、无裸露地，草坪无空秃；病虫杂草控制良好。保持绿地设施完好无损，并有良好的景观面貌。</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2、行道树修剪、剥芽符合技术规程，长势良好。一条道路同一品种分枝点基本相同，无缺株、死株；树木倾斜度不超过10度；无断桩、坏桩、桩位绑扎规范化；基本无病虫害迹象，有防治措施。</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3、养护标段内在日常中发生绿地苗木抽稀，调整和改善土质等工作，是正常的养护内容。</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4、道路绿化隔离带植物叶面喷水除尘，根据实际情况进行作业。</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5、绿地附属栏杆的维护保养，保持完好、完整，每年油漆1次。</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6、日常保洁养护作业资料齐全，做到有计划、有记录、有统计，并且资料与实际养护情况相符。</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二、防汛防台风要求</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1、汛前准备：做好防汛准备工作，包括人员、物资，做好非汛期的区域内全部绿地排水的疏通工作。</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2、汛期抢险：安排人员加强值班，组织人员外出查询，雨后，必须及时组织人员进行排水工作。</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3、台风季节应由专人值班，并在出现灾害后及时(24小时内)处理完毕。</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三、文明安全养护要求</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1、应有安全员(需有上岗证书)并且施工人员进行安全教育和对施工设备和现场进行安全检查。</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2、绿化养护作业时，要充分利用和机械设备。绿化养护人员必须穿工作服，在夜间养护作业必须在作业区域内点红灯示意警戒标志。</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绿化养护作业时，应随时保持道路的清洁、畅通，并由专人负责监督，以确保文明安全养护。行道树修剪应尽量避开道路交通高峰时段，并按照规定做好现场安全维护隔离及指挥，修剪下的枝条应及时整理清运；打药水应提前告示居民，尽量避开出行高峰期。</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四、绿地养护等级标准</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太湖街道城市绿化养护目前执行的是二级养护标准</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乔木：</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1、生长正常，树冠基本完整，主侧枝分枝基本均匀，数量适宜，内膛通风透光；</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2、叶色基本正常，有少量黄叶(生长季节)、蕉叶、卷叶，有少量虫粪。</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3、枝干生长正常，无明显枯死枝，害虫害虽有生长，但能及时根除；</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4、缺株在4%以下(含4%)不得有连续3棵缺株、补植树木与原树木径级不超过35%。</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5、树空内无垃圾及高垦杂草、土壤不板结；</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草坪：</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1、生长良好，杂草率≤25%,覆盖率达90%以上；</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2、修剪高低符合要求，能及时处理堆料堆物；</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3、单块空秃面积不超过0.3㎡；</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花卉：</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1、全年换花4次；</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2、花卉生长正常，缺株、倒伏不超过3-5处，无枯枝残花(残花量≤15%)；</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3、花期基本整齐，覆盖面积达75%以上；</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绿篱及地被：</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1、生长茂盛，枝条虫害。</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2、修剪成型，完整无缺。</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3、无垃圾杂物。</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b/>
          <w:bCs/>
          <w:color w:val="auto"/>
          <w:spacing w:val="0"/>
          <w:w w:val="100"/>
          <w:kern w:val="0"/>
          <w:position w:val="0"/>
          <w:sz w:val="24"/>
          <w:szCs w:val="24"/>
          <w:highlight w:val="none"/>
          <w:shd w:val="clear" w:color="auto" w:fill="auto"/>
          <w:lang w:val="en-US" w:eastAsia="zh-CN" w:bidi="ar"/>
        </w:rPr>
        <w:t>混合花镜：</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1、花镜养护设施量清单内品种数量及品种种植面积不变。</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2、现有花镜内林，宿根(球、块根)花卉比例与布局，位置不变；</w:t>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auto"/>
          <w:spacing w:val="0"/>
          <w:w w:val="100"/>
          <w:kern w:val="0"/>
          <w:position w:val="0"/>
          <w:sz w:val="24"/>
          <w:szCs w:val="24"/>
          <w:highlight w:val="none"/>
          <w:shd w:val="clear" w:color="auto" w:fill="auto"/>
          <w:lang w:val="en-US" w:eastAsia="zh-CN" w:bidi="ar"/>
        </w:rPr>
      </w:pPr>
      <w:r>
        <w:rPr>
          <w:rFonts w:hint="eastAsia" w:ascii="宋体" w:hAnsi="宋体" w:eastAsia="宋体" w:cs="宋体"/>
          <w:color w:val="auto"/>
          <w:spacing w:val="0"/>
          <w:w w:val="100"/>
          <w:kern w:val="0"/>
          <w:position w:val="0"/>
          <w:sz w:val="24"/>
          <w:szCs w:val="24"/>
          <w:highlight w:val="none"/>
          <w:shd w:val="clear" w:color="auto" w:fill="auto"/>
          <w:lang w:val="en-US" w:eastAsia="zh-CN" w:bidi="ar"/>
        </w:rPr>
        <w:t>3、生长正常，无病虫害，无残花败叶，按自然花期开花。</w:t>
      </w:r>
    </w:p>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8"/>
          <w:szCs w:val="28"/>
          <w:highlight w:val="none"/>
          <w:shd w:val="clear" w:color="auto" w:fill="auto"/>
          <w:lang w:eastAsia="en-US" w:bidi="en-US"/>
        </w:rPr>
      </w:pPr>
      <w:r>
        <w:rPr>
          <w:rFonts w:hint="eastAsia" w:ascii="宋体" w:hAnsi="宋体" w:eastAsia="宋体" w:cs="宋体"/>
          <w:color w:val="auto"/>
          <w:spacing w:val="0"/>
          <w:w w:val="100"/>
          <w:kern w:val="0"/>
          <w:position w:val="0"/>
          <w:sz w:val="28"/>
          <w:szCs w:val="28"/>
          <w:highlight w:val="none"/>
          <w:shd w:val="clear" w:color="auto" w:fill="auto"/>
          <w:lang w:eastAsia="en-US" w:bidi="en-US"/>
        </w:rPr>
        <w:br w:type="page"/>
      </w:r>
    </w:p>
    <w:p>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宋体" w:hAnsi="宋体" w:eastAsia="宋体" w:cs="宋体"/>
          <w:color w:val="auto"/>
          <w:spacing w:val="0"/>
          <w:w w:val="100"/>
          <w:kern w:val="0"/>
          <w:position w:val="0"/>
          <w:sz w:val="28"/>
          <w:szCs w:val="28"/>
          <w:highlight w:val="none"/>
          <w:shd w:val="clear" w:color="auto" w:fill="auto"/>
          <w:lang w:val="en-US" w:eastAsia="zh-CN" w:bidi="ar"/>
        </w:rPr>
      </w:pPr>
      <w:r>
        <w:rPr>
          <w:rFonts w:hint="eastAsia" w:ascii="宋体" w:hAnsi="宋体" w:eastAsia="宋体" w:cs="宋体"/>
          <w:color w:val="auto"/>
          <w:spacing w:val="0"/>
          <w:w w:val="100"/>
          <w:kern w:val="0"/>
          <w:position w:val="0"/>
          <w:sz w:val="28"/>
          <w:szCs w:val="28"/>
          <w:highlight w:val="none"/>
          <w:shd w:val="clear" w:color="auto" w:fill="auto"/>
          <w:lang w:val="en-US" w:eastAsia="zh-CN" w:bidi="ar"/>
        </w:rPr>
        <w:t>附件2：</w:t>
      </w:r>
    </w:p>
    <w:p>
      <w:pPr>
        <w:keepNext w:val="0"/>
        <w:keepLines w:val="0"/>
        <w:shd w:val="clear" w:color="auto" w:fill="auto"/>
        <w:bidi w:val="0"/>
        <w:spacing w:before="0" w:after="0" w:line="240" w:lineRule="auto"/>
        <w:ind w:left="0" w:right="0" w:firstLine="0"/>
        <w:jc w:val="center"/>
        <w:rPr>
          <w:rFonts w:hint="eastAsia" w:ascii="宋体" w:hAnsi="宋体" w:eastAsia="宋体" w:cs="宋体"/>
          <w:b/>
          <w:bCs/>
          <w:color w:val="auto"/>
          <w:spacing w:val="0"/>
          <w:w w:val="100"/>
          <w:kern w:val="0"/>
          <w:position w:val="0"/>
          <w:sz w:val="44"/>
          <w:szCs w:val="44"/>
          <w:highlight w:val="none"/>
          <w:shd w:val="clear" w:color="auto" w:fill="auto"/>
          <w:lang w:eastAsia="en-US" w:bidi="en-US"/>
        </w:rPr>
      </w:pPr>
      <w:r>
        <w:rPr>
          <w:rFonts w:hint="eastAsia" w:ascii="宋体" w:hAnsi="宋体" w:eastAsia="宋体" w:cs="宋体"/>
          <w:b/>
          <w:bCs/>
          <w:color w:val="auto"/>
          <w:spacing w:val="0"/>
          <w:w w:val="100"/>
          <w:kern w:val="0"/>
          <w:position w:val="0"/>
          <w:sz w:val="44"/>
          <w:szCs w:val="44"/>
          <w:highlight w:val="none"/>
          <w:shd w:val="clear" w:color="auto" w:fill="auto"/>
          <w:lang w:eastAsia="en-US" w:bidi="en-US"/>
        </w:rPr>
        <w:t>太湖街道绿化养护工作考核评分表</w:t>
      </w:r>
    </w:p>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32"/>
          <w:szCs w:val="32"/>
          <w:highlight w:val="none"/>
          <w:shd w:val="clear" w:color="auto" w:fill="auto"/>
          <w:lang w:eastAsia="en-US" w:bidi="en-US"/>
        </w:rPr>
      </w:pPr>
      <w:r>
        <w:rPr>
          <w:rFonts w:hint="eastAsia" w:ascii="宋体" w:hAnsi="宋体" w:eastAsia="宋体" w:cs="宋体"/>
          <w:color w:val="auto"/>
          <w:spacing w:val="0"/>
          <w:w w:val="100"/>
          <w:kern w:val="0"/>
          <w:position w:val="0"/>
          <w:sz w:val="32"/>
          <w:szCs w:val="32"/>
          <w:highlight w:val="none"/>
          <w:shd w:val="clear" w:color="auto" w:fill="auto"/>
          <w:lang w:eastAsia="en-US" w:bidi="en-US"/>
        </w:rPr>
        <w:t>单位：</w:t>
      </w:r>
      <w:r>
        <w:rPr>
          <w:rFonts w:hint="eastAsia" w:ascii="宋体" w:hAnsi="宋体" w:eastAsia="宋体" w:cs="宋体"/>
          <w:color w:val="auto"/>
          <w:spacing w:val="0"/>
          <w:w w:val="100"/>
          <w:kern w:val="0"/>
          <w:position w:val="0"/>
          <w:sz w:val="32"/>
          <w:szCs w:val="32"/>
          <w:highlight w:val="none"/>
          <w:shd w:val="clear" w:color="auto" w:fill="auto"/>
          <w:lang w:val="en-US" w:eastAsia="zh-CN" w:bidi="en-US"/>
        </w:rPr>
        <w:t xml:space="preserve">       </w:t>
      </w:r>
      <w:r>
        <w:rPr>
          <w:rFonts w:hint="eastAsia" w:ascii="宋体" w:hAnsi="宋体" w:eastAsia="宋体" w:cs="宋体"/>
          <w:color w:val="auto"/>
          <w:spacing w:val="0"/>
          <w:w w:val="100"/>
          <w:kern w:val="0"/>
          <w:position w:val="0"/>
          <w:sz w:val="32"/>
          <w:szCs w:val="32"/>
          <w:highlight w:val="none"/>
          <w:shd w:val="clear" w:color="auto" w:fill="auto"/>
          <w:lang w:eastAsia="en-US" w:bidi="en-US"/>
        </w:rPr>
        <w:t xml:space="preserve">        （第</w:t>
      </w:r>
      <w:r>
        <w:rPr>
          <w:rFonts w:hint="eastAsia" w:ascii="宋体" w:hAnsi="宋体" w:eastAsia="宋体" w:cs="宋体"/>
          <w:color w:val="auto"/>
          <w:spacing w:val="0"/>
          <w:w w:val="100"/>
          <w:kern w:val="0"/>
          <w:position w:val="0"/>
          <w:sz w:val="32"/>
          <w:szCs w:val="32"/>
          <w:highlight w:val="none"/>
          <w:shd w:val="clear" w:color="auto" w:fill="auto"/>
          <w:lang w:val="en-US" w:eastAsia="zh-CN" w:bidi="en-US"/>
        </w:rPr>
        <w:t xml:space="preserve">  </w:t>
      </w:r>
      <w:r>
        <w:rPr>
          <w:rFonts w:hint="eastAsia" w:ascii="宋体" w:hAnsi="宋体" w:eastAsia="宋体" w:cs="宋体"/>
          <w:color w:val="auto"/>
          <w:spacing w:val="0"/>
          <w:w w:val="100"/>
          <w:kern w:val="0"/>
          <w:position w:val="0"/>
          <w:sz w:val="32"/>
          <w:szCs w:val="32"/>
          <w:highlight w:val="none"/>
          <w:shd w:val="clear" w:color="auto" w:fill="auto"/>
          <w:lang w:eastAsia="en-US" w:bidi="en-US"/>
        </w:rPr>
        <w:t>月份）</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659"/>
        <w:gridCol w:w="2700"/>
        <w:gridCol w:w="901"/>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分类</w:t>
            </w:r>
          </w:p>
        </w:tc>
        <w:tc>
          <w:tcPr>
            <w:tcW w:w="659"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序号</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项目</w:t>
            </w:r>
          </w:p>
        </w:tc>
        <w:tc>
          <w:tcPr>
            <w:tcW w:w="90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分值</w:t>
            </w: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得分</w:t>
            </w: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修剪</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乔木</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2</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灌木</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val="en-US" w:eastAsia="zh-CN"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3</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花草等</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施肥</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4</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施肥</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防病</w:t>
            </w:r>
          </w:p>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治虫</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2700" w:type="dxa"/>
            <w:noWrap w:val="0"/>
            <w:vAlign w:val="center"/>
          </w:tcPr>
          <w:p>
            <w:pPr>
              <w:keepNext w:val="0"/>
              <w:keepLines w:val="0"/>
              <w:shd w:val="clear" w:color="auto" w:fill="auto"/>
              <w:bidi w:val="0"/>
              <w:spacing w:before="0" w:after="0" w:line="240" w:lineRule="auto"/>
              <w:ind w:left="0" w:right="0" w:firstLine="0"/>
              <w:jc w:val="both"/>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病虫害防治</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抗雨雪、防冻</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6</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花卉、苗木</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7</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树木、草地</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日常</w:t>
            </w:r>
          </w:p>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维护</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8</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除草</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val="en-US" w:eastAsia="zh-CN"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9</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补植</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zh-CN" w:bidi="en-US"/>
              </w:rPr>
            </w:pPr>
          </w:p>
        </w:tc>
        <w:tc>
          <w:tcPr>
            <w:tcW w:w="1421" w:type="dxa"/>
            <w:noWrap w:val="0"/>
            <w:vAlign w:val="center"/>
          </w:tcPr>
          <w:p>
            <w:pPr>
              <w:keepNext w:val="0"/>
              <w:keepLines w:val="0"/>
              <w:shd w:val="clear" w:color="auto" w:fill="auto"/>
              <w:tabs>
                <w:tab w:val="left" w:pos="285"/>
              </w:tabs>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zh-CN"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绿化保洁</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绿化保洁</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15</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val="en-US" w:eastAsia="zh-CN" w:bidi="en-US"/>
              </w:rPr>
            </w:pPr>
          </w:p>
        </w:tc>
        <w:tc>
          <w:tcPr>
            <w:tcW w:w="1421" w:type="dxa"/>
            <w:noWrap w:val="0"/>
            <w:vAlign w:val="center"/>
          </w:tcPr>
          <w:p>
            <w:pPr>
              <w:keepNext w:val="0"/>
              <w:keepLines w:val="0"/>
              <w:shd w:val="clear" w:color="auto" w:fill="auto"/>
              <w:tabs>
                <w:tab w:val="left" w:pos="285"/>
              </w:tabs>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zh-CN"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其他</w:t>
            </w:r>
          </w:p>
        </w:tc>
        <w:tc>
          <w:tcPr>
            <w:tcW w:w="659"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11</w:t>
            </w:r>
          </w:p>
        </w:tc>
        <w:tc>
          <w:tcPr>
            <w:tcW w:w="2700"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合同其他项目执行情况</w:t>
            </w:r>
          </w:p>
        </w:tc>
        <w:tc>
          <w:tcPr>
            <w:tcW w:w="90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10</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top"/>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trPr>
        <w:tc>
          <w:tcPr>
            <w:tcW w:w="1420"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考核人员</w:t>
            </w:r>
          </w:p>
        </w:tc>
        <w:tc>
          <w:tcPr>
            <w:tcW w:w="4260" w:type="dxa"/>
            <w:gridSpan w:val="3"/>
            <w:noWrap w:val="0"/>
            <w:vAlign w:val="center"/>
          </w:tcPr>
          <w:p>
            <w:pPr>
              <w:keepNext w:val="0"/>
              <w:keepLines w:val="0"/>
              <w:shd w:val="clear" w:color="auto" w:fill="auto"/>
              <w:bidi w:val="0"/>
              <w:spacing w:before="0" w:after="0" w:line="240" w:lineRule="auto"/>
              <w:ind w:left="0" w:right="0" w:firstLine="0"/>
              <w:jc w:val="left"/>
              <w:rPr>
                <w:rFonts w:hint="eastAsia" w:ascii="宋体" w:hAnsi="宋体" w:eastAsia="宋体" w:cs="宋体"/>
                <w:color w:val="auto"/>
                <w:spacing w:val="0"/>
                <w:w w:val="100"/>
                <w:kern w:val="0"/>
                <w:position w:val="0"/>
                <w:sz w:val="24"/>
                <w:szCs w:val="24"/>
                <w:highlight w:val="none"/>
                <w:shd w:val="clear" w:color="auto" w:fill="auto"/>
                <w:lang w:eastAsia="en-US" w:bidi="en-US"/>
              </w:rPr>
            </w:pP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r>
              <w:rPr>
                <w:rFonts w:hint="eastAsia" w:ascii="宋体" w:hAnsi="宋体" w:eastAsia="宋体" w:cs="宋体"/>
                <w:color w:val="auto"/>
                <w:spacing w:val="0"/>
                <w:w w:val="100"/>
                <w:kern w:val="0"/>
                <w:position w:val="0"/>
                <w:sz w:val="24"/>
                <w:szCs w:val="24"/>
                <w:highlight w:val="none"/>
                <w:shd w:val="clear" w:color="auto" w:fill="auto"/>
                <w:lang w:eastAsia="en-US" w:bidi="en-US"/>
              </w:rPr>
              <w:t>总评得分</w:t>
            </w:r>
          </w:p>
        </w:tc>
        <w:tc>
          <w:tcPr>
            <w:tcW w:w="1421" w:type="dxa"/>
            <w:noWrap w:val="0"/>
            <w:vAlign w:val="center"/>
          </w:tcPr>
          <w:p>
            <w:pPr>
              <w:keepNext w:val="0"/>
              <w:keepLines w:val="0"/>
              <w:shd w:val="clear" w:color="auto" w:fill="auto"/>
              <w:bidi w:val="0"/>
              <w:spacing w:before="0" w:after="0" w:line="240" w:lineRule="auto"/>
              <w:ind w:left="0" w:right="0" w:firstLine="0"/>
              <w:jc w:val="center"/>
              <w:rPr>
                <w:rFonts w:hint="eastAsia" w:ascii="宋体" w:hAnsi="宋体" w:eastAsia="宋体" w:cs="宋体"/>
                <w:color w:val="auto"/>
                <w:spacing w:val="0"/>
                <w:w w:val="100"/>
                <w:kern w:val="0"/>
                <w:position w:val="0"/>
                <w:sz w:val="24"/>
                <w:szCs w:val="24"/>
                <w:highlight w:val="none"/>
                <w:shd w:val="clear" w:color="auto" w:fill="auto"/>
                <w:lang w:eastAsia="en-US" w:bidi="en-US"/>
              </w:rPr>
            </w:pPr>
          </w:p>
        </w:tc>
      </w:tr>
    </w:tbl>
    <w:p>
      <w:pPr>
        <w:tabs>
          <w:tab w:val="left" w:pos="525"/>
          <w:tab w:val="left" w:pos="630"/>
          <w:tab w:val="left" w:pos="735"/>
          <w:tab w:val="left" w:pos="945"/>
          <w:tab w:val="left" w:pos="1080"/>
        </w:tabs>
        <w:spacing w:line="360" w:lineRule="auto"/>
        <w:ind w:firstLine="480"/>
        <w:jc w:val="center"/>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pStyle w:val="60"/>
        <w:rPr>
          <w:rFonts w:hint="eastAsia" w:ascii="黑体" w:hAnsi="黑体" w:eastAsia="黑体"/>
          <w:bCs/>
          <w:color w:val="auto"/>
          <w:sz w:val="36"/>
          <w:szCs w:val="36"/>
          <w:highlight w:val="none"/>
        </w:rPr>
      </w:pPr>
    </w:p>
    <w:p>
      <w:pPr>
        <w:tabs>
          <w:tab w:val="left" w:pos="525"/>
          <w:tab w:val="left" w:pos="630"/>
          <w:tab w:val="left" w:pos="735"/>
          <w:tab w:val="left" w:pos="945"/>
          <w:tab w:val="left" w:pos="1080"/>
        </w:tabs>
        <w:spacing w:line="360" w:lineRule="auto"/>
        <w:ind w:firstLine="480"/>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pPr>
        <w:pStyle w:val="394"/>
        <w:spacing w:before="0" w:after="0" w:line="360" w:lineRule="auto"/>
        <w:ind w:firstLine="602"/>
        <w:rPr>
          <w:rFonts w:cs="Arial"/>
          <w:b/>
          <w:color w:val="auto"/>
          <w:sz w:val="30"/>
          <w:szCs w:val="30"/>
          <w:highlight w:val="none"/>
        </w:rPr>
      </w:pPr>
      <w:r>
        <w:rPr>
          <w:rFonts w:hint="eastAsia" w:cs="Arial"/>
          <w:b/>
          <w:color w:val="auto"/>
          <w:sz w:val="30"/>
          <w:szCs w:val="30"/>
          <w:highlight w:val="none"/>
        </w:rPr>
        <w:t>第一部分评标方法</w:t>
      </w:r>
    </w:p>
    <w:p>
      <w:pPr>
        <w:pStyle w:val="394"/>
        <w:spacing w:before="0" w:after="0" w:line="360" w:lineRule="auto"/>
        <w:rPr>
          <w:rFonts w:cs="Arial"/>
          <w:color w:val="auto"/>
          <w:highlight w:val="none"/>
        </w:rPr>
      </w:pPr>
      <w:r>
        <w:rPr>
          <w:rFonts w:hint="eastAsia" w:cs="Arial"/>
          <w:color w:val="auto"/>
          <w:highlight w:val="none"/>
        </w:rPr>
        <w:t>投标人通过初审的，方可进入比较与评价程序。</w:t>
      </w:r>
    </w:p>
    <w:p>
      <w:pPr>
        <w:pStyle w:val="394"/>
        <w:spacing w:before="0" w:after="0" w:line="360" w:lineRule="auto"/>
        <w:rPr>
          <w:rFonts w:cs="Arial"/>
          <w:color w:val="auto"/>
          <w:highlight w:val="none"/>
        </w:rPr>
      </w:pPr>
      <w:r>
        <w:rPr>
          <w:rFonts w:hint="eastAsia" w:cs="Arial"/>
          <w:color w:val="auto"/>
          <w:highlight w:val="none"/>
        </w:rPr>
        <w:t>比较与评价采用综合评分法。</w:t>
      </w:r>
    </w:p>
    <w:p>
      <w:pPr>
        <w:pStyle w:val="394"/>
        <w:spacing w:before="0" w:after="0" w:line="360" w:lineRule="auto"/>
        <w:rPr>
          <w:rStyle w:val="38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pPr>
        <w:pStyle w:val="394"/>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pPr>
        <w:pStyle w:val="394"/>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pPr>
        <w:pStyle w:val="394"/>
        <w:spacing w:before="0" w:after="0" w:line="360" w:lineRule="auto"/>
        <w:ind w:firstLine="360"/>
        <w:rPr>
          <w:rFonts w:ascii="宋体" w:hAnsi="宋体"/>
          <w:b/>
          <w:bCs/>
          <w:i/>
          <w:color w:val="auto"/>
          <w:sz w:val="28"/>
          <w:szCs w:val="28"/>
          <w:highlight w:val="none"/>
        </w:rPr>
      </w:pPr>
    </w:p>
    <w:p>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pPr>
        <w:pStyle w:val="394"/>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pPr>
        <w:pStyle w:val="132"/>
        <w:numPr>
          <w:ilvl w:val="0"/>
          <w:numId w:val="0"/>
        </w:numPr>
        <w:spacing w:line="360" w:lineRule="auto"/>
        <w:ind w:left="120" w:leftChars="0"/>
        <w:rPr>
          <w:color w:val="auto"/>
          <w:highlight w:val="none"/>
        </w:rPr>
      </w:pPr>
      <w:bookmarkStart w:id="180" w:name="_Hlk165208115"/>
      <w:r>
        <w:rPr>
          <w:rFonts w:hint="eastAsia"/>
          <w:color w:val="auto"/>
          <w:highlight w:val="none"/>
          <w:lang w:eastAsia="zh-CN"/>
        </w:rPr>
        <w:t>（</w:t>
      </w:r>
      <w:r>
        <w:rPr>
          <w:rFonts w:hint="eastAsia"/>
          <w:color w:val="auto"/>
          <w:highlight w:val="none"/>
          <w:lang w:val="en-US" w:eastAsia="zh-CN"/>
        </w:rPr>
        <w:t>一）</w:t>
      </w:r>
      <w:r>
        <w:rPr>
          <w:rFonts w:hint="eastAsia"/>
          <w:color w:val="auto"/>
          <w:highlight w:val="none"/>
        </w:rPr>
        <w:t>评分项目及总分（总分100分）</w:t>
      </w:r>
    </w:p>
    <w:p>
      <w:pPr>
        <w:spacing w:line="360" w:lineRule="auto"/>
        <w:ind w:firstLine="482" w:firstLineChars="200"/>
        <w:rPr>
          <w:rFonts w:hint="eastAsia" w:ascii="宋体" w:hAnsi="宋体" w:eastAsia="宋体" w:cs="宋体"/>
          <w:b/>
          <w:color w:val="auto"/>
          <w:sz w:val="24"/>
          <w:highlight w:val="none"/>
        </w:rPr>
      </w:pPr>
      <w:bookmarkStart w:id="181" w:name="_Hlk165208094"/>
      <w:r>
        <w:rPr>
          <w:rFonts w:hint="eastAsia" w:ascii="宋体" w:hAnsi="宋体" w:eastAsia="宋体" w:cs="宋体"/>
          <w:b/>
          <w:color w:val="auto"/>
          <w:sz w:val="24"/>
          <w:highlight w:val="none"/>
        </w:rPr>
        <w:t xml:space="preserve">（1）报价                                  </w:t>
      </w:r>
      <w:r>
        <w:rPr>
          <w:rFonts w:hint="eastAsia"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 </w:t>
      </w:r>
      <w:r>
        <w:rPr>
          <w:rFonts w:hint="eastAsia" w:hAnsi="宋体" w:cs="宋体"/>
          <w:b/>
          <w:color w:val="auto"/>
          <w:sz w:val="24"/>
          <w:highlight w:val="none"/>
          <w:lang w:val="en-US" w:eastAsia="zh-CN"/>
        </w:rPr>
        <w:t>30</w:t>
      </w:r>
      <w:r>
        <w:rPr>
          <w:rFonts w:hint="eastAsia" w:ascii="宋体" w:hAnsi="宋体" w:eastAsia="宋体" w:cs="宋体"/>
          <w:b/>
          <w:color w:val="auto"/>
          <w:sz w:val="24"/>
          <w:highlight w:val="none"/>
        </w:rPr>
        <w:t>分</w:t>
      </w:r>
    </w:p>
    <w:p>
      <w:pPr>
        <w:spacing w:line="360" w:lineRule="auto"/>
        <w:ind w:firstLine="482" w:firstLineChars="200"/>
        <w:rPr>
          <w:rFonts w:hint="eastAsia" w:hAnsi="宋体" w:cs="宋体"/>
          <w:b/>
          <w:color w:val="auto"/>
          <w:sz w:val="24"/>
          <w:highlight w:val="none"/>
          <w:lang w:val="en-US" w:eastAsia="zh-CN"/>
        </w:rPr>
      </w:pPr>
      <w:r>
        <w:rPr>
          <w:rFonts w:hint="eastAsia" w:ascii="宋体" w:hAnsi="宋体" w:eastAsia="宋体" w:cs="宋体"/>
          <w:b/>
          <w:color w:val="auto"/>
          <w:sz w:val="24"/>
          <w:highlight w:val="none"/>
        </w:rPr>
        <w:t>（2）</w:t>
      </w:r>
      <w:r>
        <w:rPr>
          <w:rFonts w:hint="eastAsia" w:ascii="宋体" w:hAnsi="宋体"/>
          <w:b/>
          <w:color w:val="auto"/>
          <w:sz w:val="24"/>
          <w:highlight w:val="none"/>
        </w:rPr>
        <w:t>投标供应商评价</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highlight w:val="none"/>
        </w:rPr>
        <w:t xml:space="preserve">                 </w:t>
      </w:r>
      <w:r>
        <w:rPr>
          <w:rFonts w:hint="eastAsia" w:hAnsi="宋体" w:cs="宋体"/>
          <w:b/>
          <w:color w:val="auto"/>
          <w:sz w:val="24"/>
          <w:highlight w:val="none"/>
          <w:lang w:val="en-US" w:eastAsia="zh-CN"/>
        </w:rPr>
        <w:t xml:space="preserve"> 20分</w:t>
      </w:r>
    </w:p>
    <w:p>
      <w:pPr>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 xml:space="preserve">）技术文件                                </w:t>
      </w:r>
      <w:r>
        <w:rPr>
          <w:rFonts w:hint="eastAsia" w:hAnsi="宋体" w:cs="宋体"/>
          <w:b/>
          <w:color w:val="auto"/>
          <w:sz w:val="24"/>
          <w:highlight w:val="none"/>
          <w:lang w:val="en-US" w:eastAsia="zh-CN"/>
        </w:rPr>
        <w:t>50</w:t>
      </w:r>
      <w:r>
        <w:rPr>
          <w:rFonts w:hint="eastAsia" w:ascii="宋体" w:hAnsi="宋体" w:eastAsia="宋体" w:cs="宋体"/>
          <w:b/>
          <w:color w:val="auto"/>
          <w:sz w:val="24"/>
          <w:highlight w:val="none"/>
        </w:rPr>
        <w:t>分</w:t>
      </w:r>
    </w:p>
    <w:bookmarkEnd w:id="181"/>
    <w:p>
      <w:pPr>
        <w:spacing w:line="360" w:lineRule="auto"/>
        <w:ind w:firstLine="241"/>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（二)各项目评分标准</w:t>
      </w:r>
    </w:p>
    <w:bookmarkEnd w:id="180"/>
    <w:p>
      <w:pPr>
        <w:pStyle w:val="394"/>
        <w:spacing w:before="0" w:after="0" w:line="360" w:lineRule="auto"/>
        <w:ind w:firstLine="420"/>
        <w:rPr>
          <w:rFonts w:ascii="宋体" w:hAnsi="宋体"/>
          <w:b/>
          <w:bCs/>
          <w:color w:val="auto"/>
          <w:highlight w:val="none"/>
        </w:rPr>
      </w:pPr>
      <w:r>
        <w:rPr>
          <w:rFonts w:hint="eastAsia" w:ascii="宋体" w:hAnsi="宋体"/>
          <w:bCs/>
          <w:color w:val="auto"/>
          <w:sz w:val="28"/>
          <w:szCs w:val="28"/>
          <w:highlight w:val="none"/>
        </w:rPr>
        <w:t>1.</w:t>
      </w:r>
      <w:r>
        <w:rPr>
          <w:rFonts w:hint="eastAsia" w:ascii="宋体" w:hAnsi="宋体"/>
          <w:b/>
          <w:bCs/>
          <w:color w:val="auto"/>
          <w:highlight w:val="none"/>
        </w:rPr>
        <w:t>价格（</w:t>
      </w:r>
      <w:r>
        <w:rPr>
          <w:rFonts w:hint="eastAsia" w:ascii="宋体" w:hAnsi="宋体"/>
          <w:b/>
          <w:bCs/>
          <w:color w:val="auto"/>
          <w:highlight w:val="none"/>
          <w:lang w:val="en-US" w:eastAsia="zh-CN"/>
        </w:rPr>
        <w:t>30</w:t>
      </w:r>
      <w:r>
        <w:rPr>
          <w:rFonts w:hint="eastAsia" w:ascii="宋体" w:hAnsi="宋体"/>
          <w:b/>
          <w:bCs/>
          <w:color w:val="auto"/>
          <w:highlight w:val="none"/>
        </w:rPr>
        <w:t>分）：</w:t>
      </w:r>
    </w:p>
    <w:p>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bCs/>
          <w:color w:val="auto"/>
          <w:sz w:val="24"/>
          <w:szCs w:val="24"/>
          <w:highlight w:val="none"/>
        </w:rPr>
        <w:t>评标基准价／投标报价</w:t>
      </w:r>
      <w:r>
        <w:rPr>
          <w:rFonts w:ascii="宋体" w:hAnsi="宋体"/>
          <w:bCs/>
          <w:color w:val="auto"/>
          <w:sz w:val="24"/>
          <w:szCs w:val="24"/>
          <w:highlight w:val="none"/>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pPr>
        <w:tabs>
          <w:tab w:val="left" w:pos="840"/>
          <w:tab w:val="left" w:pos="1050"/>
        </w:tabs>
        <w:spacing w:line="360" w:lineRule="auto"/>
        <w:ind w:firstLine="480" w:firstLineChars="200"/>
        <w:rPr>
          <w:rFonts w:ascii="宋体" w:hAnsi="宋体"/>
          <w:b/>
          <w:color w:val="auto"/>
          <w:sz w:val="24"/>
          <w:highlight w:val="none"/>
        </w:rPr>
      </w:pPr>
      <w:r>
        <w:rPr>
          <w:rFonts w:hint="eastAsia" w:ascii="宋体" w:hAnsi="宋体"/>
          <w:b/>
          <w:color w:val="auto"/>
          <w:sz w:val="24"/>
          <w:highlight w:val="none"/>
          <w:lang w:val="en-US" w:eastAsia="zh-CN"/>
        </w:rPr>
        <w:t>2、</w:t>
      </w:r>
      <w:r>
        <w:rPr>
          <w:rFonts w:hint="eastAsia" w:ascii="宋体" w:hAnsi="宋体"/>
          <w:b/>
          <w:color w:val="auto"/>
          <w:sz w:val="24"/>
          <w:highlight w:val="none"/>
        </w:rPr>
        <w:t>投标供应商评价（</w:t>
      </w:r>
      <w:r>
        <w:rPr>
          <w:rFonts w:hint="eastAsia" w:ascii="宋体" w:hAnsi="宋体"/>
          <w:b/>
          <w:color w:val="auto"/>
          <w:sz w:val="24"/>
          <w:highlight w:val="none"/>
          <w:lang w:val="en-US" w:eastAsia="zh-CN"/>
        </w:rPr>
        <w:t>20</w:t>
      </w:r>
      <w:r>
        <w:rPr>
          <w:rFonts w:hint="eastAsia" w:ascii="宋体" w:hAnsi="宋体"/>
          <w:b/>
          <w:color w:val="auto"/>
          <w:sz w:val="24"/>
          <w:highlight w:val="none"/>
        </w:rPr>
        <w:t>分）</w:t>
      </w:r>
    </w:p>
    <w:p>
      <w:pPr>
        <w:keepNext w:val="0"/>
        <w:keepLines w:val="0"/>
        <w:pageBreakBefore w:val="0"/>
        <w:widowControl w:val="0"/>
        <w:tabs>
          <w:tab w:val="center" w:pos="4153"/>
          <w:tab w:val="right" w:pos="8306"/>
        </w:tabs>
        <w:kinsoku/>
        <w:wordWrap/>
        <w:overflowPunct/>
        <w:topLinePunct w:val="0"/>
        <w:bidi w:val="0"/>
        <w:snapToGrid w:val="0"/>
        <w:spacing w:line="360" w:lineRule="auto"/>
        <w:ind w:firstLine="482" w:firstLineChars="200"/>
        <w:jc w:val="left"/>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w:t>
      </w:r>
      <w:r>
        <w:rPr>
          <w:rFonts w:hint="eastAsia" w:ascii="宋体" w:hAnsi="宋体" w:eastAsia="宋体" w:cs="宋体"/>
          <w:b/>
          <w:color w:val="auto"/>
          <w:kern w:val="0"/>
          <w:sz w:val="24"/>
          <w:szCs w:val="24"/>
          <w:highlight w:val="none"/>
          <w:lang w:val="en-US" w:eastAsia="zh-CN" w:bidi="ar-SA"/>
        </w:rPr>
        <w:t>企业业绩：2分</w:t>
      </w:r>
    </w:p>
    <w:p>
      <w:pPr>
        <w:keepNext w:val="0"/>
        <w:keepLines w:val="0"/>
        <w:pageBreakBefore w:val="0"/>
        <w:widowControl w:val="0"/>
        <w:tabs>
          <w:tab w:val="center" w:pos="4153"/>
          <w:tab w:val="right" w:pos="8306"/>
        </w:tabs>
        <w:kinsoku/>
        <w:wordWrap/>
        <w:overflowPunct/>
        <w:topLinePunct w:val="0"/>
        <w:bidi w:val="0"/>
        <w:snapToGrid w:val="0"/>
        <w:spacing w:line="360" w:lineRule="auto"/>
        <w:ind w:firstLine="480" w:firstLineChars="200"/>
        <w:jc w:val="lef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color w:val="auto"/>
          <w:sz w:val="24"/>
          <w:szCs w:val="24"/>
          <w:highlight w:val="none"/>
        </w:rPr>
        <w:t>投标供应商近三年（从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公告发布首日向前推算）以来承担过同类项目的，有一个得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b/>
          <w:bCs/>
          <w:color w:val="auto"/>
          <w:kern w:val="0"/>
          <w:sz w:val="24"/>
          <w:szCs w:val="24"/>
          <w:highlight w:val="none"/>
          <w:lang w:val="zh-CN"/>
        </w:rPr>
        <w:t>（响应文件中提供合同</w:t>
      </w:r>
      <w:r>
        <w:rPr>
          <w:rFonts w:hint="eastAsia" w:ascii="宋体" w:hAnsi="宋体" w:eastAsia="宋体" w:cs="宋体"/>
          <w:b/>
          <w:bCs/>
          <w:color w:val="auto"/>
          <w:kern w:val="0"/>
          <w:sz w:val="24"/>
          <w:szCs w:val="24"/>
          <w:highlight w:val="none"/>
          <w:lang w:val="en-US" w:eastAsia="zh-CN"/>
        </w:rPr>
        <w:t>扫描</w:t>
      </w:r>
      <w:r>
        <w:rPr>
          <w:rFonts w:hint="eastAsia" w:ascii="宋体" w:hAnsi="宋体" w:eastAsia="宋体" w:cs="宋体"/>
          <w:b/>
          <w:bCs/>
          <w:color w:val="auto"/>
          <w:kern w:val="0"/>
          <w:sz w:val="24"/>
          <w:szCs w:val="24"/>
          <w:highlight w:val="none"/>
          <w:lang w:val="zh-CN"/>
        </w:rPr>
        <w:t>件加盖公章</w:t>
      </w:r>
      <w:r>
        <w:rPr>
          <w:rFonts w:hint="eastAsia" w:ascii="宋体" w:hAnsi="宋体" w:eastAsia="宋体" w:cs="宋体"/>
          <w:b/>
          <w:bCs/>
          <w:color w:val="auto"/>
          <w:kern w:val="0"/>
          <w:sz w:val="24"/>
          <w:szCs w:val="24"/>
          <w:highlight w:val="none"/>
          <w:lang w:val="en-US" w:eastAsia="zh-CN"/>
        </w:rPr>
        <w:t>或电子签章</w:t>
      </w:r>
      <w:r>
        <w:rPr>
          <w:rFonts w:hint="eastAsia" w:ascii="宋体" w:hAnsi="宋体" w:eastAsia="宋体" w:cs="宋体"/>
          <w:b/>
          <w:bCs/>
          <w:color w:val="auto"/>
          <w:kern w:val="0"/>
          <w:sz w:val="24"/>
          <w:szCs w:val="24"/>
          <w:highlight w:val="none"/>
          <w:lang w:val="zh-CN"/>
        </w:rPr>
        <w:t>附在响应文件中，时间以合同签订时间为准）</w:t>
      </w:r>
    </w:p>
    <w:p>
      <w:pPr>
        <w:keepNext w:val="0"/>
        <w:keepLines w:val="0"/>
        <w:pageBreakBefore w:val="0"/>
        <w:widowControl w:val="0"/>
        <w:tabs>
          <w:tab w:val="left" w:pos="945"/>
        </w:tabs>
        <w:kinsoku/>
        <w:wordWrap/>
        <w:overflowPunct/>
        <w:topLinePunct w:val="0"/>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、企业</w:t>
      </w:r>
      <w:r>
        <w:rPr>
          <w:rFonts w:hint="eastAsia" w:ascii="宋体" w:hAnsi="宋体" w:eastAsia="宋体" w:cs="宋体"/>
          <w:b/>
          <w:bCs/>
          <w:color w:val="auto"/>
          <w:sz w:val="24"/>
          <w:szCs w:val="24"/>
          <w:highlight w:val="none"/>
          <w:lang w:val="en-US" w:eastAsia="zh-CN"/>
        </w:rPr>
        <w:t>证书荣誉</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color w:val="auto"/>
          <w:kern w:val="0"/>
          <w:sz w:val="24"/>
          <w:szCs w:val="24"/>
          <w:highlight w:val="none"/>
        </w:rPr>
        <w:t>①</w:t>
      </w:r>
      <w:r>
        <w:rPr>
          <w:rFonts w:hint="eastAsia" w:ascii="宋体" w:hAnsi="宋体" w:eastAsia="宋体" w:cs="宋体"/>
          <w:color w:val="auto"/>
          <w:sz w:val="24"/>
          <w:szCs w:val="24"/>
          <w:highlight w:val="none"/>
          <w:lang w:eastAsia="zh-CN"/>
        </w:rPr>
        <w:t>投标供应商所承接的</w:t>
      </w:r>
      <w:r>
        <w:rPr>
          <w:rFonts w:hint="eastAsia" w:ascii="宋体" w:hAnsi="宋体" w:eastAsia="宋体" w:cs="宋体"/>
          <w:color w:val="auto"/>
          <w:sz w:val="24"/>
          <w:szCs w:val="24"/>
          <w:highlight w:val="none"/>
          <w:lang w:val="en-US" w:eastAsia="zh-CN"/>
        </w:rPr>
        <w:t>绿化</w:t>
      </w:r>
      <w:r>
        <w:rPr>
          <w:rFonts w:hint="eastAsia" w:ascii="宋体" w:hAnsi="宋体" w:eastAsia="宋体" w:cs="宋体"/>
          <w:color w:val="auto"/>
          <w:sz w:val="24"/>
          <w:szCs w:val="24"/>
          <w:highlight w:val="none"/>
          <w:lang w:eastAsia="zh-CN"/>
        </w:rPr>
        <w:t>养护项目</w:t>
      </w:r>
      <w:r>
        <w:rPr>
          <w:rFonts w:hint="eastAsia" w:ascii="宋体" w:hAnsi="宋体" w:eastAsia="宋体" w:cs="宋体"/>
          <w:color w:val="auto"/>
          <w:sz w:val="24"/>
          <w:szCs w:val="24"/>
          <w:highlight w:val="none"/>
          <w:lang w:val="en-US" w:eastAsia="zh-CN"/>
        </w:rPr>
        <w:t>被评为</w:t>
      </w:r>
      <w:r>
        <w:rPr>
          <w:rFonts w:hint="eastAsia" w:ascii="宋体" w:hAnsi="宋体" w:eastAsia="宋体" w:cs="宋体"/>
          <w:color w:val="auto"/>
          <w:sz w:val="24"/>
          <w:szCs w:val="24"/>
          <w:highlight w:val="none"/>
        </w:rPr>
        <w:t>设区市级</w:t>
      </w:r>
      <w:r>
        <w:rPr>
          <w:rFonts w:hint="eastAsia" w:ascii="宋体" w:hAnsi="宋体" w:eastAsia="宋体" w:cs="宋体"/>
          <w:color w:val="auto"/>
          <w:sz w:val="24"/>
          <w:szCs w:val="24"/>
          <w:highlight w:val="none"/>
          <w:lang w:eastAsia="zh-CN"/>
        </w:rPr>
        <w:t>及以上绿化养护优质工程奖的，有一个得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本项</w:t>
      </w:r>
      <w:r>
        <w:rPr>
          <w:rFonts w:hint="eastAsia" w:ascii="宋体" w:hAnsi="宋体" w:eastAsia="宋体" w:cs="宋体"/>
          <w:color w:val="auto"/>
          <w:sz w:val="24"/>
          <w:szCs w:val="24"/>
          <w:highlight w:val="none"/>
          <w:lang w:eastAsia="zh-CN"/>
        </w:rPr>
        <w:t>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以获奖证书落款日期或获奖文件发布日期为准，从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公告发布首日向前推算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同一个项目不重复得分。</w:t>
      </w:r>
      <w:r>
        <w:rPr>
          <w:rFonts w:hint="eastAsia" w:ascii="宋体" w:hAnsi="宋体" w:eastAsia="宋体" w:cs="宋体"/>
          <w:b/>
          <w:bCs/>
          <w:color w:val="auto"/>
          <w:kern w:val="0"/>
          <w:sz w:val="24"/>
          <w:szCs w:val="24"/>
          <w:highlight w:val="none"/>
          <w:lang w:val="zh-CN"/>
        </w:rPr>
        <w:t>（提供相关获奖证书</w:t>
      </w:r>
      <w:r>
        <w:rPr>
          <w:rFonts w:hint="eastAsia" w:ascii="宋体" w:hAnsi="宋体" w:eastAsia="宋体" w:cs="宋体"/>
          <w:b/>
          <w:bCs/>
          <w:color w:val="auto"/>
          <w:kern w:val="0"/>
          <w:sz w:val="24"/>
          <w:szCs w:val="24"/>
          <w:highlight w:val="none"/>
          <w:lang w:val="en-US" w:eastAsia="zh-CN"/>
        </w:rPr>
        <w:t>扫描</w:t>
      </w:r>
      <w:r>
        <w:rPr>
          <w:rFonts w:hint="eastAsia" w:ascii="宋体" w:hAnsi="宋体" w:eastAsia="宋体" w:cs="宋体"/>
          <w:b/>
          <w:bCs/>
          <w:color w:val="auto"/>
          <w:kern w:val="0"/>
          <w:sz w:val="24"/>
          <w:szCs w:val="24"/>
          <w:highlight w:val="none"/>
          <w:lang w:val="zh-CN"/>
        </w:rPr>
        <w:t>件加盖公章</w:t>
      </w:r>
      <w:r>
        <w:rPr>
          <w:rFonts w:hint="eastAsia" w:ascii="宋体" w:hAnsi="宋体" w:eastAsia="宋体" w:cs="宋体"/>
          <w:b/>
          <w:bCs/>
          <w:color w:val="auto"/>
          <w:kern w:val="0"/>
          <w:sz w:val="24"/>
          <w:szCs w:val="24"/>
          <w:highlight w:val="none"/>
          <w:lang w:val="en-US" w:eastAsia="zh-CN"/>
        </w:rPr>
        <w:t>或电子签章</w:t>
      </w:r>
      <w:r>
        <w:rPr>
          <w:rFonts w:hint="eastAsia" w:ascii="宋体" w:hAnsi="宋体" w:eastAsia="宋体" w:cs="宋体"/>
          <w:b/>
          <w:bCs/>
          <w:color w:val="auto"/>
          <w:kern w:val="0"/>
          <w:sz w:val="24"/>
          <w:szCs w:val="24"/>
          <w:highlight w:val="none"/>
          <w:lang w:val="zh-CN"/>
        </w:rPr>
        <w:t>附在响应文件中，有效期以获奖证书落款日期为准。）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color w:val="auto"/>
          <w:kern w:val="0"/>
          <w:sz w:val="24"/>
          <w:szCs w:val="24"/>
          <w:highlight w:val="none"/>
        </w:rPr>
        <w:t>②</w:t>
      </w:r>
      <w:r>
        <w:rPr>
          <w:rFonts w:hint="eastAsia" w:ascii="宋体" w:hAnsi="宋体" w:eastAsia="宋体" w:cs="宋体"/>
          <w:color w:val="auto"/>
          <w:sz w:val="24"/>
          <w:szCs w:val="24"/>
          <w:highlight w:val="none"/>
        </w:rPr>
        <w:t>投标供应商提供有害生物防治服务证书，得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b/>
          <w:bCs/>
          <w:color w:val="auto"/>
          <w:kern w:val="0"/>
          <w:sz w:val="24"/>
          <w:szCs w:val="24"/>
          <w:highlight w:val="none"/>
          <w:lang w:val="zh-CN"/>
        </w:rPr>
        <w:t>（提供上述相关证书</w:t>
      </w:r>
      <w:r>
        <w:rPr>
          <w:rFonts w:hint="eastAsia" w:ascii="宋体" w:hAnsi="宋体" w:eastAsia="宋体" w:cs="宋体"/>
          <w:b/>
          <w:bCs/>
          <w:color w:val="auto"/>
          <w:kern w:val="0"/>
          <w:sz w:val="24"/>
          <w:szCs w:val="24"/>
          <w:highlight w:val="none"/>
          <w:lang w:val="en-US" w:eastAsia="zh-CN"/>
        </w:rPr>
        <w:t>扫描</w:t>
      </w:r>
      <w:r>
        <w:rPr>
          <w:rFonts w:hint="eastAsia" w:ascii="宋体" w:hAnsi="宋体" w:eastAsia="宋体" w:cs="宋体"/>
          <w:b/>
          <w:bCs/>
          <w:color w:val="auto"/>
          <w:kern w:val="0"/>
          <w:sz w:val="24"/>
          <w:szCs w:val="24"/>
          <w:highlight w:val="none"/>
          <w:lang w:val="zh-CN"/>
        </w:rPr>
        <w:t>件加盖公章</w:t>
      </w:r>
      <w:r>
        <w:rPr>
          <w:rFonts w:hint="eastAsia" w:ascii="宋体" w:hAnsi="宋体" w:eastAsia="宋体" w:cs="宋体"/>
          <w:b/>
          <w:bCs/>
          <w:color w:val="auto"/>
          <w:kern w:val="0"/>
          <w:sz w:val="24"/>
          <w:szCs w:val="24"/>
          <w:highlight w:val="none"/>
          <w:lang w:val="en-US" w:eastAsia="zh-CN"/>
        </w:rPr>
        <w:t>或电子签章</w:t>
      </w:r>
      <w:r>
        <w:rPr>
          <w:rFonts w:hint="eastAsia" w:ascii="宋体" w:hAnsi="宋体" w:eastAsia="宋体" w:cs="宋体"/>
          <w:b/>
          <w:bCs/>
          <w:color w:val="auto"/>
          <w:kern w:val="0"/>
          <w:sz w:val="24"/>
          <w:szCs w:val="24"/>
          <w:highlight w:val="none"/>
          <w:lang w:val="zh-CN"/>
        </w:rPr>
        <w:t>附在响应文件中，不提供或提供不全者本项不得分。）</w:t>
      </w:r>
    </w:p>
    <w:p>
      <w:pPr>
        <w:keepNext w:val="0"/>
        <w:keepLines w:val="0"/>
        <w:pageBreakBefore w:val="0"/>
        <w:widowControl w:val="0"/>
        <w:tabs>
          <w:tab w:val="left" w:pos="945"/>
        </w:tabs>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、拟投入人员情况 ：</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pPr>
        <w:keepNext w:val="0"/>
        <w:keepLines w:val="0"/>
        <w:pageBreakBefore w:val="0"/>
        <w:widowControl w:val="0"/>
        <w:tabs>
          <w:tab w:val="left" w:pos="945"/>
        </w:tabs>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①项目负责人</w:t>
      </w:r>
      <w:r>
        <w:rPr>
          <w:rFonts w:hint="eastAsia" w:ascii="宋体" w:hAnsi="宋体" w:eastAsia="宋体" w:cs="宋体"/>
          <w:color w:val="auto"/>
          <w:sz w:val="24"/>
          <w:szCs w:val="24"/>
          <w:highlight w:val="none"/>
          <w:lang w:val="en-US" w:eastAsia="zh-CN"/>
        </w:rPr>
        <w:t>具有园林及相关专业中级及以上职称的，得1分，本项最高得1分</w:t>
      </w:r>
      <w:r>
        <w:rPr>
          <w:rFonts w:hint="eastAsia" w:ascii="宋体" w:hAnsi="宋体" w:eastAsia="宋体" w:cs="宋体"/>
          <w:color w:val="auto"/>
          <w:sz w:val="24"/>
          <w:szCs w:val="24"/>
          <w:highlight w:val="none"/>
        </w:rPr>
        <w:t>。</w:t>
      </w:r>
    </w:p>
    <w:p>
      <w:pPr>
        <w:keepNext w:val="0"/>
        <w:keepLines w:val="0"/>
        <w:pageBreakBefore w:val="0"/>
        <w:widowControl w:val="0"/>
        <w:tabs>
          <w:tab w:val="left" w:pos="945"/>
        </w:tabs>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本项目养护作业人员中（项目负责人除外）具有花卉工或</w:t>
      </w:r>
      <w:r>
        <w:rPr>
          <w:rFonts w:hint="eastAsia" w:ascii="宋体" w:hAnsi="宋体" w:eastAsia="宋体" w:cs="宋体"/>
          <w:color w:val="auto"/>
          <w:sz w:val="24"/>
          <w:szCs w:val="24"/>
          <w:highlight w:val="none"/>
          <w:lang w:val="en-US" w:eastAsia="zh-CN"/>
        </w:rPr>
        <w:t>盆景</w:t>
      </w:r>
      <w:r>
        <w:rPr>
          <w:rFonts w:hint="eastAsia" w:ascii="宋体" w:hAnsi="宋体" w:eastAsia="宋体" w:cs="宋体"/>
          <w:color w:val="auto"/>
          <w:sz w:val="24"/>
          <w:szCs w:val="24"/>
          <w:highlight w:val="none"/>
        </w:rPr>
        <w:t>工中级及以上技能等级证书的，满</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人得1分，每增加1人加</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keepNext w:val="0"/>
        <w:keepLines w:val="0"/>
        <w:pageBreakBefore w:val="0"/>
        <w:widowControl w:val="0"/>
        <w:tabs>
          <w:tab w:val="left" w:pos="945"/>
        </w:tabs>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本项目养护作业人员中（项目负责人除外）配备特种作业人员中具有</w:t>
      </w:r>
      <w:r>
        <w:rPr>
          <w:rFonts w:hint="eastAsia" w:ascii="宋体" w:hAnsi="宋体" w:eastAsia="宋体" w:cs="宋体"/>
          <w:color w:val="auto"/>
          <w:sz w:val="24"/>
          <w:szCs w:val="24"/>
          <w:highlight w:val="none"/>
          <w:lang w:val="en-US" w:eastAsia="zh-CN"/>
        </w:rPr>
        <w:t>高处作业特种工</w:t>
      </w:r>
      <w:r>
        <w:rPr>
          <w:rFonts w:hint="eastAsia" w:ascii="宋体" w:hAnsi="宋体" w:eastAsia="宋体" w:cs="宋体"/>
          <w:color w:val="auto"/>
          <w:sz w:val="24"/>
          <w:szCs w:val="24"/>
          <w:highlight w:val="none"/>
        </w:rPr>
        <w:t>证书的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每人</w:t>
      </w:r>
      <w:r>
        <w:rPr>
          <w:rFonts w:hint="eastAsia" w:ascii="宋体" w:hAnsi="宋体" w:eastAsia="宋体" w:cs="宋体"/>
          <w:color w:val="auto"/>
          <w:sz w:val="24"/>
          <w:szCs w:val="24"/>
          <w:highlight w:val="none"/>
        </w:rPr>
        <w:t>得1分，本项最高2分。</w:t>
      </w:r>
    </w:p>
    <w:p>
      <w:pPr>
        <w:keepNext w:val="0"/>
        <w:keepLines w:val="0"/>
        <w:pageBreakBefore w:val="0"/>
        <w:widowControl w:val="0"/>
        <w:tabs>
          <w:tab w:val="left" w:pos="945"/>
        </w:tabs>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以上人员</w:t>
      </w:r>
      <w:r>
        <w:rPr>
          <w:rFonts w:hint="eastAsia" w:ascii="宋体" w:hAnsi="宋体" w:eastAsia="宋体" w:cs="宋体"/>
          <w:color w:val="auto"/>
          <w:sz w:val="24"/>
          <w:szCs w:val="24"/>
          <w:highlight w:val="none"/>
        </w:rPr>
        <w:t>一人一证，同一人员不得重复计分。响应文件中附《养护作业人员投入计划一览表》（格式</w:t>
      </w:r>
      <w:r>
        <w:rPr>
          <w:rFonts w:hint="eastAsia" w:ascii="宋体" w:hAnsi="宋体" w:eastAsia="宋体" w:cs="宋体"/>
          <w:color w:val="auto"/>
          <w:sz w:val="24"/>
          <w:szCs w:val="24"/>
          <w:highlight w:val="none"/>
          <w:lang w:val="en-US" w:eastAsia="zh-CN"/>
        </w:rPr>
        <w:t>自拟</w:t>
      </w:r>
      <w:r>
        <w:rPr>
          <w:rFonts w:hint="eastAsia" w:ascii="宋体" w:hAnsi="宋体" w:eastAsia="宋体" w:cs="宋体"/>
          <w:color w:val="auto"/>
          <w:sz w:val="24"/>
          <w:szCs w:val="24"/>
          <w:highlight w:val="none"/>
        </w:rPr>
        <w:t>）、相关人员提供技能等级证书</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以及提供上述人员由社保机构出具的近三个月中任意一个月</w:t>
      </w:r>
      <w:r>
        <w:rPr>
          <w:rFonts w:hint="eastAsia" w:ascii="宋体" w:hAnsi="宋体" w:eastAsia="宋体" w:cs="宋体"/>
          <w:bCs w:val="0"/>
          <w:color w:val="auto"/>
          <w:sz w:val="24"/>
          <w:highlight w:val="none"/>
        </w:rPr>
        <w:t>(不含开标当月)</w:t>
      </w:r>
      <w:r>
        <w:rPr>
          <w:rFonts w:hint="eastAsia" w:ascii="宋体" w:hAnsi="宋体" w:eastAsia="宋体" w:cs="宋体"/>
          <w:color w:val="auto"/>
          <w:sz w:val="24"/>
          <w:szCs w:val="24"/>
          <w:highlight w:val="none"/>
        </w:rPr>
        <w:t>的缴费证明</w:t>
      </w:r>
      <w:r>
        <w:rPr>
          <w:rFonts w:hint="eastAsia" w:ascii="宋体" w:hAnsi="宋体" w:eastAsia="宋体" w:cs="宋体"/>
          <w:color w:val="auto"/>
          <w:sz w:val="24"/>
          <w:szCs w:val="24"/>
          <w:highlight w:val="none"/>
          <w:lang w:val="en-US" w:eastAsia="zh-CN"/>
        </w:rPr>
        <w:t>复印件</w:t>
      </w:r>
      <w:r>
        <w:rPr>
          <w:rFonts w:hint="eastAsia" w:ascii="宋体" w:hAnsi="宋体" w:eastAsia="宋体" w:cs="宋体"/>
          <w:color w:val="auto"/>
          <w:sz w:val="24"/>
          <w:szCs w:val="24"/>
          <w:highlight w:val="none"/>
          <w:lang w:val="zh-CN"/>
        </w:rPr>
        <w:t>加盖公章</w:t>
      </w:r>
      <w:r>
        <w:rPr>
          <w:rFonts w:hint="eastAsia" w:ascii="宋体" w:hAnsi="宋体" w:eastAsia="宋体" w:cs="宋体"/>
          <w:color w:val="auto"/>
          <w:sz w:val="24"/>
          <w:szCs w:val="24"/>
          <w:highlight w:val="none"/>
          <w:lang w:val="en-US" w:eastAsia="zh-CN"/>
        </w:rPr>
        <w:t>或电子签章</w:t>
      </w:r>
      <w:r>
        <w:rPr>
          <w:rFonts w:hint="eastAsia" w:ascii="宋体" w:hAnsi="宋体" w:eastAsia="宋体" w:cs="宋体"/>
          <w:color w:val="auto"/>
          <w:sz w:val="24"/>
          <w:szCs w:val="24"/>
          <w:highlight w:val="none"/>
        </w:rPr>
        <w:t>，不提供或提供不全者本项不得分。如有弄虚作假行为，按无效标处理。</w:t>
      </w:r>
    </w:p>
    <w:p>
      <w:pPr>
        <w:keepNext w:val="0"/>
        <w:keepLines w:val="0"/>
        <w:pageBreakBefore w:val="0"/>
        <w:widowControl w:val="0"/>
        <w:tabs>
          <w:tab w:val="left" w:pos="840"/>
          <w:tab w:val="left" w:pos="1050"/>
        </w:tabs>
        <w:kinsoku/>
        <w:wordWrap/>
        <w:overflowPunct/>
        <w:topLinePunct w:val="0"/>
        <w:bidi w:val="0"/>
        <w:spacing w:line="360" w:lineRule="auto"/>
        <w:ind w:right="-197" w:rightChars="-94" w:firstLine="482"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4）</w:t>
      </w:r>
      <w:r>
        <w:rPr>
          <w:rFonts w:hint="eastAsia" w:ascii="宋体" w:hAnsi="宋体" w:eastAsia="宋体" w:cs="宋体"/>
          <w:b/>
          <w:color w:val="auto"/>
          <w:kern w:val="0"/>
          <w:sz w:val="24"/>
          <w:szCs w:val="24"/>
          <w:highlight w:val="none"/>
        </w:rPr>
        <w:t>、养护施工机械设备配置：</w:t>
      </w:r>
      <w:r>
        <w:rPr>
          <w:rFonts w:hint="eastAsia" w:ascii="宋体" w:hAnsi="宋体" w:eastAsia="宋体" w:cs="宋体"/>
          <w:b/>
          <w:color w:val="auto"/>
          <w:kern w:val="0"/>
          <w:sz w:val="24"/>
          <w:szCs w:val="24"/>
          <w:highlight w:val="none"/>
          <w:lang w:val="en-US" w:eastAsia="zh-CN"/>
        </w:rPr>
        <w:t>9</w:t>
      </w:r>
      <w:r>
        <w:rPr>
          <w:rFonts w:hint="eastAsia" w:ascii="宋体" w:hAnsi="宋体" w:eastAsia="宋体" w:cs="宋体"/>
          <w:b/>
          <w:color w:val="auto"/>
          <w:kern w:val="0"/>
          <w:sz w:val="24"/>
          <w:szCs w:val="24"/>
          <w:highlight w:val="none"/>
        </w:rPr>
        <w:t>分</w:t>
      </w:r>
    </w:p>
    <w:p>
      <w:pPr>
        <w:keepNext w:val="0"/>
        <w:keepLines w:val="0"/>
        <w:pageBreakBefore w:val="0"/>
        <w:widowControl w:val="0"/>
        <w:tabs>
          <w:tab w:val="left" w:pos="552"/>
          <w:tab w:val="left" w:pos="1050"/>
          <w:tab w:val="left" w:pos="1365"/>
        </w:tabs>
        <w:kinsoku/>
        <w:wordWrap/>
        <w:overflowPunct/>
        <w:topLinePunct w:val="0"/>
        <w:bidi w:val="0"/>
        <w:adjustRightInd w:val="0"/>
        <w:snapToGrid w:val="0"/>
        <w:spacing w:line="360" w:lineRule="auto"/>
        <w:ind w:right="-197" w:rightChars="-94"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①投标供应商拟投入制式专业浇灌水车（核定载质量≥</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吨），有一辆得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keepNext w:val="0"/>
        <w:keepLines w:val="0"/>
        <w:pageBreakBefore w:val="0"/>
        <w:widowControl w:val="0"/>
        <w:tabs>
          <w:tab w:val="left" w:pos="552"/>
          <w:tab w:val="left" w:pos="1050"/>
          <w:tab w:val="left" w:pos="1365"/>
        </w:tabs>
        <w:kinsoku/>
        <w:wordWrap/>
        <w:overflowPunct/>
        <w:topLinePunct w:val="0"/>
        <w:bidi w:val="0"/>
        <w:adjustRightInd w:val="0"/>
        <w:snapToGrid w:val="0"/>
        <w:spacing w:line="360" w:lineRule="auto"/>
        <w:ind w:right="-197" w:rightChars="-94"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投标供应商拟投入</w:t>
      </w:r>
      <w:r>
        <w:rPr>
          <w:rFonts w:hint="eastAsia" w:ascii="宋体" w:hAnsi="宋体" w:eastAsia="宋体" w:cs="宋体"/>
          <w:color w:val="auto"/>
          <w:sz w:val="24"/>
          <w:szCs w:val="24"/>
          <w:highlight w:val="none"/>
          <w:lang w:val="en-US" w:eastAsia="zh-CN"/>
        </w:rPr>
        <w:t>厢式运输车</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用于运输材料</w:t>
      </w:r>
      <w:r>
        <w:rPr>
          <w:rFonts w:hint="eastAsia" w:ascii="宋体" w:hAnsi="宋体" w:eastAsia="宋体" w:cs="宋体"/>
          <w:color w:val="auto"/>
          <w:sz w:val="24"/>
          <w:szCs w:val="24"/>
          <w:highlight w:val="none"/>
        </w:rPr>
        <w:t>），有一辆得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pPr>
        <w:keepNext w:val="0"/>
        <w:keepLines w:val="0"/>
        <w:pageBreakBefore w:val="0"/>
        <w:widowControl w:val="0"/>
        <w:tabs>
          <w:tab w:val="left" w:pos="552"/>
          <w:tab w:val="left" w:pos="1050"/>
          <w:tab w:val="left" w:pos="1365"/>
        </w:tabs>
        <w:kinsoku/>
        <w:wordWrap/>
        <w:overflowPunct/>
        <w:topLinePunct w:val="0"/>
        <w:bidi w:val="0"/>
        <w:adjustRightInd w:val="0"/>
        <w:snapToGrid w:val="0"/>
        <w:spacing w:line="360" w:lineRule="auto"/>
        <w:ind w:right="-483" w:rightChars="-23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投标供应商拟投入客车（</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座及以上，用于接送养护工人</w:t>
      </w:r>
      <w:r>
        <w:rPr>
          <w:rFonts w:hint="eastAsia" w:ascii="宋体" w:hAnsi="宋体" w:eastAsia="宋体" w:cs="宋体"/>
          <w:color w:val="auto"/>
          <w:sz w:val="24"/>
          <w:szCs w:val="24"/>
          <w:highlight w:val="none"/>
          <w:lang w:val="en-US" w:eastAsia="zh-CN"/>
        </w:rPr>
        <w:t>及应急作业</w:t>
      </w:r>
      <w:r>
        <w:rPr>
          <w:rFonts w:hint="eastAsia" w:ascii="宋体" w:hAnsi="宋体" w:eastAsia="宋体" w:cs="宋体"/>
          <w:color w:val="auto"/>
          <w:sz w:val="24"/>
          <w:szCs w:val="24"/>
          <w:highlight w:val="none"/>
        </w:rPr>
        <w:t>），有一辆得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pPr>
        <w:keepNext w:val="0"/>
        <w:keepLines w:val="0"/>
        <w:pageBreakBefore w:val="0"/>
        <w:widowControl w:val="0"/>
        <w:tabs>
          <w:tab w:val="left" w:pos="552"/>
          <w:tab w:val="left" w:pos="1050"/>
          <w:tab w:val="left" w:pos="1365"/>
        </w:tabs>
        <w:kinsoku/>
        <w:wordWrap/>
        <w:overflowPunct/>
        <w:topLinePunct w:val="0"/>
        <w:bidi w:val="0"/>
        <w:adjustRightInd w:val="0"/>
        <w:snapToGrid w:val="0"/>
        <w:spacing w:line="360" w:lineRule="auto"/>
        <w:ind w:right="-483" w:rightChars="-23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投标供应商拟投入一辆</w:t>
      </w:r>
      <w:r>
        <w:rPr>
          <w:rFonts w:hint="eastAsia" w:ascii="宋体" w:hAnsi="宋体" w:eastAsia="宋体" w:cs="宋体"/>
          <w:color w:val="auto"/>
          <w:sz w:val="24"/>
          <w:szCs w:val="24"/>
          <w:highlight w:val="none"/>
          <w:lang w:val="en-US" w:eastAsia="zh-CN"/>
        </w:rPr>
        <w:t>无泄漏</w:t>
      </w:r>
      <w:r>
        <w:rPr>
          <w:rFonts w:hint="eastAsia" w:ascii="宋体" w:hAnsi="宋体" w:eastAsia="宋体" w:cs="宋体"/>
          <w:color w:val="auto"/>
          <w:sz w:val="24"/>
          <w:szCs w:val="24"/>
          <w:highlight w:val="none"/>
        </w:rPr>
        <w:t>压缩式垃圾车（核定载质量≥3吨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用于装卸绿地场内废弃物、垃圾等</w:t>
      </w:r>
      <w:r>
        <w:rPr>
          <w:rFonts w:hint="eastAsia" w:ascii="宋体" w:hAnsi="宋体" w:eastAsia="宋体" w:cs="宋体"/>
          <w:color w:val="auto"/>
          <w:sz w:val="24"/>
          <w:szCs w:val="24"/>
          <w:highlight w:val="none"/>
        </w:rPr>
        <w:t>），有一辆得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keepNext w:val="0"/>
        <w:keepLines w:val="0"/>
        <w:pageBreakBefore w:val="0"/>
        <w:widowControl w:val="0"/>
        <w:tabs>
          <w:tab w:val="left" w:pos="552"/>
          <w:tab w:val="left" w:pos="1050"/>
          <w:tab w:val="left" w:pos="1365"/>
        </w:tabs>
        <w:kinsoku/>
        <w:wordWrap/>
        <w:overflowPunct/>
        <w:topLinePunct w:val="0"/>
        <w:bidi w:val="0"/>
        <w:adjustRightInd w:val="0"/>
        <w:snapToGrid w:val="0"/>
        <w:spacing w:line="360" w:lineRule="auto"/>
        <w:ind w:right="-483" w:rightChars="-23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rPr>
        <w:t>投标供应商拟投入</w:t>
      </w:r>
      <w:r>
        <w:rPr>
          <w:rFonts w:hint="eastAsia" w:ascii="宋体" w:hAnsi="宋体" w:eastAsia="宋体" w:cs="宋体"/>
          <w:color w:val="auto"/>
          <w:sz w:val="24"/>
          <w:szCs w:val="24"/>
          <w:highlight w:val="none"/>
          <w:lang w:val="en-US" w:eastAsia="zh-CN"/>
        </w:rPr>
        <w:t>多功能抑尘车</w:t>
      </w:r>
      <w:r>
        <w:rPr>
          <w:rFonts w:hint="eastAsia" w:ascii="宋体" w:hAnsi="宋体" w:eastAsia="宋体" w:cs="宋体"/>
          <w:color w:val="auto"/>
          <w:sz w:val="24"/>
          <w:szCs w:val="24"/>
          <w:highlight w:val="none"/>
        </w:rPr>
        <w:t>，有一辆得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keepNext w:val="0"/>
        <w:keepLines w:val="0"/>
        <w:pageBreakBefore w:val="0"/>
        <w:widowControl w:val="0"/>
        <w:tabs>
          <w:tab w:val="left" w:pos="552"/>
          <w:tab w:val="left" w:pos="1050"/>
          <w:tab w:val="left" w:pos="1365"/>
        </w:tabs>
        <w:kinsoku/>
        <w:wordWrap/>
        <w:overflowPunct/>
        <w:topLinePunct w:val="0"/>
        <w:bidi w:val="0"/>
        <w:adjustRightInd w:val="0"/>
        <w:snapToGrid w:val="0"/>
        <w:spacing w:line="360" w:lineRule="auto"/>
        <w:ind w:right="-197" w:rightChars="-94"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⑥</w:t>
      </w:r>
      <w:r>
        <w:rPr>
          <w:rFonts w:hint="eastAsia" w:ascii="宋体" w:hAnsi="宋体" w:eastAsia="宋体" w:cs="宋体"/>
          <w:color w:val="auto"/>
          <w:sz w:val="24"/>
          <w:szCs w:val="24"/>
          <w:highlight w:val="none"/>
        </w:rPr>
        <w:t>投标供应商拟投入移动式泵车（功率≥500m3/h），有一</w:t>
      </w:r>
      <w:r>
        <w:rPr>
          <w:rFonts w:hint="eastAsia" w:ascii="宋体" w:hAnsi="宋体" w:eastAsia="宋体" w:cs="宋体"/>
          <w:color w:val="auto"/>
          <w:sz w:val="24"/>
          <w:szCs w:val="24"/>
          <w:highlight w:val="none"/>
          <w:lang w:val="en-US" w:eastAsia="zh-CN"/>
        </w:rPr>
        <w:t>台</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pPr>
        <w:keepNext w:val="0"/>
        <w:keepLines w:val="0"/>
        <w:pageBreakBefore w:val="0"/>
        <w:widowControl w:val="0"/>
        <w:tabs>
          <w:tab w:val="left" w:pos="945"/>
        </w:tabs>
        <w:kinsoku/>
        <w:wordWrap/>
        <w:overflowPunct/>
        <w:topLinePunct w:val="0"/>
        <w:bidi w:val="0"/>
        <w:adjustRightInd w:val="0"/>
        <w:snapToGrid w:val="0"/>
        <w:spacing w:line="360" w:lineRule="auto"/>
        <w:ind w:right="-197" w:rightChars="-94"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注：制式专业浇灌水车、</w:t>
      </w:r>
      <w:r>
        <w:rPr>
          <w:rFonts w:hint="eastAsia" w:ascii="宋体" w:hAnsi="宋体" w:eastAsia="宋体" w:cs="宋体"/>
          <w:color w:val="auto"/>
          <w:sz w:val="24"/>
          <w:szCs w:val="24"/>
          <w:highlight w:val="none"/>
          <w:lang w:val="zh-CN" w:eastAsia="zh-CN"/>
        </w:rPr>
        <w:t>厢式运输车</w:t>
      </w:r>
      <w:r>
        <w:rPr>
          <w:rFonts w:hint="eastAsia" w:ascii="宋体" w:hAnsi="宋体" w:eastAsia="宋体" w:cs="宋体"/>
          <w:color w:val="auto"/>
          <w:sz w:val="24"/>
          <w:szCs w:val="24"/>
          <w:highlight w:val="none"/>
          <w:lang w:val="zh-CN"/>
        </w:rPr>
        <w:t>、客车、</w:t>
      </w:r>
      <w:r>
        <w:rPr>
          <w:rFonts w:hint="eastAsia" w:ascii="宋体" w:hAnsi="宋体" w:eastAsia="宋体" w:cs="宋体"/>
          <w:color w:val="auto"/>
          <w:sz w:val="24"/>
          <w:szCs w:val="24"/>
          <w:highlight w:val="none"/>
          <w:lang w:val="zh-CN" w:eastAsia="zh-CN"/>
        </w:rPr>
        <w:t>无泄漏</w:t>
      </w:r>
      <w:r>
        <w:rPr>
          <w:rFonts w:hint="eastAsia" w:ascii="宋体" w:hAnsi="宋体" w:eastAsia="宋体" w:cs="宋体"/>
          <w:color w:val="auto"/>
          <w:sz w:val="24"/>
          <w:szCs w:val="24"/>
          <w:highlight w:val="none"/>
          <w:lang w:val="zh-CN"/>
        </w:rPr>
        <w:t>压缩式垃圾车、</w:t>
      </w:r>
      <w:r>
        <w:rPr>
          <w:rFonts w:hint="eastAsia" w:ascii="宋体" w:hAnsi="宋体" w:eastAsia="宋体" w:cs="宋体"/>
          <w:color w:val="auto"/>
          <w:sz w:val="24"/>
          <w:szCs w:val="24"/>
          <w:highlight w:val="none"/>
          <w:lang w:val="zh-CN" w:eastAsia="zh-CN"/>
        </w:rPr>
        <w:t>多功能抑尘车、移动式泵车</w:t>
      </w:r>
      <w:r>
        <w:rPr>
          <w:rFonts w:hint="eastAsia" w:ascii="宋体" w:hAnsi="宋体" w:eastAsia="宋体" w:cs="宋体"/>
          <w:color w:val="auto"/>
          <w:sz w:val="24"/>
          <w:szCs w:val="24"/>
          <w:highlight w:val="none"/>
          <w:lang w:val="zh-CN"/>
        </w:rPr>
        <w:t>等机械自有的提供设备图片、购置发票、</w:t>
      </w:r>
      <w:r>
        <w:rPr>
          <w:rFonts w:hint="eastAsia" w:ascii="宋体" w:hAnsi="宋体" w:eastAsia="宋体" w:cs="宋体"/>
          <w:color w:val="auto"/>
          <w:sz w:val="24"/>
          <w:szCs w:val="24"/>
          <w:highlight w:val="none"/>
          <w:lang w:val="en-US" w:eastAsia="zh-CN"/>
        </w:rPr>
        <w:t>登记证</w:t>
      </w:r>
      <w:r>
        <w:rPr>
          <w:rFonts w:hint="eastAsia" w:ascii="宋体" w:hAnsi="宋体" w:eastAsia="宋体" w:cs="宋体"/>
          <w:color w:val="auto"/>
          <w:sz w:val="24"/>
          <w:szCs w:val="24"/>
          <w:highlight w:val="none"/>
          <w:lang w:val="zh-CN"/>
        </w:rPr>
        <w:t>，租赁的提供租赁协议、租赁</w:t>
      </w:r>
      <w:r>
        <w:rPr>
          <w:rFonts w:hint="eastAsia" w:ascii="宋体" w:hAnsi="宋体" w:eastAsia="宋体" w:cs="宋体"/>
          <w:color w:val="auto"/>
          <w:sz w:val="24"/>
          <w:szCs w:val="24"/>
          <w:highlight w:val="none"/>
          <w:lang w:val="en-US" w:eastAsia="zh-CN"/>
        </w:rPr>
        <w:t>费</w:t>
      </w:r>
      <w:r>
        <w:rPr>
          <w:rFonts w:hint="eastAsia" w:ascii="宋体" w:hAnsi="宋体" w:eastAsia="宋体" w:cs="宋体"/>
          <w:color w:val="auto"/>
          <w:sz w:val="24"/>
          <w:szCs w:val="24"/>
          <w:highlight w:val="none"/>
          <w:lang w:val="zh-CN"/>
        </w:rPr>
        <w:t>发票、设备图片；移动式泵车提供自有的提供设备图片、购置发票，租赁的提供租赁协议、租赁发票、设备图片；以上复印件加盖公章</w:t>
      </w:r>
      <w:r>
        <w:rPr>
          <w:rFonts w:hint="eastAsia" w:ascii="宋体" w:hAnsi="宋体" w:eastAsia="宋体" w:cs="宋体"/>
          <w:color w:val="auto"/>
          <w:sz w:val="24"/>
          <w:szCs w:val="24"/>
          <w:highlight w:val="none"/>
          <w:lang w:val="en-US" w:eastAsia="zh-CN"/>
        </w:rPr>
        <w:t>或电子签章</w:t>
      </w:r>
      <w:r>
        <w:rPr>
          <w:rFonts w:hint="eastAsia" w:ascii="宋体" w:hAnsi="宋体" w:eastAsia="宋体" w:cs="宋体"/>
          <w:color w:val="auto"/>
          <w:sz w:val="24"/>
          <w:szCs w:val="24"/>
          <w:highlight w:val="none"/>
          <w:lang w:val="zh-CN"/>
        </w:rPr>
        <w:t>附在响应文件中，不提供或提供不全者本项不得分。</w:t>
      </w:r>
    </w:p>
    <w:p>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color w:val="auto"/>
          <w:sz w:val="24"/>
          <w:highlight w:val="none"/>
        </w:rPr>
        <w:t>技术文件</w:t>
      </w:r>
      <w:r>
        <w:rPr>
          <w:rFonts w:hint="eastAsia" w:cs="宋体" w:asciiTheme="minorEastAsia" w:hAnsiTheme="minorEastAsia"/>
          <w:b/>
          <w:color w:val="auto"/>
          <w:sz w:val="24"/>
          <w:highlight w:val="none"/>
        </w:rPr>
        <w:t>（</w:t>
      </w:r>
      <w:r>
        <w:rPr>
          <w:rFonts w:hint="eastAsia" w:eastAsia="宋体" w:cs="宋体" w:asciiTheme="minorEastAsia" w:hAnsiTheme="minorEastAsia"/>
          <w:b/>
          <w:color w:val="auto"/>
          <w:sz w:val="24"/>
          <w:highlight w:val="none"/>
          <w:lang w:val="en-US" w:eastAsia="zh-CN"/>
        </w:rPr>
        <w:t>50</w:t>
      </w:r>
      <w:r>
        <w:rPr>
          <w:rFonts w:hint="eastAsia" w:cs="宋体" w:asciiTheme="minorEastAsia" w:hAnsiTheme="minorEastAsia"/>
          <w:b/>
          <w:color w:val="auto"/>
          <w:sz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绿化养护作业方案</w:t>
      </w:r>
      <w:r>
        <w:rPr>
          <w:rFonts w:hint="eastAsia" w:ascii="宋体" w:hAnsi="宋体" w:eastAsia="宋体" w:cs="宋体"/>
          <w:color w:val="auto"/>
          <w:sz w:val="24"/>
          <w:szCs w:val="24"/>
          <w:highlight w:val="none"/>
          <w:lang w:val="en-US" w:eastAsia="zh-CN"/>
        </w:rPr>
        <w:t xml:space="preserve">  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绿化养护作业</w:t>
      </w:r>
      <w:r>
        <w:rPr>
          <w:rFonts w:hint="eastAsia" w:ascii="宋体" w:hAnsi="宋体" w:eastAsia="宋体" w:cs="宋体"/>
          <w:color w:val="auto"/>
          <w:sz w:val="24"/>
          <w:szCs w:val="24"/>
          <w:highlight w:val="none"/>
        </w:rPr>
        <w:t>方案包括：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①养护计划、作业规范</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养护管理制度和养护管理档案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专项养护方案</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园林绿化废弃物处置方案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2）、本项目</w:t>
      </w:r>
      <w:r>
        <w:rPr>
          <w:rFonts w:hint="eastAsia" w:ascii="宋体" w:hAnsi="宋体" w:eastAsia="宋体" w:cs="宋体"/>
          <w:color w:val="auto"/>
          <w:sz w:val="24"/>
          <w:szCs w:val="24"/>
          <w:highlight w:val="none"/>
        </w:rPr>
        <w:t>实施的重点难点及解决方案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实施的重点难点及解决方案</w:t>
      </w:r>
      <w:r>
        <w:rPr>
          <w:rFonts w:hint="eastAsia" w:ascii="宋体" w:hAnsi="宋体" w:eastAsia="宋体" w:cs="宋体"/>
          <w:color w:val="auto"/>
          <w:sz w:val="24"/>
          <w:szCs w:val="24"/>
          <w:highlight w:val="none"/>
          <w:lang w:val="en-US" w:eastAsia="zh-CN"/>
        </w:rPr>
        <w:t>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本项目重难点分析（2分）：方案内容详实、需求贴合度高、条理清晰且重难点分析有针对性和条理性的得2分；方案内容较详实、需求贴合度较高、条理清晰且重难点分析有针对性和条理性的得1分；方案内容较为简单、重难点分析针对性和条理性不强的得0.5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92" w:name="_GoBack"/>
      <w:bookmarkEnd w:id="19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本项目重难点解决方案（2分）：方案内容详实、需求贴合度高、条理清晰且重难点分析有针对性和条理性的得2分；方案内容较详实、需求贴合度较高、条理清晰且重难点分析有针对性和条理性的得1分；方案内容较为简单、重难点分析针对性和条理性不强的得0.5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本项目重点路段人员保障、技术保障方案（4分）：方案</w:t>
      </w:r>
      <w:r>
        <w:rPr>
          <w:rFonts w:hint="eastAsia" w:ascii="宋体" w:hAnsi="宋体" w:eastAsia="宋体" w:cs="宋体"/>
          <w:color w:val="auto"/>
          <w:sz w:val="24"/>
          <w:szCs w:val="24"/>
          <w:highlight w:val="none"/>
        </w:rPr>
        <w:t>内容详实、需求贴合度高、条理清晰且</w:t>
      </w:r>
      <w:r>
        <w:rPr>
          <w:rFonts w:hint="eastAsia" w:ascii="宋体" w:hAnsi="宋体" w:eastAsia="宋体" w:cs="宋体"/>
          <w:color w:val="auto"/>
          <w:sz w:val="24"/>
          <w:szCs w:val="24"/>
          <w:highlight w:val="none"/>
          <w:lang w:val="en-US" w:eastAsia="zh-CN"/>
        </w:rPr>
        <w:t>重难点分析</w:t>
      </w:r>
      <w:r>
        <w:rPr>
          <w:rFonts w:hint="eastAsia" w:ascii="宋体" w:hAnsi="宋体" w:eastAsia="宋体" w:cs="宋体"/>
          <w:color w:val="auto"/>
          <w:sz w:val="24"/>
          <w:szCs w:val="24"/>
          <w:highlight w:val="none"/>
        </w:rPr>
        <w:t>有针对性和条理性的得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内容较详实、需求贴合度较高、条理清晰且</w:t>
      </w:r>
      <w:r>
        <w:rPr>
          <w:rFonts w:hint="eastAsia" w:ascii="宋体" w:hAnsi="宋体" w:eastAsia="宋体" w:cs="宋体"/>
          <w:color w:val="auto"/>
          <w:sz w:val="24"/>
          <w:szCs w:val="24"/>
          <w:highlight w:val="none"/>
          <w:lang w:val="en-US" w:eastAsia="zh-CN"/>
        </w:rPr>
        <w:t>重难点</w:t>
      </w:r>
      <w:r>
        <w:rPr>
          <w:rFonts w:hint="eastAsia" w:ascii="宋体" w:hAnsi="宋体" w:eastAsia="宋体" w:cs="宋体"/>
          <w:color w:val="auto"/>
          <w:sz w:val="24"/>
          <w:szCs w:val="24"/>
          <w:highlight w:val="none"/>
        </w:rPr>
        <w:t>分析有针对性和条理性的得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内容较为简单、</w:t>
      </w:r>
      <w:r>
        <w:rPr>
          <w:rFonts w:hint="eastAsia" w:ascii="宋体" w:hAnsi="宋体" w:eastAsia="宋体" w:cs="宋体"/>
          <w:color w:val="auto"/>
          <w:sz w:val="24"/>
          <w:szCs w:val="24"/>
          <w:highlight w:val="none"/>
          <w:lang w:val="en-US" w:eastAsia="zh-CN"/>
        </w:rPr>
        <w:t>重难点</w:t>
      </w:r>
      <w:r>
        <w:rPr>
          <w:rFonts w:hint="eastAsia" w:ascii="宋体" w:hAnsi="宋体" w:eastAsia="宋体" w:cs="宋体"/>
          <w:color w:val="auto"/>
          <w:sz w:val="24"/>
          <w:szCs w:val="24"/>
          <w:highlight w:val="none"/>
        </w:rPr>
        <w:t>分析针对性和条理性不强的得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w:t>
      </w:r>
      <w:r>
        <w:rPr>
          <w:rFonts w:hint="eastAsia" w:ascii="宋体" w:hAnsi="宋体" w:eastAsia="宋体" w:cs="宋体"/>
          <w:color w:val="auto"/>
          <w:sz w:val="24"/>
          <w:szCs w:val="24"/>
          <w:highlight w:val="none"/>
          <w:lang w:val="en-US" w:eastAsia="zh-CN"/>
        </w:rPr>
        <w:t>提供方案</w:t>
      </w:r>
      <w:r>
        <w:rPr>
          <w:rFonts w:hint="eastAsia" w:ascii="宋体" w:hAnsi="宋体" w:eastAsia="宋体" w:cs="宋体"/>
          <w:color w:val="auto"/>
          <w:sz w:val="24"/>
          <w:szCs w:val="24"/>
          <w:highlight w:val="none"/>
        </w:rPr>
        <w:t>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精细化管理提升方案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精细化管理提升方案包括：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①精细化管理提升原则</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提升目标</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内容详实、需求贴合度高、条理清晰且</w:t>
      </w:r>
      <w:r>
        <w:rPr>
          <w:rFonts w:hint="eastAsia" w:ascii="宋体" w:hAnsi="宋体" w:eastAsia="宋体" w:cs="宋体"/>
          <w:color w:val="auto"/>
          <w:sz w:val="24"/>
          <w:szCs w:val="24"/>
          <w:highlight w:val="none"/>
          <w:lang w:val="en-US" w:eastAsia="zh-CN"/>
        </w:rPr>
        <w:t>重难点分析</w:t>
      </w:r>
      <w:r>
        <w:rPr>
          <w:rFonts w:hint="eastAsia" w:ascii="宋体" w:hAnsi="宋体" w:eastAsia="宋体" w:cs="宋体"/>
          <w:color w:val="auto"/>
          <w:sz w:val="24"/>
          <w:szCs w:val="24"/>
          <w:highlight w:val="none"/>
        </w:rPr>
        <w:t>有针对性和条理性的得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内容较详实、需求贴合度较高、条理清晰且</w:t>
      </w:r>
      <w:r>
        <w:rPr>
          <w:rFonts w:hint="eastAsia" w:ascii="宋体" w:hAnsi="宋体" w:eastAsia="宋体" w:cs="宋体"/>
          <w:color w:val="auto"/>
          <w:sz w:val="24"/>
          <w:szCs w:val="24"/>
          <w:highlight w:val="none"/>
          <w:lang w:val="en-US" w:eastAsia="zh-CN"/>
        </w:rPr>
        <w:t>重难点</w:t>
      </w:r>
      <w:r>
        <w:rPr>
          <w:rFonts w:hint="eastAsia" w:ascii="宋体" w:hAnsi="宋体" w:eastAsia="宋体" w:cs="宋体"/>
          <w:color w:val="auto"/>
          <w:sz w:val="24"/>
          <w:szCs w:val="24"/>
          <w:highlight w:val="none"/>
        </w:rPr>
        <w:t>分析有针对性和条理性的得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内容较为简单、</w:t>
      </w:r>
      <w:r>
        <w:rPr>
          <w:rFonts w:hint="eastAsia" w:ascii="宋体" w:hAnsi="宋体" w:eastAsia="宋体" w:cs="宋体"/>
          <w:color w:val="auto"/>
          <w:sz w:val="24"/>
          <w:szCs w:val="24"/>
          <w:highlight w:val="none"/>
          <w:lang w:val="en-US" w:eastAsia="zh-CN"/>
        </w:rPr>
        <w:t>重难点</w:t>
      </w:r>
      <w:r>
        <w:rPr>
          <w:rFonts w:hint="eastAsia" w:ascii="宋体" w:hAnsi="宋体" w:eastAsia="宋体" w:cs="宋体"/>
          <w:color w:val="auto"/>
          <w:sz w:val="24"/>
          <w:szCs w:val="24"/>
          <w:highlight w:val="none"/>
        </w:rPr>
        <w:t>分析针对性和条理性不强的得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分；未</w:t>
      </w:r>
      <w:r>
        <w:rPr>
          <w:rFonts w:hint="eastAsia" w:ascii="宋体" w:hAnsi="宋体" w:eastAsia="宋体" w:cs="宋体"/>
          <w:color w:val="auto"/>
          <w:sz w:val="24"/>
          <w:szCs w:val="24"/>
          <w:highlight w:val="none"/>
          <w:lang w:val="en-US" w:eastAsia="zh-CN"/>
        </w:rPr>
        <w:t>提供方案</w:t>
      </w:r>
      <w:r>
        <w:rPr>
          <w:rFonts w:hint="eastAsia" w:ascii="宋体" w:hAnsi="宋体" w:eastAsia="宋体" w:cs="宋体"/>
          <w:color w:val="auto"/>
          <w:sz w:val="24"/>
          <w:szCs w:val="24"/>
          <w:highlight w:val="none"/>
        </w:rPr>
        <w:t>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精细化管理提升方法</w:t>
      </w:r>
      <w:r>
        <w:rPr>
          <w:rFonts w:hint="eastAsia" w:ascii="宋体" w:hAnsi="宋体" w:eastAsia="宋体" w:cs="宋体"/>
          <w:color w:val="auto"/>
          <w:sz w:val="24"/>
          <w:szCs w:val="24"/>
          <w:highlight w:val="none"/>
          <w:lang w:val="en-US" w:eastAsia="zh-CN"/>
        </w:rPr>
        <w:t>和对应措施（4分）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安全文明保障措施方案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安全文明保障措施方案包括：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①安全养护指导思想</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各类安全防护措施</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安全文明制度、安全教育制度</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快速保障应急措施方案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快速保障应急措施方案包括：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①灾害性天气（防汛、防冻、防雪）、养护防护应急措施、交通应急措施</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②重大活动、各类创建活动、重大事故的快速处理预案</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养护管理制度和养护台帐管理</w:t>
      </w:r>
      <w:r>
        <w:rPr>
          <w:rFonts w:hint="eastAsia" w:ascii="宋体" w:hAnsi="宋体" w:eastAsia="宋体" w:cs="宋体"/>
          <w:color w:val="auto"/>
          <w:sz w:val="24"/>
          <w:szCs w:val="24"/>
          <w:highlight w:val="none"/>
          <w:lang w:val="en-US" w:eastAsia="zh-CN"/>
        </w:rPr>
        <w:t>方案6</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养护管理制度和养护台帐管理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公司管理体系</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养护管理</w:t>
      </w:r>
      <w:r>
        <w:rPr>
          <w:rFonts w:hint="eastAsia" w:ascii="宋体" w:hAnsi="宋体" w:eastAsia="宋体" w:cs="宋体"/>
          <w:color w:val="auto"/>
          <w:sz w:val="24"/>
          <w:szCs w:val="24"/>
          <w:highlight w:val="none"/>
          <w:lang w:val="en-US" w:eastAsia="zh-CN"/>
        </w:rPr>
        <w:t>制度及</w:t>
      </w:r>
      <w:r>
        <w:rPr>
          <w:rFonts w:hint="eastAsia" w:ascii="宋体" w:hAnsi="宋体" w:eastAsia="宋体" w:cs="宋体"/>
          <w:color w:val="auto"/>
          <w:sz w:val="24"/>
          <w:szCs w:val="24"/>
          <w:highlight w:val="none"/>
        </w:rPr>
        <w:t>考核制度</w:t>
      </w:r>
      <w:r>
        <w:rPr>
          <w:rFonts w:hint="eastAsia" w:ascii="宋体" w:hAnsi="宋体" w:eastAsia="宋体" w:cs="宋体"/>
          <w:color w:val="auto"/>
          <w:sz w:val="24"/>
          <w:szCs w:val="24"/>
          <w:highlight w:val="none"/>
          <w:lang w:val="en-US" w:eastAsia="zh-CN"/>
        </w:rPr>
        <w:t>（3分）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内容详实、需求贴合度高、条理清晰且重难点分析有针对性和条理性的得3分；方案内容较详实、需求贴合度较高、条理清晰且重难点分析有针对性和条理性的得2分；方案内容较为简单、重难点分析针对性和条理性不强的得1分；未提供方案或存在逻辑错误、前后矛盾，或存在违反现行相关规范的不得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日常养护管理方案</w:t>
      </w:r>
      <w:r>
        <w:rPr>
          <w:rFonts w:hint="eastAsia" w:ascii="宋体" w:hAnsi="宋体" w:eastAsia="宋体" w:cs="宋体"/>
          <w:color w:val="auto"/>
          <w:sz w:val="24"/>
          <w:szCs w:val="24"/>
          <w:highlight w:val="none"/>
          <w:lang w:val="en-US" w:eastAsia="zh-CN"/>
        </w:rPr>
        <w:t>及养护台账管理体系（3分）：方案内容详实、需求贴合度高、条理清晰且重难点分析有针对性和条理性的得3分；方案内容较详实、需求贴合度较高、条理清晰且重难点分析有针对性和条理性的得2分；方案内容较为简单、重难点分析针对性和条理性不强的得1分；未提供方案或存在逻辑错误、前后矛盾，或存在违反现行相关规范的不得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7）、常见病害养护技术方案4分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常见病害养护技术方案</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val="en-US" w:eastAsia="zh-CN"/>
        </w:rPr>
        <w:t>常见病害分析阐述及常见病害对应解决方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p>
    <w:p>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bidi="ar-SA"/>
        </w:rPr>
        <w:t>技术标页数不得少于20页，不得超过200页</w:t>
      </w:r>
      <w:r>
        <w:rPr>
          <w:rFonts w:hint="eastAsia" w:ascii="宋体" w:hAnsi="宋体" w:eastAsia="宋体" w:cs="宋体"/>
          <w:color w:val="auto"/>
          <w:sz w:val="24"/>
          <w:szCs w:val="24"/>
          <w:highlight w:val="none"/>
        </w:rPr>
        <w:t>。所有评委打分的平均值为各供应商最终得分。最终得分最高者将为推荐成交候选人。未列入本评分细则的其他条件不作为评分内容。</w:t>
      </w:r>
    </w:p>
    <w:p>
      <w:pPr>
        <w:tabs>
          <w:tab w:val="left" w:pos="1365"/>
        </w:tabs>
        <w:spacing w:line="360" w:lineRule="auto"/>
        <w:ind w:firstLine="482"/>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除技术文件编制粗糙、缺漏项较多或页数明显偏少的外，</w:t>
      </w:r>
      <w:r>
        <w:rPr>
          <w:rFonts w:hint="eastAsia" w:ascii="宋体" w:hAnsi="宋体" w:eastAsia="宋体" w:cs="宋体"/>
          <w:bCs/>
          <w:color w:val="auto"/>
          <w:sz w:val="24"/>
          <w:szCs w:val="24"/>
          <w:highlight w:val="none"/>
        </w:rPr>
        <w:t>评委一般按照上述评分要求及技术文件实际内容酌情评分。评委在5人及5人以上的，取所有成员的平均值。技术文件无相应评分内容时，该项目为零分。评分办法及评分细则的解释权属采购人。未列入本评分细则的其他条件不作为评分内容。</w:t>
      </w:r>
    </w:p>
    <w:p>
      <w:pPr>
        <w:spacing w:line="360" w:lineRule="auto"/>
        <w:rPr>
          <w:rFonts w:ascii="宋体" w:hAnsi="宋体" w:eastAsia="宋体" w:cs="宋体"/>
          <w:color w:val="auto"/>
          <w:sz w:val="24"/>
          <w:szCs w:val="24"/>
          <w:highlight w:val="none"/>
        </w:rPr>
      </w:pPr>
    </w:p>
    <w:p>
      <w:pPr>
        <w:spacing w:line="360" w:lineRule="auto"/>
        <w:jc w:val="center"/>
        <w:rPr>
          <w:rFonts w:hint="eastAsia" w:ascii="黑体" w:eastAsia="黑体"/>
          <w:bCs/>
          <w:color w:val="auto"/>
          <w:sz w:val="36"/>
          <w:szCs w:val="36"/>
          <w:highlight w:val="none"/>
        </w:rPr>
      </w:pPr>
    </w:p>
    <w:p>
      <w:pPr>
        <w:spacing w:line="360" w:lineRule="auto"/>
        <w:jc w:val="center"/>
        <w:rPr>
          <w:rFonts w:hint="eastAsia" w:ascii="黑体" w:eastAsia="黑体"/>
          <w:bCs/>
          <w:color w:val="auto"/>
          <w:sz w:val="36"/>
          <w:szCs w:val="36"/>
          <w:highlight w:val="none"/>
        </w:rPr>
      </w:pPr>
    </w:p>
    <w:p>
      <w:pPr>
        <w:spacing w:line="360" w:lineRule="auto"/>
        <w:jc w:val="center"/>
        <w:rPr>
          <w:rFonts w:hint="eastAsia" w:ascii="黑体" w:eastAsia="黑体"/>
          <w:bCs/>
          <w:color w:val="auto"/>
          <w:sz w:val="36"/>
          <w:szCs w:val="36"/>
          <w:highlight w:val="none"/>
        </w:rPr>
      </w:pPr>
    </w:p>
    <w:p>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9"/>
      <w:bookmarkEnd w:id="150"/>
      <w:bookmarkEnd w:id="151"/>
      <w:r>
        <w:rPr>
          <w:rFonts w:hint="eastAsia" w:ascii="黑体" w:eastAsia="黑体"/>
          <w:bCs/>
          <w:color w:val="auto"/>
          <w:sz w:val="36"/>
          <w:szCs w:val="36"/>
          <w:highlight w:val="none"/>
        </w:rPr>
        <w:t>投标文件内容与格式</w:t>
      </w:r>
    </w:p>
    <w:p>
      <w:pPr>
        <w:pStyle w:val="394"/>
        <w:spacing w:before="0" w:after="0" w:line="360" w:lineRule="auto"/>
        <w:ind w:firstLine="602"/>
        <w:rPr>
          <w:rFonts w:cs="Arial"/>
          <w:b/>
          <w:color w:val="auto"/>
          <w:sz w:val="30"/>
          <w:szCs w:val="30"/>
          <w:highlight w:val="none"/>
        </w:rPr>
      </w:pPr>
      <w:bookmarkStart w:id="182" w:name="_Hlt26955039"/>
      <w:bookmarkEnd w:id="182"/>
      <w:bookmarkStart w:id="183" w:name="_Hlt26671244"/>
      <w:bookmarkEnd w:id="183"/>
      <w:r>
        <w:rPr>
          <w:rFonts w:hint="eastAsia" w:cs="Arial"/>
          <w:b/>
          <w:color w:val="auto"/>
          <w:sz w:val="30"/>
          <w:szCs w:val="30"/>
          <w:highlight w:val="none"/>
        </w:rPr>
        <w:t>第一部分投标文件内容</w:t>
      </w:r>
    </w:p>
    <w:p>
      <w:pPr>
        <w:pStyle w:val="394"/>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pPr>
              <w:pStyle w:val="394"/>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pPr>
              <w:pStyle w:val="394"/>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pPr>
              <w:pStyle w:val="394"/>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pPr>
              <w:pStyle w:val="394"/>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pPr>
              <w:pStyle w:val="394"/>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pPr>
              <w:pStyle w:val="394"/>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pPr>
              <w:pStyle w:val="394"/>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pPr>
              <w:pStyle w:val="394"/>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pPr>
              <w:pStyle w:val="394"/>
              <w:spacing w:before="0" w:after="0" w:line="240" w:lineRule="auto"/>
              <w:ind w:firstLine="0"/>
              <w:rPr>
                <w:rFonts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pPr>
              <w:pStyle w:val="394"/>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pPr>
              <w:pStyle w:val="394"/>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8"/>
                <w:rFonts w:hint="eastAsia" w:ascii="宋体" w:hAnsi="宋体" w:cs="宋体"/>
                <w:color w:val="auto"/>
                <w:highlight w:val="none"/>
              </w:rPr>
              <w:t>。</w:t>
            </w:r>
          </w:p>
        </w:tc>
        <w:tc>
          <w:tcPr>
            <w:tcW w:w="2449" w:type="dxa"/>
            <w:vMerge w:val="continue"/>
            <w:noWrap w:val="0"/>
            <w:vAlign w:val="center"/>
          </w:tcPr>
          <w:p>
            <w:pPr>
              <w:pStyle w:val="394"/>
              <w:spacing w:before="0" w:after="0" w:line="240" w:lineRule="auto"/>
              <w:ind w:firstLine="0"/>
              <w:rPr>
                <w:rFonts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pPr>
              <w:pStyle w:val="394"/>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pPr>
              <w:pStyle w:val="394"/>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pPr>
              <w:pStyle w:val="394"/>
              <w:spacing w:before="0" w:after="0" w:line="240" w:lineRule="auto"/>
              <w:ind w:firstLine="0"/>
              <w:rPr>
                <w:rFonts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pPr>
              <w:pStyle w:val="394"/>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pPr>
              <w:pStyle w:val="394"/>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pPr>
              <w:pStyle w:val="394"/>
              <w:spacing w:before="0" w:after="0" w:line="240" w:lineRule="auto"/>
              <w:ind w:firstLine="0"/>
              <w:rPr>
                <w:rFonts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pPr>
              <w:pStyle w:val="394"/>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pPr>
              <w:pStyle w:val="394"/>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pPr>
              <w:pStyle w:val="394"/>
              <w:spacing w:before="0" w:after="0" w:line="240" w:lineRule="auto"/>
              <w:ind w:firstLine="0"/>
              <w:rPr>
                <w:rFonts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pPr>
              <w:pStyle w:val="394"/>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pPr>
              <w:pStyle w:val="394"/>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w:t>
            </w:r>
          </w:p>
        </w:tc>
        <w:tc>
          <w:tcPr>
            <w:tcW w:w="2449" w:type="dxa"/>
            <w:vMerge w:val="continue"/>
            <w:noWrap w:val="0"/>
            <w:vAlign w:val="center"/>
          </w:tcPr>
          <w:p>
            <w:pPr>
              <w:pStyle w:val="394"/>
              <w:spacing w:before="0" w:after="0" w:line="360" w:lineRule="auto"/>
              <w:ind w:firstLine="0"/>
              <w:rPr>
                <w:rFonts w:ascii="宋体" w:hAnsi="宋体" w:cs="宋体"/>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pPr>
              <w:pStyle w:val="394"/>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pPr>
              <w:pStyle w:val="394"/>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特定资格要求的）。</w:t>
            </w:r>
          </w:p>
        </w:tc>
        <w:tc>
          <w:tcPr>
            <w:tcW w:w="2449" w:type="dxa"/>
            <w:noWrap w:val="0"/>
            <w:vAlign w:val="center"/>
          </w:tcPr>
          <w:p>
            <w:pPr>
              <w:pStyle w:val="394"/>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bl>
    <w:p>
      <w:pPr>
        <w:spacing w:line="360" w:lineRule="auto"/>
        <w:ind w:firstLine="480"/>
        <w:rPr>
          <w:rFonts w:hint="eastAsia" w:ascii="宋体" w:hAnsi="宋体"/>
          <w:color w:val="auto"/>
          <w:sz w:val="24"/>
          <w:szCs w:val="24"/>
          <w:highlight w:val="none"/>
        </w:rPr>
      </w:pPr>
    </w:p>
    <w:p>
      <w:pPr>
        <w:spacing w:line="360" w:lineRule="auto"/>
        <w:ind w:firstLine="480"/>
        <w:rPr>
          <w:rFonts w:hint="eastAsia" w:ascii="宋体" w:hAnsi="宋体"/>
          <w:color w:val="auto"/>
          <w:sz w:val="24"/>
          <w:szCs w:val="24"/>
          <w:highlight w:val="none"/>
        </w:rPr>
      </w:pPr>
    </w:p>
    <w:p>
      <w:pPr>
        <w:spacing w:line="360" w:lineRule="auto"/>
        <w:ind w:firstLine="480"/>
        <w:rPr>
          <w:rFonts w:hint="eastAsia" w:ascii="宋体" w:hAnsi="宋体"/>
          <w:color w:val="auto"/>
          <w:sz w:val="24"/>
          <w:szCs w:val="24"/>
          <w:highlight w:val="none"/>
        </w:rPr>
      </w:pPr>
    </w:p>
    <w:p>
      <w:pPr>
        <w:pStyle w:val="60"/>
        <w:rPr>
          <w:rFonts w:hint="eastAsia" w:ascii="宋体" w:hAnsi="宋体"/>
          <w:color w:val="auto"/>
          <w:sz w:val="24"/>
          <w:szCs w:val="24"/>
          <w:highlight w:val="none"/>
        </w:rPr>
      </w:pPr>
    </w:p>
    <w:p>
      <w:pPr>
        <w:pStyle w:val="60"/>
        <w:rPr>
          <w:rFonts w:hint="eastAsia" w:ascii="宋体" w:hAnsi="宋体"/>
          <w:color w:val="auto"/>
          <w:sz w:val="24"/>
          <w:szCs w:val="24"/>
          <w:highlight w:val="none"/>
        </w:rPr>
      </w:pP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pPr>
        <w:numPr>
          <w:ilvl w:val="0"/>
          <w:numId w:val="10"/>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numPr>
          <w:ilvl w:val="0"/>
          <w:numId w:val="10"/>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pPr>
        <w:numPr>
          <w:ilvl w:val="0"/>
          <w:numId w:val="10"/>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pPr>
        <w:spacing w:line="360" w:lineRule="auto"/>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394"/>
              <w:spacing w:before="0" w:after="0" w:line="360" w:lineRule="auto"/>
              <w:ind w:firstLine="0"/>
              <w:jc w:val="center"/>
              <w:rPr>
                <w:rFonts w:cs="Arial"/>
                <w:b/>
                <w:color w:val="auto"/>
                <w:highlight w:val="none"/>
              </w:rPr>
            </w:pPr>
            <w:r>
              <w:rPr>
                <w:rFonts w:hint="eastAsia" w:cs="Arial"/>
                <w:b/>
                <w:color w:val="auto"/>
                <w:highlight w:val="none"/>
              </w:rPr>
              <w:t>序号</w:t>
            </w:r>
          </w:p>
        </w:tc>
        <w:tc>
          <w:tcPr>
            <w:tcW w:w="6095" w:type="dxa"/>
            <w:noWrap w:val="0"/>
            <w:vAlign w:val="center"/>
          </w:tcPr>
          <w:p>
            <w:pPr>
              <w:pStyle w:val="394"/>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979" w:type="dxa"/>
            <w:noWrap w:val="0"/>
            <w:vAlign w:val="center"/>
          </w:tcPr>
          <w:p>
            <w:pPr>
              <w:pStyle w:val="394"/>
              <w:spacing w:before="0" w:after="0" w:line="360" w:lineRule="auto"/>
              <w:ind w:firstLine="0"/>
              <w:jc w:val="center"/>
              <w:rPr>
                <w:rFonts w:cs="Arial"/>
                <w:b/>
                <w:color w:val="auto"/>
                <w:highlight w:val="none"/>
              </w:rPr>
            </w:pPr>
            <w:r>
              <w:rPr>
                <w:rFonts w:hint="eastAsia" w:cs="Arial"/>
                <w:b/>
                <w:color w:val="auto"/>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6095" w:type="dxa"/>
            <w:noWrap w:val="0"/>
            <w:vAlign w:val="center"/>
          </w:tcPr>
          <w:p>
            <w:pPr>
              <w:pStyle w:val="394"/>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pPr>
              <w:pStyle w:val="394"/>
              <w:spacing w:before="0" w:after="0" w:line="360" w:lineRule="auto"/>
              <w:ind w:firstLine="0"/>
              <w:jc w:val="both"/>
              <w:rPr>
                <w:rFonts w:cs="Arial"/>
                <w:color w:val="auto"/>
                <w:highlight w:val="none"/>
              </w:rPr>
            </w:pPr>
            <w:r>
              <w:rPr>
                <w:rFonts w:hint="eastAsia" w:cs="Arial"/>
                <w:color w:val="auto"/>
                <w:highlight w:val="none"/>
              </w:rPr>
              <w:t>符合性证明文件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6095" w:type="dxa"/>
            <w:noWrap w:val="0"/>
            <w:vAlign w:val="center"/>
          </w:tcPr>
          <w:p>
            <w:pPr>
              <w:pStyle w:val="394"/>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pPr>
              <w:pStyle w:val="394"/>
              <w:spacing w:before="0" w:after="0" w:line="240" w:lineRule="auto"/>
              <w:ind w:firstLine="0"/>
              <w:jc w:val="both"/>
              <w:rPr>
                <w:rFonts w:cs="Arial"/>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6095" w:type="dxa"/>
            <w:noWrap w:val="0"/>
            <w:vAlign w:val="center"/>
          </w:tcPr>
          <w:p>
            <w:pPr>
              <w:pStyle w:val="394"/>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979" w:type="dxa"/>
            <w:vMerge w:val="continue"/>
            <w:noWrap w:val="0"/>
            <w:vAlign w:val="center"/>
          </w:tcPr>
          <w:p>
            <w:pPr>
              <w:pStyle w:val="394"/>
              <w:spacing w:before="0" w:after="0" w:line="240" w:lineRule="auto"/>
              <w:ind w:firstLine="0"/>
              <w:jc w:val="both"/>
              <w:rPr>
                <w:rFonts w:cs="Arial"/>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6095" w:type="dxa"/>
            <w:noWrap w:val="0"/>
            <w:vAlign w:val="center"/>
          </w:tcPr>
          <w:p>
            <w:pPr>
              <w:pStyle w:val="394"/>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pPr>
              <w:pStyle w:val="394"/>
              <w:spacing w:before="0" w:after="0" w:line="240" w:lineRule="auto"/>
              <w:ind w:firstLine="0"/>
              <w:jc w:val="both"/>
              <w:rPr>
                <w:rFonts w:cs="Arial"/>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6095" w:type="dxa"/>
            <w:noWrap w:val="0"/>
            <w:vAlign w:val="center"/>
          </w:tcPr>
          <w:p>
            <w:pPr>
              <w:pStyle w:val="394"/>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continue"/>
            <w:noWrap w:val="0"/>
            <w:vAlign w:val="center"/>
          </w:tcPr>
          <w:p>
            <w:pPr>
              <w:pStyle w:val="394"/>
              <w:spacing w:before="0" w:after="0" w:line="240" w:lineRule="auto"/>
              <w:ind w:firstLine="0"/>
              <w:jc w:val="both"/>
              <w:rPr>
                <w:rFonts w:cs="Arial"/>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olor w:val="auto"/>
                <w:highlight w:val="none"/>
              </w:rPr>
            </w:pPr>
            <w:r>
              <w:rPr>
                <w:rFonts w:hint="eastAsia" w:ascii="宋体" w:hAnsi="宋体"/>
                <w:color w:val="auto"/>
                <w:highlight w:val="none"/>
              </w:rPr>
              <w:t>6</w:t>
            </w:r>
          </w:p>
        </w:tc>
        <w:tc>
          <w:tcPr>
            <w:tcW w:w="6095" w:type="dxa"/>
            <w:noWrap w:val="0"/>
            <w:vAlign w:val="center"/>
          </w:tcPr>
          <w:p>
            <w:pPr>
              <w:pStyle w:val="394"/>
              <w:spacing w:before="0" w:after="0" w:line="360" w:lineRule="auto"/>
              <w:ind w:firstLine="0"/>
              <w:jc w:val="both"/>
              <w:rPr>
                <w:rFonts w:ascii="宋体" w:hAnsi="宋体"/>
                <w:color w:val="auto"/>
                <w:highlight w:val="none"/>
              </w:rPr>
            </w:pPr>
            <w:r>
              <w:rPr>
                <w:rFonts w:hint="eastAsia" w:ascii="宋体" w:hAnsi="宋体"/>
                <w:color w:val="auto"/>
                <w:highlight w:val="none"/>
              </w:rPr>
              <w:t>《采购需求》中如有要求须提供的证明文件</w:t>
            </w:r>
          </w:p>
        </w:tc>
        <w:tc>
          <w:tcPr>
            <w:tcW w:w="1979" w:type="dxa"/>
            <w:vMerge w:val="continue"/>
            <w:noWrap w:val="0"/>
            <w:vAlign w:val="center"/>
          </w:tcPr>
          <w:p>
            <w:pPr>
              <w:pStyle w:val="394"/>
              <w:spacing w:before="0" w:after="0" w:line="240" w:lineRule="auto"/>
              <w:ind w:firstLine="0"/>
              <w:jc w:val="both"/>
              <w:rPr>
                <w:rFonts w:cs="Arial"/>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olor w:val="auto"/>
                <w:highlight w:val="none"/>
              </w:rPr>
            </w:pPr>
            <w:r>
              <w:rPr>
                <w:rFonts w:hint="eastAsia" w:ascii="宋体" w:hAnsi="宋体"/>
                <w:color w:val="auto"/>
                <w:highlight w:val="none"/>
              </w:rPr>
              <w:t>7</w:t>
            </w:r>
          </w:p>
        </w:tc>
        <w:tc>
          <w:tcPr>
            <w:tcW w:w="6095" w:type="dxa"/>
            <w:noWrap w:val="0"/>
            <w:vAlign w:val="center"/>
          </w:tcPr>
          <w:p>
            <w:pPr>
              <w:pStyle w:val="394"/>
              <w:spacing w:before="0" w:after="0" w:line="360" w:lineRule="auto"/>
              <w:ind w:firstLine="0"/>
              <w:jc w:val="both"/>
              <w:rPr>
                <w:rFonts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noWrap w:val="0"/>
            <w:vAlign w:val="center"/>
          </w:tcPr>
          <w:p>
            <w:pPr>
              <w:pStyle w:val="394"/>
              <w:spacing w:before="0" w:after="0" w:line="360" w:lineRule="auto"/>
              <w:ind w:firstLine="0"/>
              <w:jc w:val="both"/>
              <w:rPr>
                <w:rFonts w:cs="Arial"/>
                <w:color w:val="auto"/>
                <w:highlight w:val="none"/>
              </w:rPr>
            </w:pPr>
            <w:r>
              <w:rPr>
                <w:rFonts w:hint="eastAsia" w:cs="Arial"/>
                <w:color w:val="auto"/>
                <w:highlight w:val="none"/>
              </w:rPr>
              <w:t>其他证明文件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94"/>
              <w:spacing w:before="0" w:after="0" w:line="360" w:lineRule="auto"/>
              <w:ind w:firstLine="0"/>
              <w:jc w:val="center"/>
              <w:rPr>
                <w:rFonts w:ascii="宋体" w:hAnsi="宋体"/>
                <w:color w:val="auto"/>
                <w:highlight w:val="none"/>
              </w:rPr>
            </w:pPr>
            <w:r>
              <w:rPr>
                <w:rFonts w:hint="eastAsia" w:ascii="宋体" w:hAnsi="宋体"/>
                <w:color w:val="auto"/>
                <w:highlight w:val="none"/>
              </w:rPr>
              <w:t>8</w:t>
            </w:r>
          </w:p>
        </w:tc>
        <w:tc>
          <w:tcPr>
            <w:tcW w:w="6095" w:type="dxa"/>
            <w:noWrap w:val="0"/>
            <w:vAlign w:val="center"/>
          </w:tcPr>
          <w:p>
            <w:pPr>
              <w:pStyle w:val="394"/>
              <w:spacing w:before="0" w:after="0" w:line="360" w:lineRule="auto"/>
              <w:ind w:firstLine="0"/>
              <w:jc w:val="both"/>
              <w:rPr>
                <w:rFonts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noWrap w:val="0"/>
          </w:tcPr>
          <w:p>
            <w:pPr>
              <w:pStyle w:val="394"/>
              <w:spacing w:before="0" w:after="0" w:line="240" w:lineRule="auto"/>
              <w:ind w:firstLine="0"/>
              <w:rPr>
                <w:rFonts w:cs="Arial"/>
                <w:color w:val="auto"/>
                <w:highlight w:val="none"/>
              </w:rPr>
            </w:pPr>
          </w:p>
        </w:tc>
      </w:tr>
    </w:tbl>
    <w:p>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pPr>
        <w:numPr>
          <w:ilvl w:val="0"/>
          <w:numId w:val="0"/>
        </w:num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pPr>
        <w:pStyle w:val="394"/>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pPr>
        <w:widowControl/>
        <w:spacing w:line="360" w:lineRule="auto"/>
        <w:jc w:val="left"/>
        <w:rPr>
          <w:rFonts w:asciiTheme="minorEastAsia" w:hAnsiTheme="minorEastAsia"/>
          <w:bCs/>
          <w:color w:val="auto"/>
          <w:sz w:val="32"/>
          <w:highlight w:val="none"/>
        </w:rPr>
      </w:pPr>
    </w:p>
    <w:p>
      <w:pPr>
        <w:spacing w:line="360" w:lineRule="auto"/>
        <w:rPr>
          <w:rFonts w:asciiTheme="minorEastAsia" w:hAnsiTheme="minorEastAsia"/>
          <w:bCs/>
          <w:color w:val="auto"/>
          <w:sz w:val="32"/>
          <w:highlight w:val="none"/>
        </w:rPr>
      </w:pPr>
    </w:p>
    <w:p>
      <w:pPr>
        <w:spacing w:line="360" w:lineRule="auto"/>
        <w:rPr>
          <w:rFonts w:asciiTheme="minorEastAsia" w:hAnsiTheme="minorEastAsia"/>
          <w:bCs/>
          <w:color w:val="auto"/>
          <w:sz w:val="32"/>
          <w:highlight w:val="none"/>
        </w:rPr>
      </w:pPr>
    </w:p>
    <w:p>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pPr>
        <w:spacing w:line="360" w:lineRule="auto"/>
        <w:jc w:val="center"/>
        <w:rPr>
          <w:rFonts w:asciiTheme="minorEastAsia" w:hAnsiTheme="minorEastAsia"/>
          <w:bCs/>
          <w:color w:val="auto"/>
          <w:sz w:val="72"/>
          <w:highlight w:val="none"/>
        </w:rPr>
      </w:pPr>
    </w:p>
    <w:p>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pPr>
        <w:spacing w:line="360" w:lineRule="auto"/>
        <w:jc w:val="center"/>
        <w:rPr>
          <w:rFonts w:asciiTheme="minorEastAsia" w:hAnsiTheme="minorEastAsia"/>
          <w:bCs/>
          <w:color w:val="auto"/>
          <w:sz w:val="72"/>
          <w:highlight w:val="none"/>
        </w:rPr>
      </w:pPr>
    </w:p>
    <w:p>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pPr>
        <w:spacing w:line="360" w:lineRule="auto"/>
        <w:jc w:val="center"/>
        <w:rPr>
          <w:rFonts w:asciiTheme="minorEastAsia" w:hAnsiTheme="minorEastAsia"/>
          <w:bCs/>
          <w:color w:val="auto"/>
          <w:sz w:val="52"/>
          <w:szCs w:val="52"/>
          <w:highlight w:val="none"/>
        </w:rPr>
      </w:pPr>
    </w:p>
    <w:p>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pPr>
        <w:spacing w:line="360" w:lineRule="auto"/>
        <w:rPr>
          <w:rFonts w:asciiTheme="minorEastAsia" w:hAnsiTheme="minorEastAsia"/>
          <w:bCs/>
          <w:color w:val="auto"/>
          <w:sz w:val="28"/>
          <w:highlight w:val="none"/>
        </w:rPr>
      </w:pPr>
    </w:p>
    <w:p>
      <w:pPr>
        <w:spacing w:line="360" w:lineRule="auto"/>
        <w:ind w:firstLine="2715"/>
        <w:rPr>
          <w:rFonts w:asciiTheme="minorEastAsia" w:hAnsiTheme="minorEastAsia"/>
          <w:bCs/>
          <w:color w:val="auto"/>
          <w:sz w:val="28"/>
          <w:szCs w:val="28"/>
          <w:highlight w:val="none"/>
        </w:rPr>
      </w:pPr>
      <w:bookmarkStart w:id="184" w:name="_Hlk165208193"/>
      <w:r>
        <w:rPr>
          <w:rFonts w:hint="eastAsia" w:eastAsia="宋体" w:asciiTheme="minorEastAsia" w:hAnsiTheme="minorEastAsia"/>
          <w:bCs/>
          <w:color w:val="auto"/>
          <w:sz w:val="28"/>
          <w:szCs w:val="28"/>
          <w:highlight w:val="none"/>
          <w:lang w:eastAsia="zh-CN"/>
        </w:rPr>
        <w:t>政府采购编号</w:t>
      </w:r>
      <w:r>
        <w:rPr>
          <w:rFonts w:hint="eastAsia" w:asciiTheme="minorEastAsia" w:hAnsiTheme="minorEastAsia"/>
          <w:bCs/>
          <w:color w:val="auto"/>
          <w:sz w:val="28"/>
          <w:szCs w:val="28"/>
          <w:highlight w:val="none"/>
        </w:rPr>
        <w:t xml:space="preserve">： </w:t>
      </w:r>
    </w:p>
    <w:p>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pPr>
        <w:spacing w:line="360" w:lineRule="auto"/>
        <w:jc w:val="center"/>
        <w:rPr>
          <w:rFonts w:asciiTheme="minorEastAsia" w:hAnsiTheme="minorEastAsia"/>
          <w:bCs/>
          <w:color w:val="auto"/>
          <w:sz w:val="36"/>
          <w:szCs w:val="36"/>
          <w:highlight w:val="none"/>
        </w:rPr>
      </w:pPr>
    </w:p>
    <w:p>
      <w:pPr>
        <w:spacing w:line="360" w:lineRule="auto"/>
        <w:jc w:val="center"/>
        <w:rPr>
          <w:rFonts w:asciiTheme="minorEastAsia" w:hAnsiTheme="minorEastAsia"/>
          <w:bCs/>
          <w:color w:val="auto"/>
          <w:sz w:val="40"/>
          <w:szCs w:val="40"/>
          <w:highlight w:val="none"/>
        </w:rPr>
      </w:pPr>
    </w:p>
    <w:p>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p>
    <w:bookmarkEnd w:id="184"/>
    <w:p>
      <w:pPr>
        <w:spacing w:line="360" w:lineRule="auto"/>
        <w:outlineLvl w:val="0"/>
        <w:rPr>
          <w:rFonts w:asciiTheme="minorEastAsia" w:hAnsiTheme="minorEastAsia"/>
          <w:bCs/>
          <w:color w:val="auto"/>
          <w:sz w:val="24"/>
          <w:szCs w:val="24"/>
          <w:highlight w:val="none"/>
        </w:rPr>
      </w:pPr>
    </w:p>
    <w:p>
      <w:pPr>
        <w:spacing w:line="360" w:lineRule="auto"/>
        <w:outlineLvl w:val="0"/>
        <w:rPr>
          <w:rFonts w:asciiTheme="minorEastAsia" w:hAnsiTheme="minorEastAsia"/>
          <w:color w:val="auto"/>
          <w:sz w:val="24"/>
          <w:szCs w:val="24"/>
          <w:highlight w:val="none"/>
        </w:rPr>
      </w:pPr>
    </w:p>
    <w:p>
      <w:pPr>
        <w:spacing w:line="360" w:lineRule="auto"/>
        <w:outlineLvl w:val="0"/>
        <w:rPr>
          <w:rFonts w:asciiTheme="minorEastAsia" w:hAnsiTheme="minorEastAsia"/>
          <w:color w:val="auto"/>
          <w:sz w:val="24"/>
          <w:szCs w:val="24"/>
          <w:highlight w:val="none"/>
        </w:rPr>
      </w:pPr>
    </w:p>
    <w:p>
      <w:pPr>
        <w:spacing w:line="360" w:lineRule="auto"/>
        <w:outlineLvl w:val="0"/>
        <w:rPr>
          <w:rFonts w:asciiTheme="minorEastAsia" w:hAnsiTheme="minorEastAsia"/>
          <w:bCs/>
          <w:color w:val="auto"/>
          <w:sz w:val="24"/>
          <w:szCs w:val="24"/>
          <w:highlight w:val="none"/>
        </w:rPr>
      </w:pPr>
    </w:p>
    <w:p>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pPr>
        <w:spacing w:line="360" w:lineRule="auto"/>
        <w:jc w:val="center"/>
        <w:outlineLvl w:val="0"/>
        <w:rPr>
          <w:rFonts w:ascii="黑体" w:eastAsia="黑体"/>
          <w:bCs/>
          <w:color w:val="auto"/>
          <w:sz w:val="28"/>
          <w:szCs w:val="28"/>
          <w:highlight w:val="none"/>
        </w:rPr>
      </w:pPr>
    </w:p>
    <w:p>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pPr>
        <w:pStyle w:val="393"/>
        <w:spacing w:line="360" w:lineRule="auto"/>
        <w:ind w:firstLine="480"/>
        <w:rPr>
          <w:color w:val="auto"/>
          <w:sz w:val="24"/>
          <w:szCs w:val="24"/>
          <w:highlight w:val="none"/>
        </w:rPr>
      </w:pPr>
      <w:r>
        <w:rPr>
          <w:rFonts w:hint="eastAsia"/>
          <w:color w:val="auto"/>
          <w:sz w:val="24"/>
          <w:szCs w:val="24"/>
          <w:highlight w:val="none"/>
        </w:rPr>
        <w:t>我公司（单位）针对</w:t>
      </w:r>
      <w:r>
        <w:rPr>
          <w:rFonts w:hint="eastAsia" w:ascii="宋体" w:hAnsi="宋体"/>
          <w:bCs/>
          <w:color w:val="auto"/>
          <w:sz w:val="24"/>
          <w:szCs w:val="24"/>
          <w:highlight w:val="none"/>
        </w:rPr>
        <w:t>编号项目，兹授权：</w:t>
      </w:r>
    </w:p>
    <w:p>
      <w:pPr>
        <w:pStyle w:val="393"/>
        <w:spacing w:line="360" w:lineRule="auto"/>
        <w:ind w:firstLine="480"/>
        <w:rPr>
          <w:color w:val="auto"/>
          <w:sz w:val="24"/>
          <w:szCs w:val="24"/>
          <w:highlight w:val="none"/>
        </w:rPr>
      </w:pPr>
      <w:r>
        <w:rPr>
          <w:rFonts w:hint="eastAsia"/>
          <w:color w:val="auto"/>
          <w:sz w:val="24"/>
          <w:szCs w:val="24"/>
          <w:highlight w:val="none"/>
        </w:rPr>
        <w:t>被授权人的姓名：；性别：；年龄：；职务：；</w:t>
      </w:r>
    </w:p>
    <w:p>
      <w:pPr>
        <w:pStyle w:val="393"/>
        <w:spacing w:line="360" w:lineRule="auto"/>
        <w:ind w:firstLine="480"/>
        <w:rPr>
          <w:color w:val="auto"/>
          <w:sz w:val="24"/>
          <w:szCs w:val="24"/>
          <w:highlight w:val="none"/>
        </w:rPr>
      </w:pPr>
      <w:r>
        <w:rPr>
          <w:rFonts w:hint="eastAsia"/>
          <w:color w:val="auto"/>
          <w:sz w:val="24"/>
          <w:szCs w:val="24"/>
          <w:highlight w:val="none"/>
        </w:rPr>
        <w:t>被授权人的身份证号码：；联系方式：；</w:t>
      </w:r>
    </w:p>
    <w:p>
      <w:pPr>
        <w:pStyle w:val="393"/>
        <w:spacing w:line="360" w:lineRule="auto"/>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pPr>
        <w:pStyle w:val="393"/>
        <w:spacing w:line="360" w:lineRule="auto"/>
        <w:ind w:firstLine="480"/>
        <w:rPr>
          <w:rFonts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pPr>
        <w:pStyle w:val="393"/>
        <w:spacing w:line="360" w:lineRule="auto"/>
        <w:ind w:firstLine="480"/>
        <w:rPr>
          <w:color w:val="auto"/>
          <w:sz w:val="24"/>
          <w:szCs w:val="24"/>
          <w:highlight w:val="none"/>
        </w:rPr>
      </w:pPr>
      <w:r>
        <w:rPr>
          <w:rFonts w:hint="eastAsia"/>
          <w:color w:val="auto"/>
          <w:sz w:val="24"/>
          <w:szCs w:val="24"/>
          <w:highlight w:val="none"/>
        </w:rPr>
        <w:t>特此授权委托。</w:t>
      </w:r>
    </w:p>
    <w:p>
      <w:pPr>
        <w:pStyle w:val="393"/>
        <w:spacing w:line="360" w:lineRule="auto"/>
        <w:ind w:firstLine="480"/>
        <w:rPr>
          <w:color w:val="auto"/>
          <w:sz w:val="24"/>
          <w:szCs w:val="24"/>
          <w:highlight w:val="none"/>
        </w:rPr>
      </w:pPr>
    </w:p>
    <w:p>
      <w:pPr>
        <w:pStyle w:val="393"/>
        <w:spacing w:line="360" w:lineRule="auto"/>
        <w:ind w:firstLine="480"/>
        <w:rPr>
          <w:color w:val="auto"/>
          <w:sz w:val="24"/>
          <w:szCs w:val="24"/>
          <w:highlight w:val="none"/>
        </w:rPr>
      </w:pPr>
    </w:p>
    <w:p>
      <w:pPr>
        <w:pStyle w:val="393"/>
        <w:spacing w:line="360" w:lineRule="auto"/>
        <w:ind w:firstLine="0"/>
        <w:rPr>
          <w:color w:val="auto"/>
          <w:sz w:val="24"/>
          <w:szCs w:val="24"/>
          <w:highlight w:val="none"/>
        </w:rPr>
      </w:pPr>
      <w:r>
        <w:rPr>
          <w:rFonts w:hint="eastAsia"/>
          <w:color w:val="auto"/>
          <w:sz w:val="24"/>
          <w:szCs w:val="24"/>
          <w:highlight w:val="none"/>
        </w:rPr>
        <w:t>授权日期：年月日投标人名称</w:t>
      </w:r>
      <w:r>
        <w:rPr>
          <w:rFonts w:hint="eastAsia" w:ascii="宋体" w:hAnsi="宋体"/>
          <w:bCs/>
          <w:color w:val="auto"/>
          <w:sz w:val="24"/>
          <w:szCs w:val="24"/>
          <w:highlight w:val="none"/>
        </w:rPr>
        <w:t>（盖章）</w:t>
      </w:r>
      <w:r>
        <w:rPr>
          <w:rFonts w:hint="eastAsia"/>
          <w:color w:val="auto"/>
          <w:sz w:val="24"/>
          <w:szCs w:val="24"/>
          <w:highlight w:val="none"/>
        </w:rPr>
        <w:t>：</w:t>
      </w:r>
    </w:p>
    <w:p>
      <w:pPr>
        <w:pStyle w:val="393"/>
        <w:spacing w:line="360" w:lineRule="auto"/>
        <w:ind w:firstLine="0"/>
        <w:rPr>
          <w:color w:val="auto"/>
          <w:sz w:val="24"/>
          <w:szCs w:val="24"/>
          <w:highlight w:val="none"/>
          <w:u w:val="single"/>
        </w:rPr>
      </w:pPr>
    </w:p>
    <w:p>
      <w:pPr>
        <w:pStyle w:val="393"/>
        <w:spacing w:line="360" w:lineRule="auto"/>
        <w:ind w:firstLine="0"/>
        <w:rPr>
          <w:color w:val="auto"/>
          <w:sz w:val="24"/>
          <w:szCs w:val="24"/>
          <w:highlight w:val="none"/>
        </w:rPr>
      </w:pPr>
      <w:r>
        <w:rPr>
          <w:rFonts w:hint="eastAsia"/>
          <w:color w:val="auto"/>
          <w:sz w:val="24"/>
          <w:szCs w:val="24"/>
          <w:highlight w:val="none"/>
        </w:rPr>
        <w:t>法定代表人签字：被授权人签字：</w:t>
      </w:r>
    </w:p>
    <w:p>
      <w:pPr>
        <w:pStyle w:val="393"/>
        <w:spacing w:line="360" w:lineRule="auto"/>
        <w:ind w:firstLine="0"/>
        <w:rPr>
          <w:rFonts w:ascii="宋体" w:hAnsi="宋体" w:cs="宋体"/>
          <w:b/>
          <w:color w:val="auto"/>
          <w:sz w:val="30"/>
          <w:highlight w:val="none"/>
        </w:rPr>
      </w:pPr>
    </w:p>
    <w:p>
      <w:pPr>
        <w:pStyle w:val="393"/>
        <w:spacing w:line="360" w:lineRule="auto"/>
        <w:ind w:firstLine="0"/>
        <w:rPr>
          <w:color w:val="auto"/>
          <w:sz w:val="24"/>
          <w:szCs w:val="24"/>
          <w:highlight w:val="none"/>
        </w:rPr>
      </w:pPr>
      <w:r>
        <w:rPr>
          <w:rFonts w:hint="eastAsia" w:ascii="宋体" w:hAnsi="宋体" w:cs="宋体"/>
          <w:b/>
          <w:color w:val="auto"/>
          <w:sz w:val="30"/>
          <w:highlight w:val="none"/>
        </w:rPr>
        <w:t>(被授权人身份证原件扫描件附后)</w:t>
      </w:r>
    </w:p>
    <w:p>
      <w:pPr>
        <w:pStyle w:val="393"/>
        <w:spacing w:line="360" w:lineRule="auto"/>
        <w:ind w:firstLine="0"/>
        <w:rPr>
          <w:color w:val="auto"/>
          <w:sz w:val="24"/>
          <w:szCs w:val="24"/>
          <w:highlight w:val="none"/>
        </w:rPr>
      </w:pPr>
      <w:r>
        <w:rPr>
          <w:rFonts w:hint="eastAsia"/>
          <w:color w:val="auto"/>
          <w:sz w:val="24"/>
          <w:szCs w:val="24"/>
          <w:highlight w:val="none"/>
        </w:rPr>
        <w:t>说明：</w:t>
      </w:r>
    </w:p>
    <w:p>
      <w:pPr>
        <w:pStyle w:val="393"/>
        <w:numPr>
          <w:ilvl w:val="0"/>
          <w:numId w:val="11"/>
        </w:numPr>
        <w:spacing w:line="360" w:lineRule="auto"/>
        <w:ind w:firstLine="480"/>
        <w:rPr>
          <w:rFonts w:ascii="宋体" w:hAnsi="宋体"/>
          <w:color w:val="auto"/>
          <w:sz w:val="24"/>
          <w:szCs w:val="20"/>
          <w:highlight w:val="none"/>
        </w:rPr>
      </w:pP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pPr>
        <w:pStyle w:val="393"/>
        <w:numPr>
          <w:ilvl w:val="0"/>
          <w:numId w:val="11"/>
        </w:numPr>
        <w:spacing w:line="360" w:lineRule="auto"/>
        <w:ind w:firstLine="480"/>
        <w:rPr>
          <w:rFonts w:ascii="宋体" w:hAnsi="宋体"/>
          <w:color w:val="auto"/>
          <w:sz w:val="24"/>
          <w:szCs w:val="20"/>
          <w:highlight w:val="none"/>
        </w:rPr>
      </w:pPr>
      <w:r>
        <w:rPr>
          <w:rFonts w:hint="eastAsia" w:ascii="宋体" w:hAnsi="宋体"/>
          <w:color w:val="auto"/>
          <w:sz w:val="24"/>
          <w:szCs w:val="20"/>
          <w:highlight w:val="none"/>
        </w:rPr>
        <w:t>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pPr>
        <w:pStyle w:val="393"/>
        <w:numPr>
          <w:ilvl w:val="0"/>
          <w:numId w:val="11"/>
        </w:numPr>
        <w:spacing w:line="360" w:lineRule="auto"/>
        <w:ind w:firstLine="480"/>
        <w:rPr>
          <w:rFonts w:ascii="宋体" w:hAnsi="宋体"/>
          <w:color w:val="auto"/>
          <w:sz w:val="24"/>
          <w:szCs w:val="20"/>
          <w:highlight w:val="none"/>
        </w:rPr>
      </w:pPr>
      <w:r>
        <w:rPr>
          <w:rFonts w:hint="eastAsia" w:ascii="宋体" w:hAnsi="宋体"/>
          <w:color w:val="auto"/>
          <w:sz w:val="24"/>
          <w:szCs w:val="20"/>
          <w:highlight w:val="none"/>
        </w:rPr>
        <w:t>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pPr>
        <w:pStyle w:val="393"/>
        <w:numPr>
          <w:ilvl w:val="0"/>
          <w:numId w:val="11"/>
        </w:num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pPr>
        <w:pStyle w:val="393"/>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pPr>
        <w:spacing w:line="360" w:lineRule="auto"/>
        <w:jc w:val="center"/>
        <w:outlineLvl w:val="0"/>
        <w:rPr>
          <w:rFonts w:ascii="黑体" w:eastAsia="黑体"/>
          <w:bCs/>
          <w:color w:val="auto"/>
          <w:sz w:val="28"/>
          <w:szCs w:val="28"/>
          <w:highlight w:val="none"/>
        </w:rPr>
      </w:pPr>
      <w:bookmarkStart w:id="185" w:name="报价方关于资格的声明函（格式）"/>
      <w:bookmarkEnd w:id="185"/>
      <w:r>
        <w:rPr>
          <w:rFonts w:hint="eastAsia" w:ascii="黑体" w:eastAsia="黑体"/>
          <w:bCs/>
          <w:color w:val="auto"/>
          <w:sz w:val="28"/>
          <w:szCs w:val="28"/>
          <w:highlight w:val="none"/>
        </w:rPr>
        <w:t>资格声明函</w:t>
      </w:r>
    </w:p>
    <w:p>
      <w:pPr>
        <w:spacing w:line="360" w:lineRule="auto"/>
        <w:jc w:val="center"/>
        <w:rPr>
          <w:rFonts w:ascii="宋体"/>
          <w:bCs/>
          <w:color w:val="auto"/>
          <w:sz w:val="24"/>
          <w:szCs w:val="24"/>
          <w:highlight w:val="none"/>
        </w:rPr>
      </w:pPr>
    </w:p>
    <w:p>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江苏博智工程咨询有限公司</w:t>
      </w:r>
      <w:r>
        <w:rPr>
          <w:rFonts w:hint="eastAsia" w:ascii="宋体" w:hAnsi="宋体"/>
          <w:bCs/>
          <w:color w:val="auto"/>
          <w:sz w:val="24"/>
          <w:szCs w:val="24"/>
          <w:highlight w:val="none"/>
        </w:rPr>
        <w:t>：</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我公司（单位）针对本次项目编号进行投标，并作如下声明</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pPr>
        <w:spacing w:line="360" w:lineRule="auto"/>
        <w:rPr>
          <w:rFonts w:ascii="宋体"/>
          <w:bCs/>
          <w:color w:val="auto"/>
          <w:sz w:val="24"/>
          <w:szCs w:val="24"/>
          <w:highlight w:val="none"/>
        </w:rPr>
      </w:pPr>
    </w:p>
    <w:p>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pPr>
        <w:spacing w:line="360" w:lineRule="auto"/>
        <w:ind w:firstLine="560"/>
        <w:jc w:val="center"/>
        <w:rPr>
          <w:rFonts w:ascii="黑体" w:eastAsia="黑体"/>
          <w:bCs/>
          <w:color w:val="auto"/>
          <w:sz w:val="28"/>
          <w:szCs w:val="28"/>
          <w:highlight w:val="none"/>
        </w:rPr>
      </w:pPr>
    </w:p>
    <w:p>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，从业人员人，营业收入为万元，资产总额为万元，属于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，从业人员人，营业收入为万元，资产总额为万元，属于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pPr>
        <w:spacing w:line="360" w:lineRule="auto"/>
        <w:ind w:firstLine="420"/>
        <w:rPr>
          <w:color w:val="auto"/>
          <w:highlight w:val="none"/>
        </w:rPr>
      </w:pPr>
    </w:p>
    <w:p>
      <w:pPr>
        <w:spacing w:line="360" w:lineRule="auto"/>
        <w:ind w:firstLine="420"/>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pPr>
        <w:spacing w:line="360" w:lineRule="auto"/>
        <w:ind w:firstLine="420"/>
        <w:rPr>
          <w:color w:val="auto"/>
          <w:highlight w:val="none"/>
        </w:rPr>
      </w:pPr>
      <w:r>
        <w:rPr>
          <w:rFonts w:hint="eastAsia"/>
          <w:color w:val="auto"/>
          <w:highlight w:val="none"/>
        </w:rPr>
        <w:t>（3）中标供应商的《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pPr>
        <w:spacing w:line="360" w:lineRule="auto"/>
        <w:rPr>
          <w:b/>
          <w:bCs/>
          <w:color w:val="auto"/>
          <w:sz w:val="28"/>
          <w:szCs w:val="28"/>
          <w:highlight w:val="none"/>
        </w:rPr>
      </w:pPr>
    </w:p>
    <w:p>
      <w:pPr>
        <w:spacing w:line="360" w:lineRule="auto"/>
        <w:rPr>
          <w:b/>
          <w:bCs/>
          <w:color w:val="auto"/>
          <w:sz w:val="28"/>
          <w:szCs w:val="28"/>
          <w:highlight w:val="none"/>
        </w:rPr>
      </w:pPr>
    </w:p>
    <w:p>
      <w:pPr>
        <w:spacing w:line="360" w:lineRule="auto"/>
        <w:rPr>
          <w:b/>
          <w:bCs/>
          <w:color w:val="auto"/>
          <w:sz w:val="28"/>
          <w:szCs w:val="28"/>
          <w:highlight w:val="none"/>
        </w:rPr>
      </w:pPr>
    </w:p>
    <w:p>
      <w:pPr>
        <w:spacing w:line="360" w:lineRule="auto"/>
        <w:rPr>
          <w:b/>
          <w:bCs/>
          <w:color w:val="auto"/>
          <w:sz w:val="28"/>
          <w:szCs w:val="28"/>
          <w:highlight w:val="none"/>
        </w:rPr>
      </w:pPr>
    </w:p>
    <w:p>
      <w:pPr>
        <w:spacing w:line="360" w:lineRule="auto"/>
        <w:rPr>
          <w:b/>
          <w:bCs/>
          <w:color w:val="auto"/>
          <w:sz w:val="28"/>
          <w:szCs w:val="28"/>
          <w:highlight w:val="none"/>
        </w:rPr>
      </w:pPr>
    </w:p>
    <w:p>
      <w:pPr>
        <w:spacing w:line="360" w:lineRule="auto"/>
        <w:rPr>
          <w:b/>
          <w:color w:val="auto"/>
          <w:sz w:val="28"/>
          <w:szCs w:val="28"/>
          <w:highlight w:val="none"/>
        </w:rPr>
      </w:pPr>
    </w:p>
    <w:p>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pPr>
        <w:spacing w:line="360" w:lineRule="auto"/>
        <w:ind w:firstLine="482"/>
        <w:rPr>
          <w:rFonts w:ascii="Arial" w:hAnsi="Arial"/>
          <w:b/>
          <w:color w:val="auto"/>
          <w:sz w:val="24"/>
          <w:highlight w:val="none"/>
        </w:rPr>
      </w:pPr>
    </w:p>
    <w:p>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pPr>
        <w:spacing w:line="360" w:lineRule="auto"/>
        <w:jc w:val="center"/>
        <w:rPr>
          <w:rFonts w:ascii="黑体" w:eastAsia="黑体"/>
          <w:bCs/>
          <w:color w:val="auto"/>
          <w:sz w:val="28"/>
          <w:szCs w:val="28"/>
          <w:highlight w:val="none"/>
        </w:rPr>
      </w:pP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pPr>
        <w:spacing w:line="360" w:lineRule="auto"/>
        <w:ind w:firstLine="480"/>
        <w:rPr>
          <w:rFonts w:ascii="宋体" w:hAnsi="宋体"/>
          <w:bCs/>
          <w:color w:val="auto"/>
          <w:sz w:val="24"/>
          <w:szCs w:val="24"/>
          <w:highlight w:val="none"/>
        </w:rPr>
      </w:pPr>
    </w:p>
    <w:p>
      <w:pPr>
        <w:spacing w:line="360" w:lineRule="auto"/>
        <w:ind w:firstLine="480"/>
        <w:rPr>
          <w:rFonts w:ascii="宋体" w:hAnsi="宋体"/>
          <w:bCs/>
          <w:color w:val="auto"/>
          <w:sz w:val="24"/>
          <w:szCs w:val="24"/>
          <w:highlight w:val="none"/>
        </w:rPr>
      </w:pP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pPr>
        <w:spacing w:line="360" w:lineRule="auto"/>
        <w:rPr>
          <w:b/>
          <w:color w:val="auto"/>
          <w:sz w:val="30"/>
          <w:szCs w:val="30"/>
          <w:highlight w:val="none"/>
        </w:rPr>
      </w:pPr>
    </w:p>
    <w:p>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江苏博智工程咨询有限公司</w:t>
      </w:r>
      <w:r>
        <w:rPr>
          <w:rFonts w:hint="eastAsia" w:ascii="宋体" w:hAnsi="宋体"/>
          <w:bCs/>
          <w:color w:val="auto"/>
          <w:sz w:val="24"/>
          <w:szCs w:val="24"/>
          <w:highlight w:val="none"/>
        </w:rPr>
        <w:t>：</w:t>
      </w:r>
    </w:p>
    <w:p>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我方收到贵方编号招标文件，经仔细阅读和研究，我方决定参加此项目的投标。</w:t>
      </w:r>
    </w:p>
    <w:p>
      <w:pPr>
        <w:numPr>
          <w:ilvl w:val="0"/>
          <w:numId w:val="12"/>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pPr>
        <w:numPr>
          <w:ilvl w:val="0"/>
          <w:numId w:val="12"/>
        </w:numPr>
        <w:tabs>
          <w:tab w:val="left" w:pos="0"/>
          <w:tab w:val="left" w:pos="315"/>
          <w:tab w:val="left" w:pos="525"/>
          <w:tab w:val="left" w:pos="840"/>
          <w:tab w:val="left" w:pos="945"/>
          <w:tab w:val="left" w:pos="1050"/>
          <w:tab w:val="clear" w:pos="552"/>
        </w:tabs>
        <w:spacing w:line="360" w:lineRule="auto"/>
        <w:ind w:left="0" w:firstLine="523"/>
        <w:rPr>
          <w:rStyle w:val="386"/>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江苏博智工程咨询有限公司</w:t>
      </w:r>
      <w:r>
        <w:rPr>
          <w:rFonts w:hint="eastAsia" w:ascii="宋体" w:hAnsi="宋体"/>
          <w:bCs/>
          <w:color w:val="auto"/>
          <w:sz w:val="24"/>
          <w:szCs w:val="24"/>
          <w:highlight w:val="none"/>
        </w:rPr>
        <w:t>在招标文件中要求的文件、资料。</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pPr>
        <w:numPr>
          <w:ilvl w:val="0"/>
          <w:numId w:val="12"/>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pPr>
        <w:spacing w:line="360" w:lineRule="auto"/>
        <w:ind w:firstLine="480"/>
        <w:rPr>
          <w:rFonts w:ascii="宋体" w:hAnsi="宋体"/>
          <w:bCs/>
          <w:color w:val="auto"/>
          <w:sz w:val="24"/>
          <w:szCs w:val="24"/>
          <w:highlight w:val="none"/>
        </w:rPr>
      </w:pPr>
    </w:p>
    <w:p>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 ；传真：；邮编：</w:t>
      </w:r>
    </w:p>
    <w:p>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p>
    <w:p>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投标人名称（盖章）：</w:t>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名称）针对本项目</w:t>
      </w:r>
      <w:r>
        <w:rPr>
          <w:rFonts w:hint="eastAsia" w:ascii="宋体" w:hAnsi="宋体"/>
          <w:bCs/>
          <w:color w:val="auto"/>
          <w:sz w:val="24"/>
          <w:szCs w:val="24"/>
          <w:highlight w:val="none"/>
        </w:rPr>
        <w:t>编号</w:t>
      </w:r>
      <w:r>
        <w:rPr>
          <w:rFonts w:hint="eastAsia" w:ascii="宋体" w:hAnsi="宋体"/>
          <w:color w:val="auto"/>
          <w:sz w:val="24"/>
          <w:szCs w:val="24"/>
          <w:highlight w:val="none"/>
        </w:rPr>
        <w:t>在此承诺：</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1．本公司（单位）对本项目提供符合招标要求的产品和服务；</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2．本公司（单位）具备履行合同所必需的设备和专业技术能力；</w:t>
      </w:r>
    </w:p>
    <w:p>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 本公司未被“信用中国”网站（www.creditchina.gov.cn）列入失信执行人、重大税收违法案件当事人名单、政府采购严重违法失信行为记录名单。</w:t>
      </w:r>
    </w:p>
    <w:p>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pPr>
        <w:spacing w:line="360" w:lineRule="auto"/>
        <w:ind w:firstLine="480"/>
        <w:rPr>
          <w:rFonts w:ascii="宋体"/>
          <w:bCs/>
          <w:color w:val="auto"/>
          <w:sz w:val="24"/>
          <w:szCs w:val="24"/>
          <w:highlight w:val="none"/>
        </w:rPr>
      </w:pPr>
    </w:p>
    <w:p>
      <w:pPr>
        <w:pStyle w:val="21"/>
        <w:rPr>
          <w:rFonts w:ascii="宋体"/>
          <w:bCs/>
          <w:color w:val="auto"/>
          <w:sz w:val="24"/>
          <w:szCs w:val="24"/>
          <w:highlight w:val="none"/>
        </w:rPr>
      </w:pPr>
    </w:p>
    <w:p>
      <w:pPr>
        <w:rPr>
          <w:color w:val="auto"/>
          <w:highlight w:val="none"/>
        </w:rPr>
      </w:pPr>
    </w:p>
    <w:p>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pPr>
        <w:spacing w:line="360" w:lineRule="auto"/>
        <w:ind w:firstLine="5400"/>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color w:val="auto"/>
          <w:highlight w:val="none"/>
        </w:rPr>
      </w:pPr>
    </w:p>
    <w:p>
      <w:pPr>
        <w:spacing w:line="36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投标人名称（盖章）：</w:t>
      </w:r>
    </w:p>
    <w:p>
      <w:pPr>
        <w:spacing w:line="360" w:lineRule="auto"/>
        <w:outlineLvl w:val="0"/>
        <w:rPr>
          <w:rFonts w:ascii="宋体" w:hAnsi="宋体"/>
          <w:bCs/>
          <w:color w:val="auto"/>
          <w:sz w:val="24"/>
          <w:szCs w:val="24"/>
          <w:highlight w:val="none"/>
        </w:rPr>
      </w:pPr>
    </w:p>
    <w:p>
      <w:pPr>
        <w:spacing w:line="360" w:lineRule="auto"/>
        <w:outlineLvl w:val="0"/>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rFonts w:ascii="宋体" w:hAnsi="宋体"/>
          <w:bCs/>
          <w:color w:val="auto"/>
          <w:sz w:val="24"/>
          <w:szCs w:val="24"/>
          <w:highlight w:val="none"/>
        </w:rPr>
      </w:pPr>
    </w:p>
    <w:p>
      <w:pPr>
        <w:rPr>
          <w:rFonts w:ascii="宋体" w:hAnsi="宋体"/>
          <w:bCs/>
          <w:color w:val="auto"/>
          <w:sz w:val="24"/>
          <w:szCs w:val="24"/>
          <w:highlight w:val="none"/>
        </w:rPr>
      </w:pPr>
    </w:p>
    <w:p>
      <w:pPr>
        <w:pStyle w:val="21"/>
        <w:rPr>
          <w:color w:val="auto"/>
          <w:highlight w:val="none"/>
        </w:rPr>
      </w:pPr>
    </w:p>
    <w:p>
      <w:pPr>
        <w:spacing w:line="360" w:lineRule="auto"/>
        <w:rPr>
          <w:b/>
          <w:color w:val="auto"/>
          <w:sz w:val="28"/>
          <w:szCs w:val="28"/>
          <w:highlight w:val="none"/>
        </w:rPr>
      </w:pPr>
    </w:p>
    <w:p>
      <w:pPr>
        <w:spacing w:line="360" w:lineRule="auto"/>
        <w:rPr>
          <w:b/>
          <w:color w:val="auto"/>
          <w:sz w:val="28"/>
          <w:szCs w:val="28"/>
          <w:highlight w:val="none"/>
        </w:rPr>
      </w:pPr>
      <w:r>
        <w:rPr>
          <w:rFonts w:hint="eastAsia"/>
          <w:b/>
          <w:color w:val="auto"/>
          <w:sz w:val="28"/>
          <w:szCs w:val="28"/>
          <w:highlight w:val="none"/>
        </w:rPr>
        <w:t>八、开标一览表（给定格式）：</w:t>
      </w:r>
    </w:p>
    <w:p>
      <w:pPr>
        <w:spacing w:line="360" w:lineRule="auto"/>
        <w:ind w:firstLine="482"/>
        <w:rPr>
          <w:rFonts w:ascii="Arial" w:hAnsi="Arial"/>
          <w:b/>
          <w:color w:val="auto"/>
          <w:sz w:val="24"/>
          <w:highlight w:val="none"/>
        </w:rPr>
      </w:pPr>
    </w:p>
    <w:p>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pPr>
        <w:spacing w:line="360" w:lineRule="auto"/>
        <w:jc w:val="center"/>
        <w:outlineLvl w:val="0"/>
        <w:rPr>
          <w:rFonts w:ascii="黑体" w:eastAsia="黑体"/>
          <w:bCs/>
          <w:color w:val="auto"/>
          <w:sz w:val="28"/>
          <w:szCs w:val="28"/>
          <w:highlight w:val="none"/>
        </w:rPr>
      </w:pP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pPr>
              <w:pStyle w:val="126"/>
              <w:spacing w:line="360" w:lineRule="auto"/>
              <w:jc w:val="center"/>
              <w:rPr>
                <w:rFonts w:hAnsi="宋体"/>
                <w:bCs/>
                <w:color w:val="auto"/>
                <w:szCs w:val="24"/>
                <w:highlight w:val="none"/>
              </w:rPr>
            </w:pPr>
          </w:p>
        </w:tc>
        <w:tc>
          <w:tcPr>
            <w:tcW w:w="3188" w:type="dxa"/>
            <w:noWrap w:val="0"/>
            <w:vAlign w:val="center"/>
          </w:tcPr>
          <w:p>
            <w:pPr>
              <w:pStyle w:val="126"/>
              <w:spacing w:line="360" w:lineRule="auto"/>
              <w:rPr>
                <w:rFonts w:hAnsi="宋体"/>
                <w:b/>
                <w:color w:val="auto"/>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p>
    <w:p>
      <w:pPr>
        <w:spacing w:line="360" w:lineRule="auto"/>
        <w:ind w:firstLine="480"/>
        <w:rPr>
          <w:rFonts w:ascii="宋体" w:hAnsi="宋体"/>
          <w:color w:val="auto"/>
          <w:sz w:val="24"/>
          <w:highlight w:val="none"/>
        </w:rPr>
      </w:pPr>
      <w:bookmarkStart w:id="186" w:name="_Hlk165208335"/>
      <w:r>
        <w:rPr>
          <w:rFonts w:hint="eastAsia" w:ascii="宋体" w:hAnsi="宋体"/>
          <w:color w:val="auto"/>
          <w:sz w:val="24"/>
          <w:highlight w:val="none"/>
        </w:rPr>
        <w:t>填写说明：</w:t>
      </w:r>
    </w:p>
    <w:p>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86"/>
    </w:p>
    <w:p>
      <w:pPr>
        <w:spacing w:line="360" w:lineRule="auto"/>
        <w:rPr>
          <w:rFonts w:ascii="黑体" w:eastAsia="黑体"/>
          <w:bCs/>
          <w:color w:val="auto"/>
          <w:sz w:val="24"/>
          <w:szCs w:val="24"/>
          <w:highlight w:val="none"/>
        </w:rPr>
      </w:pPr>
    </w:p>
    <w:p>
      <w:pPr>
        <w:numPr>
          <w:ilvl w:val="0"/>
          <w:numId w:val="13"/>
        </w:numPr>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分项</w:t>
      </w:r>
      <w:r>
        <w:rPr>
          <w:b/>
          <w:color w:val="auto"/>
          <w:sz w:val="28"/>
          <w:szCs w:val="28"/>
          <w:highlight w:val="none"/>
        </w:rPr>
        <w:t>报价表</w:t>
      </w:r>
      <w:r>
        <w:rPr>
          <w:rFonts w:hint="eastAsia"/>
          <w:b/>
          <w:color w:val="auto"/>
          <w:sz w:val="28"/>
          <w:szCs w:val="28"/>
          <w:highlight w:val="none"/>
        </w:rPr>
        <w:t>（给定格式）：</w:t>
      </w:r>
      <w:bookmarkStart w:id="187" w:name="_Toc120614284"/>
    </w:p>
    <w:p>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黑体" w:hAnsi="黑体" w:eastAsia="黑体" w:cs="黑体"/>
          <w:color w:val="auto"/>
          <w:sz w:val="24"/>
          <w:highlight w:val="none"/>
        </w:rPr>
        <w:t>项目编号：</w:t>
      </w:r>
    </w:p>
    <w:p>
      <w:pPr>
        <w:tabs>
          <w:tab w:val="left" w:pos="945"/>
        </w:tabs>
        <w:spacing w:line="360" w:lineRule="auto"/>
        <w:ind w:firstLine="560" w:firstLineChars="200"/>
        <w:rPr>
          <w:rFonts w:hint="eastAsia" w:ascii="仿宋_GB2312" w:hAnsi="Times New Roman" w:eastAsia="仿宋_GB2312" w:cs="Times New Roman"/>
          <w:color w:val="auto"/>
          <w:kern w:val="0"/>
          <w:sz w:val="28"/>
          <w:szCs w:val="20"/>
          <w:highlight w:val="none"/>
          <w:lang w:val="en-US"/>
        </w:rPr>
      </w:pPr>
      <w:r>
        <w:rPr>
          <w:rFonts w:hint="eastAsia" w:ascii="仿宋_GB2312" w:hAnsi="Times New Roman" w:eastAsia="仿宋_GB2312" w:cs="Times New Roman"/>
          <w:bCs w:val="0"/>
          <w:color w:val="auto"/>
          <w:kern w:val="0"/>
          <w:sz w:val="28"/>
          <w:szCs w:val="20"/>
          <w:highlight w:val="none"/>
          <w:lang w:val="en-US" w:eastAsia="zh-CN"/>
        </w:rPr>
        <w:t>①道路、河道、公共绿地及工业园区绿地管养明细</w:t>
      </w:r>
    </w:p>
    <w:tbl>
      <w:tblPr>
        <w:tblStyle w:val="49"/>
        <w:tblW w:w="93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2"/>
        <w:gridCol w:w="1672"/>
        <w:gridCol w:w="1822"/>
        <w:gridCol w:w="1039"/>
        <w:gridCol w:w="1294"/>
        <w:gridCol w:w="949"/>
        <w:gridCol w:w="949"/>
        <w:gridCol w:w="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6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182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位置</w:t>
            </w:r>
          </w:p>
        </w:tc>
        <w:tc>
          <w:tcPr>
            <w:tcW w:w="103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合价（元）</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原有公共绿地</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太湖街道</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14216</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大桥吴巷</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吴巷</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3915</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大桥路</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东绛第二实验小学外围包括瑞祥路</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12042</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梁南苑外围</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鼎新路两侧</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5600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东绛实验小学南</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东绛实验小学南</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3200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圩湾里</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圩湾里村巷前后</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1190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雪方苑</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雪方苑小区内</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1300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8</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社区健身广场</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五湖大道方庙路口</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5000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双新园区</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雪丰路两侧</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14600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丰裕苑外围</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五湖大道-老锡南路</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7200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黄金湾工业园区</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黄金湾园区</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13810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12</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高远路</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五湖大道-信成道</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2200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13</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黄金湾驳岸景观绿地</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黄金湾园区</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2285.94</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丰裕新村</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双新工业园区雪丰路</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2502.27</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15</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华润万家四周</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华润万家</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5600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16</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宪园道</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新园路-闪溪河</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1900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17</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立新路</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周新路-贡湖大道</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750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18</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老锡南路</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贡湖大道-扬名桥</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10800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19</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周新路</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贡湖大道-金石路</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31842</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20</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闪溪河两侧</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万顺道</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8365</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21</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邹家弄浜</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大通路南北</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10379</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22</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白水塘河坡</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白水塘浜</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1500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23</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庙桥港景观绿地</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庙桥港</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5776.03</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24</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周司桥浜</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丰裕桥-吴都路</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968</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25</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曹巷浜</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曹巷浜</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4085</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26</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闪溪河</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雪珊桥-宪园道</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4200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27</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万思桥浜</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立信大道-红星美凯龙（观顺道-信成道段除外）</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10460</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8"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28</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曹王泾河</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梁南桥堍东南角，</w:t>
            </w:r>
          </w:p>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东绛大桥</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3615</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29</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东绛大桥壳牌加油站</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贡湖大道510号</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9371</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30</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西绛道</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大通路-周新路</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108</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31</w:t>
            </w:r>
          </w:p>
        </w:tc>
        <w:tc>
          <w:tcPr>
            <w:tcW w:w="167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生达路</w:t>
            </w:r>
          </w:p>
        </w:tc>
        <w:tc>
          <w:tcPr>
            <w:tcW w:w="18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大通路-万顺道</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2706.8</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64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167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雪丰路（和玺一期）</w:t>
            </w:r>
          </w:p>
        </w:tc>
        <w:tc>
          <w:tcPr>
            <w:tcW w:w="182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信成道-三乡图道</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12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928.5</w:t>
            </w: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c>
          <w:tcPr>
            <w:tcW w:w="94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auto"/>
                <w:sz w:val="24"/>
                <w:szCs w:val="24"/>
                <w:highlight w:val="none"/>
                <w:u w:val="none"/>
              </w:rPr>
            </w:pPr>
          </w:p>
        </w:tc>
      </w:tr>
    </w:tbl>
    <w:p>
      <w:pPr>
        <w:tabs>
          <w:tab w:val="left" w:pos="945"/>
        </w:tabs>
        <w:spacing w:line="360" w:lineRule="auto"/>
        <w:ind w:firstLine="480" w:firstLineChars="200"/>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②太湖街道游园养护管养明细</w:t>
      </w:r>
    </w:p>
    <w:tbl>
      <w:tblPr>
        <w:tblStyle w:val="49"/>
        <w:tblW w:w="933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6"/>
        <w:gridCol w:w="1814"/>
        <w:gridCol w:w="2120"/>
        <w:gridCol w:w="805"/>
        <w:gridCol w:w="978"/>
        <w:gridCol w:w="983"/>
        <w:gridCol w:w="983"/>
        <w:gridCol w:w="9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6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8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212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位置</w:t>
            </w:r>
          </w:p>
        </w:tc>
        <w:tc>
          <w:tcPr>
            <w:tcW w:w="8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97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合价（元）</w:t>
            </w:r>
          </w:p>
        </w:tc>
        <w:tc>
          <w:tcPr>
            <w:tcW w:w="9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6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谈巷休闲园</w:t>
            </w:r>
          </w:p>
        </w:tc>
        <w:tc>
          <w:tcPr>
            <w:tcW w:w="21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华盛苑南门</w:t>
            </w:r>
          </w:p>
        </w:tc>
        <w:tc>
          <w:tcPr>
            <w:tcW w:w="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7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7300</w:t>
            </w: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小游园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6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南湖怡园</w:t>
            </w:r>
          </w:p>
        </w:tc>
        <w:tc>
          <w:tcPr>
            <w:tcW w:w="212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高运路兴梁道路口</w:t>
            </w:r>
          </w:p>
        </w:tc>
        <w:tc>
          <w:tcPr>
            <w:tcW w:w="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7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7260</w:t>
            </w: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小游园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6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五湖大道地铁口</w:t>
            </w:r>
          </w:p>
        </w:tc>
        <w:tc>
          <w:tcPr>
            <w:tcW w:w="212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周新西路</w:t>
            </w:r>
          </w:p>
        </w:tc>
        <w:tc>
          <w:tcPr>
            <w:tcW w:w="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7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2962.2</w:t>
            </w: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按游园标准养护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4" w:hRule="atLeast"/>
        </w:trPr>
        <w:tc>
          <w:tcPr>
            <w:tcW w:w="6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14" w:type="dxa"/>
            <w:tcBorders>
              <w:top w:val="single" w:color="000000" w:sz="4" w:space="0"/>
              <w:left w:val="single" w:color="000000" w:sz="4" w:space="0"/>
              <w:bottom w:val="single" w:color="auto"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信成道小游园及周边</w:t>
            </w:r>
          </w:p>
        </w:tc>
        <w:tc>
          <w:tcPr>
            <w:tcW w:w="212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信成道（东华花苑-东泉花苑）（游园2400，周边717.28，含花箱）</w:t>
            </w:r>
          </w:p>
        </w:tc>
        <w:tc>
          <w:tcPr>
            <w:tcW w:w="8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7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3117.28</w:t>
            </w: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小游园</w:t>
            </w:r>
          </w:p>
        </w:tc>
      </w:tr>
    </w:tbl>
    <w:p>
      <w:pPr>
        <w:pStyle w:val="2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③原自然河坡绿化管养明细</w:t>
      </w:r>
    </w:p>
    <w:tbl>
      <w:tblPr>
        <w:tblStyle w:val="49"/>
        <w:tblW w:w="933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3"/>
        <w:gridCol w:w="1755"/>
        <w:gridCol w:w="2145"/>
        <w:gridCol w:w="825"/>
        <w:gridCol w:w="960"/>
        <w:gridCol w:w="1005"/>
        <w:gridCol w:w="96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6" w:hRule="atLeast"/>
        </w:trPr>
        <w:tc>
          <w:tcPr>
            <w:tcW w:w="6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7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21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位置</w:t>
            </w:r>
          </w:p>
        </w:tc>
        <w:tc>
          <w:tcPr>
            <w:tcW w:w="82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合价（元）</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6" w:hRule="atLeast"/>
        </w:trPr>
        <w:tc>
          <w:tcPr>
            <w:tcW w:w="6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东湖外河</w:t>
            </w:r>
          </w:p>
        </w:tc>
        <w:tc>
          <w:tcPr>
            <w:tcW w:w="21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大剧院路万象九里到丝竹道</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10164.94</w:t>
            </w: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6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7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方桥浜</w:t>
            </w:r>
          </w:p>
        </w:tc>
        <w:tc>
          <w:tcPr>
            <w:tcW w:w="21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五湖大道雪方桥以西</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1585.55</w:t>
            </w: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6" w:hRule="atLeast"/>
        </w:trPr>
        <w:tc>
          <w:tcPr>
            <w:tcW w:w="6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7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顾道里浜</w:t>
            </w:r>
          </w:p>
        </w:tc>
        <w:tc>
          <w:tcPr>
            <w:tcW w:w="21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周新苑二期东门口衡源路南，立信大道东</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152.28</w:t>
            </w: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6" w:hRule="atLeast"/>
        </w:trPr>
        <w:tc>
          <w:tcPr>
            <w:tcW w:w="6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7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湖东浜</w:t>
            </w:r>
          </w:p>
        </w:tc>
        <w:tc>
          <w:tcPr>
            <w:tcW w:w="21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大通路北河，沿万科一三期河北岸</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4038.07</w:t>
            </w: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683"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755"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谢浦浜</w:t>
            </w:r>
          </w:p>
        </w:tc>
        <w:tc>
          <w:tcPr>
            <w:tcW w:w="2145"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周新路薛家桥东北沿河--梁塘河</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60"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3044.76</w:t>
            </w:r>
          </w:p>
        </w:tc>
        <w:tc>
          <w:tcPr>
            <w:tcW w:w="1005"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60"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5" w:type="dxa"/>
            <w:tcBorders>
              <w:top w:val="single" w:color="000000" w:sz="4" w:space="0"/>
              <w:left w:val="single" w:color="000000" w:sz="4" w:space="0"/>
              <w:bottom w:val="nil"/>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6" w:hRule="atLeast"/>
        </w:trPr>
        <w:tc>
          <w:tcPr>
            <w:tcW w:w="6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7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宣家巷浜</w:t>
            </w:r>
          </w:p>
        </w:tc>
        <w:tc>
          <w:tcPr>
            <w:tcW w:w="21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宣家巷</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1055.07</w:t>
            </w: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8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75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曹王泾</w:t>
            </w:r>
          </w:p>
        </w:tc>
        <w:tc>
          <w:tcPr>
            <w:tcW w:w="21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东绛大桥--扬名桥</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1252.91</w:t>
            </w: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pPr>
        <w:rPr>
          <w:rFonts w:hint="eastAsia" w:ascii="宋体" w:hAnsi="宋体" w:eastAsia="宋体" w:cs="宋体"/>
          <w:color w:val="auto"/>
          <w:sz w:val="24"/>
          <w:szCs w:val="24"/>
          <w:highlight w:val="none"/>
          <w:lang w:val="en-US" w:eastAsia="zh-CN"/>
        </w:rPr>
      </w:pPr>
    </w:p>
    <w:p>
      <w:pPr>
        <w:tabs>
          <w:tab w:val="left" w:pos="945"/>
        </w:tabs>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④其他</w:t>
      </w:r>
    </w:p>
    <w:tbl>
      <w:tblPr>
        <w:tblStyle w:val="49"/>
        <w:tblW w:w="933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8"/>
        <w:gridCol w:w="2398"/>
        <w:gridCol w:w="863"/>
        <w:gridCol w:w="1116"/>
        <w:gridCol w:w="1518"/>
        <w:gridCol w:w="1530"/>
        <w:gridCol w:w="12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66" w:hRule="atLeast"/>
        </w:trPr>
        <w:tc>
          <w:tcPr>
            <w:tcW w:w="69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39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项目名称</w:t>
            </w:r>
          </w:p>
        </w:tc>
        <w:tc>
          <w:tcPr>
            <w:tcW w:w="86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11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工程量</w:t>
            </w:r>
          </w:p>
        </w:tc>
        <w:tc>
          <w:tcPr>
            <w:tcW w:w="15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合价（元）</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69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3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树木修剪</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株</w:t>
            </w:r>
          </w:p>
        </w:tc>
        <w:tc>
          <w:tcPr>
            <w:tcW w:w="111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1608</w:t>
            </w:r>
          </w:p>
        </w:tc>
        <w:tc>
          <w:tcPr>
            <w:tcW w:w="15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按实结算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8" w:hRule="atLeast"/>
        </w:trPr>
        <w:tc>
          <w:tcPr>
            <w:tcW w:w="69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3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绿化废弃物处理</w:t>
            </w:r>
          </w:p>
        </w:tc>
        <w:tc>
          <w:tcPr>
            <w:tcW w:w="8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w:t>
            </w:r>
          </w:p>
        </w:tc>
        <w:tc>
          <w:tcPr>
            <w:tcW w:w="111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c>
          <w:tcPr>
            <w:tcW w:w="15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53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车辆按3.5米长货车计量，工程量按实结算</w:t>
            </w:r>
          </w:p>
        </w:tc>
      </w:tr>
    </w:tbl>
    <w:p>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ascii="宋体" w:hAnsi="宋体" w:cs="宋体"/>
          <w:b/>
          <w:color w:val="auto"/>
          <w:sz w:val="24"/>
          <w:highlight w:val="none"/>
        </w:rPr>
        <w:t>法定代表人或法定代表人授权代表签字或盖章：</w:t>
      </w:r>
    </w:p>
    <w:p>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2"/>
          <w:highlight w:val="none"/>
        </w:rPr>
      </w:pPr>
      <w:r>
        <w:rPr>
          <w:rFonts w:ascii="宋体" w:hAnsi="宋体" w:cs="宋体"/>
          <w:b/>
          <w:color w:val="auto"/>
          <w:sz w:val="22"/>
          <w:highlight w:val="none"/>
        </w:rPr>
        <w:t> </w:t>
      </w:r>
      <w:r>
        <w:rPr>
          <w:rFonts w:ascii="宋体" w:hAnsi="宋体" w:cs="宋体"/>
          <w:color w:val="auto"/>
          <w:sz w:val="22"/>
          <w:highlight w:val="none"/>
        </w:rPr>
        <w:t>注：1、</w:t>
      </w:r>
      <w:r>
        <w:rPr>
          <w:rFonts w:hint="eastAsia" w:ascii="宋体" w:hAnsi="宋体" w:cs="宋体"/>
          <w:color w:val="auto"/>
          <w:sz w:val="22"/>
          <w:highlight w:val="none"/>
        </w:rPr>
        <w:t>采购人不提供前期接管费用，不提供装备和装备费，供应商需要将以上费用打入分项报价中。</w:t>
      </w:r>
    </w:p>
    <w:p>
      <w:pPr>
        <w:pBdr>
          <w:top w:val="none" w:color="000000" w:sz="0" w:space="0"/>
          <w:left w:val="none" w:color="000000" w:sz="0" w:space="0"/>
          <w:bottom w:val="none" w:color="000000" w:sz="0" w:space="0"/>
          <w:right w:val="none" w:color="000000" w:sz="0" w:space="0"/>
        </w:pBdr>
        <w:spacing w:line="360" w:lineRule="auto"/>
        <w:ind w:firstLine="440"/>
        <w:rPr>
          <w:color w:val="auto"/>
          <w:highlight w:val="none"/>
        </w:rPr>
      </w:pPr>
      <w:r>
        <w:rPr>
          <w:rFonts w:hint="eastAsia" w:ascii="宋体" w:hAnsi="宋体" w:cs="宋体"/>
          <w:color w:val="auto"/>
          <w:sz w:val="22"/>
          <w:highlight w:val="none"/>
        </w:rPr>
        <w:t>2、</w:t>
      </w:r>
      <w:r>
        <w:rPr>
          <w:rFonts w:ascii="宋体" w:hAnsi="宋体" w:cs="宋体"/>
          <w:color w:val="auto"/>
          <w:sz w:val="22"/>
          <w:highlight w:val="none"/>
        </w:rPr>
        <w:t>投标人报价时应充分考虑服务期内所有可能影响到报价的因素（包括最低工资标准和社保基数的政策性调整），</w:t>
      </w:r>
      <w:r>
        <w:rPr>
          <w:rFonts w:hint="eastAsia" w:ascii="宋体" w:hAnsi="宋体"/>
          <w:bCs/>
          <w:color w:val="auto"/>
          <w:szCs w:val="21"/>
          <w:highlight w:val="none"/>
        </w:rPr>
        <w:t>总报价除应包括服务人员的工资（符合无锡市最低工资标准且必须缴纳社会保险费）、法定税费和合理利润外，还应包括管理、劳务、服装、培训、通讯、安全保卫器械、保洁工用具等各项应有费用，以及为完成采购文件规定的工作所涉及到的一切相关费用。投标人报价时应充分考虑服务期内所有可能影响到报价的因素，</w:t>
      </w:r>
      <w:r>
        <w:rPr>
          <w:rFonts w:ascii="宋体" w:hAnsi="宋体" w:cs="宋体"/>
          <w:color w:val="auto"/>
          <w:sz w:val="22"/>
          <w:highlight w:val="none"/>
        </w:rPr>
        <w:t>一旦报价结束最终中标，总价将包定，中间不予调整。</w:t>
      </w:r>
    </w:p>
    <w:p>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ascii="宋体" w:hAnsi="宋体" w:cs="宋体"/>
          <w:color w:val="auto"/>
          <w:sz w:val="22"/>
          <w:highlight w:val="none"/>
        </w:rPr>
        <w:t>3</w:t>
      </w:r>
      <w:r>
        <w:rPr>
          <w:rFonts w:ascii="宋体" w:hAnsi="宋体" w:cs="宋体"/>
          <w:color w:val="auto"/>
          <w:sz w:val="22"/>
          <w:highlight w:val="none"/>
        </w:rPr>
        <w:t>、上述报价表由投标单位参照，不限于此，可根据采购需求自行添加条目</w:t>
      </w:r>
      <w:r>
        <w:rPr>
          <w:rFonts w:hint="eastAsia" w:ascii="宋体" w:hAnsi="宋体" w:cs="宋体"/>
          <w:color w:val="auto"/>
          <w:sz w:val="22"/>
          <w:highlight w:val="none"/>
        </w:rPr>
        <w:t>（但不可删减）</w:t>
      </w:r>
      <w:r>
        <w:rPr>
          <w:rFonts w:ascii="宋体" w:hAnsi="宋体" w:cs="宋体"/>
          <w:color w:val="auto"/>
          <w:sz w:val="22"/>
          <w:highlight w:val="none"/>
        </w:rPr>
        <w:t>进行投报。</w:t>
      </w:r>
    </w:p>
    <w:p>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ascii="宋体" w:hAnsi="宋体" w:cs="宋体"/>
          <w:color w:val="auto"/>
          <w:sz w:val="22"/>
          <w:highlight w:val="none"/>
        </w:rPr>
        <w:t>4</w:t>
      </w:r>
      <w:r>
        <w:rPr>
          <w:rFonts w:ascii="宋体" w:hAnsi="宋体" w:cs="宋体"/>
          <w:color w:val="auto"/>
          <w:sz w:val="22"/>
          <w:highlight w:val="none"/>
        </w:rPr>
        <w:t>、投标人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投标人对所报相关数据的真实性负责，</w:t>
      </w:r>
      <w:r>
        <w:rPr>
          <w:rFonts w:hint="eastAsia" w:ascii="宋体" w:hAnsi="宋体" w:eastAsia="宋体" w:cs="宋体"/>
          <w:color w:val="auto"/>
          <w:sz w:val="22"/>
          <w:highlight w:val="none"/>
          <w:lang w:val="en-US" w:eastAsia="zh-CN"/>
        </w:rPr>
        <w:t>采购代理机构</w:t>
      </w:r>
      <w:r>
        <w:rPr>
          <w:rFonts w:ascii="宋体" w:hAnsi="宋体" w:cs="宋体"/>
          <w:color w:val="auto"/>
          <w:sz w:val="22"/>
          <w:highlight w:val="none"/>
        </w:rPr>
        <w:t>将相关内容进行公示。</w:t>
      </w:r>
    </w:p>
    <w:p>
      <w:pPr>
        <w:spacing w:line="360" w:lineRule="auto"/>
        <w:rPr>
          <w:rFonts w:ascii="宋体" w:hAnsi="宋体" w:cs="宋体"/>
          <w:color w:val="auto"/>
          <w:sz w:val="22"/>
          <w:highlight w:val="none"/>
        </w:rPr>
      </w:pPr>
      <w:r>
        <w:rPr>
          <w:rFonts w:ascii="宋体" w:hAnsi="宋体" w:cs="宋体"/>
          <w:color w:val="auto"/>
          <w:sz w:val="22"/>
          <w:highlight w:val="none"/>
        </w:rPr>
        <w:br w:type="page" w:clear="all"/>
      </w:r>
    </w:p>
    <w:p>
      <w:pPr>
        <w:pBdr>
          <w:top w:val="none" w:color="000000" w:sz="0" w:space="0"/>
          <w:left w:val="none" w:color="000000" w:sz="0" w:space="0"/>
          <w:bottom w:val="none" w:color="000000" w:sz="0" w:space="0"/>
          <w:right w:val="none" w:color="000000" w:sz="0" w:space="0"/>
        </w:pBdr>
        <w:spacing w:line="360" w:lineRule="auto"/>
        <w:ind w:firstLine="315"/>
        <w:rPr>
          <w:color w:val="auto"/>
          <w:highlight w:val="none"/>
        </w:rPr>
      </w:pPr>
      <w:r>
        <w:rPr>
          <w:rFonts w:ascii="宋体" w:hAnsi="宋体" w:cs="宋体"/>
          <w:color w:val="auto"/>
          <w:sz w:val="22"/>
          <w:highlight w:val="none"/>
        </w:rPr>
        <w:t>  </w:t>
      </w:r>
    </w:p>
    <w:p>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pPr>
        <w:spacing w:line="360" w:lineRule="auto"/>
        <w:ind w:firstLine="490"/>
        <w:jc w:val="center"/>
        <w:outlineLvl w:val="0"/>
        <w:rPr>
          <w:rFonts w:ascii="黑体" w:eastAsia="黑体"/>
          <w:bCs/>
          <w:color w:val="auto"/>
          <w:sz w:val="28"/>
          <w:szCs w:val="28"/>
          <w:highlight w:val="none"/>
        </w:rPr>
      </w:pPr>
    </w:p>
    <w:p>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pPr>
        <w:spacing w:line="360" w:lineRule="auto"/>
        <w:jc w:val="center"/>
        <w:outlineLvl w:val="0"/>
        <w:rPr>
          <w:rFonts w:ascii="黑体" w:eastAsia="黑体"/>
          <w:bCs/>
          <w:color w:val="auto"/>
          <w:sz w:val="28"/>
          <w:szCs w:val="28"/>
          <w:highlight w:val="none"/>
        </w:rPr>
      </w:pPr>
    </w:p>
    <w:p>
      <w:pPr>
        <w:spacing w:line="360" w:lineRule="auto"/>
        <w:jc w:val="center"/>
        <w:outlineLvl w:val="0"/>
        <w:rPr>
          <w:rFonts w:ascii="黑体" w:eastAsia="黑体"/>
          <w:bCs/>
          <w:color w:val="auto"/>
          <w:sz w:val="28"/>
          <w:szCs w:val="28"/>
          <w:highlight w:val="none"/>
        </w:rPr>
      </w:pP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9"/>
        <w:tblW w:w="9885" w:type="dxa"/>
        <w:jc w:val="center"/>
        <w:tblLayout w:type="fixed"/>
        <w:tblCellMar>
          <w:top w:w="0" w:type="dxa"/>
          <w:left w:w="0" w:type="dxa"/>
          <w:bottom w:w="0" w:type="dxa"/>
          <w:right w:w="0" w:type="dxa"/>
        </w:tblCellMar>
      </w:tblPr>
      <w:tblGrid>
        <w:gridCol w:w="1905"/>
        <w:gridCol w:w="2835"/>
        <w:gridCol w:w="2835"/>
        <w:gridCol w:w="2310"/>
      </w:tblGrid>
      <w:tr>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bCs/>
                <w:color w:val="auto"/>
                <w:highlight w:val="none"/>
              </w:rPr>
            </w:pPr>
          </w:p>
        </w:tc>
      </w:tr>
    </w:tbl>
    <w:p>
      <w:pPr>
        <w:spacing w:line="360" w:lineRule="auto"/>
        <w:rPr>
          <w:rFonts w:ascii="黑体" w:eastAsia="黑体"/>
          <w:bCs/>
          <w:color w:val="auto"/>
          <w:sz w:val="24"/>
          <w:szCs w:val="24"/>
          <w:highlight w:val="none"/>
        </w:rPr>
      </w:pP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pPr>
        <w:spacing w:line="360" w:lineRule="auto"/>
        <w:rPr>
          <w:rFonts w:ascii="宋体"/>
          <w:bCs/>
          <w:color w:val="auto"/>
          <w:sz w:val="30"/>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7"/>
      <w:bookmarkStart w:id="188" w:name="_Hlt26609389"/>
      <w:bookmarkEnd w:id="188"/>
      <w:bookmarkStart w:id="189" w:name="_格式2__法定代表人授权书"/>
      <w:bookmarkEnd w:id="189"/>
      <w:bookmarkStart w:id="190" w:name="_Hlt26671374"/>
      <w:bookmarkEnd w:id="190"/>
      <w:bookmarkStart w:id="191" w:name="_Hlt26955066"/>
      <w:bookmarkEnd w:id="191"/>
    </w:p>
    <w:p>
      <w:pPr>
        <w:spacing w:line="360" w:lineRule="auto"/>
        <w:ind w:firstLine="420"/>
        <w:outlineLvl w:val="0"/>
        <w:rPr>
          <w:rFonts w:ascii="宋体" w:hAnsi="宋体"/>
          <w:bCs/>
          <w:color w:val="auto"/>
          <w:sz w:val="24"/>
          <w:szCs w:val="24"/>
          <w:highlight w:val="none"/>
        </w:rPr>
      </w:pPr>
    </w:p>
    <w:p>
      <w:pPr>
        <w:spacing w:line="360" w:lineRule="auto"/>
        <w:ind w:firstLine="420"/>
        <w:outlineLvl w:val="0"/>
        <w:rPr>
          <w:rFonts w:ascii="宋体" w:hAnsi="宋体"/>
          <w:bCs/>
          <w:color w:val="auto"/>
          <w:sz w:val="24"/>
          <w:szCs w:val="24"/>
          <w:highlight w:val="none"/>
        </w:rPr>
      </w:pPr>
    </w:p>
    <w:p>
      <w:pPr>
        <w:spacing w:line="360" w:lineRule="auto"/>
        <w:rPr>
          <w:color w:val="auto"/>
          <w:highlight w:val="none"/>
        </w:rPr>
      </w:pPr>
    </w:p>
    <w:p>
      <w:pPr>
        <w:spacing w:line="360" w:lineRule="auto"/>
        <w:outlineLvl w:val="0"/>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十一、项目人员配置考察表（格式）</w:t>
      </w:r>
    </w:p>
    <w:p>
      <w:pPr>
        <w:spacing w:line="360" w:lineRule="auto"/>
        <w:ind w:firstLine="420"/>
        <w:outlineLvl w:val="0"/>
        <w:rPr>
          <w:rFonts w:ascii="黑体" w:hAnsi="宋体" w:eastAsia="黑体"/>
          <w:bCs/>
          <w:color w:val="auto"/>
          <w:sz w:val="24"/>
          <w:szCs w:val="24"/>
          <w:highlight w:val="none"/>
        </w:rPr>
      </w:pPr>
    </w:p>
    <w:p>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项目人员配置考察表</w:t>
      </w:r>
    </w:p>
    <w:p>
      <w:pPr>
        <w:spacing w:line="360" w:lineRule="auto"/>
        <w:jc w:val="center"/>
        <w:rPr>
          <w:rFonts w:ascii="黑体" w:eastAsia="黑体"/>
          <w:bCs/>
          <w:color w:val="auto"/>
          <w:sz w:val="28"/>
          <w:szCs w:val="28"/>
          <w:highlight w:val="none"/>
        </w:rPr>
      </w:pPr>
    </w:p>
    <w:p>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pPr>
              <w:spacing w:line="360" w:lineRule="auto"/>
              <w:jc w:val="center"/>
              <w:rPr>
                <w:b/>
                <w:color w:val="auto"/>
                <w:sz w:val="24"/>
                <w:highlight w:val="none"/>
              </w:rPr>
            </w:pPr>
            <w:r>
              <w:rPr>
                <w:rFonts w:hint="eastAsia"/>
                <w:b/>
                <w:color w:val="auto"/>
                <w:sz w:val="24"/>
                <w:highlight w:val="none"/>
              </w:rPr>
              <w:t>人员经验描述</w:t>
            </w:r>
          </w:p>
          <w:p>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pPr>
              <w:spacing w:line="360" w:lineRule="auto"/>
              <w:jc w:val="center"/>
              <w:rPr>
                <w:b/>
                <w:color w:val="auto"/>
                <w:sz w:val="24"/>
                <w:highlight w:val="none"/>
              </w:rPr>
            </w:pPr>
            <w:r>
              <w:rPr>
                <w:rFonts w:hint="eastAsia"/>
                <w:b/>
                <w:color w:val="auto"/>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pPr>
              <w:spacing w:line="360" w:lineRule="auto"/>
              <w:outlineLvl w:val="0"/>
              <w:rPr>
                <w:rFonts w:ascii="黑体" w:eastAsia="黑体"/>
                <w:bCs/>
                <w:color w:val="auto"/>
                <w:sz w:val="24"/>
                <w:szCs w:val="24"/>
                <w:highlight w:val="none"/>
              </w:rPr>
            </w:pPr>
          </w:p>
        </w:tc>
        <w:tc>
          <w:tcPr>
            <w:tcW w:w="1098" w:type="dxa"/>
            <w:noWrap w:val="0"/>
          </w:tcPr>
          <w:p>
            <w:pPr>
              <w:spacing w:line="360" w:lineRule="auto"/>
              <w:outlineLvl w:val="0"/>
              <w:rPr>
                <w:rFonts w:ascii="黑体" w:eastAsia="黑体"/>
                <w:bCs/>
                <w:color w:val="auto"/>
                <w:sz w:val="24"/>
                <w:szCs w:val="24"/>
                <w:highlight w:val="none"/>
              </w:rPr>
            </w:pPr>
          </w:p>
        </w:tc>
        <w:tc>
          <w:tcPr>
            <w:tcW w:w="744" w:type="dxa"/>
            <w:noWrap w:val="0"/>
            <w:vAlign w:val="center"/>
          </w:tcPr>
          <w:p>
            <w:pPr>
              <w:spacing w:line="360" w:lineRule="auto"/>
              <w:jc w:val="center"/>
              <w:outlineLvl w:val="0"/>
              <w:rPr>
                <w:rFonts w:ascii="黑体" w:eastAsia="黑体"/>
                <w:bCs/>
                <w:color w:val="auto"/>
                <w:sz w:val="24"/>
                <w:szCs w:val="24"/>
                <w:highlight w:val="none"/>
              </w:rPr>
            </w:pPr>
          </w:p>
        </w:tc>
        <w:tc>
          <w:tcPr>
            <w:tcW w:w="709" w:type="dxa"/>
            <w:noWrap w:val="0"/>
            <w:vAlign w:val="center"/>
          </w:tcPr>
          <w:p>
            <w:pPr>
              <w:spacing w:line="360" w:lineRule="auto"/>
              <w:jc w:val="center"/>
              <w:outlineLvl w:val="0"/>
              <w:rPr>
                <w:rFonts w:ascii="黑体" w:eastAsia="黑体"/>
                <w:bCs/>
                <w:color w:val="auto"/>
                <w:sz w:val="24"/>
                <w:szCs w:val="24"/>
                <w:highlight w:val="none"/>
              </w:rPr>
            </w:pPr>
          </w:p>
        </w:tc>
        <w:tc>
          <w:tcPr>
            <w:tcW w:w="834" w:type="dxa"/>
            <w:noWrap w:val="0"/>
            <w:vAlign w:val="center"/>
          </w:tcPr>
          <w:p>
            <w:pPr>
              <w:spacing w:line="360" w:lineRule="auto"/>
              <w:jc w:val="center"/>
              <w:outlineLvl w:val="0"/>
              <w:rPr>
                <w:rFonts w:ascii="黑体" w:eastAsia="黑体"/>
                <w:bCs/>
                <w:color w:val="auto"/>
                <w:sz w:val="24"/>
                <w:szCs w:val="24"/>
                <w:highlight w:val="none"/>
              </w:rPr>
            </w:pPr>
          </w:p>
        </w:tc>
        <w:tc>
          <w:tcPr>
            <w:tcW w:w="1276" w:type="dxa"/>
            <w:noWrap w:val="0"/>
            <w:vAlign w:val="center"/>
          </w:tcPr>
          <w:p>
            <w:pPr>
              <w:spacing w:line="360" w:lineRule="auto"/>
              <w:jc w:val="center"/>
              <w:outlineLvl w:val="0"/>
              <w:rPr>
                <w:rFonts w:ascii="黑体" w:eastAsia="黑体"/>
                <w:bCs/>
                <w:color w:val="auto"/>
                <w:sz w:val="24"/>
                <w:szCs w:val="24"/>
                <w:highlight w:val="none"/>
              </w:rPr>
            </w:pPr>
          </w:p>
        </w:tc>
        <w:tc>
          <w:tcPr>
            <w:tcW w:w="1285" w:type="dxa"/>
            <w:noWrap w:val="0"/>
            <w:vAlign w:val="center"/>
          </w:tcPr>
          <w:p>
            <w:pPr>
              <w:spacing w:line="360" w:lineRule="auto"/>
              <w:jc w:val="center"/>
              <w:outlineLvl w:val="0"/>
              <w:rPr>
                <w:rFonts w:ascii="黑体" w:eastAsia="黑体"/>
                <w:bCs/>
                <w:color w:val="auto"/>
                <w:sz w:val="24"/>
                <w:szCs w:val="24"/>
                <w:highlight w:val="none"/>
              </w:rPr>
            </w:pPr>
          </w:p>
        </w:tc>
        <w:tc>
          <w:tcPr>
            <w:tcW w:w="1833" w:type="dxa"/>
            <w:noWrap w:val="0"/>
            <w:vAlign w:val="center"/>
          </w:tcPr>
          <w:p>
            <w:pPr>
              <w:spacing w:line="360" w:lineRule="auto"/>
              <w:jc w:val="center"/>
              <w:outlineLvl w:val="0"/>
              <w:rPr>
                <w:rFonts w:ascii="黑体" w:eastAsia="黑体"/>
                <w:bCs/>
                <w:color w:val="auto"/>
                <w:sz w:val="24"/>
                <w:szCs w:val="24"/>
                <w:highlight w:val="none"/>
              </w:rPr>
            </w:pPr>
          </w:p>
        </w:tc>
        <w:tc>
          <w:tcPr>
            <w:tcW w:w="992" w:type="dxa"/>
            <w:noWrap w:val="0"/>
            <w:vAlign w:val="center"/>
          </w:tcPr>
          <w:p>
            <w:pPr>
              <w:spacing w:line="360" w:lineRule="auto"/>
              <w:jc w:val="center"/>
              <w:outlineLvl w:val="0"/>
              <w:rPr>
                <w:rFonts w:ascii="黑体" w:eastAsia="黑体"/>
                <w:bCs/>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pPr>
              <w:spacing w:line="360" w:lineRule="auto"/>
              <w:outlineLvl w:val="0"/>
              <w:rPr>
                <w:rFonts w:ascii="黑体" w:eastAsia="黑体"/>
                <w:bCs/>
                <w:color w:val="auto"/>
                <w:sz w:val="24"/>
                <w:szCs w:val="24"/>
                <w:highlight w:val="none"/>
              </w:rPr>
            </w:pPr>
          </w:p>
        </w:tc>
        <w:tc>
          <w:tcPr>
            <w:tcW w:w="1098" w:type="dxa"/>
            <w:noWrap w:val="0"/>
          </w:tcPr>
          <w:p>
            <w:pPr>
              <w:spacing w:line="360" w:lineRule="auto"/>
              <w:outlineLvl w:val="0"/>
              <w:rPr>
                <w:rFonts w:ascii="黑体" w:eastAsia="黑体"/>
                <w:bCs/>
                <w:color w:val="auto"/>
                <w:sz w:val="24"/>
                <w:szCs w:val="24"/>
                <w:highlight w:val="none"/>
              </w:rPr>
            </w:pPr>
          </w:p>
        </w:tc>
        <w:tc>
          <w:tcPr>
            <w:tcW w:w="744" w:type="dxa"/>
            <w:noWrap w:val="0"/>
            <w:vAlign w:val="center"/>
          </w:tcPr>
          <w:p>
            <w:pPr>
              <w:spacing w:line="360" w:lineRule="auto"/>
              <w:jc w:val="center"/>
              <w:outlineLvl w:val="0"/>
              <w:rPr>
                <w:rFonts w:ascii="黑体" w:eastAsia="黑体"/>
                <w:bCs/>
                <w:color w:val="auto"/>
                <w:sz w:val="24"/>
                <w:szCs w:val="24"/>
                <w:highlight w:val="none"/>
              </w:rPr>
            </w:pPr>
          </w:p>
        </w:tc>
        <w:tc>
          <w:tcPr>
            <w:tcW w:w="709" w:type="dxa"/>
            <w:noWrap w:val="0"/>
            <w:vAlign w:val="center"/>
          </w:tcPr>
          <w:p>
            <w:pPr>
              <w:spacing w:line="360" w:lineRule="auto"/>
              <w:jc w:val="center"/>
              <w:outlineLvl w:val="0"/>
              <w:rPr>
                <w:rFonts w:ascii="黑体" w:eastAsia="黑体"/>
                <w:bCs/>
                <w:color w:val="auto"/>
                <w:sz w:val="24"/>
                <w:szCs w:val="24"/>
                <w:highlight w:val="none"/>
              </w:rPr>
            </w:pPr>
          </w:p>
        </w:tc>
        <w:tc>
          <w:tcPr>
            <w:tcW w:w="834" w:type="dxa"/>
            <w:noWrap w:val="0"/>
            <w:vAlign w:val="center"/>
          </w:tcPr>
          <w:p>
            <w:pPr>
              <w:spacing w:line="360" w:lineRule="auto"/>
              <w:jc w:val="center"/>
              <w:outlineLvl w:val="0"/>
              <w:rPr>
                <w:rFonts w:ascii="黑体" w:eastAsia="黑体"/>
                <w:bCs/>
                <w:color w:val="auto"/>
                <w:sz w:val="24"/>
                <w:szCs w:val="24"/>
                <w:highlight w:val="none"/>
              </w:rPr>
            </w:pPr>
          </w:p>
        </w:tc>
        <w:tc>
          <w:tcPr>
            <w:tcW w:w="1276" w:type="dxa"/>
            <w:noWrap w:val="0"/>
            <w:vAlign w:val="center"/>
          </w:tcPr>
          <w:p>
            <w:pPr>
              <w:spacing w:line="360" w:lineRule="auto"/>
              <w:jc w:val="center"/>
              <w:outlineLvl w:val="0"/>
              <w:rPr>
                <w:rFonts w:ascii="黑体" w:eastAsia="黑体"/>
                <w:bCs/>
                <w:color w:val="auto"/>
                <w:sz w:val="24"/>
                <w:szCs w:val="24"/>
                <w:highlight w:val="none"/>
              </w:rPr>
            </w:pPr>
          </w:p>
        </w:tc>
        <w:tc>
          <w:tcPr>
            <w:tcW w:w="1285" w:type="dxa"/>
            <w:noWrap w:val="0"/>
            <w:vAlign w:val="center"/>
          </w:tcPr>
          <w:p>
            <w:pPr>
              <w:spacing w:line="360" w:lineRule="auto"/>
              <w:jc w:val="center"/>
              <w:outlineLvl w:val="0"/>
              <w:rPr>
                <w:rFonts w:ascii="黑体" w:eastAsia="黑体"/>
                <w:bCs/>
                <w:color w:val="auto"/>
                <w:sz w:val="24"/>
                <w:szCs w:val="24"/>
                <w:highlight w:val="none"/>
              </w:rPr>
            </w:pPr>
          </w:p>
        </w:tc>
        <w:tc>
          <w:tcPr>
            <w:tcW w:w="1833" w:type="dxa"/>
            <w:noWrap w:val="0"/>
            <w:vAlign w:val="center"/>
          </w:tcPr>
          <w:p>
            <w:pPr>
              <w:spacing w:line="360" w:lineRule="auto"/>
              <w:jc w:val="center"/>
              <w:outlineLvl w:val="0"/>
              <w:rPr>
                <w:rFonts w:ascii="黑体" w:eastAsia="黑体"/>
                <w:bCs/>
                <w:color w:val="auto"/>
                <w:sz w:val="24"/>
                <w:szCs w:val="24"/>
                <w:highlight w:val="none"/>
              </w:rPr>
            </w:pPr>
          </w:p>
        </w:tc>
        <w:tc>
          <w:tcPr>
            <w:tcW w:w="992" w:type="dxa"/>
            <w:noWrap w:val="0"/>
            <w:vAlign w:val="center"/>
          </w:tcPr>
          <w:p>
            <w:pPr>
              <w:spacing w:line="360" w:lineRule="auto"/>
              <w:jc w:val="center"/>
              <w:outlineLvl w:val="0"/>
              <w:rPr>
                <w:rFonts w:ascii="黑体" w:eastAsia="黑体"/>
                <w:bCs/>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pPr>
              <w:spacing w:line="360" w:lineRule="auto"/>
              <w:outlineLvl w:val="0"/>
              <w:rPr>
                <w:rFonts w:ascii="黑体" w:eastAsia="黑体"/>
                <w:bCs/>
                <w:color w:val="auto"/>
                <w:sz w:val="24"/>
                <w:szCs w:val="24"/>
                <w:highlight w:val="none"/>
              </w:rPr>
            </w:pPr>
          </w:p>
        </w:tc>
        <w:tc>
          <w:tcPr>
            <w:tcW w:w="1098" w:type="dxa"/>
            <w:noWrap w:val="0"/>
          </w:tcPr>
          <w:p>
            <w:pPr>
              <w:spacing w:line="360" w:lineRule="auto"/>
              <w:outlineLvl w:val="0"/>
              <w:rPr>
                <w:rFonts w:ascii="黑体" w:eastAsia="黑体"/>
                <w:bCs/>
                <w:color w:val="auto"/>
                <w:sz w:val="24"/>
                <w:szCs w:val="24"/>
                <w:highlight w:val="none"/>
              </w:rPr>
            </w:pPr>
          </w:p>
        </w:tc>
        <w:tc>
          <w:tcPr>
            <w:tcW w:w="744" w:type="dxa"/>
            <w:noWrap w:val="0"/>
            <w:vAlign w:val="center"/>
          </w:tcPr>
          <w:p>
            <w:pPr>
              <w:spacing w:line="360" w:lineRule="auto"/>
              <w:jc w:val="center"/>
              <w:outlineLvl w:val="0"/>
              <w:rPr>
                <w:rFonts w:ascii="黑体" w:eastAsia="黑体"/>
                <w:bCs/>
                <w:color w:val="auto"/>
                <w:sz w:val="24"/>
                <w:szCs w:val="24"/>
                <w:highlight w:val="none"/>
              </w:rPr>
            </w:pPr>
          </w:p>
        </w:tc>
        <w:tc>
          <w:tcPr>
            <w:tcW w:w="709" w:type="dxa"/>
            <w:noWrap w:val="0"/>
            <w:vAlign w:val="center"/>
          </w:tcPr>
          <w:p>
            <w:pPr>
              <w:spacing w:line="360" w:lineRule="auto"/>
              <w:jc w:val="center"/>
              <w:outlineLvl w:val="0"/>
              <w:rPr>
                <w:rFonts w:ascii="黑体" w:eastAsia="黑体"/>
                <w:bCs/>
                <w:color w:val="auto"/>
                <w:sz w:val="24"/>
                <w:szCs w:val="24"/>
                <w:highlight w:val="none"/>
              </w:rPr>
            </w:pPr>
          </w:p>
        </w:tc>
        <w:tc>
          <w:tcPr>
            <w:tcW w:w="834" w:type="dxa"/>
            <w:noWrap w:val="0"/>
            <w:vAlign w:val="center"/>
          </w:tcPr>
          <w:p>
            <w:pPr>
              <w:spacing w:line="360" w:lineRule="auto"/>
              <w:jc w:val="center"/>
              <w:outlineLvl w:val="0"/>
              <w:rPr>
                <w:rFonts w:ascii="黑体" w:eastAsia="黑体"/>
                <w:bCs/>
                <w:color w:val="auto"/>
                <w:sz w:val="24"/>
                <w:szCs w:val="24"/>
                <w:highlight w:val="none"/>
              </w:rPr>
            </w:pPr>
          </w:p>
        </w:tc>
        <w:tc>
          <w:tcPr>
            <w:tcW w:w="1276" w:type="dxa"/>
            <w:noWrap w:val="0"/>
            <w:vAlign w:val="center"/>
          </w:tcPr>
          <w:p>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noWrap w:val="0"/>
            <w:vAlign w:val="center"/>
          </w:tcPr>
          <w:p>
            <w:pPr>
              <w:spacing w:line="360" w:lineRule="auto"/>
              <w:jc w:val="center"/>
              <w:outlineLvl w:val="0"/>
              <w:rPr>
                <w:rFonts w:ascii="黑体" w:eastAsia="黑体"/>
                <w:bCs/>
                <w:color w:val="auto"/>
                <w:sz w:val="24"/>
                <w:szCs w:val="24"/>
                <w:highlight w:val="none"/>
              </w:rPr>
            </w:pPr>
          </w:p>
        </w:tc>
        <w:tc>
          <w:tcPr>
            <w:tcW w:w="1833" w:type="dxa"/>
            <w:noWrap w:val="0"/>
            <w:vAlign w:val="center"/>
          </w:tcPr>
          <w:p>
            <w:pPr>
              <w:spacing w:line="360" w:lineRule="auto"/>
              <w:jc w:val="center"/>
              <w:outlineLvl w:val="0"/>
              <w:rPr>
                <w:rFonts w:ascii="黑体" w:eastAsia="黑体"/>
                <w:bCs/>
                <w:color w:val="auto"/>
                <w:sz w:val="24"/>
                <w:szCs w:val="24"/>
                <w:highlight w:val="none"/>
              </w:rPr>
            </w:pPr>
          </w:p>
        </w:tc>
        <w:tc>
          <w:tcPr>
            <w:tcW w:w="992" w:type="dxa"/>
            <w:noWrap w:val="0"/>
            <w:vAlign w:val="center"/>
          </w:tcPr>
          <w:p>
            <w:pPr>
              <w:spacing w:line="360" w:lineRule="auto"/>
              <w:jc w:val="center"/>
              <w:outlineLvl w:val="0"/>
              <w:rPr>
                <w:rFonts w:ascii="黑体" w:eastAsia="黑体"/>
                <w:bCs/>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pPr>
              <w:spacing w:line="360" w:lineRule="auto"/>
              <w:outlineLvl w:val="0"/>
              <w:rPr>
                <w:rFonts w:ascii="黑体" w:eastAsia="黑体"/>
                <w:bCs/>
                <w:color w:val="auto"/>
                <w:sz w:val="24"/>
                <w:szCs w:val="24"/>
                <w:highlight w:val="none"/>
              </w:rPr>
            </w:pPr>
          </w:p>
        </w:tc>
        <w:tc>
          <w:tcPr>
            <w:tcW w:w="1098" w:type="dxa"/>
            <w:noWrap w:val="0"/>
          </w:tcPr>
          <w:p>
            <w:pPr>
              <w:spacing w:line="360" w:lineRule="auto"/>
              <w:outlineLvl w:val="0"/>
              <w:rPr>
                <w:rFonts w:ascii="黑体" w:eastAsia="黑体"/>
                <w:bCs/>
                <w:color w:val="auto"/>
                <w:sz w:val="24"/>
                <w:szCs w:val="24"/>
                <w:highlight w:val="none"/>
              </w:rPr>
            </w:pPr>
          </w:p>
        </w:tc>
        <w:tc>
          <w:tcPr>
            <w:tcW w:w="744" w:type="dxa"/>
            <w:noWrap w:val="0"/>
            <w:vAlign w:val="center"/>
          </w:tcPr>
          <w:p>
            <w:pPr>
              <w:spacing w:line="360" w:lineRule="auto"/>
              <w:jc w:val="center"/>
              <w:outlineLvl w:val="0"/>
              <w:rPr>
                <w:rFonts w:ascii="黑体" w:eastAsia="黑体"/>
                <w:bCs/>
                <w:color w:val="auto"/>
                <w:sz w:val="24"/>
                <w:szCs w:val="24"/>
                <w:highlight w:val="none"/>
              </w:rPr>
            </w:pPr>
          </w:p>
        </w:tc>
        <w:tc>
          <w:tcPr>
            <w:tcW w:w="709" w:type="dxa"/>
            <w:noWrap w:val="0"/>
            <w:vAlign w:val="center"/>
          </w:tcPr>
          <w:p>
            <w:pPr>
              <w:spacing w:line="360" w:lineRule="auto"/>
              <w:jc w:val="center"/>
              <w:outlineLvl w:val="0"/>
              <w:rPr>
                <w:rFonts w:ascii="黑体" w:eastAsia="黑体"/>
                <w:bCs/>
                <w:color w:val="auto"/>
                <w:sz w:val="24"/>
                <w:szCs w:val="24"/>
                <w:highlight w:val="none"/>
              </w:rPr>
            </w:pPr>
          </w:p>
        </w:tc>
        <w:tc>
          <w:tcPr>
            <w:tcW w:w="834" w:type="dxa"/>
            <w:noWrap w:val="0"/>
            <w:vAlign w:val="center"/>
          </w:tcPr>
          <w:p>
            <w:pPr>
              <w:spacing w:line="360" w:lineRule="auto"/>
              <w:jc w:val="center"/>
              <w:outlineLvl w:val="0"/>
              <w:rPr>
                <w:rFonts w:ascii="黑体" w:eastAsia="黑体"/>
                <w:bCs/>
                <w:color w:val="auto"/>
                <w:sz w:val="24"/>
                <w:szCs w:val="24"/>
                <w:highlight w:val="none"/>
              </w:rPr>
            </w:pPr>
          </w:p>
        </w:tc>
        <w:tc>
          <w:tcPr>
            <w:tcW w:w="1276" w:type="dxa"/>
            <w:noWrap w:val="0"/>
            <w:vAlign w:val="center"/>
          </w:tcPr>
          <w:p>
            <w:pPr>
              <w:spacing w:line="360" w:lineRule="auto"/>
              <w:jc w:val="center"/>
              <w:outlineLvl w:val="0"/>
              <w:rPr>
                <w:rFonts w:ascii="黑体" w:eastAsia="黑体"/>
                <w:bCs/>
                <w:color w:val="auto"/>
                <w:sz w:val="24"/>
                <w:szCs w:val="24"/>
                <w:highlight w:val="none"/>
              </w:rPr>
            </w:pPr>
          </w:p>
        </w:tc>
        <w:tc>
          <w:tcPr>
            <w:tcW w:w="1285" w:type="dxa"/>
            <w:noWrap w:val="0"/>
            <w:vAlign w:val="center"/>
          </w:tcPr>
          <w:p>
            <w:pPr>
              <w:spacing w:line="360" w:lineRule="auto"/>
              <w:jc w:val="center"/>
              <w:outlineLvl w:val="0"/>
              <w:rPr>
                <w:rFonts w:ascii="黑体" w:eastAsia="黑体"/>
                <w:bCs/>
                <w:color w:val="auto"/>
                <w:sz w:val="24"/>
                <w:szCs w:val="24"/>
                <w:highlight w:val="none"/>
              </w:rPr>
            </w:pPr>
          </w:p>
        </w:tc>
        <w:tc>
          <w:tcPr>
            <w:tcW w:w="1833" w:type="dxa"/>
            <w:noWrap w:val="0"/>
            <w:vAlign w:val="center"/>
          </w:tcPr>
          <w:p>
            <w:pPr>
              <w:spacing w:line="360" w:lineRule="auto"/>
              <w:jc w:val="center"/>
              <w:outlineLvl w:val="0"/>
              <w:rPr>
                <w:rFonts w:ascii="黑体" w:eastAsia="黑体"/>
                <w:bCs/>
                <w:color w:val="auto"/>
                <w:sz w:val="24"/>
                <w:szCs w:val="24"/>
                <w:highlight w:val="none"/>
              </w:rPr>
            </w:pPr>
          </w:p>
        </w:tc>
        <w:tc>
          <w:tcPr>
            <w:tcW w:w="992" w:type="dxa"/>
            <w:noWrap w:val="0"/>
            <w:vAlign w:val="center"/>
          </w:tcPr>
          <w:p>
            <w:pPr>
              <w:spacing w:line="360" w:lineRule="auto"/>
              <w:jc w:val="center"/>
              <w:outlineLvl w:val="0"/>
              <w:rPr>
                <w:rFonts w:ascii="黑体" w:eastAsia="黑体"/>
                <w:bCs/>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pPr>
              <w:spacing w:line="360" w:lineRule="auto"/>
              <w:outlineLvl w:val="0"/>
              <w:rPr>
                <w:rFonts w:ascii="黑体" w:eastAsia="黑体"/>
                <w:bCs/>
                <w:color w:val="auto"/>
                <w:sz w:val="24"/>
                <w:szCs w:val="24"/>
                <w:highlight w:val="none"/>
              </w:rPr>
            </w:pPr>
          </w:p>
        </w:tc>
        <w:tc>
          <w:tcPr>
            <w:tcW w:w="1098" w:type="dxa"/>
            <w:noWrap w:val="0"/>
          </w:tcPr>
          <w:p>
            <w:pPr>
              <w:spacing w:line="360" w:lineRule="auto"/>
              <w:outlineLvl w:val="0"/>
              <w:rPr>
                <w:rFonts w:ascii="黑体" w:eastAsia="黑体"/>
                <w:bCs/>
                <w:color w:val="auto"/>
                <w:sz w:val="24"/>
                <w:szCs w:val="24"/>
                <w:highlight w:val="none"/>
              </w:rPr>
            </w:pPr>
          </w:p>
        </w:tc>
        <w:tc>
          <w:tcPr>
            <w:tcW w:w="744" w:type="dxa"/>
            <w:noWrap w:val="0"/>
            <w:vAlign w:val="center"/>
          </w:tcPr>
          <w:p>
            <w:pPr>
              <w:spacing w:line="360" w:lineRule="auto"/>
              <w:jc w:val="center"/>
              <w:outlineLvl w:val="0"/>
              <w:rPr>
                <w:rFonts w:ascii="黑体" w:eastAsia="黑体"/>
                <w:bCs/>
                <w:color w:val="auto"/>
                <w:sz w:val="24"/>
                <w:szCs w:val="24"/>
                <w:highlight w:val="none"/>
              </w:rPr>
            </w:pPr>
          </w:p>
        </w:tc>
        <w:tc>
          <w:tcPr>
            <w:tcW w:w="709" w:type="dxa"/>
            <w:noWrap w:val="0"/>
            <w:vAlign w:val="center"/>
          </w:tcPr>
          <w:p>
            <w:pPr>
              <w:spacing w:line="360" w:lineRule="auto"/>
              <w:jc w:val="center"/>
              <w:outlineLvl w:val="0"/>
              <w:rPr>
                <w:rFonts w:ascii="黑体" w:eastAsia="黑体"/>
                <w:bCs/>
                <w:color w:val="auto"/>
                <w:sz w:val="24"/>
                <w:szCs w:val="24"/>
                <w:highlight w:val="none"/>
              </w:rPr>
            </w:pPr>
          </w:p>
        </w:tc>
        <w:tc>
          <w:tcPr>
            <w:tcW w:w="834" w:type="dxa"/>
            <w:noWrap w:val="0"/>
            <w:vAlign w:val="center"/>
          </w:tcPr>
          <w:p>
            <w:pPr>
              <w:spacing w:line="360" w:lineRule="auto"/>
              <w:jc w:val="center"/>
              <w:outlineLvl w:val="0"/>
              <w:rPr>
                <w:rFonts w:ascii="黑体" w:eastAsia="黑体"/>
                <w:bCs/>
                <w:color w:val="auto"/>
                <w:sz w:val="24"/>
                <w:szCs w:val="24"/>
                <w:highlight w:val="none"/>
              </w:rPr>
            </w:pPr>
          </w:p>
        </w:tc>
        <w:tc>
          <w:tcPr>
            <w:tcW w:w="1276" w:type="dxa"/>
            <w:noWrap w:val="0"/>
            <w:vAlign w:val="center"/>
          </w:tcPr>
          <w:p>
            <w:pPr>
              <w:spacing w:line="360" w:lineRule="auto"/>
              <w:jc w:val="center"/>
              <w:outlineLvl w:val="0"/>
              <w:rPr>
                <w:rFonts w:ascii="黑体" w:eastAsia="黑体"/>
                <w:bCs/>
                <w:color w:val="auto"/>
                <w:sz w:val="24"/>
                <w:szCs w:val="24"/>
                <w:highlight w:val="none"/>
              </w:rPr>
            </w:pPr>
          </w:p>
        </w:tc>
        <w:tc>
          <w:tcPr>
            <w:tcW w:w="1285" w:type="dxa"/>
            <w:noWrap w:val="0"/>
            <w:vAlign w:val="center"/>
          </w:tcPr>
          <w:p>
            <w:pPr>
              <w:spacing w:line="360" w:lineRule="auto"/>
              <w:jc w:val="center"/>
              <w:outlineLvl w:val="0"/>
              <w:rPr>
                <w:rFonts w:ascii="黑体" w:eastAsia="黑体"/>
                <w:bCs/>
                <w:color w:val="auto"/>
                <w:sz w:val="24"/>
                <w:szCs w:val="24"/>
                <w:highlight w:val="none"/>
              </w:rPr>
            </w:pPr>
          </w:p>
        </w:tc>
        <w:tc>
          <w:tcPr>
            <w:tcW w:w="1833" w:type="dxa"/>
            <w:noWrap w:val="0"/>
            <w:vAlign w:val="center"/>
          </w:tcPr>
          <w:p>
            <w:pPr>
              <w:spacing w:line="360" w:lineRule="auto"/>
              <w:jc w:val="center"/>
              <w:outlineLvl w:val="0"/>
              <w:rPr>
                <w:rFonts w:ascii="黑体" w:eastAsia="黑体"/>
                <w:bCs/>
                <w:color w:val="auto"/>
                <w:sz w:val="24"/>
                <w:szCs w:val="24"/>
                <w:highlight w:val="none"/>
              </w:rPr>
            </w:pPr>
          </w:p>
        </w:tc>
        <w:tc>
          <w:tcPr>
            <w:tcW w:w="992" w:type="dxa"/>
            <w:noWrap w:val="0"/>
            <w:vAlign w:val="center"/>
          </w:tcPr>
          <w:p>
            <w:pPr>
              <w:spacing w:line="360" w:lineRule="auto"/>
              <w:jc w:val="center"/>
              <w:outlineLvl w:val="0"/>
              <w:rPr>
                <w:rFonts w:ascii="黑体" w:eastAsia="黑体"/>
                <w:bCs/>
                <w:color w:val="auto"/>
                <w:sz w:val="24"/>
                <w:szCs w:val="24"/>
                <w:highlight w:val="none"/>
              </w:rPr>
            </w:pPr>
          </w:p>
        </w:tc>
      </w:tr>
    </w:tbl>
    <w:p>
      <w:pPr>
        <w:spacing w:line="360" w:lineRule="auto"/>
        <w:rPr>
          <w:rFonts w:ascii="黑体" w:eastAsia="黑体"/>
          <w:bCs/>
          <w:color w:val="auto"/>
          <w:sz w:val="24"/>
          <w:szCs w:val="24"/>
          <w:highlight w:val="none"/>
        </w:rPr>
      </w:pP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p>
    <w:p>
      <w:pPr>
        <w:spacing w:line="360" w:lineRule="auto"/>
        <w:rPr>
          <w:rFonts w:ascii="宋体" w:hAnsi="宋体"/>
          <w:bCs/>
          <w:color w:val="auto"/>
          <w:highlight w:val="none"/>
        </w:rPr>
      </w:pPr>
      <w:r>
        <w:rPr>
          <w:rFonts w:hint="eastAsia" w:ascii="宋体" w:hAnsi="宋体"/>
          <w:bCs/>
          <w:color w:val="auto"/>
          <w:highlight w:val="none"/>
        </w:rPr>
        <w:t>注：1. 本表对应评分标准中的项目人员配置情况，表格不够可自行延长。</w:t>
      </w:r>
    </w:p>
    <w:p>
      <w:pPr>
        <w:spacing w:line="360" w:lineRule="auto"/>
        <w:rPr>
          <w:color w:val="auto"/>
          <w:highlight w:val="none"/>
        </w:rPr>
      </w:pPr>
      <w:r>
        <w:rPr>
          <w:rFonts w:hint="eastAsia" w:ascii="宋体" w:hAnsi="宋体"/>
          <w:bCs/>
          <w:color w:val="auto"/>
          <w:highlight w:val="none"/>
        </w:rPr>
        <w:t>2. 上表内容须提供投标人近一年中任意一个月份(不含投标当月)经社保部门确认的社保缴纳名单复印件。</w:t>
      </w:r>
    </w:p>
    <w:p>
      <w:pPr>
        <w:spacing w:line="360" w:lineRule="auto"/>
        <w:rPr>
          <w:rFonts w:ascii="宋体" w:hAnsi="宋体"/>
          <w:bCs/>
          <w:color w:val="auto"/>
          <w:highlight w:val="none"/>
        </w:rPr>
      </w:pPr>
      <w:r>
        <w:rPr>
          <w:rFonts w:hint="eastAsia" w:ascii="宋体" w:hAnsi="宋体"/>
          <w:bCs/>
          <w:color w:val="auto"/>
          <w:highlight w:val="none"/>
        </w:rPr>
        <w:t>3.上表内容须按评分标准中的相关要求提供相应证明材料。</w:t>
      </w:r>
    </w:p>
    <w:p>
      <w:pPr>
        <w:spacing w:line="360" w:lineRule="auto"/>
        <w:rPr>
          <w:rFonts w:ascii="宋体" w:hAnsi="宋体"/>
          <w:bCs/>
          <w:color w:val="auto"/>
          <w:highlight w:val="none"/>
        </w:rPr>
      </w:pPr>
      <w:r>
        <w:rPr>
          <w:rFonts w:hint="eastAsia" w:ascii="宋体" w:hAnsi="宋体"/>
          <w:bCs/>
          <w:color w:val="auto"/>
          <w:highlight w:val="none"/>
        </w:rPr>
        <w:t>4.证明材料均请附在本表之后。</w:t>
      </w:r>
    </w:p>
    <w:p>
      <w:pPr>
        <w:spacing w:line="360" w:lineRule="auto"/>
        <w:rPr>
          <w:rFonts w:asciiTheme="minorEastAsia" w:hAnsiTheme="minorEastAsia"/>
          <w:bCs/>
          <w:color w:val="auto"/>
          <w:sz w:val="30"/>
          <w:highlight w:val="none"/>
        </w:rPr>
      </w:pPr>
    </w:p>
    <w:sectPr>
      <w:headerReference r:id="rId3" w:type="first"/>
      <w:footerReference r:id="rId6" w:type="first"/>
      <w:footerReference r:id="rId4" w:type="default"/>
      <w:footerReference r:id="rId5" w:type="even"/>
      <w:pgSz w:w="11906" w:h="16838"/>
      <w:pgMar w:top="567" w:right="851" w:bottom="567" w:left="1134" w:header="624" w:footer="907" w:gutter="0"/>
      <w:pgNumType w:start="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777566"/>
    </w:sdtPr>
    <w:sdtContent>
      <w:p>
        <w:pPr>
          <w:pStyle w:val="30"/>
          <w:jc w:val="center"/>
        </w:pPr>
        <w:r>
          <w:fldChar w:fldCharType="begin"/>
        </w:r>
        <w:r>
          <w:instrText xml:space="preserve"> PAGE   \* MERGEFORMAT </w:instrText>
        </w:r>
        <w:r>
          <w:fldChar w:fldCharType="separate"/>
        </w:r>
        <w:r>
          <w:rPr>
            <w:lang w:val="zh-CN"/>
          </w:rPr>
          <w:t>36</w:t>
        </w:r>
        <w:r>
          <w:rPr>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4"/>
      </w:rPr>
    </w:pPr>
    <w:r>
      <w:rPr>
        <w:rStyle w:val="54"/>
      </w:rPr>
      <w:fldChar w:fldCharType="begin"/>
    </w:r>
    <w:r>
      <w:rPr>
        <w:rStyle w:val="54"/>
      </w:rPr>
      <w:instrText xml:space="preserve">PAGE  </w:instrText>
    </w:r>
    <w:r>
      <w:rPr>
        <w:rStyle w:val="54"/>
      </w:rPr>
      <w:fldChar w:fldCharType="separate"/>
    </w:r>
    <w:r>
      <w:rPr>
        <w:rStyle w:val="54"/>
      </w:rPr>
      <w:t>1</w:t>
    </w:r>
    <w:r>
      <w:rPr>
        <w:rStyle w:val="54"/>
      </w:rPr>
      <w:fldChar w:fldCharType="end"/>
    </w:r>
  </w:p>
  <w:p>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5E306ED"/>
    <w:multiLevelType w:val="multilevel"/>
    <w:tmpl w:val="B5E306ED"/>
    <w:lvl w:ilvl="0" w:tentative="0">
      <w:start w:val="1"/>
      <w:numFmt w:val="decimal"/>
      <w:pStyle w:val="40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39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77ED75"/>
    <w:multiLevelType w:val="singleLevel"/>
    <w:tmpl w:val="C877ED75"/>
    <w:lvl w:ilvl="0" w:tentative="0">
      <w:start w:val="32"/>
      <w:numFmt w:val="decimal"/>
      <w:lvlText w:val="%1."/>
      <w:lvlJc w:val="left"/>
      <w:pPr>
        <w:tabs>
          <w:tab w:val="left" w:pos="312"/>
        </w:tabs>
      </w:pPr>
    </w:lvl>
  </w:abstractNum>
  <w:abstractNum w:abstractNumId="4">
    <w:nsid w:val="CF092B84"/>
    <w:multiLevelType w:val="multilevel"/>
    <w:tmpl w:val="CF092B84"/>
    <w:lvl w:ilvl="0" w:tentative="0">
      <w:start w:val="1"/>
      <w:numFmt w:val="japaneseCounting"/>
      <w:pStyle w:val="132"/>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upperLetter"/>
      <w:pStyle w:val="10"/>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10CEC2FC"/>
    <w:multiLevelType w:val="singleLevel"/>
    <w:tmpl w:val="10CEC2FC"/>
    <w:lvl w:ilvl="0" w:tentative="0">
      <w:start w:val="3"/>
      <w:numFmt w:val="chineseCounting"/>
      <w:suff w:val="nothing"/>
      <w:lvlText w:val="%1．"/>
      <w:lvlJc w:val="left"/>
      <w:rPr>
        <w:rFonts w:hint="eastAsia"/>
      </w:rPr>
    </w:lvl>
  </w:abstractNum>
  <w:abstractNum w:abstractNumId="9">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943FF6B"/>
    <w:multiLevelType w:val="singleLevel"/>
    <w:tmpl w:val="2943FF6B"/>
    <w:lvl w:ilvl="0" w:tentative="0">
      <w:start w:val="9"/>
      <w:numFmt w:val="chineseCounting"/>
      <w:suff w:val="nothing"/>
      <w:lvlText w:val="%1、"/>
      <w:lvlJc w:val="left"/>
      <w:rPr>
        <w:rFonts w:hint="eastAsia"/>
      </w:rPr>
    </w:lvl>
  </w:abstractNum>
  <w:abstractNum w:abstractNumId="11">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6"/>
      <w:suff w:val="nothing"/>
      <w:lvlText w:val=""/>
      <w:lvlJc w:val="left"/>
      <w:pPr>
        <w:ind w:left="0" w:firstLine="0"/>
      </w:pPr>
      <w:rPr>
        <w:rFonts w:hint="eastAsia"/>
      </w:rPr>
    </w:lvl>
    <w:lvl w:ilvl="6" w:tentative="0">
      <w:start w:val="1"/>
      <w:numFmt w:val="decimal"/>
      <w:pStyle w:val="328"/>
      <w:suff w:val="nothing"/>
      <w:lvlText w:val=""/>
      <w:lvlJc w:val="left"/>
      <w:pPr>
        <w:ind w:left="0" w:firstLine="0"/>
      </w:pPr>
      <w:rPr>
        <w:rFonts w:hint="eastAsia"/>
      </w:rPr>
    </w:lvl>
    <w:lvl w:ilvl="7" w:tentative="0">
      <w:start w:val="1"/>
      <w:numFmt w:val="decimal"/>
      <w:pStyle w:val="330"/>
      <w:suff w:val="nothing"/>
      <w:lvlText w:val=""/>
      <w:lvlJc w:val="left"/>
      <w:pPr>
        <w:ind w:left="0" w:firstLine="0"/>
      </w:pPr>
      <w:rPr>
        <w:rFonts w:hint="eastAsia"/>
      </w:rPr>
    </w:lvl>
    <w:lvl w:ilvl="8" w:tentative="0">
      <w:start w:val="1"/>
      <w:numFmt w:val="decimal"/>
      <w:pStyle w:val="332"/>
      <w:suff w:val="nothing"/>
      <w:lvlText w:val=""/>
      <w:lvlJc w:val="left"/>
      <w:pPr>
        <w:ind w:left="0" w:firstLine="0"/>
      </w:pPr>
      <w:rPr>
        <w:rFonts w:hint="eastAsia"/>
      </w:rPr>
    </w:lvl>
  </w:abstractNum>
  <w:abstractNum w:abstractNumId="1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4"/>
  </w:num>
  <w:num w:numId="3">
    <w:abstractNumId w:val="11"/>
  </w:num>
  <w:num w:numId="4">
    <w:abstractNumId w:val="2"/>
  </w:num>
  <w:num w:numId="5">
    <w:abstractNumId w:val="1"/>
  </w:num>
  <w:num w:numId="6">
    <w:abstractNumId w:val="7"/>
  </w:num>
  <w:num w:numId="7">
    <w:abstractNumId w:val="3"/>
  </w:num>
  <w:num w:numId="8">
    <w:abstractNumId w:val="12"/>
  </w:num>
  <w:num w:numId="9">
    <w:abstractNumId w:val="8"/>
  </w:num>
  <w:num w:numId="10">
    <w:abstractNumId w:val="9"/>
  </w:num>
  <w:num w:numId="11">
    <w:abstractNumId w:val="5"/>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yZDA3Y2NiOWU3ZGFhNGY2OTViMzIxY2JlNmIyMzEifQ=="/>
    <w:docVar w:name="KSO_WPS_MARK_KEY" w:val="e2b44e5a-24bd-40bc-b23a-3bfd494b6cb8"/>
  </w:docVars>
  <w:rsids>
    <w:rsidRoot w:val="00000000"/>
    <w:rsid w:val="032F6AEB"/>
    <w:rsid w:val="057666B5"/>
    <w:rsid w:val="08373D35"/>
    <w:rsid w:val="084F3EBB"/>
    <w:rsid w:val="09BE052B"/>
    <w:rsid w:val="0A7B294A"/>
    <w:rsid w:val="0B2A11B7"/>
    <w:rsid w:val="0F570B07"/>
    <w:rsid w:val="10AB5DCA"/>
    <w:rsid w:val="195E725E"/>
    <w:rsid w:val="1A6C5716"/>
    <w:rsid w:val="1AFE1C5A"/>
    <w:rsid w:val="2574396F"/>
    <w:rsid w:val="270C62B7"/>
    <w:rsid w:val="282928EA"/>
    <w:rsid w:val="29AD684E"/>
    <w:rsid w:val="2B130D9F"/>
    <w:rsid w:val="2C4E5266"/>
    <w:rsid w:val="2D3929F4"/>
    <w:rsid w:val="2E627732"/>
    <w:rsid w:val="2E63035B"/>
    <w:rsid w:val="2EC73B27"/>
    <w:rsid w:val="30FB2076"/>
    <w:rsid w:val="330C6C99"/>
    <w:rsid w:val="35933073"/>
    <w:rsid w:val="3CF075C4"/>
    <w:rsid w:val="4170316A"/>
    <w:rsid w:val="45B82B95"/>
    <w:rsid w:val="49256935"/>
    <w:rsid w:val="4AD01178"/>
    <w:rsid w:val="4BB4549C"/>
    <w:rsid w:val="521938A0"/>
    <w:rsid w:val="538928BA"/>
    <w:rsid w:val="57260B74"/>
    <w:rsid w:val="57690766"/>
    <w:rsid w:val="5EAE592D"/>
    <w:rsid w:val="5FC70920"/>
    <w:rsid w:val="616C7377"/>
    <w:rsid w:val="61DD5473"/>
    <w:rsid w:val="642A515D"/>
    <w:rsid w:val="657729B3"/>
    <w:rsid w:val="657837C5"/>
    <w:rsid w:val="666D474D"/>
    <w:rsid w:val="696F0F44"/>
    <w:rsid w:val="6A763BFB"/>
    <w:rsid w:val="6AE6711D"/>
    <w:rsid w:val="6AEA719E"/>
    <w:rsid w:val="6B040B30"/>
    <w:rsid w:val="6CB9761A"/>
    <w:rsid w:val="6DDE15FC"/>
    <w:rsid w:val="6F203FEE"/>
    <w:rsid w:val="704559F8"/>
    <w:rsid w:val="71EA2545"/>
    <w:rsid w:val="72C03392"/>
    <w:rsid w:val="731A69C1"/>
    <w:rsid w:val="74091A51"/>
    <w:rsid w:val="79410104"/>
    <w:rsid w:val="7A6D5100"/>
    <w:rsid w:val="7D5B1E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rPr>
  </w:style>
  <w:style w:type="paragraph" w:styleId="4">
    <w:name w:val="heading 1"/>
    <w:basedOn w:val="1"/>
    <w:next w:val="1"/>
    <w:link w:val="62"/>
    <w:qFormat/>
    <w:uiPriority w:val="9"/>
    <w:pPr>
      <w:keepNext/>
      <w:jc w:val="center"/>
      <w:outlineLvl w:val="0"/>
    </w:pPr>
    <w:rPr>
      <w:rFonts w:ascii="楷体_GB2312" w:hAnsi="Times New Roman" w:eastAsia="楷体_GB2312" w:cs="Times New Roman"/>
      <w:b/>
      <w:sz w:val="28"/>
      <w:szCs w:val="20"/>
    </w:rPr>
  </w:style>
  <w:style w:type="paragraph" w:styleId="5">
    <w:name w:val="heading 2"/>
    <w:basedOn w:val="1"/>
    <w:next w:val="1"/>
    <w:link w:val="63"/>
    <w:qFormat/>
    <w:uiPriority w:val="9"/>
    <w:pPr>
      <w:keepNext/>
      <w:jc w:val="center"/>
      <w:outlineLvl w:val="1"/>
    </w:pPr>
    <w:rPr>
      <w:rFonts w:ascii="楷体_GB2312" w:hAnsi="Times New Roman" w:eastAsia="楷体_GB2312" w:cs="Times New Roman"/>
      <w:b/>
      <w:bCs/>
      <w:sz w:val="18"/>
      <w:szCs w:val="20"/>
    </w:rPr>
  </w:style>
  <w:style w:type="paragraph" w:styleId="6">
    <w:name w:val="heading 3"/>
    <w:basedOn w:val="7"/>
    <w:next w:val="1"/>
    <w:link w:val="64"/>
    <w:qFormat/>
    <w:uiPriority w:val="9"/>
    <w:pPr>
      <w:keepNext/>
      <w:jc w:val="left"/>
    </w:pPr>
    <w:rPr>
      <w:rFonts w:asciiTheme="minorEastAsia" w:hAnsiTheme="minorEastAsia" w:eastAsiaTheme="minorEastAsia" w:cstheme="minorBidi"/>
      <w:bCs/>
      <w:sz w:val="24"/>
      <w:szCs w:val="24"/>
      <w:lang w:eastAsia="zh-CN"/>
    </w:rPr>
  </w:style>
  <w:style w:type="paragraph" w:styleId="9">
    <w:name w:val="heading 4"/>
    <w:basedOn w:val="1"/>
    <w:next w:val="1"/>
    <w:link w:val="65"/>
    <w:qFormat/>
    <w:uiPriority w:val="9"/>
    <w:pPr>
      <w:keepNext/>
      <w:outlineLvl w:val="3"/>
    </w:pPr>
    <w:rPr>
      <w:rFonts w:ascii="Times New Roman" w:hAnsi="Times New Roman" w:eastAsia="楷体_GB2312" w:cs="Times New Roman"/>
      <w:b/>
      <w:bCs/>
      <w:sz w:val="15"/>
      <w:szCs w:val="20"/>
    </w:rPr>
  </w:style>
  <w:style w:type="paragraph" w:styleId="10">
    <w:name w:val="heading 5"/>
    <w:basedOn w:val="1"/>
    <w:next w:val="1"/>
    <w:link w:val="66"/>
    <w:qFormat/>
    <w:uiPriority w:val="9"/>
    <w:pPr>
      <w:keepNext/>
      <w:numPr>
        <w:ilvl w:val="0"/>
        <w:numId w:val="1"/>
      </w:numPr>
      <w:outlineLvl w:val="4"/>
    </w:pPr>
    <w:rPr>
      <w:rFonts w:ascii="楷体_GB2312" w:hAnsi="Times New Roman" w:eastAsia="楷体_GB2312" w:cs="Times New Roman"/>
      <w:bCs/>
      <w:sz w:val="28"/>
      <w:szCs w:val="20"/>
    </w:rPr>
  </w:style>
  <w:style w:type="paragraph" w:styleId="11">
    <w:name w:val="heading 6"/>
    <w:basedOn w:val="1"/>
    <w:next w:val="1"/>
    <w:link w:val="147"/>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link w:val="148"/>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link w:val="149"/>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link w:val="150"/>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customStyle="1" w:styleId="2">
    <w:name w:val="BodyText1I"/>
    <w:basedOn w:val="3"/>
    <w:qFormat/>
    <w:uiPriority w:val="99"/>
    <w:pPr>
      <w:spacing w:after="120"/>
      <w:ind w:firstLine="420" w:firstLineChars="100"/>
    </w:pPr>
    <w:rPr>
      <w:rFonts w:ascii="Times New Roman" w:eastAsia="宋体" w:cs="Times New Roman"/>
      <w:sz w:val="20"/>
      <w:szCs w:val="20"/>
    </w:rPr>
  </w:style>
  <w:style w:type="paragraph" w:customStyle="1" w:styleId="3">
    <w:name w:val="BodyText"/>
    <w:basedOn w:val="1"/>
    <w:qFormat/>
    <w:uiPriority w:val="99"/>
    <w:rPr>
      <w:rFonts w:ascii="华文中宋" w:eastAsia="Times New Roman" w:cs="华文中宋"/>
      <w:sz w:val="28"/>
      <w:szCs w:val="28"/>
    </w:rPr>
  </w:style>
  <w:style w:type="paragraph" w:customStyle="1" w:styleId="7">
    <w:name w:val="Cn Heading3"/>
    <w:basedOn w:val="8"/>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8">
    <w:name w:val="列出段落1"/>
    <w:basedOn w:val="1"/>
    <w:link w:val="391"/>
    <w:qFormat/>
    <w:uiPriority w:val="0"/>
    <w:pPr>
      <w:spacing w:before="120" w:after="120" w:line="360" w:lineRule="auto"/>
      <w:ind w:firstLine="420"/>
    </w:pPr>
    <w:rPr>
      <w:rFonts w:ascii="Calibri" w:hAnsi="Calibri" w:eastAsia="宋体" w:cs="Times New Roman"/>
      <w:sz w:val="24"/>
    </w:rPr>
  </w:style>
  <w:style w:type="paragraph" w:styleId="15">
    <w:name w:val="toc 7"/>
    <w:basedOn w:val="1"/>
    <w:next w:val="1"/>
    <w:unhideWhenUsed/>
    <w:qFormat/>
    <w:uiPriority w:val="39"/>
    <w:pPr>
      <w:spacing w:after="57"/>
      <w:ind w:left="1701"/>
    </w:pPr>
    <w:rPr>
      <w:rFonts w:ascii="Times New Roman" w:hAnsi="Times New Roman" w:eastAsia="宋体" w:cs="Times New Roman"/>
      <w:szCs w:val="21"/>
    </w:rPr>
  </w:style>
  <w:style w:type="paragraph" w:styleId="16">
    <w:name w:val="Normal Indent"/>
    <w:basedOn w:val="1"/>
    <w:next w:val="9"/>
    <w:qFormat/>
    <w:uiPriority w:val="99"/>
    <w:pPr>
      <w:ind w:firstLine="420"/>
    </w:pPr>
    <w:rPr>
      <w:rFonts w:ascii="Times New Roman" w:hAnsi="Times New Roman" w:eastAsia="宋体" w:cs="Times New Roman"/>
      <w:szCs w:val="20"/>
    </w:rPr>
  </w:style>
  <w:style w:type="paragraph" w:styleId="17">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8">
    <w:name w:val="index 5"/>
    <w:basedOn w:val="1"/>
    <w:next w:val="1"/>
    <w:qFormat/>
    <w:uiPriority w:val="99"/>
    <w:pPr>
      <w:ind w:left="1050" w:hanging="210" w:firstLineChars="200"/>
      <w:jc w:val="left"/>
    </w:pPr>
    <w:rPr>
      <w:sz w:val="18"/>
      <w:szCs w:val="18"/>
      <w:lang w:eastAsia="zh-TW"/>
    </w:rPr>
  </w:style>
  <w:style w:type="paragraph" w:styleId="19">
    <w:name w:val="Document Map"/>
    <w:basedOn w:val="1"/>
    <w:link w:val="128"/>
    <w:semiHidden/>
    <w:qFormat/>
    <w:uiPriority w:val="99"/>
    <w:pPr>
      <w:shd w:val="clear" w:color="auto" w:fill="000080"/>
    </w:pPr>
    <w:rPr>
      <w:rFonts w:ascii="Times New Roman" w:hAnsi="Times New Roman" w:eastAsia="宋体" w:cs="Times New Roman"/>
      <w:sz w:val="20"/>
      <w:szCs w:val="20"/>
    </w:rPr>
  </w:style>
  <w:style w:type="paragraph" w:styleId="20">
    <w:name w:val="annotation text"/>
    <w:basedOn w:val="1"/>
    <w:link w:val="135"/>
    <w:semiHidden/>
    <w:unhideWhenUsed/>
    <w:qFormat/>
    <w:uiPriority w:val="99"/>
    <w:pPr>
      <w:jc w:val="left"/>
    </w:pPr>
  </w:style>
  <w:style w:type="paragraph" w:styleId="21">
    <w:name w:val="Body Text"/>
    <w:basedOn w:val="1"/>
    <w:next w:val="1"/>
    <w:link w:val="71"/>
    <w:qFormat/>
    <w:uiPriority w:val="99"/>
    <w:rPr>
      <w:rFonts w:ascii="华文中宋" w:hAnsi="Times New Roman" w:eastAsia="华文中宋" w:cs="Times New Roman"/>
      <w:bCs/>
      <w:sz w:val="28"/>
      <w:szCs w:val="20"/>
    </w:rPr>
  </w:style>
  <w:style w:type="paragraph" w:styleId="22">
    <w:name w:val="Body Text Indent"/>
    <w:basedOn w:val="1"/>
    <w:link w:val="68"/>
    <w:qFormat/>
    <w:uiPriority w:val="99"/>
    <w:pPr>
      <w:ind w:firstLine="576"/>
    </w:pPr>
    <w:rPr>
      <w:rFonts w:ascii="Times New Roman" w:hAnsi="Times New Roman" w:eastAsia="宋体" w:cs="Times New Roman"/>
      <w:b/>
      <w:sz w:val="30"/>
      <w:szCs w:val="20"/>
    </w:rPr>
  </w:style>
  <w:style w:type="paragraph" w:styleId="23">
    <w:name w:val="toc 5"/>
    <w:basedOn w:val="1"/>
    <w:next w:val="1"/>
    <w:unhideWhenUsed/>
    <w:qFormat/>
    <w:uiPriority w:val="39"/>
    <w:pPr>
      <w:spacing w:after="57"/>
      <w:ind w:left="1134"/>
    </w:pPr>
    <w:rPr>
      <w:rFonts w:ascii="Times New Roman" w:hAnsi="Times New Roman" w:eastAsia="宋体" w:cs="Times New Roman"/>
      <w:szCs w:val="21"/>
    </w:rPr>
  </w:style>
  <w:style w:type="paragraph" w:styleId="24">
    <w:name w:val="toc 3"/>
    <w:basedOn w:val="1"/>
    <w:next w:val="1"/>
    <w:unhideWhenUsed/>
    <w:qFormat/>
    <w:uiPriority w:val="39"/>
    <w:pPr>
      <w:spacing w:after="57"/>
      <w:ind w:left="567"/>
    </w:pPr>
    <w:rPr>
      <w:rFonts w:ascii="Times New Roman" w:hAnsi="Times New Roman" w:eastAsia="宋体" w:cs="Times New Roman"/>
      <w:szCs w:val="21"/>
    </w:rPr>
  </w:style>
  <w:style w:type="paragraph" w:styleId="25">
    <w:name w:val="toc 8"/>
    <w:basedOn w:val="1"/>
    <w:next w:val="1"/>
    <w:unhideWhenUsed/>
    <w:qFormat/>
    <w:uiPriority w:val="39"/>
    <w:pPr>
      <w:spacing w:after="57"/>
      <w:ind w:left="1984"/>
    </w:pPr>
    <w:rPr>
      <w:rFonts w:ascii="Times New Roman" w:hAnsi="Times New Roman" w:eastAsia="宋体" w:cs="Times New Roman"/>
      <w:szCs w:val="21"/>
    </w:rPr>
  </w:style>
  <w:style w:type="paragraph" w:styleId="26">
    <w:name w:val="Date"/>
    <w:basedOn w:val="1"/>
    <w:next w:val="1"/>
    <w:link w:val="67"/>
    <w:qFormat/>
    <w:uiPriority w:val="99"/>
    <w:rPr>
      <w:rFonts w:ascii="Times New Roman" w:hAnsi="Times New Roman" w:eastAsia="黑体" w:cs="Times New Roman"/>
      <w:b/>
      <w:sz w:val="36"/>
      <w:szCs w:val="20"/>
    </w:rPr>
  </w:style>
  <w:style w:type="paragraph" w:styleId="27">
    <w:name w:val="Body Text Indent 2"/>
    <w:basedOn w:val="1"/>
    <w:link w:val="72"/>
    <w:qFormat/>
    <w:uiPriority w:val="99"/>
    <w:pPr>
      <w:ind w:left="900"/>
    </w:pPr>
    <w:rPr>
      <w:rFonts w:ascii="楷体_GB2312" w:hAnsi="Times New Roman" w:eastAsia="楷体_GB2312" w:cs="Times New Roman"/>
      <w:b/>
      <w:sz w:val="28"/>
      <w:szCs w:val="20"/>
    </w:rPr>
  </w:style>
  <w:style w:type="paragraph" w:styleId="28">
    <w:name w:val="endnote text"/>
    <w:basedOn w:val="1"/>
    <w:link w:val="175"/>
    <w:unhideWhenUsed/>
    <w:qFormat/>
    <w:uiPriority w:val="99"/>
    <w:rPr>
      <w:rFonts w:ascii="Times New Roman" w:hAnsi="Times New Roman" w:eastAsia="宋体" w:cs="Times New Roman"/>
      <w:sz w:val="20"/>
      <w:szCs w:val="21"/>
    </w:rPr>
  </w:style>
  <w:style w:type="paragraph" w:styleId="29">
    <w:name w:val="Balloon Text"/>
    <w:basedOn w:val="1"/>
    <w:link w:val="134"/>
    <w:unhideWhenUsed/>
    <w:qFormat/>
    <w:uiPriority w:val="99"/>
    <w:rPr>
      <w:rFonts w:ascii="Times New Roman" w:hAnsi="Times New Roman" w:eastAsia="宋体" w:cs="Times New Roman"/>
      <w:sz w:val="18"/>
      <w:szCs w:val="18"/>
    </w:rPr>
  </w:style>
  <w:style w:type="paragraph" w:styleId="30">
    <w:name w:val="footer"/>
    <w:basedOn w:val="1"/>
    <w:next w:val="31"/>
    <w:link w:val="69"/>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31">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styleId="32">
    <w:name w:val="header"/>
    <w:basedOn w:val="1"/>
    <w:link w:val="70"/>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3">
    <w:name w:val="toc 1"/>
    <w:basedOn w:val="1"/>
    <w:next w:val="1"/>
    <w:unhideWhenUsed/>
    <w:qFormat/>
    <w:uiPriority w:val="39"/>
    <w:pPr>
      <w:spacing w:after="57"/>
    </w:pPr>
    <w:rPr>
      <w:rFonts w:ascii="Times New Roman" w:hAnsi="Times New Roman" w:eastAsia="宋体" w:cs="Times New Roman"/>
      <w:szCs w:val="21"/>
    </w:rPr>
  </w:style>
  <w:style w:type="paragraph" w:styleId="34">
    <w:name w:val="toc 4"/>
    <w:basedOn w:val="1"/>
    <w:next w:val="1"/>
    <w:unhideWhenUsed/>
    <w:qFormat/>
    <w:uiPriority w:val="39"/>
    <w:pPr>
      <w:spacing w:after="57"/>
      <w:ind w:left="850"/>
    </w:pPr>
    <w:rPr>
      <w:rFonts w:ascii="Times New Roman" w:hAnsi="Times New Roman" w:eastAsia="宋体" w:cs="Times New Roman"/>
      <w:szCs w:val="21"/>
    </w:rPr>
  </w:style>
  <w:style w:type="paragraph" w:styleId="35">
    <w:name w:val="Subtitle"/>
    <w:basedOn w:val="1"/>
    <w:next w:val="1"/>
    <w:link w:val="184"/>
    <w:qFormat/>
    <w:uiPriority w:val="11"/>
    <w:pPr>
      <w:spacing w:before="240" w:after="60" w:line="312" w:lineRule="atLeast"/>
      <w:ind w:firstLine="471"/>
      <w:jc w:val="center"/>
      <w:outlineLvl w:val="1"/>
    </w:pPr>
    <w:rPr>
      <w:rFonts w:ascii="Arial" w:hAnsi="Arial"/>
      <w:b/>
      <w:bCs/>
      <w:sz w:val="32"/>
      <w:szCs w:val="32"/>
    </w:rPr>
  </w:style>
  <w:style w:type="paragraph" w:styleId="36">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7">
    <w:name w:val="footnote text"/>
    <w:basedOn w:val="1"/>
    <w:link w:val="173"/>
    <w:unhideWhenUsed/>
    <w:qFormat/>
    <w:uiPriority w:val="99"/>
    <w:pPr>
      <w:spacing w:after="40"/>
    </w:pPr>
    <w:rPr>
      <w:rFonts w:ascii="Times New Roman" w:hAnsi="Times New Roman" w:eastAsia="宋体" w:cs="Times New Roman"/>
      <w:sz w:val="18"/>
      <w:szCs w:val="21"/>
    </w:rPr>
  </w:style>
  <w:style w:type="paragraph" w:styleId="38">
    <w:name w:val="toc 6"/>
    <w:basedOn w:val="1"/>
    <w:next w:val="1"/>
    <w:unhideWhenUsed/>
    <w:qFormat/>
    <w:uiPriority w:val="39"/>
    <w:pPr>
      <w:spacing w:after="57"/>
      <w:ind w:left="1417"/>
    </w:pPr>
    <w:rPr>
      <w:rFonts w:ascii="Times New Roman" w:hAnsi="Times New Roman" w:eastAsia="宋体" w:cs="Times New Roman"/>
      <w:szCs w:val="21"/>
    </w:rPr>
  </w:style>
  <w:style w:type="paragraph" w:styleId="39">
    <w:name w:val="Body Text Indent 3"/>
    <w:basedOn w:val="1"/>
    <w:link w:val="73"/>
    <w:qFormat/>
    <w:uiPriority w:val="99"/>
    <w:pPr>
      <w:ind w:left="359" w:firstLine="359"/>
    </w:pPr>
    <w:rPr>
      <w:rFonts w:ascii="Times New Roman" w:hAnsi="Times New Roman" w:eastAsia="宋体" w:cs="Times New Roman"/>
      <w:sz w:val="20"/>
      <w:szCs w:val="20"/>
    </w:rPr>
  </w:style>
  <w:style w:type="paragraph" w:styleId="40">
    <w:name w:val="table of figures"/>
    <w:basedOn w:val="1"/>
    <w:next w:val="1"/>
    <w:unhideWhenUsed/>
    <w:qFormat/>
    <w:uiPriority w:val="99"/>
    <w:rPr>
      <w:rFonts w:ascii="Times New Roman" w:hAnsi="Times New Roman" w:eastAsia="宋体" w:cs="Times New Roman"/>
      <w:szCs w:val="21"/>
    </w:rPr>
  </w:style>
  <w:style w:type="paragraph" w:styleId="41">
    <w:name w:val="toc 2"/>
    <w:basedOn w:val="1"/>
    <w:next w:val="1"/>
    <w:unhideWhenUsed/>
    <w:qFormat/>
    <w:uiPriority w:val="39"/>
    <w:pPr>
      <w:spacing w:after="57"/>
      <w:ind w:left="283"/>
    </w:pPr>
    <w:rPr>
      <w:rFonts w:ascii="Times New Roman" w:hAnsi="Times New Roman" w:eastAsia="宋体" w:cs="Times New Roman"/>
      <w:szCs w:val="21"/>
    </w:rPr>
  </w:style>
  <w:style w:type="paragraph" w:styleId="42">
    <w:name w:val="toc 9"/>
    <w:basedOn w:val="1"/>
    <w:next w:val="1"/>
    <w:unhideWhenUsed/>
    <w:qFormat/>
    <w:uiPriority w:val="39"/>
    <w:pPr>
      <w:spacing w:after="57"/>
      <w:ind w:left="2268"/>
    </w:pPr>
    <w:rPr>
      <w:rFonts w:ascii="Times New Roman" w:hAnsi="Times New Roman" w:eastAsia="宋体" w:cs="Times New Roman"/>
      <w:szCs w:val="21"/>
    </w:rPr>
  </w:style>
  <w:style w:type="paragraph" w:styleId="43">
    <w:name w:val="Body Text 2"/>
    <w:basedOn w:val="1"/>
    <w:link w:val="129"/>
    <w:qFormat/>
    <w:uiPriority w:val="99"/>
    <w:pPr>
      <w:spacing w:after="120" w:line="480" w:lineRule="auto"/>
    </w:pPr>
    <w:rPr>
      <w:rFonts w:ascii="Times New Roman" w:hAnsi="Times New Roman" w:eastAsia="宋体" w:cs="Times New Roman"/>
      <w:sz w:val="20"/>
      <w:szCs w:val="20"/>
    </w:rPr>
  </w:style>
  <w:style w:type="paragraph" w:styleId="44">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5">
    <w:name w:val="Title"/>
    <w:basedOn w:val="1"/>
    <w:next w:val="1"/>
    <w:link w:val="161"/>
    <w:qFormat/>
    <w:uiPriority w:val="10"/>
    <w:pPr>
      <w:spacing w:before="300" w:after="200"/>
      <w:contextualSpacing/>
    </w:pPr>
    <w:rPr>
      <w:rFonts w:ascii="Times New Roman" w:hAnsi="Times New Roman" w:eastAsia="宋体" w:cs="Times New Roman"/>
      <w:sz w:val="48"/>
      <w:szCs w:val="48"/>
    </w:rPr>
  </w:style>
  <w:style w:type="paragraph" w:styleId="46">
    <w:name w:val="annotation subject"/>
    <w:basedOn w:val="20"/>
    <w:next w:val="20"/>
    <w:link w:val="136"/>
    <w:semiHidden/>
    <w:unhideWhenUsed/>
    <w:qFormat/>
    <w:uiPriority w:val="99"/>
    <w:rPr>
      <w:b/>
      <w:bCs/>
    </w:rPr>
  </w:style>
  <w:style w:type="paragraph" w:styleId="47">
    <w:name w:val="Body Text First Indent"/>
    <w:basedOn w:val="21"/>
    <w:unhideWhenUsed/>
    <w:qFormat/>
    <w:uiPriority w:val="99"/>
    <w:pPr>
      <w:spacing w:after="120"/>
      <w:ind w:firstLine="420"/>
    </w:pPr>
    <w:rPr>
      <w:rFonts w:ascii="Calibri" w:hAnsi="Calibri" w:eastAsia="宋体"/>
      <w:sz w:val="21"/>
      <w:szCs w:val="22"/>
    </w:rPr>
  </w:style>
  <w:style w:type="paragraph" w:styleId="48">
    <w:name w:val="Body Text First Indent 2"/>
    <w:basedOn w:val="22"/>
    <w:link w:val="139"/>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50">
    <w:name w:val="Table Grid"/>
    <w:basedOn w:val="49"/>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Strong"/>
    <w:qFormat/>
    <w:uiPriority w:val="99"/>
    <w:rPr>
      <w:rFonts w:cs="Times New Roman"/>
      <w:b/>
      <w:bCs/>
    </w:rPr>
  </w:style>
  <w:style w:type="character" w:styleId="53">
    <w:name w:val="endnote reference"/>
    <w:unhideWhenUsed/>
    <w:qFormat/>
    <w:uiPriority w:val="99"/>
    <w:rPr>
      <w:vertAlign w:val="superscript"/>
    </w:rPr>
  </w:style>
  <w:style w:type="character" w:styleId="54">
    <w:name w:val="page number"/>
    <w:qFormat/>
    <w:uiPriority w:val="99"/>
    <w:rPr>
      <w:rFonts w:cs="Times New Roman"/>
    </w:rPr>
  </w:style>
  <w:style w:type="character" w:styleId="55">
    <w:name w:val="FollowedHyperlink"/>
    <w:semiHidden/>
    <w:unhideWhenUsed/>
    <w:qFormat/>
    <w:uiPriority w:val="99"/>
    <w:rPr>
      <w:color w:val="800080"/>
      <w:u w:val="single"/>
    </w:rPr>
  </w:style>
  <w:style w:type="character" w:styleId="56">
    <w:name w:val="HTML Typewriter"/>
    <w:qFormat/>
    <w:uiPriority w:val="99"/>
    <w:rPr>
      <w:rFonts w:ascii="宋体" w:hAnsi="宋体" w:eastAsia="宋体" w:cs="宋体"/>
      <w:sz w:val="24"/>
      <w:szCs w:val="24"/>
    </w:rPr>
  </w:style>
  <w:style w:type="character" w:styleId="57">
    <w:name w:val="Hyperlink"/>
    <w:qFormat/>
    <w:uiPriority w:val="99"/>
    <w:rPr>
      <w:rFonts w:cs="Times New Roman"/>
      <w:color w:val="auto"/>
      <w:u w:val="none"/>
    </w:rPr>
  </w:style>
  <w:style w:type="character" w:styleId="58">
    <w:name w:val="annotation reference"/>
    <w:basedOn w:val="51"/>
    <w:semiHidden/>
    <w:unhideWhenUsed/>
    <w:qFormat/>
    <w:uiPriority w:val="0"/>
    <w:rPr>
      <w:sz w:val="21"/>
      <w:szCs w:val="21"/>
    </w:rPr>
  </w:style>
  <w:style w:type="character" w:styleId="59">
    <w:name w:val="footnote reference"/>
    <w:unhideWhenUsed/>
    <w:qFormat/>
    <w:uiPriority w:val="99"/>
    <w:rPr>
      <w:vertAlign w:val="superscript"/>
    </w:rPr>
  </w:style>
  <w:style w:type="paragraph" w:customStyle="1" w:styleId="60">
    <w:name w:val="首行缩进"/>
    <w:basedOn w:val="1"/>
    <w:qFormat/>
    <w:uiPriority w:val="0"/>
    <w:pPr>
      <w:ind w:firstLine="480" w:firstLineChars="200"/>
    </w:pPr>
    <w:rPr>
      <w:lang w:val="zh-CN"/>
    </w:rPr>
  </w:style>
  <w:style w:type="paragraph" w:customStyle="1" w:styleId="61">
    <w:name w:val="TOC Heading"/>
    <w:unhideWhenUsed/>
    <w:qFormat/>
    <w:uiPriority w:val="39"/>
    <w:rPr>
      <w:rFonts w:hint="default" w:asciiTheme="minorHAnsi" w:hAnsiTheme="minorHAnsi" w:eastAsiaTheme="minorEastAsia" w:cstheme="minorBidi"/>
    </w:rPr>
  </w:style>
  <w:style w:type="character" w:customStyle="1" w:styleId="62">
    <w:name w:val="标题 1 Char1"/>
    <w:basedOn w:val="51"/>
    <w:link w:val="4"/>
    <w:qFormat/>
    <w:uiPriority w:val="9"/>
    <w:rPr>
      <w:rFonts w:ascii="楷体_GB2312" w:hAnsi="Times New Roman" w:eastAsia="楷体_GB2312" w:cs="Times New Roman"/>
      <w:b/>
      <w:sz w:val="28"/>
      <w:szCs w:val="20"/>
    </w:rPr>
  </w:style>
  <w:style w:type="character" w:customStyle="1" w:styleId="63">
    <w:name w:val="标题 2 Char1"/>
    <w:basedOn w:val="51"/>
    <w:link w:val="5"/>
    <w:qFormat/>
    <w:uiPriority w:val="9"/>
    <w:rPr>
      <w:rFonts w:ascii="楷体_GB2312" w:hAnsi="Times New Roman" w:eastAsia="楷体_GB2312" w:cs="Times New Roman"/>
      <w:b/>
      <w:bCs/>
      <w:sz w:val="18"/>
      <w:szCs w:val="20"/>
    </w:rPr>
  </w:style>
  <w:style w:type="character" w:customStyle="1" w:styleId="64">
    <w:name w:val="标题 3 Char1"/>
    <w:basedOn w:val="51"/>
    <w:link w:val="6"/>
    <w:qFormat/>
    <w:uiPriority w:val="9"/>
    <w:rPr>
      <w:rFonts w:asciiTheme="minorEastAsia" w:hAnsiTheme="minorEastAsia"/>
      <w:b/>
      <w:bCs/>
      <w:sz w:val="24"/>
      <w:szCs w:val="24"/>
    </w:rPr>
  </w:style>
  <w:style w:type="character" w:customStyle="1" w:styleId="65">
    <w:name w:val="标题 4 Char1"/>
    <w:basedOn w:val="51"/>
    <w:link w:val="9"/>
    <w:qFormat/>
    <w:uiPriority w:val="9"/>
    <w:rPr>
      <w:rFonts w:ascii="Times New Roman" w:hAnsi="Times New Roman" w:eastAsia="楷体_GB2312" w:cs="Times New Roman"/>
      <w:b/>
      <w:bCs/>
      <w:sz w:val="15"/>
    </w:rPr>
  </w:style>
  <w:style w:type="character" w:customStyle="1" w:styleId="66">
    <w:name w:val="标题 5 Char1"/>
    <w:basedOn w:val="51"/>
    <w:link w:val="10"/>
    <w:qFormat/>
    <w:uiPriority w:val="9"/>
    <w:rPr>
      <w:rFonts w:ascii="楷体_GB2312" w:hAnsi="Times New Roman" w:eastAsia="楷体_GB2312" w:cs="Times New Roman"/>
      <w:bCs/>
      <w:sz w:val="28"/>
    </w:rPr>
  </w:style>
  <w:style w:type="character" w:customStyle="1" w:styleId="67">
    <w:name w:val="日期 Char1"/>
    <w:basedOn w:val="51"/>
    <w:link w:val="26"/>
    <w:qFormat/>
    <w:uiPriority w:val="99"/>
    <w:rPr>
      <w:rFonts w:ascii="Times New Roman" w:hAnsi="Times New Roman" w:eastAsia="黑体" w:cs="Times New Roman"/>
      <w:b/>
      <w:sz w:val="36"/>
      <w:szCs w:val="20"/>
    </w:rPr>
  </w:style>
  <w:style w:type="character" w:customStyle="1" w:styleId="68">
    <w:name w:val="正文文本缩进 Char1"/>
    <w:basedOn w:val="51"/>
    <w:link w:val="22"/>
    <w:qFormat/>
    <w:uiPriority w:val="99"/>
    <w:rPr>
      <w:rFonts w:ascii="Times New Roman" w:hAnsi="Times New Roman" w:eastAsia="宋体" w:cs="Times New Roman"/>
      <w:b/>
      <w:sz w:val="30"/>
      <w:szCs w:val="20"/>
    </w:rPr>
  </w:style>
  <w:style w:type="character" w:customStyle="1" w:styleId="69">
    <w:name w:val="页脚 Char1"/>
    <w:basedOn w:val="51"/>
    <w:link w:val="30"/>
    <w:qFormat/>
    <w:uiPriority w:val="99"/>
    <w:rPr>
      <w:rFonts w:ascii="Times New Roman" w:hAnsi="Times New Roman" w:eastAsia="宋体" w:cs="Times New Roman"/>
      <w:sz w:val="18"/>
      <w:szCs w:val="20"/>
    </w:rPr>
  </w:style>
  <w:style w:type="character" w:customStyle="1" w:styleId="70">
    <w:name w:val="页眉 Char1"/>
    <w:basedOn w:val="51"/>
    <w:link w:val="32"/>
    <w:qFormat/>
    <w:uiPriority w:val="99"/>
    <w:rPr>
      <w:rFonts w:ascii="Times New Roman" w:hAnsi="Times New Roman" w:eastAsia="宋体" w:cs="Times New Roman"/>
      <w:sz w:val="18"/>
      <w:szCs w:val="20"/>
    </w:rPr>
  </w:style>
  <w:style w:type="character" w:customStyle="1" w:styleId="71">
    <w:name w:val="正文文本 Char1"/>
    <w:basedOn w:val="51"/>
    <w:link w:val="21"/>
    <w:qFormat/>
    <w:uiPriority w:val="99"/>
    <w:rPr>
      <w:rFonts w:ascii="华文中宋" w:hAnsi="Times New Roman" w:eastAsia="华文中宋" w:cs="Times New Roman"/>
      <w:bCs/>
      <w:sz w:val="28"/>
      <w:szCs w:val="20"/>
    </w:rPr>
  </w:style>
  <w:style w:type="character" w:customStyle="1" w:styleId="72">
    <w:name w:val="正文文本缩进 2 Char1"/>
    <w:basedOn w:val="51"/>
    <w:link w:val="27"/>
    <w:qFormat/>
    <w:uiPriority w:val="99"/>
    <w:rPr>
      <w:rFonts w:ascii="楷体_GB2312" w:hAnsi="Times New Roman" w:eastAsia="楷体_GB2312" w:cs="Times New Roman"/>
      <w:b/>
      <w:sz w:val="28"/>
      <w:szCs w:val="20"/>
    </w:rPr>
  </w:style>
  <w:style w:type="character" w:customStyle="1" w:styleId="73">
    <w:name w:val="正文文本缩进 3 Char1"/>
    <w:basedOn w:val="51"/>
    <w:link w:val="39"/>
    <w:qFormat/>
    <w:uiPriority w:val="99"/>
    <w:rPr>
      <w:rFonts w:ascii="Times New Roman" w:hAnsi="Times New Roman" w:eastAsia="宋体" w:cs="Times New Roman"/>
      <w:sz w:val="20"/>
      <w:szCs w:val="20"/>
    </w:rPr>
  </w:style>
  <w:style w:type="paragraph" w:customStyle="1" w:styleId="74">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5">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6">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7">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8">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6">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7">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0">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1">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2">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3">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4">
    <w:name w:val="xl39"/>
    <w:basedOn w:val="1"/>
    <w:next w:val="95"/>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5">
    <w:name w:val="分手多日，近况如何？"/>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96">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8">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3">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2">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5">
    <w:name w:val="case31"/>
    <w:qFormat/>
    <w:uiPriority w:val="99"/>
    <w:rPr>
      <w:rFonts w:cs="Times New Roman"/>
      <w:spacing w:val="390"/>
      <w:sz w:val="21"/>
      <w:szCs w:val="21"/>
    </w:rPr>
  </w:style>
  <w:style w:type="paragraph" w:customStyle="1" w:styleId="126">
    <w:name w:val="普通文字"/>
    <w:basedOn w:val="1"/>
    <w:next w:val="1"/>
    <w:qFormat/>
    <w:uiPriority w:val="99"/>
    <w:rPr>
      <w:rFonts w:ascii="宋体" w:hAnsi="Times New Roman" w:eastAsia="宋体" w:cs="Times New Roman"/>
      <w:sz w:val="24"/>
      <w:szCs w:val="20"/>
    </w:rPr>
  </w:style>
  <w:style w:type="paragraph" w:customStyle="1" w:styleId="12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8">
    <w:name w:val="文档结构图 Char1"/>
    <w:basedOn w:val="51"/>
    <w:link w:val="19"/>
    <w:semiHidden/>
    <w:qFormat/>
    <w:uiPriority w:val="99"/>
    <w:rPr>
      <w:rFonts w:ascii="Times New Roman" w:hAnsi="Times New Roman" w:eastAsia="宋体" w:cs="Times New Roman"/>
      <w:sz w:val="20"/>
      <w:szCs w:val="20"/>
      <w:shd w:val="clear" w:color="auto" w:fill="000080"/>
    </w:rPr>
  </w:style>
  <w:style w:type="character" w:customStyle="1" w:styleId="129">
    <w:name w:val="正文文本 2 Char1"/>
    <w:basedOn w:val="51"/>
    <w:link w:val="43"/>
    <w:qFormat/>
    <w:uiPriority w:val="99"/>
    <w:rPr>
      <w:rFonts w:ascii="Times New Roman" w:hAnsi="Times New Roman" w:eastAsia="宋体" w:cs="Times New Roman"/>
      <w:sz w:val="20"/>
      <w:szCs w:val="20"/>
    </w:rPr>
  </w:style>
  <w:style w:type="paragraph" w:customStyle="1" w:styleId="130">
    <w:name w:val="Char Char Char Char"/>
    <w:basedOn w:val="19"/>
    <w:qFormat/>
    <w:uiPriority w:val="0"/>
    <w:pPr>
      <w:spacing w:line="360" w:lineRule="auto"/>
    </w:pPr>
    <w:rPr>
      <w:rFonts w:ascii="Tahoma" w:hAnsi="Tahoma"/>
      <w:sz w:val="24"/>
      <w:szCs w:val="24"/>
    </w:rPr>
  </w:style>
  <w:style w:type="paragraph" w:customStyle="1" w:styleId="131">
    <w:name w:val="Char Char1 Char Char Char Char"/>
    <w:basedOn w:val="19"/>
    <w:qFormat/>
    <w:uiPriority w:val="99"/>
    <w:pPr>
      <w:spacing w:line="436" w:lineRule="exact"/>
      <w:ind w:left="357"/>
      <w:jc w:val="left"/>
      <w:outlineLvl w:val="3"/>
    </w:pPr>
    <w:rPr>
      <w:rFonts w:ascii="Tahoma" w:hAnsi="Tahoma"/>
      <w:b/>
      <w:sz w:val="24"/>
      <w:szCs w:val="24"/>
    </w:rPr>
  </w:style>
  <w:style w:type="paragraph" w:styleId="132">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3">
    <w:name w:val="修订1"/>
    <w:hidden/>
    <w:semiHidden/>
    <w:qFormat/>
    <w:uiPriority w:val="99"/>
    <w:rPr>
      <w:rFonts w:hint="default" w:ascii="Times New Roman" w:hAnsi="Times New Roman" w:eastAsia="宋体" w:cs="Times New Roman"/>
      <w:sz w:val="21"/>
    </w:rPr>
  </w:style>
  <w:style w:type="character" w:customStyle="1" w:styleId="134">
    <w:name w:val="批注框文本 Char1"/>
    <w:basedOn w:val="51"/>
    <w:link w:val="29"/>
    <w:semiHidden/>
    <w:qFormat/>
    <w:uiPriority w:val="99"/>
    <w:rPr>
      <w:rFonts w:ascii="Times New Roman" w:hAnsi="Times New Roman" w:eastAsia="宋体" w:cs="Times New Roman"/>
      <w:sz w:val="18"/>
      <w:szCs w:val="18"/>
    </w:rPr>
  </w:style>
  <w:style w:type="character" w:customStyle="1" w:styleId="135">
    <w:name w:val="批注文字 Char1"/>
    <w:basedOn w:val="51"/>
    <w:link w:val="20"/>
    <w:semiHidden/>
    <w:qFormat/>
    <w:uiPriority w:val="99"/>
  </w:style>
  <w:style w:type="character" w:customStyle="1" w:styleId="136">
    <w:name w:val="批注主题 Char1"/>
    <w:basedOn w:val="135"/>
    <w:link w:val="46"/>
    <w:semiHidden/>
    <w:qFormat/>
    <w:uiPriority w:val="99"/>
    <w:rPr>
      <w:b/>
      <w:bCs/>
    </w:rPr>
  </w:style>
  <w:style w:type="paragraph" w:customStyle="1" w:styleId="137">
    <w:name w:val="列表段落1"/>
    <w:basedOn w:val="1"/>
    <w:qFormat/>
    <w:uiPriority w:val="34"/>
    <w:pPr>
      <w:ind w:firstLine="420"/>
    </w:pPr>
  </w:style>
  <w:style w:type="paragraph" w:customStyle="1" w:styleId="138">
    <w:name w:val="样式 小四 段前: 5 磅 段后: 5 磅 首行缩进:  2 字符"/>
    <w:basedOn w:val="1"/>
    <w:qFormat/>
    <w:uiPriority w:val="0"/>
    <w:pPr>
      <w:spacing w:line="360" w:lineRule="auto"/>
    </w:pPr>
    <w:rPr>
      <w:rFonts w:ascii="宋体" w:hAnsi="宋体"/>
      <w:szCs w:val="21"/>
    </w:rPr>
  </w:style>
  <w:style w:type="character" w:customStyle="1" w:styleId="139">
    <w:name w:val="正文首行缩进 2 Char1"/>
    <w:basedOn w:val="68"/>
    <w:link w:val="48"/>
    <w:semiHidden/>
    <w:qFormat/>
    <w:uiPriority w:val="99"/>
    <w:rPr>
      <w:rFonts w:ascii="Times New Roman" w:hAnsi="Times New Roman" w:eastAsia="宋体" w:cs="Times New Roman"/>
      <w:b w:val="0"/>
      <w:sz w:val="21"/>
      <w:szCs w:val="22"/>
    </w:rPr>
  </w:style>
  <w:style w:type="table" w:customStyle="1" w:styleId="140">
    <w:name w:val="网格型1"/>
    <w:basedOn w:val="4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2"/>
    <w:basedOn w:val="4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3"/>
    <w:basedOn w:val="4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4"/>
    <w:basedOn w:val="49"/>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4">
    <w:name w:val="List Paragraph1"/>
    <w:basedOn w:val="1"/>
    <w:qFormat/>
    <w:uiPriority w:val="0"/>
    <w:pPr>
      <w:ind w:firstLine="420"/>
    </w:pPr>
    <w:rPr>
      <w:szCs w:val="21"/>
    </w:rPr>
  </w:style>
  <w:style w:type="paragraph" w:customStyle="1" w:styleId="145">
    <w:name w:val="标题 31"/>
    <w:basedOn w:val="1"/>
    <w:next w:val="1"/>
    <w:link w:val="14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6">
    <w:name w:val="标题 3 Char"/>
    <w:link w:val="145"/>
    <w:qFormat/>
    <w:uiPriority w:val="0"/>
    <w:rPr>
      <w:rFonts w:ascii="Times New Roman" w:hAnsi="Times New Roman" w:eastAsia="宋体" w:cs="Times New Roman"/>
      <w:b/>
      <w:bCs/>
      <w:sz w:val="32"/>
      <w:szCs w:val="32"/>
      <w:lang w:eastAsia="en-US"/>
    </w:rPr>
  </w:style>
  <w:style w:type="character" w:customStyle="1" w:styleId="147">
    <w:name w:val="标题 6 Char1"/>
    <w:basedOn w:val="51"/>
    <w:link w:val="11"/>
    <w:qFormat/>
    <w:uiPriority w:val="9"/>
    <w:rPr>
      <w:rFonts w:ascii="Arial" w:hAnsi="Arial" w:eastAsia="Arial" w:cs="Arial"/>
      <w:b/>
      <w:bCs/>
      <w:sz w:val="22"/>
      <w:szCs w:val="22"/>
    </w:rPr>
  </w:style>
  <w:style w:type="character" w:customStyle="1" w:styleId="148">
    <w:name w:val="标题 7 Char1"/>
    <w:basedOn w:val="51"/>
    <w:link w:val="12"/>
    <w:qFormat/>
    <w:uiPriority w:val="9"/>
    <w:rPr>
      <w:rFonts w:ascii="Arial" w:hAnsi="Arial" w:eastAsia="Arial" w:cs="Arial"/>
      <w:b/>
      <w:bCs/>
      <w:i/>
      <w:iCs/>
      <w:sz w:val="22"/>
      <w:szCs w:val="22"/>
    </w:rPr>
  </w:style>
  <w:style w:type="character" w:customStyle="1" w:styleId="149">
    <w:name w:val="标题 8 Char1"/>
    <w:basedOn w:val="51"/>
    <w:link w:val="13"/>
    <w:qFormat/>
    <w:uiPriority w:val="9"/>
    <w:rPr>
      <w:rFonts w:ascii="Arial" w:hAnsi="Arial" w:eastAsia="Arial" w:cs="Arial"/>
      <w:i/>
      <w:iCs/>
      <w:sz w:val="22"/>
      <w:szCs w:val="22"/>
    </w:rPr>
  </w:style>
  <w:style w:type="character" w:customStyle="1" w:styleId="150">
    <w:name w:val="标题 9 Char1"/>
    <w:basedOn w:val="51"/>
    <w:link w:val="14"/>
    <w:qFormat/>
    <w:uiPriority w:val="9"/>
    <w:rPr>
      <w:rFonts w:ascii="Arial" w:hAnsi="Arial" w:eastAsia="Arial" w:cs="Arial"/>
      <w:i/>
      <w:iCs/>
      <w:sz w:val="21"/>
      <w:szCs w:val="21"/>
    </w:rPr>
  </w:style>
  <w:style w:type="character" w:customStyle="1" w:styleId="151">
    <w:name w:val="Heading 1 Char"/>
    <w:qFormat/>
    <w:uiPriority w:val="9"/>
    <w:rPr>
      <w:rFonts w:ascii="Arial" w:hAnsi="Arial" w:eastAsia="Arial" w:cs="Arial"/>
      <w:sz w:val="40"/>
      <w:szCs w:val="40"/>
    </w:rPr>
  </w:style>
  <w:style w:type="character" w:customStyle="1" w:styleId="152">
    <w:name w:val="Heading 2 Char"/>
    <w:qFormat/>
    <w:uiPriority w:val="9"/>
    <w:rPr>
      <w:rFonts w:ascii="Arial" w:hAnsi="Arial" w:eastAsia="Arial" w:cs="Arial"/>
      <w:sz w:val="34"/>
    </w:rPr>
  </w:style>
  <w:style w:type="character" w:customStyle="1" w:styleId="153">
    <w:name w:val="Heading 3 Char"/>
    <w:qFormat/>
    <w:uiPriority w:val="9"/>
    <w:rPr>
      <w:rFonts w:ascii="Arial" w:hAnsi="Arial" w:eastAsia="Arial" w:cs="Arial"/>
      <w:sz w:val="30"/>
      <w:szCs w:val="30"/>
    </w:rPr>
  </w:style>
  <w:style w:type="character" w:customStyle="1" w:styleId="154">
    <w:name w:val="Heading 4 Char"/>
    <w:qFormat/>
    <w:uiPriority w:val="9"/>
    <w:rPr>
      <w:rFonts w:ascii="Arial" w:hAnsi="Arial" w:eastAsia="Arial" w:cs="Arial"/>
      <w:b/>
      <w:bCs/>
      <w:sz w:val="26"/>
      <w:szCs w:val="26"/>
    </w:rPr>
  </w:style>
  <w:style w:type="character" w:customStyle="1" w:styleId="155">
    <w:name w:val="Heading 5 Char"/>
    <w:qFormat/>
    <w:uiPriority w:val="9"/>
    <w:rPr>
      <w:rFonts w:ascii="Arial" w:hAnsi="Arial" w:eastAsia="Arial" w:cs="Arial"/>
      <w:b/>
      <w:bCs/>
      <w:sz w:val="24"/>
      <w:szCs w:val="24"/>
    </w:rPr>
  </w:style>
  <w:style w:type="character" w:customStyle="1" w:styleId="156">
    <w:name w:val="Heading 6 Char"/>
    <w:qFormat/>
    <w:uiPriority w:val="9"/>
    <w:rPr>
      <w:rFonts w:ascii="Arial" w:hAnsi="Arial" w:eastAsia="Arial" w:cs="Arial"/>
      <w:b/>
      <w:bCs/>
      <w:sz w:val="22"/>
      <w:szCs w:val="22"/>
    </w:rPr>
  </w:style>
  <w:style w:type="character" w:customStyle="1" w:styleId="157">
    <w:name w:val="Heading 7 Char"/>
    <w:qFormat/>
    <w:uiPriority w:val="9"/>
    <w:rPr>
      <w:rFonts w:ascii="Arial" w:hAnsi="Arial" w:eastAsia="Arial" w:cs="Arial"/>
      <w:b/>
      <w:bCs/>
      <w:i/>
      <w:iCs/>
      <w:sz w:val="22"/>
      <w:szCs w:val="22"/>
    </w:rPr>
  </w:style>
  <w:style w:type="character" w:customStyle="1" w:styleId="158">
    <w:name w:val="Heading 8 Char"/>
    <w:qFormat/>
    <w:uiPriority w:val="9"/>
    <w:rPr>
      <w:rFonts w:ascii="Arial" w:hAnsi="Arial" w:eastAsia="Arial" w:cs="Arial"/>
      <w:i/>
      <w:iCs/>
      <w:sz w:val="22"/>
      <w:szCs w:val="22"/>
    </w:rPr>
  </w:style>
  <w:style w:type="character" w:customStyle="1" w:styleId="159">
    <w:name w:val="Heading 9 Char"/>
    <w:qFormat/>
    <w:uiPriority w:val="9"/>
    <w:rPr>
      <w:rFonts w:ascii="Arial" w:hAnsi="Arial" w:eastAsia="Arial" w:cs="Arial"/>
      <w:i/>
      <w:iCs/>
      <w:sz w:val="21"/>
      <w:szCs w:val="21"/>
    </w:rPr>
  </w:style>
  <w:style w:type="paragraph" w:styleId="160">
    <w:name w:val="No Spacing"/>
    <w:qFormat/>
    <w:uiPriority w:val="1"/>
    <w:rPr>
      <w:rFonts w:hint="default" w:ascii="Calibri" w:hAnsi="Calibri" w:eastAsia="宋体" w:cs="Times New Roman"/>
    </w:rPr>
  </w:style>
  <w:style w:type="character" w:customStyle="1" w:styleId="161">
    <w:name w:val="标题 Char"/>
    <w:basedOn w:val="51"/>
    <w:link w:val="45"/>
    <w:qFormat/>
    <w:uiPriority w:val="10"/>
    <w:rPr>
      <w:rFonts w:ascii="Times New Roman" w:hAnsi="Times New Roman" w:eastAsia="宋体" w:cs="Times New Roman"/>
      <w:sz w:val="48"/>
      <w:szCs w:val="48"/>
    </w:rPr>
  </w:style>
  <w:style w:type="character" w:customStyle="1" w:styleId="162">
    <w:name w:val="Title Char"/>
    <w:qFormat/>
    <w:uiPriority w:val="10"/>
    <w:rPr>
      <w:sz w:val="48"/>
      <w:szCs w:val="48"/>
    </w:rPr>
  </w:style>
  <w:style w:type="character" w:customStyle="1" w:styleId="163">
    <w:name w:val="Subtitle Char"/>
    <w:qFormat/>
    <w:uiPriority w:val="11"/>
    <w:rPr>
      <w:sz w:val="24"/>
      <w:szCs w:val="24"/>
    </w:rPr>
  </w:style>
  <w:style w:type="paragraph" w:styleId="164">
    <w:name w:val="Quote"/>
    <w:basedOn w:val="1"/>
    <w:next w:val="1"/>
    <w:link w:val="165"/>
    <w:qFormat/>
    <w:uiPriority w:val="29"/>
    <w:pPr>
      <w:ind w:left="720" w:right="720"/>
    </w:pPr>
    <w:rPr>
      <w:rFonts w:ascii="Times New Roman" w:hAnsi="Times New Roman" w:eastAsia="宋体" w:cs="Times New Roman"/>
      <w:i/>
      <w:szCs w:val="21"/>
    </w:rPr>
  </w:style>
  <w:style w:type="character" w:customStyle="1" w:styleId="165">
    <w:name w:val="引用 Char"/>
    <w:basedOn w:val="51"/>
    <w:link w:val="164"/>
    <w:qFormat/>
    <w:uiPriority w:val="29"/>
    <w:rPr>
      <w:rFonts w:ascii="Times New Roman" w:hAnsi="Times New Roman" w:eastAsia="宋体" w:cs="Times New Roman"/>
      <w:i/>
      <w:sz w:val="21"/>
      <w:szCs w:val="21"/>
    </w:rPr>
  </w:style>
  <w:style w:type="character" w:customStyle="1" w:styleId="166">
    <w:name w:val="Quote Char"/>
    <w:qFormat/>
    <w:uiPriority w:val="29"/>
    <w:rPr>
      <w:i/>
    </w:rPr>
  </w:style>
  <w:style w:type="paragraph" w:styleId="167">
    <w:name w:val="Intense Quote"/>
    <w:basedOn w:val="1"/>
    <w:next w:val="1"/>
    <w:link w:val="1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8">
    <w:name w:val="明显引用 Char"/>
    <w:basedOn w:val="51"/>
    <w:link w:val="167"/>
    <w:qFormat/>
    <w:uiPriority w:val="30"/>
    <w:rPr>
      <w:rFonts w:ascii="Times New Roman" w:hAnsi="Times New Roman" w:eastAsia="宋体" w:cs="Times New Roman"/>
      <w:i/>
      <w:sz w:val="21"/>
      <w:szCs w:val="21"/>
      <w:shd w:val="clear" w:color="auto" w:fill="F2F2F2"/>
    </w:rPr>
  </w:style>
  <w:style w:type="character" w:customStyle="1" w:styleId="169">
    <w:name w:val="Intense Quote Char"/>
    <w:qFormat/>
    <w:uiPriority w:val="30"/>
    <w:rPr>
      <w:i/>
    </w:rPr>
  </w:style>
  <w:style w:type="character" w:customStyle="1" w:styleId="170">
    <w:name w:val="Header Char"/>
    <w:qFormat/>
    <w:uiPriority w:val="99"/>
  </w:style>
  <w:style w:type="character" w:customStyle="1" w:styleId="171">
    <w:name w:val="Footer Char"/>
    <w:qFormat/>
    <w:uiPriority w:val="99"/>
  </w:style>
  <w:style w:type="character" w:customStyle="1" w:styleId="172">
    <w:name w:val="Caption Char"/>
    <w:qFormat/>
    <w:uiPriority w:val="99"/>
  </w:style>
  <w:style w:type="character" w:customStyle="1" w:styleId="173">
    <w:name w:val="脚注文本 Char"/>
    <w:basedOn w:val="51"/>
    <w:link w:val="37"/>
    <w:qFormat/>
    <w:uiPriority w:val="99"/>
    <w:rPr>
      <w:rFonts w:ascii="Times New Roman" w:hAnsi="Times New Roman" w:eastAsia="宋体" w:cs="Times New Roman"/>
      <w:sz w:val="18"/>
      <w:szCs w:val="21"/>
    </w:rPr>
  </w:style>
  <w:style w:type="character" w:customStyle="1" w:styleId="174">
    <w:name w:val="Footnote Text Char"/>
    <w:qFormat/>
    <w:uiPriority w:val="99"/>
    <w:rPr>
      <w:sz w:val="18"/>
    </w:rPr>
  </w:style>
  <w:style w:type="character" w:customStyle="1" w:styleId="175">
    <w:name w:val="尾注文本 Char"/>
    <w:basedOn w:val="51"/>
    <w:link w:val="28"/>
    <w:qFormat/>
    <w:uiPriority w:val="99"/>
    <w:rPr>
      <w:rFonts w:ascii="Times New Roman" w:hAnsi="Times New Roman" w:eastAsia="宋体" w:cs="Times New Roman"/>
      <w:szCs w:val="21"/>
    </w:rPr>
  </w:style>
  <w:style w:type="character" w:customStyle="1" w:styleId="176">
    <w:name w:val="Endnote Text Char"/>
    <w:qFormat/>
    <w:uiPriority w:val="99"/>
    <w:rPr>
      <w:sz w:val="20"/>
    </w:rPr>
  </w:style>
  <w:style w:type="paragraph" w:customStyle="1" w:styleId="177">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8">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9">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0">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1">
    <w:name w:val="页脚 字符1"/>
    <w:qFormat/>
    <w:uiPriority w:val="99"/>
  </w:style>
  <w:style w:type="paragraph" w:customStyle="1" w:styleId="182">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3">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4">
    <w:name w:val="副标题 Char"/>
    <w:link w:val="35"/>
    <w:qFormat/>
    <w:uiPriority w:val="11"/>
    <w:rPr>
      <w:rFonts w:ascii="Arial" w:hAnsi="Arial"/>
      <w:b/>
      <w:bCs/>
      <w:sz w:val="32"/>
      <w:szCs w:val="32"/>
    </w:rPr>
  </w:style>
  <w:style w:type="paragraph" w:customStyle="1" w:styleId="18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6">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187">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8">
    <w:name w:val="font5 Char"/>
    <w:qFormat/>
    <w:uiPriority w:val="0"/>
    <w:rPr>
      <w:rFonts w:ascii="宋体" w:hAnsi="宋体" w:eastAsia="宋体"/>
      <w:sz w:val="28"/>
      <w:szCs w:val="28"/>
      <w:lang w:val="en-US" w:eastAsia="zh-CN" w:bidi="ar-SA"/>
    </w:rPr>
  </w:style>
  <w:style w:type="paragraph" w:customStyle="1" w:styleId="189">
    <w:name w:val="列出段落2"/>
    <w:basedOn w:val="1"/>
    <w:qFormat/>
    <w:uiPriority w:val="34"/>
    <w:pPr>
      <w:ind w:left="720"/>
      <w:contextualSpacing/>
    </w:pPr>
    <w:rPr>
      <w:rFonts w:ascii="Times New Roman" w:hAnsi="Times New Roman" w:eastAsia="宋体" w:cs="Times New Roman"/>
      <w:szCs w:val="21"/>
    </w:rPr>
  </w:style>
  <w:style w:type="table" w:customStyle="1" w:styleId="190">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3">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7">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4">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4">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8">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4">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5">
    <w:name w:val="TOC 标题1"/>
    <w:unhideWhenUsed/>
    <w:qFormat/>
    <w:uiPriority w:val="39"/>
    <w:rPr>
      <w:rFonts w:hint="default" w:ascii="Calibri" w:hAnsi="Calibri" w:eastAsia="宋体" w:cs="Times New Roman"/>
    </w:rPr>
  </w:style>
  <w:style w:type="paragraph" w:customStyle="1" w:styleId="316">
    <w:name w:val="标题 11"/>
    <w:basedOn w:val="1"/>
    <w:next w:val="1"/>
    <w:link w:val="317"/>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7">
    <w:name w:val="标题 1 Char"/>
    <w:link w:val="316"/>
    <w:qFormat/>
    <w:uiPriority w:val="0"/>
    <w:rPr>
      <w:rFonts w:ascii="楷体_GB2312" w:hAnsi="Times New Roman" w:eastAsia="楷体_GB2312" w:cs="Times New Roman"/>
      <w:sz w:val="28"/>
      <w:szCs w:val="28"/>
      <w:lang w:eastAsia="en-US"/>
    </w:rPr>
  </w:style>
  <w:style w:type="paragraph" w:customStyle="1" w:styleId="318">
    <w:name w:val="标题 21"/>
    <w:basedOn w:val="1"/>
    <w:next w:val="319"/>
    <w:link w:val="320"/>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9">
    <w:name w:val="正文缩进1"/>
    <w:basedOn w:val="1"/>
    <w:link w:val="321"/>
    <w:qFormat/>
    <w:uiPriority w:val="0"/>
    <w:pPr>
      <w:ind w:firstLine="420"/>
    </w:pPr>
    <w:rPr>
      <w:rFonts w:ascii="Times New Roman" w:hAnsi="Times New Roman" w:eastAsia="宋体" w:cs="Times New Roman"/>
      <w:sz w:val="20"/>
      <w:szCs w:val="21"/>
      <w:lang w:eastAsia="en-US"/>
    </w:rPr>
  </w:style>
  <w:style w:type="character" w:customStyle="1" w:styleId="320">
    <w:name w:val="标题 2 Char"/>
    <w:link w:val="318"/>
    <w:qFormat/>
    <w:uiPriority w:val="0"/>
    <w:rPr>
      <w:rFonts w:ascii="Arial" w:hAnsi="Arial" w:eastAsia="幼圆" w:cs="Times New Roman"/>
      <w:b/>
      <w:bCs/>
      <w:sz w:val="44"/>
      <w:szCs w:val="44"/>
      <w:lang w:eastAsia="en-US"/>
    </w:rPr>
  </w:style>
  <w:style w:type="character" w:customStyle="1" w:styleId="321">
    <w:name w:val="正文缩进 Char"/>
    <w:link w:val="319"/>
    <w:qFormat/>
    <w:uiPriority w:val="0"/>
    <w:rPr>
      <w:rFonts w:ascii="Times New Roman" w:hAnsi="Times New Roman" w:eastAsia="宋体" w:cs="Times New Roman"/>
      <w:szCs w:val="21"/>
      <w:lang w:eastAsia="en-US"/>
    </w:rPr>
  </w:style>
  <w:style w:type="paragraph" w:customStyle="1" w:styleId="322">
    <w:name w:val="标题 41"/>
    <w:basedOn w:val="1"/>
    <w:next w:val="319"/>
    <w:link w:val="323"/>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3">
    <w:name w:val="标题 4 Char"/>
    <w:link w:val="322"/>
    <w:qFormat/>
    <w:uiPriority w:val="0"/>
    <w:rPr>
      <w:rFonts w:ascii="Arial" w:hAnsi="Arial" w:eastAsia="黑体" w:cs="Times New Roman"/>
      <w:b/>
      <w:bCs/>
      <w:sz w:val="28"/>
      <w:szCs w:val="28"/>
      <w:lang w:eastAsia="en-US"/>
    </w:rPr>
  </w:style>
  <w:style w:type="paragraph" w:customStyle="1" w:styleId="324">
    <w:name w:val="标题 51"/>
    <w:basedOn w:val="1"/>
    <w:next w:val="319"/>
    <w:link w:val="325"/>
    <w:qFormat/>
    <w:uiPriority w:val="0"/>
    <w:pPr>
      <w:keepNext/>
      <w:outlineLvl w:val="4"/>
    </w:pPr>
    <w:rPr>
      <w:rFonts w:ascii="宋体" w:hAnsi="Times New Roman" w:eastAsia="宋体" w:cs="Times New Roman"/>
      <w:color w:val="000000"/>
      <w:sz w:val="28"/>
      <w:szCs w:val="28"/>
      <w:lang w:eastAsia="en-US"/>
    </w:rPr>
  </w:style>
  <w:style w:type="character" w:customStyle="1" w:styleId="325">
    <w:name w:val="标题 5 Char"/>
    <w:link w:val="324"/>
    <w:qFormat/>
    <w:uiPriority w:val="0"/>
    <w:rPr>
      <w:rFonts w:ascii="宋体" w:hAnsi="Times New Roman" w:eastAsia="宋体" w:cs="Times New Roman"/>
      <w:color w:val="000000"/>
      <w:sz w:val="28"/>
      <w:szCs w:val="28"/>
      <w:lang w:eastAsia="en-US"/>
    </w:rPr>
  </w:style>
  <w:style w:type="paragraph" w:customStyle="1" w:styleId="326">
    <w:name w:val="标题 61"/>
    <w:basedOn w:val="1"/>
    <w:next w:val="1"/>
    <w:link w:val="327"/>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7">
    <w:name w:val="标题 6 Char"/>
    <w:link w:val="326"/>
    <w:qFormat/>
    <w:uiPriority w:val="0"/>
    <w:rPr>
      <w:rFonts w:ascii="Arial" w:hAnsi="Arial" w:eastAsia="黑体" w:cs="Times New Roman"/>
      <w:b/>
      <w:bCs/>
      <w:sz w:val="24"/>
      <w:szCs w:val="24"/>
      <w:lang w:eastAsia="en-US"/>
    </w:rPr>
  </w:style>
  <w:style w:type="paragraph" w:customStyle="1" w:styleId="328">
    <w:name w:val="标题 71"/>
    <w:basedOn w:val="1"/>
    <w:next w:val="1"/>
    <w:link w:val="329"/>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9">
    <w:name w:val="标题 7 Char"/>
    <w:link w:val="328"/>
    <w:qFormat/>
    <w:uiPriority w:val="0"/>
    <w:rPr>
      <w:rFonts w:ascii="Times New Roman" w:hAnsi="Times New Roman" w:eastAsia="宋体" w:cs="Times New Roman"/>
      <w:b/>
      <w:bCs/>
      <w:sz w:val="24"/>
      <w:szCs w:val="24"/>
      <w:lang w:eastAsia="en-US"/>
    </w:rPr>
  </w:style>
  <w:style w:type="paragraph" w:customStyle="1" w:styleId="330">
    <w:name w:val="标题 81"/>
    <w:basedOn w:val="1"/>
    <w:next w:val="1"/>
    <w:link w:val="331"/>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1">
    <w:name w:val="标题 8 Char"/>
    <w:link w:val="330"/>
    <w:qFormat/>
    <w:uiPriority w:val="0"/>
    <w:rPr>
      <w:rFonts w:ascii="Arial" w:hAnsi="Arial" w:eastAsia="黑体" w:cs="Times New Roman"/>
      <w:sz w:val="24"/>
      <w:szCs w:val="24"/>
      <w:lang w:eastAsia="en-US"/>
    </w:rPr>
  </w:style>
  <w:style w:type="paragraph" w:customStyle="1" w:styleId="332">
    <w:name w:val="标题 91"/>
    <w:basedOn w:val="1"/>
    <w:next w:val="1"/>
    <w:link w:val="333"/>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3">
    <w:name w:val="标题 9 Char"/>
    <w:link w:val="332"/>
    <w:qFormat/>
    <w:uiPriority w:val="0"/>
    <w:rPr>
      <w:rFonts w:ascii="Arial" w:hAnsi="Arial" w:eastAsia="黑体" w:cs="Times New Roman"/>
      <w:szCs w:val="21"/>
      <w:lang w:eastAsia="en-US"/>
    </w:rPr>
  </w:style>
  <w:style w:type="character" w:customStyle="1" w:styleId="334">
    <w:name w:val="默认段落字体1"/>
    <w:unhideWhenUsed/>
    <w:qFormat/>
    <w:uiPriority w:val="1"/>
  </w:style>
  <w:style w:type="table" w:customStyle="1" w:styleId="335">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6">
    <w:name w:val="列表 31"/>
    <w:basedOn w:val="1"/>
    <w:qFormat/>
    <w:uiPriority w:val="0"/>
    <w:pPr>
      <w:ind w:left="100" w:hanging="200"/>
    </w:pPr>
    <w:rPr>
      <w:rFonts w:ascii="Times New Roman" w:hAnsi="Times New Roman" w:eastAsia="宋体" w:cs="Times New Roman"/>
      <w:szCs w:val="21"/>
    </w:rPr>
  </w:style>
  <w:style w:type="paragraph" w:customStyle="1" w:styleId="337">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8">
    <w:name w:val="文档结构图1"/>
    <w:basedOn w:val="1"/>
    <w:link w:val="339"/>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9">
    <w:name w:val="文档结构图 Char"/>
    <w:link w:val="338"/>
    <w:semiHidden/>
    <w:qFormat/>
    <w:uiPriority w:val="0"/>
    <w:rPr>
      <w:rFonts w:ascii="Times New Roman" w:hAnsi="Times New Roman" w:eastAsia="宋体" w:cs="Times New Roman"/>
      <w:szCs w:val="21"/>
      <w:shd w:val="clear" w:color="auto" w:fill="000080"/>
      <w:lang w:eastAsia="en-US"/>
    </w:rPr>
  </w:style>
  <w:style w:type="paragraph" w:customStyle="1" w:styleId="340">
    <w:name w:val="批注文字1"/>
    <w:basedOn w:val="1"/>
    <w:link w:val="341"/>
    <w:semiHidden/>
    <w:qFormat/>
    <w:uiPriority w:val="0"/>
    <w:pPr>
      <w:jc w:val="left"/>
    </w:pPr>
    <w:rPr>
      <w:rFonts w:ascii="Times New Roman" w:hAnsi="Times New Roman" w:eastAsia="宋体" w:cs="Times New Roman"/>
      <w:sz w:val="20"/>
      <w:szCs w:val="21"/>
      <w:lang w:eastAsia="en-US"/>
    </w:rPr>
  </w:style>
  <w:style w:type="character" w:customStyle="1" w:styleId="341">
    <w:name w:val="批注文字 Char"/>
    <w:link w:val="340"/>
    <w:semiHidden/>
    <w:qFormat/>
    <w:uiPriority w:val="0"/>
    <w:rPr>
      <w:rFonts w:ascii="Times New Roman" w:hAnsi="Times New Roman" w:eastAsia="宋体" w:cs="Times New Roman"/>
      <w:szCs w:val="21"/>
      <w:lang w:eastAsia="en-US"/>
    </w:rPr>
  </w:style>
  <w:style w:type="paragraph" w:customStyle="1" w:styleId="342">
    <w:name w:val="正文文本 31"/>
    <w:basedOn w:val="1"/>
    <w:link w:val="343"/>
    <w:qFormat/>
    <w:uiPriority w:val="0"/>
    <w:rPr>
      <w:rFonts w:ascii="仿宋_GB2312" w:hAnsi="Arial" w:eastAsia="仿宋_GB2312" w:cs="Times New Roman"/>
      <w:sz w:val="32"/>
      <w:szCs w:val="32"/>
      <w:lang w:eastAsia="en-US"/>
    </w:rPr>
  </w:style>
  <w:style w:type="character" w:customStyle="1" w:styleId="343">
    <w:name w:val="正文文本 3 Char"/>
    <w:link w:val="342"/>
    <w:qFormat/>
    <w:uiPriority w:val="0"/>
    <w:rPr>
      <w:rFonts w:ascii="仿宋_GB2312" w:hAnsi="Arial" w:eastAsia="仿宋_GB2312" w:cs="Times New Roman"/>
      <w:sz w:val="32"/>
      <w:szCs w:val="32"/>
      <w:lang w:eastAsia="en-US"/>
    </w:rPr>
  </w:style>
  <w:style w:type="paragraph" w:customStyle="1" w:styleId="344">
    <w:name w:val="正文文本1"/>
    <w:basedOn w:val="1"/>
    <w:link w:val="345"/>
    <w:qFormat/>
    <w:uiPriority w:val="0"/>
    <w:rPr>
      <w:rFonts w:ascii="楷体_GB2312" w:hAnsi="Arial" w:eastAsia="楷体_GB2312" w:cs="Times New Roman"/>
      <w:sz w:val="28"/>
      <w:szCs w:val="28"/>
      <w:lang w:eastAsia="en-US"/>
    </w:rPr>
  </w:style>
  <w:style w:type="character" w:customStyle="1" w:styleId="345">
    <w:name w:val="正文文本 Char"/>
    <w:link w:val="344"/>
    <w:qFormat/>
    <w:uiPriority w:val="0"/>
    <w:rPr>
      <w:rFonts w:ascii="楷体_GB2312" w:hAnsi="Arial" w:eastAsia="楷体_GB2312" w:cs="Times New Roman"/>
      <w:sz w:val="28"/>
      <w:szCs w:val="28"/>
      <w:lang w:eastAsia="en-US"/>
    </w:rPr>
  </w:style>
  <w:style w:type="paragraph" w:customStyle="1" w:styleId="346">
    <w:name w:val="正文文本缩进1"/>
    <w:basedOn w:val="1"/>
    <w:link w:val="347"/>
    <w:qFormat/>
    <w:uiPriority w:val="0"/>
    <w:pPr>
      <w:ind w:firstLine="645"/>
    </w:pPr>
    <w:rPr>
      <w:rFonts w:ascii="楷体_GB2312" w:hAnsi="Times New Roman" w:eastAsia="楷体_GB2312" w:cs="Times New Roman"/>
      <w:sz w:val="32"/>
      <w:szCs w:val="32"/>
      <w:lang w:eastAsia="en-US"/>
    </w:rPr>
  </w:style>
  <w:style w:type="character" w:customStyle="1" w:styleId="347">
    <w:name w:val="正文文本缩进 Char"/>
    <w:link w:val="346"/>
    <w:qFormat/>
    <w:uiPriority w:val="0"/>
    <w:rPr>
      <w:rFonts w:ascii="楷体_GB2312" w:hAnsi="Times New Roman" w:eastAsia="楷体_GB2312" w:cs="Times New Roman"/>
      <w:sz w:val="32"/>
      <w:szCs w:val="32"/>
      <w:lang w:eastAsia="en-US"/>
    </w:rPr>
  </w:style>
  <w:style w:type="paragraph" w:customStyle="1" w:styleId="348">
    <w:name w:val="列表 21"/>
    <w:basedOn w:val="1"/>
    <w:qFormat/>
    <w:uiPriority w:val="0"/>
    <w:pPr>
      <w:ind w:left="100" w:hanging="200"/>
    </w:pPr>
    <w:rPr>
      <w:rFonts w:ascii="Times New Roman" w:hAnsi="Times New Roman" w:eastAsia="宋体" w:cs="Times New Roman"/>
      <w:szCs w:val="21"/>
    </w:rPr>
  </w:style>
  <w:style w:type="paragraph" w:customStyle="1" w:styleId="349">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50">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1">
    <w:name w:val="纯文本1"/>
    <w:basedOn w:val="1"/>
    <w:link w:val="352"/>
    <w:qFormat/>
    <w:uiPriority w:val="0"/>
    <w:rPr>
      <w:rFonts w:ascii="宋体" w:hAnsi="Courier New" w:eastAsia="宋体" w:cs="Times New Roman"/>
      <w:sz w:val="20"/>
      <w:szCs w:val="21"/>
      <w:lang w:eastAsia="en-US"/>
    </w:rPr>
  </w:style>
  <w:style w:type="character" w:customStyle="1" w:styleId="352">
    <w:name w:val="纯文本 Char"/>
    <w:link w:val="351"/>
    <w:qFormat/>
    <w:uiPriority w:val="0"/>
    <w:rPr>
      <w:rFonts w:ascii="宋体" w:hAnsi="Courier New" w:eastAsia="宋体" w:cs="Times New Roman"/>
      <w:szCs w:val="21"/>
      <w:lang w:eastAsia="en-US"/>
    </w:rPr>
  </w:style>
  <w:style w:type="paragraph" w:customStyle="1" w:styleId="353">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4">
    <w:name w:val="日期1"/>
    <w:basedOn w:val="1"/>
    <w:next w:val="1"/>
    <w:link w:val="355"/>
    <w:qFormat/>
    <w:uiPriority w:val="0"/>
    <w:rPr>
      <w:rFonts w:ascii="Times New Roman" w:hAnsi="Times New Roman" w:eastAsia="宋体" w:cs="Times New Roman"/>
      <w:sz w:val="24"/>
      <w:szCs w:val="24"/>
      <w:lang w:eastAsia="en-US"/>
    </w:rPr>
  </w:style>
  <w:style w:type="character" w:customStyle="1" w:styleId="355">
    <w:name w:val="日期 Char"/>
    <w:link w:val="354"/>
    <w:qFormat/>
    <w:uiPriority w:val="0"/>
    <w:rPr>
      <w:rFonts w:ascii="Times New Roman" w:hAnsi="Times New Roman" w:eastAsia="宋体" w:cs="Times New Roman"/>
      <w:sz w:val="24"/>
      <w:szCs w:val="24"/>
      <w:lang w:eastAsia="en-US"/>
    </w:rPr>
  </w:style>
  <w:style w:type="paragraph" w:customStyle="1" w:styleId="356">
    <w:name w:val="正文文本缩进 21"/>
    <w:basedOn w:val="1"/>
    <w:link w:val="357"/>
    <w:qFormat/>
    <w:uiPriority w:val="0"/>
    <w:pPr>
      <w:ind w:left="630" w:firstLine="645"/>
    </w:pPr>
    <w:rPr>
      <w:rFonts w:ascii="Arial" w:hAnsi="Arial" w:eastAsia="仿宋_GB2312" w:cs="Times New Roman"/>
      <w:sz w:val="32"/>
      <w:szCs w:val="32"/>
      <w:lang w:eastAsia="en-US"/>
    </w:rPr>
  </w:style>
  <w:style w:type="character" w:customStyle="1" w:styleId="357">
    <w:name w:val="正文文本缩进 2 Char"/>
    <w:link w:val="356"/>
    <w:qFormat/>
    <w:uiPriority w:val="0"/>
    <w:rPr>
      <w:rFonts w:ascii="Arial" w:hAnsi="Arial" w:eastAsia="仿宋_GB2312" w:cs="Times New Roman"/>
      <w:sz w:val="32"/>
      <w:szCs w:val="32"/>
      <w:lang w:eastAsia="en-US"/>
    </w:rPr>
  </w:style>
  <w:style w:type="paragraph" w:customStyle="1" w:styleId="358">
    <w:name w:val="批注框文本1"/>
    <w:basedOn w:val="1"/>
    <w:link w:val="359"/>
    <w:semiHidden/>
    <w:qFormat/>
    <w:uiPriority w:val="0"/>
    <w:rPr>
      <w:rFonts w:ascii="Times New Roman" w:hAnsi="Times New Roman" w:eastAsia="宋体" w:cs="Times New Roman"/>
      <w:sz w:val="18"/>
      <w:szCs w:val="18"/>
      <w:lang w:eastAsia="en-US"/>
    </w:rPr>
  </w:style>
  <w:style w:type="character" w:customStyle="1" w:styleId="359">
    <w:name w:val="批注框文本 Char"/>
    <w:link w:val="358"/>
    <w:semiHidden/>
    <w:qFormat/>
    <w:uiPriority w:val="0"/>
    <w:rPr>
      <w:rFonts w:ascii="Times New Roman" w:hAnsi="Times New Roman" w:eastAsia="宋体" w:cs="Times New Roman"/>
      <w:sz w:val="18"/>
      <w:szCs w:val="18"/>
      <w:lang w:eastAsia="en-US"/>
    </w:rPr>
  </w:style>
  <w:style w:type="paragraph" w:customStyle="1" w:styleId="360">
    <w:name w:val="页脚1"/>
    <w:basedOn w:val="1"/>
    <w:link w:val="361"/>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1">
    <w:name w:val="页脚 Char"/>
    <w:link w:val="360"/>
    <w:qFormat/>
    <w:uiPriority w:val="0"/>
    <w:rPr>
      <w:rFonts w:ascii="Times New Roman" w:hAnsi="Times New Roman" w:eastAsia="宋体" w:cs="Times New Roman"/>
      <w:sz w:val="18"/>
      <w:szCs w:val="18"/>
      <w:lang w:eastAsia="en-US"/>
    </w:rPr>
  </w:style>
  <w:style w:type="paragraph" w:customStyle="1" w:styleId="362">
    <w:name w:val="页眉1"/>
    <w:basedOn w:val="1"/>
    <w:link w:val="363"/>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3">
    <w:name w:val="页眉 Char"/>
    <w:link w:val="362"/>
    <w:qFormat/>
    <w:uiPriority w:val="99"/>
    <w:rPr>
      <w:rFonts w:ascii="Times New Roman" w:hAnsi="Times New Roman" w:eastAsia="宋体" w:cs="Times New Roman"/>
      <w:sz w:val="18"/>
      <w:szCs w:val="18"/>
      <w:lang w:eastAsia="en-US"/>
    </w:rPr>
  </w:style>
  <w:style w:type="paragraph" w:customStyle="1" w:styleId="364">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5">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6">
    <w:name w:val="列表1"/>
    <w:basedOn w:val="1"/>
    <w:qFormat/>
    <w:uiPriority w:val="0"/>
    <w:pPr>
      <w:ind w:left="200" w:hanging="200"/>
    </w:pPr>
    <w:rPr>
      <w:rFonts w:ascii="Times New Roman" w:hAnsi="Times New Roman" w:eastAsia="宋体" w:cs="Times New Roman"/>
      <w:szCs w:val="21"/>
    </w:rPr>
  </w:style>
  <w:style w:type="paragraph" w:customStyle="1" w:styleId="367">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8">
    <w:name w:val="正文文本缩进 31"/>
    <w:basedOn w:val="1"/>
    <w:link w:val="369"/>
    <w:qFormat/>
    <w:uiPriority w:val="0"/>
    <w:pPr>
      <w:ind w:left="645" w:firstLine="645"/>
    </w:pPr>
    <w:rPr>
      <w:rFonts w:ascii="Arial" w:hAnsi="Arial" w:eastAsia="仿宋_GB2312" w:cs="Times New Roman"/>
      <w:color w:val="FFFF00"/>
      <w:sz w:val="32"/>
      <w:szCs w:val="32"/>
      <w:lang w:eastAsia="en-US"/>
    </w:rPr>
  </w:style>
  <w:style w:type="character" w:customStyle="1" w:styleId="369">
    <w:name w:val="正文文本缩进 3 Char"/>
    <w:link w:val="368"/>
    <w:qFormat/>
    <w:uiPriority w:val="0"/>
    <w:rPr>
      <w:rFonts w:ascii="Arial" w:hAnsi="Arial" w:eastAsia="仿宋_GB2312" w:cs="Times New Roman"/>
      <w:color w:val="FFFF00"/>
      <w:sz w:val="32"/>
      <w:szCs w:val="32"/>
      <w:lang w:eastAsia="en-US"/>
    </w:rPr>
  </w:style>
  <w:style w:type="paragraph" w:customStyle="1" w:styleId="37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1">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2">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3">
    <w:name w:val="正文文本 21"/>
    <w:basedOn w:val="1"/>
    <w:link w:val="374"/>
    <w:qFormat/>
    <w:uiPriority w:val="0"/>
    <w:pPr>
      <w:widowControl/>
      <w:jc w:val="center"/>
    </w:pPr>
    <w:rPr>
      <w:rFonts w:ascii="楷体_GB2312" w:hAnsi="Times New Roman" w:eastAsia="楷体_GB2312" w:cs="Times New Roman"/>
      <w:sz w:val="28"/>
      <w:szCs w:val="28"/>
      <w:lang w:eastAsia="en-US"/>
    </w:rPr>
  </w:style>
  <w:style w:type="character" w:customStyle="1" w:styleId="374">
    <w:name w:val="正文文本 2 Char"/>
    <w:link w:val="373"/>
    <w:qFormat/>
    <w:uiPriority w:val="0"/>
    <w:rPr>
      <w:rFonts w:ascii="楷体_GB2312" w:hAnsi="Times New Roman" w:eastAsia="楷体_GB2312" w:cs="Times New Roman"/>
      <w:sz w:val="28"/>
      <w:szCs w:val="28"/>
      <w:lang w:eastAsia="en-US"/>
    </w:rPr>
  </w:style>
  <w:style w:type="paragraph" w:customStyle="1" w:styleId="37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7">
    <w:name w:val="批注主题1"/>
    <w:basedOn w:val="340"/>
    <w:next w:val="340"/>
    <w:link w:val="378"/>
    <w:semiHidden/>
    <w:qFormat/>
    <w:uiPriority w:val="0"/>
    <w:rPr>
      <w:b/>
      <w:bCs/>
    </w:rPr>
  </w:style>
  <w:style w:type="character" w:customStyle="1" w:styleId="378">
    <w:name w:val="批注主题 Char"/>
    <w:link w:val="377"/>
    <w:semiHidden/>
    <w:qFormat/>
    <w:uiPriority w:val="0"/>
    <w:rPr>
      <w:rFonts w:ascii="Times New Roman" w:hAnsi="Times New Roman" w:eastAsia="宋体" w:cs="Times New Roman"/>
      <w:b/>
      <w:bCs/>
      <w:szCs w:val="21"/>
      <w:lang w:eastAsia="en-US"/>
    </w:rPr>
  </w:style>
  <w:style w:type="paragraph" w:customStyle="1" w:styleId="379">
    <w:name w:val="正文首行缩进1"/>
    <w:basedOn w:val="1"/>
    <w:link w:val="380"/>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80">
    <w:name w:val="正文首行缩进 Char"/>
    <w:link w:val="379"/>
    <w:qFormat/>
    <w:uiPriority w:val="0"/>
    <w:rPr>
      <w:rFonts w:ascii="仿宋_GB2312" w:hAnsi="Times New Roman" w:eastAsia="仿宋_GB2312" w:cs="Times New Roman"/>
      <w:sz w:val="30"/>
      <w:szCs w:val="30"/>
      <w:lang w:eastAsia="en-US"/>
    </w:rPr>
  </w:style>
  <w:style w:type="paragraph" w:customStyle="1" w:styleId="381">
    <w:name w:val="正文首行缩进 21"/>
    <w:basedOn w:val="346"/>
    <w:link w:val="382"/>
    <w:qFormat/>
    <w:uiPriority w:val="0"/>
    <w:pPr>
      <w:spacing w:line="360" w:lineRule="auto"/>
      <w:ind w:firstLine="420"/>
    </w:pPr>
    <w:rPr>
      <w:rFonts w:ascii="宋体" w:hAnsi="宋体" w:eastAsia="宋体"/>
      <w:szCs w:val="20"/>
    </w:rPr>
  </w:style>
  <w:style w:type="character" w:customStyle="1" w:styleId="382">
    <w:name w:val="正文首行缩进 2 Char"/>
    <w:link w:val="381"/>
    <w:qFormat/>
    <w:uiPriority w:val="0"/>
    <w:rPr>
      <w:rFonts w:ascii="宋体" w:hAnsi="宋体" w:eastAsia="宋体" w:cs="Times New Roman"/>
      <w:sz w:val="32"/>
      <w:lang w:eastAsia="en-US"/>
    </w:rPr>
  </w:style>
  <w:style w:type="character" w:customStyle="1" w:styleId="383">
    <w:name w:val="要点1"/>
    <w:qFormat/>
    <w:uiPriority w:val="0"/>
    <w:rPr>
      <w:b/>
      <w:bCs/>
    </w:rPr>
  </w:style>
  <w:style w:type="character" w:customStyle="1" w:styleId="384">
    <w:name w:val="页码1"/>
    <w:qFormat/>
    <w:uiPriority w:val="0"/>
  </w:style>
  <w:style w:type="character" w:customStyle="1" w:styleId="385">
    <w:name w:val="已访问的超链接1"/>
    <w:qFormat/>
    <w:uiPriority w:val="0"/>
    <w:rPr>
      <w:color w:val="800080"/>
      <w:u w:val="single"/>
    </w:rPr>
  </w:style>
  <w:style w:type="character" w:customStyle="1" w:styleId="386">
    <w:name w:val="HTML 打字机1"/>
    <w:qFormat/>
    <w:uiPriority w:val="99"/>
    <w:rPr>
      <w:rFonts w:ascii="宋体" w:hAnsi="宋体" w:eastAsia="宋体" w:cs="宋体"/>
      <w:sz w:val="24"/>
      <w:szCs w:val="24"/>
    </w:rPr>
  </w:style>
  <w:style w:type="character" w:customStyle="1" w:styleId="387">
    <w:name w:val="超链接1"/>
    <w:qFormat/>
    <w:uiPriority w:val="0"/>
    <w:rPr>
      <w:color w:val="0000FF"/>
      <w:u w:val="single"/>
    </w:rPr>
  </w:style>
  <w:style w:type="character" w:customStyle="1" w:styleId="388">
    <w:name w:val="批注引用1"/>
    <w:semiHidden/>
    <w:qFormat/>
    <w:uiPriority w:val="0"/>
    <w:rPr>
      <w:sz w:val="21"/>
      <w:szCs w:val="21"/>
    </w:rPr>
  </w:style>
  <w:style w:type="character" w:customStyle="1" w:styleId="389">
    <w:name w:val="二级目录 Char"/>
    <w:link w:val="390"/>
    <w:qFormat/>
    <w:uiPriority w:val="0"/>
    <w:rPr>
      <w:b/>
      <w:sz w:val="30"/>
      <w:szCs w:val="28"/>
    </w:rPr>
  </w:style>
  <w:style w:type="paragraph" w:customStyle="1" w:styleId="390">
    <w:name w:val="二级目录"/>
    <w:next w:val="1"/>
    <w:link w:val="389"/>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1">
    <w:name w:val="列出段落 Char"/>
    <w:link w:val="8"/>
    <w:qFormat/>
    <w:uiPriority w:val="0"/>
    <w:rPr>
      <w:rFonts w:ascii="Calibri" w:hAnsi="Calibri" w:eastAsia="宋体" w:cs="Times New Roman"/>
      <w:sz w:val="24"/>
      <w:szCs w:val="22"/>
    </w:rPr>
  </w:style>
  <w:style w:type="paragraph" w:customStyle="1" w:styleId="392">
    <w:name w:val="Body Text(ch)"/>
    <w:basedOn w:val="1"/>
    <w:next w:val="344"/>
    <w:qFormat/>
    <w:uiPriority w:val="0"/>
    <w:pPr>
      <w:spacing w:after="120"/>
    </w:pPr>
    <w:rPr>
      <w:rFonts w:ascii="宋体" w:hAnsi="Arial" w:eastAsia="宋体" w:cs="Times New Roman"/>
      <w:bCs/>
      <w:iCs/>
      <w:szCs w:val="24"/>
    </w:rPr>
  </w:style>
  <w:style w:type="paragraph" w:customStyle="1" w:styleId="393">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4">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5">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6">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7">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8">
    <w:name w:val="4"/>
    <w:basedOn w:val="1"/>
    <w:next w:val="36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9">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00">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1">
    <w:name w:val="样式1"/>
    <w:basedOn w:val="1"/>
    <w:qFormat/>
    <w:uiPriority w:val="0"/>
    <w:pPr>
      <w:numPr>
        <w:ilvl w:val="0"/>
        <w:numId w:val="5"/>
      </w:numPr>
    </w:pPr>
    <w:rPr>
      <w:rFonts w:ascii="宋体" w:hAnsi="宋体" w:eastAsia="宋体" w:cs="Times New Roman"/>
      <w:szCs w:val="21"/>
    </w:rPr>
  </w:style>
  <w:style w:type="paragraph" w:customStyle="1" w:styleId="40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4">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5">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6">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7">
    <w:name w:val="修订2"/>
    <w:semiHidden/>
    <w:qFormat/>
    <w:uiPriority w:val="99"/>
    <w:rPr>
      <w:rFonts w:hint="default" w:ascii="Times New Roman" w:hAnsi="Times New Roman" w:eastAsia="宋体" w:cs="Times New Roman"/>
      <w:sz w:val="21"/>
      <w:szCs w:val="21"/>
    </w:rPr>
  </w:style>
  <w:style w:type="paragraph" w:customStyle="1" w:styleId="408">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9">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10">
    <w:name w:val="网格型5"/>
    <w:basedOn w:val="49"/>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1">
    <w:name w:val="正文1"/>
    <w:next w:val="412"/>
    <w:qFormat/>
    <w:uiPriority w:val="0"/>
    <w:pPr>
      <w:widowControl w:val="0"/>
      <w:jc w:val="both"/>
    </w:pPr>
    <w:rPr>
      <w:rFonts w:hint="eastAsia" w:ascii="Calibri" w:hAnsi="Calibri" w:eastAsia="宋体" w:cs="Times New Roman"/>
      <w:sz w:val="21"/>
      <w:lang w:val="en-US" w:eastAsia="zh-CN" w:bidi="ar-SA"/>
    </w:rPr>
  </w:style>
  <w:style w:type="paragraph" w:customStyle="1" w:styleId="412">
    <w:name w:val="自动更正"/>
    <w:next w:val="9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3">
    <w:name w:val="_Style 1"/>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61</Pages>
  <Words>31593</Words>
  <Characters>33637</Characters>
  <TotalTime>0</TotalTime>
  <ScaleCrop>false</ScaleCrop>
  <LinksUpToDate>false</LinksUpToDate>
  <CharactersWithSpaces>35506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T.F</cp:lastModifiedBy>
  <cp:lastPrinted>2024-12-16T06:18:00Z</cp:lastPrinted>
  <dcterms:modified xsi:type="dcterms:W3CDTF">2024-12-17T05:53:57Z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54AE113A3043456ABA7A10C227108B90_13</vt:lpwstr>
  </property>
</Properties>
</file>