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彩色多普勒便携式心脏超声诊断仪项目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JSZC-320281-JZCG-G2025-0028</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70"/>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72537486" w:anchor="_Toc172537486" w:history="1">
        <w:r>
          <w:rPr>
            <w:rStyle w:val="971"/>
            <w:rFonts w:hint="eastAsia"/>
            <w:color w:val="auto"/>
            <w:sz w:val="30"/>
            <w:szCs w:val="30"/>
          </w:rPr>
          <w:t xml:space="preserve">第一章　投标邀请</w:t>
        </w:r>
        <w:r>
          <w:rPr>
            <w:sz w:val="30"/>
            <w:szCs w:val="30"/>
          </w:rPr>
          <w:tab/>
        </w:r>
        <w:r>
          <w:rPr>
            <w:sz w:val="30"/>
            <w:szCs w:val="30"/>
          </w:rPr>
          <w:fldChar w:fldCharType="begin"/>
        </w:r>
        <w:r>
          <w:rPr>
            <w:sz w:val="30"/>
            <w:szCs w:val="30"/>
          </w:rPr>
          <w:instrText xml:space="preserve"> PAGEREF _Toc172537486 \h </w:instrText>
        </w:r>
        <w:r>
          <w:rPr>
            <w:sz w:val="30"/>
            <w:szCs w:val="30"/>
          </w:rPr>
        </w:r>
        <w:r>
          <w:rPr>
            <w:sz w:val="30"/>
            <w:szCs w:val="30"/>
          </w:rPr>
          <w:fldChar w:fldCharType="separate"/>
        </w:r>
        <w:r>
          <w:rPr>
            <w:rStyle w:val="971"/>
            <w:rFonts w:hint="eastAsia"/>
            <w:color w:val="auto"/>
            <w:sz w:val="30"/>
            <w:szCs w:val="30"/>
          </w:rPr>
          <w:t xml:space="preserve">3</w:t>
        </w:r>
        <w:r>
          <w:rPr>
            <w:sz w:val="30"/>
            <w:szCs w:val="30"/>
          </w:rPr>
        </w:r>
        <w:r>
          <w:rPr>
            <w:sz w:val="30"/>
            <w:szCs w:val="30"/>
          </w:rPr>
          <w:fldChar w:fldCharType="end"/>
        </w:r>
      </w:hyperlink>
      <w:r/>
      <w:r/>
    </w:p>
    <w:p>
      <w:pPr>
        <w:pStyle w:val="970"/>
        <w:spacing w:line="600" w:lineRule="exact"/>
        <w:tabs>
          <w:tab w:val="right" w:pos="9402" w:leader="dot"/>
        </w:tabs>
        <w:rPr>
          <w:b w:val="0"/>
          <w:bCs w:val="0"/>
          <w:caps w:val="0"/>
          <w:sz w:val="30"/>
          <w:szCs w:val="30"/>
        </w:rPr>
      </w:pPr>
      <w:r/>
      <w:hyperlink w:tooltip="#_Toc172537487" w:anchor="_Toc172537487" w:history="1">
        <w:r>
          <w:rPr>
            <w:rStyle w:val="971"/>
            <w:rFonts w:hint="eastAsia"/>
            <w:color w:val="auto"/>
            <w:sz w:val="30"/>
            <w:szCs w:val="30"/>
          </w:rPr>
          <w:t xml:space="preserve">第二章　</w:t>
        </w:r>
        <w:r>
          <w:rPr>
            <w:rStyle w:val="971"/>
            <w:rFonts w:hint="eastAsia" w:hAnsi="宋体"/>
            <w:color w:val="auto"/>
            <w:sz w:val="30"/>
            <w:szCs w:val="30"/>
          </w:rPr>
          <w:t xml:space="preserve">投标人</w:t>
        </w:r>
        <w:r>
          <w:rPr>
            <w:rStyle w:val="971"/>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_Toc172537487 \h </w:instrText>
        </w:r>
        <w:r>
          <w:rPr>
            <w:sz w:val="30"/>
            <w:szCs w:val="30"/>
          </w:rPr>
        </w:r>
        <w:r>
          <w:rPr>
            <w:sz w:val="30"/>
            <w:szCs w:val="30"/>
          </w:rPr>
          <w:fldChar w:fldCharType="separate"/>
        </w:r>
        <w:r>
          <w:rPr>
            <w:rStyle w:val="971"/>
            <w:rFonts w:hint="eastAsia"/>
            <w:color w:val="auto"/>
            <w:sz w:val="30"/>
            <w:szCs w:val="30"/>
          </w:rPr>
          <w:t xml:space="preserve">6</w:t>
        </w:r>
        <w:r>
          <w:rPr>
            <w:sz w:val="30"/>
            <w:szCs w:val="30"/>
          </w:rPr>
        </w:r>
        <w:r>
          <w:rPr>
            <w:sz w:val="30"/>
            <w:szCs w:val="30"/>
          </w:rPr>
          <w:fldChar w:fldCharType="end"/>
        </w:r>
      </w:hyperlink>
      <w:r/>
      <w:r/>
    </w:p>
    <w:p>
      <w:pPr>
        <w:pStyle w:val="970"/>
        <w:spacing w:line="600" w:lineRule="exact"/>
        <w:tabs>
          <w:tab w:val="right" w:pos="9402" w:leader="dot"/>
        </w:tabs>
        <w:rPr>
          <w:b w:val="0"/>
          <w:bCs w:val="0"/>
          <w:caps w:val="0"/>
          <w:sz w:val="30"/>
          <w:szCs w:val="30"/>
        </w:rPr>
      </w:pPr>
      <w:r/>
      <w:hyperlink w:tooltip="#_Toc172537488" w:anchor="_Toc172537488" w:history="1">
        <w:r>
          <w:rPr>
            <w:rStyle w:val="971"/>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_Toc172537488 \h </w:instrText>
        </w:r>
        <w:r>
          <w:rPr>
            <w:sz w:val="30"/>
            <w:szCs w:val="30"/>
          </w:rPr>
        </w:r>
        <w:r>
          <w:rPr>
            <w:sz w:val="30"/>
            <w:szCs w:val="30"/>
          </w:rPr>
          <w:fldChar w:fldCharType="separate"/>
        </w:r>
        <w:r>
          <w:rPr>
            <w:rStyle w:val="971"/>
            <w:rFonts w:hint="eastAsia"/>
            <w:color w:val="auto"/>
            <w:sz w:val="30"/>
            <w:szCs w:val="30"/>
          </w:rPr>
          <w:t xml:space="preserve">17</w:t>
        </w:r>
        <w:r>
          <w:rPr>
            <w:sz w:val="30"/>
            <w:szCs w:val="30"/>
          </w:rPr>
        </w:r>
        <w:r>
          <w:rPr>
            <w:sz w:val="30"/>
            <w:szCs w:val="30"/>
          </w:rPr>
          <w:fldChar w:fldCharType="end"/>
        </w:r>
      </w:hyperlink>
      <w:r/>
      <w:r/>
    </w:p>
    <w:p>
      <w:pPr>
        <w:pStyle w:val="970"/>
        <w:spacing w:line="600" w:lineRule="exact"/>
        <w:tabs>
          <w:tab w:val="right" w:pos="9402" w:leader="dot"/>
        </w:tabs>
        <w:rPr>
          <w:b w:val="0"/>
          <w:bCs w:val="0"/>
          <w:caps w:val="0"/>
          <w:sz w:val="30"/>
          <w:szCs w:val="30"/>
        </w:rPr>
      </w:pPr>
      <w:r/>
      <w:hyperlink w:tooltip="#_Toc172537489" w:anchor="_Toc172537489" w:history="1">
        <w:r>
          <w:rPr>
            <w:rStyle w:val="971"/>
            <w:rFonts w:hint="eastAsia"/>
            <w:color w:val="auto"/>
            <w:sz w:val="30"/>
            <w:szCs w:val="30"/>
          </w:rPr>
          <w:t xml:space="preserve">第四章　评标方法和评标标准</w:t>
        </w:r>
        <w:r>
          <w:rPr>
            <w:sz w:val="30"/>
            <w:szCs w:val="30"/>
          </w:rPr>
          <w:tab/>
        </w:r>
        <w:r>
          <w:rPr>
            <w:sz w:val="30"/>
            <w:szCs w:val="30"/>
          </w:rPr>
          <w:fldChar w:fldCharType="begin"/>
        </w:r>
        <w:r>
          <w:rPr>
            <w:sz w:val="30"/>
            <w:szCs w:val="30"/>
          </w:rPr>
          <w:instrText xml:space="preserve"> PAGEREF _Toc172537489 \h </w:instrText>
        </w:r>
        <w:r>
          <w:rPr>
            <w:sz w:val="30"/>
            <w:szCs w:val="30"/>
          </w:rPr>
        </w:r>
        <w:r>
          <w:rPr>
            <w:sz w:val="30"/>
            <w:szCs w:val="30"/>
          </w:rPr>
          <w:fldChar w:fldCharType="separate"/>
        </w:r>
        <w:r>
          <w:rPr>
            <w:rStyle w:val="971"/>
            <w:rFonts w:hint="eastAsia"/>
            <w:color w:val="auto"/>
            <w:sz w:val="30"/>
            <w:szCs w:val="30"/>
          </w:rPr>
          <w:t xml:space="preserve">23</w:t>
        </w:r>
        <w:r>
          <w:rPr>
            <w:sz w:val="30"/>
            <w:szCs w:val="30"/>
          </w:rPr>
        </w:r>
        <w:r>
          <w:rPr>
            <w:sz w:val="30"/>
            <w:szCs w:val="30"/>
          </w:rPr>
          <w:fldChar w:fldCharType="end"/>
        </w:r>
      </w:hyperlink>
      <w:r/>
      <w:r/>
    </w:p>
    <w:p>
      <w:pPr>
        <w:pStyle w:val="970"/>
        <w:spacing w:line="600" w:lineRule="exact"/>
        <w:tabs>
          <w:tab w:val="right" w:pos="9402" w:leader="dot"/>
        </w:tabs>
        <w:rPr>
          <w:b w:val="0"/>
          <w:bCs w:val="0"/>
          <w:caps w:val="0"/>
          <w:sz w:val="30"/>
          <w:szCs w:val="30"/>
        </w:rPr>
      </w:pPr>
      <w:r/>
      <w:hyperlink w:tooltip="#_Toc172537490" w:anchor="_Toc172537490" w:history="1">
        <w:r>
          <w:rPr>
            <w:rStyle w:val="971"/>
            <w:rFonts w:hint="eastAsia"/>
            <w:color w:val="auto"/>
            <w:sz w:val="30"/>
            <w:szCs w:val="30"/>
          </w:rPr>
          <w:t xml:space="preserve">第五章　合同书（格式）</w:t>
        </w:r>
        <w:r>
          <w:rPr>
            <w:sz w:val="30"/>
            <w:szCs w:val="30"/>
          </w:rPr>
          <w:tab/>
        </w:r>
        <w:r>
          <w:rPr>
            <w:sz w:val="30"/>
            <w:szCs w:val="30"/>
          </w:rPr>
          <w:fldChar w:fldCharType="begin"/>
        </w:r>
        <w:r>
          <w:rPr>
            <w:sz w:val="30"/>
            <w:szCs w:val="30"/>
          </w:rPr>
          <w:instrText xml:space="preserve"> PAGEREF _Toc172537490 \h </w:instrText>
        </w:r>
        <w:r>
          <w:rPr>
            <w:sz w:val="30"/>
            <w:szCs w:val="30"/>
          </w:rPr>
        </w:r>
        <w:r>
          <w:rPr>
            <w:sz w:val="30"/>
            <w:szCs w:val="30"/>
          </w:rPr>
          <w:fldChar w:fldCharType="separate"/>
        </w:r>
        <w:r>
          <w:rPr>
            <w:rStyle w:val="971"/>
            <w:rFonts w:hint="eastAsia"/>
            <w:color w:val="auto"/>
            <w:sz w:val="30"/>
            <w:szCs w:val="30"/>
          </w:rPr>
          <w:t xml:space="preserve">24</w:t>
        </w:r>
        <w:r>
          <w:rPr>
            <w:sz w:val="30"/>
            <w:szCs w:val="30"/>
          </w:rPr>
        </w:r>
        <w:r>
          <w:rPr>
            <w:sz w:val="30"/>
            <w:szCs w:val="30"/>
          </w:rPr>
          <w:fldChar w:fldCharType="end"/>
        </w:r>
      </w:hyperlink>
      <w:r/>
      <w:r/>
    </w:p>
    <w:p>
      <w:pPr>
        <w:pStyle w:val="970"/>
        <w:spacing w:line="600" w:lineRule="exact"/>
        <w:tabs>
          <w:tab w:val="right" w:pos="9402" w:leader="dot"/>
        </w:tabs>
        <w:rPr>
          <w:b w:val="0"/>
          <w:bCs w:val="0"/>
          <w:caps w:val="0"/>
          <w:sz w:val="30"/>
          <w:szCs w:val="30"/>
        </w:rPr>
      </w:pPr>
      <w:r/>
      <w:hyperlink w:tooltip="#_Toc172537491" w:anchor="_Toc172537491" w:history="1">
        <w:r>
          <w:rPr>
            <w:rStyle w:val="971"/>
            <w:rFonts w:hint="eastAsia"/>
            <w:color w:val="auto"/>
            <w:sz w:val="30"/>
            <w:szCs w:val="30"/>
          </w:rPr>
          <w:t xml:space="preserve">第六章　投标文件的组成和格式</w:t>
        </w:r>
        <w:r>
          <w:rPr>
            <w:sz w:val="30"/>
            <w:szCs w:val="30"/>
          </w:rPr>
          <w:tab/>
        </w:r>
        <w:r>
          <w:rPr>
            <w:sz w:val="30"/>
            <w:szCs w:val="30"/>
          </w:rPr>
          <w:fldChar w:fldCharType="begin"/>
        </w:r>
        <w:r>
          <w:rPr>
            <w:sz w:val="30"/>
            <w:szCs w:val="30"/>
          </w:rPr>
          <w:instrText xml:space="preserve"> PAGEREF _Toc172537491 \h </w:instrText>
        </w:r>
        <w:r>
          <w:rPr>
            <w:sz w:val="30"/>
            <w:szCs w:val="30"/>
          </w:rPr>
        </w:r>
        <w:r>
          <w:rPr>
            <w:sz w:val="30"/>
            <w:szCs w:val="30"/>
          </w:rPr>
          <w:fldChar w:fldCharType="separate"/>
        </w:r>
        <w:r>
          <w:rPr>
            <w:rStyle w:val="971"/>
            <w:rFonts w:hint="eastAsia"/>
            <w:color w:val="auto"/>
            <w:sz w:val="30"/>
            <w:szCs w:val="30"/>
          </w:rPr>
          <w:t xml:space="preserve">29</w:t>
        </w:r>
        <w:r>
          <w:rPr>
            <w:sz w:val="30"/>
            <w:szCs w:val="30"/>
          </w:rPr>
        </w:r>
        <w:r>
          <w:rPr>
            <w:sz w:val="30"/>
            <w:szCs w:val="30"/>
          </w:rPr>
          <w:fldChar w:fldCharType="end"/>
        </w:r>
      </w:hyperlink>
      <w:r/>
      <w:r/>
    </w:p>
    <w:p>
      <w:pPr>
        <w:pStyle w:val="968"/>
        <w:spacing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155"/>
      <w:r/>
      <w:bookmarkStart w:id="5" w:name="_Toc166593357"/>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968"/>
      </w:pPr>
      <w:r/>
      <w:r/>
    </w:p>
    <w:p>
      <w:pPr>
        <w:pStyle w:val="968"/>
      </w:pPr>
      <w:r/>
      <w:bookmarkStart w:id="6" w:name="_Toc172537486"/>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彩色多普勒便携式心脏超声诊断</w:t>
      </w:r>
      <w:r>
        <w:rPr>
          <w:rFonts w:hint="eastAsia" w:ascii="宋体" w:hAnsi="宋体" w:eastAsia="宋体" w:cs="Times New Roman"/>
          <w:sz w:val="24"/>
          <w:szCs w:val="24"/>
        </w:rPr>
        <w:t xml:space="preserve">仪项目</w:t>
      </w:r>
      <w:r>
        <w:rPr>
          <w:rFonts w:ascii="宋体" w:hAnsi="宋体" w:eastAsia="宋体" w:cs="Times New Roman"/>
          <w:bCs/>
          <w:sz w:val="24"/>
          <w:szCs w:val="24"/>
        </w:rPr>
        <w:t xml:space="preserve">JSZC-320281-JZCG-G2025-0028</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w:t>
      </w:r>
      <w:r>
        <w:rPr>
          <w:rFonts w:hint="eastAsia" w:ascii="宋体" w:hAnsi="宋体" w:eastAsia="宋体" w:cs="Times New Roman"/>
          <w:sz w:val="24"/>
          <w:szCs w:val="24"/>
        </w:rPr>
        <w:t xml:space="preserve">17</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JSZC-320281-JZCG-G2025-0028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彩色多普勒便携式心脏超声诊断仪项目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60</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60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江阴市中医外科医院的</w:t>
      </w:r>
      <w:r>
        <w:rPr>
          <w:rFonts w:hint="eastAsia" w:ascii="宋体" w:hAnsi="宋体" w:eastAsia="宋体" w:cs="Times New Roman"/>
          <w:sz w:val="24"/>
          <w:szCs w:val="24"/>
        </w:rPr>
        <w:t xml:space="preserve">彩色多普勒便携式心脏超声诊断仪项目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请有投标意向的供应商在招标文件有效获取期内及时登录江苏省政府采购（苏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）平台下载获取。在招标文件有效获取期限内，从江苏省政府采购（苏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）平台获取的招标文件，视为依法获取的招标文件。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-17</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江阴市中医外科医院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江阴市水南路1号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eastAsia="宋体" w:cs="Times New Roman"/>
          <w:sz w:val="24"/>
          <w:szCs w:val="24"/>
        </w:rPr>
        <w:t xml:space="preserve">陈先生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w:t>
      </w:r>
      <w:r>
        <w:rPr>
          <w:rFonts w:hint="eastAsia" w:ascii="宋体" w:hAnsi="宋体" w:eastAsia="宋体" w:cs="Times New Roman"/>
          <w:sz w:val="24"/>
          <w:szCs w:val="24"/>
        </w:rPr>
        <w:t xml:space="preserve">18961615220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68"/>
      </w:pPr>
      <w:r/>
      <w:r/>
    </w:p>
    <w:p>
      <w:pPr>
        <w:pStyle w:val="968"/>
      </w:pPr>
      <w:r/>
      <w:bookmarkStart w:id="9" w:name="_Toc172537487"/>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项目实施方案及需要说明的其他内容；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（8）</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Cs/>
          <w:sz w:val="24"/>
          <w:szCs w:val="28"/>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文件4：</w:t>
      </w:r>
      <w:r>
        <w:rPr>
          <w:rFonts w:hint="eastAsia" w:ascii="宋体" w:hAnsi="宋体"/>
          <w:b/>
          <w:bCs/>
          <w:sz w:val="24"/>
        </w:rPr>
        <w:t xml:space="preserve">投标人投标产品的制造商如为中小</w:t>
      </w:r>
      <w:r>
        <w:rPr>
          <w:rFonts w:hint="eastAsia" w:ascii="宋体" w:hAnsi="宋体"/>
          <w:b/>
          <w:bCs/>
          <w:sz w:val="24"/>
        </w:rPr>
        <w:t xml:space="preserve">微企业</w:t>
      </w:r>
      <w:r>
        <w:rPr>
          <w:rFonts w:hint="eastAsia" w:ascii="宋体" w:hAnsi="宋体"/>
          <w:b/>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（9）投标人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8、本项目采用远程异地评审。</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第一中标候选单位。采购中心将评选结果通知所有参加评标的未中标单位，并宣布中标单位。如有质疑，按《中华人民共和国政府采购法》、《</w:t>
      </w:r>
      <w:r>
        <w:rPr>
          <w:rFonts w:ascii="宋体" w:hAnsi="宋体" w:eastAsia="宋体" w:cs="Times New Roman"/>
          <w:sz w:val="24"/>
          <w:szCs w:val="24"/>
        </w:rPr>
        <w:t xml:space="preserve">中华人民共和国政府采购法实施条例</w:t>
      </w:r>
      <w:r>
        <w:rPr>
          <w:rFonts w:hint="eastAsia" w:ascii="宋体" w:hAnsi="宋体" w:eastAsia="宋体" w:cs="Times New Roman"/>
          <w:sz w:val="24"/>
          <w:szCs w:val="24"/>
        </w:rPr>
        <w:t xml:space="preserve">》、财政部《政府采购货物和服务招标投标管理办法》有关规定处理。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采购人收件人：陈先生  收件地址：江阴市城东街道水南路1号  收件电话：18961615220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w:t>
      </w:r>
      <w:r>
        <w:rPr>
          <w:rFonts w:hint="eastAsia" w:ascii="宋体" w:hAnsi="宋体" w:eastAsia="宋体" w:cs="Times New Roman"/>
          <w:sz w:val="24"/>
          <w:szCs w:val="24"/>
        </w:rPr>
        <w:t xml:space="preserve">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2、签订合同时，中标方须向采购人提供1份与网上投标文件一致的纸制打印投标文件。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、履约保证金的收取：合同签署前，中标方向采购单位缴纳履约保证金。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w:t>
      </w:r>
      <w:r>
        <w:rPr>
          <w:rFonts w:hint="eastAsia" w:ascii="宋体" w:hAnsi="宋体" w:eastAsia="宋体" w:cs="Times New Roman"/>
          <w:sz w:val="24"/>
          <w:szCs w:val="24"/>
        </w:rPr>
        <w:t xml:space="preserve">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w:t>
      </w:r>
      <w:r>
        <w:rPr>
          <w:rFonts w:hint="eastAsia" w:ascii="宋体" w:hAnsi="宋体" w:eastAsia="宋体" w:cs="Times New Roman"/>
          <w:sz w:val="24"/>
          <w:szCs w:val="24"/>
        </w:rPr>
        <w:t xml:space="preserve">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68"/>
        <w:sectPr>
          <w:footnotePr/>
          <w:endnotePr/>
          <w:type w:val="nextPage"/>
          <w:pgSz w:w="11906" w:h="16838" w:orient="portrait"/>
          <w:pgMar w:top="1247" w:right="1247" w:bottom="1247" w:left="1247" w:header="680" w:footer="992" w:gutter="0"/>
          <w:cols w:num="1" w:sep="0" w:space="720" w:equalWidth="1"/>
          <w:docGrid w:linePitch="360"/>
        </w:sectPr>
      </w:pPr>
      <w:r/>
      <w:r/>
    </w:p>
    <w:p>
      <w:pPr>
        <w:pStyle w:val="968"/>
      </w:pPr>
      <w:r/>
      <w:bookmarkStart w:id="10" w:name="_Toc172537488"/>
      <w:r/>
      <w:r/>
    </w:p>
    <w:p>
      <w:pPr>
        <w:pStyle w:val="968"/>
        <w:rPr>
          <w:rFonts w:ascii="楷体_GB2312" w:hAnsi="Times New Roman" w:eastAsia="楷体_GB2312"/>
          <w:b/>
          <w:sz w:val="28"/>
          <w:szCs w:val="28"/>
        </w:rPr>
      </w:pPr>
      <w:r>
        <w:rPr>
          <w:rFonts w:hint="eastAsia"/>
        </w:rPr>
        <w:t xml:space="preserve">第三章　项目要求和有关说明</w:t>
      </w:r>
      <w:bookmarkEnd w:id="10"/>
      <w:r/>
      <w:r/>
    </w:p>
    <w:p>
      <w:pPr>
        <w:ind w:firstLine="482"/>
        <w:jc w:val="center"/>
        <w:spacing w:line="400" w:lineRule="exact"/>
        <w:widowControl/>
        <w:rPr>
          <w:rFonts w:ascii="宋体" w:hAnsi="宋体" w:eastAsia="宋体" w:cs="宋体"/>
          <w:b/>
          <w:sz w:val="24"/>
        </w:rPr>
      </w:pPr>
      <w:r>
        <w:rPr>
          <w:rFonts w:hint="eastAsia" w:ascii="宋体" w:hAnsi="宋体" w:eastAsia="宋体" w:cs="宋体"/>
          <w:b/>
          <w:bCs/>
          <w:sz w:val="24"/>
          <w:szCs w:val="24"/>
        </w:rPr>
        <w:t xml:space="preserve">（以下除“三、详细</w:t>
      </w:r>
      <w:r>
        <w:rPr>
          <w:rFonts w:hint="eastAsia" w:ascii="宋体" w:hAnsi="宋体" w:eastAsia="宋体" w:cs="宋体"/>
          <w:b/>
          <w:bCs/>
          <w:sz w:val="24"/>
          <w:szCs w:val="24"/>
        </w:rPr>
        <w:t xml:space="preserve">技术参数要求”中的非打“★”项，其余均为实质性要求）</w:t>
      </w:r>
      <w:r/>
    </w:p>
    <w:p>
      <w:pPr>
        <w:jc w:val="center"/>
        <w:spacing w:line="400" w:lineRule="exact"/>
        <w:rPr>
          <w:rFonts w:ascii="黑体" w:hAnsi="黑体" w:eastAsia="黑体" w:cs="黑体"/>
          <w:b/>
          <w:sz w:val="28"/>
          <w:szCs w:val="28"/>
        </w:rPr>
      </w:pPr>
      <w:r>
        <w:rPr>
          <w:rFonts w:ascii="黑体" w:hAnsi="黑体" w:eastAsia="黑体" w:cs="黑体"/>
          <w:b/>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一、项目概述：</w:t>
      </w:r>
      <w:r/>
    </w:p>
    <w:p>
      <w:pPr>
        <w:ind w:firstLine="480"/>
        <w:spacing w:line="400" w:lineRule="exact"/>
        <w:rPr>
          <w:rFonts w:ascii="宋体" w:hAnsi="宋体"/>
          <w:bCs/>
          <w:sz w:val="24"/>
        </w:rPr>
      </w:pPr>
      <w:r>
        <w:rPr>
          <w:rFonts w:hint="eastAsia" w:ascii="宋体" w:hAnsi="宋体"/>
          <w:bCs/>
          <w:sz w:val="24"/>
        </w:rPr>
        <w:t xml:space="preserve">本项目为江阴市中医外科医院的彩色多普勒便携式心脏超声诊断仪项目，最高限价60万元。</w:t>
      </w:r>
      <w:r/>
    </w:p>
    <w:p>
      <w:pPr>
        <w:ind w:firstLine="480"/>
        <w:spacing w:line="400" w:lineRule="exact"/>
        <w:rPr>
          <w:rFonts w:ascii="宋体" w:hAnsi="宋体"/>
          <w:bCs/>
          <w:sz w:val="24"/>
        </w:rPr>
      </w:pPr>
      <w:r>
        <w:rPr>
          <w:rFonts w:hint="eastAsia" w:ascii="宋体" w:hAnsi="宋体"/>
          <w:bCs/>
          <w:sz w:val="24"/>
        </w:rPr>
        <w:t xml:space="preserve">设备用途：腹部、心脏、妇产科、泌尿科、肌骨、新生儿、 术中、介入、血管、浅表组织与小器官等超声诊断。</w:t>
      </w:r>
      <w:r/>
    </w:p>
    <w:p>
      <w:pPr>
        <w:ind w:firstLine="482"/>
        <w:spacing w:line="400" w:lineRule="exact"/>
        <w:rPr>
          <w:rFonts w:ascii="宋体" w:hAnsi="宋体"/>
          <w:b/>
          <w:sz w:val="24"/>
        </w:rPr>
      </w:pPr>
      <w:r>
        <w:rPr>
          <w:rFonts w:hint="eastAsia" w:ascii="宋体" w:hAnsi="宋体"/>
          <w:b/>
          <w:sz w:val="24"/>
        </w:rPr>
        <w:t xml:space="preserve">本项目标的所属行业：工业。</w:t>
      </w:r>
      <w:r/>
    </w:p>
    <w:p>
      <w:pPr>
        <w:ind w:firstLine="482"/>
        <w:spacing w:line="400" w:lineRule="exact"/>
        <w:rPr>
          <w:rFonts w:ascii="宋体" w:hAnsi="宋体"/>
          <w:b/>
          <w:sz w:val="24"/>
        </w:rPr>
      </w:pPr>
      <w:r>
        <w:rPr>
          <w:rFonts w:ascii="宋体" w:hAnsi="宋体"/>
          <w:b/>
          <w:sz w:val="24"/>
        </w:rPr>
      </w:r>
      <w:r/>
    </w:p>
    <w:p>
      <w:pPr>
        <w:jc w:val="left"/>
        <w:spacing w:line="400" w:lineRule="exact"/>
        <w:rPr>
          <w:rFonts w:ascii="黑体" w:hAnsi="黑体" w:eastAsia="黑体" w:cs="宋体"/>
          <w:sz w:val="28"/>
          <w:szCs w:val="28"/>
        </w:rPr>
      </w:pPr>
      <w:r>
        <w:rPr>
          <w:rFonts w:hint="eastAsia" w:ascii="黑体" w:hAnsi="黑体" w:eastAsia="黑体"/>
          <w:sz w:val="28"/>
          <w:szCs w:val="28"/>
        </w:rPr>
        <w:t xml:space="preserve">二、项目采购清单：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2813"/>
        <w:gridCol w:w="917"/>
        <w:gridCol w:w="4983"/>
      </w:tblGrid>
      <w:tr>
        <w:trPr>
          <w:jc w:val="center"/>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名称</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数量</w:t>
            </w:r>
            <w:r/>
          </w:p>
        </w:tc>
        <w:tc>
          <w:tcPr>
            <w:tcBorders>
              <w:top w:val="single" w:color="000000" w:sz="4" w:space="0"/>
              <w:left w:val="single" w:color="000000" w:sz="4" w:space="0"/>
              <w:bottom w:val="single" w:color="000000" w:sz="4" w:space="0"/>
              <w:right w:val="single" w:color="000000" w:sz="4" w:space="0"/>
            </w:tcBorders>
            <w:tcW w:w="2588" w:type="pct"/>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400" w:lineRule="exact"/>
              <w:rPr>
                <w:rFonts w:ascii="宋体" w:hAnsi="宋体"/>
                <w:bCs/>
                <w:sz w:val="24"/>
                <w:szCs w:val="24"/>
              </w:rPr>
            </w:pPr>
            <w:r>
              <w:rPr>
                <w:rFonts w:hint="eastAsia" w:ascii="宋体" w:hAnsi="宋体"/>
                <w:bCs/>
                <w:sz w:val="24"/>
              </w:rPr>
              <w:t xml:space="preserve">1</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彩色多普勒便携式心脏超声诊断仪</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1套</w:t>
            </w:r>
            <w:r/>
          </w:p>
        </w:tc>
        <w:tc>
          <w:tcPr>
            <w:tcBorders>
              <w:top w:val="single" w:color="000000" w:sz="4" w:space="0"/>
              <w:left w:val="single" w:color="000000" w:sz="4" w:space="0"/>
              <w:bottom w:val="single" w:color="000000" w:sz="4" w:space="0"/>
              <w:right w:val="single" w:color="000000" w:sz="4" w:space="0"/>
            </w:tcBorders>
            <w:tcW w:w="2588" w:type="pct"/>
            <w:vAlign w:val="center"/>
            <w:textDirection w:val="lrTb"/>
            <w:noWrap w:val="false"/>
          </w:tcPr>
          <w:p>
            <w:pPr>
              <w:jc w:val="left"/>
              <w:spacing w:line="400" w:lineRule="exact"/>
              <w:rPr>
                <w:rFonts w:ascii="宋体" w:hAnsi="宋体"/>
                <w:sz w:val="24"/>
              </w:rPr>
            </w:pPr>
            <w:r>
              <w:rPr>
                <w:rFonts w:hint="eastAsia" w:ascii="宋体" w:hAnsi="宋体"/>
                <w:sz w:val="24"/>
              </w:rPr>
              <w:t xml:space="preserve">主要包含超声主机一台，腹部</w:t>
            </w:r>
            <w:r>
              <w:rPr>
                <w:rFonts w:hint="eastAsia" w:ascii="宋体" w:hAnsi="宋体"/>
                <w:sz w:val="24"/>
              </w:rPr>
              <w:t xml:space="preserve">凸</w:t>
            </w:r>
            <w:r>
              <w:rPr>
                <w:rFonts w:hint="eastAsia" w:ascii="宋体" w:hAnsi="宋体"/>
                <w:sz w:val="24"/>
              </w:rPr>
              <w:t xml:space="preserve">阵探头一把，小器官线阵探头一把，心脏相控阵探头一把等</w:t>
            </w:r>
            <w:r/>
          </w:p>
        </w:tc>
      </w:tr>
    </w:tbl>
    <w:p>
      <w:pPr>
        <w:spacing w:line="400" w:lineRule="exact"/>
        <w:rPr>
          <w:rFonts w:ascii="宋体" w:hAnsi="宋体" w:eastAsia="宋体" w:cs="宋体-PUA"/>
          <w:b/>
          <w:sz w:val="24"/>
          <w:szCs w:val="24"/>
        </w:rPr>
      </w:pPr>
      <w:r>
        <w:rPr>
          <w:rFonts w:ascii="宋体" w:hAnsi="宋体" w:eastAsia="宋体" w:cs="宋体-PUA"/>
          <w:b/>
          <w:sz w:val="24"/>
          <w:szCs w:val="24"/>
        </w:rPr>
      </w:r>
      <w:r/>
    </w:p>
    <w:p>
      <w:pPr>
        <w:jc w:val="left"/>
        <w:spacing w:line="400" w:lineRule="exact"/>
        <w:rPr>
          <w:rFonts w:ascii="黑体" w:hAnsi="黑体" w:eastAsia="黑体" w:cs="Times New Roman"/>
          <w:sz w:val="28"/>
          <w:szCs w:val="28"/>
        </w:rPr>
      </w:pPr>
      <w:r>
        <w:rPr>
          <w:rFonts w:hint="eastAsia" w:ascii="黑体" w:hAnsi="黑体" w:eastAsia="黑体"/>
          <w:sz w:val="28"/>
          <w:szCs w:val="28"/>
        </w:rPr>
        <w:t xml:space="preserve">三、详细技术参数要求：</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ab/>
        <w:t xml:space="preserve">笔记本式彩色多普勒超声波诊断仪包括</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ab/>
        <w:t xml:space="preserve">≥15英寸高清晰度彩色液晶显示器</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tab/>
        <w:t xml:space="preserve">数字化</w:t>
      </w:r>
      <w:r>
        <w:rPr>
          <w:rFonts w:hint="eastAsia" w:ascii="宋体" w:hAnsi="宋体" w:eastAsia="宋体" w:cs="宋体"/>
          <w:sz w:val="24"/>
          <w:szCs w:val="24"/>
        </w:rPr>
        <w:t xml:space="preserve">二维灰阶</w:t>
      </w:r>
      <w:r>
        <w:rPr>
          <w:rFonts w:hint="eastAsia" w:ascii="宋体" w:hAnsi="宋体" w:eastAsia="宋体" w:cs="宋体"/>
          <w:sz w:val="24"/>
          <w:szCs w:val="24"/>
        </w:rPr>
        <w:t xml:space="preserve">成像单元</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tab/>
        <w:t xml:space="preserve">数字化彩色及能量多普勒单元</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tab/>
        <w:t xml:space="preserve">数字化频谱多普勒显示和分析单元</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tab/>
        <w:t xml:space="preserve">数字化波束形成器</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tab/>
        <w:t xml:space="preserve">多角度空间复合成像技术</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tab/>
        <w:t xml:space="preserve">智能化斑点噪声抑制技术</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tab/>
        <w:t xml:space="preserve">自动优化功能</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sz w:val="24"/>
          <w:szCs w:val="24"/>
        </w:rPr>
        <w:tab/>
        <w:t xml:space="preserve">二维图像自动优化</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1.8.2</w:t>
      </w:r>
      <w:r>
        <w:rPr>
          <w:rFonts w:hint="eastAsia" w:ascii="宋体" w:hAnsi="宋体" w:eastAsia="宋体" w:cs="宋体"/>
          <w:sz w:val="24"/>
          <w:szCs w:val="24"/>
        </w:rPr>
        <w:tab/>
        <w:t xml:space="preserve">多普勒图像自动优化</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sz w:val="24"/>
          <w:szCs w:val="24"/>
        </w:rPr>
        <w:tab/>
        <w:t xml:space="preserve">彩色血流自动优化</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tab/>
      </w:r>
      <w:r>
        <w:rPr>
          <w:rFonts w:hint="eastAsia" w:ascii="宋体" w:hAnsi="宋体" w:eastAsia="宋体" w:cs="宋体"/>
          <w:sz w:val="24"/>
          <w:szCs w:val="24"/>
        </w:rPr>
        <w:t xml:space="preserve">实时宽景成像</w:t>
      </w:r>
      <w:r>
        <w:rPr>
          <w:rFonts w:hint="eastAsia" w:ascii="宋体" w:hAnsi="宋体" w:eastAsia="宋体" w:cs="宋体"/>
          <w:sz w:val="24"/>
          <w:szCs w:val="24"/>
        </w:rPr>
        <w:t xml:space="preserve">技术</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1.10</w:t>
      </w:r>
      <w:r>
        <w:rPr>
          <w:rFonts w:hint="eastAsia" w:ascii="宋体" w:hAnsi="宋体" w:eastAsia="宋体" w:cs="宋体"/>
          <w:sz w:val="24"/>
          <w:szCs w:val="24"/>
        </w:rPr>
        <w:tab/>
        <w:t xml:space="preserve">实时同屏教学软件</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1.11</w:t>
      </w:r>
      <w:r>
        <w:rPr>
          <w:rFonts w:hint="eastAsia" w:ascii="宋体" w:hAnsi="宋体" w:eastAsia="宋体" w:cs="宋体"/>
          <w:sz w:val="24"/>
          <w:szCs w:val="24"/>
        </w:rPr>
        <w:tab/>
        <w:t xml:space="preserve">智能追踪技术（实时</w:t>
      </w:r>
      <w:r>
        <w:rPr>
          <w:rFonts w:hint="eastAsia" w:ascii="宋体" w:hAnsi="宋体" w:eastAsia="宋体" w:cs="宋体"/>
          <w:sz w:val="24"/>
          <w:szCs w:val="24"/>
        </w:rPr>
        <w:t xml:space="preserve">扫查快速</w:t>
      </w:r>
      <w:r>
        <w:rPr>
          <w:rFonts w:hint="eastAsia" w:ascii="宋体" w:hAnsi="宋体" w:eastAsia="宋体" w:cs="宋体"/>
          <w:sz w:val="24"/>
          <w:szCs w:val="24"/>
        </w:rPr>
        <w:t xml:space="preserve">重现存储图像全部扫描参数）</w:t>
      </w:r>
      <w:r/>
    </w:p>
    <w:p>
      <w:pPr>
        <w:ind w:firstLine="24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★1.12</w:t>
      </w:r>
      <w:r>
        <w:rPr>
          <w:rFonts w:hint="eastAsia" w:ascii="宋体" w:hAnsi="宋体" w:eastAsia="宋体" w:cs="宋体"/>
          <w:sz w:val="24"/>
          <w:szCs w:val="24"/>
        </w:rPr>
        <w:tab/>
        <w:t xml:space="preserve">二</w:t>
      </w:r>
      <w:r>
        <w:rPr>
          <w:rFonts w:hint="eastAsia" w:ascii="宋体" w:hAnsi="宋体" w:eastAsia="宋体" w:cs="宋体"/>
          <w:sz w:val="24"/>
          <w:szCs w:val="24"/>
        </w:rPr>
        <w:t xml:space="preserve">维灰阶血</w:t>
      </w:r>
      <w:r>
        <w:rPr>
          <w:rFonts w:hint="eastAsia" w:ascii="宋体" w:hAnsi="宋体" w:eastAsia="宋体" w:cs="宋体"/>
          <w:sz w:val="24"/>
          <w:szCs w:val="24"/>
        </w:rPr>
        <w:t xml:space="preserve">流成像技术【非多普勒原理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无取样框</w:t>
      </w:r>
      <w:r>
        <w:rPr>
          <w:rFonts w:hint="eastAsia" w:ascii="宋体" w:hAnsi="宋体" w:eastAsia="宋体" w:cs="宋体"/>
          <w:b/>
          <w:sz w:val="24"/>
          <w:szCs w:val="24"/>
          <w:u w:val="single"/>
        </w:rPr>
        <w:t xml:space="preserve">（需提供相关佐证材料）</w:t>
      </w:r>
      <w:r>
        <w:rPr>
          <w:rFonts w:hint="eastAsia" w:ascii="宋体" w:hAnsi="宋体" w:eastAsia="宋体" w:cs="宋体"/>
          <w:sz w:val="24"/>
          <w:szCs w:val="24"/>
        </w:rPr>
        <w:t xml:space="preserve">，无角度依赖，无血流外溢，不影响帧频】</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1.13</w:t>
      </w:r>
      <w:r>
        <w:rPr>
          <w:rFonts w:hint="eastAsia" w:ascii="宋体" w:hAnsi="宋体" w:eastAsia="宋体" w:cs="宋体"/>
          <w:sz w:val="24"/>
          <w:szCs w:val="24"/>
        </w:rPr>
        <w:tab/>
        <w:t xml:space="preserve">高灵敏度能量多普勒（慢速及细微血流能量多普勒成像模式）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1.14</w:t>
      </w:r>
      <w:r>
        <w:rPr>
          <w:rFonts w:hint="eastAsia" w:ascii="宋体" w:hAnsi="宋体" w:eastAsia="宋体" w:cs="宋体"/>
          <w:sz w:val="24"/>
          <w:szCs w:val="24"/>
        </w:rPr>
        <w:tab/>
        <w:t xml:space="preserve">自适应彩色增强技术(可自动滤除运动伪影)</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1.15</w:t>
      </w:r>
      <w:r>
        <w:rPr>
          <w:rFonts w:hint="eastAsia" w:ascii="宋体" w:hAnsi="宋体" w:eastAsia="宋体" w:cs="宋体"/>
          <w:sz w:val="24"/>
          <w:szCs w:val="24"/>
        </w:rPr>
        <w:tab/>
        <w:t xml:space="preserve">编码脉冲反相二次谐波成像（可用于所有探头）</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1.16</w:t>
      </w:r>
      <w:r>
        <w:rPr>
          <w:rFonts w:hint="eastAsia" w:ascii="宋体" w:hAnsi="宋体" w:eastAsia="宋体" w:cs="宋体"/>
          <w:sz w:val="24"/>
          <w:szCs w:val="24"/>
        </w:rPr>
        <w:tab/>
        <w:t xml:space="preserve">原始数据处理能力（可对已存储的图像进行增益、动态范围、多普勒基线、多普勒角度、扫描速度、自动优化等调节以及测量和分析）</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1.17</w:t>
      </w:r>
      <w:r>
        <w:rPr>
          <w:rFonts w:hint="eastAsia" w:ascii="宋体" w:hAnsi="宋体" w:eastAsia="宋体" w:cs="宋体"/>
          <w:sz w:val="24"/>
          <w:szCs w:val="24"/>
        </w:rPr>
        <w:tab/>
        <w:t xml:space="preserve">主机上实现实时及脱机状态M型扫描线可以以任意点为轴心360°旋转</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1.18</w:t>
      </w:r>
      <w:r>
        <w:rPr>
          <w:rFonts w:hint="eastAsia" w:ascii="宋体" w:hAnsi="宋体" w:eastAsia="宋体" w:cs="宋体"/>
          <w:sz w:val="24"/>
          <w:szCs w:val="24"/>
        </w:rPr>
        <w:tab/>
        <w:t xml:space="preserve">整机重量≤5.2公斤</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1.19</w:t>
      </w:r>
      <w:r>
        <w:rPr>
          <w:rFonts w:hint="eastAsia" w:ascii="宋体" w:hAnsi="宋体" w:eastAsia="宋体" w:cs="宋体"/>
          <w:sz w:val="24"/>
          <w:szCs w:val="24"/>
        </w:rPr>
        <w:tab/>
        <w:t xml:space="preserve">数字化通道≥1024通道</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1.20</w:t>
      </w:r>
      <w:r>
        <w:rPr>
          <w:rFonts w:hint="eastAsia" w:ascii="宋体" w:hAnsi="宋体" w:eastAsia="宋体" w:cs="宋体"/>
          <w:sz w:val="24"/>
          <w:szCs w:val="24"/>
        </w:rPr>
        <w:tab/>
        <w:t xml:space="preserve">可视可调系统动态范围≥96db</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1.21</w:t>
      </w:r>
      <w:r>
        <w:rPr>
          <w:rFonts w:hint="eastAsia" w:ascii="宋体" w:hAnsi="宋体" w:eastAsia="宋体" w:cs="宋体"/>
          <w:sz w:val="24"/>
          <w:szCs w:val="24"/>
        </w:rPr>
        <w:tab/>
        <w:t xml:space="preserve">超声系统最大探查深度≥33CM</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sz w:val="24"/>
          <w:szCs w:val="24"/>
        </w:rPr>
        <w:tab/>
        <w:t xml:space="preserve">实时三同步成像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1.23</w:t>
      </w:r>
      <w:r>
        <w:rPr>
          <w:rFonts w:hint="eastAsia" w:ascii="宋体" w:hAnsi="宋体" w:eastAsia="宋体" w:cs="宋体"/>
          <w:sz w:val="24"/>
          <w:szCs w:val="24"/>
        </w:rPr>
        <w:tab/>
        <w:t xml:space="preserve">方向性能量图（DCA）</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rPr>
        <w:tab/>
        <w:t xml:space="preserve">线阵探头</w:t>
      </w:r>
      <w:r>
        <w:rPr>
          <w:rFonts w:hint="eastAsia" w:ascii="宋体" w:hAnsi="宋体" w:eastAsia="宋体" w:cs="宋体"/>
          <w:sz w:val="24"/>
          <w:szCs w:val="24"/>
        </w:rPr>
        <w:t xml:space="preserve">凸</w:t>
      </w:r>
      <w:r>
        <w:rPr>
          <w:rFonts w:hint="eastAsia" w:ascii="宋体" w:hAnsi="宋体" w:eastAsia="宋体" w:cs="宋体"/>
          <w:sz w:val="24"/>
          <w:szCs w:val="24"/>
        </w:rPr>
        <w:t xml:space="preserve">型扩展技术</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1.25</w:t>
      </w:r>
      <w:r>
        <w:rPr>
          <w:rFonts w:hint="eastAsia" w:ascii="宋体" w:hAnsi="宋体" w:eastAsia="宋体" w:cs="宋体"/>
          <w:sz w:val="24"/>
          <w:szCs w:val="24"/>
        </w:rPr>
        <w:tab/>
        <w:t xml:space="preserve">负荷超声</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1.26</w:t>
      </w:r>
      <w:r>
        <w:rPr>
          <w:rFonts w:hint="eastAsia" w:ascii="宋体" w:hAnsi="宋体" w:eastAsia="宋体" w:cs="宋体"/>
          <w:sz w:val="24"/>
          <w:szCs w:val="24"/>
        </w:rPr>
        <w:tab/>
        <w:t xml:space="preserve">穿刺针增强显影技术，穿刺针增益可实时调节</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1.27</w:t>
      </w:r>
      <w:r>
        <w:rPr>
          <w:rFonts w:hint="eastAsia" w:ascii="宋体" w:hAnsi="宋体" w:eastAsia="宋体" w:cs="宋体"/>
          <w:sz w:val="24"/>
          <w:szCs w:val="24"/>
        </w:rPr>
        <w:tab/>
        <w:t xml:space="preserve">AUTOIMT颈动脉中内膜测量技术</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1.28</w:t>
      </w:r>
      <w:r>
        <w:rPr>
          <w:rFonts w:hint="eastAsia" w:ascii="宋体" w:hAnsi="宋体" w:eastAsia="宋体" w:cs="宋体"/>
          <w:sz w:val="24"/>
          <w:szCs w:val="24"/>
        </w:rPr>
        <w:tab/>
        <w:t xml:space="preserve">轨迹球操作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1.29</w:t>
      </w:r>
      <w:r>
        <w:rPr>
          <w:rFonts w:hint="eastAsia" w:ascii="宋体" w:hAnsi="宋体" w:eastAsia="宋体" w:cs="宋体"/>
          <w:sz w:val="24"/>
          <w:szCs w:val="24"/>
        </w:rPr>
        <w:tab/>
        <w:t xml:space="preserve">中文操作界面,中文输入（包括报告、注释等）</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1.30</w:t>
      </w:r>
      <w:r>
        <w:rPr>
          <w:rFonts w:hint="eastAsia" w:ascii="宋体" w:hAnsi="宋体" w:eastAsia="宋体" w:cs="宋体"/>
          <w:sz w:val="24"/>
          <w:szCs w:val="24"/>
        </w:rPr>
        <w:tab/>
        <w:t xml:space="preserve">内置锂电池操作（断电条件下工作时间≥0.5小时）</w:t>
      </w:r>
      <w:r/>
    </w:p>
    <w:p>
      <w:pPr>
        <w:ind w:firstLine="24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★1.31</w:t>
      </w:r>
      <w:r>
        <w:rPr>
          <w:rFonts w:hint="eastAsia" w:ascii="宋体" w:hAnsi="宋体" w:eastAsia="宋体" w:cs="宋体"/>
          <w:sz w:val="24"/>
          <w:szCs w:val="24"/>
        </w:rPr>
        <w:tab/>
      </w:r>
      <w:r>
        <w:rPr>
          <w:rFonts w:hint="eastAsia" w:ascii="宋体" w:hAnsi="宋体" w:eastAsia="宋体" w:cs="宋体"/>
          <w:sz w:val="24"/>
          <w:szCs w:val="24"/>
          <w:u w:val="single"/>
        </w:rPr>
        <w:t xml:space="preserve">支持造影成像技术及弹性成像技术</w:t>
      </w:r>
      <w:r>
        <w:rPr>
          <w:rFonts w:hint="eastAsia" w:ascii="宋体" w:hAnsi="宋体" w:eastAsia="宋体" w:cs="宋体"/>
          <w:b/>
          <w:sz w:val="24"/>
          <w:szCs w:val="24"/>
          <w:u w:val="single"/>
        </w:rPr>
        <w:t xml:space="preserve">（需提供相关佐证材料）</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ab/>
        <w:t xml:space="preserve">测量和分析：(B型、M型、彩色M型、频谱多普勒、彩色模式)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ab/>
        <w:t xml:space="preserve">一般测量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ab/>
        <w:t xml:space="preserve">妇产科测量（包括孕期、预产期、</w:t>
      </w:r>
      <w:r>
        <w:rPr>
          <w:rFonts w:hint="eastAsia" w:ascii="宋体" w:hAnsi="宋体" w:eastAsia="宋体" w:cs="宋体"/>
          <w:sz w:val="24"/>
          <w:szCs w:val="24"/>
        </w:rPr>
        <w:t xml:space="preserve">胎重的</w:t>
      </w:r>
      <w:r>
        <w:rPr>
          <w:rFonts w:hint="eastAsia" w:ascii="宋体" w:hAnsi="宋体" w:eastAsia="宋体" w:cs="宋体"/>
          <w:sz w:val="24"/>
          <w:szCs w:val="24"/>
        </w:rPr>
        <w:t xml:space="preserve">分析及显示，胎儿生长曲线（</w:t>
      </w:r>
      <w:r>
        <w:rPr>
          <w:rFonts w:hint="eastAsia" w:ascii="宋体" w:hAnsi="宋体" w:eastAsia="宋体" w:cs="宋体"/>
          <w:sz w:val="24"/>
          <w:szCs w:val="24"/>
        </w:rPr>
        <w:t xml:space="preserve">单幅和</w:t>
      </w:r>
      <w:r>
        <w:rPr>
          <w:rFonts w:hint="eastAsia" w:ascii="宋体" w:hAnsi="宋体" w:eastAsia="宋体" w:cs="宋体"/>
          <w:sz w:val="24"/>
          <w:szCs w:val="24"/>
        </w:rPr>
        <w:t xml:space="preserve">多幅同时显示）、多数据对比图、子宫卵巢和卵泡的测量和计算以及全面的可编辑的报告功能）</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tab/>
        <w:t xml:space="preserve">多普勒血流测量与分析</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tab/>
        <w:t xml:space="preserve">实时多普勒自动包络、测量和计算</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ab/>
        <w:t xml:space="preserve">心脏功能测量以及各瓣膜功能的测量、分析及报告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tab/>
        <w:t xml:space="preserve">外周血管测量与分析</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tab/>
        <w:t xml:space="preserve">泌尿科测量与分析</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ab/>
        <w:t xml:space="preserve">一体化图像存储与(电影)回放重现及病案管理单元</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ab/>
        <w:t xml:space="preserve">超声图像静态、动态存储原始数据回放重现</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tab/>
        <w:t xml:space="preserve">原始数据储存，可对回放的图像进行≥35种参数调节，2B及M型模式≥10个参数，CFM模式≥7个参数，PW模式≥18个参数</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tab/>
        <w:t xml:space="preserve">一体化病案管理单元包括病人资料、报告、图像等的存储、修改、检索和打印等</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tab/>
        <w:t xml:space="preserve">USB接口支持快速</w:t>
      </w:r>
      <w:r>
        <w:rPr>
          <w:rFonts w:hint="eastAsia" w:ascii="宋体" w:hAnsi="宋体" w:eastAsia="宋体" w:cs="宋体"/>
          <w:sz w:val="24"/>
          <w:szCs w:val="24"/>
        </w:rPr>
        <w:t xml:space="preserve">闪</w:t>
      </w:r>
      <w:r>
        <w:rPr>
          <w:rFonts w:hint="eastAsia" w:ascii="宋体" w:hAnsi="宋体" w:eastAsia="宋体" w:cs="宋体"/>
          <w:sz w:val="24"/>
          <w:szCs w:val="24"/>
        </w:rPr>
        <w:t xml:space="preserve">存卡，快速存储屏幕上的图像</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rPr>
        <w:tab/>
        <w:t xml:space="preserve">输入/输出信号</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tab/>
        <w:t xml:space="preserve">输入：DVI，HDMI，USB，</w:t>
      </w:r>
      <w:r>
        <w:rPr>
          <w:rFonts w:hint="eastAsia" w:ascii="宋体" w:hAnsi="宋体" w:eastAsia="宋体" w:cs="宋体"/>
          <w:sz w:val="24"/>
          <w:szCs w:val="24"/>
        </w:rPr>
        <w:t xml:space="preserve">Lan</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tab/>
        <w:t xml:space="preserve">输出：HDMI，DVI，USB，DVD，</w:t>
      </w:r>
      <w:r>
        <w:rPr>
          <w:rFonts w:hint="eastAsia" w:ascii="宋体" w:hAnsi="宋体" w:eastAsia="宋体" w:cs="宋体"/>
          <w:sz w:val="24"/>
          <w:szCs w:val="24"/>
        </w:rPr>
        <w:t xml:space="preserve">Lan</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ab/>
        <w:t xml:space="preserve">连通性：可配医学数字图像和通信DICOM3.0版接口部件</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rPr>
        <w:tab/>
        <w:t xml:space="preserve">图像管理与记录装置</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6.1</w:t>
      </w:r>
      <w:r>
        <w:rPr>
          <w:rFonts w:hint="eastAsia" w:ascii="宋体" w:hAnsi="宋体" w:eastAsia="宋体" w:cs="宋体"/>
          <w:sz w:val="24"/>
          <w:szCs w:val="24"/>
        </w:rPr>
        <w:tab/>
        <w:t xml:space="preserve">超声图像存档与病案管理系统</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6.2</w:t>
      </w:r>
      <w:r>
        <w:rPr>
          <w:rFonts w:hint="eastAsia" w:ascii="宋体" w:hAnsi="宋体" w:eastAsia="宋体" w:cs="宋体"/>
          <w:sz w:val="24"/>
          <w:szCs w:val="24"/>
        </w:rPr>
        <w:tab/>
        <w:t xml:space="preserve">动态图像、静态图像以PC通用格式直接存储，无需特殊软件即能在普通PC机上直接观看图像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6.3</w:t>
      </w:r>
      <w:r>
        <w:rPr>
          <w:rFonts w:hint="eastAsia" w:ascii="宋体" w:hAnsi="宋体" w:eastAsia="宋体" w:cs="宋体"/>
          <w:sz w:val="24"/>
          <w:szCs w:val="24"/>
        </w:rPr>
        <w:tab/>
        <w:t xml:space="preserve">剪贴板(在屏幕上)可以存储和回放动态及静态图像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6.4</w:t>
      </w:r>
      <w:r>
        <w:rPr>
          <w:rFonts w:hint="eastAsia" w:ascii="宋体" w:hAnsi="宋体" w:eastAsia="宋体" w:cs="宋体"/>
          <w:sz w:val="24"/>
          <w:szCs w:val="24"/>
        </w:rPr>
        <w:tab/>
        <w:t xml:space="preserve">内置固态硬盘≥128GB（64GB用于数据存储）</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rPr>
        <w:tab/>
        <w:t xml:space="preserve">技术参数及要求</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rPr>
        <w:tab/>
        <w:t xml:space="preserve">系统通用功能：</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7.1.1</w:t>
      </w:r>
      <w:r>
        <w:rPr>
          <w:rFonts w:hint="eastAsia" w:ascii="宋体" w:hAnsi="宋体" w:eastAsia="宋体" w:cs="宋体"/>
          <w:sz w:val="24"/>
          <w:szCs w:val="24"/>
        </w:rPr>
        <w:tab/>
        <w:t xml:space="preserve">监视器：≥15英寸LCD显示器,扫描方式：逐行扫描，高分辨率</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7.1.2</w:t>
      </w:r>
      <w:r>
        <w:rPr>
          <w:rFonts w:hint="eastAsia" w:ascii="宋体" w:hAnsi="宋体" w:eastAsia="宋体" w:cs="宋体"/>
          <w:sz w:val="24"/>
          <w:szCs w:val="24"/>
        </w:rPr>
        <w:tab/>
        <w:t xml:space="preserve">安全性能：符合国家药品监督管理局商品安全质量要求。</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rPr>
        <w:tab/>
        <w:t xml:space="preserve">探头规格</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7.2.1</w:t>
      </w:r>
      <w:r>
        <w:rPr>
          <w:rFonts w:hint="eastAsia" w:ascii="宋体" w:hAnsi="宋体" w:eastAsia="宋体" w:cs="宋体"/>
          <w:sz w:val="24"/>
          <w:szCs w:val="24"/>
        </w:rPr>
        <w:tab/>
        <w:t xml:space="preserve">频率：宽频带或变频探头，变频探头二维显示频率（基波+谐波）可选择≥9种，彩色显示频率可选择≥4种,多普勒显示频率可选择≥4种</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7.2.2</w:t>
      </w:r>
      <w:r>
        <w:rPr>
          <w:rFonts w:hint="eastAsia" w:ascii="宋体" w:hAnsi="宋体" w:eastAsia="宋体" w:cs="宋体"/>
          <w:sz w:val="24"/>
          <w:szCs w:val="24"/>
        </w:rPr>
        <w:tab/>
        <w:t xml:space="preserve">类型：支持</w:t>
      </w:r>
      <w:r>
        <w:rPr>
          <w:rFonts w:hint="eastAsia" w:ascii="宋体" w:hAnsi="宋体" w:eastAsia="宋体" w:cs="宋体"/>
          <w:sz w:val="24"/>
          <w:szCs w:val="24"/>
        </w:rPr>
        <w:t xml:space="preserve">凸</w:t>
      </w:r>
      <w:r>
        <w:rPr>
          <w:rFonts w:hint="eastAsia" w:ascii="宋体" w:hAnsi="宋体" w:eastAsia="宋体" w:cs="宋体"/>
          <w:sz w:val="24"/>
          <w:szCs w:val="24"/>
        </w:rPr>
        <w:t xml:space="preserve">阵，线阵，相控阵，微凸阵</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7.2.3</w:t>
      </w:r>
      <w:r>
        <w:rPr>
          <w:rFonts w:hint="eastAsia" w:ascii="宋体" w:hAnsi="宋体" w:eastAsia="宋体" w:cs="宋体"/>
          <w:sz w:val="24"/>
          <w:szCs w:val="24"/>
        </w:rPr>
        <w:tab/>
        <w:t xml:space="preserve">阵元：线阵探头有效阵元数≥192阵元</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7.2.4</w:t>
      </w:r>
      <w:r>
        <w:rPr>
          <w:rFonts w:hint="eastAsia" w:ascii="宋体" w:hAnsi="宋体" w:eastAsia="宋体" w:cs="宋体"/>
          <w:sz w:val="24"/>
          <w:szCs w:val="24"/>
        </w:rPr>
        <w:tab/>
        <w:t xml:space="preserve">阵元：</w:t>
      </w:r>
      <w:r>
        <w:rPr>
          <w:rFonts w:hint="eastAsia" w:ascii="宋体" w:hAnsi="宋体" w:eastAsia="宋体" w:cs="宋体"/>
          <w:sz w:val="24"/>
          <w:szCs w:val="24"/>
        </w:rPr>
        <w:t xml:space="preserve">凸</w:t>
      </w:r>
      <w:r>
        <w:rPr>
          <w:rFonts w:hint="eastAsia" w:ascii="宋体" w:hAnsi="宋体" w:eastAsia="宋体" w:cs="宋体"/>
          <w:sz w:val="24"/>
          <w:szCs w:val="24"/>
        </w:rPr>
        <w:t xml:space="preserve">阵探头有效阵元数≥192阵元</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7.2.5</w:t>
      </w:r>
      <w:r>
        <w:rPr>
          <w:rFonts w:hint="eastAsia" w:ascii="宋体" w:hAnsi="宋体" w:eastAsia="宋体" w:cs="宋体"/>
          <w:sz w:val="24"/>
          <w:szCs w:val="24"/>
        </w:rPr>
        <w:tab/>
        <w:t xml:space="preserve">B/D兼用：</w:t>
      </w:r>
      <w:r/>
    </w:p>
    <w:p>
      <w:pPr>
        <w:ind w:firstLine="72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线阵：B/PWD</w:t>
      </w:r>
      <w:r/>
    </w:p>
    <w:p>
      <w:pPr>
        <w:ind w:firstLine="72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凸</w:t>
      </w:r>
      <w:r>
        <w:rPr>
          <w:rFonts w:hint="eastAsia" w:ascii="宋体" w:hAnsi="宋体" w:eastAsia="宋体" w:cs="宋体"/>
          <w:sz w:val="24"/>
          <w:szCs w:val="24"/>
        </w:rPr>
        <w:t xml:space="preserve">阵：B/PWD</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rPr>
        <w:t xml:space="preserve">6</w:t>
      </w:r>
      <w:r>
        <w:rPr>
          <w:rFonts w:hint="eastAsia" w:ascii="宋体" w:hAnsi="宋体" w:eastAsia="宋体" w:cs="宋体"/>
          <w:sz w:val="24"/>
          <w:szCs w:val="24"/>
        </w:rPr>
        <w:tab/>
        <w:t xml:space="preserve">穿刺导向：探头可选配穿刺导向装置</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rPr>
        <w:tab/>
      </w:r>
      <w:r>
        <w:rPr>
          <w:rFonts w:hint="eastAsia" w:ascii="宋体" w:hAnsi="宋体" w:eastAsia="宋体" w:cs="宋体"/>
          <w:sz w:val="24"/>
          <w:szCs w:val="24"/>
        </w:rPr>
        <w:t xml:space="preserve">二维灰阶</w:t>
      </w:r>
      <w:r>
        <w:rPr>
          <w:rFonts w:hint="eastAsia" w:ascii="宋体" w:hAnsi="宋体" w:eastAsia="宋体" w:cs="宋体"/>
          <w:sz w:val="24"/>
          <w:szCs w:val="24"/>
        </w:rPr>
        <w:t xml:space="preserve">显像主要参数：</w:t>
      </w:r>
      <w:bookmarkStart w:id="11" w:name="_GoBack"/>
      <w:r/>
      <w:bookmarkEnd w:id="11"/>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7.3.1</w:t>
      </w:r>
      <w:r>
        <w:rPr>
          <w:rFonts w:hint="eastAsia" w:ascii="宋体" w:hAnsi="宋体" w:eastAsia="宋体" w:cs="宋体"/>
          <w:sz w:val="24"/>
          <w:szCs w:val="24"/>
        </w:rPr>
        <w:tab/>
        <w:t xml:space="preserve">扫描：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7.3.2</w:t>
      </w:r>
      <w:r>
        <w:rPr>
          <w:rFonts w:hint="eastAsia" w:ascii="宋体" w:hAnsi="宋体" w:eastAsia="宋体" w:cs="宋体"/>
          <w:sz w:val="24"/>
          <w:szCs w:val="24"/>
        </w:rPr>
        <w:tab/>
        <w:t xml:space="preserve">电子</w:t>
      </w:r>
      <w:r>
        <w:rPr>
          <w:rFonts w:hint="eastAsia" w:ascii="宋体" w:hAnsi="宋体" w:eastAsia="宋体" w:cs="宋体"/>
          <w:sz w:val="24"/>
          <w:szCs w:val="24"/>
        </w:rPr>
        <w:t xml:space="preserve">凸</w:t>
      </w:r>
      <w:r>
        <w:rPr>
          <w:rFonts w:hint="eastAsia" w:ascii="宋体" w:hAnsi="宋体" w:eastAsia="宋体" w:cs="宋体"/>
          <w:sz w:val="24"/>
          <w:szCs w:val="24"/>
        </w:rPr>
        <w:t xml:space="preserve">阵：超声频率2.0-5.0MHz</w:t>
      </w:r>
      <w:r/>
    </w:p>
    <w:p>
      <w:pPr>
        <w:ind w:firstLine="24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★7.3.3</w:t>
      </w:r>
      <w:r>
        <w:rPr>
          <w:rFonts w:hint="eastAsia" w:ascii="宋体" w:hAnsi="宋体" w:eastAsia="宋体" w:cs="宋体"/>
          <w:sz w:val="24"/>
          <w:szCs w:val="24"/>
        </w:rPr>
        <w:tab/>
        <w:t xml:space="preserve">电子线阵：超声频率6-12MHz</w:t>
      </w:r>
      <w:r>
        <w:rPr>
          <w:rFonts w:hint="eastAsia" w:ascii="宋体" w:hAnsi="宋体" w:eastAsia="宋体" w:cs="宋体"/>
          <w:sz w:val="24"/>
          <w:szCs w:val="24"/>
        </w:rPr>
        <w:t xml:space="preserve">。</w:t>
      </w:r>
      <w:r>
        <w:rPr>
          <w:rFonts w:hint="eastAsia" w:ascii="宋体" w:hAnsi="宋体" w:eastAsia="宋体" w:cs="宋体"/>
          <w:sz w:val="24"/>
          <w:szCs w:val="24"/>
        </w:rPr>
        <w:t xml:space="preserve">探头具备可自定义按键，</w:t>
      </w:r>
      <w:r>
        <w:rPr>
          <w:rFonts w:hint="eastAsia" w:ascii="宋体" w:hAnsi="宋体" w:eastAsia="宋体" w:cs="宋体"/>
          <w:sz w:val="24"/>
          <w:szCs w:val="24"/>
          <w:u w:val="single"/>
        </w:rPr>
        <w:t xml:space="preserve">按键数量≥4</w:t>
      </w:r>
      <w:r>
        <w:rPr>
          <w:rFonts w:hint="eastAsia" w:ascii="宋体" w:hAnsi="宋体" w:eastAsia="宋体" w:cs="宋体"/>
          <w:b/>
          <w:sz w:val="24"/>
          <w:szCs w:val="24"/>
          <w:u w:val="single"/>
        </w:rPr>
        <w:t xml:space="preserve">（需提供相关佐证材料）</w:t>
      </w:r>
      <w:r>
        <w:rPr>
          <w:rFonts w:hint="eastAsia" w:ascii="宋体" w:hAnsi="宋体" w:eastAsia="宋体" w:cs="宋体"/>
          <w:b/>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7.3.4</w:t>
      </w:r>
      <w:r>
        <w:rPr>
          <w:rFonts w:hint="eastAsia" w:ascii="宋体" w:hAnsi="宋体" w:eastAsia="宋体" w:cs="宋体"/>
          <w:sz w:val="24"/>
          <w:szCs w:val="24"/>
        </w:rPr>
        <w:tab/>
        <w:t xml:space="preserve">扫描速率：B模式</w:t>
      </w:r>
      <w:r>
        <w:rPr>
          <w:rFonts w:hint="eastAsia" w:ascii="宋体" w:hAnsi="宋体" w:eastAsia="宋体" w:cs="宋体"/>
          <w:sz w:val="24"/>
          <w:szCs w:val="24"/>
        </w:rPr>
        <w:t xml:space="preserve">凸</w:t>
      </w:r>
      <w:r>
        <w:rPr>
          <w:rFonts w:hint="eastAsia" w:ascii="宋体" w:hAnsi="宋体" w:eastAsia="宋体" w:cs="宋体"/>
          <w:sz w:val="24"/>
          <w:szCs w:val="24"/>
        </w:rPr>
        <w:t xml:space="preserve">阵探头全视野，18cm深度时，帧速率≥50帧/秒</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7.3.5</w:t>
      </w:r>
      <w:r>
        <w:rPr>
          <w:rFonts w:hint="eastAsia" w:ascii="宋体" w:hAnsi="宋体" w:eastAsia="宋体" w:cs="宋体"/>
          <w:sz w:val="24"/>
          <w:szCs w:val="24"/>
        </w:rPr>
        <w:tab/>
        <w:t xml:space="preserve">扫描速率:B模式相控阵探头90度，18cm深度时，帧速率≥40帧/秒</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7.3.6</w:t>
      </w:r>
      <w:r>
        <w:rPr>
          <w:rFonts w:hint="eastAsia" w:ascii="宋体" w:hAnsi="宋体" w:eastAsia="宋体" w:cs="宋体"/>
          <w:sz w:val="24"/>
          <w:szCs w:val="24"/>
        </w:rPr>
        <w:tab/>
        <w:t xml:space="preserve">扫描线：每帧线密度≥230超声线</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7.3.7</w:t>
      </w:r>
      <w:r>
        <w:rPr>
          <w:rFonts w:hint="eastAsia" w:ascii="宋体" w:hAnsi="宋体" w:eastAsia="宋体" w:cs="宋体"/>
          <w:sz w:val="24"/>
          <w:szCs w:val="24"/>
        </w:rPr>
        <w:tab/>
      </w:r>
      <w:r>
        <w:rPr>
          <w:rFonts w:hint="eastAsia" w:ascii="宋体" w:hAnsi="宋体" w:eastAsia="宋体" w:cs="宋体"/>
          <w:sz w:val="24"/>
          <w:szCs w:val="24"/>
        </w:rPr>
        <w:t xml:space="preserve">发射声</w:t>
      </w:r>
      <w:r>
        <w:rPr>
          <w:rFonts w:hint="eastAsia" w:ascii="宋体" w:hAnsi="宋体" w:eastAsia="宋体" w:cs="宋体"/>
          <w:sz w:val="24"/>
          <w:szCs w:val="24"/>
        </w:rPr>
        <w:t xml:space="preserve">束聚焦：≥8段</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7.3.8</w:t>
      </w:r>
      <w:r>
        <w:rPr>
          <w:rFonts w:hint="eastAsia" w:ascii="宋体" w:hAnsi="宋体" w:eastAsia="宋体" w:cs="宋体"/>
          <w:sz w:val="24"/>
          <w:szCs w:val="24"/>
        </w:rPr>
        <w:tab/>
        <w:t xml:space="preserve">回放重现：灰阶图像回放≥1000幅、回放时间≥60秒</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7.3.9</w:t>
      </w:r>
      <w:r>
        <w:rPr>
          <w:rFonts w:hint="eastAsia" w:ascii="宋体" w:hAnsi="宋体" w:eastAsia="宋体" w:cs="宋体"/>
          <w:sz w:val="24"/>
          <w:szCs w:val="24"/>
        </w:rPr>
        <w:tab/>
        <w:t xml:space="preserve">预设条件：针对不同的检查脏器，预置最佳化图像的检查条件，减少操作时的调节，及常用所需的外部调节及组合调节。</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7.3.10</w:t>
      </w:r>
      <w:r>
        <w:rPr>
          <w:rFonts w:hint="eastAsia" w:ascii="宋体" w:hAnsi="宋体" w:eastAsia="宋体" w:cs="宋体"/>
          <w:sz w:val="24"/>
          <w:szCs w:val="24"/>
        </w:rPr>
        <w:tab/>
        <w:t xml:space="preserve">增益调节：B/M/CF/D可独立调节</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7.3.11</w:t>
      </w:r>
      <w:r>
        <w:rPr>
          <w:rFonts w:hint="eastAsia" w:ascii="宋体" w:hAnsi="宋体" w:eastAsia="宋体" w:cs="宋体"/>
          <w:sz w:val="24"/>
          <w:szCs w:val="24"/>
        </w:rPr>
        <w:tab/>
        <w:t xml:space="preserve">物理TGC调节≥6段</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7.3.12</w:t>
      </w:r>
      <w:r>
        <w:rPr>
          <w:rFonts w:hint="eastAsia" w:ascii="宋体" w:hAnsi="宋体" w:eastAsia="宋体" w:cs="宋体"/>
          <w:sz w:val="24"/>
          <w:szCs w:val="24"/>
        </w:rPr>
        <w:tab/>
        <w:t xml:space="preserve">空间分辨力：符合GB10152-2009国家标准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w:t>
      </w:r>
      <w:r>
        <w:rPr>
          <w:rFonts w:hint="eastAsia" w:ascii="宋体" w:hAnsi="宋体" w:eastAsia="宋体" w:cs="宋体"/>
          <w:sz w:val="24"/>
          <w:szCs w:val="24"/>
        </w:rPr>
        <w:tab/>
        <w:t xml:space="preserve">频谱多普勒：</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7.4.1</w:t>
      </w:r>
      <w:r>
        <w:rPr>
          <w:rFonts w:hint="eastAsia" w:ascii="宋体" w:hAnsi="宋体" w:eastAsia="宋体" w:cs="宋体"/>
          <w:sz w:val="24"/>
          <w:szCs w:val="24"/>
        </w:rPr>
        <w:tab/>
        <w:t xml:space="preserve">方式：脉冲波多普勒PWD</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ab/>
        <w:t xml:space="preserve">高脉冲重复频率HPFF</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7.4.2</w:t>
      </w:r>
      <w:r>
        <w:rPr>
          <w:rFonts w:hint="eastAsia" w:ascii="宋体" w:hAnsi="宋体" w:eastAsia="宋体" w:cs="宋体"/>
          <w:sz w:val="24"/>
          <w:szCs w:val="24"/>
        </w:rPr>
        <w:tab/>
        <w:t xml:space="preserve">多普勒发射频率</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ab/>
        <w:t xml:space="preserve">线阵≥2段</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凸</w:t>
      </w:r>
      <w:r>
        <w:rPr>
          <w:rFonts w:hint="eastAsia" w:ascii="宋体" w:hAnsi="宋体" w:eastAsia="宋体" w:cs="宋体"/>
          <w:sz w:val="24"/>
          <w:szCs w:val="24"/>
        </w:rPr>
        <w:t xml:space="preserve">阵≥2段</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7.4.3</w:t>
      </w:r>
      <w:r>
        <w:rPr>
          <w:rFonts w:hint="eastAsia" w:ascii="宋体" w:hAnsi="宋体" w:eastAsia="宋体" w:cs="宋体"/>
          <w:sz w:val="24"/>
          <w:szCs w:val="24"/>
        </w:rPr>
        <w:tab/>
        <w:t xml:space="preserve">最大测量速度：</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ab/>
        <w:t xml:space="preserve">PWD：血流速度≥8.0m/s</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7.4.4</w:t>
      </w:r>
      <w:r>
        <w:rPr>
          <w:rFonts w:hint="eastAsia" w:ascii="宋体" w:hAnsi="宋体" w:eastAsia="宋体" w:cs="宋体"/>
          <w:sz w:val="24"/>
          <w:szCs w:val="24"/>
        </w:rPr>
        <w:tab/>
        <w:t xml:space="preserve">最低测量速度：≤5.0mm/s(非噪声信号)</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7.4.5</w:t>
      </w:r>
      <w:r>
        <w:rPr>
          <w:rFonts w:hint="eastAsia" w:ascii="宋体" w:hAnsi="宋体" w:eastAsia="宋体" w:cs="宋体"/>
          <w:sz w:val="24"/>
          <w:szCs w:val="24"/>
        </w:rPr>
        <w:tab/>
        <w:t xml:space="preserve">显示方式：B、M、B/M、B/M/CFI、B/D、D、B/CFI/D</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7.4.6</w:t>
      </w:r>
      <w:r>
        <w:rPr>
          <w:rFonts w:hint="eastAsia" w:ascii="宋体" w:hAnsi="宋体" w:eastAsia="宋体" w:cs="宋体"/>
          <w:sz w:val="24"/>
          <w:szCs w:val="24"/>
        </w:rPr>
        <w:tab/>
        <w:t xml:space="preserve">电影回放：≥60秒</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7.4.7</w:t>
      </w:r>
      <w:r>
        <w:rPr>
          <w:rFonts w:hint="eastAsia" w:ascii="宋体" w:hAnsi="宋体" w:eastAsia="宋体" w:cs="宋体"/>
          <w:sz w:val="24"/>
          <w:szCs w:val="24"/>
        </w:rPr>
        <w:tab/>
        <w:t xml:space="preserve">取样宽度及位置范围：宽度1mm至16mm；分级</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7.5</w:t>
      </w:r>
      <w:r>
        <w:rPr>
          <w:rFonts w:hint="eastAsia" w:ascii="宋体" w:hAnsi="宋体" w:eastAsia="宋体" w:cs="宋体"/>
          <w:sz w:val="24"/>
          <w:szCs w:val="24"/>
        </w:rPr>
        <w:tab/>
        <w:t xml:space="preserve">彩色多普勒</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7.5.1</w:t>
      </w:r>
      <w:r>
        <w:rPr>
          <w:rFonts w:hint="eastAsia" w:ascii="宋体" w:hAnsi="宋体" w:eastAsia="宋体" w:cs="宋体"/>
          <w:sz w:val="24"/>
          <w:szCs w:val="24"/>
        </w:rPr>
        <w:tab/>
        <w:t xml:space="preserve">显示方式：速度分散显示、能量显示、速度显示</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7.5.2</w:t>
      </w:r>
      <w:r>
        <w:rPr>
          <w:rFonts w:hint="eastAsia" w:ascii="宋体" w:hAnsi="宋体" w:eastAsia="宋体" w:cs="宋体"/>
          <w:sz w:val="24"/>
          <w:szCs w:val="24"/>
        </w:rPr>
        <w:tab/>
        <w:t xml:space="preserve">彩色显示帧频：</w:t>
      </w:r>
      <w:r>
        <w:rPr>
          <w:rFonts w:hint="eastAsia" w:ascii="宋体" w:hAnsi="宋体" w:eastAsia="宋体" w:cs="宋体"/>
          <w:sz w:val="24"/>
          <w:szCs w:val="24"/>
        </w:rPr>
        <w:t xml:space="preserve">凸</w:t>
      </w:r>
      <w:r>
        <w:rPr>
          <w:rFonts w:hint="eastAsia" w:ascii="宋体" w:hAnsi="宋体" w:eastAsia="宋体" w:cs="宋体"/>
          <w:sz w:val="24"/>
          <w:szCs w:val="24"/>
        </w:rPr>
        <w:t xml:space="preserve">阵探头全视野，最大彩色取样框，18cm深时，彩色显示帧频≥8帧/秒</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7.5.3</w:t>
      </w:r>
      <w:r>
        <w:rPr>
          <w:rFonts w:hint="eastAsia" w:ascii="宋体" w:hAnsi="宋体" w:eastAsia="宋体" w:cs="宋体"/>
          <w:sz w:val="24"/>
          <w:szCs w:val="24"/>
        </w:rPr>
        <w:tab/>
        <w:t xml:space="preserve">显示控制：零位移动、黑白与彩色比较、彩色对比</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7.5.4</w:t>
      </w:r>
      <w:r>
        <w:rPr>
          <w:rFonts w:hint="eastAsia" w:ascii="宋体" w:hAnsi="宋体" w:eastAsia="宋体" w:cs="宋体"/>
          <w:sz w:val="24"/>
          <w:szCs w:val="24"/>
        </w:rPr>
        <w:tab/>
        <w:t xml:space="preserve">彩色增强功能：彩色多普勒能量图(CDE)（包括方向性能量图）</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7.5.5</w:t>
      </w:r>
      <w:r>
        <w:rPr>
          <w:rFonts w:hint="eastAsia" w:ascii="宋体" w:hAnsi="宋体" w:eastAsia="宋体" w:cs="宋体"/>
          <w:sz w:val="24"/>
          <w:szCs w:val="24"/>
        </w:rPr>
        <w:tab/>
        <w:t xml:space="preserve">双幅实时显示、包括双幅不同模式实时显示（B/B;B/CFM）</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7.6</w:t>
      </w:r>
      <w:r>
        <w:rPr>
          <w:rFonts w:hint="eastAsia" w:ascii="宋体" w:hAnsi="宋体" w:eastAsia="宋体" w:cs="宋体"/>
          <w:sz w:val="24"/>
          <w:szCs w:val="24"/>
        </w:rPr>
        <w:tab/>
        <w:t xml:space="preserve">超声功率输出调节：B/M、PWD、</w:t>
      </w:r>
      <w:r>
        <w:rPr>
          <w:rFonts w:hint="eastAsia" w:ascii="宋体" w:hAnsi="宋体" w:eastAsia="宋体" w:cs="宋体"/>
          <w:sz w:val="24"/>
          <w:szCs w:val="24"/>
        </w:rPr>
        <w:t xml:space="preserve">ColorDoppler</w:t>
      </w:r>
      <w:r>
        <w:rPr>
          <w:rFonts w:hint="eastAsia" w:ascii="宋体" w:hAnsi="宋体" w:eastAsia="宋体" w:cs="宋体"/>
          <w:sz w:val="24"/>
          <w:szCs w:val="24"/>
        </w:rPr>
        <w:t xml:space="preserve">输出功率可调</w:t>
      </w:r>
      <w:r/>
    </w:p>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注：</w:t>
      </w:r>
      <w:r/>
    </w:p>
    <w:p>
      <w:pPr>
        <w:ind w:firstLine="480"/>
        <w:spacing w:line="40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其中打</w:t>
      </w:r>
      <w:r>
        <w:rPr>
          <w:rFonts w:hint="eastAsia" w:ascii="宋体" w:hAnsi="宋体" w:cs="宋体"/>
          <w:bCs/>
          <w:sz w:val="24"/>
        </w:rPr>
        <w:t xml:space="preserve">“★”项为实质性要求，有一项负偏离将作为无效投标；未按要求提供佐证材料的视为负偏离，佐证材料可为产品注册证、官方彩页、有效检测报告、使用说明书、产品设计白皮书、产品铭牌、实物照片、功能界面截图等。</w:t>
      </w:r>
      <w:r/>
    </w:p>
    <w:p>
      <w:pPr>
        <w:ind w:firstLine="482"/>
        <w:spacing w:line="400" w:lineRule="exact"/>
        <w:rPr>
          <w:rFonts w:ascii="宋体" w:hAnsi="宋体" w:cs="Times New Roman"/>
          <w:sz w:val="24"/>
        </w:rPr>
      </w:pPr>
      <w:r>
        <w:rPr>
          <w:rFonts w:hint="eastAsia" w:ascii="宋体" w:hAnsi="宋体"/>
          <w:b/>
          <w:sz w:val="24"/>
        </w:rPr>
        <w:t xml:space="preserve">2、投标产品属于医疗器械注册范畴的，须提供《医疗器械注册证》。（扫描件）</w:t>
      </w:r>
      <w:r/>
    </w:p>
    <w:p>
      <w:pPr>
        <w:ind w:firstLine="480"/>
        <w:spacing w:line="400" w:lineRule="exact"/>
        <w:rPr>
          <w:rFonts w:ascii="宋体" w:hAnsi="宋体"/>
          <w:sz w:val="24"/>
        </w:rPr>
      </w:pPr>
      <w:r>
        <w:rPr>
          <w:rFonts w:hint="eastAsia" w:ascii="宋体" w:hAnsi="宋体"/>
          <w:sz w:val="24"/>
        </w:rPr>
        <w:t xml:space="preserve">3、投标人必须如实地在偏离说明中做出明确的逐项响应承诺，并对其真实性负责。如中标单位供货产品的技术参数与“投标文件技术规范描述”不符，则按“提供虚假材料谋取中标”处理。</w:t>
      </w:r>
      <w:r/>
    </w:p>
    <w:p>
      <w:pPr>
        <w:spacing w:line="400" w:lineRule="exact"/>
        <w:rPr>
          <w:rFonts w:ascii="宋体" w:hAnsi="宋体"/>
          <w:b/>
          <w:sz w:val="24"/>
        </w:rPr>
      </w:pPr>
      <w:r>
        <w:rPr>
          <w:rFonts w:ascii="宋体" w:hAnsi="宋体"/>
          <w:b/>
          <w:sz w:val="24"/>
        </w:rPr>
      </w:r>
      <w:r/>
    </w:p>
    <w:p>
      <w:pPr>
        <w:jc w:val="left"/>
        <w:spacing w:line="400" w:lineRule="exact"/>
        <w:rPr>
          <w:rFonts w:ascii="宋体" w:hAnsi="宋体"/>
          <w:b/>
          <w:sz w:val="24"/>
        </w:rPr>
      </w:pPr>
      <w:r>
        <w:rPr>
          <w:rFonts w:hint="eastAsia" w:ascii="黑体" w:hAnsi="黑体" w:eastAsia="黑体"/>
          <w:sz w:val="28"/>
          <w:szCs w:val="28"/>
        </w:rPr>
        <w:t xml:space="preserve">四、项目实施、安装、调试要求：</w:t>
      </w:r>
      <w:r/>
    </w:p>
    <w:p>
      <w:pPr>
        <w:ind w:firstLine="480"/>
        <w:spacing w:line="400" w:lineRule="exact"/>
        <w:rPr>
          <w:rFonts w:ascii="宋体" w:hAnsi="宋体" w:cs="宋体"/>
          <w:sz w:val="24"/>
        </w:rPr>
      </w:pPr>
      <w:r>
        <w:rPr>
          <w:rFonts w:hint="eastAsia" w:ascii="宋体" w:hAnsi="宋体" w:cs="宋体"/>
          <w:sz w:val="24"/>
        </w:rPr>
        <w:t xml:space="preserve">1、根据采购单位指定地点，供应商负责安排运输，运输费由供应商承担。验收合格并交付使用，并提供所需单据的日期视为交货日期。</w:t>
      </w:r>
      <w:r/>
    </w:p>
    <w:p>
      <w:pPr>
        <w:ind w:firstLine="480"/>
        <w:spacing w:line="400" w:lineRule="exact"/>
        <w:rPr>
          <w:rFonts w:ascii="宋体" w:hAnsi="宋体" w:cs="宋体"/>
          <w:sz w:val="24"/>
        </w:rPr>
      </w:pPr>
      <w:r>
        <w:rPr>
          <w:rFonts w:hint="eastAsia" w:ascii="宋体" w:hAnsi="宋体" w:cs="宋体"/>
          <w:sz w:val="24"/>
        </w:rPr>
        <w:t xml:space="preserve">2、产品质量必须符合《中华人民共和国国家标准》及我国最新颁布的与之相关的技术规范与正宗合格产品标准，同时必须满足</w:t>
      </w:r>
      <w:r>
        <w:rPr>
          <w:rFonts w:hint="eastAsia" w:ascii="宋体" w:hAnsi="宋体" w:cs="宋体"/>
          <w:sz w:val="24"/>
        </w:rPr>
        <w:t xml:space="preserve">采购书</w:t>
      </w:r>
      <w:r>
        <w:rPr>
          <w:rFonts w:hint="eastAsia" w:ascii="宋体" w:hAnsi="宋体" w:cs="宋体"/>
          <w:sz w:val="24"/>
        </w:rPr>
        <w:t xml:space="preserve">中所列全部规格、尺寸、材质等；产品质量出现问题，供方负责包退、包换、包修等，其费用由供方负责。</w:t>
      </w:r>
      <w:r/>
    </w:p>
    <w:p>
      <w:pPr>
        <w:ind w:firstLine="480"/>
        <w:spacing w:line="400" w:lineRule="exact"/>
        <w:rPr>
          <w:rFonts w:ascii="宋体" w:hAnsi="宋体" w:cs="宋体"/>
          <w:sz w:val="24"/>
        </w:rPr>
      </w:pPr>
      <w:r>
        <w:rPr>
          <w:rFonts w:hint="eastAsia" w:ascii="宋体" w:hAnsi="宋体" w:cs="宋体"/>
          <w:sz w:val="24"/>
        </w:rPr>
        <w:t xml:space="preserve">3、供应商向采购单位提供的所有货物需完整无损坏，提供产品保修单以及产品的主要材料的质检报告、产品的合格证。</w:t>
      </w:r>
      <w:r/>
    </w:p>
    <w:p>
      <w:pPr>
        <w:ind w:firstLine="480"/>
        <w:spacing w:line="400" w:lineRule="exact"/>
        <w:rPr>
          <w:rFonts w:ascii="宋体" w:hAnsi="宋体" w:cs="宋体"/>
          <w:sz w:val="24"/>
        </w:rPr>
      </w:pPr>
      <w:r>
        <w:rPr>
          <w:rFonts w:hint="eastAsia" w:ascii="宋体" w:hAnsi="宋体" w:cs="宋体"/>
          <w:sz w:val="24"/>
        </w:rPr>
        <w:t xml:space="preserve">4、供货要求：货物为非淘汰类全新产品。整机无污染，无侵权行为、表面无划损、无任何缺陷隐患，在中国境内可依常规安全合法使用。货物为原厂商未启封全新包装，具出厂合格证，序列号、包装箱号与出厂批号一致，并可追索查阅。应</w:t>
      </w:r>
      <w:r>
        <w:rPr>
          <w:rFonts w:hint="eastAsia" w:ascii="宋体" w:hAnsi="宋体" w:cs="宋体"/>
          <w:sz w:val="24"/>
        </w:rPr>
        <w:t xml:space="preserve">附关键</w:t>
      </w:r>
      <w:r>
        <w:rPr>
          <w:rFonts w:hint="eastAsia" w:ascii="宋体" w:hAnsi="宋体" w:cs="宋体"/>
          <w:sz w:val="24"/>
        </w:rPr>
        <w:t xml:space="preserve">主机设备的用户手册、保修手册、有关单证资料及配备件、随机工具等，设备使用操作及安全须知等重要资料应附有中文说明。如涉及进口产品必须具备原产地证明和商检局的检验证明及合法进货渠道证明。</w:t>
      </w:r>
      <w:r/>
    </w:p>
    <w:p>
      <w:pPr>
        <w:ind w:firstLine="480"/>
        <w:spacing w:line="400" w:lineRule="exact"/>
        <w:widowControl/>
        <w:rPr>
          <w:rFonts w:ascii="宋体" w:hAnsi="宋体" w:cs="Times New Roman"/>
          <w:sz w:val="24"/>
        </w:rPr>
      </w:pPr>
      <w:r>
        <w:rPr>
          <w:rFonts w:ascii="宋体" w:hAnsi="宋体" w:cs="Times New Roman"/>
          <w:sz w:val="24"/>
        </w:rPr>
      </w:r>
      <w:r/>
    </w:p>
    <w:p>
      <w:pPr>
        <w:jc w:val="left"/>
        <w:spacing w:line="400" w:lineRule="exact"/>
        <w:rPr>
          <w:rFonts w:ascii="黑体" w:hAnsi="黑体" w:eastAsia="黑体"/>
          <w:sz w:val="28"/>
          <w:szCs w:val="28"/>
        </w:rPr>
      </w:pPr>
      <w:r>
        <w:rPr>
          <w:rFonts w:hint="eastAsia" w:ascii="黑体" w:hAnsi="黑体" w:eastAsia="黑体"/>
          <w:sz w:val="28"/>
          <w:szCs w:val="28"/>
        </w:rPr>
        <w:t xml:space="preserve">五、项目实施的时间和地点：</w:t>
      </w:r>
      <w:r/>
    </w:p>
    <w:p>
      <w:pPr>
        <w:ind w:firstLine="480"/>
        <w:spacing w:line="400" w:lineRule="exact"/>
        <w:rPr>
          <w:rFonts w:ascii="宋体" w:hAnsi="宋体" w:eastAsia="宋体"/>
          <w:bCs/>
          <w:sz w:val="24"/>
          <w:szCs w:val="24"/>
        </w:rPr>
      </w:pPr>
      <w:r>
        <w:rPr>
          <w:rFonts w:hint="eastAsia" w:ascii="宋体" w:hAnsi="宋体"/>
          <w:bCs/>
          <w:sz w:val="24"/>
        </w:rPr>
        <w:t xml:space="preserve">1、项目实施地点：江阴市中医外科医院。</w:t>
      </w:r>
      <w:r/>
    </w:p>
    <w:p>
      <w:pPr>
        <w:ind w:firstLine="480"/>
        <w:spacing w:line="400" w:lineRule="exact"/>
        <w:rPr>
          <w:rFonts w:ascii="宋体" w:hAnsi="宋体"/>
          <w:bCs/>
          <w:sz w:val="24"/>
        </w:rPr>
      </w:pPr>
      <w:r>
        <w:rPr>
          <w:rFonts w:hint="eastAsia" w:ascii="宋体" w:hAnsi="宋体"/>
          <w:bCs/>
          <w:sz w:val="24"/>
        </w:rPr>
        <w:t xml:space="preserve">2、项目实施时间：合同生效之日起</w:t>
      </w:r>
      <w:r>
        <w:rPr>
          <w:rFonts w:hint="eastAsia" w:ascii="宋体" w:hAnsi="宋体"/>
          <w:bCs/>
          <w:sz w:val="24"/>
          <w:u w:val="single"/>
        </w:rPr>
        <w:t xml:space="preserve"> 30</w:t>
      </w:r>
      <w:r>
        <w:rPr>
          <w:rFonts w:hint="eastAsia" w:ascii="宋体" w:hAnsi="宋体"/>
          <w:bCs/>
          <w:sz w:val="24"/>
        </w:rPr>
        <w:t xml:space="preserve">个工作日内验收合格并交付使用。</w:t>
      </w:r>
      <w:r/>
    </w:p>
    <w:p>
      <w:pPr>
        <w:jc w:val="left"/>
        <w:spacing w:line="400" w:lineRule="exact"/>
        <w:rPr>
          <w:rFonts w:ascii="黑体" w:hAnsi="黑体" w:eastAsia="黑体"/>
          <w:sz w:val="28"/>
          <w:szCs w:val="28"/>
        </w:rPr>
      </w:pPr>
      <w:r>
        <w:rPr>
          <w:rFonts w:ascii="黑体" w:hAnsi="黑体" w:eastAsia="黑体"/>
          <w:sz w:val="28"/>
          <w:szCs w:val="28"/>
        </w:rPr>
      </w:r>
      <w:r/>
    </w:p>
    <w:p>
      <w:pPr>
        <w:jc w:val="left"/>
        <w:spacing w:line="400" w:lineRule="exact"/>
        <w:rPr>
          <w:rFonts w:ascii="黑体" w:hAnsi="黑体" w:eastAsia="黑体"/>
          <w:sz w:val="28"/>
          <w:szCs w:val="28"/>
        </w:rPr>
      </w:pPr>
      <w:r>
        <w:rPr>
          <w:rFonts w:hint="eastAsia" w:ascii="黑体" w:hAnsi="黑体" w:eastAsia="黑体"/>
          <w:sz w:val="28"/>
          <w:szCs w:val="28"/>
        </w:rPr>
        <w:t xml:space="preserve">六、技术培训：</w:t>
      </w:r>
      <w:r/>
    </w:p>
    <w:p>
      <w:pPr>
        <w:ind w:firstLine="480"/>
        <w:spacing w:line="400" w:lineRule="exact"/>
        <w:rPr>
          <w:rFonts w:ascii="宋体" w:hAnsi="宋体" w:eastAsia="宋体" w:cs="宋体"/>
          <w:sz w:val="24"/>
          <w:szCs w:val="24"/>
        </w:rPr>
      </w:pPr>
      <w:r>
        <w:rPr>
          <w:rFonts w:hint="eastAsia" w:ascii="宋体" w:hAnsi="宋体" w:cs="宋体"/>
          <w:sz w:val="24"/>
        </w:rPr>
        <w:t xml:space="preserve">卖方技术人员必须免费对安装、调试、操作、维修、保养等事项向买方作现场技术培训，保证使用人员正常操作设备的各种功能。</w:t>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sz w:val="28"/>
          <w:szCs w:val="28"/>
        </w:rPr>
      </w:pPr>
      <w:r>
        <w:rPr>
          <w:rFonts w:hint="eastAsia" w:ascii="黑体" w:hAnsi="黑体" w:eastAsia="黑体"/>
          <w:sz w:val="28"/>
          <w:szCs w:val="28"/>
        </w:rPr>
        <w:t xml:space="preserve">七、质量保证及售后服务：</w:t>
      </w:r>
      <w:r/>
    </w:p>
    <w:p>
      <w:pPr>
        <w:ind w:firstLine="480"/>
        <w:spacing w:line="400" w:lineRule="exact"/>
        <w:rPr>
          <w:rFonts w:ascii="宋体" w:hAnsi="宋体" w:cs="宋体"/>
          <w:sz w:val="24"/>
        </w:rPr>
      </w:pPr>
      <w:r>
        <w:rPr>
          <w:rFonts w:hint="eastAsia" w:ascii="宋体" w:hAnsi="宋体" w:cs="宋体"/>
          <w:sz w:val="24"/>
        </w:rPr>
        <w:t xml:space="preserve">1、保修期：安装调试合格后，整机免费原厂保修≥3年。</w:t>
      </w:r>
      <w:r/>
    </w:p>
    <w:p>
      <w:pPr>
        <w:ind w:firstLine="480"/>
        <w:spacing w:line="400" w:lineRule="exact"/>
        <w:rPr>
          <w:rFonts w:ascii="宋体" w:hAnsi="宋体" w:cs="宋体"/>
          <w:sz w:val="24"/>
        </w:rPr>
      </w:pPr>
      <w:r>
        <w:rPr>
          <w:rFonts w:hint="eastAsia" w:ascii="宋体" w:hAnsi="宋体" w:cs="宋体"/>
          <w:sz w:val="24"/>
        </w:rPr>
        <w:t xml:space="preserve">2、终身维护，对设备进行定期的检测与维护，每年上门维护保养≥2次，报修响应时间≤2小时，到达现场维修时间≤24小时。</w:t>
      </w:r>
      <w:r/>
    </w:p>
    <w:p>
      <w:pPr>
        <w:ind w:firstLine="480"/>
        <w:spacing w:line="400" w:lineRule="exact"/>
        <w:rPr>
          <w:rFonts w:ascii="宋体" w:hAnsi="宋体" w:cs="宋体"/>
          <w:sz w:val="24"/>
        </w:rPr>
      </w:pPr>
      <w:r>
        <w:rPr>
          <w:rFonts w:hint="eastAsia" w:ascii="宋体" w:hAnsi="宋体" w:cs="宋体"/>
          <w:sz w:val="24"/>
        </w:rPr>
        <w:t xml:space="preserve">3、免费保修期外实行先维修后付款方式并免收工程师维修上门费、开机费等费用。</w:t>
      </w:r>
      <w:r/>
    </w:p>
    <w:p>
      <w:pPr>
        <w:ind w:firstLine="480"/>
        <w:spacing w:line="400" w:lineRule="exact"/>
        <w:widowControl/>
        <w:rPr>
          <w:rFonts w:ascii="宋体" w:hAnsi="宋体" w:eastAsia="宋体" w:cs="宋体"/>
          <w:sz w:val="24"/>
          <w:szCs w:val="24"/>
        </w:rPr>
      </w:pPr>
      <w:r>
        <w:rPr>
          <w:rFonts w:hint="eastAsia" w:ascii="宋体" w:hAnsi="宋体" w:eastAsia="宋体" w:cs="宋体"/>
          <w:sz w:val="24"/>
          <w:szCs w:val="24"/>
        </w:rPr>
        <w:t xml:space="preserve">4、为保证设备正常运行,卖方应在中国境内设置备件库,存入所有必须的备件,并保证8年以上的供应期。</w:t>
      </w:r>
      <w:r/>
    </w:p>
    <w:p>
      <w:pPr>
        <w:ind w:firstLine="480"/>
        <w:spacing w:line="400" w:lineRule="exact"/>
        <w:rPr>
          <w:rFonts w:ascii="宋体" w:hAnsi="宋体"/>
          <w:bCs/>
          <w:sz w:val="24"/>
        </w:rPr>
      </w:pPr>
      <w:r>
        <w:rPr>
          <w:rFonts w:ascii="宋体" w:hAnsi="宋体"/>
          <w:bCs/>
          <w:sz w:val="24"/>
        </w:rPr>
      </w:r>
      <w:r/>
    </w:p>
    <w:p>
      <w:pPr>
        <w:jc w:val="left"/>
        <w:spacing w:line="400" w:lineRule="exact"/>
        <w:rPr>
          <w:rFonts w:ascii="黑体" w:hAnsi="黑体" w:eastAsia="黑体"/>
          <w:sz w:val="28"/>
          <w:szCs w:val="28"/>
        </w:rPr>
      </w:pPr>
      <w:r>
        <w:rPr>
          <w:rFonts w:hint="eastAsia" w:ascii="黑体" w:hAnsi="黑体" w:eastAsia="黑体"/>
          <w:sz w:val="28"/>
          <w:szCs w:val="28"/>
        </w:rPr>
        <w:t xml:space="preserve">八、付款方式：</w:t>
      </w:r>
      <w:r/>
    </w:p>
    <w:p>
      <w:pPr>
        <w:ind w:firstLine="480"/>
        <w:spacing w:line="400" w:lineRule="exact"/>
        <w:rPr>
          <w:rFonts w:ascii="宋体" w:hAnsi="宋体" w:cs="宋体"/>
          <w:sz w:val="24"/>
        </w:rPr>
      </w:pPr>
      <w:r>
        <w:rPr>
          <w:rFonts w:hint="eastAsia" w:ascii="宋体" w:hAnsi="宋体" w:cs="宋体"/>
          <w:sz w:val="24"/>
        </w:rPr>
        <w:t xml:space="preserve">产品全部供货验收合格后第一周内付90%，余款十二个月后一次付清。</w:t>
      </w:r>
      <w:r/>
    </w:p>
    <w:p>
      <w:pPr>
        <w:spacing w:line="400" w:lineRule="exact"/>
        <w:rPr>
          <w:rFonts w:ascii="黑体" w:hAnsi="黑体" w:eastAsia="黑体" w:cs="楷体_GB2312"/>
          <w:sz w:val="28"/>
          <w:szCs w:val="28"/>
          <w:lang w:val="zh-CN"/>
        </w:rPr>
      </w:pPr>
      <w:r>
        <w:rPr>
          <w:rFonts w:ascii="黑体" w:hAnsi="黑体" w:eastAsia="黑体" w:cs="楷体_GB2312"/>
          <w:sz w:val="28"/>
          <w:szCs w:val="28"/>
          <w:lang w:val="zh-CN"/>
        </w:rPr>
      </w:r>
      <w:r/>
    </w:p>
    <w:p>
      <w:pPr>
        <w:spacing w:line="400" w:lineRule="exact"/>
        <w:rPr>
          <w:rFonts w:ascii="黑体" w:hAnsi="黑体" w:eastAsia="黑体" w:cs="楷体_GB2312"/>
          <w:sz w:val="28"/>
          <w:szCs w:val="28"/>
          <w:lang w:val="zh-CN"/>
        </w:rPr>
      </w:pPr>
      <w:r>
        <w:rPr>
          <w:rFonts w:hint="eastAsia" w:ascii="黑体" w:hAnsi="黑体" w:eastAsia="黑体" w:cs="楷体_GB2312"/>
          <w:sz w:val="28"/>
          <w:szCs w:val="28"/>
          <w:lang w:val="zh-CN"/>
        </w:rPr>
        <w:t xml:space="preserve">九、有关说明：</w:t>
      </w:r>
      <w:r/>
    </w:p>
    <w:p>
      <w:pPr>
        <w:ind w:firstLine="480"/>
        <w:spacing w:line="400" w:lineRule="exact"/>
        <w:rPr>
          <w:rFonts w:ascii="宋体" w:hAnsi="宋体" w:eastAsia="宋体" w:cs="Times New Roman"/>
          <w:sz w:val="24"/>
          <w:szCs w:val="24"/>
        </w:rPr>
      </w:pPr>
      <w:r>
        <w:rPr>
          <w:rFonts w:hint="eastAsia" w:ascii="宋体" w:hAnsi="宋体"/>
          <w:sz w:val="24"/>
        </w:rPr>
        <w:t xml:space="preserve">1、公开招标为一次性报价，投标单位所报内容必须完整，不得漏项。</w:t>
      </w:r>
      <w:r/>
    </w:p>
    <w:p>
      <w:pPr>
        <w:ind w:firstLine="480"/>
        <w:spacing w:line="400" w:lineRule="exact"/>
        <w:rPr>
          <w:rFonts w:ascii="宋体" w:hAnsi="宋体"/>
          <w:sz w:val="24"/>
        </w:rPr>
      </w:pPr>
      <w:r>
        <w:rPr>
          <w:rFonts w:hint="eastAsia" w:ascii="宋体" w:hAnsi="宋体"/>
          <w:sz w:val="24"/>
        </w:rPr>
        <w:t xml:space="preserve">2、投标报价包括应包括产品、税金、包装、运费、仓储、质量检验、技术指导、验收、售后服务费等所有费用。</w:t>
      </w:r>
      <w:r/>
    </w:p>
    <w:p>
      <w:pPr>
        <w:ind w:firstLine="480"/>
        <w:spacing w:line="400" w:lineRule="exact"/>
        <w:rPr>
          <w:rFonts w:ascii="宋体" w:hAnsi="宋体"/>
          <w:sz w:val="24"/>
        </w:rPr>
      </w:pPr>
      <w:r>
        <w:rPr>
          <w:rFonts w:hint="eastAsia" w:ascii="宋体" w:hAnsi="宋体"/>
          <w:sz w:val="24"/>
        </w:rPr>
        <w:t xml:space="preserve">3、产品质量必须符合《中华人民共和国国家标准》及我国最新颁布的与之相关的技术规范与正宗合格产品标准，同时必须满足招标书中所列全部规格、条件及要求和供方承诺的其它指标；产品质量出现问题，供方负责包退、包换，费用由供方负责。</w:t>
      </w:r>
      <w:r/>
    </w:p>
    <w:p>
      <w:pPr>
        <w:ind w:firstLine="480"/>
        <w:spacing w:line="400" w:lineRule="exact"/>
        <w:rPr>
          <w:rFonts w:ascii="宋体" w:hAnsi="宋体"/>
          <w:sz w:val="24"/>
        </w:rPr>
      </w:pPr>
      <w:r>
        <w:rPr>
          <w:rFonts w:hint="eastAsia" w:ascii="宋体" w:hAnsi="宋体"/>
          <w:sz w:val="24"/>
        </w:rPr>
        <w:t xml:space="preserve">4、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400" w:lineRule="exact"/>
        <w:rPr>
          <w:rFonts w:ascii="宋体" w:hAnsi="宋体"/>
          <w:sz w:val="24"/>
        </w:rPr>
      </w:pPr>
      <w:r>
        <w:rPr>
          <w:rFonts w:hint="eastAsia" w:ascii="宋体" w:hAnsi="宋体"/>
          <w:sz w:val="24"/>
        </w:rPr>
        <w:t xml:space="preserve">5、供应商若非投标产品原厂家的，成交后签订合同时须提供该产品原厂家（或驻中国办事机构）出具的有效的经销授权书。</w:t>
      </w:r>
      <w:r/>
    </w:p>
    <w:p>
      <w:pPr>
        <w:ind w:firstLine="480"/>
        <w:spacing w:line="400" w:lineRule="exact"/>
        <w:rPr>
          <w:rFonts w:ascii="宋体" w:hAnsi="宋体"/>
          <w:sz w:val="24"/>
        </w:rPr>
      </w:pPr>
      <w:r>
        <w:rPr>
          <w:rFonts w:hint="eastAsia" w:ascii="宋体" w:hAnsi="宋体"/>
          <w:sz w:val="24"/>
        </w:rPr>
        <w:t xml:space="preserve">6、凡涉及招标文件的补充说明或修正，均以江阴市政府采购中心书面依据为准。</w:t>
      </w:r>
      <w:r/>
    </w:p>
    <w:p>
      <w:pPr>
        <w:ind w:firstLine="480"/>
        <w:spacing w:line="400" w:lineRule="exact"/>
        <w:rPr>
          <w:rFonts w:ascii="宋体" w:hAnsi="宋体"/>
          <w:sz w:val="24"/>
        </w:rPr>
      </w:pPr>
      <w:r>
        <w:rPr>
          <w:rFonts w:hint="eastAsia" w:ascii="宋体" w:hAnsi="宋体"/>
          <w:sz w:val="24"/>
        </w:rPr>
        <w:t xml:space="preserve">7、江阴市政府采购中心对本次招标结果不作任何解释。</w:t>
      </w:r>
      <w:r/>
    </w:p>
    <w:p>
      <w:pPr>
        <w:jc w:val="center"/>
        <w:spacing w:line="400" w:lineRule="exact"/>
        <w:rPr>
          <w:rFonts w:ascii="黑体" w:hAnsi="黑体" w:eastAsia="黑体" w:cs="黑体"/>
          <w:b/>
          <w:sz w:val="28"/>
          <w:szCs w:val="28"/>
        </w:rPr>
        <w:sectPr>
          <w:footerReference w:type="default" r:id="rId12"/>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黑体"/>
          <w:b/>
          <w:sz w:val="28"/>
          <w:szCs w:val="28"/>
        </w:rPr>
      </w:r>
      <w:r/>
    </w:p>
    <w:p>
      <w:pPr>
        <w:pStyle w:val="968"/>
      </w:pPr>
      <w:r/>
      <w:bookmarkStart w:id="12" w:name="_Toc172537489"/>
      <w:r/>
      <w:r/>
    </w:p>
    <w:p>
      <w:pPr>
        <w:pStyle w:val="968"/>
      </w:pPr>
      <w:r>
        <w:rPr>
          <w:rFonts w:hint="eastAsia"/>
        </w:rPr>
        <w:t xml:space="preserve">第四章　</w:t>
      </w:r>
      <w:r>
        <w:rPr>
          <w:rFonts w:hint="eastAsia"/>
        </w:rPr>
        <w:t xml:space="preserve">评标方法和评标标准</w:t>
      </w:r>
      <w:bookmarkEnd w:id="12"/>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9825"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Look w:val="04A0" w:firstRow="1" w:lastRow="0" w:firstColumn="1" w:lastColumn="0" w:noHBand="0" w:noVBand="1"/>
      </w:tblPr>
      <w:tblGrid>
        <w:gridCol w:w="1200"/>
        <w:gridCol w:w="708"/>
        <w:gridCol w:w="1276"/>
        <w:gridCol w:w="5935"/>
        <w:gridCol w:w="706"/>
      </w:tblGrid>
      <w:tr>
        <w:trPr>
          <w:jc w:val="center"/>
          <w:tblHeader/>
        </w:trPr>
        <w:tc>
          <w:tcPr>
            <w:tcBorders>
              <w:top w:val="single" w:color="000000" w:sz="8" w:space="0"/>
              <w:left w:val="single" w:color="000000" w:sz="8" w:space="0"/>
              <w:bottom w:val="single" w:color="000000" w:sz="6" w:space="0"/>
              <w:right w:val="single" w:color="000000" w:sz="6" w:space="0"/>
            </w:tcBorders>
            <w:tcW w:w="1200" w:type="dxa"/>
            <w:vAlign w:val="center"/>
            <w:textDirection w:val="lrTb"/>
            <w:noWrap w:val="false"/>
          </w:tcPr>
          <w:p>
            <w:pPr>
              <w:jc w:val="center"/>
              <w:spacing w:line="400" w:lineRule="exact"/>
              <w:rPr>
                <w:rFonts w:ascii="宋体" w:hAnsi="宋体"/>
                <w:b/>
                <w:sz w:val="24"/>
                <w:szCs w:val="24"/>
              </w:rPr>
            </w:pPr>
            <w:r>
              <w:rPr>
                <w:rFonts w:hint="eastAsia" w:ascii="宋体" w:hAnsi="宋体"/>
                <w:b/>
                <w:sz w:val="24"/>
              </w:rPr>
              <w:t xml:space="preserve">评分项</w:t>
            </w:r>
            <w:r/>
          </w:p>
        </w:tc>
        <w:tc>
          <w:tcPr>
            <w:tcBorders>
              <w:top w:val="single" w:color="000000" w:sz="8"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b/>
                <w:sz w:val="24"/>
                <w:szCs w:val="24"/>
              </w:rPr>
            </w:pPr>
            <w:r>
              <w:rPr>
                <w:rFonts w:hint="eastAsia" w:ascii="宋体" w:hAnsi="宋体"/>
                <w:b/>
                <w:sz w:val="24"/>
              </w:rPr>
              <w:t xml:space="preserve">序号</w:t>
            </w:r>
            <w:r/>
          </w:p>
        </w:tc>
        <w:tc>
          <w:tcPr>
            <w:tcBorders>
              <w:top w:val="single" w:color="000000" w:sz="8"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b/>
                <w:sz w:val="24"/>
                <w:szCs w:val="24"/>
              </w:rPr>
            </w:pPr>
            <w:r>
              <w:rPr>
                <w:rFonts w:hint="eastAsia" w:ascii="宋体" w:hAnsi="宋体"/>
                <w:b/>
                <w:sz w:val="24"/>
              </w:rPr>
              <w:t xml:space="preserve">评分因素</w:t>
            </w:r>
            <w:r/>
          </w:p>
        </w:tc>
        <w:tc>
          <w:tcPr>
            <w:tcBorders>
              <w:top w:val="single" w:color="000000" w:sz="8" w:space="0"/>
              <w:left w:val="single" w:color="000000" w:sz="6" w:space="0"/>
              <w:bottom w:val="single" w:color="000000" w:sz="6" w:space="0"/>
              <w:right w:val="single" w:color="000000" w:sz="6" w:space="0"/>
            </w:tcBorders>
            <w:tcW w:w="5935" w:type="dxa"/>
            <w:vAlign w:val="center"/>
            <w:textDirection w:val="lrTb"/>
            <w:noWrap w:val="false"/>
          </w:tcPr>
          <w:p>
            <w:pPr>
              <w:jc w:val="center"/>
              <w:spacing w:line="400" w:lineRule="exact"/>
              <w:rPr>
                <w:rFonts w:ascii="宋体" w:hAnsi="宋体"/>
                <w:b/>
                <w:sz w:val="24"/>
                <w:szCs w:val="24"/>
              </w:rPr>
            </w:pPr>
            <w:r>
              <w:rPr>
                <w:rFonts w:hint="eastAsia" w:ascii="宋体" w:hAnsi="宋体"/>
                <w:b/>
                <w:sz w:val="24"/>
              </w:rPr>
              <w:t xml:space="preserve">评分细则</w:t>
            </w:r>
            <w:r/>
          </w:p>
        </w:tc>
        <w:tc>
          <w:tcPr>
            <w:tcBorders>
              <w:top w:val="single" w:color="000000" w:sz="8"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b/>
                <w:sz w:val="24"/>
                <w:szCs w:val="24"/>
              </w:rPr>
            </w:pPr>
            <w:r>
              <w:rPr>
                <w:rFonts w:hint="eastAsia" w:ascii="宋体" w:hAnsi="宋体"/>
                <w:b/>
                <w:sz w:val="24"/>
              </w:rPr>
              <w:t xml:space="preserve">分值</w:t>
            </w:r>
            <w:r/>
          </w:p>
        </w:tc>
      </w:tr>
      <w:tr>
        <w:trPr>
          <w:jc w:val="center"/>
          <w:tblHeader/>
        </w:trPr>
        <w:tc>
          <w:tcPr>
            <w:tcBorders>
              <w:top w:val="single" w:color="000000" w:sz="6" w:space="0"/>
              <w:left w:val="single" w:color="000000" w:sz="8" w:space="0"/>
              <w:bottom w:val="single" w:color="000000" w:sz="6" w:space="0"/>
              <w:right w:val="single" w:color="000000" w:sz="6" w:space="0"/>
            </w:tcBorders>
            <w:tcW w:w="1200"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一、价格部分</w:t>
            </w:r>
            <w:r/>
          </w:p>
          <w:p>
            <w:pPr>
              <w:jc w:val="center"/>
              <w:spacing w:line="400" w:lineRule="exact"/>
              <w:rPr>
                <w:rFonts w:ascii="宋体" w:hAnsi="宋体"/>
                <w:sz w:val="24"/>
                <w:szCs w:val="24"/>
              </w:rPr>
            </w:pPr>
            <w:r>
              <w:rPr>
                <w:rFonts w:hint="eastAsia" w:ascii="宋体" w:hAnsi="宋体"/>
                <w:sz w:val="24"/>
              </w:rPr>
              <w:t xml:space="preserve">（30分）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1.1</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投标报价</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sz w:val="24"/>
                <w:szCs w:val="24"/>
              </w:rPr>
            </w:pPr>
            <w:r>
              <w:rPr>
                <w:rFonts w:hint="eastAsia" w:ascii="宋体" w:hAnsi="宋体"/>
                <w:sz w:val="24"/>
              </w:rPr>
              <w:t xml:space="preserve">满足招标文件要求且投标报价最低的投标报价为评标基准价，其价格为满分。其他投标人的价格</w:t>
            </w:r>
            <w:r>
              <w:rPr>
                <w:rFonts w:hint="eastAsia" w:ascii="宋体" w:hAnsi="宋体"/>
                <w:sz w:val="24"/>
              </w:rPr>
              <w:t xml:space="preserve">分按照</w:t>
            </w:r>
            <w:r>
              <w:rPr>
                <w:rFonts w:hint="eastAsia" w:ascii="宋体" w:hAnsi="宋体"/>
                <w:sz w:val="24"/>
              </w:rPr>
              <w:t xml:space="preserve">下列公式计算：</w:t>
            </w:r>
            <w:r/>
          </w:p>
          <w:p>
            <w:pPr>
              <w:spacing w:line="400" w:lineRule="exact"/>
              <w:rPr>
                <w:rFonts w:ascii="宋体" w:hAnsi="宋体"/>
                <w:sz w:val="24"/>
                <w:szCs w:val="24"/>
              </w:rPr>
            </w:pPr>
            <w:r>
              <w:rPr>
                <w:rFonts w:hint="eastAsia" w:ascii="宋体" w:hAnsi="宋体"/>
                <w:sz w:val="24"/>
              </w:rPr>
              <w:t xml:space="preserve">投标报价得分＝（评标基准价/投标报价）×30分</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30</w:t>
            </w:r>
            <w:r/>
          </w:p>
        </w:tc>
      </w:tr>
      <w:tr>
        <w:trPr>
          <w:jc w:val="center"/>
          <w:tblHeader/>
        </w:trPr>
        <w:tc>
          <w:tcPr>
            <w:tcBorders>
              <w:top w:val="single" w:color="000000" w:sz="6" w:space="0"/>
              <w:left w:val="single" w:color="000000" w:sz="8" w:space="0"/>
              <w:bottom w:val="single" w:color="000000" w:sz="6" w:space="0"/>
              <w:right w:val="single" w:color="000000" w:sz="6" w:space="0"/>
            </w:tcBorders>
            <w:tcW w:w="1200" w:type="dxa"/>
            <w:vAlign w:val="center"/>
            <w:vMerge w:val="restart"/>
            <w:textDirection w:val="lrTb"/>
            <w:noWrap w:val="false"/>
          </w:tcPr>
          <w:p>
            <w:pPr>
              <w:jc w:val="center"/>
              <w:spacing w:line="400" w:lineRule="exact"/>
              <w:rPr>
                <w:rFonts w:ascii="宋体" w:hAnsi="宋体"/>
                <w:sz w:val="24"/>
                <w:szCs w:val="24"/>
              </w:rPr>
            </w:pPr>
            <w:r>
              <w:rPr>
                <w:rFonts w:hint="eastAsia" w:ascii="宋体" w:hAnsi="宋体"/>
                <w:sz w:val="24"/>
              </w:rPr>
              <w:t xml:space="preserve">二、技术部分</w:t>
            </w:r>
            <w:r/>
          </w:p>
          <w:p>
            <w:pPr>
              <w:jc w:val="center"/>
              <w:spacing w:line="400" w:lineRule="exact"/>
              <w:rPr>
                <w:rFonts w:ascii="宋体" w:hAnsi="宋体"/>
                <w:sz w:val="24"/>
                <w:szCs w:val="24"/>
              </w:rPr>
            </w:pPr>
            <w:r>
              <w:rPr>
                <w:rFonts w:hint="eastAsia" w:ascii="宋体" w:hAnsi="宋体"/>
                <w:sz w:val="24"/>
              </w:rPr>
              <w:t xml:space="preserve">（64分）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2.1</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主要技术指标响应情况</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sz w:val="24"/>
                <w:szCs w:val="24"/>
              </w:rPr>
            </w:pPr>
            <w:r>
              <w:rPr>
                <w:rFonts w:hint="eastAsia" w:ascii="宋体" w:hAnsi="宋体"/>
                <w:sz w:val="24"/>
              </w:rPr>
              <w:t xml:space="preserve">根据所投产品的主要技术指标的性能、技术参数的响应情况进行综合评审，产品符合招标文件要求，无负偏离得40分，非打“★”项参数有一项负偏离扣</w:t>
            </w:r>
            <w:r>
              <w:rPr>
                <w:rFonts w:hint="eastAsia" w:ascii="宋体" w:hAnsi="宋体"/>
                <w:sz w:val="24"/>
              </w:rPr>
              <w:t xml:space="preserve">1</w:t>
            </w:r>
            <w:r>
              <w:rPr>
                <w:rFonts w:hint="eastAsia" w:ascii="宋体" w:hAnsi="宋体"/>
                <w:sz w:val="24"/>
              </w:rPr>
              <w:t xml:space="preserve">分，扣完为止。</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40</w:t>
            </w:r>
            <w:r/>
          </w:p>
        </w:tc>
      </w:tr>
      <w:tr>
        <w:trPr>
          <w:jc w:val="center"/>
          <w:tblHeader/>
        </w:trPr>
        <w:tc>
          <w:tcPr>
            <w:tcBorders>
              <w:top w:val="single" w:color="000000" w:sz="6" w:space="0"/>
              <w:left w:val="single" w:color="000000" w:sz="8" w:space="0"/>
              <w:bottom w:val="single" w:color="000000" w:sz="6" w:space="0"/>
              <w:right w:val="single" w:color="000000" w:sz="6" w:space="0"/>
            </w:tcBorders>
            <w:tcW w:w="120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2.2</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实施方案</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cs="宋体"/>
                <w:sz w:val="24"/>
                <w:szCs w:val="24"/>
              </w:rPr>
            </w:pPr>
            <w:r>
              <w:rPr>
                <w:rFonts w:hint="eastAsia" w:ascii="宋体" w:hAnsi="宋体" w:cs="宋体"/>
                <w:sz w:val="24"/>
              </w:rPr>
              <w:t xml:space="preserve">投标人针对本项目提供实施方案，包括①包装运输方案、②进度计划、③安装调试流程、④安装调试技术重难点、⑤安装调试人员安排，方案内容描述全面合理符合采购需求的得5分，每有一项内容缺失的扣1分；每有一项内容存在缺陷或不满足要求的扣0.5分，扣完为止。</w:t>
            </w:r>
            <w:r/>
          </w:p>
          <w:p>
            <w:pPr>
              <w:spacing w:line="400" w:lineRule="exact"/>
              <w:rPr>
                <w:rFonts w:ascii="宋体" w:hAnsi="宋体" w:cs="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5</w:t>
            </w:r>
            <w:r/>
          </w:p>
        </w:tc>
      </w:tr>
      <w:tr>
        <w:trPr>
          <w:jc w:val="center"/>
          <w:tblHeader/>
        </w:trPr>
        <w:tc>
          <w:tcPr>
            <w:tcBorders>
              <w:top w:val="single" w:color="000000" w:sz="6" w:space="0"/>
              <w:left w:val="single" w:color="000000" w:sz="8" w:space="0"/>
              <w:bottom w:val="single" w:color="000000" w:sz="6" w:space="0"/>
              <w:right w:val="single" w:color="000000" w:sz="6" w:space="0"/>
            </w:tcBorders>
            <w:tcW w:w="120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2.3</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培训方案</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cs="宋体"/>
                <w:sz w:val="24"/>
                <w:szCs w:val="24"/>
              </w:rPr>
            </w:pPr>
            <w:r>
              <w:rPr>
                <w:rFonts w:hint="eastAsia" w:ascii="宋体" w:hAnsi="宋体" w:cs="宋体"/>
                <w:sz w:val="24"/>
              </w:rPr>
              <w:t xml:space="preserve">投标人针对本项目提供</w:t>
            </w:r>
            <w:r>
              <w:rPr>
                <w:rFonts w:hint="eastAsia" w:ascii="宋体" w:hAnsi="宋体"/>
                <w:sz w:val="24"/>
              </w:rPr>
              <w:t xml:space="preserve">培训方案</w:t>
            </w:r>
            <w:r>
              <w:rPr>
                <w:rFonts w:hint="eastAsia" w:ascii="宋体" w:hAnsi="宋体" w:cs="宋体"/>
                <w:sz w:val="24"/>
              </w:rPr>
              <w:t xml:space="preserve">，包括①培训内容、②培训人员安排、③培训周期，方案内容描述全面合理符合采购需求的得3分，每有一项内容缺失的扣1分；每有一项内容存在缺陷或不满足要求的扣0.5分，扣完为止。</w:t>
            </w:r>
            <w:r/>
          </w:p>
          <w:p>
            <w:pPr>
              <w:spacing w:line="400" w:lineRule="exact"/>
              <w:rPr>
                <w:rFonts w:ascii="宋体" w:hAnsi="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3</w:t>
            </w:r>
            <w:r/>
          </w:p>
        </w:tc>
      </w:tr>
      <w:tr>
        <w:trPr>
          <w:jc w:val="center"/>
          <w:tblHeader/>
        </w:trPr>
        <w:tc>
          <w:tcPr>
            <w:tcBorders>
              <w:top w:val="single" w:color="000000" w:sz="6" w:space="0"/>
              <w:left w:val="single" w:color="000000" w:sz="8" w:space="0"/>
              <w:bottom w:val="single" w:color="000000" w:sz="6" w:space="0"/>
              <w:right w:val="single" w:color="000000" w:sz="6" w:space="0"/>
            </w:tcBorders>
            <w:tcW w:w="120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2.4</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应急保障方案</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cs="宋体"/>
                <w:sz w:val="24"/>
                <w:szCs w:val="24"/>
              </w:rPr>
            </w:pPr>
            <w:r>
              <w:rPr>
                <w:rFonts w:hint="eastAsia" w:ascii="宋体" w:hAnsi="宋体" w:cs="宋体"/>
                <w:sz w:val="24"/>
              </w:rPr>
              <w:t xml:space="preserve">投标人针对本项目提供</w:t>
            </w:r>
            <w:r>
              <w:rPr>
                <w:rFonts w:hint="eastAsia" w:ascii="宋体" w:hAnsi="宋体"/>
                <w:sz w:val="24"/>
              </w:rPr>
              <w:t xml:space="preserve">应急保障方案</w:t>
            </w:r>
            <w:r>
              <w:rPr>
                <w:rFonts w:hint="eastAsia" w:ascii="宋体" w:hAnsi="宋体" w:cs="宋体"/>
                <w:sz w:val="24"/>
              </w:rPr>
              <w:t xml:space="preserve">，包括①</w:t>
            </w:r>
            <w:r>
              <w:rPr>
                <w:rFonts w:hint="eastAsia" w:ascii="宋体" w:hAnsi="宋体"/>
                <w:sz w:val="24"/>
              </w:rPr>
              <w:t xml:space="preserve">应急响应时间及修复时间、</w:t>
            </w:r>
            <w:r>
              <w:rPr>
                <w:rFonts w:hint="eastAsia" w:ascii="宋体" w:hAnsi="宋体" w:cs="宋体"/>
                <w:sz w:val="24"/>
              </w:rPr>
              <w:t xml:space="preserve">②</w:t>
            </w:r>
            <w:r>
              <w:rPr>
                <w:rFonts w:hint="eastAsia" w:ascii="宋体" w:hAnsi="宋体"/>
                <w:sz w:val="24"/>
              </w:rPr>
              <w:t xml:space="preserve">应急保障措施</w:t>
            </w:r>
            <w:r>
              <w:rPr>
                <w:rFonts w:hint="eastAsia" w:ascii="宋体" w:hAnsi="宋体" w:cs="宋体"/>
                <w:sz w:val="24"/>
              </w:rPr>
              <w:t xml:space="preserve">，方案内容描述全面合理符合采购需求的得4分，每有一项内容缺失的扣2分；每有一项内容存在缺陷或不满足要求的扣1分，扣完为止。</w:t>
            </w:r>
            <w:r/>
          </w:p>
          <w:p>
            <w:pPr>
              <w:spacing w:line="400" w:lineRule="exact"/>
              <w:rPr>
                <w:rFonts w:ascii="宋体" w:hAnsi="宋体" w:cs="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4</w:t>
            </w:r>
            <w:r/>
          </w:p>
        </w:tc>
      </w:tr>
      <w:tr>
        <w:trPr>
          <w:jc w:val="center"/>
          <w:tblHeader/>
        </w:trPr>
        <w:tc>
          <w:tcPr>
            <w:tcBorders>
              <w:top w:val="single" w:color="000000" w:sz="6" w:space="0"/>
              <w:left w:val="single" w:color="000000" w:sz="8" w:space="0"/>
              <w:bottom w:val="single" w:color="000000" w:sz="6" w:space="0"/>
              <w:right w:val="single" w:color="000000" w:sz="6" w:space="0"/>
            </w:tcBorders>
            <w:tcW w:w="120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2.5</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免费保修期</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sz w:val="24"/>
                <w:szCs w:val="24"/>
              </w:rPr>
            </w:pPr>
            <w:r>
              <w:rPr>
                <w:rFonts w:hint="eastAsia" w:ascii="宋体" w:hAnsi="宋体"/>
                <w:sz w:val="24"/>
              </w:rPr>
              <w:t xml:space="preserve">满足招标文件免费保修期要求的基础上（</w:t>
            </w:r>
            <w:r>
              <w:rPr>
                <w:rFonts w:hint="eastAsia" w:ascii="宋体" w:hAnsi="宋体"/>
                <w:sz w:val="24"/>
              </w:rPr>
              <w:t xml:space="preserve">不</w:t>
            </w:r>
            <w:r>
              <w:rPr>
                <w:rFonts w:hint="eastAsia" w:ascii="宋体" w:hAnsi="宋体"/>
                <w:sz w:val="24"/>
              </w:rPr>
              <w:t xml:space="preserve">实质性响应的为无效投标），每增加一年免费保修期加2分，最多得6分。</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6</w:t>
            </w:r>
            <w:r/>
          </w:p>
        </w:tc>
      </w:tr>
      <w:tr>
        <w:trPr>
          <w:jc w:val="center"/>
          <w:tblHeader/>
        </w:trPr>
        <w:tc>
          <w:tcPr>
            <w:tcBorders>
              <w:top w:val="single" w:color="000000" w:sz="6" w:space="0"/>
              <w:left w:val="single" w:color="000000" w:sz="8" w:space="0"/>
              <w:bottom w:val="single" w:color="000000" w:sz="6" w:space="0"/>
              <w:right w:val="single" w:color="000000" w:sz="6" w:space="0"/>
            </w:tcBorders>
            <w:tcW w:w="120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2.6</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售后服务方案</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cs="宋体"/>
                <w:sz w:val="24"/>
                <w:szCs w:val="24"/>
              </w:rPr>
            </w:pPr>
            <w:r>
              <w:rPr>
                <w:rFonts w:hint="eastAsia" w:ascii="宋体" w:hAnsi="宋体" w:cs="宋体"/>
                <w:sz w:val="24"/>
              </w:rPr>
              <w:t xml:space="preserve">投标人针对本项目提供</w:t>
            </w:r>
            <w:r>
              <w:rPr>
                <w:rFonts w:hint="eastAsia" w:ascii="宋体" w:hAnsi="宋体"/>
                <w:sz w:val="24"/>
              </w:rPr>
              <w:t xml:space="preserve">售后服务方案</w:t>
            </w:r>
            <w:r>
              <w:rPr>
                <w:rFonts w:hint="eastAsia" w:ascii="宋体" w:hAnsi="宋体" w:cs="宋体"/>
                <w:sz w:val="24"/>
              </w:rPr>
              <w:t xml:space="preserve">，包括①售后服务内容、②售后</w:t>
            </w:r>
            <w:r>
              <w:rPr>
                <w:rFonts w:hint="eastAsia" w:ascii="宋体" w:hAnsi="宋体"/>
                <w:sz w:val="24"/>
              </w:rPr>
              <w:t xml:space="preserve">服务</w:t>
            </w:r>
            <w:r>
              <w:rPr>
                <w:rFonts w:hint="eastAsia" w:ascii="宋体" w:hAnsi="宋体" w:cs="宋体"/>
                <w:sz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6</w:t>
            </w:r>
            <w:r/>
          </w:p>
        </w:tc>
      </w:tr>
      <w:tr>
        <w:trPr>
          <w:jc w:val="center"/>
          <w:tblHeader/>
        </w:trPr>
        <w:tc>
          <w:tcPr>
            <w:tcBorders>
              <w:top w:val="single" w:color="000000" w:sz="6" w:space="0"/>
              <w:left w:val="single" w:color="000000" w:sz="8" w:space="0"/>
              <w:bottom w:val="single" w:color="000000" w:sz="8" w:space="0"/>
              <w:right w:val="single" w:color="000000" w:sz="6" w:space="0"/>
            </w:tcBorders>
            <w:tcW w:w="1200"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三、商务部分</w:t>
            </w:r>
            <w:r/>
          </w:p>
          <w:p>
            <w:pPr>
              <w:jc w:val="center"/>
              <w:spacing w:line="400" w:lineRule="exact"/>
              <w:rPr>
                <w:rFonts w:ascii="宋体" w:hAnsi="宋体"/>
                <w:sz w:val="24"/>
                <w:szCs w:val="24"/>
              </w:rPr>
            </w:pPr>
            <w:r>
              <w:rPr>
                <w:rFonts w:hint="eastAsia" w:ascii="宋体" w:hAnsi="宋体"/>
                <w:sz w:val="24"/>
              </w:rPr>
              <w:t xml:space="preserve">（6分）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3.1</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业绩</w:t>
            </w:r>
            <w:r/>
          </w:p>
        </w:tc>
        <w:tc>
          <w:tcPr>
            <w:tcBorders>
              <w:top w:val="single" w:color="000000" w:sz="6" w:space="0"/>
              <w:left w:val="single" w:color="000000" w:sz="6" w:space="0"/>
              <w:bottom w:val="single" w:color="000000" w:sz="6" w:space="0"/>
              <w:right w:val="single" w:color="000000" w:sz="6" w:space="0"/>
            </w:tcBorders>
            <w:tcW w:w="5935" w:type="dxa"/>
            <w:vAlign w:val="center"/>
            <w:textDirection w:val="lrTb"/>
            <w:noWrap w:val="false"/>
          </w:tcPr>
          <w:p>
            <w:pPr>
              <w:spacing w:line="400" w:lineRule="exact"/>
              <w:rPr>
                <w:rFonts w:ascii="宋体" w:hAnsi="宋体"/>
                <w:sz w:val="24"/>
                <w:szCs w:val="24"/>
              </w:rPr>
            </w:pPr>
            <w:r>
              <w:rPr>
                <w:rFonts w:hint="eastAsia" w:ascii="宋体" w:hAnsi="宋体"/>
                <w:sz w:val="24"/>
              </w:rPr>
              <w:t xml:space="preserve">2022年1月1日以来（以合同签订时间为准），投标人具有与本项目同类项目的销售业绩的，有一个得1分，最高得6分。（须提供合同扫描件）</w:t>
            </w:r>
            <w:r/>
          </w:p>
        </w:tc>
        <w:tc>
          <w:tcPr>
            <w:tcBorders>
              <w:top w:val="single" w:color="000000" w:sz="6" w:space="0"/>
              <w:left w:val="single" w:color="000000" w:sz="6" w:space="0"/>
              <w:bottom w:val="single" w:color="000000" w:sz="6" w:space="0"/>
              <w:right w:val="single" w:color="000000" w:sz="8" w:space="0"/>
            </w:tcBorders>
            <w:tcW w:w="706"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6</w:t>
            </w:r>
            <w:r/>
          </w:p>
        </w:tc>
      </w:tr>
    </w:tbl>
    <w:p>
      <w:pPr>
        <w:pStyle w:val="968"/>
        <w:sectPr>
          <w:footnotePr/>
          <w:endnotePr/>
          <w:type w:val="nextPage"/>
          <w:pgSz w:w="11906" w:h="16838" w:orient="portrait"/>
          <w:pgMar w:top="1247" w:right="1247" w:bottom="1247" w:left="1247" w:header="680" w:footer="992" w:gutter="0"/>
          <w:cols w:num="1" w:sep="0" w:space="720" w:equalWidth="1"/>
          <w:docGrid w:linePitch="360"/>
        </w:sectPr>
      </w:pPr>
      <w:r/>
      <w:bookmarkStart w:id="13" w:name="_Toc172537490"/>
      <w:r/>
      <w:r/>
    </w:p>
    <w:p>
      <w:pPr>
        <w:pStyle w:val="968"/>
      </w:pPr>
      <w:r/>
      <w:r/>
    </w:p>
    <w:p>
      <w:pPr>
        <w:pStyle w:val="968"/>
      </w:pPr>
      <w:r>
        <w:rPr>
          <w:rFonts w:hint="eastAsia"/>
        </w:rPr>
        <w:t xml:space="preserve">第</w:t>
      </w:r>
      <w:r>
        <w:rPr>
          <w:rFonts w:hint="eastAsia"/>
        </w:rPr>
        <w:t xml:space="preserve">五</w:t>
      </w:r>
      <w:r>
        <w:rPr>
          <w:rFonts w:hint="eastAsia"/>
        </w:rPr>
        <w:t xml:space="preserve">章　合同书（格式）</w:t>
      </w:r>
      <w:bookmarkEnd w:id="13"/>
      <w:r/>
      <w:r/>
    </w:p>
    <w:p>
      <w:pPr>
        <w:spacing w:line="400" w:lineRule="exact"/>
        <w:rPr>
          <w:rFonts w:ascii="宋体" w:hAnsi="宋体" w:eastAsia="宋体" w:cs="Times New Roman"/>
          <w:bCs/>
          <w:sz w:val="24"/>
          <w:szCs w:val="24"/>
        </w:rPr>
      </w:pPr>
      <w:r/>
      <w:bookmarkStart w:id="14"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bookmarkEnd w:id="14"/>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968"/>
      </w:pPr>
      <w:r/>
      <w:bookmarkStart w:id="15" w:name="_Toc172537491"/>
      <w:r/>
      <w:r/>
    </w:p>
    <w:p>
      <w:pPr>
        <w:pStyle w:val="968"/>
      </w:pPr>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5"/>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6" w:name="_Toc194739809"/>
      <w:r/>
      <w:bookmarkStart w:id="17"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JSZC-320281-JZCG-G2025-0028</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彩色多普勒便携式心脏超声诊断</w:t>
            </w:r>
            <w:r>
              <w:rPr>
                <w:rFonts w:hint="eastAsia" w:ascii="宋体" w:hAnsi="宋体" w:eastAsia="宋体" w:cs="宋体"/>
                <w:sz w:val="24"/>
                <w:szCs w:val="24"/>
              </w:rPr>
              <w:t xml:space="preserve">仪项目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8" w:name="_Toc194386107"/>
      <w:r/>
      <w:bookmarkStart w:id="19" w:name="_Toc158691780"/>
      <w:r/>
      <w:bookmarkStart w:id="20"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8"/>
      <w:r/>
      <w:bookmarkEnd w:id="19"/>
      <w:r/>
      <w:bookmarkEnd w:id="20"/>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1" w:name="_Toc158691783"/>
      <w:r/>
      <w:bookmarkStart w:id="22" w:name="_Toc129333640"/>
      <w:r/>
      <w:bookmarkStart w:id="23"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16"/>
      <w:r/>
      <w:bookmarkEnd w:id="17"/>
      <w:r/>
      <w:bookmarkEnd w:id="21"/>
      <w:r/>
      <w:bookmarkEnd w:id="22"/>
      <w:r/>
      <w:bookmarkEnd w:id="23"/>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spacing w:line="400" w:lineRule="exact"/>
        <w:rPr>
          <w:rFonts w:ascii="黑体" w:hAnsi="Times New Roman" w:eastAsia="黑体" w:cs="Times New Roman"/>
          <w:b/>
          <w:sz w:val="28"/>
          <w:szCs w:val="28"/>
        </w:rPr>
        <w:outlineLvl w:val="1"/>
      </w:pPr>
      <w:r>
        <w:rPr>
          <w:rFonts w:ascii="黑体" w:hAnsi="Times New Roman" w:eastAsia="黑体" w:cs="Times New Roman"/>
          <w:b/>
          <w:sz w:val="28"/>
          <w:szCs w:val="28"/>
        </w:rPr>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77"/>
        <w:gridCol w:w="911"/>
        <w:gridCol w:w="952"/>
        <w:gridCol w:w="1265"/>
        <w:gridCol w:w="1422"/>
        <w:gridCol w:w="842"/>
        <w:gridCol w:w="980"/>
        <w:gridCol w:w="815"/>
        <w:gridCol w:w="816"/>
        <w:gridCol w:w="836"/>
        <w:gridCol w:w="12"/>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项目实施方案及需要说明的其他内容</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1、投标人对该项目招标文件中提出的采购需求提供具体的项目实施方案：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（1）设备安装调试方案；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（2）售后服务、培训方案；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（3）人员配置方案；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（4）其他方案等。</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2、投标人认为需要加以说明的其他内容，格式自定。</w:t>
      </w:r>
      <w:r/>
    </w:p>
    <w:p>
      <w:pPr>
        <w:jc w:val="center"/>
        <w:spacing w:line="36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中小企业声明函（货物）</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江阴市中医外科医院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彩色多普勒便携式心脏超声诊断仪项目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rPr>
        <w:t xml:space="preserve"> </w:t>
      </w:r>
      <w:r>
        <w:rPr>
          <w:rFonts w:hint="eastAsia" w:ascii="宋体" w:hAnsi="宋体" w:eastAsia="宋体" w:cs="仿宋"/>
          <w:sz w:val="24"/>
          <w:szCs w:val="24"/>
          <w:u w:val="single"/>
        </w:rPr>
        <w:t xml:space="preserve">彩色多普勒便携式心脏超声诊断仪</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PUA">
    <w:panose1 w:val="02010600030101010101"/>
  </w:font>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1166029"/>
      <w:docPartObj>
        <w:docPartGallery w:val="Page Numbers (Bottom of Page)"/>
        <w:docPartUnique w:val="true"/>
      </w:docPartObj>
      <w:rPr/>
    </w:sdtPr>
    <w:sdtContent>
      <w:p>
        <w:pPr>
          <w:pStyle w:val="982"/>
          <w:jc w:val="center"/>
        </w:pPr>
        <w:r>
          <w:fldChar w:fldCharType="begin"/>
        </w:r>
        <w:r>
          <w:instrText xml:space="preserve">PAGE   \* MERGEFORMAT</w:instrText>
        </w:r>
        <w:r>
          <w:fldChar w:fldCharType="separate"/>
        </w:r>
        <w:r>
          <w:rPr>
            <w:lang w:val="zh-CN"/>
          </w:rPr>
          <w:t xml:space="preserve">-</w:t>
        </w:r>
        <w:r>
          <w:t xml:space="preserve"> 16 -</w:t>
        </w:r>
        <w:r>
          <w:fldChar w:fldCharType="end"/>
        </w:r>
        <w:r/>
      </w:p>
    </w:sdtContent>
  </w:sdt>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8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31445"/>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31445"/>
                      </a:xfrm>
                      <a:prstGeom prst="rect">
                        <a:avLst/>
                      </a:prstGeom>
                      <a:noFill/>
                      <a:ln>
                        <a:noFill/>
                      </a:ln>
                    </wps:spPr>
                    <wps:txbx>
                      <w:txbxContent>
                        <w:p>
                          <w:pPr>
                            <w:pStyle w:val="982"/>
                          </w:pPr>
                          <w:r>
                            <w:t xml:space="preserve">— </w:t>
                          </w:r>
                          <w:r>
                            <w:fldChar w:fldCharType="begin"/>
                          </w:r>
                          <w:r>
                            <w:instrText xml:space="preserve"> PAGE  \* MERGEFORMAT </w:instrText>
                          </w:r>
                          <w:r>
                            <w:fldChar w:fldCharType="separate"/>
                          </w:r>
                          <w:r>
                            <w:t xml:space="preserve">- 21 -</w:t>
                          </w:r>
                          <w:r>
                            <w:fldChar w:fldCharType="end"/>
                          </w:r>
                          <w:r>
                            <w:t xml:space="preserve"> —</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1.5pt;height:10.3pt;mso-wrap-distance-left:9.0pt;mso-wrap-distance-top:0.0pt;mso-wrap-distance-right:9.0pt;mso-wrap-distance-bottom:0.0pt;v-text-anchor:top;visibility:visible;" filled="f" stroked="f">
              <v:textbox inset="0,0,0,0">
                <w:txbxContent>
                  <w:p>
                    <w:pPr>
                      <w:pStyle w:val="982"/>
                    </w:pPr>
                    <w:r>
                      <w:t xml:space="preserve">— </w:t>
                    </w:r>
                    <w:r>
                      <w:fldChar w:fldCharType="begin"/>
                    </w:r>
                    <w:r>
                      <w:instrText xml:space="preserve"> PAGE  \* MERGEFORMAT </w:instrText>
                    </w:r>
                    <w:r>
                      <w:fldChar w:fldCharType="separate"/>
                    </w:r>
                    <w:r>
                      <w:t xml:space="preserve">- 21 -</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hint="eastAsia" w:ascii="黑体" w:hAnsi="黑体" w:eastAsia="黑体" w:cs="Times New Roman"/>
        <w:bCs/>
        <w:sz w:val="18"/>
        <w:szCs w:val="18"/>
      </w:rPr>
      <w:t xml:space="preserve">JSZC-320281-JZCG-G202</w:t>
    </w:r>
    <w:r>
      <w:rPr>
        <w:rFonts w:hint="eastAsia" w:ascii="黑体" w:hAnsi="黑体" w:eastAsia="黑体" w:cs="Times New Roman"/>
        <w:bCs/>
        <w:sz w:val="18"/>
        <w:szCs w:val="18"/>
      </w:rPr>
      <w:t xml:space="preserve">5</w:t>
    </w:r>
    <w:r>
      <w:rPr>
        <w:rFonts w:hint="eastAsia" w:ascii="黑体" w:hAnsi="黑体" w:eastAsia="黑体" w:cs="Times New Roman"/>
        <w:bCs/>
        <w:sz w:val="18"/>
        <w:szCs w:val="18"/>
      </w:rPr>
      <w:t xml:space="preserve">-0</w:t>
    </w:r>
    <w:r>
      <w:rPr>
        <w:rFonts w:hint="eastAsia" w:ascii="黑体" w:hAnsi="黑体" w:eastAsia="黑体" w:cs="Times New Roman"/>
        <w:bCs/>
        <w:sz w:val="18"/>
        <w:szCs w:val="18"/>
      </w:rPr>
      <w:t xml:space="preserve">0</w:t>
    </w:r>
    <w:r>
      <w:rPr>
        <w:rFonts w:hint="eastAsia" w:ascii="黑体" w:hAnsi="黑体" w:eastAsia="黑体" w:cs="Times New Roman"/>
        <w:bCs/>
        <w:sz w:val="18"/>
        <w:szCs w:val="18"/>
      </w:rPr>
      <w:t xml:space="preserve">28</w:t>
    </w:r>
    <w:r>
      <w:rPr>
        <w:rFonts w:hint="eastAsia" w:ascii="黑体" w:hAnsi="黑体" w:eastAsia="黑体" w:cs="Times New Roman"/>
        <w:bCs/>
        <w:sz w:val="18"/>
        <w:szCs w:val="18"/>
      </w:rPr>
      <w:t xml:space="preserve">彩色多普勒便携式心脏超声诊断</w:t>
    </w:r>
    <w:r>
      <w:rPr>
        <w:rFonts w:hint="eastAsia" w:ascii="黑体" w:hAnsi="黑体" w:eastAsia="黑体" w:cs="Times New Roman"/>
        <w:bCs/>
        <w:sz w:val="18"/>
        <w:szCs w:val="18"/>
      </w:rPr>
      <w:t xml:space="preserve">仪项目</w:t>
    </w:r>
    <w:r>
      <w:rPr>
        <w:rFonts w:hint="eastAsia" w:ascii="黑体" w:hAnsi="黑体" w:eastAsia="黑体" w:cs="Times New Roman"/>
        <w:bCs/>
        <w:sz w:val="18"/>
        <w:szCs w:val="18"/>
      </w:rPr>
      <w:t xml:space="preserve">              </w:t>
    </w:r>
    <w:r>
      <w:rPr>
        <w:rFonts w:hint="eastAsia" w:ascii="黑体" w:hAnsi="黑体" w:eastAsia="黑体" w:cs="Times New Roman"/>
        <w:bCs/>
        <w:sz w:val="18"/>
        <w:szCs w:val="18"/>
      </w:rPr>
      <w:t xml:space="preserve">           </w:t>
    </w:r>
    <w:r>
      <w:rPr>
        <w:rFonts w:hint="eastAsia" w:ascii="黑体" w:hAnsi="黑体" w:eastAsia="黑体" w:cs="Times New Roman"/>
        <w:bCs/>
        <w:sz w:val="18"/>
        <w:szCs w:val="18"/>
      </w:rPr>
      <w:t xml:space="preserve">江阴市政</w:t>
    </w:r>
    <w:r>
      <w:rPr>
        <w:rFonts w:ascii="黑体" w:hAnsi="黑体" w:eastAsia="黑体" w:cs="Times New Roman"/>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27">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6"/>
  </w:num>
  <w:num w:numId="3">
    <w:abstractNumId w:val="29"/>
  </w:num>
  <w:num w:numId="4">
    <w:abstractNumId w:val="11"/>
  </w:num>
  <w:num w:numId="5">
    <w:abstractNumId w:val="2"/>
  </w:num>
  <w:num w:numId="6">
    <w:abstractNumId w:val="24"/>
  </w:num>
  <w:num w:numId="7">
    <w:abstractNumId w:val="26"/>
  </w:num>
  <w:num w:numId="8">
    <w:abstractNumId w:val="32"/>
  </w:num>
  <w:num w:numId="9">
    <w:abstractNumId w:val="30"/>
  </w:num>
  <w:num w:numId="10">
    <w:abstractNumId w:val="7"/>
  </w:num>
  <w:num w:numId="11">
    <w:abstractNumId w:val="6"/>
  </w:num>
  <w:num w:numId="12">
    <w:abstractNumId w:val="9"/>
  </w:num>
  <w:num w:numId="13">
    <w:abstractNumId w:val="1"/>
  </w:num>
  <w:num w:numId="14">
    <w:abstractNumId w:val="25"/>
  </w:num>
  <w:num w:numId="15">
    <w:abstractNumId w:val="21"/>
  </w:num>
  <w:num w:numId="16">
    <w:abstractNumId w:val="31"/>
  </w:num>
  <w:num w:numId="17">
    <w:abstractNumId w:val="33"/>
  </w:num>
  <w:num w:numId="18">
    <w:abstractNumId w:val="8"/>
  </w:num>
  <w:num w:numId="19">
    <w:abstractNumId w:val="17"/>
  </w:num>
  <w:num w:numId="20">
    <w:abstractNumId w:val="14"/>
  </w:num>
  <w:num w:numId="21">
    <w:abstractNumId w:val="19"/>
  </w:num>
  <w:num w:numId="22">
    <w:abstractNumId w:val="15"/>
  </w:num>
  <w:num w:numId="23">
    <w:abstractNumId w:val="3"/>
  </w:num>
  <w:num w:numId="24">
    <w:abstractNumId w:val="12"/>
  </w:num>
  <w:num w:numId="25">
    <w:abstractNumId w:val="5"/>
  </w:num>
  <w:num w:numId="26">
    <w:abstractNumId w:val="4"/>
  </w:num>
  <w:num w:numId="27">
    <w:abstractNumId w:val="10"/>
  </w:num>
  <w:num w:numId="28">
    <w:abstractNumId w:val="18"/>
  </w:num>
  <w:num w:numId="29">
    <w:abstractNumId w:val="23"/>
  </w:num>
  <w:num w:numId="30">
    <w:abstractNumId w:val="27"/>
  </w:num>
  <w:num w:numId="31">
    <w:abstractNumId w:val="28"/>
  </w:num>
  <w:num w:numId="32">
    <w:abstractNumId w:val="13"/>
  </w:num>
  <w:num w:numId="33">
    <w:abstractNumId w:val="22"/>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964"/>
    <w:next w:val="964"/>
    <w:link w:val="802"/>
    <w:uiPriority w:val="9"/>
    <w:qFormat/>
    <w:pPr>
      <w:keepLines/>
      <w:keepNext/>
      <w:spacing w:before="480" w:after="200"/>
      <w:outlineLvl w:val="0"/>
    </w:pPr>
    <w:rPr>
      <w:rFonts w:ascii="Arial" w:hAnsi="Arial" w:eastAsia="Arial" w:cs="Arial"/>
      <w:sz w:val="40"/>
      <w:szCs w:val="40"/>
    </w:rPr>
  </w:style>
  <w:style w:type="character" w:styleId="802">
    <w:name w:val="Heading 1 Char"/>
    <w:basedOn w:val="965"/>
    <w:link w:val="801"/>
    <w:uiPriority w:val="9"/>
    <w:rPr>
      <w:rFonts w:ascii="Arial" w:hAnsi="Arial" w:eastAsia="Arial" w:cs="Arial"/>
      <w:sz w:val="40"/>
      <w:szCs w:val="40"/>
    </w:rPr>
  </w:style>
  <w:style w:type="paragraph" w:styleId="803">
    <w:name w:val="Heading 2"/>
    <w:basedOn w:val="964"/>
    <w:next w:val="964"/>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basedOn w:val="965"/>
    <w:link w:val="803"/>
    <w:uiPriority w:val="9"/>
    <w:rPr>
      <w:rFonts w:ascii="Arial" w:hAnsi="Arial" w:eastAsia="Arial" w:cs="Arial"/>
      <w:sz w:val="34"/>
    </w:rPr>
  </w:style>
  <w:style w:type="paragraph" w:styleId="805">
    <w:name w:val="Heading 3"/>
    <w:basedOn w:val="964"/>
    <w:next w:val="964"/>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basedOn w:val="965"/>
    <w:link w:val="805"/>
    <w:uiPriority w:val="9"/>
    <w:rPr>
      <w:rFonts w:ascii="Arial" w:hAnsi="Arial" w:eastAsia="Arial" w:cs="Arial"/>
      <w:sz w:val="30"/>
      <w:szCs w:val="30"/>
    </w:rPr>
  </w:style>
  <w:style w:type="paragraph" w:styleId="807">
    <w:name w:val="Heading 4"/>
    <w:basedOn w:val="964"/>
    <w:next w:val="964"/>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basedOn w:val="965"/>
    <w:link w:val="807"/>
    <w:uiPriority w:val="9"/>
    <w:rPr>
      <w:rFonts w:ascii="Arial" w:hAnsi="Arial" w:eastAsia="Arial" w:cs="Arial"/>
      <w:b/>
      <w:bCs/>
      <w:sz w:val="26"/>
      <w:szCs w:val="26"/>
    </w:rPr>
  </w:style>
  <w:style w:type="paragraph" w:styleId="809">
    <w:name w:val="Heading 5"/>
    <w:basedOn w:val="964"/>
    <w:next w:val="964"/>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basedOn w:val="965"/>
    <w:link w:val="809"/>
    <w:uiPriority w:val="9"/>
    <w:rPr>
      <w:rFonts w:ascii="Arial" w:hAnsi="Arial" w:eastAsia="Arial" w:cs="Arial"/>
      <w:b/>
      <w:bCs/>
      <w:sz w:val="24"/>
      <w:szCs w:val="24"/>
    </w:rPr>
  </w:style>
  <w:style w:type="paragraph" w:styleId="811">
    <w:name w:val="Heading 6"/>
    <w:basedOn w:val="964"/>
    <w:next w:val="964"/>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basedOn w:val="965"/>
    <w:link w:val="811"/>
    <w:uiPriority w:val="9"/>
    <w:rPr>
      <w:rFonts w:ascii="Arial" w:hAnsi="Arial" w:eastAsia="Arial" w:cs="Arial"/>
      <w:b/>
      <w:bCs/>
      <w:sz w:val="22"/>
      <w:szCs w:val="22"/>
    </w:rPr>
  </w:style>
  <w:style w:type="paragraph" w:styleId="813">
    <w:name w:val="Heading 7"/>
    <w:basedOn w:val="964"/>
    <w:next w:val="964"/>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basedOn w:val="965"/>
    <w:link w:val="813"/>
    <w:uiPriority w:val="9"/>
    <w:rPr>
      <w:rFonts w:ascii="Arial" w:hAnsi="Arial" w:eastAsia="Arial" w:cs="Arial"/>
      <w:b/>
      <w:bCs/>
      <w:i/>
      <w:iCs/>
      <w:sz w:val="22"/>
      <w:szCs w:val="22"/>
    </w:rPr>
  </w:style>
  <w:style w:type="paragraph" w:styleId="815">
    <w:name w:val="Heading 8"/>
    <w:basedOn w:val="964"/>
    <w:next w:val="964"/>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basedOn w:val="965"/>
    <w:link w:val="815"/>
    <w:uiPriority w:val="9"/>
    <w:rPr>
      <w:rFonts w:ascii="Arial" w:hAnsi="Arial" w:eastAsia="Arial" w:cs="Arial"/>
      <w:i/>
      <w:iCs/>
      <w:sz w:val="22"/>
      <w:szCs w:val="22"/>
    </w:rPr>
  </w:style>
  <w:style w:type="paragraph" w:styleId="817">
    <w:name w:val="Heading 9"/>
    <w:basedOn w:val="964"/>
    <w:next w:val="964"/>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basedOn w:val="965"/>
    <w:link w:val="817"/>
    <w:uiPriority w:val="9"/>
    <w:rPr>
      <w:rFonts w:ascii="Arial" w:hAnsi="Arial" w:eastAsia="Arial" w:cs="Arial"/>
      <w:i/>
      <w:iCs/>
      <w:sz w:val="21"/>
      <w:szCs w:val="21"/>
    </w:rPr>
  </w:style>
  <w:style w:type="paragraph" w:styleId="819">
    <w:name w:val="List Paragraph"/>
    <w:basedOn w:val="964"/>
    <w:uiPriority w:val="34"/>
    <w:qFormat/>
    <w:pPr>
      <w:contextualSpacing/>
      <w:ind w:left="720"/>
    </w:pPr>
  </w:style>
  <w:style w:type="character" w:styleId="820">
    <w:name w:val="Title Char"/>
    <w:basedOn w:val="965"/>
    <w:link w:val="968"/>
    <w:uiPriority w:val="10"/>
    <w:rPr>
      <w:sz w:val="48"/>
      <w:szCs w:val="48"/>
    </w:rPr>
  </w:style>
  <w:style w:type="paragraph" w:styleId="821">
    <w:name w:val="Subtitle"/>
    <w:basedOn w:val="964"/>
    <w:next w:val="964"/>
    <w:link w:val="822"/>
    <w:uiPriority w:val="11"/>
    <w:qFormat/>
    <w:pPr>
      <w:spacing w:before="200" w:after="200"/>
    </w:pPr>
    <w:rPr>
      <w:sz w:val="24"/>
      <w:szCs w:val="24"/>
    </w:rPr>
  </w:style>
  <w:style w:type="character" w:styleId="822">
    <w:name w:val="Subtitle Char"/>
    <w:basedOn w:val="965"/>
    <w:link w:val="821"/>
    <w:uiPriority w:val="11"/>
    <w:rPr>
      <w:sz w:val="24"/>
      <w:szCs w:val="24"/>
    </w:rPr>
  </w:style>
  <w:style w:type="paragraph" w:styleId="823">
    <w:name w:val="Quote"/>
    <w:basedOn w:val="964"/>
    <w:next w:val="964"/>
    <w:link w:val="824"/>
    <w:uiPriority w:val="29"/>
    <w:qFormat/>
    <w:pPr>
      <w:ind w:left="720" w:right="720"/>
    </w:pPr>
    <w:rPr>
      <w:i/>
    </w:rPr>
  </w:style>
  <w:style w:type="character" w:styleId="824">
    <w:name w:val="Quote Char"/>
    <w:link w:val="823"/>
    <w:uiPriority w:val="29"/>
    <w:rPr>
      <w:i/>
    </w:rPr>
  </w:style>
  <w:style w:type="paragraph" w:styleId="825">
    <w:name w:val="Intense Quote"/>
    <w:basedOn w:val="964"/>
    <w:next w:val="964"/>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65"/>
    <w:link w:val="980"/>
    <w:uiPriority w:val="99"/>
  </w:style>
  <w:style w:type="character" w:styleId="828">
    <w:name w:val="Footer Char"/>
    <w:basedOn w:val="965"/>
    <w:link w:val="982"/>
    <w:uiPriority w:val="99"/>
  </w:style>
  <w:style w:type="paragraph" w:styleId="829">
    <w:name w:val="Caption"/>
    <w:basedOn w:val="964"/>
    <w:next w:val="964"/>
    <w:uiPriority w:val="35"/>
    <w:semiHidden/>
    <w:unhideWhenUsed/>
    <w:qFormat/>
    <w:pPr>
      <w:spacing w:line="276" w:lineRule="auto"/>
    </w:pPr>
    <w:rPr>
      <w:b/>
      <w:bCs/>
      <w:color w:val="4f81bd" w:themeColor="accent1"/>
      <w:sz w:val="18"/>
      <w:szCs w:val="18"/>
    </w:rPr>
  </w:style>
  <w:style w:type="character" w:styleId="830">
    <w:name w:val="Caption Char"/>
    <w:basedOn w:val="829"/>
    <w:link w:val="982"/>
    <w:uiPriority w:val="99"/>
  </w:style>
  <w:style w:type="table" w:styleId="831">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6">
    <w:name w:val="footnote text"/>
    <w:basedOn w:val="964"/>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basedOn w:val="965"/>
    <w:uiPriority w:val="99"/>
    <w:unhideWhenUsed/>
    <w:rPr>
      <w:vertAlign w:val="superscript"/>
    </w:rPr>
  </w:style>
  <w:style w:type="paragraph" w:styleId="959">
    <w:name w:val="endnote text"/>
    <w:basedOn w:val="964"/>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65"/>
    <w:uiPriority w:val="99"/>
    <w:semiHidden/>
    <w:unhideWhenUsed/>
    <w:rPr>
      <w:vertAlign w:val="superscript"/>
    </w:r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qFormat/>
    <w:pPr>
      <w:jc w:val="both"/>
      <w:widowControl w:val="off"/>
    </w:pPr>
  </w:style>
  <w:style w:type="character" w:styleId="965" w:default="1">
    <w:name w:val="Default Paragraph Font"/>
    <w:uiPriority w:val="1"/>
    <w:semiHidden/>
    <w:unhideWhenUsed/>
  </w:style>
  <w:style w:type="table" w:styleId="966" w:default="1">
    <w:name w:val="Normal Table"/>
    <w:uiPriority w:val="99"/>
    <w:semiHidden/>
    <w:unhideWhenUsed/>
    <w:tblPr>
      <w:tblInd w:w="0" w:type="dxa"/>
      <w:tblCellMar>
        <w:left w:w="108" w:type="dxa"/>
        <w:top w:w="0" w:type="dxa"/>
        <w:right w:w="108" w:type="dxa"/>
        <w:bottom w:w="0" w:type="dxa"/>
      </w:tblCellMar>
    </w:tblPr>
  </w:style>
  <w:style w:type="numbering" w:styleId="967" w:default="1">
    <w:name w:val="No List"/>
    <w:uiPriority w:val="99"/>
    <w:semiHidden/>
    <w:unhideWhenUsed/>
  </w:style>
  <w:style w:type="paragraph" w:styleId="968">
    <w:name w:val="Title"/>
    <w:basedOn w:val="964"/>
    <w:next w:val="964"/>
    <w:link w:val="969"/>
    <w:uiPriority w:val="10"/>
    <w:qFormat/>
    <w:pPr>
      <w:jc w:val="center"/>
      <w:spacing w:line="400" w:lineRule="exact"/>
      <w:outlineLvl w:val="0"/>
    </w:pPr>
    <w:rPr>
      <w:rFonts w:eastAsia="黑体" w:asciiTheme="majorHAnsi" w:hAnsiTheme="majorHAnsi" w:cstheme="majorBidi"/>
      <w:bCs/>
      <w:sz w:val="30"/>
      <w:szCs w:val="32"/>
    </w:rPr>
  </w:style>
  <w:style w:type="character" w:styleId="969" w:customStyle="1">
    <w:name w:val="标题 Char"/>
    <w:basedOn w:val="965"/>
    <w:link w:val="968"/>
    <w:uiPriority w:val="10"/>
    <w:rPr>
      <w:rFonts w:eastAsia="黑体" w:asciiTheme="majorHAnsi" w:hAnsiTheme="majorHAnsi" w:cstheme="majorBidi"/>
      <w:bCs/>
      <w:sz w:val="30"/>
      <w:szCs w:val="32"/>
    </w:rPr>
  </w:style>
  <w:style w:type="paragraph" w:styleId="970">
    <w:name w:val="toc 1"/>
    <w:basedOn w:val="964"/>
    <w:next w:val="964"/>
    <w:uiPriority w:val="39"/>
    <w:unhideWhenUsed/>
    <w:pPr>
      <w:jc w:val="left"/>
      <w:spacing w:before="120" w:after="120"/>
    </w:pPr>
    <w:rPr>
      <w:b/>
      <w:bCs/>
      <w:caps/>
      <w:sz w:val="20"/>
      <w:szCs w:val="20"/>
    </w:rPr>
  </w:style>
  <w:style w:type="character" w:styleId="971">
    <w:name w:val="Hyperlink"/>
    <w:basedOn w:val="965"/>
    <w:uiPriority w:val="99"/>
    <w:unhideWhenUsed/>
    <w:rPr>
      <w:color w:val="0000ff" w:themeColor="hyperlink"/>
      <w:u w:val="single"/>
    </w:rPr>
  </w:style>
  <w:style w:type="paragraph" w:styleId="972">
    <w:name w:val="toc 2"/>
    <w:basedOn w:val="964"/>
    <w:next w:val="964"/>
    <w:uiPriority w:val="39"/>
    <w:unhideWhenUsed/>
    <w:pPr>
      <w:ind w:left="210"/>
      <w:jc w:val="left"/>
    </w:pPr>
    <w:rPr>
      <w:smallCaps/>
      <w:sz w:val="20"/>
      <w:szCs w:val="20"/>
    </w:rPr>
  </w:style>
  <w:style w:type="paragraph" w:styleId="973">
    <w:name w:val="toc 3"/>
    <w:basedOn w:val="964"/>
    <w:next w:val="964"/>
    <w:uiPriority w:val="39"/>
    <w:unhideWhenUsed/>
    <w:pPr>
      <w:ind w:left="420"/>
      <w:jc w:val="left"/>
    </w:pPr>
    <w:rPr>
      <w:i/>
      <w:iCs/>
      <w:sz w:val="20"/>
      <w:szCs w:val="20"/>
    </w:rPr>
  </w:style>
  <w:style w:type="paragraph" w:styleId="974">
    <w:name w:val="toc 4"/>
    <w:basedOn w:val="964"/>
    <w:next w:val="964"/>
    <w:uiPriority w:val="39"/>
    <w:unhideWhenUsed/>
    <w:pPr>
      <w:ind w:left="630"/>
      <w:jc w:val="left"/>
    </w:pPr>
    <w:rPr>
      <w:sz w:val="18"/>
      <w:szCs w:val="18"/>
    </w:rPr>
  </w:style>
  <w:style w:type="paragraph" w:styleId="975">
    <w:name w:val="toc 5"/>
    <w:basedOn w:val="964"/>
    <w:next w:val="964"/>
    <w:uiPriority w:val="39"/>
    <w:unhideWhenUsed/>
    <w:pPr>
      <w:ind w:left="840"/>
      <w:jc w:val="left"/>
    </w:pPr>
    <w:rPr>
      <w:sz w:val="18"/>
      <w:szCs w:val="18"/>
    </w:rPr>
  </w:style>
  <w:style w:type="paragraph" w:styleId="976">
    <w:name w:val="toc 6"/>
    <w:basedOn w:val="964"/>
    <w:next w:val="964"/>
    <w:uiPriority w:val="39"/>
    <w:unhideWhenUsed/>
    <w:pPr>
      <w:ind w:left="1050"/>
      <w:jc w:val="left"/>
    </w:pPr>
    <w:rPr>
      <w:sz w:val="18"/>
      <w:szCs w:val="18"/>
    </w:rPr>
  </w:style>
  <w:style w:type="paragraph" w:styleId="977">
    <w:name w:val="toc 7"/>
    <w:basedOn w:val="964"/>
    <w:next w:val="964"/>
    <w:uiPriority w:val="39"/>
    <w:unhideWhenUsed/>
    <w:pPr>
      <w:ind w:left="1260"/>
      <w:jc w:val="left"/>
    </w:pPr>
    <w:rPr>
      <w:sz w:val="18"/>
      <w:szCs w:val="18"/>
    </w:rPr>
  </w:style>
  <w:style w:type="paragraph" w:styleId="978">
    <w:name w:val="toc 8"/>
    <w:basedOn w:val="964"/>
    <w:next w:val="964"/>
    <w:uiPriority w:val="39"/>
    <w:unhideWhenUsed/>
    <w:pPr>
      <w:ind w:left="1470"/>
      <w:jc w:val="left"/>
    </w:pPr>
    <w:rPr>
      <w:sz w:val="18"/>
      <w:szCs w:val="18"/>
    </w:rPr>
  </w:style>
  <w:style w:type="paragraph" w:styleId="979">
    <w:name w:val="toc 9"/>
    <w:basedOn w:val="964"/>
    <w:next w:val="964"/>
    <w:uiPriority w:val="39"/>
    <w:unhideWhenUsed/>
    <w:pPr>
      <w:ind w:left="1680"/>
      <w:jc w:val="left"/>
    </w:pPr>
    <w:rPr>
      <w:sz w:val="18"/>
      <w:szCs w:val="18"/>
    </w:rPr>
  </w:style>
  <w:style w:type="paragraph" w:styleId="980">
    <w:name w:val="Header"/>
    <w:basedOn w:val="964"/>
    <w:link w:val="981"/>
    <w:unhideWhenUsed/>
    <w:pPr>
      <w:jc w:val="center"/>
      <w:tabs>
        <w:tab w:val="center" w:pos="4153" w:leader="none"/>
        <w:tab w:val="right" w:pos="8306" w:leader="none"/>
      </w:tabs>
      <w:pBdr>
        <w:bottom w:val="single" w:color="auto" w:sz="6" w:space="1"/>
      </w:pBdr>
    </w:pPr>
    <w:rPr>
      <w:sz w:val="18"/>
      <w:szCs w:val="18"/>
    </w:rPr>
  </w:style>
  <w:style w:type="character" w:styleId="981" w:customStyle="1">
    <w:name w:val="页眉 Char"/>
    <w:basedOn w:val="965"/>
    <w:link w:val="980"/>
    <w:qFormat/>
    <w:rPr>
      <w:sz w:val="18"/>
      <w:szCs w:val="18"/>
    </w:rPr>
  </w:style>
  <w:style w:type="paragraph" w:styleId="982">
    <w:name w:val="Footer"/>
    <w:basedOn w:val="964"/>
    <w:link w:val="983"/>
    <w:unhideWhenUsed/>
    <w:pPr>
      <w:jc w:val="left"/>
      <w:tabs>
        <w:tab w:val="center" w:pos="4153" w:leader="none"/>
        <w:tab w:val="right" w:pos="8306" w:leader="none"/>
      </w:tabs>
    </w:pPr>
    <w:rPr>
      <w:sz w:val="18"/>
      <w:szCs w:val="18"/>
    </w:rPr>
  </w:style>
  <w:style w:type="character" w:styleId="983" w:customStyle="1">
    <w:name w:val="页脚 Char"/>
    <w:basedOn w:val="965"/>
    <w:link w:val="982"/>
    <w:rPr>
      <w:sz w:val="18"/>
      <w:szCs w:val="18"/>
    </w:rPr>
  </w:style>
  <w:style w:type="character" w:styleId="984">
    <w:name w:val="page number"/>
  </w:style>
  <w:style w:type="character" w:styleId="985" w:customStyle="1">
    <w:name w:val="font2800"/>
    <w:basedOn w:val="965"/>
  </w:style>
  <w:style w:type="table" w:styleId="986">
    <w:name w:val="Table Grid"/>
    <w:basedOn w:val="966"/>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7">
    <w:name w:val="Balloon Text"/>
    <w:basedOn w:val="964"/>
    <w:link w:val="988"/>
    <w:uiPriority w:val="99"/>
    <w:semiHidden/>
    <w:unhideWhenUsed/>
    <w:qFormat/>
    <w:rPr>
      <w:sz w:val="18"/>
      <w:szCs w:val="18"/>
    </w:rPr>
  </w:style>
  <w:style w:type="character" w:styleId="988" w:customStyle="1">
    <w:name w:val="批注框文本 Char"/>
    <w:basedOn w:val="965"/>
    <w:link w:val="987"/>
    <w:uiPriority w:val="99"/>
    <w:semiHidden/>
    <w:qFormat/>
    <w:rPr>
      <w:sz w:val="18"/>
      <w:szCs w:val="18"/>
    </w:rPr>
  </w:style>
  <w:style w:type="table" w:styleId="989" w:customStyle="1">
    <w:name w:val="网格型1"/>
    <w:basedOn w:val="966"/>
    <w:next w:val="986"/>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0">
    <w:name w:val="annotation reference"/>
    <w:basedOn w:val="965"/>
    <w:uiPriority w:val="99"/>
    <w:semiHidden/>
    <w:unhideWhenUsed/>
    <w:qFormat/>
    <w:rPr>
      <w:sz w:val="21"/>
      <w:szCs w:val="21"/>
    </w:rPr>
  </w:style>
  <w:style w:type="paragraph" w:styleId="991">
    <w:name w:val="annotation text"/>
    <w:basedOn w:val="964"/>
    <w:link w:val="992"/>
    <w:uiPriority w:val="99"/>
    <w:semiHidden/>
    <w:unhideWhenUsed/>
    <w:pPr>
      <w:jc w:val="left"/>
    </w:pPr>
  </w:style>
  <w:style w:type="character" w:styleId="992" w:customStyle="1">
    <w:name w:val="批注文字 Char"/>
    <w:basedOn w:val="965"/>
    <w:link w:val="991"/>
    <w:uiPriority w:val="99"/>
    <w:semiHidden/>
    <w:qFormat/>
  </w:style>
  <w:style w:type="paragraph" w:styleId="993">
    <w:name w:val="annotation subject"/>
    <w:basedOn w:val="991"/>
    <w:next w:val="991"/>
    <w:link w:val="994"/>
    <w:uiPriority w:val="99"/>
    <w:semiHidden/>
    <w:unhideWhenUsed/>
    <w:rPr>
      <w:b/>
      <w:bCs/>
    </w:rPr>
  </w:style>
  <w:style w:type="character" w:styleId="994" w:customStyle="1">
    <w:name w:val="批注主题 Char"/>
    <w:basedOn w:val="992"/>
    <w:link w:val="993"/>
    <w:uiPriority w:val="99"/>
    <w:semiHidden/>
    <w:rPr>
      <w:b/>
      <w:bCs/>
    </w:rPr>
  </w:style>
  <w:style w:type="paragraph" w:styleId="995">
    <w:name w:val="Body Text"/>
    <w:basedOn w:val="964"/>
    <w:link w:val="997"/>
    <w:pPr>
      <w:spacing w:line="360" w:lineRule="auto"/>
    </w:pPr>
    <w:rPr>
      <w:rFonts w:ascii="楷体_GB2312" w:hAnsi="Times New Roman" w:eastAsia="楷体_GB2312" w:cs="Times New Roman"/>
      <w:bCs/>
      <w:sz w:val="28"/>
      <w:szCs w:val="24"/>
    </w:rPr>
  </w:style>
  <w:style w:type="character" w:styleId="996" w:customStyle="1">
    <w:name w:val="正文文本 Char"/>
    <w:basedOn w:val="965"/>
    <w:uiPriority w:val="99"/>
    <w:semiHidden/>
    <w:qFormat/>
  </w:style>
  <w:style w:type="character" w:styleId="997" w:customStyle="1">
    <w:name w:val="正文文本 Char1"/>
    <w:link w:val="995"/>
    <w:qFormat/>
    <w:rPr>
      <w:rFonts w:ascii="楷体_GB2312" w:hAnsi="Times New Roman" w:eastAsia="楷体_GB2312" w:cs="Times New Roman"/>
      <w:bCs/>
      <w:sz w:val="28"/>
      <w:szCs w:val="24"/>
    </w:rPr>
  </w:style>
  <w:style w:type="paragraph" w:styleId="998" w:customStyle="1">
    <w:name w:val="Table Paragraph"/>
    <w:basedOn w:val="964"/>
    <w:uiPriority w:val="1"/>
    <w:pPr>
      <w:ind w:firstLine="260"/>
      <w:jc w:val="left"/>
      <w:spacing w:line="360" w:lineRule="auto"/>
    </w:pPr>
    <w:rPr>
      <w:rFonts w:ascii="Calibri" w:hAnsi="Calibri" w:eastAsia="仿宋" w:cs="Times New Roman"/>
      <w:sz w:val="28"/>
      <w:lang w:eastAsia="en-US"/>
    </w:rPr>
  </w:style>
  <w:style w:type="paragraph" w:styleId="999">
    <w:name w:val="No Spacing"/>
    <w:link w:val="1000"/>
    <w:uiPriority w:val="1"/>
    <w:qFormat/>
    <w:pPr>
      <w:jc w:val="both"/>
      <w:spacing w:line="360" w:lineRule="auto"/>
      <w:widowControl w:val="off"/>
    </w:pPr>
    <w:rPr>
      <w:rFonts w:ascii="宋体" w:hAnsi="宋体"/>
      <w:sz w:val="24"/>
    </w:rPr>
  </w:style>
  <w:style w:type="character" w:styleId="1000" w:customStyle="1">
    <w:name w:val="无间隔 Char"/>
    <w:link w:val="999"/>
    <w:uiPriority w:val="1"/>
    <w:qFormat/>
    <w:rPr>
      <w:rFonts w:ascii="宋体" w:hAnsi="宋体"/>
      <w:sz w:val="24"/>
    </w:rPr>
  </w:style>
  <w:style w:type="paragraph" w:styleId="1001">
    <w:name w:val="Body Text Indent"/>
    <w:basedOn w:val="964"/>
    <w:link w:val="1002"/>
    <w:unhideWhenUsed/>
    <w:pPr>
      <w:ind w:left="420"/>
      <w:spacing w:after="120"/>
    </w:pPr>
  </w:style>
  <w:style w:type="character" w:styleId="1002" w:customStyle="1">
    <w:name w:val="正文文本缩进 Char"/>
    <w:basedOn w:val="965"/>
    <w:link w:val="1001"/>
    <w:qFormat/>
  </w:style>
  <w:style w:type="table" w:styleId="1003" w:customStyle="1">
    <w:name w:val="网格型2"/>
    <w:basedOn w:val="966"/>
    <w:next w:val="986"/>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4">
    <w:name w:val="Revision"/>
    <w:hidden/>
    <w:uiPriority w:val="99"/>
    <w:unhideWhenUsed/>
  </w:style>
  <w:style w:type="table" w:styleId="1005" w:customStyle="1">
    <w:name w:val="网格型3"/>
    <w:basedOn w:val="966"/>
    <w:next w:val="986"/>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06" w:customStyle="1">
    <w:name w:val="无列表1"/>
    <w:next w:val="967"/>
    <w:uiPriority w:val="99"/>
    <w:semiHidden/>
    <w:unhideWhenUsed/>
  </w:style>
  <w:style w:type="table" w:styleId="1007" w:customStyle="1">
    <w:name w:val="网格型4"/>
    <w:basedOn w:val="966"/>
    <w:next w:val="986"/>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customStyle="1">
    <w:name w:val="Table Normal"/>
    <w:semiHidden/>
    <w:unhideWhenUsed/>
    <w:qFormat/>
    <w:rPr>
      <w:sz w:val="20"/>
      <w:szCs w:val="20"/>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627EC-6C69-4EB5-9C31-2DF73175A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⽀ص</dc:creator>
  <cp:keywords/>
  <dc:description/>
  <cp:lastModifiedBy>张林乔</cp:lastModifiedBy>
  <cp:revision>530</cp:revision>
  <dcterms:created xsi:type="dcterms:W3CDTF">2024-05-14T07:17:00Z</dcterms:created>
  <dcterms:modified xsi:type="dcterms:W3CDTF">2025-06-24T05:34:18Z</dcterms:modified>
</cp:coreProperties>
</file>