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color w:val="000000"/>
          <w:sz w:val="84"/>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color w:val="000000"/>
          <w:sz w:val="84"/>
        </w:rPr>
        <w:t>招　标　文　件</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right="0"/>
        <w:jc w:val="both"/>
        <w:rPr>
          <w:rFonts w:ascii="宋体" w:hAnsi="宋体" w:eastAsia="宋体" w:cs="宋体"/>
          <w:b/>
          <w:color w:val="000000"/>
          <w:sz w:val="32"/>
        </w:rPr>
      </w:pPr>
      <w:r>
        <w:rPr>
          <w:rFonts w:ascii="宋体" w:hAnsi="宋体" w:eastAsia="宋体" w:cs="宋体"/>
          <w:b/>
          <w:color w:val="000000"/>
          <w:sz w:val="32"/>
        </w:rPr>
        <w:t>项目名称：扬州市妇幼保健院国家电子病历六级建设项目</w:t>
      </w:r>
    </w:p>
    <w:p>
      <w:pPr>
        <w:pBdr>
          <w:top w:val="none" w:color="000000" w:sz="0" w:space="0"/>
          <w:left w:val="none" w:color="000000" w:sz="0" w:space="0"/>
          <w:bottom w:val="none" w:color="000000" w:sz="0" w:space="0"/>
          <w:right w:val="none" w:color="000000" w:sz="0" w:space="0"/>
        </w:pBdr>
        <w:spacing w:before="240" w:after="240"/>
        <w:ind w:right="0"/>
        <w:jc w:val="both"/>
        <w:rPr>
          <w:rFonts w:ascii="宋体" w:hAnsi="宋体" w:eastAsia="宋体" w:cs="宋体"/>
          <w:b/>
          <w:color w:val="000000"/>
          <w:sz w:val="32"/>
        </w:rPr>
      </w:pPr>
      <w:r>
        <w:rPr>
          <w:rFonts w:ascii="宋体" w:hAnsi="宋体" w:eastAsia="宋体" w:cs="宋体"/>
          <w:b/>
          <w:color w:val="000000"/>
          <w:sz w:val="32"/>
        </w:rPr>
        <w:t>项目编号：JSZC-321000-JZCG-G2026-0010</w:t>
      </w:r>
    </w:p>
    <w:p>
      <w:pPr>
        <w:pBdr>
          <w:top w:val="none" w:color="000000" w:sz="0" w:space="0"/>
          <w:left w:val="none" w:color="000000" w:sz="0" w:space="0"/>
          <w:bottom w:val="none" w:color="000000" w:sz="0" w:space="0"/>
          <w:right w:val="none" w:color="000000" w:sz="0" w:space="0"/>
        </w:pBdr>
        <w:spacing w:before="0" w:after="0"/>
        <w:ind w:left="0" w:right="0" w:firstLine="1285"/>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1285"/>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r>
        <w:rPr>
          <w:rFonts w:ascii="宋体" w:hAnsi="宋体" w:eastAsia="宋体" w:cs="宋体"/>
          <w:b/>
          <w:color w:val="000000"/>
          <w:sz w:val="30"/>
        </w:rPr>
        <w:t>   </w:t>
      </w:r>
      <w:r>
        <w:rPr>
          <w:rFonts w:ascii="Times New Roman" w:hAnsi="Times New Roman" w:eastAsia="Times New Roman" w:cs="Times New Roman"/>
          <w:color w:val="000000"/>
          <w:sz w:val="21"/>
        </w:rPr>
        <w:t>  </w:t>
      </w:r>
      <w:r>
        <w:rPr>
          <w:rFonts w:ascii="Times New Roman" w:hAnsi="Times New Roman" w:eastAsia="Times New Roman" w:cs="Times New Roman"/>
          <w:b/>
          <w:color w:val="000000"/>
          <w:sz w:val="30"/>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扬州市公共资源交易中心</w:t>
      </w:r>
    </w:p>
    <w:p>
      <w:pPr>
        <w:pBdr>
          <w:top w:val="none" w:color="000000" w:sz="0" w:space="0"/>
          <w:left w:val="none" w:color="000000" w:sz="0" w:space="0"/>
          <w:bottom w:val="none" w:color="000000" w:sz="0" w:space="0"/>
          <w:right w:val="none" w:color="000000" w:sz="0" w:space="0"/>
        </w:pBdr>
        <w:spacing w:before="240" w:after="240"/>
        <w:ind w:left="0" w:right="0" w:firstLine="0"/>
        <w:jc w:val="center"/>
        <w:rPr>
          <w:color w:val="000000" w:themeColor="text1"/>
          <w14:textFill>
            <w14:solidFill>
              <w14:schemeClr w14:val="tx1"/>
            </w14:solidFill>
          </w14:textFill>
        </w:rPr>
      </w:pPr>
      <w:r>
        <w:rPr>
          <w:rFonts w:hint="eastAsia" w:ascii="宋体" w:hAnsi="宋体" w:cs="宋体"/>
          <w:b/>
          <w:color w:val="000000" w:themeColor="text1"/>
          <w:sz w:val="32"/>
          <w:u w:val="single"/>
          <w:lang w:val="en-US" w:eastAsia="zh-CN"/>
          <w14:textFill>
            <w14:solidFill>
              <w14:schemeClr w14:val="tx1"/>
            </w14:solidFill>
          </w14:textFill>
        </w:rPr>
        <w:t>2026</w:t>
      </w:r>
      <w:r>
        <w:rPr>
          <w:rFonts w:ascii="宋体" w:hAnsi="宋体" w:eastAsia="宋体" w:cs="宋体"/>
          <w:b/>
          <w:color w:val="000000" w:themeColor="text1"/>
          <w:sz w:val="32"/>
          <w14:textFill>
            <w14:solidFill>
              <w14:schemeClr w14:val="tx1"/>
            </w14:solidFill>
          </w14:textFill>
        </w:rPr>
        <w:t>年</w:t>
      </w:r>
      <w:r>
        <w:rPr>
          <w:rFonts w:hint="eastAsia" w:ascii="宋体" w:hAnsi="宋体" w:cs="宋体"/>
          <w:b/>
          <w:color w:val="000000" w:themeColor="text1"/>
          <w:sz w:val="32"/>
          <w:u w:val="single"/>
          <w:lang w:val="en-US" w:eastAsia="zh-CN"/>
          <w14:textFill>
            <w14:solidFill>
              <w14:schemeClr w14:val="tx1"/>
            </w14:solidFill>
          </w14:textFill>
        </w:rPr>
        <w:t>01</w:t>
      </w:r>
      <w:r>
        <w:rPr>
          <w:rFonts w:ascii="宋体" w:hAnsi="宋体" w:eastAsia="宋体" w:cs="宋体"/>
          <w:b/>
          <w:color w:val="000000" w:themeColor="text1"/>
          <w:sz w:val="32"/>
          <w14:textFill>
            <w14:solidFill>
              <w14:schemeClr w14:val="tx1"/>
            </w14:solidFill>
          </w14:textFill>
        </w:rPr>
        <w:t>月</w:t>
      </w:r>
    </w:p>
    <w:p>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44"/>
        </w:rPr>
        <w:t>总目录</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b/>
          <w:color w:val="000000"/>
          <w:sz w:val="28"/>
        </w:rPr>
        <w:t> </w:t>
      </w:r>
    </w:p>
    <w:p>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投标邀请……………………………………3</w:t>
      </w:r>
    </w:p>
    <w:p>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投标人须知…………………………………6</w:t>
      </w:r>
    </w:p>
    <w:p>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合同文本……………………………………15</w:t>
      </w:r>
    </w:p>
    <w:p>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采购需求……………………………………19</w:t>
      </w:r>
    </w:p>
    <w:p>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评标方法与评标标准………………………114</w:t>
      </w:r>
    </w:p>
    <w:p>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投标文件格式………………………………119</w:t>
      </w:r>
    </w:p>
    <w:p>
      <w:pPr>
        <w:pBdr>
          <w:top w:val="none" w:color="000000" w:sz="0" w:space="0"/>
          <w:left w:val="none" w:color="000000" w:sz="0" w:space="0"/>
          <w:bottom w:val="none" w:color="000000" w:sz="0" w:space="0"/>
          <w:right w:val="none" w:color="000000" w:sz="0" w:space="0"/>
        </w:pBdr>
        <w:spacing w:before="210" w:after="57"/>
        <w:ind w:left="0" w:right="0" w:firstLine="0"/>
        <w:jc w:val="both"/>
      </w:pP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黑体" w:hAnsi="黑体" w:eastAsia="黑体" w:cs="黑体"/>
          <w:color w:val="000000"/>
          <w:sz w:val="44"/>
        </w:rPr>
        <w:t> </w:t>
      </w:r>
    </w:p>
    <w:p>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黑体" w:hAnsi="黑体" w:eastAsia="黑体" w:cs="黑体"/>
          <w:color w:val="000000"/>
          <w:sz w:val="44"/>
        </w:rPr>
        <w:t> </w:t>
      </w:r>
    </w:p>
    <w:p>
      <w:pPr>
        <w:pStyle w:val="184"/>
      </w:pPr>
      <w:r>
        <w:rPr>
          <w:rStyle w:val="219"/>
          <w:rFonts w:ascii="黑体" w:hAnsi="黑体" w:eastAsia="黑体" w:cs="黑体"/>
        </w:rPr>
        <w:t>第一章 投标邀请</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受扬州市妇幼保健院的委托，扬州市公共资源交易中心就扬州市妇幼保健院国家电子病历六级建设项目(项目编号</w:t>
      </w:r>
      <w:r>
        <w:rPr>
          <w:rFonts w:hint="eastAsia" w:ascii="宋体" w:hAnsi="宋体" w:eastAsia="宋体" w:cs="宋体"/>
          <w:color w:val="000000"/>
          <w:sz w:val="24"/>
          <w:lang w:eastAsia="zh-CN"/>
        </w:rPr>
        <w:t>：</w:t>
      </w:r>
      <w:r>
        <w:rPr>
          <w:rFonts w:ascii="宋体" w:hAnsi="宋体" w:eastAsia="宋体" w:cs="宋体"/>
          <w:color w:val="000000"/>
          <w:sz w:val="24"/>
        </w:rPr>
        <w:t>JSZC-321000-JZCG-G202</w:t>
      </w:r>
      <w:r>
        <w:rPr>
          <w:rFonts w:hint="eastAsia" w:ascii="宋体" w:hAnsi="宋体" w:cs="宋体"/>
          <w:color w:val="000000"/>
          <w:sz w:val="24"/>
          <w:lang w:val="en-US" w:eastAsia="zh-CN"/>
        </w:rPr>
        <w:t>6</w:t>
      </w:r>
      <w:r>
        <w:rPr>
          <w:rFonts w:ascii="宋体" w:hAnsi="宋体" w:eastAsia="宋体" w:cs="宋体"/>
          <w:color w:val="000000"/>
          <w:sz w:val="24"/>
        </w:rPr>
        <w:t>-0</w:t>
      </w:r>
      <w:r>
        <w:rPr>
          <w:rFonts w:hint="eastAsia" w:ascii="宋体" w:hAnsi="宋体" w:cs="宋体"/>
          <w:color w:val="000000"/>
          <w:sz w:val="24"/>
          <w:lang w:val="en-US" w:eastAsia="zh-CN"/>
        </w:rPr>
        <w:t>010</w:t>
      </w:r>
      <w:r>
        <w:rPr>
          <w:rFonts w:ascii="宋体" w:hAnsi="宋体" w:eastAsia="宋体" w:cs="宋体"/>
          <w:color w:val="000000"/>
          <w:sz w:val="24"/>
        </w:rPr>
        <w:t>)项目进行公开招标采购，欢迎符合条件的供应商投标。</w:t>
      </w:r>
    </w:p>
    <w:p>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pPr>
      <w:r>
        <w:rPr>
          <w:rFonts w:ascii="宋体" w:hAnsi="宋体" w:eastAsia="宋体" w:cs="宋体"/>
          <w:color w:val="000000"/>
          <w:sz w:val="24"/>
        </w:rPr>
        <w:t>项目概况</w:t>
      </w:r>
    </w:p>
    <w:p>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pPr>
      <w:r>
        <w:rPr>
          <w:rFonts w:ascii="宋体" w:hAnsi="宋体" w:eastAsia="宋体" w:cs="宋体"/>
          <w:color w:val="000000"/>
          <w:sz w:val="24"/>
        </w:rPr>
        <w:t>扬州市妇幼保健院国家电子病历六级建设招标项目的潜在投标人可在</w:t>
      </w:r>
      <w:r>
        <w:rPr>
          <w:rFonts w:ascii="宋体" w:hAnsi="宋体" w:eastAsia="宋体" w:cs="宋体"/>
          <w:color w:val="000000"/>
          <w:sz w:val="24"/>
          <w:u w:val="single"/>
        </w:rPr>
        <w:t>“江苏政府采购网”“扬州市政府采购网”</w:t>
      </w:r>
      <w:r>
        <w:rPr>
          <w:rFonts w:ascii="宋体" w:hAnsi="宋体" w:eastAsia="宋体" w:cs="宋体"/>
          <w:color w:val="000000"/>
          <w:sz w:val="24"/>
        </w:rPr>
        <w:t>自行免费下载招标文件，并于</w:t>
      </w:r>
      <w:r>
        <w:rPr>
          <w:rFonts w:hint="eastAsia" w:ascii="宋体" w:hAnsi="宋体" w:cs="宋体"/>
          <w:color w:val="000000" w:themeColor="text1"/>
          <w:sz w:val="24"/>
          <w:u w:val="single"/>
          <w:lang w:val="en-US" w:eastAsia="zh-CN"/>
          <w14:textFill>
            <w14:solidFill>
              <w14:schemeClr w14:val="tx1"/>
            </w14:solidFill>
          </w14:textFill>
        </w:rPr>
        <w:t>2026</w:t>
      </w:r>
      <w:r>
        <w:rPr>
          <w:rFonts w:ascii="宋体" w:hAnsi="宋体" w:eastAsia="宋体" w:cs="宋体"/>
          <w:color w:val="000000" w:themeColor="text1"/>
          <w:sz w:val="24"/>
          <w:u w:val="single"/>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01</w:t>
      </w:r>
      <w:r>
        <w:rPr>
          <w:rFonts w:ascii="宋体" w:hAnsi="宋体" w:eastAsia="宋体" w:cs="宋体"/>
          <w:color w:val="000000" w:themeColor="text1"/>
          <w:sz w:val="24"/>
          <w:u w:val="single"/>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29</w:t>
      </w:r>
      <w:r>
        <w:rPr>
          <w:rFonts w:ascii="宋体" w:hAnsi="宋体" w:eastAsia="宋体" w:cs="宋体"/>
          <w:color w:val="000000" w:themeColor="text1"/>
          <w:sz w:val="24"/>
          <w:u w:val="single"/>
          <w14:textFill>
            <w14:solidFill>
              <w14:schemeClr w14:val="tx1"/>
            </w14:solidFill>
          </w14:textFill>
        </w:rPr>
        <w:t>日</w:t>
      </w:r>
      <w:r>
        <w:rPr>
          <w:rFonts w:hint="eastAsia" w:ascii="宋体" w:hAnsi="宋体" w:cs="宋体"/>
          <w:color w:val="000000" w:themeColor="text1"/>
          <w:sz w:val="24"/>
          <w:u w:val="single"/>
          <w:lang w:val="en-US" w:eastAsia="zh-CN"/>
          <w14:textFill>
            <w14:solidFill>
              <w14:schemeClr w14:val="tx1"/>
            </w14:solidFill>
          </w14:textFill>
        </w:rPr>
        <w:t>0</w:t>
      </w:r>
      <w:r>
        <w:rPr>
          <w:rFonts w:ascii="宋体" w:hAnsi="宋体" w:eastAsia="宋体" w:cs="宋体"/>
          <w:color w:val="000000" w:themeColor="text1"/>
          <w:sz w:val="24"/>
          <w:u w:val="single"/>
          <w14:textFill>
            <w14:solidFill>
              <w14:schemeClr w14:val="tx1"/>
            </w14:solidFill>
          </w14:textFill>
        </w:rPr>
        <w:t>9点30分</w:t>
      </w:r>
      <w:r>
        <w:rPr>
          <w:rFonts w:ascii="宋体" w:hAnsi="宋体" w:eastAsia="宋体" w:cs="宋体"/>
          <w:color w:val="000000"/>
          <w:sz w:val="24"/>
          <w:u w:val="single"/>
        </w:rPr>
        <w:t>（</w:t>
      </w:r>
      <w:r>
        <w:rPr>
          <w:rFonts w:ascii="宋体" w:hAnsi="宋体" w:eastAsia="宋体" w:cs="宋体"/>
          <w:color w:val="000000"/>
          <w:sz w:val="24"/>
        </w:rPr>
        <w:t>北京时间）前递交投标文件。</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一、项目基本情况</w:t>
      </w:r>
      <w:bookmarkStart w:id="486" w:name="_GoBack"/>
      <w:bookmarkEnd w:id="486"/>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default" w:eastAsia="宋体"/>
          <w:lang w:val="en-US" w:eastAsia="zh-CN"/>
        </w:rPr>
      </w:pPr>
      <w:r>
        <w:rPr>
          <w:rFonts w:ascii="宋体" w:hAnsi="宋体" w:eastAsia="宋体" w:cs="宋体"/>
          <w:color w:val="000000"/>
          <w:sz w:val="24"/>
        </w:rPr>
        <w:t>1.项目编号：JSZC-321000-JZCG-G202</w:t>
      </w:r>
      <w:r>
        <w:rPr>
          <w:rFonts w:hint="eastAsia" w:ascii="宋体" w:hAnsi="宋体" w:cs="宋体"/>
          <w:color w:val="000000"/>
          <w:sz w:val="24"/>
          <w:lang w:val="en-US" w:eastAsia="zh-CN"/>
        </w:rPr>
        <w:t>6</w:t>
      </w:r>
      <w:r>
        <w:rPr>
          <w:rFonts w:ascii="宋体" w:hAnsi="宋体" w:eastAsia="宋体" w:cs="宋体"/>
          <w:color w:val="000000"/>
          <w:sz w:val="24"/>
        </w:rPr>
        <w:t>-0</w:t>
      </w:r>
      <w:r>
        <w:rPr>
          <w:rFonts w:hint="eastAsia" w:ascii="宋体" w:hAnsi="宋体" w:cs="宋体"/>
          <w:color w:val="000000"/>
          <w:sz w:val="24"/>
          <w:lang w:val="en-US" w:eastAsia="zh-CN"/>
        </w:rPr>
        <w:t>010</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2.项目名称：扬州市妇幼保健院国家电子病历六级建设项目</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3.预算金额：</w:t>
      </w:r>
    </w:p>
    <w:tbl>
      <w:tblPr>
        <w:tblStyle w:val="35"/>
        <w:tblW w:w="906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816"/>
        <w:gridCol w:w="724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PrEx>
        <w:tc>
          <w:tcPr>
            <w:tcW w:w="181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724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预算金额（人民币：万元）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8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724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hint="eastAsia" w:ascii="宋体" w:hAnsi="宋体" w:eastAsia="宋体" w:cs="宋体"/>
                <w:i w:val="0"/>
                <w:caps w:val="0"/>
                <w:color w:val="000000" w:themeColor="text1"/>
                <w:spacing w:val="0"/>
                <w:sz w:val="24"/>
                <w:szCs w:val="24"/>
                <w:shd w:val="clear" w:color="auto" w:fill="FFFFFF"/>
                <w14:textFill>
                  <w14:solidFill>
                    <w14:schemeClr w14:val="tx1"/>
                  </w14:solidFill>
                </w14:textFill>
              </w:rPr>
              <w:t>1121.32 万元</w:t>
            </w:r>
          </w:p>
        </w:tc>
      </w:tr>
    </w:tbl>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4.最高限价：</w:t>
      </w:r>
    </w:p>
    <w:tbl>
      <w:tblPr>
        <w:tblStyle w:val="35"/>
        <w:tblW w:w="904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86"/>
        <w:gridCol w:w="3525"/>
        <w:gridCol w:w="373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78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352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是否设定最高限价（是/否）</w:t>
            </w:r>
          </w:p>
        </w:tc>
        <w:tc>
          <w:tcPr>
            <w:tcW w:w="373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最高限价（人民币：万元）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7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352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w:t>
            </w:r>
          </w:p>
        </w:tc>
        <w:tc>
          <w:tcPr>
            <w:tcW w:w="373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lang w:val="en-US" w:eastAsia="zh-CN"/>
              </w:rPr>
            </w:pPr>
            <w:r>
              <w:rPr>
                <w:rFonts w:hint="eastAsia" w:ascii="宋体" w:hAnsi="宋体" w:cs="宋体"/>
                <w:color w:val="000000"/>
                <w:sz w:val="24"/>
                <w:lang w:val="en-US" w:eastAsia="zh-CN"/>
              </w:rPr>
              <w:t>1121.32万元</w:t>
            </w:r>
          </w:p>
        </w:tc>
      </w:tr>
    </w:tbl>
    <w:p>
      <w:pPr>
        <w:pBdr>
          <w:top w:val="none" w:color="000000" w:sz="0" w:space="0"/>
          <w:left w:val="none" w:color="000000" w:sz="0" w:space="0"/>
          <w:bottom w:val="none" w:color="000000" w:sz="0" w:space="0"/>
          <w:right w:val="none" w:color="000000" w:sz="0" w:space="0"/>
        </w:pBdr>
        <w:spacing w:before="0" w:after="0" w:line="400" w:lineRule="atLeast"/>
        <w:ind w:left="0" w:firstLine="0"/>
        <w:jc w:val="both"/>
      </w:pPr>
      <w:r>
        <w:rPr>
          <w:rFonts w:ascii="宋体" w:hAnsi="宋体" w:eastAsia="宋体" w:cs="宋体"/>
          <w:color w:val="000000"/>
          <w:sz w:val="24"/>
        </w:rPr>
        <w:t xml:space="preserve">    5.采购需求（简介）：</w:t>
      </w:r>
      <w:r>
        <w:rPr>
          <w:rFonts w:hint="eastAsia" w:ascii="宋体" w:hAnsi="宋体" w:cs="宋体"/>
          <w:color w:val="000000"/>
          <w:sz w:val="24"/>
          <w:lang w:val="en-US" w:eastAsia="zh-CN"/>
        </w:rPr>
        <w:t>扬州市妇幼保健院现采购</w:t>
      </w:r>
      <w:r>
        <w:rPr>
          <w:rFonts w:ascii="宋体" w:hAnsi="宋体" w:eastAsia="宋体" w:cs="宋体"/>
          <w:color w:val="000000"/>
          <w:sz w:val="24"/>
        </w:rPr>
        <w:t>国家电子病历六级建设项目</w:t>
      </w:r>
      <w:r>
        <w:rPr>
          <w:rFonts w:hint="eastAsia" w:ascii="宋体" w:hAnsi="宋体" w:eastAsia="宋体" w:cs="宋体"/>
          <w:color w:val="000000"/>
          <w:sz w:val="24"/>
        </w:rPr>
        <w:t>，需严格符合《电子病历系统应用水平分级评价管理办法（试行）》六级标准建设，通过各业务系统改造和升级，实现医疗数据全流程闭环管理、智能决策支持、区域协同共享、病历规范化建设等，不断提升妇女儿童医院诊疗效率和医疗质量。</w:t>
      </w:r>
      <w:r>
        <w:rPr>
          <w:rFonts w:ascii="宋体" w:hAnsi="宋体" w:eastAsia="宋体" w:cs="宋体"/>
          <w:color w:val="000000"/>
          <w:sz w:val="24"/>
        </w:rPr>
        <w:t>（详细内容见本招标文件第四章）</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sz w:val="24"/>
          <w:szCs w:val="24"/>
        </w:rPr>
      </w:pPr>
      <w:r>
        <w:rPr>
          <w:rFonts w:ascii="宋体" w:hAnsi="宋体" w:eastAsia="宋体" w:cs="宋体"/>
          <w:color w:val="000000"/>
          <w:sz w:val="24"/>
        </w:rPr>
        <w:t>6.合同履行期限：</w:t>
      </w:r>
      <w:r>
        <w:rPr>
          <w:rFonts w:hint="eastAsia" w:ascii="宋体" w:hAnsi="宋体" w:eastAsia="宋体" w:cs="宋体"/>
          <w:color w:val="000000"/>
          <w:sz w:val="24"/>
          <w:szCs w:val="24"/>
        </w:rPr>
        <w:t>自合同签订之日起12个月内系统全部上线，项目试运行满60日后，定制软件进入1年免费维保期，成品软件和CA硬件进入5年免费维保期，获得国家电子病历六级授牌后组织验收。</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二、申请人的资格要求：</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（一）通用资格要求</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1.满足《中华人民共和国政府采购法》第二十二条规定，并提供下列材料：</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 法人或者其他组织的营业执照等证明文件，自然人的身份证明；</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1.2 </w:t>
      </w:r>
      <w:r>
        <w:rPr>
          <w:rFonts w:hint="eastAsia" w:ascii="宋体" w:hAnsi="宋体" w:cs="宋体"/>
          <w:color w:val="000000"/>
          <w:sz w:val="24"/>
          <w:lang w:val="en-US" w:eastAsia="zh-CN"/>
        </w:rPr>
        <w:t>2024</w:t>
      </w:r>
      <w:r>
        <w:rPr>
          <w:rFonts w:ascii="宋体" w:hAnsi="宋体" w:eastAsia="宋体" w:cs="宋体"/>
          <w:color w:val="000000"/>
          <w:sz w:val="24"/>
        </w:rPr>
        <w:t>年度的财务状况报告（成立不满一年无需提供）；</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1.4具备履行合同所必需的设备和专业技术能力的书面声明；</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1.5参加政府采购活动前3年内在经营活动中没有重大违法记录的书面声明。</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1.6 供应商信用承诺函。</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3.落实政府采购政策需满足的资格要求：无</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4.联合体投标</w:t>
      </w:r>
    </w:p>
    <w:tbl>
      <w:tblPr>
        <w:tblStyle w:val="35"/>
        <w:tblW w:w="916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546"/>
        <w:gridCol w:w="3645"/>
        <w:gridCol w:w="397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54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364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是否接受联合体投标（是/否）</w:t>
            </w:r>
          </w:p>
        </w:tc>
        <w:tc>
          <w:tcPr>
            <w:tcW w:w="397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该采购包中联合体成员数量上限</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54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364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否</w:t>
            </w:r>
          </w:p>
        </w:tc>
        <w:tc>
          <w:tcPr>
            <w:tcW w:w="397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r>
    </w:tbl>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5.进口产品投标</w:t>
      </w:r>
    </w:p>
    <w:tbl>
      <w:tblPr>
        <w:tblStyle w:val="35"/>
        <w:tblW w:w="91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191"/>
        <w:gridCol w:w="694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372" w:hRule="atLeast"/>
        </w:trPr>
        <w:tc>
          <w:tcPr>
            <w:tcW w:w="21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694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是否接受进口产品投标（是/否）</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21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694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否</w:t>
            </w:r>
          </w:p>
        </w:tc>
      </w:tr>
    </w:tbl>
    <w:p>
      <w:pPr>
        <w:pBdr>
          <w:top w:val="none" w:color="000000" w:sz="0" w:space="0"/>
          <w:left w:val="none" w:color="000000" w:sz="0" w:space="0"/>
          <w:bottom w:val="none" w:color="000000" w:sz="0" w:space="0"/>
          <w:right w:val="none" w:color="000000" w:sz="0" w:space="0"/>
        </w:pBdr>
        <w:spacing w:before="0" w:after="0" w:line="400" w:lineRule="atLeast"/>
        <w:ind w:left="0" w:right="0" w:firstLine="240"/>
        <w:jc w:val="both"/>
      </w:pPr>
      <w:r>
        <w:rPr>
          <w:rFonts w:ascii="宋体" w:hAnsi="宋体" w:eastAsia="宋体" w:cs="宋体"/>
          <w:color w:val="000000"/>
          <w:sz w:val="24"/>
        </w:rPr>
        <w:t>（二）本项目的特定资格要求</w:t>
      </w:r>
    </w:p>
    <w:tbl>
      <w:tblPr>
        <w:tblStyle w:val="35"/>
        <w:tblW w:w="909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966"/>
        <w:gridCol w:w="712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PrEx>
        <w:tc>
          <w:tcPr>
            <w:tcW w:w="196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712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特定资格要求</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9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712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无</w:t>
            </w:r>
          </w:p>
        </w:tc>
      </w:tr>
    </w:tbl>
    <w:p>
      <w:pPr>
        <w:pBdr>
          <w:top w:val="none" w:color="000000" w:sz="0" w:space="0"/>
          <w:left w:val="none" w:color="000000" w:sz="0" w:space="0"/>
          <w:bottom w:val="none" w:color="000000" w:sz="0" w:space="0"/>
          <w:right w:val="none" w:color="000000" w:sz="0" w:space="0"/>
        </w:pBdr>
        <w:spacing w:before="145" w:after="145"/>
        <w:ind w:left="0" w:right="0" w:firstLine="498"/>
        <w:jc w:val="both"/>
      </w:pPr>
      <w:r>
        <w:rPr>
          <w:rFonts w:ascii="宋体" w:hAnsi="宋体" w:eastAsia="宋体" w:cs="宋体"/>
          <w:b/>
          <w:color w:val="000000"/>
          <w:sz w:val="32"/>
        </w:rPr>
        <w:t>三、获取招标文件</w:t>
      </w:r>
    </w:p>
    <w:p>
      <w:pPr>
        <w:pBdr>
          <w:top w:val="none" w:color="000000" w:sz="0" w:space="0"/>
          <w:left w:val="none" w:color="000000" w:sz="0" w:space="0"/>
          <w:bottom w:val="none" w:color="000000" w:sz="0" w:space="0"/>
          <w:right w:val="none" w:color="000000" w:sz="0" w:space="0"/>
        </w:pBdr>
        <w:spacing w:before="0" w:after="0"/>
        <w:ind w:left="0" w:right="0" w:firstLine="540"/>
        <w:jc w:val="both"/>
      </w:pPr>
      <w:r>
        <w:rPr>
          <w:rFonts w:ascii="宋体" w:hAnsi="宋体" w:eastAsia="宋体" w:cs="宋体"/>
          <w:color w:val="000000"/>
          <w:sz w:val="24"/>
        </w:rPr>
        <w:t>1.时间：自招标文件公告发布之日起5个工作日。</w:t>
      </w:r>
    </w:p>
    <w:p>
      <w:pPr>
        <w:pBdr>
          <w:top w:val="none" w:color="000000" w:sz="0" w:space="0"/>
          <w:left w:val="none" w:color="000000" w:sz="0" w:space="0"/>
          <w:bottom w:val="none" w:color="000000" w:sz="0" w:space="0"/>
          <w:right w:val="none" w:color="000000" w:sz="0" w:space="0"/>
        </w:pBdr>
        <w:spacing w:before="0" w:after="0"/>
        <w:ind w:left="0" w:right="0" w:firstLine="540"/>
        <w:jc w:val="both"/>
      </w:pPr>
      <w:r>
        <w:rPr>
          <w:rFonts w:ascii="宋体" w:hAnsi="宋体" w:eastAsia="宋体" w:cs="宋体"/>
          <w:color w:val="000000"/>
          <w:sz w:val="24"/>
        </w:rPr>
        <w:t>2.方式：在“江苏政府采购网、扬州市政府采购网”自行免费下载招标文件。</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四、提交投标文件截止时间、开标时间和地点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1.</w:t>
      </w:r>
      <w:r>
        <w:rPr>
          <w:rFonts w:ascii="宋体" w:hAnsi="宋体" w:eastAsia="宋体" w:cs="宋体"/>
          <w:color w:val="000000" w:themeColor="text1"/>
          <w:sz w:val="24"/>
          <w:u w:val="single"/>
          <w14:textFill>
            <w14:solidFill>
              <w14:schemeClr w14:val="tx1"/>
            </w14:solidFill>
          </w14:textFill>
        </w:rPr>
        <w:t> 202</w:t>
      </w:r>
      <w:r>
        <w:rPr>
          <w:rFonts w:hint="eastAsia" w:ascii="宋体" w:hAnsi="宋体" w:cs="宋体"/>
          <w:color w:val="000000" w:themeColor="text1"/>
          <w:sz w:val="24"/>
          <w:u w:val="single"/>
          <w:lang w:val="en-US" w:eastAsia="zh-CN"/>
          <w14:textFill>
            <w14:solidFill>
              <w14:schemeClr w14:val="tx1"/>
            </w14:solidFill>
          </w14:textFill>
        </w:rPr>
        <w:t>6</w:t>
      </w:r>
      <w:r>
        <w:rPr>
          <w:rFonts w:ascii="宋体" w:hAnsi="宋体" w:eastAsia="宋体" w:cs="宋体"/>
          <w:color w:val="000000" w:themeColor="text1"/>
          <w:sz w:val="24"/>
          <w:u w:val="single"/>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01</w:t>
      </w:r>
      <w:r>
        <w:rPr>
          <w:rFonts w:ascii="宋体" w:hAnsi="宋体" w:eastAsia="宋体" w:cs="宋体"/>
          <w:color w:val="000000" w:themeColor="text1"/>
          <w:sz w:val="24"/>
          <w:u w:val="single"/>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29</w:t>
      </w:r>
      <w:r>
        <w:rPr>
          <w:rFonts w:ascii="宋体" w:hAnsi="宋体" w:eastAsia="宋体" w:cs="宋体"/>
          <w:color w:val="000000" w:themeColor="text1"/>
          <w:sz w:val="24"/>
          <w:u w:val="single"/>
          <w14:textFill>
            <w14:solidFill>
              <w14:schemeClr w14:val="tx1"/>
            </w14:solidFill>
          </w14:textFill>
        </w:rPr>
        <w:t>日</w:t>
      </w:r>
      <w:r>
        <w:rPr>
          <w:rFonts w:hint="eastAsia" w:ascii="宋体" w:hAnsi="宋体" w:cs="宋体"/>
          <w:color w:val="000000" w:themeColor="text1"/>
          <w:sz w:val="24"/>
          <w:u w:val="single"/>
          <w:lang w:val="en-US" w:eastAsia="zh-CN"/>
          <w14:textFill>
            <w14:solidFill>
              <w14:schemeClr w14:val="tx1"/>
            </w14:solidFill>
          </w14:textFill>
        </w:rPr>
        <w:t>09</w:t>
      </w:r>
      <w:r>
        <w:rPr>
          <w:rFonts w:ascii="宋体" w:hAnsi="宋体" w:eastAsia="宋体" w:cs="宋体"/>
          <w:color w:val="000000" w:themeColor="text1"/>
          <w:sz w:val="24"/>
          <w:u w:val="single"/>
          <w14:textFill>
            <w14:solidFill>
              <w14:schemeClr w14:val="tx1"/>
            </w14:solidFill>
          </w14:textFill>
        </w:rPr>
        <w:t xml:space="preserve"> 点</w:t>
      </w:r>
      <w:r>
        <w:rPr>
          <w:rFonts w:hint="eastAsia" w:ascii="宋体" w:hAnsi="宋体" w:cs="宋体"/>
          <w:color w:val="000000" w:themeColor="text1"/>
          <w:sz w:val="24"/>
          <w:u w:val="single"/>
          <w:lang w:val="en-US" w:eastAsia="zh-CN"/>
          <w14:textFill>
            <w14:solidFill>
              <w14:schemeClr w14:val="tx1"/>
            </w14:solidFill>
          </w14:textFill>
        </w:rPr>
        <w:t>30</w:t>
      </w:r>
      <w:r>
        <w:rPr>
          <w:rFonts w:ascii="宋体" w:hAnsi="宋体" w:eastAsia="宋体" w:cs="宋体"/>
          <w:color w:val="000000" w:themeColor="text1"/>
          <w:sz w:val="24"/>
          <w:u w:val="single"/>
          <w14:textFill>
            <w14:solidFill>
              <w14:schemeClr w14:val="tx1"/>
            </w14:solidFill>
          </w14:textFill>
        </w:rPr>
        <w:t xml:space="preserve"> 分</w:t>
      </w:r>
      <w:r>
        <w:rPr>
          <w:rFonts w:ascii="宋体" w:hAnsi="宋体" w:eastAsia="宋体" w:cs="宋体"/>
          <w:color w:val="000000"/>
          <w:sz w:val="24"/>
        </w:rPr>
        <w:t>（北京时间）</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2.地点：“苏采云”政府采购交易系统。</w:t>
      </w:r>
    </w:p>
    <w:p>
      <w:pPr>
        <w:pBdr>
          <w:top w:val="none" w:color="000000" w:sz="0" w:space="0"/>
          <w:left w:val="none" w:color="000000" w:sz="0" w:space="0"/>
          <w:bottom w:val="none" w:color="000000" w:sz="0" w:space="0"/>
          <w:right w:val="none" w:color="000000" w:sz="0" w:space="0"/>
        </w:pBdr>
        <w:spacing w:before="145" w:after="145"/>
        <w:ind w:left="0" w:right="0" w:firstLine="498"/>
        <w:jc w:val="both"/>
      </w:pPr>
      <w:r>
        <w:rPr>
          <w:rFonts w:ascii="宋体" w:hAnsi="宋体" w:eastAsia="宋体" w:cs="宋体"/>
          <w:b/>
          <w:color w:val="000000"/>
          <w:sz w:val="32"/>
        </w:rPr>
        <w:t>五、公告期限</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自本公告发布之日起5个工作日。</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六、其他补充事宜</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无/*****</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七、本次招标联系方式</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xml:space="preserve">     1.采购人信息</w:t>
      </w:r>
    </w:p>
    <w:p>
      <w:pPr>
        <w:pBdr>
          <w:top w:val="none" w:color="000000" w:sz="0" w:space="0"/>
          <w:left w:val="none" w:color="000000" w:sz="0" w:space="0"/>
          <w:bottom w:val="none" w:color="000000" w:sz="0" w:space="0"/>
          <w:right w:val="none" w:color="000000" w:sz="0" w:space="0"/>
        </w:pBdr>
        <w:spacing w:before="0" w:after="0" w:line="400" w:lineRule="atLeast"/>
        <w:ind w:left="709" w:right="0" w:firstLine="0"/>
        <w:jc w:val="both"/>
        <w:rPr>
          <w:rFonts w:hint="default" w:eastAsia="宋体"/>
          <w:lang w:val="en-US" w:eastAsia="zh-CN"/>
        </w:rPr>
      </w:pPr>
      <w:r>
        <w:rPr>
          <w:rFonts w:ascii="宋体" w:hAnsi="宋体" w:eastAsia="宋体" w:cs="宋体"/>
          <w:color w:val="000000"/>
          <w:sz w:val="24"/>
        </w:rPr>
        <w:t xml:space="preserve"> 名 称：</w:t>
      </w:r>
      <w:r>
        <w:rPr>
          <w:rFonts w:hint="eastAsia" w:ascii="宋体" w:hAnsi="宋体" w:cs="宋体"/>
          <w:color w:val="000000"/>
          <w:sz w:val="24"/>
          <w:u w:val="single"/>
          <w:lang w:val="en-US" w:eastAsia="zh-CN"/>
        </w:rPr>
        <w:t>扬州市妇幼保健院</w:t>
      </w:r>
    </w:p>
    <w:p>
      <w:pPr>
        <w:pBdr>
          <w:top w:val="none" w:color="000000" w:sz="0" w:space="0"/>
          <w:left w:val="none" w:color="000000" w:sz="0" w:space="0"/>
          <w:bottom w:val="none" w:color="000000" w:sz="0" w:space="0"/>
          <w:right w:val="none" w:color="000000" w:sz="0" w:space="0"/>
        </w:pBdr>
        <w:spacing w:before="0" w:after="0" w:line="400" w:lineRule="atLeast"/>
        <w:ind w:left="709" w:right="0" w:firstLine="0"/>
        <w:jc w:val="both"/>
        <w:rPr>
          <w:rFonts w:hint="default" w:eastAsia="宋体"/>
          <w:lang w:val="en-US" w:eastAsia="zh-CN"/>
        </w:rPr>
      </w:pPr>
      <w:r>
        <w:rPr>
          <w:rFonts w:ascii="宋体" w:hAnsi="宋体" w:eastAsia="宋体" w:cs="宋体"/>
          <w:color w:val="000000"/>
          <w:sz w:val="24"/>
        </w:rPr>
        <w:t xml:space="preserve"> 地 址：</w:t>
      </w:r>
      <w:r>
        <w:rPr>
          <w:rFonts w:hint="eastAsia" w:ascii="宋体" w:hAnsi="宋体" w:cs="宋体"/>
          <w:color w:val="000000"/>
          <w:sz w:val="24"/>
          <w:u w:val="single"/>
          <w:lang w:val="en-US" w:eastAsia="zh-CN"/>
        </w:rPr>
        <w:t>扬州市京杭北路50号</w:t>
      </w:r>
    </w:p>
    <w:p>
      <w:pPr>
        <w:pBdr>
          <w:top w:val="none" w:color="000000" w:sz="0" w:space="0"/>
          <w:left w:val="none" w:color="000000" w:sz="0" w:space="0"/>
          <w:bottom w:val="none" w:color="000000" w:sz="0" w:space="0"/>
          <w:right w:val="none" w:color="000000" w:sz="0" w:space="0"/>
        </w:pBdr>
        <w:spacing w:before="0" w:after="0" w:line="400" w:lineRule="atLeast"/>
        <w:ind w:left="709" w:right="0" w:firstLine="0"/>
        <w:jc w:val="both"/>
        <w:rPr>
          <w:rFonts w:hint="default" w:eastAsia="宋体"/>
          <w:lang w:val="en-US" w:eastAsia="zh-CN"/>
        </w:rPr>
      </w:pPr>
      <w:r>
        <w:rPr>
          <w:rFonts w:ascii="宋体" w:hAnsi="宋体" w:eastAsia="宋体" w:cs="宋体"/>
          <w:color w:val="000000"/>
          <w:sz w:val="24"/>
        </w:rPr>
        <w:t xml:space="preserve"> 联系人：</w:t>
      </w:r>
      <w:r>
        <w:rPr>
          <w:rFonts w:hint="eastAsia" w:ascii="宋体" w:hAnsi="宋体" w:cs="宋体"/>
          <w:color w:val="000000"/>
          <w:sz w:val="24"/>
          <w:u w:val="single"/>
          <w:lang w:val="en-US" w:eastAsia="zh-CN"/>
        </w:rPr>
        <w:t>徐佳慧</w:t>
      </w:r>
    </w:p>
    <w:p>
      <w:pPr>
        <w:pBdr>
          <w:top w:val="none" w:color="000000" w:sz="0" w:space="0"/>
          <w:left w:val="none" w:color="000000" w:sz="0" w:space="0"/>
          <w:bottom w:val="none" w:color="000000" w:sz="0" w:space="0"/>
          <w:right w:val="none" w:color="000000" w:sz="0" w:space="0"/>
        </w:pBdr>
        <w:spacing w:before="0" w:after="0" w:line="400" w:lineRule="atLeast"/>
        <w:ind w:left="709" w:right="0" w:firstLine="0"/>
        <w:jc w:val="both"/>
        <w:rPr>
          <w:rFonts w:hint="default" w:eastAsia="宋体"/>
          <w:lang w:val="en-US" w:eastAsia="zh-CN"/>
        </w:rPr>
      </w:pPr>
      <w:r>
        <w:rPr>
          <w:rFonts w:ascii="宋体" w:hAnsi="宋体" w:eastAsia="宋体" w:cs="宋体"/>
          <w:color w:val="000000"/>
          <w:sz w:val="24"/>
        </w:rPr>
        <w:t xml:space="preserve"> 联系方式：</w:t>
      </w:r>
      <w:r>
        <w:rPr>
          <w:rFonts w:hint="eastAsia" w:ascii="宋体" w:hAnsi="宋体" w:cs="宋体"/>
          <w:color w:val="000000"/>
          <w:sz w:val="24"/>
          <w:u w:val="single"/>
          <w:lang w:val="en-US" w:eastAsia="zh-CN"/>
        </w:rPr>
        <w:t>0514-80828096</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xml:space="preserve">     2.扬州市公共资源交易中心</w:t>
      </w:r>
    </w:p>
    <w:p>
      <w:pPr>
        <w:pBdr>
          <w:top w:val="none" w:color="000000" w:sz="0" w:space="0"/>
          <w:left w:val="none" w:color="000000" w:sz="0" w:space="0"/>
          <w:bottom w:val="none" w:color="000000" w:sz="0" w:space="0"/>
          <w:right w:val="none" w:color="000000" w:sz="0" w:space="0"/>
        </w:pBdr>
        <w:spacing w:before="0" w:after="0" w:line="400" w:lineRule="atLeast"/>
        <w:ind w:left="709" w:right="0" w:firstLine="0"/>
        <w:jc w:val="both"/>
        <w:rPr>
          <w:rFonts w:hint="default" w:eastAsia="宋体"/>
          <w:lang w:val="en-US" w:eastAsia="zh-CN"/>
        </w:rPr>
      </w:pPr>
      <w:r>
        <w:rPr>
          <w:rFonts w:ascii="宋体" w:hAnsi="宋体" w:eastAsia="宋体" w:cs="宋体"/>
          <w:color w:val="000000"/>
          <w:sz w:val="24"/>
        </w:rPr>
        <w:t xml:space="preserve"> 地　址：</w:t>
      </w:r>
      <w:r>
        <w:rPr>
          <w:rFonts w:hint="eastAsia" w:ascii="宋体" w:hAnsi="宋体" w:cs="宋体"/>
          <w:color w:val="000000"/>
          <w:sz w:val="24"/>
          <w:u w:val="single"/>
          <w:lang w:val="en-US" w:eastAsia="zh-CN"/>
        </w:rPr>
        <w:t>扬州市文昌东路9号市民中心1号楼5楼1530室</w:t>
      </w:r>
    </w:p>
    <w:p>
      <w:pPr>
        <w:pBdr>
          <w:top w:val="none" w:color="000000" w:sz="0" w:space="0"/>
          <w:left w:val="none" w:color="000000" w:sz="0" w:space="0"/>
          <w:bottom w:val="none" w:color="000000" w:sz="0" w:space="0"/>
          <w:right w:val="none" w:color="000000" w:sz="0" w:space="0"/>
        </w:pBdr>
        <w:spacing w:before="0" w:after="0" w:line="400" w:lineRule="atLeast"/>
        <w:ind w:left="709" w:right="0" w:firstLine="0"/>
        <w:jc w:val="both"/>
        <w:rPr>
          <w:rFonts w:hint="eastAsia" w:ascii="宋体" w:hAnsi="宋体" w:cs="宋体"/>
          <w:color w:val="000000"/>
          <w:sz w:val="24"/>
          <w:u w:val="single"/>
          <w:lang w:val="en-US" w:eastAsia="zh-CN"/>
        </w:rPr>
      </w:pPr>
      <w:r>
        <w:rPr>
          <w:rFonts w:ascii="宋体" w:hAnsi="宋体" w:eastAsia="宋体" w:cs="宋体"/>
          <w:color w:val="000000"/>
          <w:sz w:val="24"/>
        </w:rPr>
        <w:t xml:space="preserve"> 联系人：</w:t>
      </w:r>
      <w:r>
        <w:rPr>
          <w:rFonts w:hint="eastAsia" w:ascii="宋体" w:hAnsi="宋体" w:cs="宋体"/>
          <w:color w:val="000000"/>
          <w:sz w:val="24"/>
          <w:u w:val="single"/>
          <w:lang w:val="en-US" w:eastAsia="zh-CN"/>
        </w:rPr>
        <w:t>华玲</w:t>
      </w:r>
    </w:p>
    <w:p>
      <w:pPr>
        <w:pBdr>
          <w:top w:val="none" w:color="000000" w:sz="0" w:space="0"/>
          <w:left w:val="none" w:color="000000" w:sz="0" w:space="0"/>
          <w:bottom w:val="none" w:color="000000" w:sz="0" w:space="0"/>
          <w:right w:val="none" w:color="000000" w:sz="0" w:space="0"/>
        </w:pBdr>
        <w:spacing w:before="0" w:after="0" w:line="400" w:lineRule="atLeast"/>
        <w:ind w:left="709" w:right="0" w:firstLine="0"/>
        <w:jc w:val="both"/>
        <w:rPr>
          <w:rFonts w:hint="default" w:eastAsia="宋体"/>
          <w:lang w:val="en-US" w:eastAsia="zh-CN"/>
        </w:rPr>
      </w:pPr>
      <w:r>
        <w:rPr>
          <w:rFonts w:ascii="宋体" w:hAnsi="宋体" w:eastAsia="宋体" w:cs="宋体"/>
          <w:color w:val="000000"/>
          <w:sz w:val="24"/>
        </w:rPr>
        <w:t xml:space="preserve"> 联系方式：</w:t>
      </w:r>
      <w:r>
        <w:rPr>
          <w:rFonts w:hint="eastAsia" w:ascii="宋体" w:hAnsi="宋体" w:cs="宋体"/>
          <w:color w:val="000000"/>
          <w:sz w:val="24"/>
          <w:u w:val="single"/>
          <w:lang w:val="en-US" w:eastAsia="zh-CN"/>
        </w:rPr>
        <w:t>0514-82087120</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八、其他</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具体办理指南和操作手册见链接：http://zfcg.yangzhou.gov.cn/xzzx/art/2023/art_4d7de1f7865f4a2894fc22bc452f94d8.html，请按《操作手册》要求制作、上传电子投标文件。</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领取CA和办理电子签章（请至扬州市文昌东路9号广陵新城市民中心1号楼5楼办理，具体联系方式：18952716110）。</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 有关本次招标的事项若存在变动或修改，敬请及时关注扬州市公共资源交易中心在“江苏政府采购网”、“扬州市政府采购网”发布的更正公告。</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3. 本次招标不收取投标保证金。</w:t>
      </w:r>
    </w:p>
    <w:p>
      <w:pPr>
        <w:pBdr>
          <w:top w:val="none" w:color="000000" w:sz="0" w:space="0"/>
          <w:left w:val="none" w:color="000000" w:sz="0" w:space="0"/>
          <w:bottom w:val="none" w:color="000000" w:sz="0" w:space="0"/>
          <w:right w:val="none" w:color="000000" w:sz="0" w:space="0"/>
        </w:pBdr>
        <w:spacing w:before="0" w:after="0"/>
        <w:ind w:left="0" w:right="840" w:firstLine="0"/>
        <w:jc w:val="both"/>
      </w:pPr>
      <w:r>
        <w:rPr/>
        <w:br w:type="page" w:clear="all"/>
      </w:r>
    </w:p>
    <w:p>
      <w:pPr>
        <w:pStyle w:val="2"/>
        <w:pBdr>
          <w:top w:val="none" w:color="000000" w:sz="0" w:space="0"/>
          <w:left w:val="none" w:color="000000" w:sz="0" w:space="0"/>
          <w:bottom w:val="none" w:color="000000" w:sz="0" w:space="0"/>
          <w:right w:val="none" w:color="000000" w:sz="0" w:space="0"/>
        </w:pBdr>
        <w:spacing w:before="480" w:after="200"/>
        <w:ind w:left="0" w:right="0" w:firstLine="0"/>
        <w:jc w:val="center"/>
      </w:pPr>
      <w:r>
        <w:rPr>
          <w:rFonts w:ascii="黑体" w:hAnsi="黑体" w:eastAsia="黑体" w:cs="黑体"/>
          <w:b/>
          <w:color w:val="000000"/>
          <w:sz w:val="44"/>
        </w:rPr>
        <w:t>第二章 投标人须知</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一、总则</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1、招标方式</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 本次招标采取公开招标方式，本招标文件仅适用于招标公告中所述项目。</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2、合格的投标人</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2.1满足招标公告中供应商的资格要求的规定。</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 满足本文件实质性要求的规定。</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3、适用法律</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3.1 本次招标及由此产生的合同受中华人民共和国有关的法律法规制约和保护。</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4、投标费用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4.1 投标人应自行承担所有与参加投标有关的费用，无论投标过程中的做法和结果如何，扬州市公共资源交易中心（以下简称交易中心）在任何情况下均无义务和责任承担这些费用。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4.2本次招标交易中心和采购人不收取标书工本费与中标服务费。</w:t>
      </w:r>
    </w:p>
    <w:p>
      <w:pPr>
        <w:pBdr>
          <w:top w:val="none" w:color="000000" w:sz="0" w:space="0"/>
          <w:left w:val="none" w:color="000000" w:sz="0" w:space="0"/>
          <w:bottom w:val="none" w:color="000000" w:sz="0" w:space="0"/>
          <w:right w:val="none" w:color="000000" w:sz="0" w:space="0"/>
        </w:pBdr>
        <w:spacing w:before="0" w:after="0" w:line="400" w:lineRule="atLeast"/>
        <w:ind w:left="0" w:right="0" w:firstLine="602"/>
        <w:jc w:val="both"/>
      </w:pPr>
      <w:r>
        <w:rPr>
          <w:rFonts w:ascii="黑体" w:hAnsi="黑体" w:eastAsia="黑体" w:cs="黑体"/>
          <w:b/>
          <w:color w:val="000000"/>
          <w:sz w:val="30"/>
        </w:rPr>
        <w:t>5、</w:t>
      </w:r>
      <w:r>
        <w:rPr>
          <w:rFonts w:ascii="黑体" w:hAnsi="黑体" w:eastAsia="黑体" w:cs="黑体"/>
          <w:color w:val="000000"/>
          <w:sz w:val="28"/>
        </w:rPr>
        <w:t>招标文件的约束力</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5.1 投标人一旦参加本项目采购活动，即被认为接受了本招标文件的规定和约束。</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321"/>
        <w:jc w:val="both"/>
      </w:pPr>
      <w:r>
        <w:rPr>
          <w:rFonts w:ascii="宋体" w:hAnsi="宋体" w:eastAsia="宋体" w:cs="宋体"/>
          <w:b/>
          <w:color w:val="000000"/>
          <w:sz w:val="32"/>
        </w:rPr>
        <w:t>二、招标文件</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6、招标文件构成</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6.1 招标文件由以下部分组成：</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（1）投标邀请</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（2）投标人须知</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（3）合同文本</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（4）采购需求</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（5）评标方法与评标标准</w:t>
      </w:r>
    </w:p>
    <w:p>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（6）投标文件格式</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请仔细检查招标文件是否齐全，如有缺漏请立即与交易中心联系解决。</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Arial" w:hAnsi="Arial" w:eastAsia="Arial" w:cs="Arial"/>
          <w:color w:val="000000"/>
          <w:sz w:val="28"/>
        </w:rPr>
        <w:t>7</w:t>
      </w:r>
      <w:r>
        <w:rPr>
          <w:rFonts w:ascii="黑体" w:hAnsi="黑体" w:eastAsia="黑体" w:cs="黑体"/>
          <w:color w:val="000000"/>
          <w:sz w:val="28"/>
        </w:rPr>
        <w:t>、招标文件的修改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7.1 在投标截止时间前，交易中心可以对招标文件进行修改。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7.2 交易中心有权按照法定的要求推迟投标截止日期和开标日期。</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7.3 招标文件的修改将在江苏政府采购网、扬州市政府采购网公布，补充文件将作为招标文件的组成部分，并对投标人具有约束力。</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三、投标文件的编制</w:t>
      </w:r>
    </w:p>
    <w:p>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Arial" w:hAnsi="Arial" w:eastAsia="Arial" w:cs="Arial"/>
          <w:color w:val="000000"/>
          <w:sz w:val="28"/>
        </w:rPr>
        <w:t>8</w:t>
      </w:r>
      <w:r>
        <w:rPr>
          <w:rFonts w:ascii="黑体" w:hAnsi="黑体" w:eastAsia="黑体" w:cs="黑体"/>
          <w:color w:val="000000"/>
          <w:sz w:val="28"/>
        </w:rPr>
        <w:t>、投标文件的语言及度量衡单位</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8.1 投标人提交的投标文件以及投标人与交易中心就有关投标的所有来往通知、函件和文件均应使用</w:t>
      </w:r>
      <w:r>
        <w:rPr>
          <w:rFonts w:ascii="宋体" w:hAnsi="宋体" w:eastAsia="宋体" w:cs="宋体"/>
          <w:b/>
          <w:color w:val="000000"/>
          <w:sz w:val="24"/>
        </w:rPr>
        <w:t>简体中文</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8.2 除技术性能另有规定外，投标文件所使用的度量衡单位，均须采用国家法定计量单位。</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Arial" w:hAnsi="Arial" w:eastAsia="Arial" w:cs="Arial"/>
          <w:color w:val="000000"/>
          <w:sz w:val="28"/>
        </w:rPr>
        <w:t>9</w:t>
      </w:r>
      <w:r>
        <w:rPr>
          <w:rFonts w:ascii="黑体" w:hAnsi="黑体" w:eastAsia="黑体" w:cs="黑体"/>
          <w:color w:val="000000"/>
          <w:sz w:val="28"/>
        </w:rPr>
        <w:t>、投标文件构成</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9.1 投标人编写的投标文件应包括基本目录、资格审查内容、符合性审查内容、价格扣除证明文件等部分。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9.2 如标书制作工具中格式和内容与“江苏政府采购网、扬州市政府采购网”发布的招标文件不一致，请以“江苏政府采购网、扬州市政府采购网”发布的招标文件为准。</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0</w:t>
      </w:r>
      <w:r>
        <w:rPr>
          <w:rFonts w:ascii="黑体" w:hAnsi="黑体" w:eastAsia="黑体" w:cs="黑体"/>
          <w:color w:val="000000"/>
          <w:sz w:val="28"/>
        </w:rPr>
        <w:t>、证明投标人及投标标的符合招标文件规定的文件</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10.1 投标人应按照招标文件要求提交证明文件，证明其投标标的符合招标文件规定。</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10.2招标文件对证明文件无明确形式要求的，证明文件可以以文字资料、图纸和数据等形式提交。</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1</w:t>
      </w:r>
      <w:r>
        <w:rPr>
          <w:rFonts w:ascii="黑体" w:hAnsi="黑体" w:eastAsia="黑体" w:cs="黑体"/>
          <w:color w:val="000000"/>
          <w:sz w:val="28"/>
        </w:rPr>
        <w:t>、投标分项报价表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11.1 投标人按照招标文件规定格式填报投标分项报价表。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11.2投标货币。投标文件中的单价和总价无特殊规定的采用人民币报价，以元为单位标注。招标文件中另有规定的按规定执行。</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2</w:t>
      </w:r>
      <w:r>
        <w:rPr>
          <w:rFonts w:ascii="黑体" w:hAnsi="黑体" w:eastAsia="黑体" w:cs="黑体"/>
          <w:color w:val="000000"/>
          <w:sz w:val="28"/>
        </w:rPr>
        <w:t>、技术要求响应及偏离表、商务要求响应及偏离表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12.1 投标人需对招标文件中的技术要求与商务要求逐项作出响应或偏离，并说明原因。</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12.2 投标人需按照招标文件要求，在投标文件中提供与技术要求和商务要求相关的证明材料。</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3</w:t>
      </w:r>
      <w:r>
        <w:rPr>
          <w:rFonts w:ascii="黑体" w:hAnsi="黑体" w:eastAsia="黑体" w:cs="黑体"/>
          <w:color w:val="000000"/>
          <w:sz w:val="28"/>
        </w:rPr>
        <w:t>、投标函和开标一览表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13.1 投标人应按照招标文件中提供的格式完整、正确填写投标函、开标一览表。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4</w:t>
      </w:r>
      <w:r>
        <w:rPr>
          <w:rFonts w:ascii="黑体" w:hAnsi="黑体" w:eastAsia="黑体" w:cs="黑体"/>
          <w:color w:val="000000"/>
          <w:sz w:val="28"/>
        </w:rPr>
        <w:t>、投标有效期</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14.1 投标有效期为交易中心规定的开标之日后</w:t>
      </w:r>
      <w:r>
        <w:rPr>
          <w:rFonts w:ascii="宋体" w:hAnsi="宋体" w:eastAsia="宋体" w:cs="宋体"/>
          <w:b/>
          <w:color w:val="000000"/>
          <w:sz w:val="24"/>
          <w:u w:val="single"/>
        </w:rPr>
        <w:t>六十（60）天</w:t>
      </w:r>
      <w:r>
        <w:rPr>
          <w:rFonts w:ascii="宋体" w:hAnsi="宋体" w:eastAsia="宋体" w:cs="宋体"/>
          <w:color w:val="000000"/>
          <w:sz w:val="24"/>
        </w:rPr>
        <w:t>。投标有效期比规定短的将被视为未实质性响应招标文件而予以拒绝。</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5</w:t>
      </w:r>
      <w:r>
        <w:rPr>
          <w:rFonts w:ascii="黑体" w:hAnsi="黑体" w:eastAsia="黑体" w:cs="黑体"/>
          <w:color w:val="000000"/>
          <w:sz w:val="28"/>
        </w:rPr>
        <w:t>、投标有效期的延长</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四、投标文件的递交</w:t>
      </w:r>
    </w:p>
    <w:p>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黑体" w:hAnsi="黑体" w:eastAsia="黑体" w:cs="黑体"/>
          <w:color w:val="000000"/>
          <w:sz w:val="28"/>
        </w:rPr>
        <w:t>1</w:t>
      </w:r>
      <w:r>
        <w:rPr>
          <w:rFonts w:ascii="Arial" w:hAnsi="Arial" w:eastAsia="Arial" w:cs="Arial"/>
          <w:color w:val="000000"/>
          <w:sz w:val="28"/>
        </w:rPr>
        <w:t>6</w:t>
      </w:r>
      <w:r>
        <w:rPr>
          <w:rFonts w:ascii="黑体" w:hAnsi="黑体" w:eastAsia="黑体" w:cs="黑体"/>
          <w:color w:val="000000"/>
          <w:sz w:val="28"/>
        </w:rPr>
        <w:t>、电子投标文件的递交</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16.1 投标人应当按照《操作手册》规定，在投标截止时间前制作并上传电子投标文件。</w:t>
      </w:r>
    </w:p>
    <w:p>
      <w:pPr>
        <w:pBdr>
          <w:top w:val="none" w:color="000000" w:sz="0" w:space="0"/>
          <w:left w:val="none" w:color="000000" w:sz="0" w:space="0"/>
          <w:bottom w:val="none" w:color="000000" w:sz="0" w:space="0"/>
          <w:right w:val="none" w:color="000000" w:sz="0" w:space="0"/>
        </w:pBdr>
        <w:spacing w:before="240" w:after="24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7</w:t>
      </w:r>
      <w:r>
        <w:rPr>
          <w:rFonts w:ascii="黑体" w:hAnsi="黑体" w:eastAsia="黑体" w:cs="黑体"/>
          <w:color w:val="000000"/>
          <w:sz w:val="28"/>
        </w:rPr>
        <w:t>、投标截止时间</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17.1 投标人上传电子投标文件的时间不得迟于招标公告中规定的投标截止时间。</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投标人应充分考虑到网络环境、网络带宽等风险因素，如因投标人自身原因造成的电子投标文件上传不成功的按照本招标文件第二章第25.1.2条规定做无效投标处理。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17.2 交易中心可以按照规定，通过修改招标文件酌情延长投标截止时间，在此情况下，投标人的所有权利和义务以及投标人受制的截止时间均应以延长后新的截止时间为准。</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8</w:t>
      </w:r>
      <w:r>
        <w:rPr>
          <w:rFonts w:ascii="黑体" w:hAnsi="黑体" w:eastAsia="黑体" w:cs="黑体"/>
          <w:color w:val="000000"/>
          <w:sz w:val="28"/>
        </w:rPr>
        <w:t>、投标文件的拒收</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18.1交易中心拒绝接收在其规定的投标截止时间后上传的任何投标文件。</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Arial" w:hAnsi="Arial" w:eastAsia="Arial" w:cs="Arial"/>
          <w:color w:val="000000"/>
          <w:sz w:val="28"/>
        </w:rPr>
        <w:t>19</w:t>
      </w:r>
      <w:r>
        <w:rPr>
          <w:rFonts w:ascii="黑体" w:hAnsi="黑体" w:eastAsia="黑体" w:cs="黑体"/>
          <w:color w:val="000000"/>
          <w:sz w:val="28"/>
        </w:rPr>
        <w:t>、投标文件的撤回和修改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 投标文件的撤回</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19.1.1 电子投标文件的撤回</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投标人可在投标截止时间前，撤回其电子投标文件，具体操作方法见《操作手册》。</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19.1.2 投标人撤回电子投标文件，则认为其不再参与本项目投标活动。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19.2 投标文件的修改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19.2.1投标人可在投标截止时间前，对其电子投标文件进行修改，具体操作方法见《操作手册》。</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19.2.2 在投标截止时间之后，投标人不得对其电子投标文件作任何修改。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19.3 在投标截止时间至招标文件中规定的投标有效期满之间的这段时间内，投标人不得撤回其投标。</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五、开标与评标</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0</w:t>
      </w:r>
      <w:r>
        <w:rPr>
          <w:rFonts w:ascii="黑体" w:hAnsi="黑体" w:eastAsia="黑体" w:cs="黑体"/>
          <w:color w:val="000000"/>
          <w:sz w:val="28"/>
        </w:rPr>
        <w:t>、开标</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20.1 交易中心将在招标公告中规定的时间和地点组织公开开标。投标人应当按照《操作手册》规定，参加开标活动和在苏采云系统规定的时间内对投标文件进行解密。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20.2开标仪式由交易中心组织。苏采云系统将自动对项目进行开标，并展示各投标人名称和投标价格。</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20.3投标人在开标过程中涉及到的投标文件解密、开标结果确认等工作，应按照《操作手册》规定执行。</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20.4投标人如果对开标过程和开标记录有疑义，应当根据《操作手册》规定提出，如苏采云系统中《开标记录表》宣布后5分钟内未提出的，视同认可开标结果。</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1</w:t>
      </w:r>
      <w:r>
        <w:rPr>
          <w:rFonts w:ascii="黑体" w:hAnsi="黑体" w:eastAsia="黑体" w:cs="黑体"/>
          <w:color w:val="000000"/>
          <w:sz w:val="28"/>
        </w:rPr>
        <w:t>、评标委员会</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color w:val="000000"/>
          <w:sz w:val="24"/>
          <w:szCs w:val="24"/>
          <w14:ligatures w14:val="none"/>
        </w:rPr>
      </w:pPr>
      <w:r>
        <w:rPr>
          <w:rFonts w:ascii="宋体" w:hAnsi="宋体" w:eastAsia="宋体" w:cs="宋体"/>
          <w:color w:val="000000"/>
          <w:sz w:val="24"/>
          <w:szCs w:val="24"/>
        </w:rPr>
        <w:t xml:space="preserve">    21.1开标后，交易中心将立即组织评标委员会（以下简称评委会）进行评标。</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color w:val="000000"/>
          <w:sz w:val="24"/>
          <w:szCs w:val="24"/>
          <w14:ligatures w14:val="none"/>
        </w:rPr>
      </w:pPr>
      <w:r>
        <w:rPr>
          <w:rFonts w:ascii="宋体" w:hAnsi="宋体" w:eastAsia="宋体" w:cs="宋体"/>
          <w:color w:val="000000"/>
          <w:sz w:val="24"/>
          <w:szCs w:val="24"/>
        </w:rPr>
        <w:t xml:space="preserve">    21.2评委会由采购人代表和有关技术、经济等方面的专家组成，且人员构成符合政府采购有关规定。</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21.3评委会独立工作，负责评审所有投标文件并确定中标候选人。</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22、评标过程的保密与公正</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22.1凡是与审查、澄清、评价和比较投标的有关资料以及授标建议等，采购人、评委、交易中心均不得向投标人或与评标无关的其他人员透露。</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22.2在评标过程中，投标人不得以任何行为影响评标过程，否则其投标文件将被作为无效投标文件。</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22.3 交易中心和评委会不向未中标的投标人解释未中标原因，也不公布评标过程中的相关细节。</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22.4 采用综合评分法的项目，未中标的投标人可于中标结果公告期限届满之日起通过苏采云系统查看自己的评审得分及排序情况。</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3</w:t>
      </w:r>
      <w:r>
        <w:rPr>
          <w:rFonts w:ascii="黑体" w:hAnsi="黑体" w:eastAsia="黑体" w:cs="黑体"/>
          <w:color w:val="000000"/>
          <w:sz w:val="28"/>
        </w:rPr>
        <w:t>、投标文件的澄清</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23.1评标期间，评委会对投标文件中含义不明确、同类问题表述不一致或者有明显文字和计算错误的内容，有权要求投标人作出必要的澄清、说明或者补正。</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投标人的澄清、说明或者补正不得超出投标文件的范围或者改变投标文件的实质性内容。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评委会并非对每个投标人都做澄清要求。</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23.3接到评委会澄清、说明和补正要求的投标人如未按规定做出澄清、说明和补正，其风险由投标人自行承担。</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4</w:t>
      </w:r>
      <w:r>
        <w:rPr>
          <w:rFonts w:ascii="黑体" w:hAnsi="黑体" w:eastAsia="黑体" w:cs="黑体"/>
          <w:color w:val="000000"/>
          <w:sz w:val="28"/>
        </w:rPr>
        <w:t>、对投标文件的初审</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24.1投标文件初审分为资格审查和符合性审查。</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24.1.1 资格审查：依据法律法规和招标文件的规定，由采购人对投标文件中的资格证明文件进行审查。资格审查的结论，采购人以书面形式向评委会进行反馈。</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采购人在进行资格性审查的同时，将在“信用中国”网站（www.creditchina.gov.cn）和“中国政府采购网"(www.ccgp.gov.cn)查询投标人的信用记录，以确定投标人是否具备投标资格,查询结果留存并归档。</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24.1.2 符合性审查：依据招标文件的规定，由评委会从投标文件的有效性、完整性和对招标文件的响应程度进行审查，以确定是否对招标文件的实质性要求作出响应。</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24.1.3 未通过资格审查或符合性审查的投标人，交易中心将在苏采云系统中告知未通过资格审查或符合性审查的原因，评审结束后，交易中心将不再告知未通过资格审查或符合性审查的原因。</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24.3如果投标文件实质上没有响应招标文件的要求，评委会将予以拒绝，投标人不得通过修改或撤销不合要求的偏离或保留而使其投标成为实质性响应的投标。</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24.4评委会将对确定为实质性响应的投标进行进一步审核，是否有计算上或累加上的算术错误，修正错误的原则如下：</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（1）投标文件中开标一览表内容与投标文件中相应内容不一致的，以开标一览表为准。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（2）大写金额和小写金额不一致的，以大写金额为准。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（3）单价金额小数点或者百分比有明显错位的，以开标一览表的总价为准，并修改单价。</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（4）总价金额与按单价汇总金额不一致的，以单价金额计算结果为准。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同时出现两种以上错误的，按照前款规定的顺序修正。</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24.5 评委会将按上述修正错误的方法调整投标文件中的投标报价，并通过苏采云系统告知投标人，调整后的价格应对投标人具有约束力。如果投标人不接受修正后的价格，则其投标将被拒绝。</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24.6投标人在开、评标全过程中应保持通讯畅通，及时登录苏采云系统查阅、答复相关信息，并安排专人与交易中心及评委会联系。</w:t>
      </w:r>
    </w:p>
    <w:p>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5</w:t>
      </w:r>
      <w:r>
        <w:rPr>
          <w:rFonts w:ascii="黑体" w:hAnsi="黑体" w:eastAsia="黑体" w:cs="黑体"/>
          <w:color w:val="000000"/>
          <w:sz w:val="28"/>
        </w:rPr>
        <w:t>、无效投标条款和废标条款</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25.1无效投标条款</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 投标人在苏采云系统规定的时间内未成功解密电子投标文件的。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25.1.2 投标人未按照招标文件要求上传电子投标文件的。</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25.1.3 投标人同一采购包提交两个（含两个）以上不同的投标报价的。</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25.1.4投标人不具备招标文件中规定资格要求的。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25.1.5投标人的报价超过了采购预算或最高限价的。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rPr>
      </w:pPr>
      <w:r>
        <w:rPr>
          <w:rFonts w:ascii="宋体" w:hAnsi="宋体" w:eastAsia="宋体" w:cs="宋体"/>
          <w:color w:val="000000"/>
          <w:sz w:val="24"/>
        </w:rPr>
        <w:t>25.1.6未通过符合性审查的。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szCs w:val="24"/>
        </w:rPr>
        <w:t>25.1.7不符合招标文件中规定的实质性要求的（本招标文件中斜体且有下划线部分为实质性要求）</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25.1.9 投标文件含有采购人不能接受的附加条件的。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 异常低价投标（响应）</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25.1.10.1投标（响应）报价低于采购项目预算 50% 的，即投标（响应）报价&lt;采购项目预算×50% ；</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25.1.10.2投标（响应）报价低于采购项目最高限价 45% 的，即投标（响应）报价&lt;采购项目最高限价×45% ；</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25.1.10.3评审委员会认定的供应商报价过低、有可能影响产品质量或者不能诚信履约的其他情形。</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25.1.11 投标文件未按照招标文件要求加盖CA电子公章的。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25.1.12其他法律、法规及本招标文件规定的属无效投标的情形。</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25.2废标条款</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25.2.1符合专业条件的供应商或者对招标文件作实质响应的供应商不足三家的。</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25.2.2出现影响采购公正的违法、违规行为的。</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25.2.3因重大变故，采购任务取消的。</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25.2.4评委会认定招标文件存在歧义、重大缺陷导致评审工作无法进行。</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25.2.5 因苏采云系统系统故障原因造成开标不成功的。</w:t>
      </w:r>
    </w:p>
    <w:p>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25.3 投标截止时间结束后参加投标的供应商不足三家的处理：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25.3.1如出现投标截止时间结束后参加投标的供应商或者在评标期间对招标文件做出实质响应的供应商不足三家情况，按政府采购相关规定执行。</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六、定标</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0"/>
        </w:rPr>
        <w:t>   26、确定中标单位</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26.1中标候选人的选取原则和数量见招标文件第五章规定。 </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26.2 采购人应根据评委会推荐的中标候选人确定中标供应商。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26.3 交易中心将在“江苏政府采购网、扬州市政府采购网”发布中标公告，公告期限为1个工作日。</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  若有充分证据证明，中标供应商出现下列情况之一的，一经查实，将被取消中标资格：</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26.4.1提供虚假材料谋取中标的。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26.4.2向采购人、交易中心行贿或者提供其他不正当利益的。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26.4.3属于本文件规定的无效条件，但在评标过程中又未被评委会发现的。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26.4.4与采购人或者其他供应商恶意串通的。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26.4.5采取不正当手段诋毁、排挤其他供应商的。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 有下列情形之一的，视为投标人串通投标，投标无效：</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highlight w:val="none"/>
        </w:rPr>
      </w:pPr>
      <w:r>
        <w:rPr>
          <w:rFonts w:ascii="宋体" w:hAnsi="宋体" w:eastAsia="宋体" w:cs="宋体"/>
          <w:color w:val="000000"/>
          <w:sz w:val="24"/>
        </w:rPr>
        <w:t>26.5.1不同投标人的投标文件由同一单位或者个人编制。</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经查实，不同投标人的电子投标文件出自同一台电脑的：不同投标人的标书制作工具客户端标识码存在一致的；不同投标人从同一互联网协议地址上传投标文件的。</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26.5.2不同投标人委托同一单位或者个人办理投标事宜。</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26.5.3 不同投标人的投标文件载明的项目管理成员或者联系人员为同一人。</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26.5.4不同投标人的投标文件异常一致或者投标报价呈规律性差异。</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0"/>
        </w:rPr>
        <w:t>   27、质疑处理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27.1 提出质疑的供应商应当是参与所质疑项目采购活动的供应商。潜在供应商依法获取其可质疑的采购文件的，可以对采购文件提出质疑。</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27.2.1对可以质疑的采购文件提出质疑的，为收到采购文件之日或者采购文件公告期限届满之日；</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27.2.2对采购过程提出质疑的，为各采购程序环节结束之日；</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27.2.3对中标或者成交结果提出质疑的，为中标或者成交结果公告期限届满之日。</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供应商应当在法定质疑期内一次性提出针对同一采购程序环节的质疑。供应商如在法定期限内对同一采购程序环节提出多次质疑的，交易中心、采购人将只对供应商第一次质疑作出答复。</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27.3质疑函必须按照本招标文件中《质疑函范本》要求的格式和内容进行填写。供应商如组成联合体参加投标，则《质疑函范本》中要求签字、盖章、加盖公章之处，联合体各方均须按要求签字、盖章、加盖公章。</w:t>
      </w:r>
    </w:p>
    <w:p>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4"/>
        </w:rPr>
        <w:t>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采购人及交易中心只接收以纸质原件形式送达的质疑,建议供应商尽量通过邮寄方式提交质疑（采购人和交易中心不接受无快递运单号的快递）。</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质疑接收人及联系方式见招标文件第一章。</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 以下情形的质疑不予受理</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27.5.1 内容不符合《政府采购质疑和投诉办法》第十二条规定的质疑。</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27.5.2 超出政府采购法定期限的质疑。</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27.5.3 以传真、电子邮件等方式递交的非原件形式的质疑。</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27.5.4未参加投标活动的供应商或在投标活动中自身权益未受到损害的供应商所提出的质疑。</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27.5.5供应商组成联合体参加投标，联合体中任何一方或多方未按要求签字、盖章、加盖公章的质疑。</w:t>
      </w:r>
    </w:p>
    <w:p>
      <w:pPr>
        <w:pBdr>
          <w:top w:val="none" w:color="000000" w:sz="0" w:space="0"/>
          <w:left w:val="none" w:color="000000" w:sz="0" w:space="0"/>
          <w:bottom w:val="none" w:color="000000" w:sz="0" w:space="0"/>
          <w:right w:val="none" w:color="000000" w:sz="0" w:space="0"/>
        </w:pBdr>
        <w:spacing w:before="0" w:after="0" w:line="400" w:lineRule="atLeast"/>
        <w:ind w:left="0" w:right="0" w:firstLine="468"/>
        <w:jc w:val="both"/>
      </w:pPr>
      <w:r>
        <w:rPr>
          <w:rFonts w:ascii="宋体" w:hAnsi="宋体" w:eastAsia="宋体" w:cs="宋体"/>
          <w:color w:val="000000"/>
          <w:sz w:val="24"/>
        </w:rPr>
        <w:t>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黑体" w:hAnsi="黑体" w:eastAsia="黑体" w:cs="黑体"/>
          <w:color w:val="000000"/>
          <w:sz w:val="30"/>
        </w:rPr>
        <w:t>28、中标通知书</w:t>
      </w:r>
    </w:p>
    <w:p>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28.2中标通知书将是合同的一个组成部分。对采购人和中标供应商均具有法律效力。中标通知书发出后，采购人改变中标结果的，或者中标供应商放弃中标项目的，应当依法承担法律责任。</w:t>
      </w:r>
    </w:p>
    <w:p>
      <w:pPr>
        <w:pBdr>
          <w:top w:val="none" w:color="000000" w:sz="0" w:space="0"/>
          <w:left w:val="none" w:color="000000" w:sz="0" w:space="0"/>
          <w:bottom w:val="none" w:color="000000" w:sz="0" w:space="0"/>
          <w:right w:val="none" w:color="000000" w:sz="0" w:space="0"/>
        </w:pBdr>
        <w:spacing w:before="145" w:after="145" w:line="400" w:lineRule="atLeast"/>
        <w:ind w:left="0" w:right="0" w:firstLine="0"/>
        <w:jc w:val="both"/>
      </w:pPr>
      <w:r>
        <w:rPr>
          <w:rFonts w:ascii="宋体" w:hAnsi="宋体" w:eastAsia="宋体" w:cs="宋体"/>
          <w:b/>
          <w:color w:val="000000"/>
          <w:sz w:val="32"/>
        </w:rPr>
        <w:t>七、授予合同</w:t>
      </w:r>
    </w:p>
    <w:p>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黑体" w:hAnsi="黑体" w:eastAsia="黑体" w:cs="黑体"/>
          <w:color w:val="000000"/>
          <w:sz w:val="30"/>
        </w:rPr>
        <w:t>29、签订合同</w:t>
      </w:r>
    </w:p>
    <w:p>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29.l中标供应商应当在中标通知书发出之日起三十日内，按照招标文件确定的事项与采购人签订政府采购合同。</w:t>
      </w:r>
    </w:p>
    <w:p>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29.2招标文件、中标供应商的投标文件及招标过程中有关澄清、承诺文件均应作为合同附件。</w:t>
      </w:r>
    </w:p>
    <w:p>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rFonts w:ascii="黑体" w:hAnsi="黑体" w:eastAsia="黑体" w:cs="黑体"/>
          <w:color w:val="000000"/>
          <w:sz w:val="30"/>
          <w:szCs w:val="30"/>
        </w:rPr>
      </w:pPr>
      <w:r>
        <w:rPr>
          <w:rFonts w:ascii="黑体" w:hAnsi="黑体" w:eastAsia="黑体" w:cs="黑体"/>
          <w:color w:val="000000"/>
          <w:sz w:val="30"/>
        </w:rPr>
        <w:t>30、政府采购履约资金扶持政策</w:t>
      </w:r>
    </w:p>
    <w:p>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中标供应商可凭政府采购合同办理融资贷款，详情请见江苏政府采购网“政采贷”专栏。</w:t>
      </w:r>
    </w:p>
    <w:p>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p>
    <w:p>
      <w:pPr>
        <w:pStyle w:val="2"/>
        <w:pBdr>
          <w:top w:val="none" w:color="000000" w:sz="0" w:space="0"/>
          <w:left w:val="none" w:color="000000" w:sz="0" w:space="0"/>
          <w:bottom w:val="none" w:color="000000" w:sz="0" w:space="0"/>
          <w:right w:val="none" w:color="000000" w:sz="0" w:space="0"/>
        </w:pBdr>
        <w:spacing w:before="480" w:after="200"/>
        <w:ind w:left="0" w:right="0" w:firstLine="0"/>
        <w:jc w:val="center"/>
      </w:pPr>
      <w:r>
        <w:rPr>
          <w:rFonts w:ascii="黑体" w:hAnsi="黑体" w:eastAsia="黑体" w:cs="黑体"/>
          <w:b/>
          <w:color w:val="000000"/>
          <w:sz w:val="44"/>
        </w:rPr>
        <w:t>第三章 合同文本</w:t>
      </w:r>
    </w:p>
    <w:p>
      <w:pPr>
        <w:pBdr>
          <w:top w:val="none" w:color="000000" w:sz="0" w:space="0"/>
          <w:left w:val="none" w:color="000000" w:sz="0" w:space="0"/>
          <w:bottom w:val="none" w:color="000000" w:sz="0" w:space="0"/>
          <w:right w:val="none" w:color="000000" w:sz="0" w:space="0"/>
        </w:pBdr>
        <w:spacing w:before="145" w:after="145"/>
        <w:ind w:left="0" w:right="0" w:firstLine="0"/>
        <w:jc w:val="center"/>
      </w:pPr>
      <w:r>
        <w:rPr>
          <w:rFonts w:ascii="宋体" w:hAnsi="宋体" w:eastAsia="宋体" w:cs="宋体"/>
          <w:b/>
          <w:color w:val="000000"/>
          <w:sz w:val="30"/>
        </w:rPr>
        <w:t> </w:t>
      </w:r>
    </w:p>
    <w:p>
      <w:pPr>
        <w:pBdr>
          <w:top w:val="none" w:color="000000" w:sz="0" w:space="0"/>
          <w:left w:val="none" w:color="000000" w:sz="0" w:space="0"/>
          <w:bottom w:val="none" w:color="000000" w:sz="0" w:space="0"/>
          <w:right w:val="none" w:color="000000" w:sz="0" w:space="0"/>
        </w:pBdr>
        <w:spacing w:before="145" w:after="145"/>
        <w:ind w:left="0" w:right="0" w:firstLine="0"/>
        <w:jc w:val="center"/>
      </w:pPr>
      <w:r>
        <w:rPr>
          <w:rFonts w:ascii="宋体" w:hAnsi="宋体" w:eastAsia="宋体" w:cs="宋体"/>
          <w:b/>
          <w:color w:val="000000"/>
          <w:sz w:val="30"/>
        </w:rPr>
        <w:t>江苏省政府采购合同（服务）（合同编号）</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项目名称：*****                   </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项目编号：*****             </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采购包号：*****</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甲方：（买方/采购人）_________</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乙方：（卖方/中标供应商）_________</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   </w:t>
      </w:r>
      <w:r>
        <w:rPr>
          <w:rFonts w:ascii="宋体" w:hAnsi="宋体" w:eastAsia="宋体" w:cs="宋体"/>
          <w:color w:val="000000"/>
          <w:sz w:val="24"/>
        </w:rPr>
        <w:t>甲、乙双方根据扬州市公共资源交易中心</w:t>
      </w:r>
      <w:r>
        <w:rPr>
          <w:rFonts w:ascii="宋体" w:hAnsi="宋体" w:eastAsia="宋体" w:cs="宋体"/>
          <w:color w:val="000000"/>
          <w:sz w:val="24"/>
          <w:u w:val="single"/>
        </w:rPr>
        <w:t>         </w:t>
      </w:r>
      <w:r>
        <w:rPr>
          <w:rFonts w:ascii="宋体" w:hAnsi="宋体" w:eastAsia="宋体" w:cs="宋体"/>
          <w:color w:val="000000"/>
          <w:sz w:val="24"/>
        </w:rPr>
        <w:t>项目公开招标的结果，签署本合同。</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一、合同内容</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1.1 标的名称：</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1.2标的质量：</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1.3 标的数量（规模）：</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1.4 履行时间（期限）：</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1.5 履行地点：</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1.6 履行方式：</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二、合同金额</w:t>
      </w:r>
    </w:p>
    <w:p>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2.1 本合同金额为（大写）：________圆（________元）人民币或其他币种。</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三、技术资料</w:t>
      </w:r>
    </w:p>
    <w:p>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3.1乙方应按招标文件规定的时间向甲方提供服务（包含与服务相关的货物）的有关技术资料。</w:t>
      </w:r>
    </w:p>
    <w:p>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Bdr>
          <w:top w:val="none" w:color="000000" w:sz="0" w:space="0"/>
          <w:left w:val="none" w:color="000000" w:sz="0" w:space="0"/>
          <w:bottom w:val="none" w:color="000000" w:sz="0" w:space="0"/>
          <w:right w:val="none" w:color="000000" w:sz="0" w:space="0"/>
        </w:pBdr>
        <w:spacing w:before="120" w:after="120"/>
        <w:ind w:left="412" w:right="0" w:hanging="412"/>
        <w:jc w:val="both"/>
      </w:pPr>
      <w:r>
        <w:rPr>
          <w:rFonts w:ascii="宋体" w:hAnsi="宋体" w:eastAsia="宋体" w:cs="宋体"/>
          <w:b/>
          <w:color w:val="000000"/>
          <w:sz w:val="24"/>
        </w:rPr>
        <w:t>四、知识产权</w:t>
      </w:r>
    </w:p>
    <w:p>
      <w:pPr>
        <w:pBdr>
          <w:top w:val="none" w:color="000000" w:sz="0" w:space="0"/>
          <w:left w:val="none" w:color="000000" w:sz="0" w:space="0"/>
          <w:bottom w:val="none" w:color="000000" w:sz="0" w:space="0"/>
          <w:right w:val="none" w:color="000000" w:sz="0" w:space="0"/>
        </w:pBdr>
        <w:spacing w:before="120" w:after="120"/>
        <w:ind w:left="408" w:right="0" w:hanging="408"/>
        <w:jc w:val="both"/>
      </w:pPr>
      <w:r>
        <w:rPr>
          <w:rFonts w:ascii="宋体" w:hAnsi="宋体" w:eastAsia="宋体" w:cs="宋体"/>
          <w:color w:val="000000"/>
          <w:sz w:val="24"/>
        </w:rPr>
        <w:t>4.1乙方应保证甲方在使用、接受本合同服务（包含与服务相关的货物）或其任何一部分时不受第三方提出侵犯其专利权、版权、商标权和工业设计权等知识产权的起诉。一旦出现侵权，由乙方负全部责任。</w:t>
      </w:r>
    </w:p>
    <w:p>
      <w:pPr>
        <w:pBdr>
          <w:top w:val="none" w:color="000000" w:sz="0" w:space="0"/>
          <w:left w:val="none" w:color="000000" w:sz="0" w:space="0"/>
          <w:bottom w:val="none" w:color="000000" w:sz="0" w:space="0"/>
          <w:right w:val="none" w:color="000000" w:sz="0" w:space="0"/>
        </w:pBdr>
        <w:spacing w:before="120" w:after="120"/>
        <w:ind w:left="480" w:hanging="480"/>
        <w:jc w:val="lef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4.2</w:t>
      </w:r>
      <w:r>
        <w:rPr>
          <w:rFonts w:hint="eastAsia" w:ascii="宋体" w:hAnsi="宋体" w:eastAsia="宋体" w:cs="宋体"/>
          <w:color w:val="000000"/>
          <w:sz w:val="24"/>
          <w:szCs w:val="24"/>
          <w:lang w:eastAsia="zh-CN"/>
        </w:rPr>
        <w:t>本项目开发前乙方已经拥有的知识产权归乙方拥有，与甲方无关。根据本项目需求所定制开发的软件的知识产权和著作权归甲方所有。</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五、产权担保</w:t>
      </w:r>
    </w:p>
    <w:p>
      <w:pPr>
        <w:pBdr>
          <w:top w:val="none" w:color="000000" w:sz="0" w:space="0"/>
          <w:left w:val="none" w:color="000000" w:sz="0" w:space="0"/>
          <w:bottom w:val="none" w:color="000000" w:sz="0" w:space="0"/>
          <w:right w:val="none" w:color="000000" w:sz="0" w:space="0"/>
        </w:pBdr>
        <w:spacing w:before="120" w:after="120"/>
        <w:ind w:left="408" w:right="0" w:hanging="408"/>
        <w:jc w:val="both"/>
      </w:pPr>
      <w:r>
        <w:rPr>
          <w:rFonts w:ascii="宋体" w:hAnsi="宋体" w:eastAsia="宋体" w:cs="宋体"/>
          <w:color w:val="000000"/>
          <w:sz w:val="24"/>
        </w:rPr>
        <w:t>5.1 乙方保证所交付的服务（包含与服务相关的货物）的所有权完全属于乙方且无任何抵押、查封等产权瑕疵。</w:t>
      </w:r>
    </w:p>
    <w:p>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b/>
          <w:color w:val="000000"/>
          <w:sz w:val="24"/>
        </w:rPr>
        <w:t>六、履约保证金</w:t>
      </w:r>
    </w:p>
    <w:p>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6.1 乙方交纳人民币___</w:t>
      </w:r>
      <w:r>
        <w:rPr>
          <w:rFonts w:ascii="宋体" w:hAnsi="宋体" w:eastAsia="宋体" w:cs="宋体"/>
          <w:color w:val="000000" w:themeColor="text1"/>
          <w:sz w:val="24"/>
          <w:u w:val="single"/>
          <w14:textFill>
            <w14:solidFill>
              <w14:schemeClr w14:val="tx1"/>
            </w14:solidFill>
          </w14:textFill>
        </w:rPr>
        <w:t>零</w:t>
      </w:r>
      <w:r>
        <w:rPr>
          <w:rFonts w:ascii="宋体" w:hAnsi="宋体" w:eastAsia="宋体" w:cs="宋体"/>
          <w:color w:val="000000"/>
          <w:sz w:val="24"/>
        </w:rPr>
        <w:t>______元作为本合同的履约保证金。（不得超过合同金额的10%）</w:t>
      </w:r>
    </w:p>
    <w:p>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6.2合同履行结束后，甲方应及时退还交纳的履约保证金。</w:t>
      </w:r>
    </w:p>
    <w:p>
      <w:pPr>
        <w:pBdr>
          <w:top w:val="none" w:color="000000" w:sz="0" w:space="0"/>
          <w:left w:val="none" w:color="000000" w:sz="0" w:space="0"/>
          <w:bottom w:val="none" w:color="000000" w:sz="0" w:space="0"/>
          <w:right w:val="none" w:color="000000" w:sz="0" w:space="0"/>
        </w:pBdr>
        <w:spacing w:before="120" w:after="120"/>
        <w:ind w:left="408" w:right="0" w:hanging="408"/>
        <w:rPr>
          <w:color w:val="000000" w:themeColor="text1"/>
          <w14:textFill>
            <w14:solidFill>
              <w14:schemeClr w14:val="tx1"/>
            </w14:solidFill>
          </w14:textFill>
        </w:rPr>
      </w:pPr>
      <w:r>
        <w:rPr>
          <w:rFonts w:ascii="宋体" w:hAnsi="宋体" w:eastAsia="宋体" w:cs="宋体"/>
          <w:color w:val="000000"/>
          <w:sz w:val="24"/>
        </w:rPr>
        <w:t>6.2.1履约保证金退还方式：</w:t>
      </w:r>
      <w:r>
        <w:rPr>
          <w:rFonts w:ascii="宋体" w:hAnsi="宋体" w:eastAsia="宋体" w:cs="宋体"/>
          <w:color w:val="000000" w:themeColor="text1"/>
          <w:sz w:val="24"/>
          <w14:textFill>
            <w14:solidFill>
              <w14:schemeClr w14:val="tx1"/>
            </w14:solidFill>
          </w14:textFill>
        </w:rPr>
        <w:t>无</w:t>
      </w:r>
    </w:p>
    <w:p>
      <w:pPr>
        <w:pBdr>
          <w:top w:val="none" w:color="000000" w:sz="0" w:space="0"/>
          <w:left w:val="none" w:color="000000" w:sz="0" w:space="0"/>
          <w:bottom w:val="none" w:color="000000" w:sz="0" w:space="0"/>
          <w:right w:val="none" w:color="000000" w:sz="0" w:space="0"/>
        </w:pBdr>
        <w:spacing w:before="120" w:after="120"/>
        <w:ind w:left="408" w:right="0" w:hanging="408"/>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6.2.2履约保证金退还时间：无</w:t>
      </w:r>
    </w:p>
    <w:p>
      <w:pPr>
        <w:pBdr>
          <w:top w:val="none" w:color="000000" w:sz="0" w:space="0"/>
          <w:left w:val="none" w:color="000000" w:sz="0" w:space="0"/>
          <w:bottom w:val="none" w:color="000000" w:sz="0" w:space="0"/>
          <w:right w:val="none" w:color="000000" w:sz="0" w:space="0"/>
        </w:pBdr>
        <w:spacing w:before="120" w:after="120"/>
        <w:ind w:left="408" w:right="0" w:hanging="408"/>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t>6.2.3履约保证金退还条件：无</w:t>
      </w:r>
    </w:p>
    <w:p>
      <w:pPr>
        <w:pBdr>
          <w:top w:val="none" w:color="000000" w:sz="0" w:space="0"/>
          <w:left w:val="none" w:color="000000" w:sz="0" w:space="0"/>
          <w:bottom w:val="none" w:color="000000" w:sz="0" w:space="0"/>
          <w:right w:val="none" w:color="000000" w:sz="0" w:space="0"/>
        </w:pBdr>
        <w:spacing w:before="120" w:after="120"/>
        <w:ind w:left="408" w:right="0" w:hanging="408"/>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6.2.4履约保证金不予退还的情形：无</w:t>
      </w:r>
    </w:p>
    <w:p>
      <w:pPr>
        <w:pBdr>
          <w:top w:val="none" w:color="000000" w:sz="0" w:space="0"/>
          <w:left w:val="none" w:color="000000" w:sz="0" w:space="0"/>
          <w:bottom w:val="none" w:color="000000" w:sz="0" w:space="0"/>
          <w:right w:val="none" w:color="000000" w:sz="0" w:space="0"/>
        </w:pBdr>
        <w:spacing w:before="120" w:after="120"/>
        <w:ind w:left="408" w:right="0" w:hanging="408"/>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6.2.5履约保证金逾期退还的违约责任：无</w:t>
      </w:r>
    </w:p>
    <w:p>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b/>
          <w:color w:val="000000"/>
          <w:sz w:val="24"/>
        </w:rPr>
        <w:t>七、合同转包或分包</w:t>
      </w:r>
    </w:p>
    <w:p>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7.1乙方不得将合同标的转包给他人履行。</w:t>
      </w:r>
    </w:p>
    <w:p>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7.2乙方不得将合同标的分包给他人履行。</w:t>
      </w:r>
    </w:p>
    <w:p>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7.3乙方如有转包或未经甲方同意的分包行为，甲方有权解除合同。</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八、合同款项支付</w:t>
      </w:r>
    </w:p>
    <w:p>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8.1合同款项的支付方式及进度安排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1、合同签订</w:t>
      </w:r>
      <w:r>
        <w:rPr>
          <w:rFonts w:hint="eastAsia" w:ascii="宋体" w:hAnsi="宋体" w:eastAsia="宋体" w:cs="宋体"/>
          <w:sz w:val="24"/>
          <w:szCs w:val="24"/>
          <w:lang w:val="en-US" w:eastAsia="zh-CN"/>
        </w:rPr>
        <w:t>后，乙方向甲方开具发票，甲方自收到</w:t>
      </w:r>
      <w:r>
        <w:rPr>
          <w:rFonts w:hint="eastAsia" w:ascii="宋体" w:hAnsi="宋体" w:eastAsia="宋体" w:cs="宋体"/>
          <w:sz w:val="24"/>
          <w:szCs w:val="24"/>
          <w:lang w:eastAsia="zh-CN"/>
        </w:rPr>
        <w:t>发票</w:t>
      </w:r>
      <w:r>
        <w:rPr>
          <w:rFonts w:hint="eastAsia" w:ascii="宋体" w:hAnsi="宋体" w:eastAsia="宋体" w:cs="宋体"/>
          <w:sz w:val="24"/>
          <w:szCs w:val="24"/>
          <w:lang w:val="en-US" w:eastAsia="zh-CN"/>
        </w:rPr>
        <w:t>之日起</w:t>
      </w: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0个工作</w:t>
      </w:r>
      <w:r>
        <w:rPr>
          <w:rFonts w:hint="eastAsia" w:ascii="宋体" w:hAnsi="宋体" w:eastAsia="宋体" w:cs="宋体"/>
          <w:sz w:val="24"/>
          <w:szCs w:val="24"/>
          <w:lang w:eastAsia="zh-CN"/>
        </w:rPr>
        <w:t>日内支付合同</w:t>
      </w:r>
      <w:r>
        <w:rPr>
          <w:rFonts w:hint="eastAsia" w:ascii="宋体" w:hAnsi="宋体" w:eastAsia="宋体" w:cs="宋体"/>
          <w:sz w:val="24"/>
          <w:szCs w:val="24"/>
          <w:lang w:val="en-US" w:eastAsia="zh-CN"/>
        </w:rPr>
        <w:t>总价</w:t>
      </w:r>
      <w:r>
        <w:rPr>
          <w:rFonts w:hint="eastAsia" w:ascii="宋体" w:hAnsi="宋体" w:eastAsia="宋体" w:cs="宋体"/>
          <w:sz w:val="24"/>
          <w:szCs w:val="24"/>
          <w:lang w:eastAsia="zh-CN"/>
        </w:rPr>
        <w:t>30%</w:t>
      </w:r>
      <w:r>
        <w:rPr>
          <w:rFonts w:hint="eastAsia" w:ascii="宋体" w:hAnsi="宋体" w:eastAsia="宋体" w:cs="宋体"/>
          <w:sz w:val="24"/>
          <w:szCs w:val="24"/>
          <w:lang w:val="en-US" w:eastAsia="zh-CN"/>
        </w:rPr>
        <w:t>的预付款</w:t>
      </w:r>
      <w:r>
        <w:rPr>
          <w:rFonts w:hint="eastAsia" w:ascii="宋体" w:hAnsi="宋体" w:eastAsia="宋体" w:cs="宋体"/>
          <w:sz w:val="24"/>
          <w:szCs w:val="24"/>
          <w:lang w:eastAsia="zh-CN"/>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2、合同核心系统模块（指HIS和EMR）上线</w:t>
      </w:r>
      <w:r>
        <w:rPr>
          <w:rFonts w:hint="eastAsia" w:ascii="宋体" w:hAnsi="宋体" w:eastAsia="宋体" w:cs="宋体"/>
          <w:sz w:val="24"/>
          <w:szCs w:val="24"/>
          <w:lang w:val="en-US" w:eastAsia="zh-CN"/>
        </w:rPr>
        <w:t>后，乙方向甲方开具发票，甲方自收到</w:t>
      </w:r>
      <w:r>
        <w:rPr>
          <w:rFonts w:hint="eastAsia" w:ascii="宋体" w:hAnsi="宋体" w:eastAsia="宋体" w:cs="宋体"/>
          <w:sz w:val="24"/>
          <w:szCs w:val="24"/>
          <w:lang w:eastAsia="zh-CN"/>
        </w:rPr>
        <w:t>发票</w:t>
      </w:r>
      <w:r>
        <w:rPr>
          <w:rFonts w:hint="eastAsia" w:ascii="宋体" w:hAnsi="宋体" w:eastAsia="宋体" w:cs="宋体"/>
          <w:sz w:val="24"/>
          <w:szCs w:val="24"/>
          <w:lang w:val="en-US" w:eastAsia="zh-CN"/>
        </w:rPr>
        <w:t>之日起</w:t>
      </w: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0个工作</w:t>
      </w:r>
      <w:r>
        <w:rPr>
          <w:rFonts w:hint="eastAsia" w:ascii="宋体" w:hAnsi="宋体" w:eastAsia="宋体" w:cs="宋体"/>
          <w:sz w:val="24"/>
          <w:szCs w:val="24"/>
          <w:lang w:eastAsia="zh-CN"/>
        </w:rPr>
        <w:t>日内支付合同总</w:t>
      </w:r>
      <w:r>
        <w:rPr>
          <w:rFonts w:hint="eastAsia" w:ascii="宋体" w:hAnsi="宋体" w:eastAsia="宋体" w:cs="宋体"/>
          <w:sz w:val="24"/>
          <w:szCs w:val="24"/>
          <w:lang w:val="en-US" w:eastAsia="zh-CN"/>
        </w:rPr>
        <w:t>价</w:t>
      </w:r>
      <w:r>
        <w:rPr>
          <w:rFonts w:hint="eastAsia" w:ascii="宋体" w:hAnsi="宋体" w:eastAsia="宋体" w:cs="宋体"/>
          <w:sz w:val="24"/>
          <w:szCs w:val="24"/>
          <w:lang w:eastAsia="zh-CN"/>
        </w:rPr>
        <w:t>的20%；</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3、系统全部上线后，</w:t>
      </w:r>
      <w:r>
        <w:rPr>
          <w:rFonts w:hint="eastAsia" w:ascii="宋体" w:hAnsi="宋体" w:eastAsia="宋体" w:cs="宋体"/>
          <w:sz w:val="24"/>
          <w:szCs w:val="24"/>
          <w:lang w:val="en-US" w:eastAsia="zh-CN"/>
        </w:rPr>
        <w:t>乙方向甲方开具发票，甲方自收到</w:t>
      </w:r>
      <w:r>
        <w:rPr>
          <w:rFonts w:hint="eastAsia" w:ascii="宋体" w:hAnsi="宋体" w:eastAsia="宋体" w:cs="宋体"/>
          <w:sz w:val="24"/>
          <w:szCs w:val="24"/>
          <w:lang w:eastAsia="zh-CN"/>
        </w:rPr>
        <w:t>发票</w:t>
      </w:r>
      <w:r>
        <w:rPr>
          <w:rFonts w:hint="eastAsia" w:ascii="宋体" w:hAnsi="宋体" w:eastAsia="宋体" w:cs="宋体"/>
          <w:sz w:val="24"/>
          <w:szCs w:val="24"/>
          <w:lang w:val="en-US" w:eastAsia="zh-CN"/>
        </w:rPr>
        <w:t>之日起</w:t>
      </w: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0个工作</w:t>
      </w:r>
      <w:r>
        <w:rPr>
          <w:rFonts w:hint="eastAsia" w:ascii="宋体" w:hAnsi="宋体" w:eastAsia="宋体" w:cs="宋体"/>
          <w:sz w:val="24"/>
          <w:szCs w:val="24"/>
          <w:lang w:eastAsia="zh-CN"/>
        </w:rPr>
        <w:t>日内支付合同总</w:t>
      </w:r>
      <w:r>
        <w:rPr>
          <w:rFonts w:hint="eastAsia" w:ascii="宋体" w:hAnsi="宋体" w:eastAsia="宋体" w:cs="宋体"/>
          <w:sz w:val="24"/>
          <w:szCs w:val="24"/>
          <w:lang w:val="en-US" w:eastAsia="zh-CN"/>
        </w:rPr>
        <w:t>价</w:t>
      </w:r>
      <w:r>
        <w:rPr>
          <w:rFonts w:hint="eastAsia" w:ascii="宋体" w:hAnsi="宋体" w:eastAsia="宋体" w:cs="宋体"/>
          <w:sz w:val="24"/>
          <w:szCs w:val="24"/>
          <w:lang w:eastAsia="zh-CN"/>
        </w:rPr>
        <w:t>的20%；</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4、项目试运行满60日</w:t>
      </w:r>
      <w:r>
        <w:rPr>
          <w:rFonts w:hint="eastAsia" w:ascii="宋体" w:hAnsi="宋体" w:eastAsia="宋体" w:cs="宋体"/>
          <w:sz w:val="24"/>
          <w:szCs w:val="24"/>
          <w:lang w:val="en-US" w:eastAsia="zh-CN"/>
        </w:rPr>
        <w:t>后，乙方向甲方开具发票，甲方自收到</w:t>
      </w:r>
      <w:r>
        <w:rPr>
          <w:rFonts w:hint="eastAsia" w:ascii="宋体" w:hAnsi="宋体" w:eastAsia="宋体" w:cs="宋体"/>
          <w:sz w:val="24"/>
          <w:szCs w:val="24"/>
          <w:lang w:eastAsia="zh-CN"/>
        </w:rPr>
        <w:t>发票</w:t>
      </w:r>
      <w:r>
        <w:rPr>
          <w:rFonts w:hint="eastAsia" w:ascii="宋体" w:hAnsi="宋体" w:eastAsia="宋体" w:cs="宋体"/>
          <w:sz w:val="24"/>
          <w:szCs w:val="24"/>
          <w:lang w:val="en-US" w:eastAsia="zh-CN"/>
        </w:rPr>
        <w:t>之日起</w:t>
      </w: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0个工作</w:t>
      </w:r>
      <w:r>
        <w:rPr>
          <w:rFonts w:hint="eastAsia" w:ascii="宋体" w:hAnsi="宋体" w:eastAsia="宋体" w:cs="宋体"/>
          <w:sz w:val="24"/>
          <w:szCs w:val="24"/>
          <w:lang w:eastAsia="zh-CN"/>
        </w:rPr>
        <w:t>日内支付合同总</w:t>
      </w:r>
      <w:r>
        <w:rPr>
          <w:rFonts w:hint="eastAsia" w:ascii="宋体" w:hAnsi="宋体" w:eastAsia="宋体" w:cs="宋体"/>
          <w:sz w:val="24"/>
          <w:szCs w:val="24"/>
          <w:lang w:val="en-US" w:eastAsia="zh-CN"/>
        </w:rPr>
        <w:t>价</w:t>
      </w:r>
      <w:r>
        <w:rPr>
          <w:rFonts w:hint="eastAsia" w:ascii="宋体" w:hAnsi="宋体" w:eastAsia="宋体" w:cs="宋体"/>
          <w:sz w:val="24"/>
          <w:szCs w:val="24"/>
          <w:lang w:eastAsia="zh-CN"/>
        </w:rPr>
        <w:t>的10%；</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5、通过国家《电子病历系统功能应用水平分级标准》专家文审</w:t>
      </w:r>
      <w:r>
        <w:rPr>
          <w:rFonts w:hint="eastAsia" w:ascii="宋体" w:hAnsi="宋体" w:eastAsia="宋体" w:cs="宋体"/>
          <w:sz w:val="24"/>
          <w:szCs w:val="24"/>
          <w:lang w:val="en-US" w:eastAsia="zh-CN"/>
        </w:rPr>
        <w:t>后，乙方向甲方开具发票，甲方自收到</w:t>
      </w:r>
      <w:r>
        <w:rPr>
          <w:rFonts w:hint="eastAsia" w:ascii="宋体" w:hAnsi="宋体" w:eastAsia="宋体" w:cs="宋体"/>
          <w:sz w:val="24"/>
          <w:szCs w:val="24"/>
          <w:lang w:eastAsia="zh-CN"/>
        </w:rPr>
        <w:t>发票</w:t>
      </w:r>
      <w:r>
        <w:rPr>
          <w:rFonts w:hint="eastAsia" w:ascii="宋体" w:hAnsi="宋体" w:eastAsia="宋体" w:cs="宋体"/>
          <w:sz w:val="24"/>
          <w:szCs w:val="24"/>
          <w:lang w:val="en-US" w:eastAsia="zh-CN"/>
        </w:rPr>
        <w:t>之日起</w:t>
      </w: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0个工作</w:t>
      </w:r>
      <w:r>
        <w:rPr>
          <w:rFonts w:hint="eastAsia" w:ascii="宋体" w:hAnsi="宋体" w:eastAsia="宋体" w:cs="宋体"/>
          <w:sz w:val="24"/>
          <w:szCs w:val="24"/>
          <w:lang w:eastAsia="zh-CN"/>
        </w:rPr>
        <w:t>日内支付合同总</w:t>
      </w:r>
      <w:r>
        <w:rPr>
          <w:rFonts w:hint="eastAsia" w:ascii="宋体" w:hAnsi="宋体" w:eastAsia="宋体" w:cs="宋体"/>
          <w:sz w:val="24"/>
          <w:szCs w:val="24"/>
          <w:lang w:val="en-US" w:eastAsia="zh-CN"/>
        </w:rPr>
        <w:t>价</w:t>
      </w:r>
      <w:r>
        <w:rPr>
          <w:rFonts w:hint="eastAsia" w:ascii="宋体" w:hAnsi="宋体" w:eastAsia="宋体" w:cs="宋体"/>
          <w:sz w:val="24"/>
          <w:szCs w:val="24"/>
          <w:lang w:eastAsia="zh-CN"/>
        </w:rPr>
        <w:t>的5%；</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6、通过国家《电子病历系统功能应用水平分级标准》评级考查后，获得电子病历评级六级牌匾或其他通过证明文件，最终验收</w:t>
      </w:r>
      <w:r>
        <w:rPr>
          <w:rFonts w:hint="eastAsia" w:ascii="宋体" w:hAnsi="宋体" w:eastAsia="宋体" w:cs="宋体"/>
          <w:sz w:val="24"/>
          <w:szCs w:val="24"/>
          <w:lang w:val="en-US" w:eastAsia="zh-CN"/>
        </w:rPr>
        <w:t>后，乙方向甲方开具发票，甲方自收到</w:t>
      </w:r>
      <w:r>
        <w:rPr>
          <w:rFonts w:hint="eastAsia" w:ascii="宋体" w:hAnsi="宋体" w:eastAsia="宋体" w:cs="宋体"/>
          <w:sz w:val="24"/>
          <w:szCs w:val="24"/>
          <w:lang w:eastAsia="zh-CN"/>
        </w:rPr>
        <w:t>发票</w:t>
      </w:r>
      <w:r>
        <w:rPr>
          <w:rFonts w:hint="eastAsia" w:ascii="宋体" w:hAnsi="宋体" w:eastAsia="宋体" w:cs="宋体"/>
          <w:sz w:val="24"/>
          <w:szCs w:val="24"/>
          <w:lang w:val="en-US" w:eastAsia="zh-CN"/>
        </w:rPr>
        <w:t>之日起</w:t>
      </w: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0个工作</w:t>
      </w:r>
      <w:r>
        <w:rPr>
          <w:rFonts w:hint="eastAsia" w:ascii="宋体" w:hAnsi="宋体" w:eastAsia="宋体" w:cs="宋体"/>
          <w:sz w:val="24"/>
          <w:szCs w:val="24"/>
          <w:lang w:eastAsia="zh-CN"/>
        </w:rPr>
        <w:t>日内支付合同总</w:t>
      </w:r>
      <w:r>
        <w:rPr>
          <w:rFonts w:hint="eastAsia" w:ascii="宋体" w:hAnsi="宋体" w:eastAsia="宋体" w:cs="宋体"/>
          <w:sz w:val="24"/>
          <w:szCs w:val="24"/>
          <w:lang w:val="en-US" w:eastAsia="zh-CN"/>
        </w:rPr>
        <w:t>价</w:t>
      </w:r>
      <w:r>
        <w:rPr>
          <w:rFonts w:hint="eastAsia" w:ascii="宋体" w:hAnsi="宋体" w:eastAsia="宋体" w:cs="宋体"/>
          <w:sz w:val="24"/>
          <w:szCs w:val="24"/>
          <w:lang w:eastAsia="zh-CN"/>
        </w:rPr>
        <w:t>的15%。</w:t>
      </w:r>
    </w:p>
    <w:p>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b/>
          <w:color w:val="000000"/>
          <w:sz w:val="24"/>
        </w:rPr>
        <w:t>九、税费</w:t>
      </w:r>
    </w:p>
    <w:p>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9.1本合同执行中相关的一切税费均由乙方负担。</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十、项目验收</w:t>
      </w:r>
    </w:p>
    <w:p>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10.1甲方依法组织履约验收工作。</w:t>
      </w:r>
    </w:p>
    <w:p>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10.3对于实际使用人和甲方分离的项目，甲方邀请实际使用人参与验收。</w:t>
      </w:r>
    </w:p>
    <w:p>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10.4如有必要，甲方邀请参加本项目的其他供应商或第三方专业机构及专家参与验收，相关意见将作为验收书的参考资料。</w:t>
      </w:r>
    </w:p>
    <w:p>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十一、违约责任</w:t>
      </w:r>
    </w:p>
    <w:p>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11.1甲方无正当理由拒绝接受乙方提供服务的，甲方向乙方偿付拒绝接受服务合同价款总值</w:t>
      </w:r>
      <w:r>
        <w:rPr>
          <w:rFonts w:ascii="宋体" w:hAnsi="宋体" w:eastAsia="宋体" w:cs="宋体"/>
          <w:color w:val="000000"/>
          <w:sz w:val="24"/>
          <w:u w:val="single"/>
        </w:rPr>
        <w:t>    </w:t>
      </w:r>
      <w:r>
        <w:rPr>
          <w:rFonts w:ascii="宋体" w:hAnsi="宋体" w:eastAsia="宋体" w:cs="宋体"/>
          <w:color w:val="000000"/>
          <w:sz w:val="24"/>
        </w:rPr>
        <w:t>的违约金。</w:t>
      </w:r>
    </w:p>
    <w:p>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11.2甲方无故逾期验收和办理合同款项支付手续的,甲方应按逾期付款总额</w:t>
      </w:r>
      <w:r>
        <w:rPr>
          <w:rFonts w:ascii="宋体" w:hAnsi="宋体" w:eastAsia="宋体" w:cs="宋体"/>
          <w:color w:val="000000"/>
          <w:sz w:val="24"/>
          <w:u w:val="single"/>
        </w:rPr>
        <w:t>    </w:t>
      </w:r>
      <w:r>
        <w:rPr>
          <w:rFonts w:ascii="宋体" w:hAnsi="宋体" w:eastAsia="宋体" w:cs="宋体"/>
          <w:color w:val="000000"/>
          <w:sz w:val="24"/>
        </w:rPr>
        <w:t>每日向乙方支付违约金。</w:t>
      </w:r>
    </w:p>
    <w:p>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w:t>
      </w:r>
      <w:r>
        <w:rPr>
          <w:rFonts w:ascii="宋体" w:hAnsi="宋体" w:eastAsia="宋体" w:cs="宋体"/>
          <w:color w:val="000000"/>
          <w:sz w:val="24"/>
        </w:rPr>
        <w:t xml:space="preserve">的违约金，如造成甲方损失超过违约金的，超出部分由乙方继续承担赔偿责任。 </w:t>
      </w:r>
    </w:p>
    <w:p>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11.4 乙方所提供服务的标准不符合合同规定及招标文件规定标准的，甲方有权拒绝接受服务，并可单方面解除合同。</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十二、不可抗力事件处理</w:t>
      </w:r>
    </w:p>
    <w:p>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12.1在合同有效期内，任何一方因不可抗力事件导致不能履行合同，则合同履行期可延长，其延长期与不可抗力影响期相同。</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12.2不可抗力事件发生后，应立即通知对方，并寄送有关权威机构出具的证明。</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12.3不可抗力事件延续120天以上，双方应通过友好协商，确定是否继续履行合同。</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十三、解决争议的方法</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13.1双方在签订、履行合同中所发生的一切争议，应通过友好协商解决。如协商不成，由甲方住所地人民法院管辖。</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十四、合同生效及其它</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14.1合同经双方法定代表人或授权委托代表人签字并加盖单位公章后生效。</w:t>
      </w:r>
    </w:p>
    <w:p>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14.2本合同未尽事宜，遵照中华人民共和国现行法律法规有关条文执行。</w:t>
      </w:r>
    </w:p>
    <w:p>
      <w:pPr>
        <w:pBdr>
          <w:top w:val="none" w:color="000000" w:sz="0" w:space="0"/>
          <w:left w:val="none" w:color="000000" w:sz="0" w:space="0"/>
          <w:bottom w:val="none" w:color="000000" w:sz="0" w:space="0"/>
          <w:right w:val="none" w:color="000000" w:sz="0" w:space="0"/>
        </w:pBdr>
        <w:spacing w:before="120" w:after="120"/>
        <w:ind w:left="480" w:right="0" w:hanging="480"/>
        <w:jc w:val="both"/>
        <w:rPr>
          <w:rFonts w:ascii="宋体" w:hAnsi="宋体" w:eastAsia="宋体" w:cs="宋体"/>
          <w:color w:val="000000"/>
          <w:sz w:val="24"/>
          <w:szCs w:val="24"/>
          <w:highlight w:val="none"/>
        </w:rPr>
      </w:pPr>
      <w:r>
        <w:rPr>
          <w:rFonts w:ascii="宋体" w:hAnsi="宋体" w:eastAsia="宋体" w:cs="宋体"/>
          <w:color w:val="000000"/>
          <w:sz w:val="24"/>
        </w:rPr>
        <w:t>14.3本合同正本一式两份，具有同等法律效力，甲方、乙方各执一份。</w:t>
      </w:r>
    </w:p>
    <w:p>
      <w:pPr>
        <w:pBdr>
          <w:top w:val="none" w:color="000000" w:sz="0" w:space="0"/>
          <w:left w:val="none" w:color="000000" w:sz="0" w:space="0"/>
          <w:bottom w:val="none" w:color="000000" w:sz="0" w:space="0"/>
          <w:right w:val="none" w:color="000000" w:sz="0" w:space="0"/>
        </w:pBdr>
        <w:spacing w:before="120" w:after="120"/>
        <w:ind w:left="0" w:right="0" w:firstLine="0"/>
        <w:jc w:val="both"/>
        <w:rPr>
          <w:rFonts w:ascii="宋体" w:hAnsi="宋体" w:eastAsia="宋体" w:cs="宋体"/>
          <w:color w:val="000000"/>
          <w:sz w:val="24"/>
          <w:szCs w:val="24"/>
          <w:highlight w:val="none"/>
        </w:rPr>
      </w:pPr>
    </w:p>
    <w:p>
      <w:pPr>
        <w:pBdr>
          <w:top w:val="none" w:color="000000" w:sz="0" w:space="0"/>
          <w:left w:val="none" w:color="000000" w:sz="0" w:space="0"/>
          <w:bottom w:val="none" w:color="000000" w:sz="0" w:space="0"/>
          <w:right w:val="none" w:color="000000" w:sz="0" w:space="0"/>
        </w:pBdr>
        <w:spacing w:before="120" w:after="120"/>
        <w:ind w:left="0" w:right="0" w:firstLine="0"/>
        <w:jc w:val="both"/>
      </w:pPr>
    </w:p>
    <w:tbl>
      <w:tblPr>
        <w:tblStyle w:val="35"/>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84"/>
        <w:gridCol w:w="45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4584"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甲方：</w:t>
            </w:r>
          </w:p>
        </w:tc>
        <w:tc>
          <w:tcPr>
            <w:tcW w:w="4584"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乙方：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4584"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地址： </w:t>
            </w:r>
          </w:p>
        </w:tc>
        <w:tc>
          <w:tcPr>
            <w:tcW w:w="4584"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4584"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法定代表人或授权代表：</w:t>
            </w:r>
          </w:p>
        </w:tc>
        <w:tc>
          <w:tcPr>
            <w:tcW w:w="4584"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法定代表人或授权代表：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7" w:hRule="atLeast"/>
          <w:jc w:val="center"/>
        </w:trPr>
        <w:tc>
          <w:tcPr>
            <w:tcW w:w="4584"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 xml:space="preserve">联系电话：    </w:t>
            </w:r>
          </w:p>
        </w:tc>
        <w:tc>
          <w:tcPr>
            <w:tcW w:w="4584" w:type="dxa"/>
            <w:tcBorders>
              <w:top w:val="nil"/>
              <w:left w:val="nil"/>
              <w:bottom w:val="nil"/>
              <w:right w:val="nil"/>
            </w:tcBorders>
          </w:tcPr>
          <w:p>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联系电话：</w:t>
            </w:r>
          </w:p>
        </w:tc>
      </w:tr>
    </w:tbl>
    <w:p>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120" w:after="120"/>
        <w:ind w:left="0" w:right="0" w:firstLine="0"/>
        <w:jc w:val="right"/>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p>
    <w:p>
      <w:pPr>
        <w:pStyle w:val="2"/>
        <w:pBdr>
          <w:top w:val="none" w:color="000000" w:sz="0" w:space="0"/>
          <w:left w:val="none" w:color="000000" w:sz="0" w:space="0"/>
          <w:bottom w:val="none" w:color="000000" w:sz="0" w:space="0"/>
          <w:right w:val="none" w:color="000000" w:sz="0" w:space="0"/>
        </w:pBdr>
        <w:spacing w:before="480" w:after="200"/>
        <w:ind w:left="0" w:right="0" w:firstLine="0"/>
        <w:jc w:val="center"/>
      </w:pPr>
      <w:r>
        <w:rPr>
          <w:rFonts w:ascii="黑体" w:hAnsi="黑体" w:eastAsia="黑体" w:cs="黑体"/>
          <w:b/>
          <w:color w:val="000000"/>
          <w:sz w:val="44"/>
        </w:rPr>
        <w:t>第四章 采购需求</w:t>
      </w:r>
    </w:p>
    <w:p>
      <w:pPr>
        <w:pBdr>
          <w:top w:val="none" w:color="000000" w:sz="0" w:space="0"/>
          <w:left w:val="none" w:color="000000" w:sz="0" w:space="0"/>
          <w:bottom w:val="none" w:color="000000" w:sz="0" w:space="0"/>
          <w:right w:val="none" w:color="000000" w:sz="0" w:space="0"/>
        </w:pBdr>
        <w:spacing w:before="0" w:after="0"/>
        <w:ind w:left="495" w:right="0" w:hanging="495"/>
        <w:jc w:val="both"/>
      </w:pPr>
      <w:r>
        <w:rPr>
          <w:rFonts w:ascii="宋体" w:hAnsi="宋体" w:eastAsia="宋体" w:cs="宋体"/>
          <w:b/>
          <w:color w:val="000000"/>
          <w:sz w:val="24"/>
        </w:rPr>
        <w:t>一、项目属性:服务类项目</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w:t>
      </w:r>
      <w:r>
        <w:rPr>
          <w:rFonts w:ascii="Times New Roman" w:hAnsi="Times New Roman" w:eastAsia="Times New Roman" w:cs="Times New Roman"/>
          <w:color w:val="000000"/>
          <w:sz w:val="24"/>
        </w:rPr>
        <w:t>.</w:t>
      </w:r>
      <w:r>
        <w:rPr>
          <w:rFonts w:ascii="宋体" w:hAnsi="宋体" w:eastAsia="宋体" w:cs="宋体"/>
          <w:color w:val="000000"/>
          <w:sz w:val="24"/>
        </w:rPr>
        <w:t>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本项目强制节能产品有：</w:t>
      </w:r>
      <w:r>
        <w:rPr>
          <w:rFonts w:ascii="宋体" w:hAnsi="宋体" w:eastAsia="宋体" w:cs="宋体"/>
          <w:color w:val="000000"/>
          <w:sz w:val="24"/>
          <w:u w:val="single"/>
        </w:rPr>
        <w:t> </w:t>
      </w:r>
      <w:r>
        <w:rPr>
          <w:rFonts w:ascii="Times New Roman" w:hAnsi="Times New Roman" w:eastAsia="Times New Roman" w:cs="Times New Roman"/>
          <w:color w:val="000000"/>
          <w:sz w:val="24"/>
          <w:u w:val="single"/>
        </w:rPr>
        <w:t>  </w:t>
      </w:r>
      <w:r>
        <w:rPr>
          <w:rFonts w:hint="eastAsia" w:cs="Times New Roman"/>
          <w:color w:val="000000"/>
          <w:sz w:val="24"/>
          <w:u w:val="single"/>
          <w:lang w:val="en-US" w:eastAsia="zh-CN"/>
        </w:rPr>
        <w:t>无</w:t>
      </w:r>
      <w:r>
        <w:rPr>
          <w:rFonts w:ascii="Times New Roman" w:hAnsi="Times New Roman" w:eastAsia="Times New Roman" w:cs="Times New Roman"/>
          <w:color w:val="000000"/>
          <w:sz w:val="24"/>
          <w:u w:val="single"/>
        </w:rPr>
        <w:t>  </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Times New Roman" w:hAnsi="Times New Roman" w:eastAsia="Times New Roman" w:cs="Times New Roman"/>
          <w:color w:val="000000"/>
          <w:sz w:val="24"/>
        </w:rPr>
        <w:t>2.</w:t>
      </w:r>
      <w:r>
        <w:rPr>
          <w:rFonts w:ascii="宋体" w:hAnsi="宋体" w:eastAsia="宋体" w:cs="宋体"/>
          <w:color w:val="000000"/>
          <w:sz w:val="24"/>
        </w:rPr>
        <w:t>供应商对于投标产品的包装应按照“财办库〔</w:t>
      </w:r>
      <w:r>
        <w:rPr>
          <w:rFonts w:ascii="Times New Roman" w:hAnsi="Times New Roman" w:eastAsia="Times New Roman" w:cs="Times New Roman"/>
          <w:color w:val="000000"/>
          <w:sz w:val="24"/>
        </w:rPr>
        <w:t>2020</w:t>
      </w:r>
      <w:r>
        <w:rPr>
          <w:rFonts w:ascii="宋体" w:hAnsi="宋体" w:eastAsia="宋体" w:cs="宋体"/>
          <w:color w:val="000000"/>
          <w:sz w:val="24"/>
        </w:rPr>
        <w:t>〕</w:t>
      </w:r>
      <w:r>
        <w:rPr>
          <w:rFonts w:ascii="Times New Roman" w:hAnsi="Times New Roman" w:eastAsia="Times New Roman" w:cs="Times New Roman"/>
          <w:color w:val="000000"/>
          <w:sz w:val="24"/>
        </w:rPr>
        <w:t>123</w:t>
      </w:r>
      <w:r>
        <w:rPr>
          <w:rFonts w:ascii="宋体" w:hAnsi="宋体" w:eastAsia="宋体" w:cs="宋体"/>
          <w:color w:val="000000"/>
          <w:sz w:val="24"/>
        </w:rPr>
        <w:t>号《关于印发《商品包装政府采购需求标准（试行）》、《快递包装政府采购需求标准（试行）》的通知》”执行。</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3.采购标的清单</w:t>
      </w:r>
    </w:p>
    <w:tbl>
      <w:tblPr>
        <w:tblStyle w:val="35"/>
        <w:tblW w:w="895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059"/>
        <w:gridCol w:w="3727"/>
        <w:gridCol w:w="417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05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采购包号</w:t>
            </w:r>
          </w:p>
        </w:tc>
        <w:tc>
          <w:tcPr>
            <w:tcW w:w="37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采购标的</w:t>
            </w:r>
          </w:p>
        </w:tc>
        <w:tc>
          <w:tcPr>
            <w:tcW w:w="417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对应中小企业划分标准所属行业</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91" w:hRule="atLeast"/>
        </w:trPr>
        <w:tc>
          <w:tcPr>
            <w:tcW w:w="10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3727"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Style w:val="32"/>
                <w:rFonts w:hint="eastAsia" w:ascii="宋体" w:hAnsi="宋体" w:eastAsia="宋体" w:cs="宋体"/>
                <w:sz w:val="24"/>
                <w:szCs w:val="24"/>
                <w:lang w:eastAsia="zh-CN"/>
              </w:rPr>
              <w:t>扬州市妇幼保健院国家电子病历六级建设项目</w:t>
            </w:r>
            <w:r>
              <w:rPr>
                <w:rFonts w:ascii="宋体" w:hAnsi="宋体" w:eastAsia="宋体" w:cs="宋体"/>
                <w:color w:val="000000"/>
                <w:sz w:val="24"/>
              </w:rPr>
              <w:t> </w:t>
            </w:r>
          </w:p>
        </w:tc>
        <w:tc>
          <w:tcPr>
            <w:tcW w:w="4170"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r>
              <w:rPr>
                <w:rFonts w:hint="eastAsia" w:ascii="宋体" w:hAnsi="宋体" w:eastAsia="宋体" w:cs="宋体"/>
                <w:sz w:val="24"/>
                <w:szCs w:val="24"/>
                <w:lang w:val="en-US" w:eastAsia="zh-CN"/>
              </w:rPr>
              <w:t>软件和信息技术服务业</w:t>
            </w:r>
          </w:p>
        </w:tc>
      </w:tr>
    </w:tbl>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rPr>
          <w:rFonts w:hint="default" w:ascii="宋体" w:hAnsi="宋体" w:eastAsia="宋体" w:cs="宋体"/>
          <w:b/>
          <w:bCs/>
          <w:sz w:val="24"/>
          <w:szCs w:val="24"/>
          <w:lang w:val="en-US" w:eastAsia="zh-CN"/>
        </w:rPr>
      </w:pPr>
      <w:r>
        <w:rPr>
          <w:rFonts w:ascii="Times New Roman" w:hAnsi="Times New Roman" w:eastAsia="Times New Roman" w:cs="Times New Roman"/>
          <w:b/>
          <w:bCs/>
          <w:color w:val="000000"/>
          <w:sz w:val="24"/>
        </w:rPr>
        <w:t> </w:t>
      </w:r>
      <w:r>
        <w:rPr>
          <w:rFonts w:hint="eastAsia" w:ascii="宋体" w:hAnsi="宋体" w:eastAsia="宋体" w:cs="宋体"/>
          <w:b/>
          <w:bCs/>
          <w:sz w:val="24"/>
          <w:szCs w:val="24"/>
          <w:lang w:val="en-US" w:eastAsia="zh-CN"/>
        </w:rPr>
        <w:t>一、技术要求</w:t>
      </w:r>
    </w:p>
    <w:p>
      <w:pPr>
        <w:pStyle w:val="3"/>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一</w:t>
      </w:r>
      <w:r>
        <w:rPr>
          <w:rFonts w:hint="eastAsia" w:ascii="宋体" w:hAnsi="宋体" w:eastAsia="宋体" w:cs="宋体"/>
          <w:sz w:val="24"/>
          <w:szCs w:val="24"/>
          <w:lang w:eastAsia="zh-CN"/>
        </w:rPr>
        <w:t>）</w:t>
      </w:r>
      <w:r>
        <w:rPr>
          <w:rFonts w:hint="eastAsia" w:ascii="宋体" w:hAnsi="宋体" w:eastAsia="宋体" w:cs="宋体"/>
          <w:sz w:val="24"/>
          <w:szCs w:val="24"/>
        </w:rPr>
        <w:t>项目背景</w:t>
      </w:r>
    </w:p>
    <w:p>
      <w:pPr>
        <w:ind w:firstLine="468"/>
        <w:jc w:val="both"/>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近年来，国家、江苏省卫健委相继发布了一系列政策法规和标准</w:t>
      </w:r>
      <w:r>
        <w:rPr>
          <w:rFonts w:hint="eastAsia" w:ascii="宋体" w:hAnsi="宋体" w:eastAsia="宋体" w:cs="宋体"/>
          <w:spacing w:val="-4"/>
          <w:sz w:val="24"/>
          <w:szCs w:val="24"/>
          <w:lang w:eastAsia="zh-CN"/>
        </w:rPr>
        <w:t>规范，例如</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《基于电子病历的医院信息平台技术规范》、《全国医院信息化建设标准与</w:t>
      </w:r>
      <w:r>
        <w:rPr>
          <w:rFonts w:hint="eastAsia" w:ascii="宋体" w:hAnsi="宋体" w:eastAsia="宋体" w:cs="宋体"/>
          <w:spacing w:val="-4"/>
          <w:sz w:val="24"/>
          <w:szCs w:val="24"/>
          <w:lang w:eastAsia="zh-CN"/>
        </w:rPr>
        <w:t>规范</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（试行）》、《电子病历系统应用水平分级评价标准》、《信息互联互通标准化</w:t>
      </w:r>
      <w:r>
        <w:rPr>
          <w:rFonts w:hint="eastAsia" w:ascii="宋体" w:hAnsi="宋体" w:eastAsia="宋体" w:cs="宋体"/>
          <w:spacing w:val="1"/>
          <w:sz w:val="24"/>
          <w:szCs w:val="24"/>
          <w:lang w:eastAsia="zh-CN"/>
        </w:rPr>
        <w:t xml:space="preserve"> </w:t>
      </w:r>
      <w:r>
        <w:rPr>
          <w:rFonts w:hint="eastAsia" w:ascii="宋体" w:hAnsi="宋体" w:eastAsia="宋体" w:cs="宋体"/>
          <w:spacing w:val="-3"/>
          <w:sz w:val="24"/>
          <w:szCs w:val="24"/>
          <w:lang w:eastAsia="zh-CN"/>
        </w:rPr>
        <w:t>成熟度测评》、《医院智慧服务分级评估标准体系（试行）》、《公立医院高质</w:t>
      </w:r>
      <w:r>
        <w:rPr>
          <w:rFonts w:hint="eastAsia" w:ascii="宋体" w:hAnsi="宋体" w:eastAsia="宋体" w:cs="宋体"/>
          <w:spacing w:val="1"/>
          <w:sz w:val="24"/>
          <w:szCs w:val="24"/>
          <w:lang w:eastAsia="zh-CN"/>
        </w:rPr>
        <w:t xml:space="preserve"> </w:t>
      </w:r>
      <w:r>
        <w:rPr>
          <w:rFonts w:hint="eastAsia" w:ascii="宋体" w:hAnsi="宋体" w:eastAsia="宋体" w:cs="宋体"/>
          <w:spacing w:val="-2"/>
          <w:sz w:val="24"/>
          <w:szCs w:val="24"/>
          <w:lang w:eastAsia="zh-CN"/>
        </w:rPr>
        <w:t>量发展促进行动（2021-2025</w:t>
      </w:r>
      <w:r>
        <w:rPr>
          <w:rFonts w:hint="eastAsia" w:ascii="宋体" w:hAnsi="宋体" w:eastAsia="宋体" w:cs="宋体"/>
          <w:spacing w:val="-39"/>
          <w:sz w:val="24"/>
          <w:szCs w:val="24"/>
          <w:lang w:eastAsia="zh-CN"/>
        </w:rPr>
        <w:t xml:space="preserve"> </w:t>
      </w:r>
      <w:r>
        <w:rPr>
          <w:rFonts w:hint="eastAsia" w:ascii="宋体" w:hAnsi="宋体" w:eastAsia="宋体" w:cs="宋体"/>
          <w:spacing w:val="-2"/>
          <w:sz w:val="24"/>
          <w:szCs w:val="24"/>
          <w:lang w:eastAsia="zh-CN"/>
        </w:rPr>
        <w:t>年）》、《江苏省“十四五</w:t>
      </w:r>
      <w:r>
        <w:rPr>
          <w:rFonts w:hint="eastAsia" w:ascii="宋体" w:hAnsi="宋体" w:eastAsia="宋体" w:cs="宋体"/>
          <w:spacing w:val="-88"/>
          <w:sz w:val="24"/>
          <w:szCs w:val="24"/>
          <w:lang w:eastAsia="zh-CN"/>
        </w:rPr>
        <w:t xml:space="preserve"> </w:t>
      </w:r>
      <w:r>
        <w:rPr>
          <w:rFonts w:hint="eastAsia" w:ascii="宋体" w:hAnsi="宋体" w:eastAsia="宋体" w:cs="宋体"/>
          <w:spacing w:val="-2"/>
          <w:sz w:val="24"/>
          <w:szCs w:val="24"/>
          <w:lang w:eastAsia="zh-CN"/>
        </w:rPr>
        <w:t>”卫生健康发展规划》</w:t>
      </w:r>
      <w:r>
        <w:rPr>
          <w:rFonts w:hint="eastAsia" w:ascii="宋体" w:hAnsi="宋体" w:eastAsia="宋体" w:cs="宋体"/>
          <w:spacing w:val="-3"/>
          <w:sz w:val="24"/>
          <w:szCs w:val="24"/>
          <w:lang w:eastAsia="zh-CN"/>
        </w:rPr>
        <w:t>等。为三级医院的信息化建设提供纲领性的指导和具体的要求，也为扬州市妇幼</w:t>
      </w:r>
      <w:r>
        <w:rPr>
          <w:rFonts w:hint="eastAsia" w:ascii="宋体" w:hAnsi="宋体" w:eastAsia="宋体" w:cs="宋体"/>
          <w:spacing w:val="-1"/>
          <w:sz w:val="24"/>
          <w:szCs w:val="24"/>
          <w:lang w:eastAsia="zh-CN"/>
        </w:rPr>
        <w:t>保健院的信息化建设指明了方向。</w:t>
      </w:r>
    </w:p>
    <w:p>
      <w:pPr>
        <w:spacing w:before="1"/>
        <w:ind w:firstLine="488"/>
        <w:jc w:val="both"/>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2024年医院启动互联互通为目的院内集成平台和数据中心建设，数</w:t>
      </w:r>
      <w:r>
        <w:rPr>
          <w:rFonts w:hint="eastAsia" w:ascii="宋体" w:hAnsi="宋体" w:eastAsia="宋体" w:cs="宋体"/>
          <w:spacing w:val="-1"/>
          <w:sz w:val="24"/>
          <w:szCs w:val="24"/>
          <w:lang w:eastAsia="zh-CN"/>
        </w:rPr>
        <w:t>字化医院框架已初步形成，</w:t>
      </w:r>
      <w:r>
        <w:rPr>
          <w:rFonts w:hint="eastAsia" w:ascii="宋体" w:hAnsi="宋体" w:eastAsia="宋体" w:cs="宋体"/>
          <w:spacing w:val="4"/>
          <w:sz w:val="24"/>
          <w:szCs w:val="24"/>
          <w:lang w:eastAsia="zh-CN"/>
        </w:rPr>
        <w:t>但在对标国家更高等级智慧医院的要求上，医院信息化还存在一些明显不</w:t>
      </w:r>
      <w:r>
        <w:rPr>
          <w:rFonts w:hint="eastAsia" w:ascii="宋体" w:hAnsi="宋体" w:eastAsia="宋体" w:cs="宋体"/>
          <w:spacing w:val="-2"/>
          <w:sz w:val="24"/>
          <w:szCs w:val="24"/>
          <w:lang w:eastAsia="zh-CN"/>
        </w:rPr>
        <w:t>足，主要包含以下几点：</w:t>
      </w:r>
    </w:p>
    <w:p>
      <w:pPr>
        <w:spacing w:before="133"/>
        <w:ind w:firstLine="488"/>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1.通过业务部门调研评估和信息化评级对标</w:t>
      </w:r>
      <w:r>
        <w:rPr>
          <w:rFonts w:hint="eastAsia" w:ascii="宋体" w:hAnsi="宋体" w:eastAsia="宋体" w:cs="宋体"/>
          <w:spacing w:val="1"/>
          <w:sz w:val="24"/>
          <w:szCs w:val="24"/>
          <w:lang w:eastAsia="zh-CN"/>
        </w:rPr>
        <w:t>分析，医院还存在一些业务领</w:t>
      </w:r>
      <w:r>
        <w:rPr>
          <w:rFonts w:hint="eastAsia" w:ascii="宋体" w:hAnsi="宋体" w:eastAsia="宋体" w:cs="宋体"/>
          <w:spacing w:val="-3"/>
          <w:sz w:val="24"/>
          <w:szCs w:val="24"/>
          <w:lang w:eastAsia="zh-CN"/>
        </w:rPr>
        <w:t>域缺乏基于信息化的有效管理，亟需通过建设专业的信息系统，提升医院整体数</w:t>
      </w:r>
      <w:r>
        <w:rPr>
          <w:rFonts w:hint="eastAsia" w:ascii="宋体" w:hAnsi="宋体" w:eastAsia="宋体" w:cs="宋体"/>
          <w:spacing w:val="-1"/>
          <w:sz w:val="24"/>
          <w:szCs w:val="24"/>
          <w:lang w:eastAsia="zh-CN"/>
        </w:rPr>
        <w:t>字化覆盖范围，实现临床诊疗的全业务电子化管理。</w:t>
      </w:r>
    </w:p>
    <w:p>
      <w:pPr>
        <w:spacing w:before="202"/>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2.医院目前在用的</w:t>
      </w:r>
      <w:r>
        <w:rPr>
          <w:rFonts w:hint="eastAsia" w:ascii="宋体" w:hAnsi="宋体" w:eastAsia="宋体" w:cs="宋体"/>
          <w:spacing w:val="-56"/>
          <w:sz w:val="24"/>
          <w:szCs w:val="24"/>
          <w:lang w:eastAsia="zh-CN"/>
        </w:rPr>
        <w:t xml:space="preserve"> </w:t>
      </w:r>
      <w:r>
        <w:rPr>
          <w:rFonts w:hint="eastAsia" w:ascii="宋体" w:hAnsi="宋体" w:eastAsia="宋体" w:cs="宋体"/>
          <w:spacing w:val="-1"/>
          <w:sz w:val="24"/>
          <w:szCs w:val="24"/>
          <w:lang w:eastAsia="zh-CN"/>
        </w:rPr>
        <w:t>HIS</w:t>
      </w:r>
      <w:r>
        <w:rPr>
          <w:rFonts w:hint="eastAsia" w:ascii="宋体" w:hAnsi="宋体" w:eastAsia="宋体" w:cs="宋体"/>
          <w:spacing w:val="-31"/>
          <w:sz w:val="24"/>
          <w:szCs w:val="24"/>
          <w:lang w:eastAsia="zh-CN"/>
        </w:rPr>
        <w:t xml:space="preserve"> </w:t>
      </w:r>
      <w:r>
        <w:rPr>
          <w:rFonts w:hint="eastAsia" w:ascii="宋体" w:hAnsi="宋体" w:eastAsia="宋体" w:cs="宋体"/>
          <w:spacing w:val="-1"/>
          <w:sz w:val="24"/>
          <w:szCs w:val="24"/>
          <w:lang w:eastAsia="zh-CN"/>
        </w:rPr>
        <w:t>、电子病历系统、临床护理等业务系统建</w:t>
      </w:r>
      <w:r>
        <w:rPr>
          <w:rFonts w:hint="eastAsia" w:ascii="宋体" w:hAnsi="宋体" w:eastAsia="宋体" w:cs="宋体"/>
          <w:spacing w:val="-2"/>
          <w:sz w:val="24"/>
          <w:szCs w:val="24"/>
          <w:lang w:eastAsia="zh-CN"/>
        </w:rPr>
        <w:t>设多年，数据采集的颗粒度不高，结构化程度不够。面对日新月异的业务形态和管理模式</w:t>
      </w:r>
      <w:r>
        <w:rPr>
          <w:rFonts w:hint="eastAsia" w:ascii="宋体" w:hAnsi="宋体" w:cs="宋体"/>
          <w:spacing w:val="-2"/>
          <w:sz w:val="24"/>
          <w:szCs w:val="24"/>
          <w:lang w:eastAsia="zh-CN"/>
        </w:rPr>
        <w:t>，</w:t>
      </w:r>
      <w:r>
        <w:rPr>
          <w:rFonts w:hint="eastAsia" w:ascii="宋体" w:hAnsi="宋体" w:eastAsia="宋体" w:cs="宋体"/>
          <w:spacing w:val="-1"/>
          <w:sz w:val="24"/>
          <w:szCs w:val="24"/>
          <w:lang w:eastAsia="zh-CN"/>
        </w:rPr>
        <w:t>“补丁式</w:t>
      </w:r>
      <w:r>
        <w:rPr>
          <w:rFonts w:hint="eastAsia" w:ascii="宋体" w:hAnsi="宋体" w:eastAsia="宋体" w:cs="宋体"/>
          <w:spacing w:val="-88"/>
          <w:sz w:val="24"/>
          <w:szCs w:val="24"/>
          <w:lang w:eastAsia="zh-CN"/>
        </w:rPr>
        <w:t xml:space="preserve"> </w:t>
      </w:r>
      <w:r>
        <w:rPr>
          <w:rFonts w:hint="eastAsia" w:ascii="宋体" w:hAnsi="宋体" w:eastAsia="宋体" w:cs="宋体"/>
          <w:spacing w:val="-1"/>
          <w:sz w:val="24"/>
          <w:szCs w:val="24"/>
          <w:lang w:eastAsia="zh-CN"/>
        </w:rPr>
        <w:t>”的建设模式已无法满足医院快速</w:t>
      </w:r>
      <w:r>
        <w:rPr>
          <w:rFonts w:hint="eastAsia" w:ascii="宋体" w:hAnsi="宋体" w:eastAsia="宋体" w:cs="宋体"/>
          <w:spacing w:val="-2"/>
          <w:sz w:val="24"/>
          <w:szCs w:val="24"/>
          <w:lang w:eastAsia="zh-CN"/>
        </w:rPr>
        <w:t>发展的要求。</w:t>
      </w:r>
    </w:p>
    <w:p>
      <w:pPr>
        <w:spacing w:before="204"/>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3.基于医院妇幼专科特色的应用及互联网医院等便</w:t>
      </w:r>
      <w:r>
        <w:rPr>
          <w:rFonts w:hint="eastAsia" w:ascii="宋体" w:hAnsi="宋体" w:eastAsia="宋体" w:cs="宋体"/>
          <w:spacing w:val="-2"/>
          <w:sz w:val="24"/>
          <w:szCs w:val="24"/>
          <w:lang w:eastAsia="zh-CN"/>
        </w:rPr>
        <w:t>民服务还有很多空白，未能体现患者就医的便捷。</w:t>
      </w:r>
    </w:p>
    <w:p>
      <w:pPr>
        <w:pStyle w:val="3"/>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二</w:t>
      </w:r>
      <w:r>
        <w:rPr>
          <w:rFonts w:hint="eastAsia" w:ascii="宋体" w:hAnsi="宋体" w:eastAsia="宋体" w:cs="宋体"/>
          <w:sz w:val="24"/>
          <w:szCs w:val="24"/>
          <w:lang w:eastAsia="zh-CN"/>
        </w:rPr>
        <w:t>）</w:t>
      </w:r>
      <w:r>
        <w:rPr>
          <w:rFonts w:hint="eastAsia" w:ascii="宋体" w:hAnsi="宋体" w:eastAsia="宋体" w:cs="宋体"/>
          <w:sz w:val="24"/>
          <w:szCs w:val="24"/>
        </w:rPr>
        <w:t>建设目标</w:t>
      </w:r>
    </w:p>
    <w:p>
      <w:pPr>
        <w:ind w:firstLine="468"/>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本项目建设将以国内先进的数字化医院建设模式为参考，围绕“</w:t>
      </w:r>
      <w:r>
        <w:rPr>
          <w:rFonts w:hint="eastAsia" w:ascii="宋体" w:hAnsi="宋体" w:eastAsia="宋体" w:cs="宋体"/>
          <w:spacing w:val="-72"/>
          <w:sz w:val="24"/>
          <w:szCs w:val="24"/>
          <w:lang w:eastAsia="zh-CN"/>
        </w:rPr>
        <w:t xml:space="preserve"> </w:t>
      </w:r>
      <w:r>
        <w:rPr>
          <w:rFonts w:hint="eastAsia" w:ascii="宋体" w:hAnsi="宋体" w:eastAsia="宋体" w:cs="宋体"/>
          <w:spacing w:val="-3"/>
          <w:sz w:val="24"/>
          <w:szCs w:val="24"/>
          <w:lang w:eastAsia="zh-CN"/>
        </w:rPr>
        <w:t>以病人为中心，以</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临床诊疗为主线，以‘安全、质量、效率</w:t>
      </w:r>
      <w:r>
        <w:rPr>
          <w:rFonts w:hint="eastAsia" w:ascii="宋体" w:hAnsi="宋体" w:eastAsia="宋体" w:cs="宋体"/>
          <w:spacing w:val="-69"/>
          <w:sz w:val="24"/>
          <w:szCs w:val="24"/>
          <w:lang w:eastAsia="zh-CN"/>
        </w:rPr>
        <w:t xml:space="preserve"> </w:t>
      </w:r>
      <w:r>
        <w:rPr>
          <w:rFonts w:hint="eastAsia" w:ascii="宋体" w:hAnsi="宋体" w:eastAsia="宋体" w:cs="宋体"/>
          <w:spacing w:val="-4"/>
          <w:sz w:val="24"/>
          <w:szCs w:val="24"/>
          <w:lang w:eastAsia="zh-CN"/>
        </w:rPr>
        <w:t>’内涵建设为主题</w:t>
      </w:r>
      <w:r>
        <w:rPr>
          <w:rFonts w:hint="eastAsia" w:ascii="宋体" w:hAnsi="宋体" w:eastAsia="宋体" w:cs="宋体"/>
          <w:spacing w:val="-88"/>
          <w:sz w:val="24"/>
          <w:szCs w:val="24"/>
          <w:lang w:eastAsia="zh-CN"/>
        </w:rPr>
        <w:t xml:space="preserve"> </w:t>
      </w:r>
      <w:r>
        <w:rPr>
          <w:rFonts w:hint="eastAsia" w:ascii="宋体" w:hAnsi="宋体" w:eastAsia="宋体" w:cs="宋体"/>
          <w:spacing w:val="-4"/>
          <w:sz w:val="24"/>
          <w:szCs w:val="24"/>
          <w:lang w:eastAsia="zh-CN"/>
        </w:rPr>
        <w:t>”的思路进行整体设计。信</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息化建设要突</w:t>
      </w:r>
      <w:r>
        <w:rPr>
          <w:rFonts w:hint="eastAsia" w:ascii="宋体" w:hAnsi="宋体" w:eastAsia="宋体" w:cs="宋体"/>
          <w:spacing w:val="-3"/>
          <w:sz w:val="24"/>
          <w:szCs w:val="24"/>
          <w:lang w:eastAsia="zh-CN"/>
        </w:rPr>
        <w:t>出管理模式先进、工作流程优化、决策支持精准、系统运作高效，能促进医院管理和机制创新，促进经营管理和决策更加科学，通过围绕“ 电子病历应用水平评审 ”工作的开展，对标《关于印</w:t>
      </w:r>
      <w:r>
        <w:rPr>
          <w:rFonts w:hint="eastAsia" w:ascii="宋体" w:hAnsi="宋体" w:eastAsia="宋体" w:cs="宋体"/>
          <w:sz w:val="24"/>
          <w:szCs w:val="24"/>
          <w:lang w:eastAsia="zh-CN"/>
        </w:rPr>
        <w:t>发电子病历系统应用水平分级评价管理办法（试行）及评价标准（试行）的通知》（国卫办医函﹝2018﹞1079号）</w:t>
      </w:r>
      <w:r>
        <w:rPr>
          <w:rFonts w:hint="eastAsia" w:ascii="宋体" w:hAnsi="宋体" w:eastAsia="宋体" w:cs="宋体"/>
          <w:spacing w:val="-1"/>
          <w:sz w:val="24"/>
          <w:szCs w:val="24"/>
          <w:lang w:eastAsia="zh-CN"/>
        </w:rPr>
        <w:t>，</w:t>
      </w:r>
      <w:r>
        <w:rPr>
          <w:rFonts w:hint="eastAsia" w:ascii="宋体" w:hAnsi="宋体" w:eastAsia="宋体" w:cs="宋体"/>
          <w:spacing w:val="-4"/>
          <w:sz w:val="24"/>
          <w:szCs w:val="24"/>
          <w:lang w:eastAsia="zh-CN"/>
        </w:rPr>
        <w:t>进一步提升以电子病历为核心的</w:t>
      </w:r>
      <w:r>
        <w:rPr>
          <w:rFonts w:hint="eastAsia" w:ascii="宋体" w:hAnsi="宋体" w:eastAsia="宋体" w:cs="宋体"/>
          <w:spacing w:val="-5"/>
          <w:sz w:val="24"/>
          <w:szCs w:val="24"/>
          <w:lang w:eastAsia="zh-CN"/>
        </w:rPr>
        <w:t>医院信息系统建设水平，“</w:t>
      </w:r>
      <w:r>
        <w:rPr>
          <w:rFonts w:hint="eastAsia" w:ascii="宋体" w:hAnsi="宋体" w:eastAsia="宋体" w:cs="宋体"/>
          <w:spacing w:val="-83"/>
          <w:sz w:val="24"/>
          <w:szCs w:val="24"/>
          <w:lang w:eastAsia="zh-CN"/>
        </w:rPr>
        <w:t xml:space="preserve"> </w:t>
      </w:r>
      <w:r>
        <w:rPr>
          <w:rFonts w:hint="eastAsia" w:ascii="宋体" w:hAnsi="宋体" w:eastAsia="宋体" w:cs="宋体"/>
          <w:spacing w:val="-5"/>
          <w:sz w:val="24"/>
          <w:szCs w:val="24"/>
          <w:lang w:eastAsia="zh-CN"/>
        </w:rPr>
        <w:t>以评促建</w:t>
      </w:r>
      <w:r>
        <w:rPr>
          <w:rFonts w:hint="eastAsia" w:ascii="宋体" w:hAnsi="宋体" w:eastAsia="宋体" w:cs="宋体"/>
          <w:spacing w:val="-88"/>
          <w:sz w:val="24"/>
          <w:szCs w:val="24"/>
          <w:lang w:eastAsia="zh-CN"/>
        </w:rPr>
        <w:t xml:space="preserve"> </w:t>
      </w:r>
      <w:r>
        <w:rPr>
          <w:rFonts w:hint="eastAsia" w:ascii="宋体" w:hAnsi="宋体" w:eastAsia="宋体" w:cs="宋体"/>
          <w:spacing w:val="-5"/>
          <w:sz w:val="24"/>
          <w:szCs w:val="24"/>
          <w:lang w:eastAsia="zh-CN"/>
        </w:rPr>
        <w:t>”、“</w:t>
      </w:r>
      <w:r>
        <w:rPr>
          <w:rFonts w:hint="eastAsia" w:ascii="宋体" w:hAnsi="宋体" w:eastAsia="宋体" w:cs="宋体"/>
          <w:spacing w:val="-84"/>
          <w:sz w:val="24"/>
          <w:szCs w:val="24"/>
          <w:lang w:eastAsia="zh-CN"/>
        </w:rPr>
        <w:t xml:space="preserve"> </w:t>
      </w:r>
      <w:r>
        <w:rPr>
          <w:rFonts w:hint="eastAsia" w:ascii="宋体" w:hAnsi="宋体" w:eastAsia="宋体" w:cs="宋体"/>
          <w:spacing w:val="-5"/>
          <w:sz w:val="24"/>
          <w:szCs w:val="24"/>
          <w:lang w:eastAsia="zh-CN"/>
        </w:rPr>
        <w:t>以评促改</w:t>
      </w:r>
      <w:r>
        <w:rPr>
          <w:rFonts w:hint="eastAsia" w:ascii="宋体" w:hAnsi="宋体" w:eastAsia="宋体" w:cs="宋体"/>
          <w:spacing w:val="-88"/>
          <w:sz w:val="24"/>
          <w:szCs w:val="24"/>
          <w:lang w:eastAsia="zh-CN"/>
        </w:rPr>
        <w:t xml:space="preserve"> </w:t>
      </w:r>
      <w:r>
        <w:rPr>
          <w:rFonts w:hint="eastAsia" w:ascii="宋体" w:hAnsi="宋体" w:eastAsia="宋体" w:cs="宋体"/>
          <w:spacing w:val="-5"/>
          <w:sz w:val="24"/>
          <w:szCs w:val="24"/>
          <w:lang w:eastAsia="zh-CN"/>
        </w:rPr>
        <w:t>”，实现临床诊疗工作</w:t>
      </w:r>
      <w:r>
        <w:rPr>
          <w:rFonts w:hint="eastAsia" w:ascii="宋体" w:hAnsi="宋体" w:eastAsia="宋体" w:cs="宋体"/>
          <w:spacing w:val="-6"/>
          <w:sz w:val="24"/>
          <w:szCs w:val="24"/>
          <w:lang w:eastAsia="zh-CN"/>
        </w:rPr>
        <w:t>规范化、专</w:t>
      </w:r>
      <w:r>
        <w:rPr>
          <w:rFonts w:hint="eastAsia" w:ascii="宋体" w:hAnsi="宋体" w:eastAsia="宋体" w:cs="宋体"/>
          <w:sz w:val="24"/>
          <w:szCs w:val="24"/>
          <w:lang w:eastAsia="zh-CN"/>
        </w:rPr>
        <w:t>业化和精细化管理。</w:t>
      </w:r>
    </w:p>
    <w:p>
      <w:pPr>
        <w:pStyle w:val="3"/>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w:t>
      </w:r>
      <w:r>
        <w:rPr>
          <w:rFonts w:hint="eastAsia" w:ascii="宋体" w:hAnsi="宋体" w:eastAsia="宋体" w:cs="宋体"/>
          <w:sz w:val="24"/>
          <w:szCs w:val="24"/>
          <w:lang w:eastAsia="zh-CN"/>
        </w:rPr>
        <w:t>）</w:t>
      </w:r>
      <w:r>
        <w:rPr>
          <w:rFonts w:hint="eastAsia" w:ascii="宋体" w:hAnsi="宋体" w:eastAsia="宋体" w:cs="宋体"/>
          <w:sz w:val="24"/>
          <w:szCs w:val="24"/>
        </w:rPr>
        <w:t>建设依据</w:t>
      </w:r>
    </w:p>
    <w:p>
      <w:pPr>
        <w:spacing w:before="78"/>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扬州市妇幼保健院信息化建设符合并遵循相关</w:t>
      </w:r>
      <w:r>
        <w:rPr>
          <w:rFonts w:hint="eastAsia" w:ascii="宋体" w:hAnsi="宋体" w:eastAsia="宋体" w:cs="宋体"/>
          <w:spacing w:val="-1"/>
          <w:sz w:val="24"/>
          <w:szCs w:val="24"/>
          <w:lang w:eastAsia="zh-CN"/>
        </w:rPr>
        <w:t>标准，包括但不限于：</w:t>
      </w:r>
    </w:p>
    <w:p>
      <w:pPr>
        <w:spacing w:before="184"/>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1.《中共中央国务院关于深化医药卫生体制改革的意</w:t>
      </w:r>
      <w:r>
        <w:rPr>
          <w:rFonts w:hint="eastAsia" w:ascii="宋体" w:hAnsi="宋体" w:eastAsia="宋体" w:cs="宋体"/>
          <w:spacing w:val="-2"/>
          <w:sz w:val="24"/>
          <w:szCs w:val="24"/>
          <w:lang w:eastAsia="zh-CN"/>
        </w:rPr>
        <w:t>见》；</w:t>
      </w:r>
    </w:p>
    <w:p>
      <w:pPr>
        <w:spacing w:before="183"/>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2.《三级综合医院评审标准实施细则（202</w:t>
      </w:r>
      <w:r>
        <w:rPr>
          <w:rFonts w:hint="eastAsia" w:ascii="宋体" w:hAnsi="宋体" w:eastAsia="宋体" w:cs="宋体"/>
          <w:spacing w:val="-1"/>
          <w:sz w:val="24"/>
          <w:szCs w:val="24"/>
          <w:lang w:eastAsia="zh-CN"/>
        </w:rPr>
        <w:t>0年版）》；</w:t>
      </w:r>
    </w:p>
    <w:p>
      <w:pPr>
        <w:spacing w:before="184"/>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3.《国家三级公立医院绩效考核操作手册（2020版）》；</w:t>
      </w:r>
    </w:p>
    <w:p>
      <w:pPr>
        <w:spacing w:before="18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4.《电子病历系统功能应用水平分级评价方法及标准（2018</w:t>
      </w:r>
      <w:r>
        <w:rPr>
          <w:rFonts w:hint="eastAsia" w:ascii="宋体" w:hAnsi="宋体" w:eastAsia="宋体" w:cs="宋体"/>
          <w:spacing w:val="-1"/>
          <w:sz w:val="24"/>
          <w:szCs w:val="24"/>
          <w:lang w:eastAsia="zh-CN"/>
        </w:rPr>
        <w:t>版）》；</w:t>
      </w:r>
    </w:p>
    <w:p>
      <w:pPr>
        <w:spacing w:before="185"/>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5.《电子病历系统应用水平分级评价管理办法（试行）》；</w:t>
      </w:r>
    </w:p>
    <w:p>
      <w:pPr>
        <w:spacing w:before="184"/>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6.《医院智慧服务分级评估标准体系（试行）》；</w:t>
      </w:r>
    </w:p>
    <w:p>
      <w:pPr>
        <w:spacing w:before="185"/>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7.《医院智慧管理分级评估标准体系（试行）》</w:t>
      </w:r>
    </w:p>
    <w:p>
      <w:pPr>
        <w:spacing w:before="18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  《国家医疗健康信息医院信息互联互通标准</w:t>
      </w:r>
      <w:r>
        <w:rPr>
          <w:rFonts w:hint="eastAsia" w:ascii="宋体" w:hAnsi="宋体" w:eastAsia="宋体" w:cs="宋体"/>
          <w:spacing w:val="-1"/>
          <w:sz w:val="24"/>
          <w:szCs w:val="24"/>
          <w:lang w:eastAsia="zh-CN"/>
        </w:rPr>
        <w:t>化成熟度测评方案(2020年版)》</w:t>
      </w:r>
    </w:p>
    <w:p>
      <w:pPr>
        <w:spacing w:before="19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9.《全国医院信息化建设标准（试行）》；</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10. 《医院信息化建设应用技术指引（201</w:t>
      </w:r>
      <w:r>
        <w:rPr>
          <w:rFonts w:hint="eastAsia" w:ascii="宋体" w:hAnsi="宋体" w:eastAsia="宋体" w:cs="宋体"/>
          <w:spacing w:val="-2"/>
          <w:sz w:val="24"/>
          <w:szCs w:val="24"/>
          <w:lang w:eastAsia="zh-CN"/>
        </w:rPr>
        <w:t>7）》；</w:t>
      </w:r>
    </w:p>
    <w:p>
      <w:pPr>
        <w:spacing w:before="182"/>
        <w:ind w:firstLine="47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11. 《医院信息系统基本功能规范》；</w:t>
      </w:r>
    </w:p>
    <w:p>
      <w:pPr>
        <w:spacing w:before="185"/>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12. 《基于电子病历的医院信息平台建设技术解决方案</w:t>
      </w:r>
      <w:r>
        <w:rPr>
          <w:rFonts w:hint="eastAsia" w:ascii="宋体" w:hAnsi="宋体" w:eastAsia="宋体" w:cs="宋体"/>
          <w:spacing w:val="-2"/>
          <w:sz w:val="24"/>
          <w:szCs w:val="24"/>
          <w:lang w:eastAsia="zh-CN"/>
        </w:rPr>
        <w:t>》；</w:t>
      </w:r>
    </w:p>
    <w:p>
      <w:pPr>
        <w:spacing w:before="182"/>
        <w:ind w:firstLine="47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13. 《电子病历功能规范标准》；</w:t>
      </w:r>
    </w:p>
    <w:p>
      <w:pPr>
        <w:spacing w:before="182"/>
        <w:ind w:firstLine="47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14. 《病历书写基本规范》；</w:t>
      </w:r>
    </w:p>
    <w:p>
      <w:pPr>
        <w:spacing w:before="183"/>
        <w:ind w:firstLine="47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15. 《电子病历基本规范（试行）》；</w:t>
      </w:r>
    </w:p>
    <w:p>
      <w:pPr>
        <w:spacing w:before="183"/>
        <w:ind w:firstLine="47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16. 《电子病历基本架构与数据标准（试行）》；</w:t>
      </w:r>
    </w:p>
    <w:p>
      <w:pPr>
        <w:spacing w:before="185"/>
        <w:ind w:firstLine="47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17. 《临床路径管理指导原则（试行）》；</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18. 《电子病历临床文档数据组与数据元标准（试行）</w:t>
      </w:r>
      <w:r>
        <w:rPr>
          <w:rFonts w:hint="eastAsia" w:ascii="宋体" w:hAnsi="宋体" w:eastAsia="宋体" w:cs="宋体"/>
          <w:spacing w:val="-2"/>
          <w:sz w:val="24"/>
          <w:szCs w:val="24"/>
          <w:lang w:eastAsia="zh-CN"/>
        </w:rPr>
        <w:t>》；</w:t>
      </w:r>
    </w:p>
    <w:p>
      <w:pPr>
        <w:spacing w:before="47"/>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19. 《电子病历临床文档基础模板数据集标准（试行）</w:t>
      </w:r>
      <w:r>
        <w:rPr>
          <w:rFonts w:hint="eastAsia" w:ascii="宋体" w:hAnsi="宋体" w:eastAsia="宋体" w:cs="宋体"/>
          <w:spacing w:val="-2"/>
          <w:sz w:val="24"/>
          <w:szCs w:val="24"/>
          <w:lang w:eastAsia="zh-CN"/>
        </w:rPr>
        <w:t>》；</w:t>
      </w:r>
    </w:p>
    <w:p>
      <w:pPr>
        <w:spacing w:before="184"/>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20. 《处方管理办法》；</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21. 《电子病历共享文档规范》；</w:t>
      </w:r>
    </w:p>
    <w:p>
      <w:pPr>
        <w:spacing w:before="183"/>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22. 《基于健康档案的区域卫生信息平台建设指</w:t>
      </w:r>
      <w:r>
        <w:rPr>
          <w:rFonts w:hint="eastAsia" w:ascii="宋体" w:hAnsi="宋体" w:eastAsia="宋体" w:cs="宋体"/>
          <w:spacing w:val="-1"/>
          <w:sz w:val="24"/>
          <w:szCs w:val="24"/>
          <w:lang w:eastAsia="zh-CN"/>
        </w:rPr>
        <w:t>南（试行）》；</w:t>
      </w:r>
    </w:p>
    <w:p>
      <w:pPr>
        <w:spacing w:before="18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23. 《国家卫生计生委属（管）医院信息服务与监管系统数</w:t>
      </w:r>
      <w:r>
        <w:rPr>
          <w:rFonts w:hint="eastAsia" w:ascii="宋体" w:hAnsi="宋体" w:eastAsia="宋体" w:cs="宋体"/>
          <w:spacing w:val="-1"/>
          <w:sz w:val="24"/>
          <w:szCs w:val="24"/>
          <w:lang w:eastAsia="zh-CN"/>
        </w:rPr>
        <w:t>据采集规范》；</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24. 《健康档案基本架构与数据标准（试行）》；</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25. 《国家基本公共卫生服务规范（2011年版）》；</w:t>
      </w:r>
    </w:p>
    <w:p>
      <w:pPr>
        <w:spacing w:before="184"/>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26. 《加快推进人口健康信息化建设的指导意见》；</w:t>
      </w:r>
    </w:p>
    <w:p>
      <w:pPr>
        <w:spacing w:before="183"/>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27. 《中华人民共和国计算机信息系统安</w:t>
      </w:r>
      <w:r>
        <w:rPr>
          <w:rFonts w:hint="eastAsia" w:ascii="宋体" w:hAnsi="宋体" w:eastAsia="宋体" w:cs="宋体"/>
          <w:spacing w:val="-1"/>
          <w:sz w:val="24"/>
          <w:szCs w:val="24"/>
          <w:lang w:eastAsia="zh-CN"/>
        </w:rPr>
        <w:t>全保护条例》；</w:t>
      </w:r>
    </w:p>
    <w:p>
      <w:pPr>
        <w:spacing w:before="184"/>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28. 《计算机信息系统保密管理暂行规定》（国保发[199</w:t>
      </w:r>
      <w:r>
        <w:rPr>
          <w:rFonts w:hint="eastAsia" w:ascii="宋体" w:hAnsi="宋体" w:eastAsia="宋体" w:cs="宋体"/>
          <w:spacing w:val="-1"/>
          <w:sz w:val="24"/>
          <w:szCs w:val="24"/>
          <w:lang w:eastAsia="zh-CN"/>
        </w:rPr>
        <w:t>8]1号</w:t>
      </w:r>
      <w:r>
        <w:rPr>
          <w:rFonts w:hint="eastAsia" w:ascii="宋体" w:hAnsi="宋体" w:eastAsia="宋体" w:cs="宋体"/>
          <w:sz w:val="24"/>
          <w:szCs w:val="24"/>
          <w:lang w:eastAsia="zh-CN"/>
        </w:rPr>
        <w:t>）；</w:t>
      </w:r>
    </w:p>
    <w:p>
      <w:pPr>
        <w:spacing w:before="19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29. 《计算机软件产品开发文件编制指南》（GB</w:t>
      </w:r>
      <w:r>
        <w:rPr>
          <w:rFonts w:hint="eastAsia" w:ascii="宋体" w:hAnsi="宋体" w:eastAsia="宋体" w:cs="宋体"/>
          <w:spacing w:val="-1"/>
          <w:sz w:val="24"/>
          <w:szCs w:val="24"/>
          <w:lang w:eastAsia="zh-CN"/>
        </w:rPr>
        <w:t>/T8567-1988</w:t>
      </w:r>
      <w:r>
        <w:rPr>
          <w:rFonts w:hint="eastAsia" w:ascii="宋体" w:hAnsi="宋体" w:eastAsia="宋体" w:cs="宋体"/>
          <w:sz w:val="24"/>
          <w:szCs w:val="24"/>
          <w:lang w:eastAsia="zh-CN"/>
        </w:rPr>
        <w:t>）；</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30. 《计算机信息系统安全保护等级划分准则》（GB/T17859-</w:t>
      </w:r>
      <w:r>
        <w:rPr>
          <w:rFonts w:hint="eastAsia" w:ascii="宋体" w:hAnsi="宋体" w:eastAsia="宋体" w:cs="宋体"/>
          <w:spacing w:val="-2"/>
          <w:sz w:val="24"/>
          <w:szCs w:val="24"/>
          <w:lang w:eastAsia="zh-CN"/>
        </w:rPr>
        <w:t>1999</w:t>
      </w:r>
      <w:r>
        <w:rPr>
          <w:rFonts w:hint="eastAsia" w:ascii="宋体" w:hAnsi="宋体" w:eastAsia="宋体" w:cs="宋体"/>
          <w:sz w:val="24"/>
          <w:szCs w:val="24"/>
          <w:lang w:eastAsia="zh-CN"/>
        </w:rPr>
        <w:t>）；</w:t>
      </w:r>
    </w:p>
    <w:p>
      <w:pPr>
        <w:spacing w:before="183"/>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31. 《信息系统安全等级保护基本要求》（GB</w:t>
      </w:r>
      <w:r>
        <w:rPr>
          <w:rFonts w:hint="eastAsia" w:ascii="宋体" w:hAnsi="宋体" w:eastAsia="宋体" w:cs="宋体"/>
          <w:spacing w:val="-1"/>
          <w:sz w:val="24"/>
          <w:szCs w:val="24"/>
          <w:lang w:eastAsia="zh-CN"/>
        </w:rPr>
        <w:t>/T22239-2008</w:t>
      </w:r>
      <w:r>
        <w:rPr>
          <w:rFonts w:hint="eastAsia" w:ascii="宋体" w:hAnsi="宋体" w:eastAsia="宋体" w:cs="宋体"/>
          <w:sz w:val="24"/>
          <w:szCs w:val="24"/>
          <w:lang w:eastAsia="zh-CN"/>
        </w:rPr>
        <w:t>）；</w:t>
      </w:r>
    </w:p>
    <w:p>
      <w:pPr>
        <w:spacing w:before="184"/>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32.《中华人民共和国密码法》</w:t>
      </w:r>
    </w:p>
    <w:p>
      <w:pPr>
        <w:spacing w:before="184"/>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33.《商用密码管理条例》</w:t>
      </w:r>
    </w:p>
    <w:p>
      <w:pPr>
        <w:spacing w:before="182"/>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34. 《信息技术安全技术信息技术安全性评估准则》（GB/T18336-20</w:t>
      </w:r>
      <w:r>
        <w:rPr>
          <w:rFonts w:hint="eastAsia" w:ascii="宋体" w:hAnsi="宋体" w:eastAsia="宋体" w:cs="宋体"/>
          <w:spacing w:val="-2"/>
          <w:sz w:val="24"/>
          <w:szCs w:val="24"/>
          <w:lang w:eastAsia="zh-CN"/>
        </w:rPr>
        <w:t>01</w:t>
      </w:r>
      <w:r>
        <w:rPr>
          <w:rFonts w:hint="eastAsia" w:ascii="宋体" w:hAnsi="宋体" w:eastAsia="宋体" w:cs="宋体"/>
          <w:sz w:val="24"/>
          <w:szCs w:val="24"/>
          <w:lang w:eastAsia="zh-CN"/>
        </w:rPr>
        <w:t>）；</w:t>
      </w:r>
    </w:p>
    <w:p>
      <w:pPr>
        <w:spacing w:before="185"/>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35. 《计算机场地通用规范》（GB/T 2887-2000</w:t>
      </w:r>
      <w:r>
        <w:rPr>
          <w:rFonts w:hint="eastAsia" w:ascii="宋体" w:hAnsi="宋体" w:eastAsia="宋体" w:cs="宋体"/>
          <w:spacing w:val="7"/>
          <w:sz w:val="24"/>
          <w:szCs w:val="24"/>
          <w:lang w:eastAsia="zh-CN"/>
        </w:rPr>
        <w:t>）；</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36. 《计算机场地安全要求》（GB9361-1988</w:t>
      </w:r>
      <w:r>
        <w:rPr>
          <w:rFonts w:hint="eastAsia" w:ascii="宋体" w:hAnsi="宋体" w:eastAsia="宋体" w:cs="宋体"/>
          <w:spacing w:val="7"/>
          <w:sz w:val="24"/>
          <w:szCs w:val="24"/>
          <w:lang w:eastAsia="zh-CN"/>
        </w:rPr>
        <w:t>）；</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37.《国家卫生健康委关于推动临床专科能力建设的指导意见》</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38.《国家卫生健康委办公厅关于印发出生缺陷防治能力提升计划（2023-2027年）</w:t>
      </w:r>
      <w:r>
        <w:rPr>
          <w:rFonts w:hint="eastAsia" w:ascii="宋体" w:hAnsi="宋体" w:eastAsia="宋体" w:cs="宋体"/>
          <w:spacing w:val="10"/>
          <w:sz w:val="24"/>
          <w:szCs w:val="24"/>
          <w:lang w:eastAsia="zh-CN"/>
        </w:rPr>
        <w:t xml:space="preserve"> </w:t>
      </w:r>
      <w:r>
        <w:rPr>
          <w:rFonts w:hint="eastAsia" w:ascii="宋体" w:hAnsi="宋体" w:eastAsia="宋体" w:cs="宋体"/>
          <w:spacing w:val="-8"/>
          <w:sz w:val="24"/>
          <w:szCs w:val="24"/>
          <w:lang w:eastAsia="zh-CN"/>
        </w:rPr>
        <w:t>的通知》</w:t>
      </w:r>
    </w:p>
    <w:p>
      <w:pPr>
        <w:spacing w:before="181"/>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39.《关于开展改善就医感受提升患者体验主题活动的通知》</w:t>
      </w:r>
    </w:p>
    <w:p>
      <w:pPr>
        <w:spacing w:before="182"/>
        <w:ind w:firstLine="468"/>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40.《国家卫生健康委国家发展改革委关于命名第一批全国婴幼儿照护服务示范城市</w:t>
      </w:r>
      <w:r>
        <w:rPr>
          <w:rFonts w:hint="eastAsia" w:ascii="宋体" w:hAnsi="宋体" w:eastAsia="宋体" w:cs="宋体"/>
          <w:spacing w:val="1"/>
          <w:sz w:val="24"/>
          <w:szCs w:val="24"/>
          <w:lang w:eastAsia="zh-CN"/>
        </w:rPr>
        <w:t xml:space="preserve"> </w:t>
      </w:r>
      <w:r>
        <w:rPr>
          <w:rFonts w:hint="eastAsia" w:ascii="宋体" w:hAnsi="宋体" w:eastAsia="宋体" w:cs="宋体"/>
          <w:spacing w:val="-8"/>
          <w:sz w:val="24"/>
          <w:szCs w:val="24"/>
          <w:lang w:eastAsia="zh-CN"/>
        </w:rPr>
        <w:t>的通知》</w:t>
      </w:r>
    </w:p>
    <w:p>
      <w:pPr>
        <w:spacing w:before="181"/>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41.《国务院办公厅关于推动公立医院高质量发</w:t>
      </w:r>
      <w:r>
        <w:rPr>
          <w:rFonts w:hint="eastAsia" w:ascii="宋体" w:hAnsi="宋体" w:eastAsia="宋体" w:cs="宋体"/>
          <w:spacing w:val="-1"/>
          <w:sz w:val="24"/>
          <w:szCs w:val="24"/>
          <w:lang w:eastAsia="zh-CN"/>
        </w:rPr>
        <w:t>展的意见》</w:t>
      </w:r>
    </w:p>
    <w:p>
      <w:pPr>
        <w:spacing w:before="183"/>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42.《中国儿童发展纲要(2021-2030</w:t>
      </w:r>
      <w:r>
        <w:rPr>
          <w:rFonts w:hint="eastAsia" w:ascii="宋体" w:hAnsi="宋体" w:eastAsia="宋体" w:cs="宋体"/>
          <w:spacing w:val="-1"/>
          <w:sz w:val="24"/>
          <w:szCs w:val="24"/>
          <w:lang w:eastAsia="zh-CN"/>
        </w:rPr>
        <w:t xml:space="preserve"> 年)》</w:t>
      </w:r>
    </w:p>
    <w:p>
      <w:pPr>
        <w:spacing w:before="192"/>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43.《关于进一步完善医疗卫生服务体系的意见》</w:t>
      </w:r>
    </w:p>
    <w:p>
      <w:pPr>
        <w:spacing w:before="184"/>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44.《关于推进儿童医疗卫生服务高质量发</w:t>
      </w:r>
      <w:r>
        <w:rPr>
          <w:rFonts w:hint="eastAsia" w:ascii="宋体" w:hAnsi="宋体" w:eastAsia="宋体" w:cs="宋体"/>
          <w:spacing w:val="-1"/>
          <w:sz w:val="24"/>
          <w:szCs w:val="24"/>
          <w:lang w:eastAsia="zh-CN"/>
        </w:rPr>
        <w:t>展的意见》</w:t>
      </w:r>
    </w:p>
    <w:p>
      <w:pPr>
        <w:spacing w:before="183"/>
        <w:ind w:firstLine="47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45.《公立医院运营管理信息化功能指引》</w:t>
      </w:r>
    </w:p>
    <w:p>
      <w:pPr>
        <w:spacing w:before="183"/>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46.《“数据要素×”三年行动计划（2024—20</w:t>
      </w:r>
      <w:r>
        <w:rPr>
          <w:rFonts w:hint="eastAsia" w:ascii="宋体" w:hAnsi="宋体" w:eastAsia="宋体" w:cs="宋体"/>
          <w:spacing w:val="-1"/>
          <w:sz w:val="24"/>
          <w:szCs w:val="24"/>
          <w:lang w:eastAsia="zh-CN"/>
        </w:rPr>
        <w:t>26年）》</w:t>
      </w:r>
    </w:p>
    <w:p>
      <w:pPr>
        <w:spacing w:before="93"/>
        <w:ind w:firstLine="480"/>
        <w:rPr>
          <w:rFonts w:hint="eastAsia" w:ascii="宋体" w:hAnsi="宋体" w:eastAsia="宋体" w:cs="宋体"/>
          <w:sz w:val="24"/>
          <w:szCs w:val="24"/>
          <w:lang w:eastAsia="zh-CN"/>
        </w:rPr>
      </w:pPr>
      <w:r>
        <w:rPr>
          <w:rFonts w:hint="eastAsia" w:ascii="宋体" w:hAnsi="宋体" w:eastAsia="宋体" w:cs="宋体"/>
          <w:position w:val="7"/>
          <w:sz w:val="24"/>
          <w:szCs w:val="24"/>
          <w:lang w:eastAsia="zh-CN"/>
        </w:rPr>
        <w:t>47.《</w:t>
      </w:r>
      <w:r>
        <w:rPr>
          <w:rFonts w:hint="eastAsia" w:ascii="宋体" w:hAnsi="宋体" w:eastAsia="宋体" w:cs="宋体"/>
          <w:sz w:val="24"/>
          <w:szCs w:val="24"/>
        </w:rPr>
        <w:fldChar w:fldCharType="begin"/>
      </w:r>
      <w:r>
        <w:rPr>
          <w:rFonts w:hint="eastAsia" w:ascii="宋体" w:hAnsi="宋体" w:eastAsia="宋体" w:cs="宋体"/>
          <w:sz w:val="24"/>
          <w:szCs w:val="24"/>
          <w:lang w:eastAsia="zh-CN"/>
        </w:rPr>
        <w:instrText xml:space="preserve"> HYPERLINK "http://www.baidu.com/link?url=TzFGg9cRRKzJDLf9mdgbQ7lKiiB-3igkMSqhcSHpPbexJkUiSVaehwRBnb7Gf1bjPBlidVrQCjcjaKtrXTzKJP9n1BVe9IRiqUZkL7S921zj4Za70yf8a6SGrRS7thHc" </w:instrText>
      </w:r>
      <w:r>
        <w:rPr>
          <w:rFonts w:hint="eastAsia" w:ascii="宋体" w:hAnsi="宋体" w:eastAsia="宋体" w:cs="宋体"/>
          <w:sz w:val="24"/>
          <w:szCs w:val="24"/>
        </w:rPr>
        <w:fldChar w:fldCharType="separate"/>
      </w:r>
      <w:r>
        <w:rPr>
          <w:rFonts w:hint="eastAsia" w:ascii="宋体" w:hAnsi="宋体" w:eastAsia="宋体" w:cs="宋体"/>
          <w:position w:val="7"/>
          <w:sz w:val="24"/>
          <w:szCs w:val="24"/>
          <w:lang w:eastAsia="zh-CN"/>
        </w:rPr>
        <w:t>三级妇幼保健院评审标准实施细则(201</w:t>
      </w:r>
      <w:r>
        <w:rPr>
          <w:rFonts w:hint="eastAsia" w:ascii="宋体" w:hAnsi="宋体" w:eastAsia="宋体" w:cs="宋体"/>
          <w:spacing w:val="-1"/>
          <w:position w:val="7"/>
          <w:sz w:val="24"/>
          <w:szCs w:val="24"/>
          <w:lang w:eastAsia="zh-CN"/>
        </w:rPr>
        <w:t>6年版)</w:t>
      </w:r>
      <w:r>
        <w:rPr>
          <w:rFonts w:hint="eastAsia" w:ascii="宋体" w:hAnsi="宋体" w:eastAsia="宋体" w:cs="宋体"/>
          <w:spacing w:val="-1"/>
          <w:position w:val="7"/>
          <w:sz w:val="24"/>
          <w:szCs w:val="24"/>
          <w:lang w:eastAsia="zh-CN"/>
        </w:rPr>
        <w:fldChar w:fldCharType="end"/>
      </w:r>
      <w:r>
        <w:rPr>
          <w:rFonts w:hint="eastAsia" w:ascii="宋体" w:hAnsi="宋体" w:eastAsia="宋体" w:cs="宋体"/>
          <w:spacing w:val="-1"/>
          <w:position w:val="7"/>
          <w:sz w:val="24"/>
          <w:szCs w:val="24"/>
          <w:lang w:eastAsia="zh-CN"/>
        </w:rPr>
        <w:t>》</w:t>
      </w:r>
    </w:p>
    <w:p>
      <w:pPr>
        <w:spacing w:before="114"/>
        <w:ind w:firstLine="47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48.《江苏省“十四五</w:t>
      </w:r>
      <w:r>
        <w:rPr>
          <w:rFonts w:hint="eastAsia" w:ascii="宋体" w:hAnsi="宋体" w:eastAsia="宋体" w:cs="宋体"/>
          <w:spacing w:val="-83"/>
          <w:sz w:val="24"/>
          <w:szCs w:val="24"/>
          <w:lang w:eastAsia="zh-CN"/>
        </w:rPr>
        <w:t xml:space="preserve"> </w:t>
      </w:r>
      <w:r>
        <w:rPr>
          <w:rFonts w:hint="eastAsia" w:ascii="宋体" w:hAnsi="宋体" w:eastAsia="宋体" w:cs="宋体"/>
          <w:spacing w:val="-2"/>
          <w:sz w:val="24"/>
          <w:szCs w:val="24"/>
          <w:lang w:eastAsia="zh-CN"/>
        </w:rPr>
        <w:t>”卫生健康发展规划》</w:t>
      </w:r>
    </w:p>
    <w:p>
      <w:pPr>
        <w:spacing w:before="18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49.《江苏省三级综合医院评审标准实施细则(202</w:t>
      </w:r>
      <w:r>
        <w:rPr>
          <w:rFonts w:hint="eastAsia" w:ascii="宋体" w:hAnsi="宋体" w:eastAsia="宋体" w:cs="宋体"/>
          <w:spacing w:val="-1"/>
          <w:sz w:val="24"/>
          <w:szCs w:val="24"/>
          <w:lang w:eastAsia="zh-CN"/>
        </w:rPr>
        <w:t>3年版)》</w:t>
      </w:r>
    </w:p>
    <w:p>
      <w:pPr>
        <w:spacing w:before="19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50.《江苏省三级儿童医院评审标准实施</w:t>
      </w:r>
      <w:r>
        <w:rPr>
          <w:rFonts w:hint="eastAsia" w:ascii="宋体" w:hAnsi="宋体" w:eastAsia="宋体" w:cs="宋体"/>
          <w:spacing w:val="-1"/>
          <w:sz w:val="24"/>
          <w:szCs w:val="24"/>
          <w:lang w:eastAsia="zh-CN"/>
        </w:rPr>
        <w:t>细则（2020年版）》</w:t>
      </w:r>
    </w:p>
    <w:p>
      <w:pPr>
        <w:pStyle w:val="3"/>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w:t>
      </w:r>
      <w:r>
        <w:rPr>
          <w:rFonts w:hint="eastAsia" w:ascii="宋体" w:hAnsi="宋体" w:eastAsia="宋体" w:cs="宋体"/>
          <w:sz w:val="24"/>
          <w:szCs w:val="24"/>
          <w:lang w:eastAsia="zh-CN"/>
        </w:rPr>
        <w:t>）</w:t>
      </w:r>
      <w:r>
        <w:rPr>
          <w:rFonts w:hint="eastAsia" w:ascii="宋体" w:hAnsi="宋体" w:eastAsia="宋体" w:cs="宋体"/>
          <w:sz w:val="24"/>
          <w:szCs w:val="24"/>
        </w:rPr>
        <w:t>建设清单</w:t>
      </w:r>
    </w:p>
    <w:tbl>
      <w:tblPr>
        <w:tblStyle w:val="34"/>
        <w:tblW w:w="9081"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2"/>
        <w:gridCol w:w="1413"/>
        <w:gridCol w:w="4526"/>
        <w:gridCol w:w="21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blHeader/>
          <w:jc w:val="center"/>
        </w:trPr>
        <w:tc>
          <w:tcPr>
            <w:tcW w:w="952" w:type="dxa"/>
            <w:vAlign w:val="center"/>
          </w:tcPr>
          <w:p>
            <w:pPr>
              <w:pStyle w:val="22"/>
              <w:jc w:val="both"/>
              <w:rPr>
                <w:rFonts w:hint="eastAsia" w:ascii="宋体" w:hAnsi="宋体" w:eastAsia="宋体" w:cs="宋体"/>
                <w:b/>
                <w:sz w:val="24"/>
                <w:szCs w:val="24"/>
              </w:rPr>
            </w:pPr>
            <w:r>
              <w:rPr>
                <w:rFonts w:hint="eastAsia" w:ascii="宋体" w:hAnsi="宋体" w:eastAsia="宋体" w:cs="宋体"/>
                <w:b/>
                <w:sz w:val="24"/>
                <w:szCs w:val="24"/>
              </w:rPr>
              <w:t>序号</w:t>
            </w:r>
          </w:p>
        </w:tc>
        <w:tc>
          <w:tcPr>
            <w:tcW w:w="1413" w:type="dxa"/>
            <w:vAlign w:val="center"/>
          </w:tcPr>
          <w:p>
            <w:pPr>
              <w:pStyle w:val="22"/>
              <w:ind w:firstLine="482"/>
              <w:jc w:val="both"/>
              <w:rPr>
                <w:rFonts w:hint="eastAsia" w:ascii="宋体" w:hAnsi="宋体" w:eastAsia="宋体" w:cs="宋体"/>
                <w:b/>
                <w:sz w:val="24"/>
                <w:szCs w:val="24"/>
              </w:rPr>
            </w:pPr>
            <w:r>
              <w:rPr>
                <w:rFonts w:hint="eastAsia" w:ascii="宋体" w:hAnsi="宋体" w:eastAsia="宋体" w:cs="宋体"/>
                <w:b/>
                <w:sz w:val="24"/>
                <w:szCs w:val="24"/>
              </w:rPr>
              <w:t>大类</w:t>
            </w:r>
          </w:p>
        </w:tc>
        <w:tc>
          <w:tcPr>
            <w:tcW w:w="4526" w:type="dxa"/>
            <w:vAlign w:val="center"/>
          </w:tcPr>
          <w:p>
            <w:pPr>
              <w:pStyle w:val="22"/>
              <w:ind w:firstLine="482"/>
              <w:jc w:val="center"/>
              <w:rPr>
                <w:rFonts w:hint="eastAsia" w:ascii="宋体" w:hAnsi="宋体" w:eastAsia="宋体" w:cs="宋体"/>
                <w:b/>
                <w:sz w:val="24"/>
                <w:szCs w:val="24"/>
              </w:rPr>
            </w:pPr>
            <w:r>
              <w:rPr>
                <w:rFonts w:hint="eastAsia" w:ascii="宋体" w:hAnsi="宋体" w:eastAsia="宋体" w:cs="宋体"/>
                <w:b/>
                <w:sz w:val="24"/>
                <w:szCs w:val="24"/>
              </w:rPr>
              <w:t>建设内容</w:t>
            </w:r>
          </w:p>
        </w:tc>
        <w:tc>
          <w:tcPr>
            <w:tcW w:w="2190" w:type="dxa"/>
            <w:vAlign w:val="center"/>
          </w:tcPr>
          <w:p>
            <w:pPr>
              <w:pStyle w:val="22"/>
              <w:ind w:firstLine="482"/>
              <w:jc w:val="center"/>
              <w:rPr>
                <w:rFonts w:hint="eastAsia" w:ascii="宋体" w:hAnsi="宋体" w:eastAsia="宋体" w:cs="宋体"/>
                <w:b/>
                <w:sz w:val="24"/>
                <w:szCs w:val="24"/>
              </w:rPr>
            </w:pPr>
            <w:r>
              <w:rPr>
                <w:rFonts w:hint="eastAsia" w:ascii="宋体" w:hAnsi="宋体" w:eastAsia="宋体" w:cs="宋体"/>
                <w:b/>
                <w:sz w:val="24"/>
                <w:szCs w:val="24"/>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restart"/>
            <w:vAlign w:val="center"/>
          </w:tcPr>
          <w:p>
            <w:pPr>
              <w:pStyle w:val="22"/>
              <w:jc w:val="both"/>
              <w:rPr>
                <w:rFonts w:hint="eastAsia" w:ascii="宋体" w:hAnsi="宋体" w:eastAsia="宋体" w:cs="宋体"/>
                <w:sz w:val="24"/>
                <w:szCs w:val="24"/>
              </w:rPr>
            </w:pPr>
            <w:r>
              <w:rPr>
                <w:rFonts w:hint="eastAsia" w:ascii="宋体" w:hAnsi="宋体" w:eastAsia="宋体" w:cs="宋体"/>
                <w:sz w:val="24"/>
                <w:szCs w:val="24"/>
              </w:rPr>
              <w:t>定制软件</w:t>
            </w:r>
          </w:p>
        </w:tc>
        <w:tc>
          <w:tcPr>
            <w:tcW w:w="4526" w:type="dxa"/>
            <w:vAlign w:val="top"/>
          </w:tcPr>
          <w:p>
            <w:pPr>
              <w:pStyle w:val="22"/>
              <w:ind w:firstLine="480"/>
              <w:rPr>
                <w:rFonts w:hint="eastAsia" w:ascii="宋体" w:hAnsi="宋体" w:eastAsia="宋体" w:cs="宋体"/>
                <w:sz w:val="24"/>
                <w:szCs w:val="24"/>
              </w:rPr>
            </w:pPr>
            <w:r>
              <w:rPr>
                <w:rFonts w:hint="eastAsia" w:ascii="宋体" w:hAnsi="宋体" w:eastAsia="宋体" w:cs="宋体"/>
                <w:sz w:val="24"/>
                <w:szCs w:val="24"/>
              </w:rPr>
              <w:t>心电系统改造升级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CDSS系统改造升级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rPr>
            </w:pPr>
            <w:r>
              <w:rPr>
                <w:rFonts w:hint="eastAsia" w:ascii="宋体" w:hAnsi="宋体" w:eastAsia="宋体" w:cs="宋体"/>
                <w:sz w:val="24"/>
                <w:szCs w:val="24"/>
              </w:rPr>
              <w:t>护理系统改造升级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手术麻醉系统改造升级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合理用药系统改造升级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病案首页管理系统改造升级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rPr>
            </w:pPr>
            <w:r>
              <w:rPr>
                <w:rFonts w:hint="eastAsia" w:ascii="宋体" w:hAnsi="宋体" w:eastAsia="宋体" w:cs="宋体"/>
                <w:sz w:val="24"/>
                <w:szCs w:val="24"/>
              </w:rPr>
              <w:t>CA系统改造升级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实验室信息管理系统(LIS)改造升级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闭环监测分析管理系统改造升级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center"/>
          </w:tcPr>
          <w:p>
            <w:pPr>
              <w:pStyle w:val="2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PACS系统改造升级</w:t>
            </w:r>
          </w:p>
        </w:tc>
        <w:tc>
          <w:tcPr>
            <w:tcW w:w="2190" w:type="dxa"/>
            <w:vAlign w:val="center"/>
          </w:tcPr>
          <w:p>
            <w:pPr>
              <w:pStyle w:val="22"/>
              <w:ind w:firstLine="48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center"/>
          </w:tcPr>
          <w:p>
            <w:pPr>
              <w:pStyle w:val="22"/>
              <w:ind w:firstLine="480"/>
              <w:rPr>
                <w:rFonts w:hint="eastAsia" w:ascii="宋体" w:hAnsi="宋体" w:eastAsia="宋体" w:cs="宋体"/>
                <w:sz w:val="24"/>
                <w:szCs w:val="24"/>
                <w:lang w:eastAsia="zh-CN"/>
              </w:rPr>
            </w:pPr>
            <w:r>
              <w:rPr>
                <w:rFonts w:hint="eastAsia" w:ascii="宋体" w:hAnsi="宋体" w:cs="宋体"/>
              </w:rPr>
              <w:t>医院管理信息系统（HIS）</w:t>
            </w:r>
            <w:r>
              <w:rPr>
                <w:rFonts w:hint="eastAsia" w:ascii="宋体" w:hAnsi="宋体" w:eastAsia="宋体" w:cs="宋体"/>
                <w:sz w:val="24"/>
                <w:szCs w:val="24"/>
                <w:lang w:eastAsia="zh-CN"/>
              </w:rPr>
              <w:t>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center"/>
          </w:tcPr>
          <w:p>
            <w:pPr>
              <w:pStyle w:val="22"/>
              <w:ind w:firstLine="480"/>
              <w:rPr>
                <w:rFonts w:hint="eastAsia" w:ascii="宋体" w:hAnsi="宋体" w:eastAsia="宋体" w:cs="宋体"/>
                <w:sz w:val="24"/>
                <w:szCs w:val="24"/>
                <w:lang w:eastAsia="zh-CN"/>
              </w:rPr>
            </w:pPr>
            <w:r>
              <w:rPr>
                <w:rFonts w:hint="eastAsia" w:ascii="宋体" w:hAnsi="宋体" w:cs="宋体"/>
              </w:rPr>
              <w:t>电子病历系统（EMR）</w:t>
            </w:r>
            <w:r>
              <w:rPr>
                <w:rFonts w:hint="eastAsia" w:ascii="宋体" w:hAnsi="宋体" w:eastAsia="宋体" w:cs="宋体"/>
                <w:sz w:val="24"/>
                <w:szCs w:val="24"/>
                <w:lang w:eastAsia="zh-CN"/>
              </w:rPr>
              <w:t>改造升级</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restart"/>
            <w:vAlign w:val="center"/>
          </w:tcPr>
          <w:p>
            <w:pPr>
              <w:pStyle w:val="22"/>
              <w:rPr>
                <w:rFonts w:hint="eastAsia" w:ascii="宋体" w:hAnsi="宋体" w:eastAsia="宋体" w:cs="宋体"/>
                <w:sz w:val="24"/>
                <w:szCs w:val="24"/>
              </w:rPr>
            </w:pPr>
            <w:r>
              <w:rPr>
                <w:rFonts w:hint="eastAsia" w:ascii="宋体" w:hAnsi="宋体" w:eastAsia="宋体" w:cs="宋体"/>
                <w:sz w:val="24"/>
                <w:szCs w:val="24"/>
              </w:rPr>
              <w:t>成品软件</w:t>
            </w:r>
          </w:p>
        </w:tc>
        <w:tc>
          <w:tcPr>
            <w:tcW w:w="4526" w:type="dxa"/>
            <w:vAlign w:val="center"/>
          </w:tcPr>
          <w:p>
            <w:pPr>
              <w:pStyle w:val="22"/>
              <w:ind w:firstLine="480"/>
              <w:rPr>
                <w:rFonts w:hint="eastAsia" w:ascii="宋体" w:hAnsi="宋体" w:eastAsia="宋体" w:cs="宋体"/>
                <w:sz w:val="24"/>
                <w:szCs w:val="24"/>
              </w:rPr>
            </w:pPr>
            <w:r>
              <w:rPr>
                <w:rFonts w:hint="eastAsia" w:ascii="宋体" w:hAnsi="宋体" w:eastAsia="宋体" w:cs="宋体"/>
                <w:sz w:val="24"/>
                <w:szCs w:val="24"/>
              </w:rPr>
              <w:t>不良事件管理系统</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center"/>
          </w:tcPr>
          <w:p>
            <w:pPr>
              <w:pStyle w:val="22"/>
              <w:ind w:firstLine="480"/>
              <w:rPr>
                <w:rFonts w:hint="eastAsia" w:ascii="宋体" w:hAnsi="宋体" w:eastAsia="宋体" w:cs="宋体"/>
                <w:sz w:val="24"/>
                <w:szCs w:val="24"/>
              </w:rPr>
            </w:pPr>
            <w:r>
              <w:rPr>
                <w:rFonts w:hint="eastAsia" w:ascii="宋体" w:hAnsi="宋体" w:eastAsia="宋体" w:cs="宋体"/>
                <w:sz w:val="24"/>
                <w:szCs w:val="24"/>
              </w:rPr>
              <w:t>危急值管理系统</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center"/>
          </w:tcPr>
          <w:p>
            <w:pPr>
              <w:pStyle w:val="22"/>
              <w:ind w:firstLine="480"/>
              <w:rPr>
                <w:rFonts w:hint="eastAsia" w:ascii="宋体" w:hAnsi="宋体" w:eastAsia="宋体" w:cs="宋体"/>
                <w:sz w:val="24"/>
                <w:szCs w:val="24"/>
              </w:rPr>
            </w:pPr>
            <w:r>
              <w:rPr>
                <w:rFonts w:hint="eastAsia" w:ascii="宋体" w:hAnsi="宋体" w:eastAsia="宋体" w:cs="宋体"/>
                <w:sz w:val="24"/>
                <w:szCs w:val="24"/>
              </w:rPr>
              <w:t>无纸化病案管理系统</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restart"/>
            <w:vAlign w:val="center"/>
          </w:tcPr>
          <w:p>
            <w:pPr>
              <w:pStyle w:val="22"/>
              <w:rPr>
                <w:rFonts w:hint="eastAsia" w:ascii="宋体" w:hAnsi="宋体" w:eastAsia="宋体" w:cs="宋体"/>
                <w:sz w:val="24"/>
                <w:szCs w:val="24"/>
              </w:rPr>
            </w:pPr>
            <w:r>
              <w:rPr>
                <w:rFonts w:hint="eastAsia" w:ascii="宋体" w:hAnsi="宋体" w:eastAsia="宋体" w:cs="宋体"/>
                <w:sz w:val="24"/>
                <w:szCs w:val="24"/>
              </w:rPr>
              <w:t>CA硬件设备</w:t>
            </w:r>
          </w:p>
        </w:tc>
        <w:tc>
          <w:tcPr>
            <w:tcW w:w="4526" w:type="dxa"/>
            <w:vAlign w:val="top"/>
          </w:tcPr>
          <w:p>
            <w:pPr>
              <w:pStyle w:val="22"/>
              <w:ind w:firstLine="480"/>
              <w:rPr>
                <w:rFonts w:hint="eastAsia" w:ascii="宋体" w:hAnsi="宋体" w:eastAsia="宋体" w:cs="宋体"/>
                <w:sz w:val="24"/>
                <w:szCs w:val="24"/>
              </w:rPr>
            </w:pPr>
            <w:r>
              <w:rPr>
                <w:rFonts w:hint="eastAsia" w:ascii="宋体" w:hAnsi="宋体" w:eastAsia="宋体" w:cs="宋体"/>
                <w:sz w:val="24"/>
                <w:szCs w:val="24"/>
              </w:rPr>
              <w:t>医疗一体化管理设备</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签名验签时间戳服务专用设备</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rPr>
            </w:pPr>
            <w:r>
              <w:rPr>
                <w:rFonts w:hint="eastAsia" w:ascii="宋体" w:hAnsi="宋体" w:eastAsia="宋体" w:cs="宋体"/>
                <w:sz w:val="24"/>
                <w:szCs w:val="24"/>
              </w:rPr>
              <w:t>软盾密钥协同设备</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rPr>
            </w:pPr>
            <w:r>
              <w:rPr>
                <w:rFonts w:hint="eastAsia" w:ascii="宋体" w:hAnsi="宋体" w:eastAsia="宋体" w:cs="宋体"/>
                <w:sz w:val="24"/>
                <w:szCs w:val="24"/>
              </w:rPr>
              <w:t>电子签章服务器</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rPr>
            </w:pPr>
            <w:r>
              <w:rPr>
                <w:rFonts w:hint="eastAsia" w:ascii="宋体" w:hAnsi="宋体" w:eastAsia="宋体" w:cs="宋体"/>
                <w:sz w:val="24"/>
                <w:szCs w:val="24"/>
              </w:rPr>
              <w:t>数据库加密管理设备</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rPr>
            </w:pPr>
            <w:r>
              <w:rPr>
                <w:rFonts w:hint="eastAsia" w:ascii="宋体" w:hAnsi="宋体" w:eastAsia="宋体" w:cs="宋体"/>
                <w:sz w:val="24"/>
                <w:szCs w:val="24"/>
              </w:rPr>
              <w:t>患者手写签名服务器</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个人证书(专用密码服务)</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jc w:val="center"/>
        </w:trPr>
        <w:tc>
          <w:tcPr>
            <w:tcW w:w="952" w:type="dxa"/>
            <w:vAlign w:val="center"/>
          </w:tcPr>
          <w:p>
            <w:pPr>
              <w:pStyle w:val="22"/>
              <w:numPr>
                <w:ilvl w:val="0"/>
                <w:numId w:val="5"/>
              </w:numPr>
              <w:spacing w:before="0" w:after="0"/>
              <w:ind w:left="0" w:firstLine="480"/>
              <w:jc w:val="center"/>
              <w:rPr>
                <w:rFonts w:hint="eastAsia" w:ascii="宋体" w:hAnsi="宋体" w:eastAsia="宋体" w:cs="宋体"/>
                <w:sz w:val="24"/>
                <w:szCs w:val="24"/>
              </w:rPr>
            </w:pPr>
          </w:p>
        </w:tc>
        <w:tc>
          <w:tcPr>
            <w:tcW w:w="1413" w:type="dxa"/>
            <w:vMerge w:val="continue"/>
            <w:vAlign w:val="center"/>
          </w:tcPr>
          <w:p>
            <w:pPr>
              <w:pStyle w:val="22"/>
              <w:ind w:firstLine="480"/>
              <w:rPr>
                <w:rFonts w:hint="eastAsia" w:ascii="宋体" w:hAnsi="宋体" w:eastAsia="宋体" w:cs="宋体"/>
                <w:sz w:val="24"/>
                <w:szCs w:val="24"/>
              </w:rPr>
            </w:pPr>
          </w:p>
        </w:tc>
        <w:tc>
          <w:tcPr>
            <w:tcW w:w="4526" w:type="dxa"/>
            <w:vAlign w:val="top"/>
          </w:tcPr>
          <w:p>
            <w:pPr>
              <w:pStyle w:val="22"/>
              <w:ind w:firstLine="480"/>
              <w:rPr>
                <w:rFonts w:hint="eastAsia" w:ascii="宋体" w:hAnsi="宋体" w:eastAsia="宋体" w:cs="宋体"/>
                <w:sz w:val="24"/>
                <w:szCs w:val="24"/>
              </w:rPr>
            </w:pPr>
            <w:r>
              <w:rPr>
                <w:rFonts w:hint="eastAsia" w:ascii="宋体" w:hAnsi="宋体" w:eastAsia="宋体" w:cs="宋体"/>
                <w:sz w:val="24"/>
                <w:szCs w:val="24"/>
              </w:rPr>
              <w:t>服务器证书</w:t>
            </w:r>
          </w:p>
        </w:tc>
        <w:tc>
          <w:tcPr>
            <w:tcW w:w="2190" w:type="dxa"/>
            <w:vAlign w:val="center"/>
          </w:tcPr>
          <w:p>
            <w:pPr>
              <w:pStyle w:val="22"/>
              <w:ind w:firstLine="480"/>
              <w:jc w:val="center"/>
              <w:rPr>
                <w:rFonts w:hint="eastAsia" w:ascii="宋体" w:hAnsi="宋体" w:eastAsia="宋体" w:cs="宋体"/>
                <w:sz w:val="24"/>
                <w:szCs w:val="24"/>
              </w:rPr>
            </w:pPr>
            <w:r>
              <w:rPr>
                <w:rFonts w:hint="eastAsia" w:ascii="宋体" w:hAnsi="宋体" w:eastAsia="宋体" w:cs="宋体"/>
                <w:sz w:val="24"/>
                <w:szCs w:val="24"/>
              </w:rPr>
              <w:t>1项</w:t>
            </w:r>
          </w:p>
        </w:tc>
      </w:tr>
    </w:tbl>
    <w:p>
      <w:pPr>
        <w:pStyle w:val="3"/>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五</w:t>
      </w:r>
      <w:r>
        <w:rPr>
          <w:rFonts w:hint="eastAsia" w:ascii="宋体" w:hAnsi="宋体" w:eastAsia="宋体" w:cs="宋体"/>
          <w:sz w:val="24"/>
          <w:szCs w:val="24"/>
          <w:lang w:eastAsia="zh-CN"/>
        </w:rPr>
        <w:t>）</w:t>
      </w:r>
      <w:r>
        <w:rPr>
          <w:rFonts w:hint="eastAsia" w:ascii="宋体" w:hAnsi="宋体" w:eastAsia="宋体" w:cs="宋体"/>
          <w:sz w:val="24"/>
          <w:szCs w:val="24"/>
        </w:rPr>
        <w:t>建设内容</w:t>
      </w:r>
    </w:p>
    <w:p>
      <w:pPr>
        <w:pStyle w:val="4"/>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定制软件</w:t>
      </w:r>
    </w:p>
    <w:p>
      <w:pPr>
        <w:pStyle w:val="5"/>
        <w:ind w:firstLine="482"/>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心电系统改造升级</w:t>
      </w:r>
    </w:p>
    <w:p>
      <w:pPr>
        <w:pStyle w:val="22"/>
        <w:numPr>
          <w:ilvl w:val="0"/>
          <w:numId w:val="6"/>
        </w:numPr>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支持根据不同年龄、性别、诊断、生理指标变化参考值范围的模板</w:t>
      </w:r>
    </w:p>
    <w:p>
      <w:pPr>
        <w:pStyle w:val="22"/>
        <w:numPr>
          <w:ilvl w:val="0"/>
          <w:numId w:val="6"/>
        </w:numPr>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支持查看单条报告调阅闭环</w:t>
      </w:r>
    </w:p>
    <w:p>
      <w:pPr>
        <w:pStyle w:val="22"/>
        <w:numPr>
          <w:ilvl w:val="0"/>
          <w:numId w:val="6"/>
        </w:numPr>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支持患者叫号功能，支持入室扫码与叫号信息进行核对</w:t>
      </w:r>
    </w:p>
    <w:p>
      <w:pPr>
        <w:pStyle w:val="22"/>
        <w:numPr>
          <w:ilvl w:val="0"/>
          <w:numId w:val="6"/>
        </w:numPr>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图像界面增加唯一检查号</w:t>
      </w:r>
    </w:p>
    <w:p>
      <w:pPr>
        <w:pStyle w:val="22"/>
        <w:numPr>
          <w:ilvl w:val="0"/>
          <w:numId w:val="6"/>
        </w:numPr>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支持报告与诊断互斥功能</w:t>
      </w:r>
    </w:p>
    <w:p>
      <w:pPr>
        <w:pStyle w:val="22"/>
        <w:numPr>
          <w:ilvl w:val="0"/>
          <w:numId w:val="6"/>
        </w:numPr>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支持结构化报告模版的创建与使用，内容包含测量值、范围、结果标识</w:t>
      </w:r>
    </w:p>
    <w:p>
      <w:pPr>
        <w:pStyle w:val="22"/>
        <w:numPr>
          <w:ilvl w:val="0"/>
          <w:numId w:val="6"/>
        </w:numPr>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支持录入测量值结果，超过合理值范围系统给出不合理提示</w:t>
      </w:r>
    </w:p>
    <w:p>
      <w:pPr>
        <w:pStyle w:val="22"/>
        <w:numPr>
          <w:ilvl w:val="0"/>
          <w:numId w:val="6"/>
        </w:numPr>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支持报告医师在书写报告时可查询与引用临床信息、其他检查信息；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以上定制改造均满足新旧国家电子病历六级评审标准；</w:t>
      </w:r>
    </w:p>
    <w:p>
      <w:pPr>
        <w:pStyle w:val="5"/>
        <w:ind w:firstLine="482"/>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CDSS系统改造升级</w:t>
      </w:r>
    </w:p>
    <w:p>
      <w:pPr>
        <w:pStyle w:val="45"/>
        <w:numPr>
          <w:ilvl w:val="0"/>
          <w:numId w:val="7"/>
        </w:numPr>
        <w:spacing w:after="0"/>
        <w:ind w:left="0" w:firstLine="480"/>
        <w:jc w:val="both"/>
        <w:rPr>
          <w:rFonts w:hint="eastAsia" w:ascii="宋体" w:hAnsi="宋体" w:eastAsia="宋体" w:cs="宋体"/>
          <w:sz w:val="24"/>
          <w:szCs w:val="24"/>
          <w:lang w:eastAsia="zh-Hans"/>
        </w:rPr>
      </w:pPr>
      <w:r>
        <w:rPr>
          <w:rFonts w:hint="eastAsia" w:ascii="宋体" w:hAnsi="宋体" w:eastAsia="宋体" w:cs="宋体"/>
          <w:sz w:val="24"/>
          <w:szCs w:val="24"/>
          <w:lang w:eastAsia="zh-Hans"/>
        </w:rPr>
        <w:t>知识库内容升级：</w:t>
      </w:r>
    </w:p>
    <w:p>
      <w:pPr>
        <w:pStyle w:val="45"/>
        <w:numPr>
          <w:ilvl w:val="0"/>
          <w:numId w:val="8"/>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疾病详情知识库升级</w:t>
      </w:r>
    </w:p>
    <w:p>
      <w:pPr>
        <w:pStyle w:val="45"/>
        <w:numPr>
          <w:ilvl w:val="0"/>
          <w:numId w:val="8"/>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检验/检查知识库升级</w:t>
      </w:r>
    </w:p>
    <w:p>
      <w:pPr>
        <w:pStyle w:val="45"/>
        <w:numPr>
          <w:ilvl w:val="0"/>
          <w:numId w:val="8"/>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药品知识库升级</w:t>
      </w:r>
    </w:p>
    <w:p>
      <w:pPr>
        <w:pStyle w:val="45"/>
        <w:numPr>
          <w:ilvl w:val="0"/>
          <w:numId w:val="8"/>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手术知识库升级</w:t>
      </w:r>
    </w:p>
    <w:p>
      <w:pPr>
        <w:pStyle w:val="45"/>
        <w:numPr>
          <w:ilvl w:val="0"/>
          <w:numId w:val="8"/>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中药方剂知识库升级</w:t>
      </w:r>
    </w:p>
    <w:p>
      <w:pPr>
        <w:pStyle w:val="45"/>
        <w:numPr>
          <w:ilvl w:val="0"/>
          <w:numId w:val="8"/>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文献库升级</w:t>
      </w:r>
    </w:p>
    <w:p>
      <w:pPr>
        <w:pStyle w:val="45"/>
        <w:numPr>
          <w:ilvl w:val="0"/>
          <w:numId w:val="8"/>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医管视频课程升级</w:t>
      </w:r>
    </w:p>
    <w:p>
      <w:pPr>
        <w:pStyle w:val="45"/>
        <w:numPr>
          <w:ilvl w:val="0"/>
          <w:numId w:val="7"/>
        </w:numPr>
        <w:spacing w:after="0"/>
        <w:ind w:left="0" w:firstLine="480"/>
        <w:jc w:val="both"/>
        <w:rPr>
          <w:rFonts w:hint="eastAsia" w:ascii="宋体" w:hAnsi="宋体" w:eastAsia="宋体" w:cs="宋体"/>
          <w:sz w:val="24"/>
          <w:szCs w:val="24"/>
          <w:lang w:eastAsia="zh-Hans"/>
        </w:rPr>
      </w:pPr>
      <w:r>
        <w:rPr>
          <w:rFonts w:hint="eastAsia" w:ascii="宋体" w:hAnsi="宋体" w:eastAsia="宋体" w:cs="宋体"/>
          <w:sz w:val="24"/>
          <w:szCs w:val="24"/>
          <w:lang w:eastAsia="zh-Hans"/>
        </w:rPr>
        <w:t>功能升级：</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知识应用</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中医知识库自建管理</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检验申请合理性质控点自定义</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检查医嘱合理性质控点维护</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手术医嘱合理性质控点维护</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药物医嘱合理性质控点自定义</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高风险治疗预警质控点自定义</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用药后监测质控点维护</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诊断合理性质控点自定义</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用血申请合理性质控点自定义</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标本合理性质控点自定义</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检验检查重复性自定义</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用药不良反应预警质控点维护</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智能推荐护理评估表</w:t>
      </w:r>
    </w:p>
    <w:p>
      <w:pPr>
        <w:pStyle w:val="45"/>
        <w:numPr>
          <w:ilvl w:val="0"/>
          <w:numId w:val="9"/>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智能推荐护理措施</w:t>
      </w:r>
    </w:p>
    <w:p>
      <w:pPr>
        <w:pStyle w:val="45"/>
        <w:numPr>
          <w:ilvl w:val="0"/>
          <w:numId w:val="7"/>
        </w:numPr>
        <w:spacing w:after="0"/>
        <w:ind w:left="0" w:firstLine="480"/>
        <w:jc w:val="both"/>
        <w:rPr>
          <w:rFonts w:hint="eastAsia" w:ascii="宋体" w:hAnsi="宋体" w:eastAsia="宋体" w:cs="宋体"/>
          <w:sz w:val="24"/>
          <w:szCs w:val="24"/>
          <w:lang w:eastAsia="zh-Hans"/>
        </w:rPr>
      </w:pPr>
      <w:r>
        <w:rPr>
          <w:rFonts w:hint="eastAsia" w:ascii="宋体" w:hAnsi="宋体" w:eastAsia="宋体" w:cs="宋体"/>
          <w:sz w:val="24"/>
          <w:szCs w:val="24"/>
          <w:lang w:eastAsia="zh-Hans"/>
        </w:rPr>
        <w:t>系统设置升级：</w:t>
      </w:r>
    </w:p>
    <w:p>
      <w:pPr>
        <w:ind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不同的医嘱合理性审核提示强度可根据医院需求进行个性化配置，支持合理性提示强提醒、中提醒、弱提醒配置。可配置的医嘱合理性范围包括检验合理性、检查合理性、手术合理性、用药合理性、检验检查重复性、诊断合理性、用血合理性以及处置合理性。</w:t>
      </w:r>
    </w:p>
    <w:p>
      <w:pPr>
        <w:pStyle w:val="45"/>
        <w:numPr>
          <w:ilvl w:val="0"/>
          <w:numId w:val="7"/>
        </w:numPr>
        <w:spacing w:after="0"/>
        <w:ind w:left="0" w:firstLine="480"/>
        <w:jc w:val="both"/>
        <w:rPr>
          <w:rFonts w:hint="eastAsia" w:ascii="宋体" w:hAnsi="宋体" w:eastAsia="宋体" w:cs="宋体"/>
          <w:sz w:val="24"/>
          <w:szCs w:val="24"/>
          <w:lang w:eastAsia="zh-Hans"/>
        </w:rPr>
      </w:pPr>
      <w:r>
        <w:rPr>
          <w:rFonts w:hint="eastAsia" w:ascii="宋体" w:hAnsi="宋体" w:eastAsia="宋体" w:cs="宋体"/>
          <w:sz w:val="24"/>
          <w:szCs w:val="24"/>
          <w:lang w:eastAsia="zh-Hans"/>
        </w:rPr>
        <w:t>评级支持：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满足新旧</w:t>
      </w:r>
      <w:r>
        <w:rPr>
          <w:rFonts w:hint="eastAsia" w:ascii="宋体" w:hAnsi="宋体" w:eastAsia="宋体" w:cs="宋体"/>
          <w:sz w:val="24"/>
          <w:szCs w:val="24"/>
          <w:lang w:eastAsia="zh-Hans"/>
        </w:rPr>
        <w:t>电子病历应用水平</w:t>
      </w:r>
      <w:r>
        <w:rPr>
          <w:rFonts w:hint="eastAsia" w:ascii="宋体" w:hAnsi="宋体" w:eastAsia="宋体" w:cs="宋体"/>
          <w:sz w:val="24"/>
          <w:szCs w:val="24"/>
          <w:lang w:eastAsia="zh-CN"/>
        </w:rPr>
        <w:t>六</w:t>
      </w:r>
      <w:r>
        <w:rPr>
          <w:rFonts w:hint="eastAsia" w:ascii="宋体" w:hAnsi="宋体" w:eastAsia="宋体" w:cs="宋体"/>
          <w:sz w:val="24"/>
          <w:szCs w:val="24"/>
          <w:lang w:eastAsia="zh-Hans"/>
        </w:rPr>
        <w:t>级评审CDSS功能支持</w:t>
      </w:r>
      <w:r>
        <w:rPr>
          <w:rFonts w:hint="eastAsia" w:ascii="宋体" w:hAnsi="宋体" w:eastAsia="宋体" w:cs="宋体"/>
          <w:sz w:val="24"/>
          <w:szCs w:val="24"/>
          <w:lang w:eastAsia="zh-CN"/>
        </w:rPr>
        <w:t>;免费一年系统维保；</w:t>
      </w:r>
    </w:p>
    <w:p>
      <w:pPr>
        <w:pStyle w:val="45"/>
        <w:numPr>
          <w:ilvl w:val="0"/>
          <w:numId w:val="10"/>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系统支持针对不同临床决策规则的自动校验提示</w:t>
      </w:r>
    </w:p>
    <w:p>
      <w:pPr>
        <w:pStyle w:val="45"/>
        <w:numPr>
          <w:ilvl w:val="0"/>
          <w:numId w:val="10"/>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对接系统: HIS、EMR、检验、手麻、输血、康复治疗、护理PDA（列出输血内容）、重症（列出输血内容）</w:t>
      </w:r>
    </w:p>
    <w:p>
      <w:pPr>
        <w:pStyle w:val="45"/>
        <w:numPr>
          <w:ilvl w:val="0"/>
          <w:numId w:val="10"/>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支持检验申请时参考检验历史申请与结果自动校验提示; 支持检查申请时参考检查历史结果自动校验提示</w:t>
      </w:r>
    </w:p>
    <w:p>
      <w:pPr>
        <w:pStyle w:val="45"/>
        <w:numPr>
          <w:ilvl w:val="0"/>
          <w:numId w:val="10"/>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支持检验结果审核时与病人临床诊断、药物使用、检验结果校验知识库的维护功能，并且提供较全面的知识库</w:t>
      </w:r>
    </w:p>
    <w:p>
      <w:pPr>
        <w:pStyle w:val="45"/>
        <w:numPr>
          <w:ilvl w:val="0"/>
          <w:numId w:val="10"/>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支持检验结果审核时，有对结果核对分析的功能</w:t>
      </w:r>
    </w:p>
    <w:p>
      <w:pPr>
        <w:pStyle w:val="45"/>
        <w:numPr>
          <w:ilvl w:val="0"/>
          <w:numId w:val="10"/>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支持根据病人体征、基本情况、检验结果、诊断等进行用血校验提示</w:t>
      </w:r>
    </w:p>
    <w:p>
      <w:pPr>
        <w:numPr>
          <w:ilvl w:val="0"/>
          <w:numId w:val="10"/>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支持决策类知识的维护，可根据医院自身、临床专科的特点对知识库进行补充、完善</w:t>
      </w:r>
    </w:p>
    <w:p>
      <w:pPr>
        <w:numPr>
          <w:ilvl w:val="0"/>
          <w:numId w:val="10"/>
        </w:numPr>
        <w:ind w:left="0" w:firstLine="480"/>
        <w:rPr>
          <w:rFonts w:hint="eastAsia" w:ascii="宋体" w:hAnsi="宋体" w:eastAsia="宋体" w:cs="宋体"/>
          <w:sz w:val="24"/>
          <w:szCs w:val="24"/>
          <w:lang w:eastAsia="zh-Hans"/>
        </w:rPr>
      </w:pPr>
      <w:r>
        <w:rPr>
          <w:rFonts w:hint="eastAsia" w:ascii="宋体" w:hAnsi="宋体" w:eastAsia="宋体" w:cs="宋体"/>
          <w:sz w:val="24"/>
          <w:szCs w:val="24"/>
          <w:lang w:eastAsia="zh-Hans"/>
        </w:rPr>
        <w:t>支持病历智能检查与提示功能（要求</w:t>
      </w:r>
      <w:r>
        <w:rPr>
          <w:rFonts w:hint="eastAsia" w:ascii="宋体" w:hAnsi="宋体" w:eastAsia="宋体" w:cs="宋体"/>
          <w:sz w:val="24"/>
          <w:szCs w:val="24"/>
          <w:lang w:eastAsia="zh-CN"/>
        </w:rPr>
        <w:t>支持</w:t>
      </w:r>
      <w:r>
        <w:rPr>
          <w:rFonts w:hint="eastAsia" w:ascii="宋体" w:hAnsi="宋体" w:eastAsia="宋体" w:cs="宋体"/>
          <w:sz w:val="24"/>
          <w:szCs w:val="24"/>
          <w:lang w:eastAsia="zh-Hans"/>
        </w:rPr>
        <w:t>内涵质控）</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）护理系统改造升级</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PDA改造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系统支持标本采集时，调用CDSS根据不同规则给出校验提示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系统支持取血、输血时，调用CDSS根据不同规则给出校验提示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支持检查造影剂执行流程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支持病区患者出科检查、治疗记录，回科检查、治疗记录登记功能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支持执行高风险(警示)医嘱时有警示信息提示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支持按分组访问本组内患者病历与医嘱</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护理病历系统改造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支持对接闭环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支持书写患者评估时根据患者信息匹配不同的评估模版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支持临床护士通过病人体征、护理评估结果自动触发护理计划并执行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支持根据评估结果提示对应护理级别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支持护理分组功能与排班系统对接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支持对责任护士进行分组，支持责任护士访问本组内患者病历与医嘱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支持访问非本组患者时，具有跨组访问申请与审批的授权流程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支持临床与职能部门管理人员查看跨组访问申请审批记录与跨组访问日志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支持进行MEWS、pews、NEws评估时获取体征数据，自动完成设定的护理评估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支持进行营养筛查评估时获取检验数据(白蛋白)自动给出设定的护理评估分值</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支持对接360视图</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护理管理系统改造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支持手术患者转运交接流程，支持护理记录单、护理评估单、医嘱单护士、入院告知单、健康宣教单、手术交接单等CA签名；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与全院不良事件管理系统接口，获取护理相关不良事件信息；支持与集成平台接口获取人事排班等信息，实现排班系统与护理管理系统联动；护理管理敏感指标改造，涉及his、重症、护理文书、手麻、人力资源系统接口对接，实现护理质控与护理病历联动，重要指标带入等；护理工作时间、护理工作量等护理监测指标自动查询与统计；药品接收：住院药品送到病区后，由护士通过PDA执行进行药品接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以上部分改造均满足新旧国家电子病历六级评审标准要求；</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）手术麻醉系统改造升级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支持三方核查单功能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支持对接 360 视图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支持门诊手术功能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支持手术过程信息、手术物品清点单、三方核查单等成为手术记录内容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支持麻醉医师进行麻醉时，患者 VTE 结果异常时，麻醉系统能够给出提醒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支持手术室追踪闭环管理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支持调用单个患者单条手术闭环</w:t>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支持手术全流程管理，支持以可视化流程图方式，查看手术流程，并支持直接在流程图上调整参数设定；支持以图形方式查看手术汇总统计，包括但不局限于手术数量，治疗性操作数量，诊断性操作数量，介入数量，最高三/四级手术科室手术量。（</w:t>
      </w:r>
      <w:r>
        <w:rPr>
          <w:rFonts w:hint="eastAsia" w:ascii="宋体" w:hAnsi="宋体" w:cs="宋体"/>
          <w:sz w:val="24"/>
          <w:szCs w:val="24"/>
          <w:highlight w:val="none"/>
          <w:lang w:eastAsia="zh-CN"/>
        </w:rPr>
        <w:t>需提供视频演示</w:t>
      </w:r>
      <w:r>
        <w:rPr>
          <w:rFonts w:hint="eastAsia" w:ascii="宋体" w:hAnsi="宋体" w:cs="宋体"/>
          <w:sz w:val="24"/>
          <w:szCs w:val="24"/>
          <w:highlight w:val="none"/>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支持针对实时获取的危急生理参数，根据规则自动给出弹窗提示，显示对应的诊疗方案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支持麻醉相关文书 CA 签名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做手术前，对所有术前访视等文书内容进行校验提醒，是否核查；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以上部分改造均满足新旧国家电子病历六级评审标准要求；</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）合理用药系统改造升级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提供处方核查记录(HIS调用)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支持（药房发药时HIS调用）对超时通过和双签通过的处方给出提醒，进行警示</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）病案首页管理系统改造升级</w:t>
      </w:r>
    </w:p>
    <w:p>
      <w:pPr>
        <w:pStyle w:val="6"/>
        <w:rPr>
          <w:rFonts w:hint="eastAsia" w:ascii="宋体" w:hAnsi="宋体" w:eastAsia="宋体" w:cs="宋体"/>
          <w:sz w:val="24"/>
          <w:szCs w:val="24"/>
          <w:lang w:eastAsia="zh-CN"/>
        </w:rPr>
      </w:pPr>
      <w:bookmarkStart w:id="0" w:name="_Toc125986273"/>
      <w:bookmarkStart w:id="1" w:name="_Toc2432"/>
      <w:bookmarkStart w:id="2" w:name="_Toc212033796"/>
      <w:r>
        <w:rPr>
          <w:rFonts w:hint="eastAsia" w:ascii="宋体" w:hAnsi="宋体" w:eastAsia="宋体" w:cs="宋体"/>
          <w:sz w:val="24"/>
          <w:szCs w:val="24"/>
          <w:lang w:eastAsia="zh-CN"/>
        </w:rPr>
        <w:t>首页填</w:t>
      </w:r>
      <w:bookmarkEnd w:id="0"/>
      <w:r>
        <w:rPr>
          <w:rFonts w:hint="eastAsia" w:ascii="宋体" w:hAnsi="宋体" w:eastAsia="宋体" w:cs="宋体"/>
          <w:sz w:val="24"/>
          <w:szCs w:val="24"/>
          <w:lang w:eastAsia="zh-CN"/>
        </w:rPr>
        <w:t>写</w:t>
      </w:r>
      <w:bookmarkEnd w:id="1"/>
      <w:bookmarkEnd w:id="2"/>
    </w:p>
    <w:p>
      <w:pPr>
        <w:pStyle w:val="295"/>
        <w:ind w:firstLine="480"/>
        <w:rPr>
          <w:rFonts w:hint="eastAsia" w:ascii="宋体" w:hAnsi="宋体" w:eastAsia="宋体" w:cs="宋体"/>
          <w:sz w:val="24"/>
          <w:szCs w:val="24"/>
        </w:rPr>
      </w:pPr>
      <w:r>
        <w:rPr>
          <w:rFonts w:hint="eastAsia" w:ascii="宋体" w:hAnsi="宋体" w:eastAsia="宋体" w:cs="宋体"/>
          <w:sz w:val="24"/>
          <w:szCs w:val="24"/>
        </w:rPr>
        <w:t>为医生提供便捷的病案首页填写功能.</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需要按照《2011年修订病案首页模板及填写规范卫医政发〔2011〕84号》归档的首页项目进行设置；</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需要按照《住院病案首页数据填写质量规范（暂行）（2016版）》填报要求对病案首页进行质控。</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需支持对医生填写的病案首页内进行质控并给出质控提示。</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需支持质控提示与病案首页内项目双向定位。</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需支持中西医首页一键切换功能。</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需支持与电子病历结合，方便医生日常病历书写的一体化操作。</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需支持首页内查看患者的全部诊疗信息。</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需支持进行CA签名及合法性验签。</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需支持查看病案首页内费用信息的具体明细组成。</w:t>
      </w:r>
    </w:p>
    <w:p>
      <w:pPr>
        <w:pStyle w:val="6"/>
        <w:rPr>
          <w:rFonts w:hint="eastAsia" w:ascii="宋体" w:hAnsi="宋体" w:eastAsia="宋体" w:cs="宋体"/>
          <w:sz w:val="24"/>
          <w:szCs w:val="24"/>
          <w:lang w:eastAsia="zh-CN"/>
        </w:rPr>
      </w:pPr>
      <w:bookmarkStart w:id="3" w:name="_Toc125986274"/>
      <w:bookmarkStart w:id="4" w:name="_Toc212033797"/>
      <w:bookmarkStart w:id="5" w:name="_Toc5788"/>
      <w:r>
        <w:rPr>
          <w:rFonts w:hint="eastAsia" w:ascii="宋体" w:hAnsi="宋体" w:eastAsia="宋体" w:cs="宋体"/>
          <w:sz w:val="24"/>
          <w:szCs w:val="24"/>
          <w:lang w:eastAsia="zh-CN"/>
        </w:rPr>
        <w:t>附页填</w:t>
      </w:r>
      <w:bookmarkEnd w:id="3"/>
      <w:r>
        <w:rPr>
          <w:rFonts w:hint="eastAsia" w:ascii="宋体" w:hAnsi="宋体" w:eastAsia="宋体" w:cs="宋体"/>
          <w:sz w:val="24"/>
          <w:szCs w:val="24"/>
          <w:lang w:eastAsia="zh-CN"/>
        </w:rPr>
        <w:t>写</w:t>
      </w:r>
      <w:bookmarkEnd w:id="4"/>
      <w:bookmarkEnd w:id="5"/>
    </w:p>
    <w:p>
      <w:pPr>
        <w:pStyle w:val="295"/>
        <w:ind w:firstLine="480"/>
        <w:rPr>
          <w:rFonts w:hint="eastAsia" w:ascii="宋体" w:hAnsi="宋体" w:eastAsia="宋体" w:cs="宋体"/>
          <w:sz w:val="24"/>
          <w:szCs w:val="24"/>
        </w:rPr>
      </w:pPr>
      <w:r>
        <w:rPr>
          <w:rFonts w:hint="eastAsia" w:ascii="宋体" w:hAnsi="宋体" w:eastAsia="宋体" w:cs="宋体"/>
          <w:sz w:val="24"/>
          <w:szCs w:val="24"/>
        </w:rPr>
        <w:t>依据《2020绩效考核与医疗质量管理附加指标项数据采集质量与接口标准》、《病案管理质量控制指标（2021年版）》、《三级公立医院绩效考核操作手册2022版》、HQMS、卫统上报等要求进行附页内容本地化开发。</w:t>
      </w:r>
    </w:p>
    <w:p>
      <w:pPr>
        <w:pStyle w:val="295"/>
        <w:ind w:firstLine="480"/>
        <w:rPr>
          <w:rFonts w:hint="eastAsia" w:ascii="宋体" w:hAnsi="宋体" w:eastAsia="宋体" w:cs="宋体"/>
          <w:sz w:val="24"/>
          <w:szCs w:val="24"/>
        </w:rPr>
      </w:pPr>
      <w:r>
        <w:rPr>
          <w:rFonts w:hint="eastAsia" w:ascii="宋体" w:hAnsi="宋体" w:eastAsia="宋体" w:cs="宋体"/>
          <w:sz w:val="24"/>
          <w:szCs w:val="24"/>
        </w:rPr>
        <w:t>需支持附页项目信息有院内系统来源者自动填充并可追溯。</w:t>
      </w:r>
    </w:p>
    <w:p>
      <w:pPr>
        <w:pStyle w:val="6"/>
        <w:rPr>
          <w:rFonts w:hint="eastAsia" w:ascii="宋体" w:hAnsi="宋体" w:eastAsia="宋体" w:cs="宋体"/>
          <w:sz w:val="24"/>
          <w:szCs w:val="24"/>
          <w:lang w:eastAsia="zh-CN"/>
        </w:rPr>
      </w:pPr>
      <w:bookmarkStart w:id="6" w:name="_Toc125986275"/>
      <w:bookmarkStart w:id="7" w:name="_Toc212033798"/>
      <w:bookmarkStart w:id="8" w:name="_Toc26734"/>
      <w:r>
        <w:rPr>
          <w:rFonts w:hint="eastAsia" w:ascii="宋体" w:hAnsi="宋体" w:eastAsia="宋体" w:cs="宋体"/>
          <w:sz w:val="24"/>
          <w:szCs w:val="24"/>
          <w:lang w:eastAsia="zh-CN"/>
        </w:rPr>
        <w:t>数据预填</w:t>
      </w:r>
      <w:bookmarkEnd w:id="6"/>
      <w:bookmarkEnd w:id="7"/>
      <w:bookmarkEnd w:id="8"/>
    </w:p>
    <w:p>
      <w:pPr>
        <w:pStyle w:val="295"/>
        <w:ind w:firstLine="480"/>
        <w:rPr>
          <w:rFonts w:hint="eastAsia" w:ascii="宋体" w:hAnsi="宋体" w:eastAsia="宋体" w:cs="宋体"/>
          <w:sz w:val="24"/>
          <w:szCs w:val="24"/>
        </w:rPr>
      </w:pPr>
      <w:r>
        <w:rPr>
          <w:rFonts w:hint="eastAsia" w:ascii="宋体" w:hAnsi="宋体" w:eastAsia="宋体" w:cs="宋体"/>
          <w:sz w:val="24"/>
          <w:szCs w:val="24"/>
        </w:rPr>
        <w:t>按照《住院病案首页数据质量管理与控制指标》（2016年版）要求，病案首页包括患者基本信息、入院管理、诊断信息、费用信息。</w:t>
      </w:r>
    </w:p>
    <w:p>
      <w:pPr>
        <w:pStyle w:val="295"/>
        <w:ind w:firstLine="480"/>
        <w:rPr>
          <w:rFonts w:hint="eastAsia" w:ascii="宋体" w:hAnsi="宋体" w:eastAsia="宋体" w:cs="宋体"/>
          <w:sz w:val="24"/>
          <w:szCs w:val="24"/>
        </w:rPr>
      </w:pPr>
      <w:r>
        <w:rPr>
          <w:rFonts w:hint="eastAsia" w:ascii="宋体" w:hAnsi="宋体" w:eastAsia="宋体" w:cs="宋体"/>
          <w:sz w:val="24"/>
          <w:szCs w:val="24"/>
        </w:rPr>
        <w:t>支持有院内系统来源的首页数据自动提取和填充，与院内现运行HIS系统紧密结合自动填充率≥80%。</w:t>
      </w:r>
    </w:p>
    <w:p>
      <w:pPr>
        <w:pStyle w:val="295"/>
        <w:ind w:firstLine="480"/>
        <w:rPr>
          <w:rFonts w:hint="eastAsia" w:ascii="宋体" w:hAnsi="宋体" w:eastAsia="宋体" w:cs="宋体"/>
          <w:sz w:val="24"/>
          <w:szCs w:val="24"/>
        </w:rPr>
      </w:pPr>
      <w:r>
        <w:rPr>
          <w:rFonts w:hint="eastAsia" w:ascii="宋体" w:hAnsi="宋体" w:eastAsia="宋体" w:cs="宋体"/>
          <w:sz w:val="24"/>
          <w:szCs w:val="24"/>
        </w:rPr>
        <w:t>支持展示自动填充内容的数据来源供参考。</w:t>
      </w:r>
    </w:p>
    <w:p>
      <w:pPr>
        <w:pStyle w:val="295"/>
        <w:ind w:firstLine="480"/>
        <w:rPr>
          <w:rFonts w:hint="eastAsia" w:ascii="宋体" w:hAnsi="宋体" w:eastAsia="宋体" w:cs="宋体"/>
          <w:sz w:val="24"/>
          <w:szCs w:val="24"/>
        </w:rPr>
      </w:pPr>
      <w:r>
        <w:rPr>
          <w:rFonts w:hint="eastAsia" w:ascii="宋体" w:hAnsi="宋体" w:eastAsia="宋体" w:cs="宋体"/>
          <w:sz w:val="24"/>
          <w:szCs w:val="24"/>
        </w:rPr>
        <w:t>支持修改后内容与数据来源出现冲突时给出标红提醒，并支持一键回填。</w:t>
      </w:r>
    </w:p>
    <w:p>
      <w:pPr>
        <w:pStyle w:val="6"/>
        <w:rPr>
          <w:rFonts w:hint="eastAsia" w:ascii="宋体" w:hAnsi="宋体" w:eastAsia="宋体" w:cs="宋体"/>
          <w:sz w:val="24"/>
          <w:szCs w:val="24"/>
          <w:lang w:eastAsia="zh-CN"/>
        </w:rPr>
      </w:pPr>
      <w:bookmarkStart w:id="9" w:name="_Toc212033800"/>
      <w:bookmarkStart w:id="10" w:name="_Toc11498"/>
      <w:r>
        <w:rPr>
          <w:rFonts w:hint="eastAsia" w:ascii="宋体" w:hAnsi="宋体" w:eastAsia="宋体" w:cs="宋体"/>
          <w:sz w:val="24"/>
          <w:szCs w:val="24"/>
          <w:lang w:eastAsia="zh-CN"/>
        </w:rPr>
        <w:t>首页提交</w:t>
      </w:r>
      <w:bookmarkEnd w:id="9"/>
      <w:bookmarkEnd w:id="10"/>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系统设置病案首页独立提交至病案室的流程。</w:t>
      </w:r>
    </w:p>
    <w:p>
      <w:pPr>
        <w:pStyle w:val="295"/>
        <w:ind w:firstLine="480"/>
        <w:rPr>
          <w:rFonts w:hint="eastAsia" w:ascii="宋体" w:hAnsi="宋体" w:eastAsia="宋体" w:cs="宋体"/>
          <w:sz w:val="24"/>
          <w:szCs w:val="24"/>
        </w:rPr>
      </w:pPr>
      <w:r>
        <w:rPr>
          <w:rFonts w:hint="eastAsia" w:ascii="宋体" w:hAnsi="宋体" w:eastAsia="宋体" w:cs="宋体"/>
          <w:sz w:val="24"/>
          <w:szCs w:val="24"/>
        </w:rPr>
        <w:t>支持出院后的病案首页单独提交到病案室。</w:t>
      </w:r>
    </w:p>
    <w:p>
      <w:pPr>
        <w:pStyle w:val="6"/>
        <w:rPr>
          <w:rFonts w:hint="eastAsia" w:ascii="宋体" w:hAnsi="宋体" w:eastAsia="宋体" w:cs="宋体"/>
          <w:sz w:val="24"/>
          <w:szCs w:val="24"/>
          <w:lang w:eastAsia="zh-CN"/>
        </w:rPr>
      </w:pPr>
      <w:bookmarkStart w:id="11" w:name="_Toc212033801"/>
      <w:bookmarkStart w:id="12" w:name="_Toc5183"/>
      <w:r>
        <w:rPr>
          <w:rFonts w:hint="eastAsia" w:ascii="宋体" w:hAnsi="宋体" w:eastAsia="宋体" w:cs="宋体"/>
          <w:sz w:val="24"/>
          <w:szCs w:val="24"/>
          <w:lang w:eastAsia="zh-CN"/>
        </w:rPr>
        <w:t>首页编码</w:t>
      </w:r>
      <w:bookmarkEnd w:id="11"/>
      <w:bookmarkEnd w:id="1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系统设置病案首页独立编码功能及流程。</w:t>
      </w:r>
    </w:p>
    <w:p>
      <w:pPr>
        <w:pStyle w:val="295"/>
        <w:ind w:firstLine="480"/>
        <w:rPr>
          <w:rFonts w:hint="eastAsia" w:ascii="宋体" w:hAnsi="宋体" w:eastAsia="宋体" w:cs="宋体"/>
          <w:sz w:val="24"/>
          <w:szCs w:val="24"/>
        </w:rPr>
      </w:pPr>
      <w:r>
        <w:rPr>
          <w:rFonts w:hint="eastAsia" w:ascii="宋体" w:hAnsi="宋体" w:eastAsia="宋体" w:cs="宋体"/>
          <w:sz w:val="24"/>
          <w:szCs w:val="24"/>
        </w:rPr>
        <w:t>支持出院后病案首页作为独立流程进行首页编码、审核的流程。</w:t>
      </w:r>
    </w:p>
    <w:p>
      <w:pPr>
        <w:pStyle w:val="6"/>
        <w:rPr>
          <w:rFonts w:hint="eastAsia" w:ascii="宋体" w:hAnsi="宋体" w:eastAsia="宋体" w:cs="宋体"/>
          <w:sz w:val="24"/>
          <w:szCs w:val="24"/>
          <w:lang w:eastAsia="zh-CN"/>
        </w:rPr>
      </w:pPr>
      <w:bookmarkStart w:id="13" w:name="_Toc212033802"/>
      <w:bookmarkStart w:id="14" w:name="_Toc31013"/>
      <w:r>
        <w:rPr>
          <w:rFonts w:hint="eastAsia" w:ascii="宋体" w:hAnsi="宋体" w:eastAsia="宋体" w:cs="宋体"/>
          <w:sz w:val="24"/>
          <w:szCs w:val="24"/>
          <w:lang w:eastAsia="zh-CN"/>
        </w:rPr>
        <w:t>修改痕迹</w:t>
      </w:r>
      <w:bookmarkEnd w:id="13"/>
      <w:bookmarkEnd w:id="1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系统设置病案首页修改痕迹查询。</w:t>
      </w:r>
    </w:p>
    <w:p>
      <w:pPr>
        <w:pStyle w:val="295"/>
        <w:ind w:firstLine="480"/>
        <w:rPr>
          <w:rFonts w:hint="eastAsia" w:ascii="宋体" w:hAnsi="宋体" w:eastAsia="宋体" w:cs="宋体"/>
          <w:sz w:val="24"/>
          <w:szCs w:val="24"/>
        </w:rPr>
      </w:pPr>
      <w:r>
        <w:rPr>
          <w:rFonts w:hint="eastAsia" w:ascii="宋体" w:hAnsi="宋体" w:eastAsia="宋体" w:cs="宋体"/>
          <w:sz w:val="24"/>
          <w:szCs w:val="24"/>
        </w:rPr>
        <w:t>支持病案首页提交后所进行的任意内容更改按修内容、修改人、修改时间留痕。</w:t>
      </w:r>
    </w:p>
    <w:p>
      <w:pPr>
        <w:pStyle w:val="6"/>
        <w:rPr>
          <w:rFonts w:hint="eastAsia" w:ascii="宋体" w:hAnsi="宋体" w:eastAsia="宋体" w:cs="宋体"/>
          <w:sz w:val="24"/>
          <w:szCs w:val="24"/>
          <w:lang w:eastAsia="zh-CN"/>
        </w:rPr>
      </w:pPr>
      <w:bookmarkStart w:id="15" w:name="_Toc212033803"/>
      <w:bookmarkStart w:id="16" w:name="_Toc1200"/>
      <w:r>
        <w:rPr>
          <w:rFonts w:hint="eastAsia" w:ascii="宋体" w:hAnsi="宋体" w:eastAsia="宋体" w:cs="宋体"/>
          <w:sz w:val="24"/>
          <w:szCs w:val="24"/>
          <w:lang w:eastAsia="zh-CN"/>
        </w:rPr>
        <w:t>对标电子病历六级改造</w:t>
      </w:r>
      <w:bookmarkEnd w:id="15"/>
      <w:bookmarkEnd w:id="1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病案首页及附页信息能够根据患者基本信息、诊疗信息自动生成，如患者血型信息、手术信息、过敏信息、MDT、疑难、危重、单病种等；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根据患者查看病案首页闭环的示踪展示，病案首页修改过程状态可查询。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所有医疗档案都具有可靠电子签名。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签名内容和时间戳能通过验签工具验证。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是否具备根据费用判断缺失手术及输血内容。</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）CA系统改造升级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支持病历(含医嘱)系统对接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支持护理系统对接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支持手麻系统对接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支持重症系统对接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支持治疗系统对接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系统支持电子签名本地存储，存储内容包含:时间签名值、名值、证书值、签名原文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支持通过验签工具对电子签名进行验签，签名值、证书值、签名原文通过验签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支持通过验签工具对时间戳签名值进行验签，时间戳签名值、签名值、证书值、签名原文通过验签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支持将数据库存储的原文密文解密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支持护理、患者CA签名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以上改造满足新、旧电子病历六级评审标准要求</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）实验室信息管理系统(LIS)改造升级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系统支持条码打印、标本采集、标本接收时，调</w:t>
      </w:r>
      <w:r>
        <w:rPr>
          <w:rFonts w:hint="eastAsia" w:ascii="宋体" w:hAnsi="宋体" w:cs="宋体"/>
          <w:sz w:val="24"/>
          <w:szCs w:val="24"/>
          <w:lang w:val="en-US" w:eastAsia="zh-CN"/>
        </w:rPr>
        <w:t>用</w:t>
      </w:r>
      <w:r>
        <w:rPr>
          <w:rFonts w:hint="eastAsia" w:ascii="宋体" w:hAnsi="宋体" w:eastAsia="宋体" w:cs="宋体"/>
          <w:sz w:val="24"/>
          <w:szCs w:val="24"/>
          <w:lang w:eastAsia="zh-CN"/>
        </w:rPr>
        <w:t>CDSS 根据不同规则给出校验提示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支持检验结果审核时调用 CDSS 根据不同规则给出校验提示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检验(三大常规、生化、免疫、微生物)时间节点数据记录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标本后处理、标本销毁分为流水线、人工操作两种;流水线需要机器记录人、时间、人，人工的操作需系统操作流程微生物分级报告模块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支持单独项目闭环调阅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支持报告审核时自动根据其他相关检验结果审核规则给出校验提示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支持报告审核时能够查看历史结果偏差率，对异常值自动给出警示电子病历评级级实证材料整理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细菌耐药检测网 carss 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NCIS质量指标统计模块（</w:t>
      </w:r>
      <w:r>
        <w:rPr>
          <w:rFonts w:hint="eastAsia" w:ascii="宋体" w:hAnsi="宋体" w:eastAsia="宋体" w:cs="宋体"/>
          <w:color w:val="000000"/>
          <w:sz w:val="24"/>
          <w:szCs w:val="24"/>
          <w:lang w:eastAsia="zh-CN" w:bidi="ar"/>
        </w:rPr>
        <w:t>检验指标年度质控汇总、检验指标季度质控汇总</w:t>
      </w:r>
      <w:r>
        <w:rPr>
          <w:rFonts w:hint="eastAsia" w:ascii="宋体" w:hAnsi="宋体" w:eastAsia="宋体" w:cs="宋体"/>
          <w:sz w:val="24"/>
          <w:szCs w:val="24"/>
          <w:lang w:eastAsia="zh-CN" w:bidi="ar"/>
        </w:rPr>
        <w:t>、</w:t>
      </w:r>
      <w:r>
        <w:rPr>
          <w:rFonts w:hint="eastAsia" w:ascii="宋体" w:hAnsi="宋体" w:eastAsia="宋体" w:cs="宋体"/>
          <w:color w:val="000000"/>
          <w:sz w:val="24"/>
          <w:szCs w:val="24"/>
          <w:lang w:eastAsia="zh-CN" w:bidi="ar"/>
        </w:rPr>
        <w:t>检验指标月度质控汇总等</w:t>
      </w:r>
      <w:r>
        <w:rPr>
          <w:rFonts w:hint="eastAsia" w:ascii="宋体" w:hAnsi="宋体" w:eastAsia="宋体" w:cs="宋体"/>
          <w:sz w:val="24"/>
          <w:szCs w:val="24"/>
          <w:lang w:eastAsia="zh-CN"/>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检验项目字典统一化管理（检验项目统一化管理，改变以往多台设备多套项目字典模式。项目代码及名称唯一性管理后，便于检验科管理及统计。） </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科内文档管理模块（文档模块自带标准的符合ISO15189 实验室认可标准以及参比实验室的程序文件目录模板，对临床实验室所有文档、程序文件的管理，实现了版本控制、权限控制，管理的文档类型包括：所有office 文档、PDF 文档、HTML 文档、图片文档）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系统角色管理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报告抽查（质量管理员可自定义相应条件随机抽查已审核的报告，并对报告的正确性、及时性，标本流转是否超时进行判断分析，标注是否合格，不合1.2格原因等进行质量统计分析）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以上改造满足新、旧电子病历六级评审标准要求。</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）闭环监测分析管理系统改造升级</w:t>
      </w:r>
    </w:p>
    <w:p>
      <w:pPr>
        <w:pStyle w:val="6"/>
        <w:rPr>
          <w:rFonts w:hint="eastAsia" w:ascii="宋体" w:hAnsi="宋体" w:eastAsia="宋体" w:cs="宋体"/>
          <w:sz w:val="24"/>
          <w:szCs w:val="24"/>
          <w:lang w:eastAsia="zh-CN"/>
        </w:rPr>
      </w:pPr>
      <w:bookmarkStart w:id="17" w:name="bookmark23"/>
      <w:bookmarkEnd w:id="17"/>
      <w:bookmarkStart w:id="18" w:name="_Toc212033754"/>
      <w:r>
        <w:rPr>
          <w:rFonts w:hint="eastAsia" w:ascii="宋体" w:hAnsi="宋体" w:eastAsia="宋体" w:cs="宋体"/>
          <w:sz w:val="24"/>
          <w:szCs w:val="24"/>
          <w:lang w:eastAsia="zh-CN"/>
        </w:rPr>
        <w:t>闭环配置管理</w:t>
      </w:r>
      <w:bookmarkEnd w:id="1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药品闭环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1)医嘱开立：住院医生站通过调用合理用药规则、药疗医嘱权限、毒麻精药品权限、抗生素药品权限管理进行药疗医嘱的开立，记录医嘱开立时间与医嘱开立人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2)医嘱审方：药师调用合理用药规则、查看患者所有诊疗信息进行药疗医嘱的事前审方，记录审方时间与审方人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3)医嘱审核：护士站对审方通过的药品医嘱进行审核、发送至静配中心，记录 审核时间及审核人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4)药房发药：静配中心按照成组输液药品打印瓶签、取药下架、药品贴签，记录发药时间及发药人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5)药品配置：成组输液药品入仓扫描、仓内配置、出仓审核，记录操作时间及操作人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6)药品核对：住院护士站与药品物流人员进行药品交接、对药品进行扫码核对，记录操作时间及操作人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7)药品执行：住院护士通过扫描患者腕带进行身份核对，药品执行，记录执行时间及执行人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8)输液巡回：住院护士在输液后15分钟，输液后30分钟，输液完成后分别对患者进行输液巡回，分别记录巡回时间及巡回人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9)不良反应：若输液过程中患者发生不良反应，住院护士能够通过 PDA 进行不良反应上报，记录上报时间及上报人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10）输液完成：输液完成后护士站执行输液登记完成操作，记录完成时间及完成人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质控闭环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1)病历书写：住院医生对在院患者书写病历过程中，系统运行环节质控实时提示病历缺陷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2)病历提交：住院医生对出院患者病历进行提交后，系统会自动进行打分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3)缺陷记录：质控人员对出院病历运行终末质控，记录病历缺陷，系统自动记录质控时间及质控人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4)缺陷反馈：质控人员将病历缺陷反馈给住院医生，系统自动记录反馈时间及接收人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5)缺陷修改：住院医生根据系统反馈的病历缺陷再次修改并提交，系统记录修改时间及修改人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6)缺陷确认：质控人员对再次修改的病历缺陷进行最终确认，系统记录确认时间及确认人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治疗闭环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1)医嘱开立：住院医生站引入治疗项目CDSS 规则，进行治疗医嘱的开立，记录医嘱开立时间及开立人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2)医嘱审核：住院护士开立完成后的治疗医嘱进行审核，记录审核时间及审核人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3)治疗安排：治疗医嘱审核完成后，治疗科室制定治疗计划并反馈给临床科室，记录安排时间及安排人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4)入室治疗：治疗科室通过扫描患者腕带核对患者身份，进行入室治疗，记录入室时间及核对人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5)治疗过程：治疗过程中，治疗医生书写治疗记录，记录治疗时间及治疗人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6)结果发送：治疗记录信息完成后，通过系统发送至全院进行共享查看，记录完成时间及完成人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7)治疗评估：治疗完成后，治疗医师对本次治疗效果进行评估，总结，系统记录评估时间及评估人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手麻闭环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手术申请：住院医生开立手术申请前根据手术的级别判断是否具有相应的术前讨论，判断是否有该手术的知情同意书，根据医师的相应职级判断是否有相应手术权限，同时提醒医生需开立术前四项、血常规、凝血功能检验项目，申请完成后， 自动生成手术医嘱，记录开立时间及开立人；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需支持临床查看患者手术过程信息，需支持医生站医嘱开立时高风险手术给出提示信息，需支持根据检查、检验结果、病人评估信息和知识库，对高风险手术能给出警示；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2)手术安排：手术申请完成后，手术室自动接收申请信息并根据申请信息进行手术安排，安排结果全院共享，记录手术安排时间及安排人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3)术前访视：手术安排完成后，由负责麻醉师进行术前访视，书写访视记录单，记录访视时间及访视人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4)病房交接：手术当天病房护士与手术室接诊人员在病房扫码核对患者身份，进行身体状况评估，记录交接时间、交接人及交接物品信息运送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5)到达手术室：患者运送手术室后，由手术室护士扫码进行身份确认，交接确认，系统记录交接时间及交接人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6)入手术间：患者运送手术间后，由手术室护士扫码进行身份确认，进入手术间，系统记录进入时间及核对人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7)麻醉开始：麻醉师开始对患者进行麻醉，系统记录麻醉时间及麻醉人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8)手术开始：开始准备手术，记录手术文书、手麻系统信息自动采集、记录手麻信息等工作准备，记录手术开始时间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9)手术结束：患者关腹，手术结束，系统记录手术结束时间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10)麻醉结束：麻醉结束时，系统记录麻醉结束时间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11)出手术间：手术结束后，由手术护士将患者运送至手术间，并记录出手术间 时间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12)入PACU:需要进行麻醉复苏的患者，患者进入PACU,记录入 PACU 时间、交接 信息与交接人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13)出PACU：复苏结束后，患者出 PACU,记录出 PACU 时间、交接信息与交接人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14)患者回科：手术结束后，患者运输回所在科室，科室护士进行接收确认，记 录回科时间及接收人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会诊闭环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1)会诊申请：住院医生通过系统发起会诊申请，生成会诊申请单，记录申请时间及申请人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2)会诊审批：会诊组长通过系统对会诊申请进行审批，审批通过后发送给相应科室医生（消息或短信方式），记录审批时间及审批人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3)会诊接收：会诊医生对发送的会诊申请进行接收确认，记录接收时间及接收人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4)会诊意见：会诊医生对相应患者进行会诊，书写会诊意见，记录会诊时间及会诊人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5)双方评价：支持会诊双方评价。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同时支持输血闭环、危急值闭环、检查闭环、检验闭环等；</w:t>
      </w:r>
    </w:p>
    <w:p>
      <w:pPr>
        <w:pStyle w:val="6"/>
        <w:rPr>
          <w:rFonts w:hint="eastAsia" w:ascii="宋体" w:hAnsi="宋体" w:eastAsia="宋体" w:cs="宋体"/>
          <w:sz w:val="24"/>
          <w:szCs w:val="24"/>
          <w:lang w:eastAsia="zh-CN"/>
        </w:rPr>
      </w:pPr>
      <w:bookmarkStart w:id="19" w:name="bookmark24"/>
      <w:bookmarkEnd w:id="19"/>
      <w:bookmarkStart w:id="20" w:name="_Toc212033755"/>
      <w:r>
        <w:rPr>
          <w:rFonts w:hint="eastAsia" w:ascii="宋体" w:hAnsi="宋体" w:eastAsia="宋体" w:cs="宋体"/>
          <w:sz w:val="24"/>
          <w:szCs w:val="24"/>
          <w:lang w:eastAsia="zh-CN"/>
        </w:rPr>
        <w:t>闭环质量分析</w:t>
      </w:r>
      <w:bookmarkEnd w:id="20"/>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闭环管理应用由闭环配置与闭环信息展示, 闭环质控分析三部分组成，业务闭环内容可支撑医院评级要求，支持业务闭环的配置及展现。</w:t>
      </w:r>
    </w:p>
    <w:p>
      <w:pPr>
        <w:ind w:firstLine="480"/>
        <w:rPr>
          <w:rFonts w:hint="eastAsia" w:ascii="宋体" w:hAnsi="宋体" w:eastAsia="宋体" w:cs="宋体"/>
          <w:sz w:val="24"/>
          <w:szCs w:val="24"/>
          <w:lang w:eastAsia="zh-CN"/>
        </w:rPr>
      </w:pPr>
      <w:bookmarkStart w:id="21" w:name="bookmark97"/>
      <w:bookmarkEnd w:id="21"/>
      <w:r>
        <w:rPr>
          <w:rFonts w:hint="eastAsia" w:ascii="宋体" w:hAnsi="宋体" w:eastAsia="宋体" w:cs="宋体"/>
          <w:sz w:val="24"/>
          <w:szCs w:val="24"/>
          <w:lang w:eastAsia="zh-CN"/>
        </w:rPr>
        <w:t>闭环流程管理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闭环配置可创建新的闭环流程，新的事件以及新的闭环业务关系，列表形式展示已经配置的闭环以及流程图。支持闭环分组。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可根据医院实际业务创建新的闭环，也支持根据业务节点进行现有闭环扩充。并且可配置各个闭环节点的时长。业务关系配置支持节点可灵活选用，节点可配置闭环事件。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闭环节点管理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不同业务流程设计不同的闭环节点。根据实际设计的闭环节点对不同业务流程进行监控，帮助医生更直观的显示患者当前就医状态。可直观的展示出重点闭环的工作流程，帮助医生全面了解各个业务流程的执行情况。对全流程进行跟踪。可通过时间条 件筛选患者对应时段的闭环流程进行展示。流程可以是流程图展示也可以列表形式展示，并且支持闭环分解展示，闭环分为医嘱级别以及对应执行状态级别。分解展示可根据不同业务进行多条显示。如闭环长期的用药医嘱，医嘱单个闭环对应的患者是多天的执行闭环展示。整体闭环流程中，支持审核后的报告以及各类检查检验结果的报告展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闭环质控分析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闭环质控分析包含了闭环质控详情、执行情况明细、闭环完成情况和科室闭环完成 率。通过时间、院区、科室以及闭环分类条件筛选闭环质控详细信息。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闭环质控详情用于查看某类闭环质控数据概览，包括展示该类闭环总数、节点执行率、闭环完整率及相关节点时间合理率。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执行情况明细用于查看某类闭环指定时间段内各个节点的数据量、执行量、执行率 及节点执行平均耗时，可通过时间、院区、科室、闭环进行数据筛选。节点执行明细表 可查看对应节点筛选条件下的所有数据执行状态，可以定位到具体患者某一个闭环的执行情况，可再次通过数据来源、开立医生及节点状态进行二次筛选查看数据，支持将报 表数据导出 excel 表格。</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闭环完成情况查看各类闭环指定时间范围内的数据量，包括完成量、未完成量及完成率（完成指单个闭环流程各个节点数据不存在缺失，均已执行），默认显示总量Top10，点击更多可以查看完整排名。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科室闭环完成率可查看指定时间范围内的各科室的闭环完成率，默认显示Top10，点击更多可以查看完整排名。</w:t>
      </w:r>
    </w:p>
    <w:p>
      <w:pPr>
        <w:pStyle w:val="6"/>
        <w:rPr>
          <w:rFonts w:hint="eastAsia" w:ascii="宋体" w:hAnsi="宋体" w:eastAsia="宋体" w:cs="宋体"/>
          <w:sz w:val="24"/>
          <w:szCs w:val="24"/>
        </w:rPr>
      </w:pPr>
      <w:bookmarkStart w:id="22" w:name="bookmark25"/>
      <w:bookmarkEnd w:id="22"/>
      <w:bookmarkStart w:id="23" w:name="_Toc212033756"/>
      <w:r>
        <w:rPr>
          <w:rFonts w:hint="eastAsia" w:ascii="宋体" w:hAnsi="宋体" w:eastAsia="宋体" w:cs="宋体"/>
          <w:sz w:val="24"/>
          <w:szCs w:val="24"/>
        </w:rPr>
        <w:t>现有闭环改造</w:t>
      </w:r>
      <w:bookmarkEnd w:id="23"/>
    </w:p>
    <w:p>
      <w:pPr>
        <w:numPr>
          <w:ilvl w:val="0"/>
          <w:numId w:val="11"/>
        </w:numPr>
        <w:spacing w:after="0"/>
        <w:jc w:val="both"/>
        <w:rPr>
          <w:rFonts w:hint="eastAsia" w:ascii="宋体" w:hAnsi="宋体" w:eastAsia="宋体" w:cs="宋体"/>
          <w:sz w:val="24"/>
          <w:szCs w:val="24"/>
        </w:rPr>
      </w:pPr>
      <w:r>
        <w:rPr>
          <w:rFonts w:hint="eastAsia" w:ascii="宋体" w:hAnsi="宋体" w:eastAsia="宋体" w:cs="宋体"/>
          <w:sz w:val="24"/>
          <w:szCs w:val="24"/>
        </w:rPr>
        <w:t>门诊检验闭环改造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住院检验闭环需要关联医嘱项目，系统需支持临床医师通过医嘱查询本次及历史住院检验闭环；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系统需支持标本回收、标本销毁功能；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检验闭环需关联危急值发送、处理、病程书写改造应用流程；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系统需支持查看闭环流程图；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系统需支持打印条码、标本采集、标本送检、标本接收有留痕；</w:t>
      </w:r>
    </w:p>
    <w:p>
      <w:pPr>
        <w:numPr>
          <w:ilvl w:val="0"/>
          <w:numId w:val="11"/>
        </w:numPr>
        <w:spacing w:after="0"/>
        <w:jc w:val="both"/>
        <w:rPr>
          <w:rFonts w:hint="eastAsia" w:ascii="宋体" w:hAnsi="宋体" w:eastAsia="宋体" w:cs="宋体"/>
          <w:sz w:val="24"/>
          <w:szCs w:val="24"/>
        </w:rPr>
      </w:pPr>
      <w:r>
        <w:rPr>
          <w:rFonts w:hint="eastAsia" w:ascii="宋体" w:hAnsi="宋体" w:eastAsia="宋体" w:cs="宋体"/>
          <w:sz w:val="24"/>
          <w:szCs w:val="24"/>
        </w:rPr>
        <w:t>住院检验闭环改造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住院检验闭环需要关联医嘱项目，系统需支持临床医师通过医嘱查询本次及历史住院检验闭环；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系统需支持标本回收、标本销毁功能；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检验闭环需关联危急值发送、处理、病程书写改造应用流程；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系统需支持查看闭环流程图。</w:t>
      </w:r>
    </w:p>
    <w:p>
      <w:pPr>
        <w:numPr>
          <w:ilvl w:val="0"/>
          <w:numId w:val="11"/>
        </w:numPr>
        <w:spacing w:after="0"/>
        <w:jc w:val="both"/>
        <w:rPr>
          <w:rFonts w:hint="eastAsia" w:ascii="宋体" w:hAnsi="宋体" w:eastAsia="宋体" w:cs="宋体"/>
          <w:sz w:val="24"/>
          <w:szCs w:val="24"/>
        </w:rPr>
      </w:pPr>
      <w:r>
        <w:rPr>
          <w:rFonts w:hint="eastAsia" w:ascii="宋体" w:hAnsi="宋体" w:eastAsia="宋体" w:cs="宋体"/>
          <w:sz w:val="24"/>
          <w:szCs w:val="24"/>
        </w:rPr>
        <w:t>内镜闭环改造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增加内镜闭环管理流程，住院检查闭环-危急值（内镜）（包含危急值发送、接收节点）。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系统需支持无痛内镜知情同意书、术前访视、检查预约。 </w:t>
      </w:r>
    </w:p>
    <w:p>
      <w:pPr>
        <w:numPr>
          <w:ilvl w:val="0"/>
          <w:numId w:val="11"/>
        </w:numPr>
        <w:spacing w:after="0"/>
        <w:jc w:val="both"/>
        <w:rPr>
          <w:rFonts w:hint="eastAsia" w:ascii="宋体" w:hAnsi="宋体" w:eastAsia="宋体" w:cs="宋体"/>
          <w:sz w:val="24"/>
          <w:szCs w:val="24"/>
        </w:rPr>
      </w:pPr>
      <w:r>
        <w:rPr>
          <w:rFonts w:hint="eastAsia" w:ascii="宋体" w:hAnsi="宋体" w:eastAsia="宋体" w:cs="宋体"/>
          <w:sz w:val="24"/>
          <w:szCs w:val="24"/>
        </w:rPr>
        <w:t>输血闭环改造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系统需支持全程跟踪管理血液记录，增加存储节点，支持输血闭环流程图；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系统需支持输血不良反应上报、不良反应审核关联闭环节点；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系统需支持护士取血核对；</w:t>
      </w:r>
    </w:p>
    <w:p>
      <w:pPr>
        <w:numPr>
          <w:ilvl w:val="0"/>
          <w:numId w:val="11"/>
        </w:numPr>
        <w:spacing w:after="0"/>
        <w:jc w:val="both"/>
        <w:rPr>
          <w:rFonts w:hint="eastAsia" w:ascii="宋体" w:hAnsi="宋体" w:eastAsia="宋体" w:cs="宋体"/>
          <w:sz w:val="24"/>
          <w:szCs w:val="24"/>
        </w:rPr>
      </w:pPr>
      <w:r>
        <w:rPr>
          <w:rFonts w:hint="eastAsia" w:ascii="宋体" w:hAnsi="宋体" w:eastAsia="宋体" w:cs="宋体"/>
          <w:sz w:val="24"/>
          <w:szCs w:val="24"/>
        </w:rPr>
        <w:t>医嘱闭环改造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能够跟踪病人治疗周期的药品使用情况，能够调取既往药品使用数据进行药品使用核查，支持调取病人既往处方闭环（门诊 急诊 住院），需要能够按照诊断过滤既往处方；住院药房能够查看发出去的药品的闭环；门诊药房能够查看已发出去的药品闭环（包括该患者历史门诊处方与住院处方）。</w:t>
      </w:r>
    </w:p>
    <w:p>
      <w:pPr>
        <w:numPr>
          <w:ilvl w:val="0"/>
          <w:numId w:val="11"/>
        </w:numPr>
        <w:spacing w:after="0"/>
        <w:jc w:val="both"/>
        <w:rPr>
          <w:rFonts w:hint="eastAsia" w:ascii="宋体" w:hAnsi="宋体" w:eastAsia="宋体" w:cs="宋体"/>
          <w:sz w:val="24"/>
          <w:szCs w:val="24"/>
        </w:rPr>
      </w:pPr>
      <w:r>
        <w:rPr>
          <w:rFonts w:hint="eastAsia" w:ascii="宋体" w:hAnsi="宋体" w:eastAsia="宋体" w:cs="宋体"/>
          <w:sz w:val="24"/>
          <w:szCs w:val="24"/>
        </w:rPr>
        <w:t>住院检查闭环管理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开立检查：住院医生站具有检查项目CDSS规则校验，病房医生需通过检查申请单形式进行放射检查医嘱的开立，需记录医嘱开立时间及开立人；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预约登记：检查申请开立完成后，系统需根据统一检查预约规则进行自动预约登记，需记录登记时间及登记人；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医嘱审核：病房护士需对预约完成后的检查医嘱进行审核，需记录审核时间及审核护士；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患者报到：患者按照预约时间在检查前到放射科分诊台进行报到确认，需记录患者报到时间及报到登记人；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入室检查：放射科需通过扫描患者腕带核对患者身份，扫描患者检查申请单上条码进行入室检查确认，需记录入室时间及核对人；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报告完成：患者检查完成后，放射科需书写患者对应检查报告，需记录报告书写完成时间及报告完成人；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审核报告：报告书写完成后，需由上级医师进行报告审核，需记录审核时间及审核人；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危急值发送（动态节点）：患者检查报告结果完成后，如发现有危急值，则放射科医师需通过PC端向医生、护士发送检查危急值结果，需记录发送时间及发送人；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危急值接收（动态节点）：医生站、护士站接收患者危急值消息弹窗提醒，需在系统中进行回复处理，需记录病房医生接收处理时间及接收人；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病程书写（动态节点）：病房医生在接收患者危急值信息后，需在规定时间内创建危急值病程记录，需记录危急值病程记录创建时间及创建人。</w:t>
      </w:r>
    </w:p>
    <w:p>
      <w:pPr>
        <w:numPr>
          <w:ilvl w:val="0"/>
          <w:numId w:val="11"/>
        </w:numPr>
        <w:spacing w:after="0"/>
        <w:jc w:val="both"/>
        <w:rPr>
          <w:rFonts w:hint="eastAsia" w:ascii="宋体" w:hAnsi="宋体" w:eastAsia="宋体" w:cs="宋体"/>
          <w:sz w:val="24"/>
          <w:szCs w:val="24"/>
        </w:rPr>
      </w:pPr>
      <w:bookmarkStart w:id="24" w:name="_Toc191045082"/>
      <w:r>
        <w:rPr>
          <w:rFonts w:hint="eastAsia" w:ascii="宋体" w:hAnsi="宋体" w:eastAsia="宋体" w:cs="宋体"/>
          <w:sz w:val="24"/>
          <w:szCs w:val="24"/>
        </w:rPr>
        <w:t>门诊检查闭环</w:t>
      </w:r>
      <w:bookmarkEnd w:id="24"/>
    </w:p>
    <w:p>
      <w:pPr>
        <w:pStyle w:val="296"/>
        <w:ind w:left="420" w:firstLine="0"/>
        <w:rPr>
          <w:rFonts w:hint="eastAsia" w:ascii="宋体" w:hAnsi="宋体" w:eastAsia="宋体" w:cs="宋体"/>
          <w:sz w:val="24"/>
          <w:szCs w:val="24"/>
        </w:rPr>
      </w:pPr>
      <w:r>
        <w:rPr>
          <w:rFonts w:hint="eastAsia" w:ascii="宋体" w:hAnsi="宋体" w:eastAsia="宋体" w:cs="宋体"/>
          <w:sz w:val="24"/>
          <w:szCs w:val="24"/>
        </w:rPr>
        <w:t>开立检查：门诊医生站具有检查项目CDSS规则校验，门诊医生通过检查申请单形</w:t>
      </w:r>
    </w:p>
    <w:p>
      <w:pPr>
        <w:pStyle w:val="296"/>
        <w:ind w:left="0" w:firstLine="0"/>
        <w:rPr>
          <w:rFonts w:hint="eastAsia" w:ascii="宋体" w:hAnsi="宋体" w:eastAsia="宋体" w:cs="宋体"/>
          <w:sz w:val="24"/>
          <w:szCs w:val="24"/>
        </w:rPr>
      </w:pPr>
      <w:r>
        <w:rPr>
          <w:rFonts w:hint="eastAsia" w:ascii="宋体" w:hAnsi="宋体" w:eastAsia="宋体" w:cs="宋体"/>
          <w:sz w:val="24"/>
          <w:szCs w:val="24"/>
        </w:rPr>
        <w:t>式进行放射检查医嘱的开立，需记录医嘱开立时间及开立人；</w:t>
      </w:r>
    </w:p>
    <w:p>
      <w:pPr>
        <w:pStyle w:val="296"/>
        <w:ind w:left="420" w:firstLine="0"/>
        <w:rPr>
          <w:rFonts w:hint="eastAsia" w:ascii="宋体" w:hAnsi="宋体" w:eastAsia="宋体" w:cs="宋体"/>
          <w:sz w:val="24"/>
          <w:szCs w:val="24"/>
        </w:rPr>
      </w:pPr>
      <w:r>
        <w:rPr>
          <w:rFonts w:hint="eastAsia" w:ascii="宋体" w:hAnsi="宋体" w:eastAsia="宋体" w:cs="宋体"/>
          <w:sz w:val="24"/>
          <w:szCs w:val="24"/>
        </w:rPr>
        <w:t>预约登记：检查申请开立完成后，系统根据统一检查预约规则进行自动预约登</w:t>
      </w:r>
    </w:p>
    <w:p>
      <w:pPr>
        <w:pStyle w:val="296"/>
        <w:ind w:left="0" w:firstLine="0"/>
        <w:rPr>
          <w:rFonts w:hint="eastAsia" w:ascii="宋体" w:hAnsi="宋体" w:eastAsia="宋体" w:cs="宋体"/>
          <w:sz w:val="24"/>
          <w:szCs w:val="24"/>
        </w:rPr>
      </w:pPr>
      <w:r>
        <w:rPr>
          <w:rFonts w:hint="eastAsia" w:ascii="宋体" w:hAnsi="宋体" w:eastAsia="宋体" w:cs="宋体"/>
          <w:sz w:val="24"/>
          <w:szCs w:val="24"/>
        </w:rPr>
        <w:t>记，需记录登记时间及登记人；</w:t>
      </w:r>
    </w:p>
    <w:p>
      <w:pPr>
        <w:pStyle w:val="296"/>
        <w:ind w:left="420" w:firstLine="0"/>
        <w:rPr>
          <w:rFonts w:hint="eastAsia" w:ascii="宋体" w:hAnsi="宋体" w:eastAsia="宋体" w:cs="宋体"/>
          <w:sz w:val="24"/>
          <w:szCs w:val="24"/>
        </w:rPr>
      </w:pPr>
      <w:r>
        <w:rPr>
          <w:rFonts w:hint="eastAsia" w:ascii="宋体" w:hAnsi="宋体" w:eastAsia="宋体" w:cs="宋体"/>
          <w:sz w:val="24"/>
          <w:szCs w:val="24"/>
        </w:rPr>
        <w:t>患者缴费：医嘱开立后，患者进行缴费，需记录缴费时间及缴费人；</w:t>
      </w:r>
    </w:p>
    <w:p>
      <w:pPr>
        <w:pStyle w:val="296"/>
        <w:ind w:left="420" w:firstLine="0"/>
        <w:jc w:val="left"/>
        <w:rPr>
          <w:rFonts w:hint="eastAsia" w:ascii="宋体" w:hAnsi="宋体" w:eastAsia="宋体" w:cs="宋体"/>
          <w:sz w:val="24"/>
          <w:szCs w:val="24"/>
        </w:rPr>
      </w:pPr>
      <w:r>
        <w:rPr>
          <w:rFonts w:hint="eastAsia" w:ascii="宋体" w:hAnsi="宋体" w:eastAsia="宋体" w:cs="宋体"/>
          <w:sz w:val="24"/>
          <w:szCs w:val="24"/>
        </w:rPr>
        <w:t>报到时间：患者按照预约时间在检查前到放射分诊台进行报到确认，需记录患者</w:t>
      </w:r>
    </w:p>
    <w:p>
      <w:pPr>
        <w:pStyle w:val="296"/>
        <w:ind w:left="0" w:firstLine="0"/>
        <w:jc w:val="left"/>
        <w:rPr>
          <w:rFonts w:hint="eastAsia" w:ascii="宋体" w:hAnsi="宋体" w:eastAsia="宋体" w:cs="宋体"/>
          <w:sz w:val="24"/>
          <w:szCs w:val="24"/>
        </w:rPr>
      </w:pPr>
      <w:r>
        <w:rPr>
          <w:rFonts w:hint="eastAsia" w:ascii="宋体" w:hAnsi="宋体" w:eastAsia="宋体" w:cs="宋体"/>
          <w:sz w:val="24"/>
          <w:szCs w:val="24"/>
        </w:rPr>
        <w:t>报到时间及报到登记人；</w:t>
      </w:r>
    </w:p>
    <w:p>
      <w:pPr>
        <w:pStyle w:val="296"/>
        <w:ind w:left="420" w:firstLine="0"/>
        <w:rPr>
          <w:rFonts w:hint="eastAsia" w:ascii="宋体" w:hAnsi="宋体" w:eastAsia="宋体" w:cs="宋体"/>
          <w:sz w:val="24"/>
          <w:szCs w:val="24"/>
        </w:rPr>
      </w:pPr>
      <w:r>
        <w:rPr>
          <w:rFonts w:hint="eastAsia" w:ascii="宋体" w:hAnsi="宋体" w:eastAsia="宋体" w:cs="宋体"/>
          <w:sz w:val="24"/>
          <w:szCs w:val="24"/>
        </w:rPr>
        <w:t>入室检查：放射科医师通过扫描患者腕带核对患者身份，扫描患者检查申请单上</w:t>
      </w:r>
    </w:p>
    <w:p>
      <w:pPr>
        <w:pStyle w:val="296"/>
        <w:ind w:left="0" w:firstLine="0"/>
        <w:rPr>
          <w:rFonts w:hint="eastAsia" w:ascii="宋体" w:hAnsi="宋体" w:eastAsia="宋体" w:cs="宋体"/>
          <w:sz w:val="24"/>
          <w:szCs w:val="24"/>
        </w:rPr>
      </w:pPr>
      <w:r>
        <w:rPr>
          <w:rFonts w:hint="eastAsia" w:ascii="宋体" w:hAnsi="宋体" w:eastAsia="宋体" w:cs="宋体"/>
          <w:sz w:val="24"/>
          <w:szCs w:val="24"/>
        </w:rPr>
        <w:t>条码进行入室检查确认，需记录入室时间及核对人；</w:t>
      </w:r>
    </w:p>
    <w:p>
      <w:pPr>
        <w:pStyle w:val="296"/>
        <w:ind w:left="420" w:firstLine="0"/>
        <w:rPr>
          <w:rFonts w:hint="eastAsia" w:ascii="宋体" w:hAnsi="宋体" w:eastAsia="宋体" w:cs="宋体"/>
          <w:sz w:val="24"/>
          <w:szCs w:val="24"/>
        </w:rPr>
      </w:pPr>
      <w:r>
        <w:rPr>
          <w:rFonts w:hint="eastAsia" w:ascii="宋体" w:hAnsi="宋体" w:eastAsia="宋体" w:cs="宋体"/>
          <w:sz w:val="24"/>
          <w:szCs w:val="24"/>
        </w:rPr>
        <w:t>报告完成：患者检查完成后，放射科医师书写患者对应检查报告，需记录报告书</w:t>
      </w:r>
    </w:p>
    <w:p>
      <w:pPr>
        <w:pStyle w:val="296"/>
        <w:ind w:left="0" w:firstLine="0"/>
        <w:rPr>
          <w:rFonts w:hint="eastAsia" w:ascii="宋体" w:hAnsi="宋体" w:eastAsia="宋体" w:cs="宋体"/>
          <w:sz w:val="24"/>
          <w:szCs w:val="24"/>
        </w:rPr>
      </w:pPr>
      <w:r>
        <w:rPr>
          <w:rFonts w:hint="eastAsia" w:ascii="宋体" w:hAnsi="宋体" w:eastAsia="宋体" w:cs="宋体"/>
          <w:sz w:val="24"/>
          <w:szCs w:val="24"/>
        </w:rPr>
        <w:t>写完成时间及报告完成人；</w:t>
      </w:r>
    </w:p>
    <w:p>
      <w:pPr>
        <w:pStyle w:val="296"/>
        <w:ind w:left="420" w:firstLine="0"/>
        <w:rPr>
          <w:rFonts w:hint="eastAsia" w:ascii="宋体" w:hAnsi="宋体" w:eastAsia="宋体" w:cs="宋体"/>
          <w:sz w:val="24"/>
          <w:szCs w:val="24"/>
        </w:rPr>
      </w:pPr>
      <w:r>
        <w:rPr>
          <w:rFonts w:hint="eastAsia" w:ascii="宋体" w:hAnsi="宋体" w:eastAsia="宋体" w:cs="宋体"/>
          <w:sz w:val="24"/>
          <w:szCs w:val="24"/>
        </w:rPr>
        <w:t>审核报告：报告书写完成后，由上级医师进行报告审核，需记录审核时间及审核</w:t>
      </w:r>
    </w:p>
    <w:p>
      <w:pPr>
        <w:pStyle w:val="296"/>
        <w:ind w:left="0" w:firstLine="0"/>
        <w:rPr>
          <w:rFonts w:hint="eastAsia" w:ascii="宋体" w:hAnsi="宋体" w:eastAsia="宋体" w:cs="宋体"/>
          <w:sz w:val="24"/>
          <w:szCs w:val="24"/>
        </w:rPr>
      </w:pPr>
      <w:r>
        <w:rPr>
          <w:rFonts w:hint="eastAsia" w:ascii="宋体" w:hAnsi="宋体" w:eastAsia="宋体" w:cs="宋体"/>
          <w:sz w:val="24"/>
          <w:szCs w:val="24"/>
        </w:rPr>
        <w:t>人；</w:t>
      </w:r>
    </w:p>
    <w:p>
      <w:pPr>
        <w:pStyle w:val="296"/>
        <w:ind w:left="420" w:firstLine="0"/>
        <w:rPr>
          <w:rFonts w:hint="eastAsia" w:ascii="宋体" w:hAnsi="宋体" w:eastAsia="宋体" w:cs="宋体"/>
          <w:sz w:val="24"/>
          <w:szCs w:val="24"/>
        </w:rPr>
      </w:pPr>
      <w:r>
        <w:rPr>
          <w:rFonts w:hint="eastAsia" w:ascii="宋体" w:hAnsi="宋体" w:eastAsia="宋体" w:cs="宋体"/>
          <w:sz w:val="24"/>
          <w:szCs w:val="24"/>
        </w:rPr>
        <w:t>危急值发送（动态节点）：患者检查报告结果完成后，如发现有危急值，则放射</w:t>
      </w:r>
    </w:p>
    <w:p>
      <w:pPr>
        <w:pStyle w:val="296"/>
        <w:ind w:left="0" w:firstLine="0"/>
        <w:rPr>
          <w:rFonts w:hint="eastAsia" w:ascii="宋体" w:hAnsi="宋体" w:eastAsia="宋体" w:cs="宋体"/>
          <w:sz w:val="24"/>
          <w:szCs w:val="24"/>
        </w:rPr>
      </w:pPr>
      <w:r>
        <w:rPr>
          <w:rFonts w:hint="eastAsia" w:ascii="宋体" w:hAnsi="宋体" w:eastAsia="宋体" w:cs="宋体"/>
          <w:sz w:val="24"/>
          <w:szCs w:val="24"/>
        </w:rPr>
        <w:t>科医师通过PC端向医生、护士发送检查危急值结果，需记录发送时间及发送人；危急值接收（动态节点）：医生站、护士站接收患者危急值消息弹窗提醒，并在系统中进行回复处理，需记录门诊医生接收处理时间及接收人；</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）PACS系统改造升级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1.(放射、超声)支持根据不同年龄、性别、诊断、生理指标变化参考值范围的模板。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2.支持放射、超声、内镜系统查看单条报告调阅闭环。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3.(放射、超声)支持患者叫号功能，支持入室扫码与叫号信息进行核对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4.图像界面增加唯一检</w:t>
      </w:r>
      <w:r>
        <w:rPr>
          <w:rFonts w:hint="eastAsia" w:ascii="宋体" w:hAnsi="宋体" w:cs="宋体"/>
          <w:sz w:val="24"/>
          <w:szCs w:val="24"/>
          <w:lang w:val="en-US" w:eastAsia="zh-CN"/>
        </w:rPr>
        <w:t>查</w:t>
      </w:r>
      <w:r>
        <w:rPr>
          <w:rFonts w:hint="eastAsia" w:ascii="宋体" w:hAnsi="宋体" w:eastAsia="宋体" w:cs="宋体"/>
          <w:sz w:val="24"/>
          <w:szCs w:val="24"/>
          <w:lang w:eastAsia="zh-CN"/>
        </w:rPr>
        <w:t>号(超声、放射、内镜)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5.支持报告与诊断互斥功能。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6.(放射、超声)支持结构化报告模版的创建与使用，内容包含测量值、范围、结果标识。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7.(放射、超声、内镜)支持录入测量值结果，超过合理值范围系统给出不合理提示(支持上下箭头提示)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8.(放射、超声、内镜)支持报告医师在书写报告时可查询与引用临床信息、其他检查信息。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9.支持查询检查报告访问日志。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10.(超声)支持查看同一个检查图像的产生过程记录、图像质控记录图像调阅记录。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11.支持图像浏览、三维重建的日志查看.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12.支持对图像全过程(产生、质控、重建、调阅)进行整合，统一展现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13.(放射、超声)支持对图像标记注释说明</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14.支持临床医师系统对放射图像注释说明进行调阅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15.支持影像资料导出(可授权给影像科工作人员)，并记录操作日志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16.全院检查预约支持查看其他检查实时状态(关注闭环，预约时可以看到闭环各个节点)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17.满足新旧电子病历六级评审要求</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18.（病理）支持病理闭环全流程节点记录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19.（病理）支持查看单条报告调阅闭环</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）医院管理信息系统（HIS）</w:t>
      </w:r>
    </w:p>
    <w:p>
      <w:pPr>
        <w:pStyle w:val="6"/>
        <w:rPr>
          <w:rFonts w:hint="eastAsia" w:ascii="宋体" w:hAnsi="宋体" w:eastAsia="宋体" w:cs="宋体"/>
          <w:sz w:val="24"/>
          <w:szCs w:val="24"/>
          <w:lang w:eastAsia="zh-CN"/>
        </w:rPr>
      </w:pPr>
      <w:bookmarkStart w:id="25" w:name="_Toc212033759"/>
      <w:bookmarkStart w:id="26" w:name="_Toc99317489"/>
      <w:bookmarkStart w:id="27" w:name="_Toc14505"/>
      <w:r>
        <w:rPr>
          <w:rFonts w:hint="eastAsia" w:ascii="宋体" w:hAnsi="宋体" w:eastAsia="宋体" w:cs="宋体"/>
          <w:sz w:val="24"/>
          <w:szCs w:val="24"/>
          <w:lang w:eastAsia="zh-CN"/>
        </w:rPr>
        <w:t>物价管理系统</w:t>
      </w:r>
      <w:bookmarkEnd w:id="25"/>
      <w:bookmarkEnd w:id="26"/>
      <w:bookmarkEnd w:id="2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物价管理系统作为医院经营管理的重要组成部分，是医院费用收取的基础，使用物价管理系统可以加强医院对物价的管理，完善价格监督机制，严格执行国家价格法规，合理的运用物价政策，为医生和患者提供优质的服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1.诊疗项目维护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实现对除药品外的检查，化验，材料，治疗等诊疗项目的维护，方便医生合理有效的为患者开立诊疗项目，提高患者接受诊疗的效率与体验。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2.诊疗项目调价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医生可以使用全院价格的功能界面对诊疗项目进行价格调整，可以设置及时生效，定时生效等功能，多样化的实现对诊疗项目价格的管控，高效及时的完成价格调整，保障医院的效益。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3．复合项目维护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使用复合项目维护窗口，可以将普通诊疗项目进行多样化的组合，组成复合收费项进行计费和价格调整。例如肝功八项，可以参照当地的物价标准进行维护。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w:t>
      </w:r>
      <w:bookmarkStart w:id="28" w:name="_Toc343522886"/>
      <w:bookmarkStart w:id="29" w:name="_Toc343599720"/>
      <w:bookmarkStart w:id="30" w:name="_Toc3209303"/>
      <w:bookmarkStart w:id="31" w:name="_Toc343607638"/>
      <w:bookmarkStart w:id="32" w:name="_Toc416384652"/>
      <w:r>
        <w:rPr>
          <w:rFonts w:hint="eastAsia" w:ascii="宋体" w:hAnsi="宋体" w:eastAsia="宋体" w:cs="宋体"/>
          <w:sz w:val="24"/>
          <w:szCs w:val="24"/>
          <w:lang w:eastAsia="zh-CN"/>
        </w:rPr>
        <w:t>费用组套维护</w:t>
      </w:r>
      <w:bookmarkEnd w:id="28"/>
      <w:bookmarkEnd w:id="29"/>
      <w:bookmarkEnd w:id="30"/>
      <w:bookmarkEnd w:id="31"/>
      <w:bookmarkEnd w:id="3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使用费用组套维护界面，可以维护全院，或者科室的收费组套，能够准确清楚的显示组套编码、价格明细等项目，方便收费员录入项目。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w:t>
      </w:r>
      <w:bookmarkStart w:id="33" w:name="_Toc343607639"/>
      <w:bookmarkStart w:id="34" w:name="_Toc3209304"/>
      <w:bookmarkStart w:id="35" w:name="_Toc343522887"/>
      <w:bookmarkStart w:id="36" w:name="_Toc416384653"/>
      <w:bookmarkStart w:id="37" w:name="_Toc343599721"/>
      <w:r>
        <w:rPr>
          <w:rFonts w:hint="eastAsia" w:ascii="宋体" w:hAnsi="宋体" w:eastAsia="宋体" w:cs="宋体"/>
          <w:sz w:val="24"/>
          <w:szCs w:val="24"/>
          <w:lang w:eastAsia="zh-CN"/>
        </w:rPr>
        <w:t>挂号费费用</w:t>
      </w:r>
      <w:bookmarkEnd w:id="33"/>
      <w:bookmarkEnd w:id="34"/>
      <w:bookmarkEnd w:id="35"/>
      <w:bookmarkEnd w:id="36"/>
      <w:bookmarkEnd w:id="3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按照合同单位，显示并支持每个合同单位下的不同挂号级别的挂号费用的查看和调整。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w:t>
      </w:r>
      <w:bookmarkStart w:id="38" w:name="_Toc3209305"/>
      <w:bookmarkStart w:id="39" w:name="_Toc343599722"/>
      <w:bookmarkStart w:id="40" w:name="_Toc343607640"/>
      <w:bookmarkStart w:id="41" w:name="_Toc416384654"/>
      <w:bookmarkStart w:id="42" w:name="_Toc343522888"/>
      <w:r>
        <w:rPr>
          <w:rFonts w:hint="eastAsia" w:ascii="宋体" w:hAnsi="宋体" w:eastAsia="宋体" w:cs="宋体"/>
          <w:sz w:val="24"/>
          <w:szCs w:val="24"/>
          <w:lang w:eastAsia="zh-CN"/>
        </w:rPr>
        <w:t>合同单位维护</w:t>
      </w:r>
      <w:bookmarkEnd w:id="38"/>
      <w:bookmarkEnd w:id="39"/>
      <w:bookmarkEnd w:id="40"/>
      <w:bookmarkEnd w:id="41"/>
      <w:bookmarkEnd w:id="4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以界面的形式，展示可以进行维护的不同收费待遇合同单位的编码，可以显示和编辑合同单位的名称、编码等基本信息。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w:t>
      </w:r>
      <w:bookmarkStart w:id="43" w:name="_Toc343599723"/>
      <w:bookmarkStart w:id="44" w:name="_Toc343607641"/>
      <w:bookmarkStart w:id="45" w:name="_Toc343522889"/>
      <w:bookmarkStart w:id="46" w:name="_Toc416384655"/>
      <w:bookmarkStart w:id="47" w:name="_Toc3209306"/>
      <w:r>
        <w:rPr>
          <w:rFonts w:hint="eastAsia" w:ascii="宋体" w:hAnsi="宋体" w:eastAsia="宋体" w:cs="宋体"/>
          <w:sz w:val="24"/>
          <w:szCs w:val="24"/>
          <w:lang w:eastAsia="zh-CN"/>
        </w:rPr>
        <w:t>合同单位待遇维护</w:t>
      </w:r>
      <w:bookmarkEnd w:id="43"/>
      <w:bookmarkEnd w:id="44"/>
      <w:bookmarkEnd w:id="45"/>
      <w:bookmarkEnd w:id="46"/>
      <w:bookmarkEnd w:id="4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可以对不同合同单位的基本待遇算法进行维护，详细展示各合同单位待遇明细，比如自费比例，统筹比例，报销上限等，如果待遇复杂可维护对应的待遇计算接口。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w:t>
      </w:r>
      <w:bookmarkStart w:id="48" w:name="_Toc343599724"/>
      <w:bookmarkStart w:id="49" w:name="_Toc343522890"/>
      <w:bookmarkStart w:id="50" w:name="_Toc343607642"/>
      <w:bookmarkStart w:id="51" w:name="_Toc416384656"/>
      <w:bookmarkStart w:id="52" w:name="_Toc3209307"/>
      <w:r>
        <w:rPr>
          <w:rFonts w:hint="eastAsia" w:ascii="宋体" w:hAnsi="宋体" w:eastAsia="宋体" w:cs="宋体"/>
          <w:sz w:val="24"/>
          <w:szCs w:val="24"/>
          <w:lang w:eastAsia="zh-CN"/>
        </w:rPr>
        <w:t>固定费用维护</w:t>
      </w:r>
      <w:bookmarkEnd w:id="48"/>
      <w:bookmarkEnd w:id="49"/>
      <w:bookmarkEnd w:id="50"/>
      <w:bookmarkEnd w:id="51"/>
      <w:bookmarkEnd w:id="5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该界面功能主要用于维护某个床位级别下的需要自动收费的项目列表，可详细设置自动收费时间段，等详细属性，多元化的实现对固定费用项目的管理，方便管理人员的操作。</w:t>
      </w:r>
    </w:p>
    <w:p>
      <w:pPr>
        <w:pStyle w:val="6"/>
        <w:rPr>
          <w:rFonts w:hint="eastAsia" w:ascii="宋体" w:hAnsi="宋体" w:eastAsia="宋体" w:cs="宋体"/>
          <w:sz w:val="24"/>
          <w:szCs w:val="24"/>
          <w:lang w:eastAsia="zh-CN"/>
        </w:rPr>
      </w:pPr>
      <w:bookmarkStart w:id="53" w:name="_Toc212033760"/>
      <w:bookmarkStart w:id="54" w:name="_Toc99317490"/>
      <w:bookmarkStart w:id="55" w:name="_Toc65053253"/>
      <w:bookmarkStart w:id="56" w:name="_Toc65250108"/>
      <w:bookmarkStart w:id="57" w:name="_Toc32441"/>
      <w:bookmarkStart w:id="58" w:name="_Toc65250038"/>
      <w:bookmarkStart w:id="59" w:name="_Toc43131277"/>
      <w:bookmarkStart w:id="60" w:name="_Toc65569094"/>
      <w:bookmarkStart w:id="61" w:name="_Toc96851848"/>
      <w:r>
        <w:rPr>
          <w:rFonts w:hint="eastAsia" w:ascii="宋体" w:hAnsi="宋体" w:eastAsia="宋体" w:cs="宋体"/>
          <w:sz w:val="24"/>
          <w:szCs w:val="24"/>
          <w:lang w:eastAsia="zh-CN"/>
        </w:rPr>
        <w:t>门急诊挂号系统</w:t>
      </w:r>
      <w:bookmarkEnd w:id="53"/>
      <w:bookmarkEnd w:id="54"/>
      <w:bookmarkEnd w:id="55"/>
      <w:bookmarkEnd w:id="56"/>
      <w:bookmarkEnd w:id="57"/>
      <w:bookmarkEnd w:id="58"/>
      <w:bookmarkEnd w:id="59"/>
      <w:bookmarkEnd w:id="60"/>
      <w:bookmarkEnd w:id="61"/>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急诊挂号系统实现了多种情况和类型病人的档案建立与办卡、预约挂号、窗口挂号、处理号表、统计和门诊病历处理等基本功能，可以直接面向门急诊病人进行服务，建立病人标识码，减少病人排队时间，提高挂号工作效率和服务质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1.挂号功能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挂号员根据病人请求快速选择诊别、科别、号别、医生等选项，生成挂号信息，打印挂号单，并产生就诊病人基本信息等。挂号界面支持医保、公费、自费等多种身份的病人挂号，同时支持多种支付方式。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2.退号处理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以通过输入病历号或者挂号发票号，显示对应的允许退号的有效挂号信息，完成病人退号；并能正确处理病人看病日期、午别、诊别、类别、号别以及应退费用和相关统计等功能，同时支持对已看诊号是否可退等权限的管理和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3.换科功能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可以针对患者情况，对已经挂号的患者进行科室的更换，支持专家、专科号、普通号的换科功能。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4.挂号日结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按时间段完成日结功能，以列表等形式展示和统计当日挂号数量、类别等具体信息，并支持打印或补打出日报表。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5.其他功能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门诊挂号系统提供了多种挂号方式（包括简易挂号、完整挂号），支持医保、公费、自费、本院、合作单位多种身份的病人挂号，同时支持挂号费用结算及报表统计功能。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能完成挂号、退号、病人、科室、医师的挂号状况、医师出诊时间、科室挂号现状等查询，按科室、门诊工作量等多种条件统计的功能。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7.基本信息维护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挂号员权限等信息维护的功能，可以维护如挂号员姓名、编号，可挂号的级别等信息。同时支持挂号患者基本信息修改和补充功能。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8.预约挂号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包含多种形式的预约挂号功能，如系统预约挂号，电话预约挂号、诊间预约挂号、预约取号等功能。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9.挂号聚合支付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应用于在挂号中需要支付的功能，可以使用多种支付方式进行挂号费用的收取，有支付记录的存储与支付中出现的异常处理功能。</w:t>
      </w:r>
    </w:p>
    <w:p>
      <w:pPr>
        <w:pStyle w:val="6"/>
        <w:rPr>
          <w:rFonts w:hint="eastAsia" w:ascii="宋体" w:hAnsi="宋体" w:eastAsia="宋体" w:cs="宋体"/>
          <w:sz w:val="24"/>
          <w:szCs w:val="24"/>
          <w:lang w:eastAsia="zh-CN"/>
        </w:rPr>
      </w:pPr>
      <w:bookmarkStart w:id="62" w:name="_Toc99317491"/>
      <w:bookmarkStart w:id="63" w:name="_Toc212033761"/>
      <w:bookmarkStart w:id="64" w:name="_Toc65250039"/>
      <w:bookmarkStart w:id="65" w:name="_Toc96851849"/>
      <w:bookmarkStart w:id="66" w:name="_Toc65250109"/>
      <w:bookmarkStart w:id="67" w:name="_Toc43131278"/>
      <w:bookmarkStart w:id="68" w:name="_Toc65053254"/>
      <w:bookmarkStart w:id="69" w:name="_Toc15453"/>
      <w:bookmarkStart w:id="70" w:name="_Toc65569095"/>
      <w:r>
        <w:rPr>
          <w:rFonts w:hint="eastAsia" w:ascii="宋体" w:hAnsi="宋体" w:eastAsia="宋体" w:cs="宋体"/>
          <w:sz w:val="24"/>
          <w:szCs w:val="24"/>
          <w:lang w:eastAsia="zh-CN"/>
        </w:rPr>
        <w:t>门急诊收费系统</w:t>
      </w:r>
      <w:bookmarkEnd w:id="62"/>
      <w:bookmarkEnd w:id="63"/>
      <w:bookmarkEnd w:id="64"/>
      <w:bookmarkEnd w:id="65"/>
      <w:bookmarkEnd w:id="66"/>
      <w:bookmarkEnd w:id="67"/>
      <w:bookmarkEnd w:id="68"/>
      <w:bookmarkEnd w:id="69"/>
      <w:bookmarkEnd w:id="70"/>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急诊收费系统可以完成门诊病人划价收费工作，包含收费、退费发票打印等功能，向门诊药房传送处方信息，可以接收门诊划价系统和医生站医生录入的处方，操作员也可以对收费发票进行完善的跟踪管理，进行日结清单打印和发票的重打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1.门诊收费、退费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自动获取或直接录入收费信息（包括患者姓名、病历号、结算类别、医疗类别、医生编码，开处方科室名称、药品／诊疗项目名称、数量等），支持多种结算方式（自费、公费、医保等）、支持自动找零。银联接口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退费可以录入门诊发票号选择药品或非药品进行退费，同时也可以选择全部退费或者部分退费。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2.门诊发票重打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操作员可以通过输入发票号等方式进行详细的查询，并对已经录入的门诊发票号重新打印，将原发票作废处理。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3.收费员日结算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支持收款员收费进行结存并打印日结报表，操作相对简便，可以对多种信息进行显示与维护。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4.其他功能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具有严格发票号管理（如使用发票号和机器生成号管理发票），支持日结功能，能灵活设置发票归集项，提供收费处输入药品时自动检测药房药品库存数量；支持记</w:t>
      </w:r>
      <w:r>
        <w:rPr>
          <w:rFonts w:hint="eastAsia" w:ascii="宋体" w:hAnsi="宋体" w:cs="宋体"/>
          <w:sz w:val="24"/>
          <w:szCs w:val="24"/>
          <w:lang w:val="en-US" w:eastAsia="zh-CN"/>
        </w:rPr>
        <w:t>账</w:t>
      </w:r>
      <w:r>
        <w:rPr>
          <w:rFonts w:hint="eastAsia" w:ascii="宋体" w:hAnsi="宋体" w:eastAsia="宋体" w:cs="宋体"/>
          <w:sz w:val="24"/>
          <w:szCs w:val="24"/>
          <w:lang w:eastAsia="zh-CN"/>
        </w:rPr>
        <w:t>、公费、医保等多种结算方式，支持现金、微信、支付宝、银联等多种支付方式。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支持单项目、收费类别或总价减免、折扣。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提供收费员发票查询，收费员工作量统计，门诊收费分项查询等多种信息及项目的查询，提供挂号收费日结等多种信息的查询。</w:t>
      </w:r>
    </w:p>
    <w:p>
      <w:pPr>
        <w:pStyle w:val="6"/>
        <w:rPr>
          <w:rFonts w:hint="eastAsia" w:ascii="宋体" w:hAnsi="宋体" w:eastAsia="宋体" w:cs="宋体"/>
          <w:sz w:val="24"/>
          <w:szCs w:val="24"/>
          <w:lang w:eastAsia="zh-CN"/>
        </w:rPr>
      </w:pPr>
      <w:bookmarkStart w:id="71" w:name="_Toc212033762"/>
      <w:bookmarkStart w:id="72" w:name="_Toc3209323"/>
      <w:bookmarkStart w:id="73" w:name="_Toc343599744"/>
      <w:bookmarkStart w:id="74" w:name="_Toc317608247"/>
      <w:bookmarkStart w:id="75" w:name="_Toc28583"/>
      <w:bookmarkStart w:id="76" w:name="_Toc65250110"/>
      <w:bookmarkStart w:id="77" w:name="_Toc65569096"/>
      <w:bookmarkStart w:id="78" w:name="_Toc96851850"/>
      <w:bookmarkStart w:id="79" w:name="_Toc43131279"/>
      <w:bookmarkStart w:id="80" w:name="_Toc65053255"/>
      <w:bookmarkStart w:id="81" w:name="_Toc65250040"/>
      <w:bookmarkStart w:id="82" w:name="_Toc343522910"/>
      <w:bookmarkStart w:id="83" w:name="_Toc99317492"/>
      <w:bookmarkStart w:id="84" w:name="_Toc416384671"/>
      <w:r>
        <w:rPr>
          <w:rFonts w:hint="eastAsia" w:ascii="宋体" w:hAnsi="宋体" w:eastAsia="宋体" w:cs="宋体"/>
          <w:sz w:val="24"/>
          <w:szCs w:val="24"/>
          <w:lang w:eastAsia="zh-CN"/>
        </w:rPr>
        <w:t>住院登记系统</w:t>
      </w:r>
      <w:bookmarkEnd w:id="71"/>
      <w:bookmarkEnd w:id="72"/>
      <w:bookmarkEnd w:id="73"/>
      <w:bookmarkEnd w:id="74"/>
      <w:bookmarkEnd w:id="75"/>
      <w:bookmarkEnd w:id="76"/>
      <w:bookmarkEnd w:id="77"/>
      <w:bookmarkEnd w:id="78"/>
      <w:bookmarkEnd w:id="79"/>
      <w:bookmarkEnd w:id="80"/>
      <w:bookmarkEnd w:id="81"/>
      <w:bookmarkEnd w:id="82"/>
      <w:bookmarkEnd w:id="83"/>
      <w:bookmarkEnd w:id="8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登记系统包含基本患者信息的录入（支持信息自动带入和手动录入）与修改，患者住院预约审批、欠费患者查询、无费退院、等功能，能够实现对所有患者住院费用、警戒线等信息的维护与管理，实现出院登记与召回等多项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1.入院登记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录入患者姓名、性别等基本信息，为患者办理入院登记。患者住院号可选择手工录入或系统自动生成，支持登记时收取住院预交金；患者姓名、性别等必填信息界面中已经用醒目颜色标注出来；支持住院处直接接诊流程（开关控制）；支持患者住院科室的修改（未被病房接诊）；支持患者登记同时录入担保信息，也可以在担保管理界面单独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2.出院登记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住院处直接出院登记流程：录入患者住院号，为患者办理出院登记手续，患者的状态标记为“出院登记”。出院登记会停止患者的所有医嘱、床位费等日固定费用的滚动，所以建议在确认患者所有医嘱、费用等信息准确无误后，再为患者办理出院登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3.出院召回</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住院处出院召回操作。录入患者住院号，为患者进行出院召回。出院召回是出院登记的逆过程，患者的状态将从“出院登记”状态更新回“住院接诊”状态，注意此操作不会恢复患者长期医嘱，请相关医生注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4.患者信息修改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录入患者住院号，检索患者的基本信息，供操作人修改。注意只能修改患者姓名、出生日期、民族、籍贯等基本信息，患者的结算方式、住院号、住院科室等信息是不可以在此修改的。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5.无费退院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录入患者住院号，为没有发生费用的患者办理无费退院。患者的费用总额、预交金必须是0才可办理无费退院。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6.担保管理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支持担保金的收取、返还、补打等操作，支持担保信息查询。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7.身份变更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提供自费转医保、医保转自费、自费转公费、公费转自费等不同身份类别之间的变更。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根据手动录入或一键带入患者基本信息的方式，对入院患者进行详细的信息查询与管理，对已出院患者过往留存信息进行管理维护，在患者召回或再次入院时，自动更新患者信息。</w:t>
      </w:r>
    </w:p>
    <w:p>
      <w:pPr>
        <w:pStyle w:val="6"/>
        <w:rPr>
          <w:rFonts w:hint="eastAsia" w:ascii="宋体" w:hAnsi="宋体" w:eastAsia="宋体" w:cs="宋体"/>
          <w:sz w:val="24"/>
          <w:szCs w:val="24"/>
          <w:lang w:eastAsia="zh-CN"/>
        </w:rPr>
      </w:pPr>
      <w:bookmarkStart w:id="85" w:name="_Toc3209332"/>
      <w:bookmarkStart w:id="86" w:name="_Toc212033763"/>
      <w:bookmarkStart w:id="87" w:name="_Toc99317493"/>
      <w:bookmarkStart w:id="88" w:name="_Toc65053256"/>
      <w:bookmarkStart w:id="89" w:name="_Toc65250041"/>
      <w:bookmarkStart w:id="90" w:name="_Toc96851851"/>
      <w:bookmarkStart w:id="91" w:name="_Toc65569097"/>
      <w:bookmarkStart w:id="92" w:name="_Toc32278"/>
      <w:bookmarkStart w:id="93" w:name="_Toc65250111"/>
      <w:bookmarkStart w:id="94" w:name="_Toc343599755"/>
      <w:bookmarkStart w:id="95" w:name="_Toc43131280"/>
      <w:bookmarkStart w:id="96" w:name="_Toc343522921"/>
      <w:bookmarkStart w:id="97" w:name="_Toc317608248"/>
      <w:bookmarkStart w:id="98" w:name="_Toc416384682"/>
      <w:r>
        <w:rPr>
          <w:rFonts w:hint="eastAsia" w:ascii="宋体" w:hAnsi="宋体" w:eastAsia="宋体" w:cs="宋体"/>
          <w:sz w:val="24"/>
          <w:szCs w:val="24"/>
          <w:lang w:eastAsia="zh-CN"/>
        </w:rPr>
        <w:t>住院收费系统</w:t>
      </w:r>
      <w:bookmarkEnd w:id="85"/>
      <w:bookmarkEnd w:id="86"/>
      <w:bookmarkEnd w:id="87"/>
      <w:bookmarkEnd w:id="88"/>
      <w:bookmarkEnd w:id="89"/>
      <w:bookmarkEnd w:id="90"/>
      <w:bookmarkEnd w:id="91"/>
      <w:bookmarkEnd w:id="92"/>
      <w:bookmarkEnd w:id="93"/>
      <w:bookmarkEnd w:id="94"/>
      <w:bookmarkEnd w:id="95"/>
      <w:bookmarkEnd w:id="96"/>
      <w:bookmarkEnd w:id="97"/>
      <w:bookmarkEnd w:id="9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住院收费系统包含已入院患者药品、非药品以及其他项目费用的收取、返还、包括预交金管理、住院优惠减免等多项功能，可以对患者费用信息进行查询，打印催款单和费用日结清单等。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1.预交金管理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以通过住院号、科室和姓名等查询条件，一键查询并带入患者信息，显示患者预交金的数额，支付方式等具体信息，可以实现住院患者预交金的收取，返还，预交金发票补打等，收取支持多种支付方式，还可以打印预交金收据凭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2.预交金日结算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操作员在一键带入查询患者具体信息后，选择预交金日结并打印详细清单。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3.非药品收费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操作员手工输入住院患者所发生的费用，集成了单项费用录入、复合项目、组套项目费用录入功能等多种功能，为操作员提升了工作效率。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4.非药品退费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非药品退费功能可以实现手工操作的单项退费、复合退费等项目的一键退费，无需进行繁琐的确认与操作。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5.退费确认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可以查询并显示当前患者需要退费的详细信息，例如项目名称、金额和时间等信息，对于退费申请进行退费审批确认。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6.催款单打印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能够对于当前住院剩余金额低于设置警戒线的患者进行详细信息的查询显示，能够一键打印催款单。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7.欠费标准设置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针对多种复杂欠费标准的情况，系统需支持分别按全院，病区，科室，个人，合同单位等多种类型进行警戒线设置，可以方便操作员进行管理和维护。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8.手工开封帐管理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对需要进行手工封账开账的患者，对有权限的操作员，系统需支持按住院号进行单个在院患者手工开封帐操作，支持按科室进行批量患者手工开封帐操作。封帐的患者将不能进行费用操作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系统需支持多种类型多种形式的费用项目查询，包含：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预交金查询：可以查询患者预交金余额、支付方式、缴费次数和退费次数等详细信息。</w:t>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患者费用查询：查询当前患者产生费用的具体项目明细，包含药品、非药品、组套</w:t>
      </w:r>
      <w:r>
        <w:rPr>
          <w:rFonts w:hint="eastAsia" w:ascii="宋体" w:hAnsi="宋体" w:eastAsia="宋体" w:cs="宋体"/>
          <w:sz w:val="24"/>
          <w:szCs w:val="24"/>
          <w:highlight w:val="none"/>
          <w:lang w:eastAsia="zh-CN"/>
        </w:rPr>
        <w:t>费用和其他特殊费用的金额、产生时间和科室等详细条目。</w:t>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在院患者日清单：可以查询并打印在院患者日费用清单。</w:t>
      </w:r>
    </w:p>
    <w:p>
      <w:pPr>
        <w:pStyle w:val="6"/>
        <w:rPr>
          <w:rFonts w:hint="eastAsia" w:ascii="宋体" w:hAnsi="宋体" w:eastAsia="宋体" w:cs="宋体"/>
          <w:sz w:val="24"/>
          <w:szCs w:val="24"/>
          <w:lang w:eastAsia="zh-CN"/>
        </w:rPr>
      </w:pPr>
      <w:bookmarkStart w:id="99" w:name="_Toc65250042"/>
      <w:bookmarkStart w:id="100" w:name="_Toc65053257"/>
      <w:bookmarkStart w:id="101" w:name="_Toc343522931"/>
      <w:bookmarkStart w:id="102" w:name="_Toc21266"/>
      <w:bookmarkStart w:id="103" w:name="_Toc65569098"/>
      <w:bookmarkStart w:id="104" w:name="_Toc212033764"/>
      <w:bookmarkStart w:id="105" w:name="_Toc416384692"/>
      <w:bookmarkStart w:id="106" w:name="_Toc343599765"/>
      <w:bookmarkStart w:id="107" w:name="_Toc317608249"/>
      <w:bookmarkStart w:id="108" w:name="_Toc65250112"/>
      <w:bookmarkStart w:id="109" w:name="_Toc3209342"/>
      <w:bookmarkStart w:id="110" w:name="_Toc43131281"/>
      <w:bookmarkStart w:id="111" w:name="_Toc99317494"/>
      <w:bookmarkStart w:id="112" w:name="_Toc96851852"/>
      <w:r>
        <w:rPr>
          <w:rFonts w:hint="eastAsia" w:ascii="宋体" w:hAnsi="宋体" w:eastAsia="宋体" w:cs="宋体"/>
          <w:sz w:val="24"/>
          <w:szCs w:val="24"/>
          <w:lang w:eastAsia="zh-CN"/>
        </w:rPr>
        <w:t>财务结算系统</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财务结算系统包含医院门诊、住院处以及各科室详细收入整理统计，拥有发票开具、票号管理、发票回收和日结审核等功能，能够帮助医院完成日常财务管理，有效整合财务费用数据，提升了医院财务结算的效率和准确度，减少了人员成本和压力。</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1.发票领用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系统需支持发票号与机器流水号双号管理，发票领用可以使用自定义号段，支持开具增值税专用发票、普票等类型发票开具，可以按个人领用，同时支持发票重打、清单打印等功能。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2.发票回收管理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系统需支持按照发票号或流水号进行查询管理，并显示是否支持重打等详细信息，可以对操作员未使用的号段进行回收。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3.日结审核管理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可以按照操作员信息对的日结数据进行查询显示，对选定的日结信息进行审核。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4.统计大类维护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维护门诊发票和最小费用的对应关系、维护住院发票和最小费用的对应关系、维护病案和最小费用对应关系、维护自定归类统计与最小费用关系，同时包含门诊发票打印使用、住院发票打印使用、病案首页打印使用、自定义归类查询等多种维护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5.发票调号管理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按照操作员进行查询显示并指定在用号段，可以按发票类型指定当前使用号，并进行日志记录，支持日志的查询统计。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门诊收费分项统计：支持查询和统计详细的门诊收费项目名称、金额、合计信息。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门诊各科收入统计(月报): 支持查询和统计门诊各科室名称、统计类别、合计信息，支持门诊各科收入统计查询。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科室挂号收入汇总: 支持查询和统计科室名称、挂号级别、挂号人数、收费总计、合计信息。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住院收费分项统计: 支持查询和统计住院收费项目名称、金额、合计信息。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结算发票查询: 支持查询统计结算患者发票及明细。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住院科室收入统计: 支持查询统计住院各科室本科室患者的各项收费合计</w:t>
      </w:r>
    </w:p>
    <w:p>
      <w:pPr>
        <w:pStyle w:val="6"/>
        <w:rPr>
          <w:rFonts w:hint="eastAsia" w:ascii="宋体" w:hAnsi="宋体" w:eastAsia="宋体" w:cs="宋体"/>
          <w:sz w:val="24"/>
          <w:szCs w:val="24"/>
          <w:lang w:eastAsia="zh-CN"/>
        </w:rPr>
      </w:pPr>
      <w:bookmarkStart w:id="113" w:name="_Toc343522939"/>
      <w:bookmarkStart w:id="114" w:name="_Toc343599773"/>
      <w:bookmarkStart w:id="115" w:name="_Toc10159"/>
      <w:bookmarkStart w:id="116" w:name="_Toc3209349"/>
      <w:bookmarkStart w:id="117" w:name="_Toc96851853"/>
      <w:bookmarkStart w:id="118" w:name="_Toc317608250"/>
      <w:bookmarkStart w:id="119" w:name="_Toc65569099"/>
      <w:bookmarkStart w:id="120" w:name="_Toc43131282"/>
      <w:bookmarkStart w:id="121" w:name="_Toc416384700"/>
      <w:bookmarkStart w:id="122" w:name="_Toc212033765"/>
      <w:bookmarkStart w:id="123" w:name="_Toc65053258"/>
      <w:bookmarkStart w:id="124" w:name="_Toc65250043"/>
      <w:bookmarkStart w:id="125" w:name="_Toc99317495"/>
      <w:bookmarkStart w:id="126" w:name="_Toc65250113"/>
      <w:r>
        <w:rPr>
          <w:rFonts w:hint="eastAsia" w:ascii="宋体" w:hAnsi="宋体" w:eastAsia="宋体" w:cs="宋体"/>
          <w:sz w:val="24"/>
          <w:szCs w:val="24"/>
          <w:lang w:eastAsia="zh-CN"/>
        </w:rPr>
        <w:t>住院结算系统</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住院结算系统包含出院结算、中途结算、欠费结算、结算召回等多种结算和统计功能，能够对在院患者和已出院患者信息的整合统计，支持多情景、多阶段的结算功能，同时支持收据和清单的打印。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1.中途结算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通过住院号一键带入患者信息，可以查询显示患者目前所有费用科目及款项，支持患者住院中，阶段性的结算，可以调取收费接口，以多种支付方式进行结算，并打印结算收据，同时支持手工定额结算，提升结算操作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2.出院结算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通过住院号一键带入患者信息，显示当前患者所有收费项目明细，可以调用经过审核的住院减免信息，支持银联、储值卡和医保等多种收费方式，实现患者的结算，并打印结算收据。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3.欠费结算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系统需支持对患者进行欠费结算，可以查询并维护欠费患者信息，同时保留打印票据功能。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4.结算召回</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对已经进行中途结算、出院结算和欠费结算的患者进行取消结算，按照票据号码查询之前结算信息，待操作员进行召回操作后，对返还金额进行记录保存。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5.操作员日结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包括预交金在院病人各项费用、出院病人结账和退款等统计汇总。</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提供如下查询统计：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预交金查询：按照不同方式查询预交金并打印清单。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住院发票查询：查询结算发票信息。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出院患者清单：查询出院登记的患者费用清单。</w:t>
      </w:r>
    </w:p>
    <w:p>
      <w:pPr>
        <w:pStyle w:val="6"/>
        <w:rPr>
          <w:rFonts w:hint="eastAsia" w:ascii="宋体" w:hAnsi="宋体" w:eastAsia="宋体" w:cs="宋体"/>
          <w:sz w:val="24"/>
          <w:szCs w:val="24"/>
          <w:lang w:eastAsia="zh-CN"/>
        </w:rPr>
      </w:pPr>
      <w:bookmarkStart w:id="127" w:name="_Toc29142"/>
      <w:bookmarkStart w:id="128" w:name="_Toc65569100"/>
      <w:bookmarkStart w:id="129" w:name="_Toc99317496"/>
      <w:bookmarkStart w:id="130" w:name="_Toc65250114"/>
      <w:bookmarkStart w:id="131" w:name="_Toc65053259"/>
      <w:bookmarkStart w:id="132" w:name="_Toc65250044"/>
      <w:bookmarkStart w:id="133" w:name="_Toc43131283"/>
      <w:bookmarkStart w:id="134" w:name="_Toc3209356"/>
      <w:bookmarkStart w:id="135" w:name="_Toc212033766"/>
      <w:bookmarkStart w:id="136" w:name="_Toc96851854"/>
      <w:r>
        <w:rPr>
          <w:rFonts w:hint="eastAsia" w:ascii="宋体" w:hAnsi="宋体" w:eastAsia="宋体" w:cs="宋体"/>
          <w:sz w:val="24"/>
          <w:szCs w:val="24"/>
          <w:lang w:eastAsia="zh-CN"/>
        </w:rPr>
        <w:t>药库管理系统</w:t>
      </w:r>
      <w:bookmarkEnd w:id="127"/>
      <w:bookmarkEnd w:id="128"/>
      <w:bookmarkEnd w:id="129"/>
      <w:bookmarkEnd w:id="130"/>
      <w:bookmarkEnd w:id="131"/>
      <w:bookmarkEnd w:id="132"/>
      <w:bookmarkEnd w:id="133"/>
      <w:bookmarkEnd w:id="134"/>
      <w:bookmarkEnd w:id="135"/>
      <w:bookmarkEnd w:id="13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该系统主要服务于医院药库人员，该系统具备药品管理，药品入出库管理，采购管理，库存管理，基本信息维护等功能，是药品从厂商购入，药品入库，出给各个科室的首要关键节点模块。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1.基本信息维护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药品字典库维护功能：可以维护如名称、厂家、产地、规格、等级、类别、价格形式、用法、用量、频次、药理、批文信息、供货商、招标信息等，支持多种别名；对毒麻药品、精神药品的种类、贵重药品、院内制剂、试敏药、GMP、OTC、特殊限制药品等均有特定的判断识别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提供出入库科室维护(出库目标科室、入库来源)。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提供常数维护：维护药品管理中常用的基础数据，如最小单位、包装单位、剂型、剂量单位、药品性质、存储条件等。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提供药理作用维护：维护药品的药理作用信息。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提供供货公司维护：维护药品常用的供货公司信息。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提供生产厂家维护：维护药品常用的生产厂家信息。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提供参数设置维护：维护全院药品管理中使用的控制参数，如各药房拆分属性、有效期警示天数等。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提供特限药品维护：维护某些特殊限制药品在特定科室使用的信息。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提供药品多级单位维护：维护药品的门诊发药、住院发药等发药单位对照。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提供部门库存常数维护：维护各个库房的管理属性，如是否管库存、是否按批号管理等。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提供人员控药权限维护：维护某个操作员有操作哪种药品类别的权限。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提供抗菌药物维护:维护抗菌药物列表。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提供药品管理模板维护：可以维护盘点、计划、申请的模板。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协定处方管理：可以维护协定处方明细信息。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协定处方包装：对维护好的协定处方进行包装。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2.入出库管理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入库计划：制定入库计划，可以手动生成入库计划，也可以按照警戒线、日消耗量自动生成入库计划。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采购计划：制定采购计划，根据制定的入库计划，生成采购计划。可以修改计划入库数量，并且可以拆分在不同的供货公司采购。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药品入库：可以有多种不同的入库类型，如正常入库、发票入库、核准入库、特殊入库、入库退货、外部入库申请等。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药品出库：可以有多种不同的出库类型，如正常出库、出库审批、特殊出库、调拨、报损、出库退库等。可以手动出库，也可以自动接收科室领药单。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单据补打：可以补打各种入库和出库单据。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供货商结存：维护各供货公司的货款结存情况。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供货商付款统计：统计各供货公司的付款情况。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3.在库管理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提供库存盘点管理：对药库库存进行盘点与结存。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提供药品调价管理：针对药品价格的变化进行调价。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提供药品库存管理：提供库存信息一览，并提供多种条件的过滤，支持维护警戒线，药房和药库账页、药品停用标记，药品入出库明细、库存报警以及有效期报警，货位号维护等多种功能。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提供药品月结管理：对药库的账目进行月结并打印月结统计表。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提供药品月结校对功能：校对帐目及库存的平衡关系。 </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4.采购管理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自动生成采购计划及采购单，可以进行采购单审核。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提供各类药品日常统计功能：可生成各种药品的入库明细、出库明细、盘点明细、调价明细、调拨明细、报损明细、退药明细，提供月结报表。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提供抗菌药物的统计功能：各种抗菌药物统计报表。</w:t>
      </w:r>
    </w:p>
    <w:p>
      <w:pPr>
        <w:pStyle w:val="6"/>
        <w:rPr>
          <w:rFonts w:hint="eastAsia" w:ascii="宋体" w:hAnsi="宋体" w:eastAsia="宋体" w:cs="宋体"/>
          <w:sz w:val="24"/>
          <w:szCs w:val="24"/>
          <w:lang w:eastAsia="zh-CN"/>
        </w:rPr>
      </w:pPr>
      <w:bookmarkStart w:id="137" w:name="_Toc96851855"/>
      <w:bookmarkStart w:id="138" w:name="_Toc65053260"/>
      <w:bookmarkStart w:id="139" w:name="_Toc13147"/>
      <w:bookmarkStart w:id="140" w:name="_Toc65250045"/>
      <w:bookmarkStart w:id="141" w:name="_Toc3209362"/>
      <w:bookmarkStart w:id="142" w:name="_Toc212033767"/>
      <w:bookmarkStart w:id="143" w:name="_Toc65250115"/>
      <w:bookmarkStart w:id="144" w:name="_Toc65569101"/>
      <w:bookmarkStart w:id="145" w:name="_Toc43131284"/>
      <w:bookmarkStart w:id="146" w:name="_Toc99317497"/>
      <w:r>
        <w:rPr>
          <w:rFonts w:hint="eastAsia" w:ascii="宋体" w:hAnsi="宋体" w:eastAsia="宋体" w:cs="宋体"/>
          <w:sz w:val="24"/>
          <w:szCs w:val="24"/>
          <w:lang w:eastAsia="zh-CN"/>
        </w:rPr>
        <w:t>门诊药房管理系统</w:t>
      </w:r>
      <w:bookmarkEnd w:id="137"/>
      <w:bookmarkEnd w:id="138"/>
      <w:bookmarkEnd w:id="139"/>
      <w:bookmarkEnd w:id="140"/>
      <w:bookmarkEnd w:id="141"/>
      <w:bookmarkEnd w:id="142"/>
      <w:bookmarkEnd w:id="143"/>
      <w:bookmarkEnd w:id="144"/>
      <w:bookmarkEnd w:id="145"/>
      <w:bookmarkEnd w:id="14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模块服务于门诊药师，承担门诊药房发药，门诊退药，处方打印，用药指导打印，煎药凭证打印，药品管理，药房盘点，药品的入出库等重要功能，为药师提供方便快捷的发药方式和方便日常工作统计的报表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1.门诊药房信息维护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提供门诊终端维护：对配药台、发药窗口进行各种属性的维护。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提供门诊处方调剂：对门诊的处方进行调剂，可选平均调剂与竞争调剂。</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提供门诊特殊终端维护：维护特殊的配药窗口属性。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2.门诊药房发药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提供两种发药方式：自动调剂发药，手工发药。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自动调剂发药：根据设定的调剂方式，系统自动把已收费的药品分配到配药台，配药台人员核准后进行配药，发药台接收到配药核准的药品信息后进行确认并发药。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手工发药：药房发药人员录入患者的发票号（或者病历号、处方号）显示当前处方的药品，进行发药。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门诊代发药：门诊药房之间可以相互代替发药，门急诊药房可以代替住院药房发药，扣除发药药房库存。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发药模式分为两种：配药、发药分开进行，也可以采用门诊直接发药模式。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单据打印：处方打印、用药指导打印、煎药凭证打印。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信息查看：处方查看、过敏信息查看、患者用药指导告知。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3.门诊药房退药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录入患者发票号后，显示待退药品信息，选择药品进行退药，支持半退和全退。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4.门诊药房管理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根据本地药品量的消耗，生成领药申请单，传送到药库，支持多个药房管理，具有类似药库的各种进销存管理和查询功能，具有查询病人任意时段处方内容。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提供门诊处方查询、配药工作量查询、发药工作量查询、门诊药房发药量统计、门诊药房退药量统计。</w:t>
      </w:r>
    </w:p>
    <w:p>
      <w:pPr>
        <w:pStyle w:val="6"/>
        <w:rPr>
          <w:rFonts w:hint="eastAsia" w:ascii="宋体" w:hAnsi="宋体" w:eastAsia="宋体" w:cs="宋体"/>
          <w:sz w:val="24"/>
          <w:szCs w:val="24"/>
          <w:lang w:eastAsia="zh-CN"/>
        </w:rPr>
      </w:pPr>
      <w:bookmarkStart w:id="147" w:name="_Toc96851856"/>
      <w:bookmarkStart w:id="148" w:name="_Toc43131285"/>
      <w:bookmarkStart w:id="149" w:name="_Toc212033768"/>
      <w:bookmarkStart w:id="150" w:name="_Toc26385"/>
      <w:bookmarkStart w:id="151" w:name="_Toc65053261"/>
      <w:bookmarkStart w:id="152" w:name="_Toc65250046"/>
      <w:bookmarkStart w:id="153" w:name="_Toc65250116"/>
      <w:bookmarkStart w:id="154" w:name="_Toc65569102"/>
      <w:bookmarkStart w:id="155" w:name="_Toc3209370"/>
      <w:bookmarkStart w:id="156" w:name="_Toc99317498"/>
      <w:r>
        <w:rPr>
          <w:rFonts w:hint="eastAsia" w:ascii="宋体" w:hAnsi="宋体" w:eastAsia="宋体" w:cs="宋体"/>
          <w:sz w:val="24"/>
          <w:szCs w:val="24"/>
          <w:lang w:eastAsia="zh-CN"/>
        </w:rPr>
        <w:t>住院药房管理系统</w:t>
      </w:r>
      <w:bookmarkEnd w:id="147"/>
      <w:bookmarkEnd w:id="148"/>
      <w:bookmarkEnd w:id="149"/>
      <w:bookmarkEnd w:id="150"/>
      <w:bookmarkEnd w:id="151"/>
      <w:bookmarkEnd w:id="152"/>
      <w:bookmarkEnd w:id="153"/>
      <w:bookmarkEnd w:id="154"/>
      <w:bookmarkEnd w:id="155"/>
      <w:bookmarkEnd w:id="15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该模块主要服务于住院药师，承担住院药房发药，药品管理，药品盘点，药品入出库，报表统计等关键功能，为住院药师提供方便快捷的发药模式和详细的单据打印和补打功能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1.住院药房信息维护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摆药单维护：可以自定义设定各种类型的摆药单，如：大输液摆药单、毒麻药摆药单、口服摆药单等等。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摆药台维护：维护各个药房的摆药台，以及摆药台中有哪些摆药单。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默认取药科室维护：设定各病区科室对应的取药药房，可以指定取药时间和取药类别。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药品拆分属性维护：设定药品品种或药品剂型发药时的拆分方式，有：不可拆分、可拆分不取整，如果不维护默认是不可拆分。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2.药品批费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录入患者住院号，选择药品进行批费。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3.药品退费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录入患者住院号，选择已收费的药品进行退费。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4.住院药房直接摆药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选择病区（或科室、患者）对列出的待摆的药品确认摆药。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住院代发药：住院药房之间可以代替发药，扣除发药药房库存。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支持手术室/产房等非医嘱摆药。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5.住院医嘱摆药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前提是经过住院护士站审核和分解的药品医嘱，摆药时可以看到各病区、病区下的摆药单和各个摆药单下的患者，同时支持手术室等科室进行非医嘱摆药，选择其一保存进行摆药。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6.确认护士退药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显示护士站的退药申请，确认进行退药。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提供药房发药退药统计、住院发药工作量统计。</w:t>
      </w:r>
    </w:p>
    <w:p>
      <w:pPr>
        <w:pStyle w:val="6"/>
        <w:rPr>
          <w:rFonts w:hint="eastAsia" w:ascii="宋体" w:hAnsi="宋体" w:eastAsia="宋体" w:cs="宋体"/>
          <w:sz w:val="24"/>
          <w:szCs w:val="24"/>
          <w:lang w:eastAsia="zh-CN"/>
        </w:rPr>
      </w:pPr>
      <w:bookmarkStart w:id="157" w:name="_Toc65053262"/>
      <w:bookmarkStart w:id="158" w:name="_Toc96851857"/>
      <w:bookmarkStart w:id="159" w:name="_Toc65569103"/>
      <w:bookmarkStart w:id="160" w:name="_Toc65250117"/>
      <w:bookmarkStart w:id="161" w:name="_Toc3209378"/>
      <w:bookmarkStart w:id="162" w:name="_Toc212033769"/>
      <w:bookmarkStart w:id="163" w:name="_Toc43131286"/>
      <w:bookmarkStart w:id="164" w:name="_Toc65250047"/>
      <w:bookmarkStart w:id="165" w:name="_Toc6795"/>
      <w:bookmarkStart w:id="166" w:name="_Toc99317499"/>
      <w:r>
        <w:rPr>
          <w:rFonts w:hint="eastAsia" w:ascii="宋体" w:hAnsi="宋体" w:eastAsia="宋体" w:cs="宋体"/>
          <w:sz w:val="24"/>
          <w:szCs w:val="24"/>
          <w:lang w:eastAsia="zh-CN"/>
        </w:rPr>
        <w:t>执行确认管理系统</w:t>
      </w:r>
      <w:bookmarkEnd w:id="157"/>
      <w:bookmarkEnd w:id="158"/>
      <w:bookmarkEnd w:id="159"/>
      <w:bookmarkEnd w:id="160"/>
      <w:bookmarkEnd w:id="161"/>
      <w:bookmarkEnd w:id="162"/>
      <w:bookmarkEnd w:id="163"/>
      <w:bookmarkEnd w:id="164"/>
      <w:bookmarkEnd w:id="165"/>
      <w:bookmarkEnd w:id="16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模块主要服务于医技科室，承担门诊和住院所有终端确认项目的执行确认和执行确认取消功能，同时也可以确认耗材等拓展功能，为医技科室的医生带来方便快捷的确认方式，支持一键确认和部分确认功能，灵活性很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1.门诊执行确认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在门诊患者开立医技项目并收费后，提供医技项目执行确认功能，医生可根据医技项目的实际执行情况，进行费用补划价。医技项目执行确认后，此项目将不能进行退费。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2.门诊执行取消确认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在为患者进行完门诊执行确认后，如果患者因特殊原因不做此医技项目，可使用此功能进行确认取消，取消后此医技项目可进行退费。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3.门诊执行确认查询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提供基本的查询功能，如工作量、费用等。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4.住院执行确认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在住院患者开立医技项目后，提供医技项目执行确认功能，并且在医技项目执行时收费，医生可根据医技项目的实际执行情况，进行费用补收。医技项目执行确认后，此项目将不能进行退费。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5.住院执行取消确认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在为患者进行完住院执行确认后，如果患者因特殊原因不做此医技项目，可使用此功能进行确认取消，取消后此医技项目才可进行退费。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6.住院执行确认查询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提供基本的查询功能，如工作量、费用等</w:t>
      </w:r>
    </w:p>
    <w:p>
      <w:pPr>
        <w:pStyle w:val="6"/>
        <w:rPr>
          <w:rFonts w:hint="eastAsia" w:ascii="宋体" w:hAnsi="宋体" w:eastAsia="宋体" w:cs="宋体"/>
          <w:sz w:val="24"/>
          <w:szCs w:val="24"/>
          <w:lang w:eastAsia="zh-CN"/>
        </w:rPr>
      </w:pPr>
      <w:bookmarkStart w:id="167" w:name="_Toc416384755"/>
      <w:bookmarkStart w:id="168" w:name="_Toc43131287"/>
      <w:bookmarkStart w:id="169" w:name="_Toc11774"/>
      <w:bookmarkStart w:id="170" w:name="_Toc3209385"/>
      <w:bookmarkStart w:id="171" w:name="_Toc212033770"/>
      <w:bookmarkStart w:id="172" w:name="_Toc65569104"/>
      <w:bookmarkStart w:id="173" w:name="_Toc65250118"/>
      <w:bookmarkStart w:id="174" w:name="_Toc96851858"/>
      <w:bookmarkStart w:id="175" w:name="_Toc65250048"/>
      <w:bookmarkStart w:id="176" w:name="_Toc99317500"/>
      <w:bookmarkStart w:id="177" w:name="_Toc65053263"/>
      <w:r>
        <w:rPr>
          <w:rFonts w:hint="eastAsia" w:ascii="宋体" w:hAnsi="宋体" w:eastAsia="宋体" w:cs="宋体"/>
          <w:sz w:val="24"/>
          <w:szCs w:val="24"/>
          <w:lang w:eastAsia="zh-CN"/>
        </w:rPr>
        <w:t>系统管理系统</w:t>
      </w:r>
      <w:bookmarkEnd w:id="167"/>
      <w:bookmarkEnd w:id="168"/>
      <w:bookmarkEnd w:id="169"/>
      <w:bookmarkEnd w:id="170"/>
      <w:bookmarkEnd w:id="171"/>
      <w:bookmarkEnd w:id="172"/>
      <w:bookmarkEnd w:id="173"/>
      <w:bookmarkEnd w:id="174"/>
      <w:bookmarkEnd w:id="175"/>
      <w:bookmarkEnd w:id="176"/>
      <w:bookmarkEnd w:id="17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此模块主要用于进行系统基础配置。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1.自动更新设置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提供程序的自动更新，和自动更新设置维护。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2.资源管理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配置程序的菜单资源，常数资源，报表资源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3.资源授权</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对系统资源进行菜单，用户，常数，报表的授权管理。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4.权限维护与设置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对组织机构，血库，药库，住院处，医嘱权限，物资管理等模块的权限维护与设置。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5.接口及参数配置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维护系统公开接口的实现方式，控制参数等配置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6.门诊收费参数设置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设置门诊收费流程的相关参数。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7.挂号参数设置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设置门诊挂号流程相关的参数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8.药房药库设置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设置门诊药房，住院药房，药库的相关参数。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9.其他参数设置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设置其他模块相关的参数</w:t>
      </w:r>
    </w:p>
    <w:p>
      <w:pPr>
        <w:pStyle w:val="6"/>
        <w:rPr>
          <w:rFonts w:hint="eastAsia" w:ascii="宋体" w:hAnsi="宋体" w:eastAsia="宋体" w:cs="宋体"/>
          <w:sz w:val="24"/>
          <w:szCs w:val="24"/>
          <w:lang w:eastAsia="zh-CN"/>
        </w:rPr>
      </w:pPr>
      <w:bookmarkStart w:id="178" w:name="_Toc65250049"/>
      <w:bookmarkStart w:id="179" w:name="_Toc3209395"/>
      <w:bookmarkStart w:id="180" w:name="_Toc65569105"/>
      <w:bookmarkStart w:id="181" w:name="_Toc23796"/>
      <w:bookmarkStart w:id="182" w:name="_Toc96851859"/>
      <w:bookmarkStart w:id="183" w:name="_Toc65250119"/>
      <w:bookmarkStart w:id="184" w:name="_Toc416384765"/>
      <w:bookmarkStart w:id="185" w:name="_Toc212033771"/>
      <w:bookmarkStart w:id="186" w:name="_Toc99317501"/>
      <w:bookmarkStart w:id="187" w:name="_Toc43131288"/>
      <w:bookmarkStart w:id="188" w:name="_Toc65053264"/>
      <w:r>
        <w:rPr>
          <w:rFonts w:hint="eastAsia" w:ascii="宋体" w:hAnsi="宋体" w:eastAsia="宋体" w:cs="宋体"/>
          <w:sz w:val="24"/>
          <w:szCs w:val="24"/>
          <w:lang w:eastAsia="zh-CN"/>
        </w:rPr>
        <w:t>基本信息维护系统</w:t>
      </w:r>
      <w:bookmarkEnd w:id="178"/>
      <w:bookmarkEnd w:id="179"/>
      <w:bookmarkEnd w:id="180"/>
      <w:bookmarkEnd w:id="181"/>
      <w:bookmarkEnd w:id="182"/>
      <w:bookmarkEnd w:id="183"/>
      <w:bookmarkEnd w:id="184"/>
      <w:bookmarkEnd w:id="185"/>
      <w:bookmarkEnd w:id="186"/>
      <w:bookmarkEnd w:id="187"/>
      <w:bookmarkEnd w:id="18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该模块主要用于维护系统运行中所使用到的基础数据。</w:t>
      </w:r>
    </w:p>
    <w:p>
      <w:pPr>
        <w:ind w:firstLine="480"/>
        <w:rPr>
          <w:rFonts w:hint="eastAsia" w:ascii="宋体" w:hAnsi="宋体" w:eastAsia="宋体" w:cs="宋体"/>
          <w:sz w:val="24"/>
          <w:szCs w:val="24"/>
          <w:lang w:eastAsia="zh-CN"/>
        </w:rPr>
      </w:pPr>
      <w:bookmarkStart w:id="189" w:name="_Toc65250050"/>
      <w:bookmarkStart w:id="190" w:name="_Toc65250120"/>
      <w:bookmarkStart w:id="191" w:name="_Toc96851860"/>
      <w:bookmarkStart w:id="192" w:name="_Toc65053265"/>
      <w:bookmarkStart w:id="193" w:name="_Toc43131289"/>
      <w:bookmarkStart w:id="194" w:name="_Toc65569106"/>
      <w:r>
        <w:rPr>
          <w:rFonts w:hint="eastAsia" w:ascii="宋体" w:hAnsi="宋体" w:eastAsia="宋体" w:cs="宋体"/>
          <w:sz w:val="24"/>
          <w:szCs w:val="24"/>
          <w:lang w:eastAsia="zh-CN"/>
        </w:rPr>
        <w:t>1.用法维护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该功能服务于信息科。用于标准化设置医院基础数据。维护药品医嘱的用法列表。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2.最小费用维护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该功能服务于信息科。用于标准化设置医院基础数据。维护系统可拆分为最小的费用统计类别维护。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3.支付方式维护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该功能服务于信息科或财务科。用于标准化设置医院基础数据。维护费用系统收取费用的支付方式列表。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4.样本类型维护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该功能服务于信息科或检验科。用于标准化设置医院基础数据。维护检验，检查项目所需的样本类型列表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5.频次维护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该功能服务于信息科。用于标准化设置医院基础数据。维护医嘱所需的频次列表，包括频次编码，中文名，时间点，等频次属性信息，符合HL7标准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6.科室分类维护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该功能服务于信息科或院办等职能部门。用于标准化设置医院基础数据。按照类别维护院内科室的从属关系，维护人员与科室的从属关系，维护人员所在科室的权限。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7.科常用项目维护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该功能服务于院办或各个科室等。用于标准化设置医院基础数据。维护科室常用诊疗项目目录，方便检索和录入。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8.其他常数维护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该功能服务于信息科或各大使用科室等。用于标准化设置医院基础数据。维护其他一些系统内需要的常数，例如民族，转归，性别，检查部位，输血反应，诊断分期，诊断分级，职业，职务等信息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9.医疗组维护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该功能服务于院办或信息科。用于标准化设置医院基础数据。维护医院内的医疗组信息。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10.科室基本信息维护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该功能服务于院办或信息科。用于标准化设置医院基础数据。科室编码，名称，分类，所属院区等科室的基本信息维护。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11.人员基本信息维护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该功能用于标准化设置医院基础数据。医院医生、护士、收费员、医技科室人员等人员的基本信息维护。</w:t>
      </w:r>
      <w:bookmarkEnd w:id="189"/>
      <w:bookmarkEnd w:id="190"/>
      <w:bookmarkEnd w:id="191"/>
      <w:bookmarkEnd w:id="192"/>
      <w:bookmarkEnd w:id="193"/>
      <w:bookmarkEnd w:id="194"/>
    </w:p>
    <w:p>
      <w:pPr>
        <w:pStyle w:val="6"/>
        <w:rPr>
          <w:rFonts w:hint="eastAsia" w:ascii="宋体" w:hAnsi="宋体" w:eastAsia="宋体" w:cs="宋体"/>
          <w:sz w:val="24"/>
          <w:szCs w:val="24"/>
          <w:lang w:eastAsia="zh-CN"/>
        </w:rPr>
      </w:pPr>
      <w:bookmarkStart w:id="195" w:name="_Toc65250121"/>
      <w:bookmarkStart w:id="196" w:name="_Toc31568"/>
      <w:bookmarkStart w:id="197" w:name="_Toc43131290"/>
      <w:bookmarkStart w:id="198" w:name="_Toc96851861"/>
      <w:bookmarkStart w:id="199" w:name="_Toc99317503"/>
      <w:bookmarkStart w:id="200" w:name="_Toc65053266"/>
      <w:bookmarkStart w:id="201" w:name="_Toc212033772"/>
      <w:bookmarkStart w:id="202" w:name="_Toc65250051"/>
      <w:bookmarkStart w:id="203" w:name="_Toc65569107"/>
      <w:r>
        <w:rPr>
          <w:rFonts w:hint="eastAsia" w:ascii="宋体" w:hAnsi="宋体" w:eastAsia="宋体" w:cs="宋体"/>
          <w:sz w:val="24"/>
          <w:szCs w:val="24"/>
          <w:lang w:eastAsia="zh-CN"/>
        </w:rPr>
        <w:t>院内就诊卡管理系统</w:t>
      </w:r>
      <w:bookmarkEnd w:id="195"/>
      <w:bookmarkEnd w:id="196"/>
      <w:bookmarkEnd w:id="197"/>
      <w:bookmarkEnd w:id="198"/>
      <w:bookmarkEnd w:id="199"/>
      <w:bookmarkEnd w:id="200"/>
      <w:bookmarkEnd w:id="201"/>
      <w:bookmarkEnd w:id="202"/>
      <w:bookmarkEnd w:id="20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该模块实现门诊办公室对院内就诊卡进行管理。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1.就诊卡发放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为患者建立就诊卡，用于门诊办公室收费人员为患者建立电子档案，导诊台或收费人员录入患者信息，或通过读取患者身份证、医保卡来获取个人信息帮助快速建档，并将信息保存，完成患者就诊卡发放。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通过挂号可支持就诊卡收取卡押金收取。门诊就诊卡与住院就诊卡通用，并支持多种介质充当就诊卡。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2.补办就诊卡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如患者就诊卡遗失或损坏，通过就诊卡发放功能可查询出已建立档案的患者信息，并为患者进行就诊卡的补办或重新方法就诊卡。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更换时可进行患者信息的更改，即时同步患者的最新信息，当输入原卡号与新卡号后完成给患者换卡的操作。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3.退卡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在患者结清账户后，通过就诊卡读取相关信息，完成退卡功能，并返还患者卡押金。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4.患者基本信息维护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患者基本信息修改功能可实现对患者信息的修改，通过患者就诊卡号查询出系统中已建立的患者基本信息，并可通过此功能对患者姓名、性别、证件号、国籍、婚姻状况、出生地、现住地、手机号、工作单位、单位电话、联系人、联系地址、邮件、职业等信息进行修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所修改的内容会与就诊卡号进行绑定，不会因修改患者信息而变更患者就诊卡号。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5.统计查询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本系统可对就诊卡进行多维度的查询统计，其中包括账户扣费查询、门诊账户余额查询、门诊办卡统计、账户费用查询、预交金查询统计等，通过这些统计功能可实现对患者就诊卡信息，发卡、补卡、退卡、费用等信息的统计。</w:t>
      </w:r>
    </w:p>
    <w:p>
      <w:pPr>
        <w:pStyle w:val="6"/>
        <w:rPr>
          <w:rFonts w:hint="eastAsia" w:ascii="宋体" w:hAnsi="宋体" w:eastAsia="宋体" w:cs="宋体"/>
          <w:sz w:val="24"/>
          <w:szCs w:val="24"/>
          <w:lang w:eastAsia="zh-CN"/>
        </w:rPr>
      </w:pPr>
      <w:bookmarkStart w:id="204" w:name="_Toc65569108"/>
      <w:bookmarkStart w:id="205" w:name="_Toc10477"/>
      <w:bookmarkStart w:id="206" w:name="_Toc65250053"/>
      <w:bookmarkStart w:id="207" w:name="_Toc99317504"/>
      <w:bookmarkStart w:id="208" w:name="_Toc65250123"/>
      <w:bookmarkStart w:id="209" w:name="_Toc43131292"/>
      <w:bookmarkStart w:id="210" w:name="_Toc96851862"/>
      <w:bookmarkStart w:id="211" w:name="_Toc212033773"/>
      <w:bookmarkStart w:id="212" w:name="_Toc65053268"/>
      <w:r>
        <w:rPr>
          <w:rFonts w:hint="eastAsia" w:ascii="宋体" w:hAnsi="宋体" w:eastAsia="宋体" w:cs="宋体"/>
          <w:sz w:val="24"/>
          <w:szCs w:val="24"/>
          <w:lang w:eastAsia="zh-CN"/>
        </w:rPr>
        <w:t>住院护士站系统</w:t>
      </w:r>
      <w:bookmarkEnd w:id="204"/>
      <w:bookmarkEnd w:id="205"/>
      <w:bookmarkEnd w:id="206"/>
      <w:bookmarkEnd w:id="207"/>
      <w:bookmarkEnd w:id="208"/>
      <w:bookmarkEnd w:id="209"/>
      <w:bookmarkEnd w:id="210"/>
      <w:bookmarkEnd w:id="211"/>
      <w:bookmarkEnd w:id="21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护士进行日常工作的主体工作站。在此工作站中可以实现患者管理、医嘱管理、医嘱执行管理、费用管理、报表查询、单据打印功能。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1.病房管理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接诊：给新住院的患者或者他科转入的患者分配病床，安排住院医师、主治医师、主任医师、责任护士。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包床、转床：给患者包住多张病床或调换病床。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转科：给患者转科。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转病区：给患者转病区。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换医师：给患者修改三级医师和责任护士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婴儿登记：为产妇进行婴儿登记，填写新生儿基本信息。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出院登记：给患者进行出院登记。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出院召回：给已出院登记但未结算的患者召回住院，并分配病床。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2.床位信息管理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查询床位的床位等级、床位费、床位编制、使用状态以及对加床的维护。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3.医嘱审核（接收、核对）管理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对新开立或新停止的医嘱进行审核，临时医嘱审核后产生执行数据，并发送到药房、医技等终端部门。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4.医嘱自动分解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对审核过的长期医嘱，按照频次自动分解出执行数据，并发送到药房、医技等终端部门。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5.护士站收费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护士站进行手工计费，可以根据客户需求，选择是否可以批药品费用。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6.护士站退费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护士站对非药品进行退费，可根据客户需要选择(1)退费申请、确认退费流程；(2)直接退费流程。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护士站对药品进行退费申请，药房确认后，可以退费。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7.费用核对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对患者在院期间应收费用进行核对，防止由于人为或其他原因产生漏费、多收费的问题。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8.药品统领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支持以护士统领的模式进行发药操作。即护士需要领药时进行统领操作，令药房可以集中处理护士站的领药需求，将药品统一送到护士站手中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9.护士站资料维护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对维护病床信息、附材信息、执行单、收费套餐、科室常用项目等信息的维护。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10.警戒线设置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维护病区内患者欠费警戒线。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11.其他功能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医嘱审核时，具有添加、修改删除附加材料功能，有审核医嘱功能。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提供准确的一日清单。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提供查询病人欠费情况，并打印催缴通知单。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具有病区床位使用情况一览表，病床信息包括：显示床号、住院号、姓名、性别、年龄、诊断、护理等级、费用情况等。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可以查询病区一次性卫生材料领入量、消耗量、结余量。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具有按用法不同打印各种不同的医嘱执行单、巡回单、输液卡等单据。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12.单据打印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输液卡：用于贴在输液液体表面，方便注射前核对和PDA扫描。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执行单：可以根据实际情况，设置每个执行单的内容，方便护士执行医嘱。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治疗单：展示治疗项目，方便护士进行护理、治疗。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床头卡：记录患者信息。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13.查询统计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患者一日清单：对在院患者一日费用明细进行查询。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患者费用查询：查询患者入院期间所发生费用进行查询，其中包括预交金、药品明细、非药品明细、费用汇总信息、结算信息。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医嘱执行情况查询：查询医嘱目前执行状态。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医嘱摆药查询：护士站查询药房对当前科室的摆药情况。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护士站退药查询：对患者已退药品进行查询。</w:t>
      </w:r>
    </w:p>
    <w:p>
      <w:pPr>
        <w:pStyle w:val="6"/>
        <w:rPr>
          <w:rFonts w:hint="eastAsia" w:ascii="宋体" w:hAnsi="宋体" w:eastAsia="宋体" w:cs="宋体"/>
          <w:sz w:val="24"/>
          <w:szCs w:val="24"/>
        </w:rPr>
      </w:pPr>
      <w:bookmarkStart w:id="213" w:name="_Toc9908"/>
      <w:bookmarkStart w:id="214" w:name="_Toc212033774"/>
      <w:r>
        <w:rPr>
          <w:rFonts w:hint="eastAsia" w:ascii="宋体" w:hAnsi="宋体" w:eastAsia="宋体" w:cs="宋体"/>
          <w:sz w:val="24"/>
          <w:szCs w:val="24"/>
          <w:lang w:eastAsia="zh-CN"/>
        </w:rPr>
        <w:t>输液管理系统</w:t>
      </w:r>
    </w:p>
    <w:p>
      <w:pPr>
        <w:ind w:firstLine="480"/>
        <w:rPr>
          <w:rFonts w:hint="eastAsia" w:ascii="宋体" w:hAnsi="宋体" w:eastAsia="宋体" w:cs="宋体"/>
          <w:sz w:val="24"/>
          <w:szCs w:val="24"/>
          <w:lang w:eastAsia="zh-CN"/>
        </w:rPr>
      </w:pPr>
      <w:bookmarkStart w:id="215" w:name="_Toc190942329"/>
      <w:bookmarkStart w:id="216" w:name="_Toc14947"/>
      <w:r>
        <w:rPr>
          <w:rFonts w:hint="eastAsia" w:ascii="宋体" w:hAnsi="宋体" w:eastAsia="宋体" w:cs="宋体"/>
          <w:sz w:val="24"/>
          <w:szCs w:val="24"/>
          <w:lang w:eastAsia="zh-CN"/>
        </w:rPr>
        <w:t>输液任务管理</w:t>
      </w:r>
      <w:bookmarkEnd w:id="215"/>
      <w:bookmarkEnd w:id="216"/>
    </w:p>
    <w:p>
      <w:pPr>
        <w:ind w:firstLine="480"/>
        <w:rPr>
          <w:rFonts w:hint="eastAsia" w:ascii="宋体" w:hAnsi="宋体" w:eastAsia="宋体" w:cs="宋体"/>
          <w:sz w:val="24"/>
          <w:szCs w:val="24"/>
          <w:lang w:eastAsia="zh-CN"/>
        </w:rPr>
      </w:pPr>
      <w:bookmarkStart w:id="217" w:name="_Toc575"/>
      <w:bookmarkStart w:id="218" w:name="_Toc190942330"/>
      <w:r>
        <w:rPr>
          <w:rFonts w:hint="eastAsia" w:ascii="宋体" w:hAnsi="宋体" w:eastAsia="宋体" w:cs="宋体"/>
          <w:sz w:val="24"/>
          <w:szCs w:val="24"/>
          <w:lang w:eastAsia="zh-CN"/>
        </w:rPr>
        <w:t>支持输液任务前，通过刷卡（医保卡、就诊卡、身份证、病历条码）核对患者身份信息，确保患者与医嘱信息一致。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支持输液/治疗/待穿刺/皮试/皮试的患者统计，可提供当前输液/治待穿刺/皮试/皮试结束患者人次统计。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输液处方管理</w:t>
      </w:r>
      <w:bookmarkEnd w:id="217"/>
      <w:bookmarkEnd w:id="218"/>
    </w:p>
    <w:p>
      <w:pPr>
        <w:pStyle w:val="295"/>
        <w:ind w:firstLine="480"/>
        <w:rPr>
          <w:rFonts w:hint="eastAsia" w:ascii="宋体" w:hAnsi="宋体" w:eastAsia="宋体" w:cs="宋体"/>
          <w:sz w:val="24"/>
          <w:szCs w:val="24"/>
        </w:rPr>
      </w:pPr>
      <w:r>
        <w:rPr>
          <w:rFonts w:hint="eastAsia" w:ascii="宋体" w:hAnsi="宋体" w:eastAsia="宋体" w:cs="宋体"/>
          <w:sz w:val="24"/>
          <w:szCs w:val="24"/>
        </w:rPr>
        <w:t>支持通过提供接单患者的门诊单据一览表，列表信息包括：处方和药品的组标志、医嘱内容、用法、频次、滴速、天数、总量、执行/总数、退、嘱托、处方号、开方日期、开方科室、开方医生、药房、诊断。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根据医嘱频次和数量分解医嘱，分解后的医嘱支持批量执行，已可根据直接执行数量进行修改，自动计算已执行与未执行的药品数量。执行医嘱的同时提供一键打印瓶签功能，打印的瓶签数量与执行数量一致。</w:t>
      </w:r>
    </w:p>
    <w:p>
      <w:pPr>
        <w:ind w:firstLine="480"/>
        <w:rPr>
          <w:rFonts w:hint="eastAsia" w:ascii="宋体" w:hAnsi="宋体" w:eastAsia="宋体" w:cs="宋体"/>
          <w:sz w:val="24"/>
          <w:szCs w:val="24"/>
          <w:lang w:eastAsia="zh-CN"/>
        </w:rPr>
      </w:pPr>
      <w:bookmarkStart w:id="219" w:name="_Toc190942331"/>
      <w:bookmarkStart w:id="220" w:name="_Toc18484"/>
      <w:r>
        <w:rPr>
          <w:rFonts w:hint="eastAsia" w:ascii="宋体" w:hAnsi="宋体" w:eastAsia="宋体" w:cs="宋体"/>
          <w:sz w:val="24"/>
          <w:szCs w:val="24"/>
          <w:lang w:eastAsia="zh-CN"/>
        </w:rPr>
        <w:t>输液执行记录</w:t>
      </w:r>
      <w:bookmarkEnd w:id="219"/>
      <w:bookmarkEnd w:id="220"/>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支持显示执行记录明细，支持查看药品在各阶段的状态（例如处方审核-冲配审核-配液-呼叫-穿刺-巡视-恢复/暂停-拔针等）和执行人员、执行时间。</w:t>
      </w:r>
    </w:p>
    <w:p>
      <w:pPr>
        <w:ind w:firstLine="480"/>
        <w:rPr>
          <w:rFonts w:hint="eastAsia" w:ascii="宋体" w:hAnsi="宋体" w:eastAsia="宋体" w:cs="宋体"/>
          <w:sz w:val="24"/>
          <w:szCs w:val="24"/>
          <w:lang w:eastAsia="zh-CN"/>
        </w:rPr>
      </w:pPr>
      <w:bookmarkStart w:id="221" w:name="_Toc190942332"/>
      <w:bookmarkStart w:id="222" w:name="_Toc30566"/>
      <w:r>
        <w:rPr>
          <w:rFonts w:hint="eastAsia" w:ascii="宋体" w:hAnsi="宋体" w:eastAsia="宋体" w:cs="宋体"/>
          <w:sz w:val="24"/>
          <w:szCs w:val="24"/>
          <w:lang w:eastAsia="zh-CN"/>
        </w:rPr>
        <w:t>输液费用管理</w:t>
      </w:r>
      <w:bookmarkEnd w:id="221"/>
      <w:bookmarkEnd w:id="22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支持对接收费系统，在输液室进行收费和材料补费处理</w:t>
      </w:r>
    </w:p>
    <w:p>
      <w:pPr>
        <w:ind w:firstLine="480"/>
        <w:rPr>
          <w:rFonts w:hint="eastAsia" w:ascii="宋体" w:hAnsi="宋体" w:eastAsia="宋体" w:cs="宋体"/>
          <w:sz w:val="24"/>
          <w:szCs w:val="24"/>
          <w:lang w:eastAsia="zh-CN"/>
        </w:rPr>
      </w:pPr>
      <w:bookmarkStart w:id="223" w:name="_Toc6544"/>
      <w:bookmarkStart w:id="224" w:name="_Toc190942333"/>
      <w:r>
        <w:rPr>
          <w:rFonts w:hint="eastAsia" w:ascii="宋体" w:hAnsi="宋体" w:eastAsia="宋体" w:cs="宋体"/>
          <w:sz w:val="24"/>
          <w:szCs w:val="24"/>
          <w:lang w:eastAsia="zh-CN"/>
        </w:rPr>
        <w:t>皮试执行管理</w:t>
      </w:r>
      <w:bookmarkEnd w:id="223"/>
      <w:bookmarkEnd w:id="22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支持显示阴性和阳性结果显示，在皮试药品上皮试结果为阴性，显示“阴性”标志；皮试结果为阳性的药品不显示在处方上；患者信息栏显示皮试信息</w:t>
      </w:r>
    </w:p>
    <w:p>
      <w:pPr>
        <w:ind w:firstLine="480"/>
        <w:rPr>
          <w:rFonts w:hint="eastAsia" w:ascii="宋体" w:hAnsi="宋体" w:eastAsia="宋体" w:cs="宋体"/>
          <w:sz w:val="24"/>
          <w:szCs w:val="24"/>
          <w:lang w:eastAsia="zh-CN"/>
        </w:rPr>
      </w:pPr>
      <w:bookmarkStart w:id="225" w:name="_Toc19202"/>
      <w:bookmarkStart w:id="226" w:name="_Toc190942334"/>
      <w:r>
        <w:rPr>
          <w:rFonts w:hint="eastAsia" w:ascii="宋体" w:hAnsi="宋体" w:eastAsia="宋体" w:cs="宋体"/>
          <w:sz w:val="24"/>
          <w:szCs w:val="24"/>
          <w:lang w:eastAsia="zh-CN"/>
        </w:rPr>
        <w:t>输液查询统计</w:t>
      </w:r>
      <w:bookmarkEnd w:id="225"/>
      <w:bookmarkEnd w:id="22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支持每日输液区工作量统计报表，支持根据开始日期、结束日期对报表进行查询，统计明细包括：日期、时间段、3岁以上输液人数、3岁以下输液人数、输液总人数、肌注+皮下注射人数、皮试人数。</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排班管理系统</w:t>
      </w:r>
    </w:p>
    <w:p>
      <w:pPr>
        <w:ind w:firstLine="480"/>
        <w:rPr>
          <w:rFonts w:ascii="宋体" w:hAnsi="宋体" w:cs="宋体"/>
          <w:sz w:val="24"/>
          <w:szCs w:val="24"/>
          <w:highlight w:val="none"/>
        </w:rPr>
      </w:pPr>
      <w:r>
        <w:rPr>
          <w:rFonts w:hint="eastAsia" w:ascii="宋体" w:hAnsi="宋体" w:cs="宋体"/>
          <w:sz w:val="24"/>
          <w:szCs w:val="24"/>
          <w:highlight w:val="none"/>
        </w:rPr>
        <w:t>需支持门诊排班精细化管理，以卡片方式进行门诊排班，精确到以分钟为单位进行预约，可根据时间段、号源数量自动生成号源，支持限定现场挂号、预约挂号、加号数量，同时满足加号、停诊、复诊按照时间段进行操作，并可设定停诊理由；（</w:t>
      </w:r>
      <w:r>
        <w:rPr>
          <w:rFonts w:hint="eastAsia" w:ascii="宋体" w:hAnsi="宋体" w:cs="宋体"/>
          <w:sz w:val="24"/>
          <w:szCs w:val="24"/>
          <w:highlight w:val="none"/>
          <w:lang w:eastAsia="zh-CN"/>
        </w:rPr>
        <w:t>需提供视频演示</w:t>
      </w:r>
      <w:r>
        <w:rPr>
          <w:rFonts w:hint="eastAsia" w:ascii="宋体" w:hAnsi="宋体" w:cs="宋体"/>
          <w:sz w:val="24"/>
          <w:szCs w:val="24"/>
          <w:highlight w:val="none"/>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1.新增排班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新增排班支持在同一界面新增专科排班和专家排班，界面可根据排班时间、排班午别、排班科室和排班医生进行筛选，选择需要排班的专科模板或者专家模板，添加排班所需要的时段并勾选，后台算法会自动分配当前时段的合理时间点，进行时间点的选择和调整后，保存当前排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2.作废排班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作废排班集成在排班主界面中，支持对不需要的排班进行一键作废删除，无需繁琐的复杂操作。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3.加号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加号功能集成在排班主界面的右侧按钮中，门诊部或门诊各医生工作站可以对选中的排班时段进行加号操作，加号操作支持对不同加号渠道包括窗口、自助机、小程序和医生站的选择，可以提供并跟踪挂号去向，增加后的挂号也会显示在主界面和右侧号点详情中，支持对加号的编辑和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4.停诊/复诊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停诊复诊界面支持当前医生所有时间点的显示与停诊复诊操作，可以通过复选框选择停诊原因。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可以通过一键停诊或一键复诊，操作当前医生所有时间点，界面操作简便。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5.排班模板添加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排班模板同时支持专科排班模板和专家排班模板的添加，通过选择左侧科室或医生，点选上方排班周期表，周期表中数字对应</w:t>
      </w:r>
      <w:r>
        <w:rPr>
          <w:rFonts w:hint="eastAsia" w:ascii="宋体" w:hAnsi="宋体" w:cs="宋体"/>
          <w:sz w:val="24"/>
          <w:szCs w:val="24"/>
          <w:lang w:val="en-US" w:eastAsia="zh-CN"/>
        </w:rPr>
        <w:t>该</w:t>
      </w:r>
      <w:r>
        <w:rPr>
          <w:rFonts w:hint="eastAsia" w:ascii="宋体" w:hAnsi="宋体" w:eastAsia="宋体" w:cs="宋体"/>
          <w:sz w:val="24"/>
          <w:szCs w:val="24"/>
          <w:lang w:eastAsia="zh-CN"/>
        </w:rPr>
        <w:t>周期中排班时间点的数量。表中对应数字为0的单元格即为新增排班模板，对数字不为0的单元格，点击即可查看已有的排班信息。新增模板管理操作同新增排班操作，操作简单流畅。</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统一号源管理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具备统一号源池和不同号源池设置功能，可针对不同的预约方式进行不同的号源管理。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具备多种预约挂号号序生成方式功能，即预约号序是否等同于挂号号序。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支持院内、自助机、网站、移动端预约方式对应不同的挂号预约号源类型功能。</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门诊应急管理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诊应急系统的主要目的是确保医院门诊部门在应急事件发生时能够高效、稳定地提供医疗服务。确保患者的门诊就诊流程可以得到必要的保障，能够应对紧急情况，确保医院门诊部门能够在应急情况下继续运营，提供紧急医疗服务。具体要求如下：</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1.应急与数据管理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需支持挂号收费所需的主数据、字典、权限、配置参数等基础数据同步到门诊应急服务器;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需支持应急期间产生的费用等业务数据回传至生产库，系统可实现便捷的上传控制，系统自动确保转换过程中生产库的数据一致性；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需支持应急启停控制，设置应急库为开启状态后，应急系统才可以连接应急库并正常运行，关闭应急后，系统自动断开应急服务连接。</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2.门急诊应急挂号（自费）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需支持自费患者挂号，可选择挂号科室、挂号类别、挂号医生、午别等信息进行挂号，同时打印挂号凭条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可通过输入就诊卡号进行退号操作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需支持挂号信息的查询统计功能，可通过时间段、科室等信息查询挂号明细以及汇总信息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需支持专科与专家的门诊排班维护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需支持挂号发票打印与重打功能</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3.门急诊应急收费（自费）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需支持手工划价收费功能，输入门诊号，可自动检索患者挂号信息，通过名称或检索码等进行药品与非药品项目检索开立，可录入开方科室、开方医生、药品/非药品、开立数量、用法、频次等关键处方信息；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需支持门诊退费功能，可选择应急收费期间已收费的药品/非药品项目进行退费处理；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需支持收费查询功能，可对应急收费期间的门诊收费数据进行汇总、明细查询，可按患者、时间段等信息进行查询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需支持门诊收费发票打印与重打功能</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输血管理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输血管理系统需遵循卫健委《医疗机构临床用血管理办法》和《临床输血技术规范》等临床用血管理规范，以智慧输血为建设目标，业务覆盖医院输血科医生、护士、血站、检验科、医务科等与输血业务相关的业务场景，为医院输血科提供血液库存管理、标本管理、用血审批、发血、收费、查询统计等业务功能，为医生提供用血申请、输血申请应用功能，为护士提供用血、输血、取血应用功能，实现输血业务全流程信息化办理。系统需具备智能审核、智能输注、智能提醒等服务能力，通过对患者、血液、标本、不良反应的全方位管控，帮助医院实现门急诊及住院输血业务全闭环管理，帮助医院达到合理安全用血的管理目标。</w:t>
      </w:r>
    </w:p>
    <w:p>
      <w:pPr>
        <w:pStyle w:val="7"/>
        <w:rPr>
          <w:rFonts w:hint="eastAsia" w:ascii="宋体" w:hAnsi="宋体" w:eastAsia="宋体" w:cs="宋体"/>
          <w:sz w:val="24"/>
          <w:szCs w:val="24"/>
          <w:lang w:eastAsia="zh-CN"/>
        </w:rPr>
      </w:pPr>
      <w:bookmarkStart w:id="227" w:name="_Toc96824090"/>
      <w:bookmarkStart w:id="228" w:name="_Toc98279260"/>
      <w:bookmarkStart w:id="229" w:name="_Toc129785527"/>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基础信息</w:t>
      </w:r>
      <w:bookmarkEnd w:id="227"/>
      <w:bookmarkEnd w:id="228"/>
      <w:r>
        <w:rPr>
          <w:rFonts w:hint="eastAsia" w:ascii="宋体" w:hAnsi="宋体" w:eastAsia="宋体" w:cs="宋体"/>
          <w:sz w:val="24"/>
          <w:szCs w:val="24"/>
          <w:lang w:eastAsia="zh-CN"/>
        </w:rPr>
        <w:t>维护</w:t>
      </w:r>
      <w:bookmarkEnd w:id="229"/>
    </w:p>
    <w:p>
      <w:pPr>
        <w:ind w:firstLine="480"/>
        <w:rPr>
          <w:rFonts w:hint="eastAsia" w:ascii="宋体" w:hAnsi="宋体" w:eastAsia="宋体" w:cs="宋体"/>
          <w:sz w:val="24"/>
          <w:szCs w:val="24"/>
          <w:lang w:eastAsia="zh-CN"/>
        </w:rPr>
      </w:pPr>
      <w:bookmarkStart w:id="230" w:name="_Toc129785528"/>
      <w:bookmarkStart w:id="231" w:name="_Toc98279261"/>
      <w:bookmarkStart w:id="232" w:name="_Toc96824091"/>
      <w:r>
        <w:rPr>
          <w:rFonts w:hint="eastAsia" w:ascii="宋体" w:hAnsi="宋体" w:eastAsia="宋体" w:cs="宋体"/>
          <w:sz w:val="24"/>
          <w:szCs w:val="24"/>
          <w:lang w:eastAsia="zh-CN"/>
        </w:rPr>
        <w:t>需提供系统中常用参数信息的维护管理、对照功能，医院输血科可以根据医院实际业务情况维护相关信息，包括不限于：常数维护、血液成分维护、血液条码与血液成分对照、血液成分与收费项目对照、医生职级与血液成分维护等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1.常数维护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需支持维护输血相关业务常数信息，包括不限于：输血性质、血源、配血结果等。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2.血液成分维护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需支持维护用于临床用血申请中可选择的血液成分，包括以下信息：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有效天数：需支持用于库存管理中警戒线的提醒；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是否配血：需支持用于血库发血时，是否支持无需配血流程直接发血；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配血方法，配血结果：需支持用于血库配血时，默认配血结果的设置；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ABC级审批量：需支持用于大量用血审批时，血液量自动计算。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3.血液条码与血液成分对照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需支持维护血站发血记录中产品条码、血液成分、血型等信息与输血系统的对照，用于血库入库时，自动转换批量入库。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4.血液成分与收费项目对照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需支持维护血液成分与非药品收费项目的对照，用于血库配血时收取非血费，血库发血时收取血费。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需支持根据收费方式进行按量收取、按袋收取、按次收取等；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需支持维护收费时机，用于在血库配血、发血时自动进行费用收取。</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5.医生职级与血液成分维护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需支持维护不同医生职级与申请血液成分的限制量对照，用于用血申请开立时，相对应医生职级可申请其对应血液成分的量。</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库存管理</w:t>
      </w:r>
      <w:bookmarkEnd w:id="230"/>
      <w:bookmarkEnd w:id="231"/>
      <w:bookmarkEnd w:id="232"/>
    </w:p>
    <w:p>
      <w:pPr>
        <w:ind w:firstLine="480"/>
        <w:rPr>
          <w:rFonts w:hint="eastAsia" w:ascii="宋体" w:hAnsi="宋体" w:eastAsia="宋体" w:cs="宋体"/>
          <w:sz w:val="24"/>
          <w:szCs w:val="24"/>
          <w:lang w:eastAsia="zh-CN"/>
        </w:rPr>
      </w:pPr>
      <w:bookmarkStart w:id="233" w:name="_Toc129785529"/>
      <w:bookmarkStart w:id="234" w:name="_Toc98279262"/>
      <w:bookmarkStart w:id="235" w:name="_Toc96824092"/>
      <w:r>
        <w:rPr>
          <w:rFonts w:hint="eastAsia" w:ascii="宋体" w:hAnsi="宋体" w:eastAsia="宋体" w:cs="宋体"/>
          <w:sz w:val="24"/>
          <w:szCs w:val="24"/>
          <w:lang w:eastAsia="zh-CN"/>
        </w:rPr>
        <w:t>1.血液入库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血站发血到输血科后，进行血液入库，系统需支持人工、自动、导入三种模式入库；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人工模式需通过扫描血袋的献血条码、产品条码、血型条码、有效期条码进行血液入库；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自动模式需通过扫描发血单号进行批量入库；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导入模式需通过导入excel文件批量入库。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需支持入库时可以对血袋进行复检，系统可以查看入库明细、入库汇总。</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2.入库退库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需支持将输血科已经入库的血袋进行退还血站，并可选择退库原因。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3.自体血核收入库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对已提交自体血储血申请的单据，系统需支持进行自体血入库存的工作。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需支持入库时需确认自体血相关信息。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4.报损出库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对于输血科已经入库血液，当血液过期或破损时，系统需支持通过报损出库操作进行库存核减。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5.库存管理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需提供库存明细、库存汇总、警戒线设置功能，显示库存的血液信息，根据有效期以颜色区分，通过警戒线设置提示库存信息。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6.血库盘点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需支持定时清点输血科现有库存的工作，以免系统库存与实际库存形成差异，保障库存数据的一致性。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7.血库月结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需支持每月定期定时清点输血科现有血袋库存，系统需自动结算当时盘点时距上次盘点时间段的入出存记录。</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标本管理</w:t>
      </w:r>
      <w:bookmarkEnd w:id="233"/>
      <w:bookmarkEnd w:id="234"/>
      <w:bookmarkEnd w:id="23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需提供标本作废功能，用于输血科在标本接收后，若发现标本存在问题，不能用于交叉配血或血型复检，对标本进行作废标记。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需提供标本处理功能，用于输血科在标本失效后，进行统一处理。</w:t>
      </w:r>
    </w:p>
    <w:p>
      <w:pPr>
        <w:pStyle w:val="7"/>
        <w:rPr>
          <w:rFonts w:hint="eastAsia" w:ascii="宋体" w:hAnsi="宋体" w:eastAsia="宋体" w:cs="宋体"/>
          <w:sz w:val="24"/>
          <w:szCs w:val="24"/>
          <w:lang w:eastAsia="zh-CN"/>
        </w:rPr>
      </w:pPr>
      <w:bookmarkStart w:id="236" w:name="_Toc129785530"/>
      <w:bookmarkStart w:id="237" w:name="_Toc98279263"/>
      <w:bookmarkStart w:id="238" w:name="_Toc96824093"/>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大量用血审批管理</w:t>
      </w:r>
      <w:bookmarkEnd w:id="236"/>
      <w:bookmarkEnd w:id="237"/>
      <w:bookmarkEnd w:id="238"/>
    </w:p>
    <w:p>
      <w:pPr>
        <w:ind w:firstLine="480"/>
        <w:rPr>
          <w:rFonts w:hint="eastAsia" w:ascii="宋体" w:hAnsi="宋体" w:eastAsia="宋体" w:cs="宋体"/>
          <w:sz w:val="24"/>
          <w:szCs w:val="24"/>
          <w:lang w:eastAsia="zh-CN"/>
        </w:rPr>
      </w:pPr>
      <w:bookmarkStart w:id="239" w:name="_Toc98279264"/>
      <w:bookmarkStart w:id="240" w:name="_Toc129785531"/>
      <w:bookmarkStart w:id="241" w:name="_Toc96824094"/>
      <w:r>
        <w:rPr>
          <w:rFonts w:hint="eastAsia" w:ascii="宋体" w:hAnsi="宋体" w:eastAsia="宋体" w:cs="宋体"/>
          <w:sz w:val="24"/>
          <w:szCs w:val="24"/>
          <w:lang w:eastAsia="zh-CN"/>
        </w:rPr>
        <w:t>需支持单次ABC级审批：即达到某级审一次。24小时累计达到审批数量时，需相应审批人审核一次后，输血科可申请审核用血申请，审核数量支持在血液成分维护功能进行设置。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逐级审批：即达到某级审N次。24小时累计达到审批数量时，需相应所有审批人都审核后，输血科可申请审核用血申请。审核数量支持在血液成分维护功能进行设置。需支持单次累计用血审批：本次用血申请24小时累计达到1600时，审批人进行审核后，输血科可申请审核用血申请。</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审核管理</w:t>
      </w:r>
      <w:bookmarkEnd w:id="239"/>
      <w:bookmarkEnd w:id="240"/>
      <w:bookmarkEnd w:id="241"/>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1.血型鉴定审核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需支持对临床开立的血型鉴定申请进行审核。包含不限于：正定型，反定型，Rh分型等信息。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2.退血审核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需支持对临床开立的退血申请进行审核，审核后输血科进行退库。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3.输血回执审核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需支持输血科对临床填写的不良反应登记进行审核，审核后给出最终结论。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需支持输血科对临床填写的输血回执进行审核，对临床的诊断和处理程序进行评估，给出输血科的处理意见后上报。</w:t>
      </w:r>
    </w:p>
    <w:p>
      <w:pPr>
        <w:pStyle w:val="7"/>
        <w:rPr>
          <w:rFonts w:hint="eastAsia" w:ascii="宋体" w:hAnsi="宋体" w:eastAsia="宋体" w:cs="宋体"/>
          <w:sz w:val="24"/>
          <w:szCs w:val="24"/>
          <w:lang w:eastAsia="zh-CN"/>
        </w:rPr>
      </w:pPr>
      <w:bookmarkStart w:id="242" w:name="_Toc96824095"/>
      <w:bookmarkStart w:id="243" w:name="_Toc98279265"/>
      <w:bookmarkStart w:id="244" w:name="_Toc129785532"/>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发血管理</w:t>
      </w:r>
      <w:bookmarkEnd w:id="242"/>
      <w:bookmarkEnd w:id="243"/>
      <w:bookmarkEnd w:id="244"/>
    </w:p>
    <w:p>
      <w:pPr>
        <w:ind w:firstLine="480"/>
        <w:rPr>
          <w:rFonts w:hint="eastAsia" w:ascii="宋体" w:hAnsi="宋体" w:eastAsia="宋体" w:cs="宋体"/>
          <w:sz w:val="24"/>
          <w:szCs w:val="24"/>
          <w:lang w:eastAsia="zh-CN"/>
        </w:rPr>
      </w:pPr>
      <w:bookmarkStart w:id="245" w:name="_Toc96824096"/>
      <w:bookmarkStart w:id="246" w:name="_Toc129785533"/>
      <w:bookmarkStart w:id="247" w:name="_Toc98279266"/>
      <w:r>
        <w:rPr>
          <w:rFonts w:hint="eastAsia" w:ascii="宋体" w:hAnsi="宋体" w:eastAsia="宋体" w:cs="宋体"/>
          <w:sz w:val="24"/>
          <w:szCs w:val="24"/>
          <w:lang w:eastAsia="zh-CN"/>
        </w:rPr>
        <w:t>1.标本接收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需支持对临床采集的交叉配血标本进行接收操作，记录送血人，接收人等相应信息。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2.申请审核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需支持对临床开立的用血申请进行审核，审核后输血科进行配发血操作，此时可对不合格的用血申请进行不核收操作。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3.血型鉴定结果登记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需支持对临床开立的血型鉴定申请进行实验，并登记相应的记录。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4.血库配血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需支持对交叉配血标本进行复检工作，如：血型，Rh，抗筛等操作；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需支持对供血者与受血者的标本进行配血实验，并记录相应结论。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需支持自动收费。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需支持当此患者有自体血时，提示选择，可优先此患者自体血。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4.配血审核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需支持对已完成的配血报告进行审核。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5.血库发血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需支持根据临床的取血申请进行血库发血，发血时需要双人核对，确认无误时方可发血，记录取血人相关信息，打印发血记录单。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需支持自动收费。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6.血库配血发血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需支持根据操作需要，将血库配血，血库发血两个步骤配置成一步一起操作。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7.配血回退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需支持在血库配血结束后且发血前，可对已配的血液进行回退取消操作。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8.血液退还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当输血科操作血库发血后，在输血科允许退库的时间内，需支持对已发临床的血液进行退库操作。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9.追加发血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对于已完成血库发血的用血申请，需支持已输血患者由于大量紧急输血，可针对历史申请单进行再次出库的操作。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10.特殊发血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需支持三无人员的绿色通道，可在无用血申请的情况下，直接血库发血操作。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11.申请记录单查询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需支持查看历史用血申请单的详细内容。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12.输血记录单补打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需支持补打历史输血记录单信息。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13.血袋回收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对于已完成血库发血的血液制品，患者已输注完成后，需支持将血袋及时还回输血科，输血科进行血袋回收操作，系统需自动记录回收人和回收时间。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14.血袋销毁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将已经回收的血袋进行统一销毁操作，系统需自动记录销毁人和销毁时间。</w:t>
      </w:r>
      <w:bookmarkEnd w:id="245"/>
      <w:bookmarkEnd w:id="246"/>
      <w:bookmarkEnd w:id="247"/>
    </w:p>
    <w:p>
      <w:pPr>
        <w:pStyle w:val="7"/>
        <w:rPr>
          <w:rFonts w:hint="eastAsia" w:ascii="宋体" w:hAnsi="宋体" w:eastAsia="宋体" w:cs="宋体"/>
          <w:sz w:val="24"/>
          <w:szCs w:val="24"/>
          <w:lang w:eastAsia="zh-CN"/>
        </w:rPr>
      </w:pPr>
      <w:bookmarkStart w:id="248" w:name="_Toc98279268"/>
      <w:bookmarkStart w:id="249" w:name="_Toc96824098"/>
      <w:bookmarkStart w:id="250" w:name="_Toc129785535"/>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交接班管理</w:t>
      </w:r>
      <w:bookmarkEnd w:id="248"/>
      <w:bookmarkEnd w:id="249"/>
      <w:bookmarkEnd w:id="250"/>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1.交接班记录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需支持每日定时进行输血科交接班工作，记录当天的入出存记录，并记录相应的操作人时间。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2.交接班记录审核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需支持审核已生成的交接班记录，支持打印。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3.交接班记录补打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需支持补打已审核通过的交接班记录。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4.设备温度记录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需支持记录输血科设备在某时间点的温度。</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5.血费直免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需支持给患者报销提供的输血记录。</w:t>
      </w:r>
    </w:p>
    <w:p>
      <w:pPr>
        <w:pStyle w:val="7"/>
        <w:rPr>
          <w:rFonts w:hint="eastAsia" w:ascii="宋体" w:hAnsi="宋体" w:eastAsia="宋体" w:cs="宋体"/>
          <w:sz w:val="24"/>
          <w:szCs w:val="24"/>
          <w:lang w:eastAsia="zh-CN"/>
        </w:rPr>
      </w:pPr>
      <w:bookmarkStart w:id="251" w:name="_Toc98279269"/>
      <w:bookmarkStart w:id="252" w:name="_Toc96824103"/>
      <w:bookmarkStart w:id="253" w:name="_Toc129761180"/>
      <w:bookmarkStart w:id="254" w:name="_Toc129785536"/>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医生输血业务工作站</w:t>
      </w:r>
      <w:bookmarkEnd w:id="251"/>
      <w:bookmarkEnd w:id="252"/>
      <w:bookmarkEnd w:id="25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需支持将与临床医生相关的输血业务功能嵌入医生工作站，无需进行二次登录，为临床医生提供以下业务功能：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1.住院用血申请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由临床住院医生开立用血申请，系统需自动生成输血知情同意书，根据备血、用血、紧急、自体、异型5种不同申请方式系统判断生成不同的知情同意书，开立输血前四项；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需支持自动加载受血者检验信息，自动判断大量用血审批，可回写医嘱，用血申请填写保存完成后，数据自动同步至输血科，并自动打印单据。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2.门急诊用血申请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需支持临床门急诊医生开立用血申请，系统需自动判断输血知情同意书，术前四项；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需支持自动加载受血者检验信息；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需支持自动判断大量用血审批；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需支持可回写医嘱；填写完成，发送输血科，并自动打印单据。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3.自体血储血申请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需支持临床医生开立自体血储血申请，用于择期手术患者提前储存自己血液以备手术使用。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需支持填写完成，发送输血科，并自动打印单据。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4.血型鉴定申请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需支持临床医生开立血型鉴定实验申请，用于输血科的血型鉴定实验。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5.住院取血申请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需支持临床住院医生开立取血申请，以供输血科发血时校验凭证。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6.门诊取血申请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需支持临床门诊医生开立取血申请，以供输血科发血时校验凭证。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7.输血回执提交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需支持临床住院医生提交输血回执，填写好的输血回执，能够上报输血科。</w:t>
      </w:r>
    </w:p>
    <w:p>
      <w:pPr>
        <w:pStyle w:val="7"/>
        <w:rPr>
          <w:rFonts w:hint="eastAsia" w:ascii="宋体" w:hAnsi="宋体" w:eastAsia="宋体" w:cs="宋体"/>
          <w:sz w:val="24"/>
          <w:szCs w:val="24"/>
          <w:lang w:eastAsia="zh-CN"/>
        </w:rPr>
      </w:pPr>
      <w:bookmarkStart w:id="255" w:name="_Toc129761181"/>
      <w:bookmarkStart w:id="256" w:name="_Toc98279270"/>
      <w:bookmarkStart w:id="257" w:name="_Toc96824104"/>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护士输血业务工作站</w:t>
      </w:r>
      <w:bookmarkEnd w:id="255"/>
      <w:bookmarkEnd w:id="256"/>
      <w:bookmarkEnd w:id="25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需支持将与临床护士相关的输血业务功能嵌入护理系统，如：移动护理系统或护理PDA系统实现对接，方便临床护士进行输血相关业务操作。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1.住院用血条码打印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需支持打印已申请的住院用血条码，用于交叉配血标本的黏贴，供输血科标本接收使用。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2.门诊用血条码打印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需支持打印已申请的门诊用血条码，用于交叉配血标本的黏贴，供输血科标本接收使用。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3.血型鉴定条码打印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需支持打印已申请的血型鉴定条码，用于输血科实验登记操作。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4.住院取血单打印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需支持打印住院取血单的单据，用于输血科发血时，校验凭证。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5.门诊取血单打印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需支持打印门诊取血单的单据，用于输血科发血时，校验凭证。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6.输血登记接收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需支持临床科室接收输血科发血记录，采用双人核对。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7.输血登记输注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床旁输血时，校验患者身份，需支持双人核对，临床记录患者不良反应、体温、脉搏、呼吸、血压等体征信息。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8.输血登记巡回</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输血巡回时，需支持单人核对，临床护士记录患者不良反应、体温、脉搏、呼吸、血压等体征信息。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9.输血回执填写</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需支持临床护士填写输血回执，记录患者有无不良反应、诊断、临床处理程序等输血回执信息。</w:t>
      </w:r>
    </w:p>
    <w:p>
      <w:pPr>
        <w:pStyle w:val="7"/>
        <w:rPr>
          <w:rFonts w:hint="eastAsia" w:ascii="宋体" w:hAnsi="宋体" w:eastAsia="宋体" w:cs="宋体"/>
          <w:sz w:val="24"/>
          <w:szCs w:val="24"/>
          <w:lang w:eastAsia="zh-CN"/>
        </w:rPr>
      </w:pPr>
      <w:bookmarkStart w:id="258" w:name="_Toc98279271"/>
      <w:bookmarkStart w:id="259" w:name="_Toc129785544"/>
      <w:bookmarkStart w:id="260" w:name="_Toc96824107"/>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查询统计</w:t>
      </w:r>
      <w:bookmarkEnd w:id="258"/>
      <w:bookmarkEnd w:id="259"/>
      <w:bookmarkEnd w:id="260"/>
    </w:p>
    <w:p>
      <w:pPr>
        <w:pStyle w:val="296"/>
        <w:ind w:firstLine="480"/>
        <w:rPr>
          <w:rFonts w:hint="eastAsia" w:ascii="宋体" w:hAnsi="宋体" w:eastAsia="宋体" w:cs="宋体"/>
          <w:sz w:val="24"/>
          <w:szCs w:val="24"/>
        </w:rPr>
      </w:pPr>
      <w:r>
        <w:rPr>
          <w:rFonts w:hint="eastAsia" w:ascii="宋体" w:hAnsi="宋体" w:eastAsia="宋体" w:cs="宋体"/>
          <w:sz w:val="24"/>
          <w:szCs w:val="24"/>
        </w:rPr>
        <w:t>系统需提供上报数据、血库数据、工作量数据查询统计，包括不限于：患者/血源查询、在院患者血型分布查询、患者用血记录查询、输血反应报表、输血示踪查询、临床科室用血统计、病人用血统计、申请单查询、入库血量查询、出库血量查询、入库明细查询、出库明细查询、血液入出库记录、血液入出库记录查询、血液报损出库查询、血库入库统计、血库出库统计、每千单位用血输血专业技术人员数、临床输血申请单合格率、受血者标本血型复查率、输血相容性检测项目室内质控率、输血相容性检测室间质评项目参加率、千输血人次输血不良反应上报例数、一二级手术台均用血量、三四级手术台均用血量、手术患者自体输血率、出院患者人均用血量等内容</w:t>
      </w:r>
      <w:bookmarkEnd w:id="254"/>
    </w:p>
    <w:p>
      <w:pPr>
        <w:pStyle w:val="7"/>
        <w:rPr>
          <w:rFonts w:hint="eastAsia" w:ascii="宋体" w:hAnsi="宋体" w:eastAsia="宋体" w:cs="宋体"/>
          <w:sz w:val="24"/>
          <w:szCs w:val="24"/>
          <w:lang w:eastAsia="zh-CN"/>
        </w:rPr>
      </w:pPr>
      <w:bookmarkStart w:id="261" w:name="_Toc129785542"/>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手术室输血业务工作站</w:t>
      </w:r>
      <w:bookmarkEnd w:id="261"/>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1术中用血申请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需支持临床开立的择期手术申请备血申请改输血申请；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需支持由手术室麻醉医师术中开立新用血申请。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2.术中取血申请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需提供手术室麻醉医师开立取血申请功能，供输血科发血时，校验凭证。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3.术中取血单打印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需提供打印已申请的取血申请（手术室）单据功能，用于输血科发血时，校验凭证。</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12）</w:t>
      </w:r>
      <w:r>
        <w:rPr>
          <w:rFonts w:hint="eastAsia" w:ascii="宋体" w:hAnsi="宋体" w:eastAsia="宋体" w:cs="宋体"/>
          <w:sz w:val="24"/>
          <w:szCs w:val="24"/>
          <w:lang w:eastAsia="zh-CN"/>
        </w:rPr>
        <w:t>血库收费管理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1.血库收费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需支持可以收取药品及非药品费用，也可以通过参数维护只收取非药品费用。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2.血库退费申请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需支持退费申请，支持退费需要到住院处进行退费。</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13）</w:t>
      </w:r>
      <w:r>
        <w:rPr>
          <w:rFonts w:hint="eastAsia" w:ascii="宋体" w:hAnsi="宋体" w:eastAsia="宋体" w:cs="宋体"/>
          <w:sz w:val="24"/>
          <w:szCs w:val="24"/>
          <w:lang w:eastAsia="zh-CN"/>
        </w:rPr>
        <w:t>自动收费功能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需支持根据血液成分与收费项目对照，在血库配血，血库发血时，自动收取对照的非药品费用。</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14）</w:t>
      </w:r>
      <w:r>
        <w:rPr>
          <w:rFonts w:hint="eastAsia" w:ascii="宋体" w:hAnsi="宋体" w:eastAsia="宋体" w:cs="宋体"/>
          <w:sz w:val="24"/>
          <w:szCs w:val="24"/>
          <w:lang w:eastAsia="zh-CN"/>
        </w:rPr>
        <w:t>系统接口</w:t>
      </w:r>
    </w:p>
    <w:p>
      <w:pPr>
        <w:ind w:firstLine="480"/>
        <w:rPr>
          <w:rFonts w:hint="eastAsia" w:ascii="宋体" w:hAnsi="宋体" w:eastAsia="宋体" w:cs="宋体"/>
          <w:sz w:val="24"/>
          <w:szCs w:val="24"/>
          <w:lang w:eastAsia="zh-CN"/>
        </w:rPr>
      </w:pPr>
      <w:bookmarkStart w:id="262" w:name="OLE_LINK3"/>
      <w:r>
        <w:rPr>
          <w:rFonts w:hint="eastAsia" w:ascii="宋体" w:hAnsi="宋体" w:eastAsia="宋体" w:cs="宋体"/>
          <w:sz w:val="24"/>
          <w:szCs w:val="24"/>
          <w:lang w:eastAsia="zh-CN"/>
        </w:rPr>
        <w:t>实验室系统</w:t>
      </w:r>
      <w:bookmarkEnd w:id="262"/>
      <w:r>
        <w:rPr>
          <w:rFonts w:hint="eastAsia" w:ascii="宋体" w:hAnsi="宋体" w:eastAsia="宋体" w:cs="宋体"/>
          <w:sz w:val="24"/>
          <w:szCs w:val="24"/>
          <w:lang w:eastAsia="zh-CN"/>
        </w:rPr>
        <w:t>（LIS系统）接口：需提供与实验室系统集成对接接口服务，通过接口调取实验室系统检验结果信息，临床医生开立用血申请时可以查看检验结果进行病情分析。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移动PDA系统接口：需提供与移动PDA系统集成对接接口服务，通过与移动PDA实现数据同步，护士站接收、输注、巡回时可确认核对患者及血袋信息，记录患者体征信息、不良反应等信息。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电子签名系统（CA系统）接口：需提供与电子签名系统集成对接接口服务，使输血业务相关单据具有法律效力。</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血站接口：需提供与血站系统集成对接接口服务，需支持血站订血、血站发血（或医院退血）、临床发血、临床退血、血液报废、特殊发血等业务同步。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省（市）级输血平台接口：需提供与省（市）级输血平台系统集成的接口要求，给平台上报或接收输血相关信息。</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绿色通道管理</w:t>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支持患者预检分诊时自动开启绿色通道，为急诊患者自动挂号。</w:t>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支持标识绿色通道患者，更改费别，允许患者进行欠费操作。</w:t>
      </w:r>
    </w:p>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支持快速标记绿通患者，例如：胸痛、卒中、创伤，绿色通道类型支持自定义配置。</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对标评级改造</w:t>
      </w:r>
      <w:bookmarkEnd w:id="213"/>
      <w:bookmarkEnd w:id="214"/>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药品医嘱提示改造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药品医嘱相关合理用药知识库维护，内容包含药品过敏、药品与诊断、药品与性别、药品与年龄、配伍禁忌、相互作用、药品与检验结果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1、通过与CDSS系统对接，实现药品与检查申请、药品与检验申请关联；</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2、通过与合理用药系统对接，实现药品与检验结果关联。</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医嘱改造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医嘱闭环改造，药品闭环、用血闭环、手术闭环需要关联医嘱项目，系统需支持临床医师通过医嘱查询本次及历史药品闭环、用血闭环、手术闭环。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1、缺失闭环流程图 ；</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2、与不良事件管理系统对接，实现不良反应上报、不良反应审核要与闭环流程管理关联；</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医嘱高危风险提醒，系统需支持临床医师开立高风险医嘱、护士核对高风险医嘱时均需要有警示信息，如高危药品提醒、高温用血PDA提醒、检验标本注意事项提醒；</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HIS接口对接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医保两定模块，实现医保办公室对省、市医保项目、药品信息进行对照、挂号、退号、结算等功能。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商业保险医疗、财务系统、银联、合理用药、成本核算、药品摆药机、包药机、支付接口、电子发票接口、省招采子系统、省监管平台、省妇幼、传染病、食源性上报等接口。根据系统上线前实际调研情况，应满足医院目前其他在用相关业务系统的对接要求。</w:t>
      </w:r>
    </w:p>
    <w:p>
      <w:pPr>
        <w:pStyle w:val="5"/>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12</w:t>
      </w:r>
      <w:r>
        <w:rPr>
          <w:rFonts w:hint="eastAsia" w:ascii="宋体" w:hAnsi="宋体" w:eastAsia="宋体" w:cs="宋体"/>
          <w:sz w:val="24"/>
          <w:szCs w:val="24"/>
          <w:lang w:eastAsia="zh-CN"/>
        </w:rPr>
        <w:t>）电子病历系统（EMR）改造升级</w:t>
      </w:r>
    </w:p>
    <w:p>
      <w:pPr>
        <w:pStyle w:val="6"/>
        <w:rPr>
          <w:rFonts w:hint="eastAsia" w:ascii="宋体" w:hAnsi="宋体" w:eastAsia="宋体" w:cs="宋体"/>
          <w:sz w:val="24"/>
          <w:szCs w:val="24"/>
          <w:lang w:eastAsia="zh-CN"/>
        </w:rPr>
      </w:pPr>
      <w:bookmarkStart w:id="263" w:name="_Toc19755"/>
      <w:bookmarkStart w:id="264" w:name="_Toc212033776"/>
      <w:r>
        <w:rPr>
          <w:rFonts w:hint="eastAsia" w:ascii="宋体" w:hAnsi="宋体" w:eastAsia="宋体" w:cs="宋体"/>
          <w:sz w:val="24"/>
          <w:szCs w:val="24"/>
          <w:lang w:eastAsia="zh-CN"/>
        </w:rPr>
        <w:t>门诊医生工作站</w:t>
      </w:r>
      <w:bookmarkEnd w:id="263"/>
      <w:bookmarkEnd w:id="26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门诊医生工作站主要帮助医院门诊业务实现高效精细化管理，提高工作效率，保障患者看诊效果。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诊医生工作站是门诊医生看诊的医事主体，要求系统需支持患者列表展示、门诊处方开立、门诊诊断、门诊病历书写的基本功能，需支持最大限度的展示患者信息资源（挂号信息、治疗信息、历史诊疗信息），并基于实现相关查询快速定位。需支持以医生看诊为主体整合各项医疗资源（检查、检验、输血、预约住院）通过医嘱开立（药品、治疗、材料、医技申请单、预约单、指引单）的形式完成患者于门诊的诊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功能需包括门诊医生站、诊断履历、患者组件、门诊医嘱、门诊病历、门诊诊断、门诊报告查看、办理入院，具体要求如下：</w:t>
      </w:r>
    </w:p>
    <w:p>
      <w:pPr>
        <w:pStyle w:val="7"/>
        <w:numPr>
          <w:ilvl w:val="5"/>
          <w:numId w:val="12"/>
        </w:numPr>
        <w:ind w:firstLine="482"/>
        <w:rPr>
          <w:rFonts w:hint="eastAsia" w:ascii="宋体" w:hAnsi="宋体" w:eastAsia="宋体" w:cs="宋体"/>
          <w:sz w:val="24"/>
          <w:szCs w:val="24"/>
          <w:lang w:eastAsia="zh-CN"/>
        </w:rPr>
      </w:pPr>
      <w:bookmarkStart w:id="265" w:name="_Toc97072216"/>
      <w:r>
        <w:rPr>
          <w:rFonts w:hint="eastAsia" w:ascii="宋体" w:hAnsi="宋体" w:eastAsia="宋体" w:cs="宋体"/>
          <w:sz w:val="24"/>
          <w:szCs w:val="24"/>
          <w:lang w:eastAsia="zh-CN"/>
        </w:rPr>
        <w:t>门诊医生站</w:t>
      </w:r>
      <w:bookmarkEnd w:id="26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门诊医生站主要用于门诊医生对挂号患者进行有序看诊过程，需支持患者分诊叫号、患者查询，帮助医生按序对患者进行看诊以及能够快速定位患者进行查看治疗。</w:t>
      </w:r>
    </w:p>
    <w:p>
      <w:pPr>
        <w:pStyle w:val="8"/>
        <w:numPr>
          <w:ilvl w:val="6"/>
          <w:numId w:val="12"/>
        </w:numPr>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患者查询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需支持多种方式的患者查询功能，帮助医生快速检索定位患者，提高工作效率。</w:t>
      </w:r>
    </w:p>
    <w:p>
      <w:pPr>
        <w:pStyle w:val="8"/>
        <w:numPr>
          <w:ilvl w:val="6"/>
          <w:numId w:val="12"/>
        </w:numPr>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布局设置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系统需支持以（患者列表、医嘱、病历、诊断）四大核心功能为基础构建差异化的界面布局设置以满足医生的使用习惯。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需支持保存医生的布局设置，并应用于其他PC客户端。</w:t>
      </w:r>
    </w:p>
    <w:p>
      <w:pPr>
        <w:pStyle w:val="8"/>
        <w:numPr>
          <w:ilvl w:val="6"/>
          <w:numId w:val="12"/>
        </w:numPr>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患者队列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需支持不同科室、不同医生的挂号患者展示，并根据患者是否已看诊进行区分；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需支持显示不同科室、不同医生的待诊患者人数、已诊患者人数；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需支持挂号患者的午别提示；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需支持患者基本信息以及特殊信息、特殊标识的展示，包括姓名、性别、费用类别。</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分诊叫号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需支持医生对看诊队列的患者候诊顺序进行控制，包括：</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叫号：呼叫看诊患者到诊室看诊；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过号：对呼叫后没有到诊的患者进行过号标记；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重呼：对呼叫后没有及时到诊的患者进行重呼；</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诊出：对完成就诊的患者进行诊出操作。</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取消看诊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系统需支持对已看诊的患者做取消看诊状态的处理已错诊患者重新分配看诊科室/资源。</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既往就诊</w:t>
      </w:r>
    </w:p>
    <w:p>
      <w:pPr>
        <w:ind w:firstLine="480"/>
        <w:rPr>
          <w:highlight w:val="none"/>
        </w:rPr>
      </w:pPr>
      <w:bookmarkStart w:id="266" w:name="_Toc97072217"/>
      <w:r>
        <w:rPr>
          <w:rFonts w:hint="eastAsia" w:ascii="宋体" w:hAnsi="宋体" w:cs="宋体"/>
          <w:color w:val="000000"/>
          <w:sz w:val="24"/>
          <w:szCs w:val="24"/>
          <w:highlight w:val="none"/>
        </w:rPr>
        <w:t>需支持既往就诊历史信息调用，在门诊医生看诊场景下，支持在同一界面，既可分别复制当前患者的病历，诊断，医嘱到本次就诊，也可通过一键进行全复制；同时支持查询复制其他患者门诊或住院医嘱到当前患者。</w:t>
      </w:r>
      <w:r>
        <w:rPr>
          <w:rFonts w:hint="eastAsia" w:ascii="宋体" w:hAnsi="宋体" w:cs="宋体"/>
          <w:sz w:val="24"/>
          <w:szCs w:val="24"/>
          <w:highlight w:val="none"/>
        </w:rPr>
        <w:t>（</w:t>
      </w:r>
      <w:r>
        <w:rPr>
          <w:rFonts w:hint="eastAsia" w:ascii="宋体" w:hAnsi="宋体" w:cs="宋体"/>
          <w:sz w:val="24"/>
          <w:szCs w:val="24"/>
          <w:highlight w:val="none"/>
          <w:lang w:eastAsia="zh-CN"/>
        </w:rPr>
        <w:t>需提供视频演示</w:t>
      </w:r>
      <w:r>
        <w:rPr>
          <w:rFonts w:hint="eastAsia" w:ascii="宋体" w:hAnsi="宋体" w:cs="宋体"/>
          <w:sz w:val="24"/>
          <w:szCs w:val="24"/>
          <w:highlight w:val="none"/>
        </w:rPr>
        <w:t>）</w:t>
      </w:r>
    </w:p>
    <w:p>
      <w:pPr>
        <w:pStyle w:val="7"/>
        <w:numPr>
          <w:ilvl w:val="5"/>
          <w:numId w:val="12"/>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诊断履历</w:t>
      </w:r>
      <w:bookmarkEnd w:id="266"/>
    </w:p>
    <w:p>
      <w:pPr>
        <w:pStyle w:val="8"/>
        <w:numPr>
          <w:ilvl w:val="0"/>
          <w:numId w:val="0"/>
        </w:numPr>
        <w:ind w:left="420"/>
        <w:rPr>
          <w:rFonts w:hint="eastAsia" w:ascii="宋体" w:hAnsi="宋体" w:eastAsia="宋体" w:cs="宋体"/>
          <w:i w:val="0"/>
          <w:iCs/>
          <w:sz w:val="24"/>
          <w:szCs w:val="24"/>
          <w:lang w:eastAsia="zh-CN"/>
        </w:rPr>
      </w:pPr>
      <w:bookmarkStart w:id="267" w:name="_Toc511835761"/>
      <w:bookmarkStart w:id="268" w:name="_Toc2258231"/>
      <w:r>
        <w:rPr>
          <w:rFonts w:hint="eastAsia" w:ascii="宋体" w:hAnsi="宋体" w:eastAsia="宋体" w:cs="宋体"/>
          <w:i w:val="0"/>
          <w:iCs/>
          <w:sz w:val="24"/>
          <w:szCs w:val="24"/>
          <w:lang w:eastAsia="zh-CN"/>
        </w:rPr>
        <w:t>诊断履历</w:t>
      </w:r>
      <w:bookmarkEnd w:id="267"/>
      <w:bookmarkEnd w:id="268"/>
      <w:r>
        <w:rPr>
          <w:rFonts w:hint="eastAsia" w:ascii="宋体" w:hAnsi="宋体" w:eastAsia="宋体" w:cs="宋体"/>
          <w:i w:val="0"/>
          <w:iCs/>
          <w:sz w:val="24"/>
          <w:szCs w:val="24"/>
          <w:lang w:eastAsia="zh-CN"/>
        </w:rPr>
        <w:t>查看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诊断履历主要用于医生查看患者历次治疗的诊断信息，帮助医生对患者进行跟踪诊断，提高医生看诊效率。</w:t>
      </w:r>
    </w:p>
    <w:p>
      <w:pPr>
        <w:ind w:firstLine="480"/>
        <w:rPr>
          <w:rFonts w:ascii="宋体" w:hAnsi="宋体" w:cs="宋体"/>
          <w:sz w:val="24"/>
          <w:szCs w:val="24"/>
          <w:highlight w:val="none"/>
        </w:rPr>
      </w:pPr>
      <w:bookmarkStart w:id="269" w:name="_Toc97072218"/>
      <w:r>
        <w:rPr>
          <w:rFonts w:hint="eastAsia" w:ascii="宋体" w:hAnsi="宋体" w:cs="宋体"/>
          <w:sz w:val="24"/>
          <w:szCs w:val="24"/>
          <w:highlight w:val="none"/>
        </w:rPr>
        <w:t>需支持按照就诊场景（门诊、急诊、住院）以及时间倒序顺序展示患者历次治疗的全部诊断信息。</w:t>
      </w:r>
    </w:p>
    <w:p>
      <w:pPr>
        <w:pStyle w:val="7"/>
        <w:numPr>
          <w:ilvl w:val="5"/>
          <w:numId w:val="12"/>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患者档案</w:t>
      </w:r>
    </w:p>
    <w:p>
      <w:pPr>
        <w:pStyle w:val="8"/>
        <w:numPr>
          <w:ilvl w:val="0"/>
          <w:numId w:val="0"/>
        </w:numPr>
        <w:ind w:left="42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a.患者组件</w:t>
      </w:r>
      <w:bookmarkEnd w:id="269"/>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患者组件主要用于展示患者基本信息以及特殊的患者信息，帮助医生快速了解患者基本情况。</w:t>
      </w:r>
      <w:bookmarkStart w:id="270" w:name="_Toc74923333"/>
    </w:p>
    <w:p>
      <w:pPr>
        <w:pStyle w:val="8"/>
        <w:numPr>
          <w:ilvl w:val="0"/>
          <w:numId w:val="0"/>
        </w:numPr>
        <w:ind w:left="42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b.患者档案</w:t>
      </w:r>
      <w:bookmarkEnd w:id="270"/>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需支持医生查看患者的档案信息，如挂号登记的基本信息、联系人。</w:t>
      </w:r>
    </w:p>
    <w:p>
      <w:pPr>
        <w:pStyle w:val="8"/>
        <w:numPr>
          <w:ilvl w:val="0"/>
          <w:numId w:val="0"/>
        </w:numPr>
        <w:ind w:left="42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c.患者名片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需支持根据患者不同性别、年龄展示不同的患者头像（如：老年男、老年女、男性、女性、男童、女童、男婴、女婴、未知性别）；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需支持医生查看患者基本信息，包括姓名、年龄、地址、费用类别。</w:t>
      </w:r>
    </w:p>
    <w:p>
      <w:pPr>
        <w:pStyle w:val="8"/>
        <w:numPr>
          <w:ilvl w:val="0"/>
          <w:numId w:val="0"/>
        </w:numPr>
        <w:ind w:left="42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d.就诊费用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需支持查看患者本次就诊开立医嘱的费用总计，提供查询费用明细的快捷操作。</w:t>
      </w:r>
    </w:p>
    <w:p>
      <w:pPr>
        <w:pStyle w:val="8"/>
        <w:numPr>
          <w:ilvl w:val="0"/>
          <w:numId w:val="0"/>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e.患者过敏信息管理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需支持患者过敏信息的录入、展示和维护，包括过敏源、过敏严重程度，方便医生了解患者的过敏信息。</w:t>
      </w:r>
    </w:p>
    <w:p>
      <w:pPr>
        <w:pStyle w:val="8"/>
        <w:numPr>
          <w:ilvl w:val="0"/>
          <w:numId w:val="0"/>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f.患者备注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需支持医生对患者进行自定义信息录入，并具有提醒功能，具体需包括录入、待办、已办、标记功能。</w:t>
      </w:r>
    </w:p>
    <w:p>
      <w:pPr>
        <w:pStyle w:val="8"/>
        <w:numPr>
          <w:ilvl w:val="0"/>
          <w:numId w:val="0"/>
        </w:numPr>
        <w:ind w:left="42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g.患者标签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需支持医生对患者进行特殊标记（如：特殊关怀、攻击性）以及进行查看、编辑、删除操作。</w:t>
      </w:r>
    </w:p>
    <w:p>
      <w:pPr>
        <w:pStyle w:val="7"/>
        <w:numPr>
          <w:ilvl w:val="5"/>
          <w:numId w:val="12"/>
        </w:numPr>
        <w:ind w:firstLine="482"/>
        <w:rPr>
          <w:rFonts w:hint="eastAsia" w:ascii="宋体" w:hAnsi="宋体" w:eastAsia="宋体" w:cs="宋体"/>
          <w:sz w:val="24"/>
          <w:szCs w:val="24"/>
          <w:lang w:eastAsia="zh-CN"/>
        </w:rPr>
      </w:pPr>
      <w:bookmarkStart w:id="271" w:name="_Toc97072219"/>
      <w:r>
        <w:rPr>
          <w:rFonts w:hint="eastAsia" w:ascii="宋体" w:hAnsi="宋体" w:eastAsia="宋体" w:cs="宋体"/>
          <w:sz w:val="24"/>
          <w:szCs w:val="24"/>
          <w:lang w:eastAsia="zh-CN"/>
        </w:rPr>
        <w:t>门诊医嘱</w:t>
      </w:r>
      <w:bookmarkEnd w:id="271"/>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需支持医生开立门诊患者需要的所有项目，包括西药、检查、检验、治疗、手术、病理、中成药、中草药；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需支持对已开立的医嘱进行编辑、删除等操作；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需支持历史医嘱的查看、存为组套、复制开立、一键开立操作；能够查看医嘱的执行情况；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需支持医生对当前开立医嘱的金额进行计算；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需支持医嘱开立的校验功能，包括性别校验、过敏源信息校验。</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医嘱开立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医嘱开立是门诊医生站的核心功能是医生对患者施行医疗手段的指令中枢，通过医嘱建立与门诊护士、医技科室、药房等辅助治疗部门的协作功能，并以处方的形式记录治疗方案。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需支持不同形式的快速便捷的医嘱开立模式；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需支持设置医嘱多种看诊序列，例如：普通序列、慢病医嘱序列、特病医嘱序列；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需支持针对不同看诊序列进行病种绑定、诊断绑定、结算类型绑定； </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需支持多种类型、多个医嘱一次性开立的模式；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需支持鼠标操作、全键盘操作两种不同的操作习惯；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需支持在医嘱开立时提供药品商品名/通用名、规格、剂型、价格、进口/国产、是否需要皮试、是否特殊管制、取药药房、库存量的查询与展示；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需支持在开立药品时自动显示药品默认的频次用法；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需支持不均等给药开立模式；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需支持设置协定处方便捷开立医嘱功能；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需支持设置绑定辅材便捷开立医嘱功能，可根据用法、煎法、术语类型、药品术语、诊疗术语多维度绑定辅材信息。医嘱开立时根据维护的信息自动弹出辅材信息，并且支持修改数量与执行科室。； </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需支持静滴类用法医嘱精确或范围录入滴速方式；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需支持常用的医嘱项目以及功能的快捷开立方式；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需支持开立术语的多种查询方式（精准匹配、模糊匹配、前匹配、后匹配）、或按拼音/五笔检索，并支持快速切换；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需支持医嘱保存但不签名模式；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需支持在医嘱开立时与患者过敏源信息进行校验，并进行冲突提示；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需支持在医嘱开立时与患者性别进行校验，并进行冲突提示；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需支持在医嘱保存时校验库存，库存不足给予提示；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需支持在医嘱保存时校验权限，权限不足给予提示；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需支持重复开立相同医嘱保存时给予提示；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需支持在医嘱开立时限制用药量与天数。</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检查申请单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需支持两种检查申请单创建方式（开立医嘱后生成申请单/创建申请单后生成医嘱）；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需支持快速切换申请单类型（如：CT、超声、X线、心电、MRI、内镜、电生理、病理）；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需支持常用检查项目查询；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需支持常用检查项目的快速复用；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需支持按照检查部位进行检索；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需支持展示患者简要病史数据，并能</w:t>
      </w:r>
      <w:r>
        <w:rPr>
          <w:rFonts w:hint="eastAsia" w:ascii="宋体" w:hAnsi="宋体" w:cs="宋体"/>
          <w:sz w:val="24"/>
          <w:szCs w:val="24"/>
          <w:lang w:val="en-US" w:eastAsia="zh-CN"/>
        </w:rPr>
        <w:t>够</w:t>
      </w:r>
      <w:r>
        <w:rPr>
          <w:rFonts w:hint="eastAsia" w:ascii="宋体" w:hAnsi="宋体" w:eastAsia="宋体" w:cs="宋体"/>
          <w:sz w:val="24"/>
          <w:szCs w:val="24"/>
          <w:lang w:eastAsia="zh-CN"/>
        </w:rPr>
        <w:t>自主编辑；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需支持插入、编辑图片以及描述需要特殊说明的检查部位或注意事项；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需支持医生自定义录入检查目的信息；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需支持医生自定义录入检查备注信息；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需支持医生标记特殊信息，包括绿色通道、接触隔离、单病种、是否轮椅、是否步行；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需支持对已开立的检查项目及费用进行预览，能够增减数目；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需支持根据检查类型、检查方法、执行科室、大部位、小部位自动分单。</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检验申请单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需支持快速切换申请单类型（如：生化、基础检验、微生物、免疫学、变态反应）；</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需支持常用检验项目查询；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需支持常用检验项目的快速复用；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需支持对已开立的检验项目及费用进行预览，能够增减数目。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需支持根据检验类型、执行科室、样本自动分单。</w:t>
      </w:r>
    </w:p>
    <w:p>
      <w:pPr>
        <w:pStyle w:val="8"/>
        <w:numPr>
          <w:ilvl w:val="6"/>
          <w:numId w:val="12"/>
        </w:numPr>
        <w:ind w:firstLine="482"/>
        <w:rPr>
          <w:rFonts w:hint="eastAsia" w:ascii="宋体" w:hAnsi="宋体" w:eastAsia="宋体" w:cs="宋体"/>
          <w:i w:val="0"/>
          <w:iCs w:val="0"/>
          <w:sz w:val="24"/>
          <w:szCs w:val="24"/>
          <w:lang w:eastAsia="zh-CN"/>
        </w:rPr>
      </w:pPr>
      <w:bookmarkStart w:id="272" w:name="_Toc74923342"/>
      <w:r>
        <w:rPr>
          <w:rFonts w:hint="eastAsia" w:ascii="宋体" w:hAnsi="宋体" w:eastAsia="宋体" w:cs="宋体"/>
          <w:i w:val="0"/>
          <w:iCs w:val="0"/>
          <w:sz w:val="24"/>
          <w:szCs w:val="24"/>
          <w:lang w:eastAsia="zh-CN"/>
        </w:rPr>
        <w:t>中草药开立</w:t>
      </w:r>
      <w:bookmarkEnd w:id="27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需支持按照草药类型快速过滤（如：全部、中草药、三九方、草药颗粒、XX品牌草药）或按照草药房（草药药房、颗粒药房、制剂室）；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需支持鼠标操作、全键盘操作两种不同的操作习惯；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需支持上次草药处方快速复用的操作；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需支持在两味草药之间快速插入一味药；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需支持按照基本剂量单位或最小单位开立草药；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需支持草药特殊煎制法的录入；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需支持开立的草药医嘱部分代煎、部分自煎功能；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需支持药引的选择录入及自定义输入，治则治法的选择与自定义录入；</w:t>
      </w:r>
    </w:p>
    <w:p>
      <w:pPr>
        <w:ind w:firstLine="480"/>
        <w:rPr>
          <w:rFonts w:hint="eastAsia" w:ascii="宋体" w:hAnsi="宋体" w:eastAsia="宋体" w:cs="宋体"/>
          <w:sz w:val="24"/>
          <w:szCs w:val="24"/>
          <w:lang w:eastAsia="zh-CN"/>
        </w:rPr>
      </w:pPr>
      <w:bookmarkStart w:id="273" w:name="_Toc74923343"/>
      <w:r>
        <w:rPr>
          <w:rFonts w:hint="eastAsia" w:ascii="宋体" w:hAnsi="宋体" w:eastAsia="宋体" w:cs="宋体"/>
          <w:sz w:val="24"/>
          <w:szCs w:val="24"/>
          <w:lang w:eastAsia="zh-CN"/>
        </w:rPr>
        <w:t>需对保存后的草药方提供展开查询草药详细处方的快捷操作；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需支持对草药君臣佐使进行分类统计；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需支持草药秘方打包组套；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需支持草药多种开立跳转顺序；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需支持对每行开立医嘱条目数量及字体自适应变化进行配置。</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医嘱组合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需支持医嘱的组合与拆组；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需支持医嘱大输液自动成组；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需支持子医嘱自动成组。</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历史医嘱</w:t>
      </w:r>
      <w:bookmarkEnd w:id="27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需支持查看患者不同就诊场景（门诊/住院）下的历史医嘱；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需支持按照医嘱类型、类别、精确搜索信息；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需支持历史医嘱存为组套；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需支持历史医嘱直接复制粘贴为当前门诊或住院医嘱；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需支持一键自动带入历史看诊（病历、诊断、医嘱）信息。</w:t>
      </w:r>
    </w:p>
    <w:p>
      <w:pPr>
        <w:pStyle w:val="8"/>
        <w:numPr>
          <w:ilvl w:val="6"/>
          <w:numId w:val="12"/>
        </w:numPr>
        <w:ind w:firstLine="482"/>
        <w:rPr>
          <w:rFonts w:hint="eastAsia" w:ascii="宋体" w:hAnsi="宋体" w:eastAsia="宋体" w:cs="宋体"/>
          <w:i w:val="0"/>
          <w:iCs w:val="0"/>
          <w:sz w:val="24"/>
          <w:szCs w:val="24"/>
          <w:lang w:eastAsia="zh-CN"/>
        </w:rPr>
      </w:pPr>
      <w:bookmarkStart w:id="274" w:name="_Toc74923344"/>
      <w:r>
        <w:rPr>
          <w:rFonts w:hint="eastAsia" w:ascii="宋体" w:hAnsi="宋体" w:eastAsia="宋体" w:cs="宋体"/>
          <w:i w:val="0"/>
          <w:iCs w:val="0"/>
          <w:sz w:val="24"/>
          <w:szCs w:val="24"/>
          <w:lang w:eastAsia="zh-CN"/>
        </w:rPr>
        <w:t>医嘱计算器</w:t>
      </w:r>
      <w:bookmarkEnd w:id="27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需支持患者性别、身高、体重自动带入计算器；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需支持内置多种医学公式（如：体表面积、肾小球滤过率、肌酐清除率），支持快速计算；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需支持内置胰岛素用量，胰岛素抵抗指数，高血糖钠校正的计算功能。</w:t>
      </w:r>
    </w:p>
    <w:p>
      <w:pPr>
        <w:pStyle w:val="8"/>
        <w:numPr>
          <w:ilvl w:val="6"/>
          <w:numId w:val="12"/>
        </w:numPr>
        <w:ind w:firstLine="482"/>
        <w:rPr>
          <w:rFonts w:hint="eastAsia" w:ascii="宋体" w:hAnsi="宋体" w:eastAsia="宋体" w:cs="宋体"/>
          <w:i w:val="0"/>
          <w:iCs w:val="0"/>
          <w:sz w:val="24"/>
          <w:szCs w:val="24"/>
          <w:lang w:eastAsia="zh-CN"/>
        </w:rPr>
      </w:pPr>
      <w:bookmarkStart w:id="275" w:name="_Toc74923345"/>
      <w:r>
        <w:rPr>
          <w:rFonts w:hint="eastAsia" w:ascii="宋体" w:hAnsi="宋体" w:eastAsia="宋体" w:cs="宋体"/>
          <w:i w:val="0"/>
          <w:iCs w:val="0"/>
          <w:sz w:val="24"/>
          <w:szCs w:val="24"/>
          <w:lang w:eastAsia="zh-CN"/>
        </w:rPr>
        <w:t>门诊医嘱保存</w:t>
      </w:r>
      <w:bookmarkEnd w:id="27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需支持门诊医嘱保存后，自动插入到门诊病历指定区域；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需支持门诊医嘱保存后，自动同步特殊信息，包括合理用药、CDSS、上报平台；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需支持对门诊医嘱进行CA加密信息保存。</w:t>
      </w:r>
    </w:p>
    <w:p>
      <w:pPr>
        <w:pStyle w:val="8"/>
        <w:numPr>
          <w:ilvl w:val="6"/>
          <w:numId w:val="12"/>
        </w:numPr>
        <w:ind w:firstLine="482"/>
        <w:rPr>
          <w:rFonts w:hint="eastAsia" w:ascii="宋体" w:hAnsi="宋体" w:eastAsia="宋体" w:cs="宋体"/>
          <w:i w:val="0"/>
          <w:iCs w:val="0"/>
          <w:sz w:val="24"/>
          <w:szCs w:val="24"/>
          <w:lang w:eastAsia="zh-CN"/>
        </w:rPr>
      </w:pPr>
      <w:bookmarkStart w:id="276" w:name="_Toc74923346"/>
      <w:r>
        <w:rPr>
          <w:rFonts w:hint="eastAsia" w:ascii="宋体" w:hAnsi="宋体" w:eastAsia="宋体" w:cs="宋体"/>
          <w:i w:val="0"/>
          <w:iCs w:val="0"/>
          <w:sz w:val="24"/>
          <w:szCs w:val="24"/>
          <w:lang w:eastAsia="zh-CN"/>
        </w:rPr>
        <w:t>门诊医嘱作废</w:t>
      </w:r>
      <w:bookmarkEnd w:id="27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需支持门诊医嘱未收费状态可以删除，门诊病历指定区域的医嘱内容自动删除；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需支持门诊医嘱收费后，可以作废。</w:t>
      </w:r>
    </w:p>
    <w:p>
      <w:pPr>
        <w:pStyle w:val="8"/>
        <w:numPr>
          <w:ilvl w:val="6"/>
          <w:numId w:val="12"/>
        </w:numPr>
        <w:ind w:firstLine="482"/>
        <w:rPr>
          <w:rFonts w:hint="eastAsia" w:ascii="宋体" w:hAnsi="宋体" w:eastAsia="宋体" w:cs="宋体"/>
          <w:i w:val="0"/>
          <w:iCs w:val="0"/>
          <w:sz w:val="24"/>
          <w:szCs w:val="24"/>
          <w:lang w:eastAsia="zh-CN"/>
        </w:rPr>
      </w:pPr>
      <w:bookmarkStart w:id="277" w:name="_Toc74923347"/>
      <w:r>
        <w:rPr>
          <w:rFonts w:hint="eastAsia" w:ascii="宋体" w:hAnsi="宋体" w:eastAsia="宋体" w:cs="宋体"/>
          <w:i w:val="0"/>
          <w:iCs w:val="0"/>
          <w:sz w:val="24"/>
          <w:szCs w:val="24"/>
          <w:lang w:eastAsia="zh-CN"/>
        </w:rPr>
        <w:t>门诊医嘱</w:t>
      </w:r>
      <w:bookmarkEnd w:id="277"/>
      <w:r>
        <w:rPr>
          <w:rFonts w:hint="eastAsia" w:ascii="宋体" w:hAnsi="宋体" w:eastAsia="宋体" w:cs="宋体"/>
          <w:i w:val="0"/>
          <w:iCs w:val="0"/>
          <w:sz w:val="24"/>
          <w:szCs w:val="24"/>
          <w:lang w:eastAsia="zh-CN"/>
        </w:rPr>
        <w:t>状态查询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需支持查看闭环流程监视以及医嘱执行状态。</w:t>
      </w:r>
    </w:p>
    <w:p>
      <w:pPr>
        <w:pStyle w:val="8"/>
        <w:numPr>
          <w:ilvl w:val="6"/>
          <w:numId w:val="12"/>
        </w:numPr>
        <w:ind w:firstLine="482"/>
        <w:rPr>
          <w:rFonts w:hint="eastAsia" w:ascii="宋体" w:hAnsi="宋体" w:eastAsia="宋体" w:cs="宋体"/>
          <w:i w:val="0"/>
          <w:iCs w:val="0"/>
          <w:sz w:val="24"/>
          <w:szCs w:val="24"/>
          <w:lang w:eastAsia="zh-CN"/>
        </w:rPr>
      </w:pPr>
      <w:bookmarkStart w:id="278" w:name="_Toc74923348"/>
      <w:r>
        <w:rPr>
          <w:rFonts w:hint="eastAsia" w:ascii="宋体" w:hAnsi="宋体" w:eastAsia="宋体" w:cs="宋体"/>
          <w:i w:val="0"/>
          <w:iCs w:val="0"/>
          <w:sz w:val="24"/>
          <w:szCs w:val="24"/>
          <w:lang w:eastAsia="zh-CN"/>
        </w:rPr>
        <w:t>医嘱组套管理</w:t>
      </w:r>
      <w:bookmarkEnd w:id="27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需支持多种检索方式（组套名、拼音首字母、五笔码）快速检索医嘱组套；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需支持多种组套类型并且不同权限的角色可编辑相应的组套内容；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需支持新增医嘱组套，保存时自动生成检索关键字（拼音首字母/五笔码）；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需支持新增医嘱组套，保存时可定义组套使用方式；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需支持将已开立的医嘱条目保存为医嘱组套；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需支持将不同的医嘱类型的医嘱项目存为一个组套（如：药品、检查、检验）；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需支持在原组套内容基础上追加内容；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需支持按角色提供常用组套便捷开立方式；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需支持按药理作用分类组套便捷开立方式。</w:t>
      </w:r>
    </w:p>
    <w:p>
      <w:pPr>
        <w:pStyle w:val="8"/>
        <w:numPr>
          <w:ilvl w:val="6"/>
          <w:numId w:val="12"/>
        </w:numPr>
        <w:ind w:firstLine="482"/>
        <w:rPr>
          <w:rFonts w:hint="eastAsia" w:ascii="宋体" w:hAnsi="宋体" w:eastAsia="宋体" w:cs="宋体"/>
          <w:i w:val="0"/>
          <w:iCs w:val="0"/>
          <w:sz w:val="24"/>
          <w:szCs w:val="24"/>
          <w:lang w:eastAsia="zh-CN"/>
        </w:rPr>
      </w:pPr>
      <w:bookmarkStart w:id="279" w:name="_Toc74923349"/>
      <w:r>
        <w:rPr>
          <w:rFonts w:hint="eastAsia" w:ascii="宋体" w:hAnsi="宋体" w:eastAsia="宋体" w:cs="宋体"/>
          <w:i w:val="0"/>
          <w:iCs w:val="0"/>
          <w:sz w:val="24"/>
          <w:szCs w:val="24"/>
          <w:lang w:eastAsia="zh-CN"/>
        </w:rPr>
        <w:t>医嘱门诊日志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需支持显示患者基本信息；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需支持显示患者接诊过程信息；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需支持录入诊毕患者的去向和时间。</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医嘱开立设置</w:t>
      </w:r>
      <w:bookmarkEnd w:id="279"/>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需支持按照使用习惯设置是否默认展开医嘱组套树；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需支持医嘱跳转顺序设置；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需支持设置每行显示的草药味数（1-5味）；</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需支持草药开立跳转顺序设置，如：设置为“药品-数量-药品-数量…”或“药品-药品-药品-药品-数量-数量…”；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需支持自定义设置功能菜单顺序。</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毒麻药待办信息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需支持开立毒麻药</w:t>
      </w:r>
      <w:r>
        <w:rPr>
          <w:rFonts w:hint="eastAsia" w:ascii="宋体" w:hAnsi="宋体" w:cs="宋体"/>
          <w:sz w:val="24"/>
          <w:szCs w:val="24"/>
          <w:lang w:val="en-US" w:eastAsia="zh-CN"/>
        </w:rPr>
        <w:t>时</w:t>
      </w:r>
      <w:r>
        <w:rPr>
          <w:rFonts w:hint="eastAsia" w:ascii="宋体" w:hAnsi="宋体" w:eastAsia="宋体" w:cs="宋体"/>
          <w:sz w:val="24"/>
          <w:szCs w:val="24"/>
          <w:lang w:eastAsia="zh-CN"/>
        </w:rPr>
        <w:t>自动提醒录入毒麻代办人信息。</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抗生素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需支持门诊开立非限制级、限制级抗生素时，自动提醒录入治疗用药、预防用药、联合用药信息；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需支持非限制级、限制级、特级抗生素开立和相应权限设置；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需支持急诊开立特殊级抗生素紧急流程。</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处方打印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需支持西药、草药、毒药、麻药、精1、精2处方单打印；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需支持指引单打印；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需支持治疗单打印；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需支持检查、检验申请单打印。</w:t>
      </w:r>
    </w:p>
    <w:p>
      <w:pPr>
        <w:pStyle w:val="7"/>
        <w:numPr>
          <w:ilvl w:val="5"/>
          <w:numId w:val="12"/>
        </w:numPr>
        <w:ind w:firstLine="482"/>
        <w:rPr>
          <w:rFonts w:hint="eastAsia" w:ascii="宋体" w:hAnsi="宋体" w:eastAsia="宋体" w:cs="宋体"/>
          <w:sz w:val="24"/>
          <w:szCs w:val="24"/>
          <w:lang w:eastAsia="zh-CN"/>
        </w:rPr>
      </w:pPr>
      <w:bookmarkStart w:id="280" w:name="_Toc97072220"/>
      <w:bookmarkStart w:id="281" w:name="_Toc74923350"/>
      <w:r>
        <w:rPr>
          <w:rFonts w:hint="eastAsia" w:ascii="宋体" w:hAnsi="宋体" w:eastAsia="宋体" w:cs="宋体"/>
          <w:sz w:val="24"/>
          <w:szCs w:val="24"/>
          <w:lang w:eastAsia="zh-CN"/>
        </w:rPr>
        <w:t>门诊病历</w:t>
      </w:r>
      <w:bookmarkEnd w:id="280"/>
      <w:bookmarkEnd w:id="281"/>
    </w:p>
    <w:p>
      <w:pPr>
        <w:ind w:firstLine="480"/>
        <w:rPr>
          <w:rFonts w:hint="eastAsia" w:ascii="宋体" w:hAnsi="宋体" w:eastAsia="宋体" w:cs="宋体"/>
          <w:sz w:val="24"/>
          <w:szCs w:val="24"/>
          <w:lang w:eastAsia="zh-CN"/>
        </w:rPr>
      </w:pPr>
      <w:bookmarkStart w:id="282" w:name="_Hlk158036980"/>
      <w:r>
        <w:rPr>
          <w:rFonts w:hint="eastAsia" w:ascii="宋体" w:hAnsi="宋体" w:eastAsia="宋体" w:cs="宋体"/>
          <w:sz w:val="24"/>
          <w:szCs w:val="24"/>
          <w:lang w:eastAsia="zh-CN"/>
        </w:rPr>
        <w:t>门诊电子病历是门诊医生站的核心功能，医嘱是治疗方案的指令发布，病历是对于治疗方案的过程记录。医生通过病历详述患者病症、检查方式、治疗方案，同时记录患者于方案执行的病症变化过程，通过病历可展示患者于门诊期间的诊询过程。</w:t>
      </w:r>
      <w:bookmarkEnd w:id="282"/>
    </w:p>
    <w:p>
      <w:pPr>
        <w:pStyle w:val="8"/>
        <w:numPr>
          <w:ilvl w:val="6"/>
          <w:numId w:val="12"/>
        </w:numPr>
        <w:ind w:firstLine="482"/>
        <w:rPr>
          <w:rFonts w:hint="eastAsia" w:ascii="宋体" w:hAnsi="宋体" w:eastAsia="宋体" w:cs="宋体"/>
          <w:i w:val="0"/>
          <w:iCs w:val="0"/>
          <w:sz w:val="24"/>
          <w:szCs w:val="24"/>
          <w:lang w:eastAsia="zh-CN"/>
        </w:rPr>
      </w:pPr>
      <w:bookmarkStart w:id="283" w:name="_Toc74923351"/>
      <w:r>
        <w:rPr>
          <w:rFonts w:hint="eastAsia" w:ascii="宋体" w:hAnsi="宋体" w:eastAsia="宋体" w:cs="宋体"/>
          <w:i w:val="0"/>
          <w:iCs w:val="0"/>
          <w:sz w:val="24"/>
          <w:szCs w:val="24"/>
          <w:lang w:eastAsia="zh-CN"/>
        </w:rPr>
        <w:t>门诊病历书写</w:t>
      </w:r>
      <w:bookmarkEnd w:id="28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需支持初诊病历模板/复诊病历模版，供不同就诊场景使用；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需支持使用病历组套快速创建门诊病历；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需支持复诊患者病历快速复用；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需支持患者基本信息自动带入病历；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需支持门诊病历的结构化录入；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需支持元素信息点选书写；</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需支持医嘱联动，如将门诊医嘱自动插入病历治疗方案；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需支持快速插入检查检验结果；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需支持插入特殊符号功能；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需支持插入图片；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需支持病历带入公式结果(例如肌酐清除率、评分)；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需支持在病历中追加内容。</w:t>
      </w:r>
    </w:p>
    <w:p>
      <w:pPr>
        <w:pStyle w:val="8"/>
        <w:numPr>
          <w:ilvl w:val="6"/>
          <w:numId w:val="12"/>
        </w:numPr>
        <w:ind w:firstLine="482"/>
        <w:rPr>
          <w:rFonts w:hint="eastAsia" w:ascii="宋体" w:hAnsi="宋体" w:eastAsia="宋体" w:cs="宋体"/>
          <w:i w:val="0"/>
          <w:iCs w:val="0"/>
          <w:sz w:val="24"/>
          <w:szCs w:val="24"/>
          <w:lang w:eastAsia="zh-CN"/>
        </w:rPr>
      </w:pPr>
      <w:bookmarkStart w:id="284" w:name="_Toc74923352"/>
      <w:r>
        <w:rPr>
          <w:rFonts w:hint="eastAsia" w:ascii="宋体" w:hAnsi="宋体" w:eastAsia="宋体" w:cs="宋体"/>
          <w:i w:val="0"/>
          <w:iCs w:val="0"/>
          <w:sz w:val="24"/>
          <w:szCs w:val="24"/>
          <w:lang w:eastAsia="zh-CN"/>
        </w:rPr>
        <w:t>门诊病历保存及签名</w:t>
      </w:r>
      <w:bookmarkEnd w:id="28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需支持对接CA电子签名；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需支持暂存病历书写内容；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需支持病历保存时或签名时校验必填项；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需支持门诊病历主诉字数限制的提示；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需支持显示带有院方规定的水印；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需支持病历签名后锁定，可申请解锁。</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门诊病历打印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需支持门诊病历打印；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需支持门诊病历集中打印；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需支持打印后的病历不允许修改。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需支持打印后不可修改病历的申请修改；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需支持门诊部审批打印后不可修改病历；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需支持打印或自助机打印带有院方规定的水印；</w:t>
      </w:r>
    </w:p>
    <w:p>
      <w:pPr>
        <w:pStyle w:val="8"/>
        <w:numPr>
          <w:ilvl w:val="6"/>
          <w:numId w:val="12"/>
        </w:numPr>
        <w:ind w:firstLine="482"/>
        <w:rPr>
          <w:rFonts w:hint="eastAsia" w:ascii="宋体" w:hAnsi="宋体" w:eastAsia="宋体" w:cs="宋体"/>
          <w:i w:val="0"/>
          <w:iCs w:val="0"/>
          <w:sz w:val="24"/>
          <w:szCs w:val="24"/>
          <w:lang w:eastAsia="zh-CN"/>
        </w:rPr>
      </w:pPr>
      <w:bookmarkStart w:id="285" w:name="_Toc74923353"/>
      <w:r>
        <w:rPr>
          <w:rFonts w:hint="eastAsia" w:ascii="宋体" w:hAnsi="宋体" w:eastAsia="宋体" w:cs="宋体"/>
          <w:i w:val="0"/>
          <w:iCs w:val="0"/>
          <w:sz w:val="24"/>
          <w:szCs w:val="24"/>
          <w:lang w:eastAsia="zh-CN"/>
        </w:rPr>
        <w:t>门诊病历删除</w:t>
      </w:r>
      <w:bookmarkEnd w:id="28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需支持对未签名的病历进行删除；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需支持查看病历操作记录查询。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需支持门诊病历删除后可恢复。</w:t>
      </w:r>
    </w:p>
    <w:p>
      <w:pPr>
        <w:pStyle w:val="8"/>
        <w:numPr>
          <w:ilvl w:val="6"/>
          <w:numId w:val="12"/>
        </w:numPr>
        <w:ind w:firstLine="482"/>
        <w:rPr>
          <w:rFonts w:hint="eastAsia" w:ascii="宋体" w:hAnsi="宋体" w:eastAsia="宋体" w:cs="宋体"/>
          <w:i w:val="0"/>
          <w:iCs w:val="0"/>
          <w:sz w:val="24"/>
          <w:szCs w:val="24"/>
          <w:lang w:eastAsia="zh-CN"/>
        </w:rPr>
      </w:pPr>
      <w:bookmarkStart w:id="286" w:name="_Toc74923354"/>
      <w:r>
        <w:rPr>
          <w:rFonts w:hint="eastAsia" w:ascii="宋体" w:hAnsi="宋体" w:eastAsia="宋体" w:cs="宋体"/>
          <w:i w:val="0"/>
          <w:iCs w:val="0"/>
          <w:sz w:val="24"/>
          <w:szCs w:val="24"/>
          <w:lang w:eastAsia="zh-CN"/>
        </w:rPr>
        <w:t>门诊病历组套管理</w:t>
      </w:r>
      <w:bookmarkEnd w:id="28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需支持多种不同权限的病历组套，权限不同可编辑病历组套范围不同；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需支持两种不同的病历组套类型（模板组套/元素组套）；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需支持将当前病历一键存为组套（模板组套/元素组套）；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需支持指定职级医师维护所在科室的病历组套。 </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需支持病历组套分级为个人、科室二个级别；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需支持文本组套分级为个人、科室、全院三个级别；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需支持文本组套个人文件夹名可修改，可上下移动；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需支持将病历组套设置为常用组套。</w:t>
      </w:r>
    </w:p>
    <w:p>
      <w:pPr>
        <w:pStyle w:val="8"/>
        <w:numPr>
          <w:ilvl w:val="6"/>
          <w:numId w:val="12"/>
        </w:numPr>
        <w:ind w:firstLine="482"/>
        <w:rPr>
          <w:rFonts w:hint="eastAsia" w:ascii="宋体" w:hAnsi="宋体" w:eastAsia="宋体" w:cs="宋体"/>
          <w:i w:val="0"/>
          <w:iCs w:val="0"/>
          <w:sz w:val="24"/>
          <w:szCs w:val="24"/>
          <w:lang w:eastAsia="zh-CN"/>
        </w:rPr>
      </w:pPr>
      <w:bookmarkStart w:id="287" w:name="_Toc74923360"/>
      <w:bookmarkStart w:id="288" w:name="_Toc74923355"/>
      <w:r>
        <w:rPr>
          <w:rFonts w:hint="eastAsia" w:ascii="宋体" w:hAnsi="宋体" w:eastAsia="宋体" w:cs="宋体"/>
          <w:i w:val="0"/>
          <w:iCs w:val="0"/>
          <w:sz w:val="24"/>
          <w:szCs w:val="24"/>
          <w:lang w:eastAsia="zh-CN"/>
        </w:rPr>
        <w:t>门诊知情同意书</w:t>
      </w:r>
      <w:bookmarkEnd w:id="28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需支持根据门诊知情同意书不同类型分类展示知情同意书列表；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需支持展示知情同意书状态（待创建、暂存、签名）；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需支持在创建门诊知情同意书时，患者基本信息（姓名、性别、年龄、科室）自动带入；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需支持门诊知情同意书医生电子签名、患者电子签名。</w:t>
      </w:r>
    </w:p>
    <w:p>
      <w:pPr>
        <w:pStyle w:val="8"/>
        <w:numPr>
          <w:ilvl w:val="6"/>
          <w:numId w:val="12"/>
        </w:numPr>
        <w:ind w:firstLine="482"/>
        <w:rPr>
          <w:rFonts w:hint="eastAsia" w:ascii="宋体" w:hAnsi="宋体" w:eastAsia="宋体" w:cs="宋体"/>
          <w:i w:val="0"/>
          <w:iCs w:val="0"/>
          <w:sz w:val="24"/>
          <w:szCs w:val="24"/>
          <w:lang w:eastAsia="zh-CN"/>
        </w:rPr>
      </w:pPr>
      <w:bookmarkStart w:id="289" w:name="_Toc74923366"/>
      <w:r>
        <w:rPr>
          <w:rFonts w:hint="eastAsia" w:ascii="宋体" w:hAnsi="宋体" w:eastAsia="宋体" w:cs="宋体"/>
          <w:i w:val="0"/>
          <w:iCs w:val="0"/>
          <w:sz w:val="24"/>
          <w:szCs w:val="24"/>
          <w:lang w:eastAsia="zh-CN"/>
        </w:rPr>
        <w:t>疾病证明</w:t>
      </w:r>
      <w:bookmarkEnd w:id="289"/>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需支持在医生站内开具疾病证明（病假单）。</w:t>
      </w:r>
    </w:p>
    <w:p>
      <w:pPr>
        <w:pStyle w:val="7"/>
        <w:numPr>
          <w:ilvl w:val="5"/>
          <w:numId w:val="12"/>
        </w:numPr>
        <w:ind w:firstLine="482"/>
        <w:rPr>
          <w:rFonts w:hint="eastAsia" w:ascii="宋体" w:hAnsi="宋体" w:eastAsia="宋体" w:cs="宋体"/>
          <w:sz w:val="24"/>
          <w:szCs w:val="24"/>
          <w:lang w:eastAsia="zh-CN"/>
        </w:rPr>
      </w:pPr>
      <w:bookmarkStart w:id="290" w:name="_Toc97072221"/>
      <w:r>
        <w:rPr>
          <w:rFonts w:hint="eastAsia" w:ascii="宋体" w:hAnsi="宋体" w:eastAsia="宋体" w:cs="宋体"/>
          <w:sz w:val="24"/>
          <w:szCs w:val="24"/>
          <w:lang w:eastAsia="zh-CN"/>
        </w:rPr>
        <w:t>门诊诊断</w:t>
      </w:r>
      <w:bookmarkEnd w:id="288"/>
      <w:bookmarkEnd w:id="290"/>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门诊诊断是门诊医生站的核心功能，用以标识患者所患疾病，基于ICD10诊断明确患者看诊目的是患者就诊的根本。</w:t>
      </w:r>
    </w:p>
    <w:p>
      <w:pPr>
        <w:pStyle w:val="8"/>
        <w:numPr>
          <w:ilvl w:val="6"/>
          <w:numId w:val="12"/>
        </w:numPr>
        <w:ind w:firstLine="482"/>
        <w:rPr>
          <w:rFonts w:hint="eastAsia" w:ascii="宋体" w:hAnsi="宋体" w:eastAsia="宋体" w:cs="宋体"/>
          <w:i w:val="0"/>
          <w:iCs w:val="0"/>
          <w:sz w:val="24"/>
          <w:szCs w:val="24"/>
          <w:lang w:eastAsia="zh-CN"/>
        </w:rPr>
      </w:pPr>
      <w:bookmarkStart w:id="291" w:name="_Toc74923356"/>
      <w:r>
        <w:rPr>
          <w:rFonts w:hint="eastAsia" w:ascii="宋体" w:hAnsi="宋体" w:eastAsia="宋体" w:cs="宋体"/>
          <w:i w:val="0"/>
          <w:iCs w:val="0"/>
          <w:sz w:val="24"/>
          <w:szCs w:val="24"/>
          <w:lang w:eastAsia="zh-CN"/>
        </w:rPr>
        <w:t>门诊诊断开立</w:t>
      </w:r>
      <w:bookmarkEnd w:id="291"/>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需支持常规开立、组套开立、复用患者既往诊断；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需支持诊断的结构化录入，支持编辑前后缀；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需支持标记主要诊断、疑似诊断；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需支持根据患者性别校验诊断合理性；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需支持诊断医保对照；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需支持中医诊断的结构化录入。</w:t>
      </w:r>
    </w:p>
    <w:p>
      <w:pPr>
        <w:pStyle w:val="8"/>
        <w:numPr>
          <w:ilvl w:val="6"/>
          <w:numId w:val="12"/>
        </w:numPr>
        <w:ind w:firstLine="482"/>
        <w:rPr>
          <w:rFonts w:hint="eastAsia" w:ascii="宋体" w:hAnsi="宋体" w:eastAsia="宋体" w:cs="宋体"/>
          <w:i w:val="0"/>
          <w:iCs w:val="0"/>
          <w:sz w:val="24"/>
          <w:szCs w:val="24"/>
          <w:lang w:eastAsia="zh-CN"/>
        </w:rPr>
      </w:pPr>
      <w:bookmarkStart w:id="292" w:name="_Toc74923357"/>
      <w:r>
        <w:rPr>
          <w:rFonts w:hint="eastAsia" w:ascii="宋体" w:hAnsi="宋体" w:eastAsia="宋体" w:cs="宋体"/>
          <w:i w:val="0"/>
          <w:iCs w:val="0"/>
          <w:sz w:val="24"/>
          <w:szCs w:val="24"/>
          <w:lang w:eastAsia="zh-CN"/>
        </w:rPr>
        <w:t>门诊诊断删除及作废</w:t>
      </w:r>
      <w:bookmarkEnd w:id="29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需支持对未签名的诊断进行删除操作；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需支持对已签名的诊断进行作废操作。</w:t>
      </w:r>
    </w:p>
    <w:p>
      <w:pPr>
        <w:pStyle w:val="8"/>
        <w:numPr>
          <w:ilvl w:val="6"/>
          <w:numId w:val="12"/>
        </w:numPr>
        <w:ind w:firstLine="482"/>
        <w:rPr>
          <w:rFonts w:hint="eastAsia" w:ascii="宋体" w:hAnsi="宋体" w:eastAsia="宋体" w:cs="宋体"/>
          <w:i w:val="0"/>
          <w:iCs w:val="0"/>
          <w:sz w:val="24"/>
          <w:szCs w:val="24"/>
          <w:lang w:eastAsia="zh-CN"/>
        </w:rPr>
      </w:pPr>
      <w:bookmarkStart w:id="293" w:name="_Toc74923358"/>
      <w:r>
        <w:rPr>
          <w:rFonts w:hint="eastAsia" w:ascii="宋体" w:hAnsi="宋体" w:eastAsia="宋体" w:cs="宋体"/>
          <w:i w:val="0"/>
          <w:iCs w:val="0"/>
          <w:sz w:val="24"/>
          <w:szCs w:val="24"/>
          <w:lang w:eastAsia="zh-CN"/>
        </w:rPr>
        <w:t>门诊诊断上报</w:t>
      </w:r>
      <w:bookmarkEnd w:id="29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需支持自动关联传染病诊断报告卡。</w:t>
      </w:r>
    </w:p>
    <w:p>
      <w:pPr>
        <w:pStyle w:val="8"/>
        <w:numPr>
          <w:ilvl w:val="6"/>
          <w:numId w:val="12"/>
        </w:numPr>
        <w:ind w:firstLine="482"/>
        <w:rPr>
          <w:rFonts w:hint="eastAsia" w:ascii="宋体" w:hAnsi="宋体" w:eastAsia="宋体" w:cs="宋体"/>
          <w:i w:val="0"/>
          <w:iCs w:val="0"/>
          <w:sz w:val="24"/>
          <w:szCs w:val="24"/>
          <w:lang w:eastAsia="zh-CN"/>
        </w:rPr>
      </w:pPr>
      <w:bookmarkStart w:id="294" w:name="_Toc74923359"/>
      <w:r>
        <w:rPr>
          <w:rFonts w:hint="eastAsia" w:ascii="宋体" w:hAnsi="宋体" w:eastAsia="宋体" w:cs="宋体"/>
          <w:i w:val="0"/>
          <w:iCs w:val="0"/>
          <w:sz w:val="24"/>
          <w:szCs w:val="24"/>
          <w:lang w:eastAsia="zh-CN"/>
        </w:rPr>
        <w:t>门诊诊断组套管理</w:t>
      </w:r>
      <w:bookmarkEnd w:id="29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需支持自动抓取账号高频使用诊断，生成常用诊断组套；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需支持个人和科室两个级别的诊断组套维护。</w:t>
      </w:r>
    </w:p>
    <w:p>
      <w:pPr>
        <w:pStyle w:val="7"/>
        <w:numPr>
          <w:ilvl w:val="5"/>
          <w:numId w:val="12"/>
        </w:numPr>
        <w:ind w:firstLine="482"/>
        <w:rPr>
          <w:rFonts w:hint="eastAsia" w:ascii="宋体" w:hAnsi="宋体" w:eastAsia="宋体" w:cs="宋体"/>
          <w:sz w:val="24"/>
          <w:szCs w:val="24"/>
          <w:lang w:eastAsia="zh-CN"/>
        </w:rPr>
      </w:pPr>
      <w:bookmarkStart w:id="295" w:name="_Toc74923362"/>
      <w:bookmarkStart w:id="296" w:name="_Toc97072222"/>
      <w:r>
        <w:rPr>
          <w:rFonts w:hint="eastAsia" w:ascii="宋体" w:hAnsi="宋体" w:eastAsia="宋体" w:cs="宋体"/>
          <w:sz w:val="24"/>
          <w:szCs w:val="24"/>
          <w:lang w:eastAsia="zh-CN"/>
        </w:rPr>
        <w:t>门诊报告查看</w:t>
      </w:r>
      <w:bookmarkEnd w:id="295"/>
      <w:bookmarkEnd w:id="296"/>
    </w:p>
    <w:p>
      <w:pPr>
        <w:pStyle w:val="8"/>
        <w:numPr>
          <w:ilvl w:val="6"/>
          <w:numId w:val="12"/>
        </w:numPr>
        <w:ind w:firstLine="482"/>
        <w:rPr>
          <w:rFonts w:hint="eastAsia" w:ascii="宋体" w:hAnsi="宋体" w:eastAsia="宋体" w:cs="宋体"/>
          <w:b w:val="0"/>
          <w:bCs w:val="0"/>
          <w:i w:val="0"/>
          <w:iCs w:val="0"/>
          <w:sz w:val="24"/>
          <w:szCs w:val="24"/>
          <w:lang w:eastAsia="zh-CN"/>
        </w:rPr>
      </w:pPr>
      <w:bookmarkStart w:id="297" w:name="_Toc74923363"/>
      <w:r>
        <w:rPr>
          <w:rFonts w:hint="eastAsia" w:ascii="宋体" w:hAnsi="宋体" w:eastAsia="宋体" w:cs="宋体"/>
          <w:i w:val="0"/>
          <w:iCs w:val="0"/>
          <w:sz w:val="24"/>
          <w:szCs w:val="24"/>
          <w:lang w:eastAsia="zh-CN"/>
        </w:rPr>
        <w:t>门诊检查报告查看</w:t>
      </w:r>
      <w:bookmarkEnd w:id="29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需支持在医生站内查看检查报告及影像，无需切换至检查系统。</w:t>
      </w:r>
    </w:p>
    <w:p>
      <w:pPr>
        <w:pStyle w:val="8"/>
        <w:numPr>
          <w:ilvl w:val="6"/>
          <w:numId w:val="12"/>
        </w:numPr>
        <w:ind w:firstLine="482"/>
        <w:rPr>
          <w:rFonts w:hint="eastAsia" w:ascii="宋体" w:hAnsi="宋体" w:eastAsia="宋体" w:cs="宋体"/>
          <w:i w:val="0"/>
          <w:iCs w:val="0"/>
          <w:sz w:val="24"/>
          <w:szCs w:val="24"/>
          <w:lang w:eastAsia="zh-CN"/>
        </w:rPr>
      </w:pPr>
      <w:bookmarkStart w:id="298" w:name="_Toc74923364"/>
      <w:r>
        <w:rPr>
          <w:rFonts w:hint="eastAsia" w:ascii="宋体" w:hAnsi="宋体" w:eastAsia="宋体" w:cs="宋体"/>
          <w:i w:val="0"/>
          <w:iCs w:val="0"/>
          <w:sz w:val="24"/>
          <w:szCs w:val="24"/>
          <w:lang w:eastAsia="zh-CN"/>
        </w:rPr>
        <w:t>门诊检验报告查看</w:t>
      </w:r>
      <w:bookmarkEnd w:id="29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需支持在医生站内查看检验报告，无需切换至检验系统。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需支持对于相同检验项目多次检验结果，通过时序图的方式呈现变化趋势。</w:t>
      </w:r>
    </w:p>
    <w:p>
      <w:pPr>
        <w:pStyle w:val="7"/>
        <w:numPr>
          <w:ilvl w:val="5"/>
          <w:numId w:val="12"/>
        </w:numPr>
        <w:ind w:firstLine="482"/>
        <w:rPr>
          <w:rFonts w:hint="eastAsia" w:ascii="宋体" w:hAnsi="宋体" w:eastAsia="宋体" w:cs="宋体"/>
          <w:sz w:val="24"/>
          <w:szCs w:val="24"/>
          <w:lang w:eastAsia="zh-CN"/>
        </w:rPr>
      </w:pPr>
      <w:bookmarkStart w:id="299" w:name="_Toc74923367"/>
      <w:bookmarkStart w:id="300" w:name="_Toc97072223"/>
      <w:r>
        <w:rPr>
          <w:rFonts w:hint="eastAsia" w:ascii="宋体" w:hAnsi="宋体" w:eastAsia="宋体" w:cs="宋体"/>
          <w:sz w:val="24"/>
          <w:szCs w:val="24"/>
          <w:lang w:eastAsia="zh-CN"/>
        </w:rPr>
        <w:t>办理入院</w:t>
      </w:r>
      <w:bookmarkEnd w:id="299"/>
      <w:bookmarkEnd w:id="300"/>
    </w:p>
    <w:p>
      <w:pPr>
        <w:ind w:firstLine="480"/>
        <w:rPr>
          <w:rFonts w:hint="eastAsia" w:ascii="宋体" w:hAnsi="宋体" w:eastAsia="宋体" w:cs="宋体"/>
          <w:sz w:val="24"/>
          <w:szCs w:val="24"/>
          <w:lang w:eastAsia="zh-CN"/>
        </w:rPr>
      </w:pPr>
      <w:bookmarkStart w:id="301" w:name="_Hlk158037342"/>
      <w:r>
        <w:rPr>
          <w:rFonts w:hint="eastAsia" w:ascii="宋体" w:hAnsi="宋体" w:eastAsia="宋体" w:cs="宋体"/>
          <w:sz w:val="24"/>
          <w:szCs w:val="24"/>
          <w:lang w:eastAsia="zh-CN"/>
        </w:rPr>
        <w:t>入院通知单是常规患者的入院凭证，经过门诊医生的诊治对重病情患者办理相关入院证明，目的是精确看诊合理分配医疗资源，规范住院流程、避免患者过度治疗。</w:t>
      </w:r>
      <w:bookmarkEnd w:id="301"/>
    </w:p>
    <w:p>
      <w:pPr>
        <w:pStyle w:val="8"/>
        <w:numPr>
          <w:ilvl w:val="6"/>
          <w:numId w:val="12"/>
        </w:numPr>
        <w:ind w:firstLine="482"/>
        <w:rPr>
          <w:rFonts w:hint="eastAsia" w:ascii="宋体" w:hAnsi="宋体" w:eastAsia="宋体" w:cs="宋体"/>
          <w:i w:val="0"/>
          <w:iCs w:val="0"/>
          <w:sz w:val="24"/>
          <w:szCs w:val="24"/>
          <w:lang w:eastAsia="zh-CN"/>
        </w:rPr>
      </w:pPr>
      <w:bookmarkStart w:id="302" w:name="_Toc74923368"/>
      <w:r>
        <w:rPr>
          <w:rFonts w:hint="eastAsia" w:ascii="宋体" w:hAnsi="宋体" w:eastAsia="宋体" w:cs="宋体"/>
          <w:i w:val="0"/>
          <w:iCs w:val="0"/>
          <w:sz w:val="24"/>
          <w:szCs w:val="24"/>
          <w:lang w:eastAsia="zh-CN"/>
        </w:rPr>
        <w:t>开立入院通知单（住院证）</w:t>
      </w:r>
      <w:bookmarkEnd w:id="30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需支持在开立住院通知单时，患者的基本信息（如：病历号、费用类别、姓名、性别、年龄、出生日期）自动带入；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需支持在开立住院通知单时，患者门诊主诊断自动带入；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需支持默认提供患者入院情况（危/急/一般）、入院处理录入项目，支持本地化按需增减信息项。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支持预入院等相关功能。</w:t>
      </w:r>
    </w:p>
    <w:p>
      <w:pPr>
        <w:pStyle w:val="7"/>
        <w:numPr>
          <w:ilvl w:val="5"/>
          <w:numId w:val="12"/>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会诊</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会诊申请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需支持科间会诊、急会诊；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需支持查看已申请患者会诊处理情况； </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接收及拒绝</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需支持医嘱与病历会诊申请的联动即创建申请单默认开立会诊医嘱。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需支持在处理会诊患者前，查看患者治疗过程信息；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需支持接收会诊，书写会诊意见；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需支持拒绝会诊，填写拒绝理由；  </w:t>
      </w:r>
    </w:p>
    <w:p>
      <w:pPr>
        <w:pStyle w:val="8"/>
        <w:numPr>
          <w:ilvl w:val="6"/>
          <w:numId w:val="12"/>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会诊互评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会诊互评需支持会诊科室与受邀科室相互评价，具备评价查询和分析功能；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1.会诊完成时，需支持会诊专家评价本次会诊，且评价内容只允许会诊专家方可见；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2.会诊完成后，需支持会诊申请医师评价本次会诊，且评价内容只允许申请方可见；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3.会诊评价内容，需支持自定义维护。</w:t>
      </w:r>
    </w:p>
    <w:p>
      <w:pPr>
        <w:pStyle w:val="7"/>
        <w:numPr>
          <w:ilvl w:val="5"/>
          <w:numId w:val="12"/>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门诊病历归档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需支持门诊病历定时归档；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需支持医生申请解归档门诊病历；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需支持门诊部审批接归档门诊病历。</w:t>
      </w:r>
    </w:p>
    <w:p>
      <w:pPr>
        <w:pStyle w:val="6"/>
        <w:rPr>
          <w:rFonts w:hint="eastAsia" w:ascii="宋体" w:hAnsi="宋体" w:eastAsia="宋体" w:cs="宋体"/>
          <w:sz w:val="24"/>
          <w:szCs w:val="24"/>
          <w:lang w:eastAsia="zh-CN"/>
        </w:rPr>
      </w:pPr>
      <w:bookmarkStart w:id="303" w:name="_Toc97072224"/>
      <w:bookmarkStart w:id="304" w:name="_Toc212033777"/>
      <w:bookmarkStart w:id="305" w:name="_Toc16789"/>
      <w:r>
        <w:rPr>
          <w:rFonts w:hint="eastAsia" w:ascii="宋体" w:hAnsi="宋体" w:eastAsia="宋体" w:cs="宋体"/>
          <w:sz w:val="24"/>
          <w:szCs w:val="24"/>
          <w:lang w:eastAsia="zh-CN"/>
        </w:rPr>
        <w:t>住院医生工作站</w:t>
      </w:r>
      <w:bookmarkEnd w:id="303"/>
      <w:bookmarkEnd w:id="304"/>
      <w:bookmarkEnd w:id="305"/>
    </w:p>
    <w:p>
      <w:pPr>
        <w:ind w:firstLine="480"/>
        <w:rPr>
          <w:rFonts w:hint="eastAsia" w:ascii="宋体" w:hAnsi="宋体" w:eastAsia="宋体" w:cs="宋体"/>
          <w:sz w:val="24"/>
          <w:szCs w:val="24"/>
          <w:lang w:eastAsia="zh-CN"/>
        </w:rPr>
      </w:pPr>
      <w:bookmarkStart w:id="306" w:name="_Hlk158037812"/>
      <w:r>
        <w:rPr>
          <w:rFonts w:hint="eastAsia" w:ascii="宋体" w:hAnsi="宋体" w:eastAsia="宋体" w:cs="宋体"/>
          <w:sz w:val="24"/>
          <w:szCs w:val="24"/>
          <w:lang w:eastAsia="zh-CN"/>
        </w:rPr>
        <w:t>住院医生工作站主要帮助医院住院业务实现高效精细化管理，提高工作效率，保障患者治疗效果。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医生工作站是医生看诊住院患者的医事主体，要求系统具备患者列表展示、医嘱开立、诊断开立、病历书写的基本功能，需最大限度的展示患者信息资源（患者信息、治疗信息、历史诊疗信息），并基于实现相关查询快速定位。需以医生看诊为主体整合各项医疗资源（检查、检验、输血、手术）通过医嘱开立（药品、治疗、材料、医技申请单、预约单、指引单）的形式完成患者于住院的诊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功能需包括住院医生站、患者组件、住院医嘱、住院电子病历、住院诊断管理、住院报告查看、会诊，具体要求如下：</w:t>
      </w:r>
      <w:bookmarkEnd w:id="306"/>
    </w:p>
    <w:p>
      <w:pPr>
        <w:pStyle w:val="7"/>
        <w:numPr>
          <w:ilvl w:val="5"/>
          <w:numId w:val="13"/>
        </w:numPr>
        <w:rPr>
          <w:rFonts w:hint="eastAsia" w:ascii="宋体" w:hAnsi="宋体" w:eastAsia="宋体" w:cs="宋体"/>
          <w:sz w:val="24"/>
          <w:szCs w:val="24"/>
          <w:lang w:eastAsia="zh-CN"/>
        </w:rPr>
      </w:pPr>
      <w:bookmarkStart w:id="307" w:name="_Toc97072225"/>
      <w:r>
        <w:rPr>
          <w:rFonts w:hint="eastAsia" w:ascii="宋体" w:hAnsi="宋体" w:eastAsia="宋体" w:cs="宋体"/>
          <w:sz w:val="24"/>
          <w:szCs w:val="24"/>
          <w:lang w:eastAsia="zh-CN"/>
        </w:rPr>
        <w:t>住院医生站</w:t>
      </w:r>
      <w:bookmarkEnd w:id="30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需支持根据患者来源多种过滤方式（分管患者、全科患者、授权患者、转出患者、转入患者）来快速定位指定患者；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需支持根据患者状态多种过滤方式（在院患者、出院患者）快速定位指定患者；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需支持自定义扩展患者来源分类。例如：日间手术、预住院、血透；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需支持快捷查询会诊患者信息；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需支持根据时间、病区、科室快速过滤患者及对患者进行排序；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需支持根据特殊标记筛选患者，如危重、临床路径、手术、婴儿、新入院；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需支持自定义住院患者列表各级分类联动关系；</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需支持支持导出患者信息功能；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需支持详细显示患者的床号、姓名、年龄、病历号、入院日期、天数、诊断、护理级别、三级责任医师、责任护士信息；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需支持自定义扩展需显示的详细信息；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需支持个性化设置详细信息位置、宽度、顺序；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需支持治疗过程快速入口，可以快速查看患者的历史就诊信息；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需对患者是否有攻击性、高危传染病，财务警告以及其他不良</w:t>
      </w:r>
      <w:r>
        <w:rPr>
          <w:rFonts w:hint="eastAsia" w:ascii="宋体" w:hAnsi="宋体" w:cs="宋体"/>
          <w:sz w:val="24"/>
          <w:szCs w:val="24"/>
          <w:lang w:val="en-US" w:eastAsia="zh-CN"/>
        </w:rPr>
        <w:t>事迹</w:t>
      </w:r>
      <w:r>
        <w:rPr>
          <w:rFonts w:hint="eastAsia" w:ascii="宋体" w:hAnsi="宋体" w:eastAsia="宋体" w:cs="宋体"/>
          <w:sz w:val="24"/>
          <w:szCs w:val="24"/>
          <w:lang w:eastAsia="zh-CN"/>
        </w:rPr>
        <w:t>进行明显提示；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需支持创建和修改病历的快速入口，如病程记录、会诊、入院记录、手术记录入口，医生可以快速的为患者书写病历；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需支持查看变化医嘱，有效医嘱，检查检验反馈；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需支持显示体温，血压，血糖的变化情况。</w:t>
      </w:r>
    </w:p>
    <w:p>
      <w:pPr>
        <w:pStyle w:val="7"/>
        <w:numPr>
          <w:ilvl w:val="5"/>
          <w:numId w:val="13"/>
        </w:numPr>
        <w:ind w:firstLine="482"/>
        <w:rPr>
          <w:rFonts w:hint="eastAsia" w:ascii="宋体" w:hAnsi="宋体" w:eastAsia="宋体" w:cs="宋体"/>
          <w:sz w:val="24"/>
          <w:szCs w:val="24"/>
          <w:lang w:eastAsia="zh-CN"/>
        </w:rPr>
      </w:pPr>
      <w:bookmarkStart w:id="308" w:name="_Toc97072226"/>
      <w:r>
        <w:rPr>
          <w:rFonts w:hint="eastAsia" w:ascii="宋体" w:hAnsi="宋体" w:eastAsia="宋体" w:cs="宋体"/>
          <w:sz w:val="24"/>
          <w:szCs w:val="24"/>
          <w:lang w:eastAsia="zh-CN"/>
        </w:rPr>
        <w:t>患者组件</w:t>
      </w:r>
      <w:bookmarkEnd w:id="308"/>
    </w:p>
    <w:p>
      <w:pPr>
        <w:ind w:firstLine="480"/>
        <w:rPr>
          <w:rFonts w:hint="eastAsia" w:ascii="宋体" w:hAnsi="宋体" w:eastAsia="宋体" w:cs="宋体"/>
          <w:sz w:val="24"/>
          <w:szCs w:val="24"/>
          <w:lang w:eastAsia="zh-CN"/>
        </w:rPr>
      </w:pPr>
      <w:bookmarkStart w:id="309" w:name="_Hlk158037956"/>
      <w:r>
        <w:rPr>
          <w:rFonts w:hint="eastAsia" w:ascii="宋体" w:hAnsi="宋体" w:eastAsia="宋体" w:cs="宋体"/>
          <w:sz w:val="24"/>
          <w:szCs w:val="24"/>
          <w:lang w:eastAsia="zh-CN"/>
        </w:rPr>
        <w:t>患者组件主要用于展示患者基本信息以及特殊的患者信息，帮助医生快速了解患者基本情况。</w:t>
      </w:r>
      <w:bookmarkEnd w:id="309"/>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患者档案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需支持医生查看支持查看患者的档案信息，如基本信息、联系人。</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患者名片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需支持根据患者不同性别、年龄展示不同的患者头像（如：老年男、老年女、男性、女性、男童、女童、男婴、女婴、未知性别）；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需支持医生查看患者基本信息，包括姓名、年龄、地址、费用类别。</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就诊费用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需支持查看患者本次就诊开立医嘱的费用总计，提供查询费用明细的快捷操作。</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患者过敏信息管理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需支持患者过敏信息的录入、展示和维护，包括过敏原、过敏严重程度，方便医生了解患者的过敏信息。</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患者待办信息</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需支持显示患者待办信息数量；</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需支持点击图标快捷跳转至待办列表。</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患者标签</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需支持医生对患者进行特殊标记（如：特殊关怀、攻击性）以及进行查看、编辑、删除操作。</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待办列表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生站待办列表是对医生日常工作的重要辅助功能，系统需具备任务分拣归类的能力以患者头像标记代办数量或消息的形式提醒医生，需包含检查检验报告、会诊、危急值、皮试结果、代签病历、处方点评诸多任务分类的待办事项归类，可通过任务提醒快速跳转至相应界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需支持质控终末返修，可快捷跳转至问题病历并进行修改；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需支持质控环节返修，可快捷跳转至问题病历并进行修改；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需支持检查报告查看，已读、未读报告；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需支持检验报告查看，已读、未读报告；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需支持质控提醒；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需支持快捷跳转至待签的患者病历进行签名；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需支持快捷跳转至上级待签的患者病历进行签名。</w:t>
      </w:r>
    </w:p>
    <w:p>
      <w:pPr>
        <w:pStyle w:val="7"/>
        <w:numPr>
          <w:ilvl w:val="5"/>
          <w:numId w:val="13"/>
        </w:numPr>
        <w:ind w:firstLine="482"/>
        <w:rPr>
          <w:rFonts w:hint="eastAsia" w:ascii="宋体" w:hAnsi="宋体" w:eastAsia="宋体" w:cs="宋体"/>
          <w:sz w:val="24"/>
          <w:szCs w:val="24"/>
          <w:lang w:eastAsia="zh-CN"/>
        </w:rPr>
      </w:pPr>
      <w:bookmarkStart w:id="310" w:name="_Toc97072227"/>
      <w:r>
        <w:rPr>
          <w:rFonts w:hint="eastAsia" w:ascii="宋体" w:hAnsi="宋体" w:eastAsia="宋体" w:cs="宋体"/>
          <w:sz w:val="24"/>
          <w:szCs w:val="24"/>
          <w:lang w:eastAsia="zh-CN"/>
        </w:rPr>
        <w:t>住院医嘱</w:t>
      </w:r>
      <w:bookmarkEnd w:id="310"/>
    </w:p>
    <w:p>
      <w:pPr>
        <w:ind w:firstLine="480"/>
        <w:rPr>
          <w:rFonts w:hint="eastAsia" w:ascii="宋体" w:hAnsi="宋体" w:eastAsia="宋体" w:cs="宋体"/>
          <w:sz w:val="24"/>
          <w:szCs w:val="24"/>
          <w:lang w:eastAsia="zh-CN"/>
        </w:rPr>
      </w:pPr>
      <w:bookmarkStart w:id="311" w:name="_Hlk158038055"/>
      <w:r>
        <w:rPr>
          <w:rFonts w:hint="eastAsia" w:ascii="宋体" w:hAnsi="宋体" w:eastAsia="宋体" w:cs="宋体"/>
          <w:sz w:val="24"/>
          <w:szCs w:val="24"/>
          <w:lang w:eastAsia="zh-CN"/>
        </w:rPr>
        <w:t>住院医嘱是住院医生站的核心功能，是医生对患者施行医疗手段的指令中枢，通过医嘱建立与护士站、医技科室、药房等辅助治疗部门的协作功能，并以医嘱单的形式记录治疗方案。</w:t>
      </w:r>
      <w:bookmarkEnd w:id="311"/>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医嘱需要具备以下功能：需支持医生开立住院患者需要的所有项目，包括西药、中成药、草药、检查、检验、治疗、手术、用血、自备药、体位、护理级别、护理常规、病情、膳食、转科、转床、出院；需支持对已开立的医嘱进行编辑、删除等操作；需支持历史医嘱的查看以及再次开立的操作；能够查看医嘱的执行情况；需支持医生对当前开立医嘱的金额进行计算；需支持医嘱开立的校验功能，包括性别校验、过敏原信息校验。</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医嘱开立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需支持不同形式的快速便捷的医嘱开立模式；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需支持多种类型、多个医嘱一次性开立的模式；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需支持鼠标操作、全键盘操作两种不同的操作习惯；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需支持在医嘱开立时提供药品商品名/通用名、规格、剂型、价格、进口/国产、是否需要皮试、是否特殊管制、取药药房、库存量的查询与展示；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需支持在开立医嘱时提示默认的频次用法供参考；</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需支持常用的医嘱项目以及功能的快捷开立方式；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需支持科常用术语和全部术语的快速切换；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需支持开立术语的多种查询方式（精准匹配、模糊匹配、前匹配、后匹配）、或按拼音/五笔检索，并支持快速切换；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需支持长期医嘱根据每次量和时间自动计算总量；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需支持检验项目设置默认标本和部位；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需支持非药品医嘱设置默认的执行科室、药品设置默认的取药药房；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需支持不均等给药开立模式；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需支持设置协定处方便捷开立医嘱功能； </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需支持开立首日用药量、末日用药量模式；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需支持在医嘱组合时对频次用法是否一致进行校验；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需支持在医嘱保存时进行合理用药校验，如不合理会提示；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需支持医嘱保存但不签名模式；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需支持在医嘱开立时与患者过敏源信息进行校验，并进行冲突提示；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需支持在医嘱开立时与患者性别进行校验，并进行冲突提示；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需支持在医嘱保存时校验库存，库存不足给予提示；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需支持医嘱过滤，如默认医嘱、全部医嘱、有效医嘱；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需支持在医嘱保存时校验权限，权限不足给予提示。</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检查申请单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需支持两种检查申请单创建方式（开立医嘱后生成申请单/创建申请单后生成医嘱）；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需支持快速切换申请单类型（如：CT、超声、X线、心电、MRI、内镜、电生理、病理）；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需支持常用检查项目查询；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需支持常用检查项目的快速复用；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需支持按照检查部位进行检索；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需支持展示患者简要病史数据，并能后自主编辑；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需支持医生自定义录入检查目的信息；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需支持插入、编辑图片以及描述需要特殊说明的检查部位或注意事项；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需支持医生自定义录入检查备注信息；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需支持快速查阅患者既往的检查项目；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需支持对已开立的检查项目及费用进行预览，能够增减数目。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需支持医生标记特殊信息，包括绿色通道、接触隔离、单病种、是否轮椅、是否步行； </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需支持根据检查类型、检查方法、执行科室、大部位、小部位自动分单。</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检验申请单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需支持两种检验申请单创建方式（开立医嘱后生成申请单/创建申请单后生成医嘱）；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需支持快速切换申请单类型（如：生化、基础检验、微生物、免疫学、变态反应）；</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需支持常用检验项目查询；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需支持常用检验项目的快速复用；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需支持对已开立的检验项目及费用进行预览，能够增减数目；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需支持根据检验类型、执行科室、样本自动分单。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需支持对于相同检验项目多次检验结果，通过时序图的方式呈现变化趋势。</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手术申请单</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需支持通过手术申请单开立医嘱。</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需支持对患者手术申请单的校验如传染疾病提示、术前讨论是否具备、知情同意书提示。</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用血申请单</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需支持通过用血申请单开立医嘱。</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需支持患者输血前患者体征信息校验、知情同意书校验 的警示功能。</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中草药开立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需支持按照草药类型快速过滤（如：全部、中草药、三九方、草药颗粒、XX品牌草药）或按照草药房（草药药房、颗粒药房、制剂室）；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需支持鼠标操作、全键盘操作两种不同的操作习惯；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需支持上次草药处方快速复用的操作；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需支持在两味草药之间快速插入一味药；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需支持按照基本剂量单位或最小单位开立草药；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需支持草药特殊煎制法的录入；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需支持开立的草药医嘱部分代煎、部分自煎功能；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需支持药引的选择录入及自定义输入，治则治法的选择与自定义录入；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需对保存后的草药方提供展开查询草药详细处方的快捷操作；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需支持对草药君臣佐使进行分类统计；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需支持草药秘方打包组套；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需支持草药多种开立跳转顺序；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需支持对每行开立医嘱条目数量及字体自适应变化进行配置；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支持中药协定处方开立，权限审核等。</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医嘱组合</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需支持医嘱的组合与拆组；</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需支持医嘱大输液自动成组；</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需支持子医嘱自动成组。</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抗生素医嘱开立</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需支持非限制级、限制级、特级抗生素开立和相应权限设置；</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需支持特殊级抗生素越级开立；</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需支持特殊级抗生素多级审批；</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需支持特殊级抗生素紧急开立；</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需支持抗生素联合用药使用情况；</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需支持长期医嘱执行设置警示天数；</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抗肿瘤医嘱开立</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需支持限制级、非限制级抗肿瘤药物开立和相应权限设置。</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历史医嘱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需支持查看患者不同就诊场景（门诊/住院/急诊）下的历史医嘱；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需支持按照医嘱类型、类别、精确搜索信息；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需支持历史医嘱存为组套；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需支持历史医嘱直接复制到门诊/住院开立医嘱。</w:t>
      </w:r>
    </w:p>
    <w:p>
      <w:pPr>
        <w:pStyle w:val="8"/>
        <w:numPr>
          <w:ilvl w:val="6"/>
          <w:numId w:val="13"/>
        </w:numPr>
        <w:ind w:firstLine="482"/>
        <w:rPr>
          <w:rFonts w:hint="eastAsia" w:ascii="宋体" w:hAnsi="宋体" w:eastAsia="宋体" w:cs="宋体"/>
          <w:i w:val="0"/>
          <w:iCs w:val="0"/>
          <w:sz w:val="24"/>
          <w:szCs w:val="24"/>
          <w:lang w:eastAsia="zh-CN"/>
        </w:rPr>
      </w:pPr>
      <w:bookmarkStart w:id="312" w:name="_Toc74923385"/>
      <w:r>
        <w:rPr>
          <w:rFonts w:hint="eastAsia" w:ascii="宋体" w:hAnsi="宋体" w:eastAsia="宋体" w:cs="宋体"/>
          <w:i w:val="0"/>
          <w:iCs w:val="0"/>
          <w:sz w:val="24"/>
          <w:szCs w:val="24"/>
          <w:lang w:eastAsia="zh-CN"/>
        </w:rPr>
        <w:t>住院医嘱保存</w:t>
      </w:r>
      <w:bookmarkEnd w:id="312"/>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需支持住院医嘱暂存功能；</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需支持住院医嘱提交功能；</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需支持住院医嘱保存后，自动同步特殊信息，包括合理用药、CDSS、上报平台；</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需支持对住院医嘱进行CA加密信息保存。</w:t>
      </w:r>
    </w:p>
    <w:p>
      <w:pPr>
        <w:pStyle w:val="8"/>
        <w:numPr>
          <w:ilvl w:val="6"/>
          <w:numId w:val="13"/>
        </w:numPr>
        <w:ind w:firstLine="482"/>
        <w:rPr>
          <w:rFonts w:hint="eastAsia" w:ascii="宋体" w:hAnsi="宋体" w:eastAsia="宋体" w:cs="宋体"/>
          <w:i w:val="0"/>
          <w:iCs w:val="0"/>
          <w:sz w:val="24"/>
          <w:szCs w:val="24"/>
          <w:lang w:eastAsia="zh-CN"/>
        </w:rPr>
      </w:pPr>
      <w:bookmarkStart w:id="313" w:name="_Toc74923386"/>
      <w:r>
        <w:rPr>
          <w:rFonts w:hint="eastAsia" w:ascii="宋体" w:hAnsi="宋体" w:eastAsia="宋体" w:cs="宋体"/>
          <w:i w:val="0"/>
          <w:iCs w:val="0"/>
          <w:sz w:val="24"/>
          <w:szCs w:val="24"/>
          <w:lang w:eastAsia="zh-CN"/>
        </w:rPr>
        <w:t>住院医嘱删除、停止及作废</w:t>
      </w:r>
      <w:bookmarkEnd w:id="313"/>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需支持医嘱在护士接收前，能够删除；</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需支持长期医嘱在护士接收后，能够停止；</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需支持临时医嘱在护士接收后，能够作废；</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需支持撤销护士未审核的作废、停止医嘱；</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需支持术后一键新开术前停止医嘱。</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医嘱状态查询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需支持查看闭环流程监视以及医嘱执行状态。</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医嘱计算器</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需支持患者性别、身高、体重自动带入计算器；</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需内置多种医学公式（如：体表面积、肾小球滤过率、肌酐清除率），支持快速计算；</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需内置胰岛素用量，胰岛素抵抗指数，高血糖钠校正的计算功能。</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医嘱组套管理</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需支持多种方式创建组套；</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需支持组套重命名、修改编辑、删除操作；</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需支持多种检索方式（组套名、拼音首字母、五笔码）快速检索医嘱组套；</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需支持多种组套类型并且不同权限的角色可编辑相应的组套内容；</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需支持新增医嘱组套，保存时自动生成检索关键字（拼音首字母/五笔码）；</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需支持新增医嘱组套，保存时可定义组套使用方式；</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需支持将已开立的医嘱条目保存为医嘱组套；</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 xml:space="preserve">需支持将不同的医嘱类型的医嘱项目存为一个组套（如：药品、检查、检验）； </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需支持在原组套内容基础上追加内容；</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需支持按角色提供常用组套便捷开立方式；</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需支持按药理作用分类组套便捷开立方式。</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医嘱开立设置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需支持按照使用习惯设置是否默认展开医嘱组套树；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需支持医嘱跳转顺序设置；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需支持设置每行显示的草药味数（1-5味）；</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需支持草药开立跳转顺序设置，如：设置为“药品-数量-药品-数量…”或“药品-药品-药品-药品-数量-数量…”；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需支持自定义设置功能菜单顺序。</w:t>
      </w:r>
    </w:p>
    <w:p>
      <w:pPr>
        <w:pStyle w:val="7"/>
        <w:numPr>
          <w:ilvl w:val="5"/>
          <w:numId w:val="13"/>
        </w:numPr>
        <w:ind w:firstLine="482"/>
        <w:rPr>
          <w:rFonts w:hint="eastAsia" w:ascii="宋体" w:hAnsi="宋体" w:eastAsia="宋体" w:cs="宋体"/>
          <w:sz w:val="24"/>
          <w:szCs w:val="24"/>
          <w:lang w:eastAsia="zh-CN"/>
        </w:rPr>
      </w:pPr>
      <w:bookmarkStart w:id="314" w:name="_Toc97072228"/>
      <w:r>
        <w:rPr>
          <w:rFonts w:hint="eastAsia" w:ascii="宋体" w:hAnsi="宋体" w:eastAsia="宋体" w:cs="宋体"/>
          <w:sz w:val="24"/>
          <w:szCs w:val="24"/>
          <w:lang w:eastAsia="zh-CN"/>
        </w:rPr>
        <w:t>住院电子病历</w:t>
      </w:r>
      <w:bookmarkEnd w:id="314"/>
    </w:p>
    <w:p>
      <w:pPr>
        <w:ind w:firstLine="480"/>
        <w:rPr>
          <w:rFonts w:hint="eastAsia" w:ascii="宋体" w:hAnsi="宋体" w:eastAsia="宋体" w:cs="宋体"/>
          <w:sz w:val="24"/>
          <w:szCs w:val="24"/>
          <w:lang w:eastAsia="zh-CN"/>
        </w:rPr>
      </w:pPr>
      <w:bookmarkStart w:id="315" w:name="_Hlk158038236"/>
      <w:r>
        <w:rPr>
          <w:rFonts w:hint="eastAsia" w:ascii="宋体" w:hAnsi="宋体" w:eastAsia="宋体" w:cs="宋体"/>
          <w:sz w:val="24"/>
          <w:szCs w:val="24"/>
          <w:lang w:eastAsia="zh-CN"/>
        </w:rPr>
        <w:t>住院电子病历是住院医生站的核心功能，医嘱是治疗方案的指令发布，病历是对于治疗方案的过程记录。医生通过病历详述患者病症、检查方式、治疗方案，同时记录患者于方案执行的病症变化过程，通过病历可展示患者在院期间的医事过程。</w:t>
      </w:r>
      <w:bookmarkEnd w:id="315"/>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住院病历创建</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需支持创建住院病历，如：入院记录，再入院记录，24小时入出院记录，24小时死亡记录，出院记录，诊断证明。</w:t>
      </w:r>
    </w:p>
    <w:p>
      <w:pPr>
        <w:pStyle w:val="8"/>
        <w:numPr>
          <w:ilvl w:val="6"/>
          <w:numId w:val="13"/>
        </w:numPr>
        <w:ind w:firstLine="482"/>
        <w:rPr>
          <w:rFonts w:hint="eastAsia" w:ascii="宋体" w:hAnsi="宋体" w:eastAsia="宋体" w:cs="宋体"/>
          <w:i w:val="0"/>
          <w:iCs w:val="0"/>
          <w:sz w:val="24"/>
          <w:szCs w:val="24"/>
          <w:lang w:eastAsia="zh-CN"/>
        </w:rPr>
      </w:pPr>
      <w:bookmarkStart w:id="316" w:name="_Toc74923393"/>
      <w:r>
        <w:rPr>
          <w:rFonts w:hint="eastAsia" w:ascii="宋体" w:hAnsi="宋体" w:eastAsia="宋体" w:cs="宋体"/>
          <w:i w:val="0"/>
          <w:iCs w:val="0"/>
          <w:sz w:val="24"/>
          <w:szCs w:val="24"/>
          <w:lang w:eastAsia="zh-CN"/>
        </w:rPr>
        <w:t>住院病历书写</w:t>
      </w:r>
      <w:bookmarkEnd w:id="31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需支持选择【个人组套】、【科室组套】快捷录入；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需支持将复用性较高的病历存为组套，利用组套直接创建病历或替换现有病历；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需支持将复用性较高的部分文字存为组套，使用时可以进行快速替换；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需支持复用患者既往病历；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需支持在病历中快捷插入患者检查、检验结果，无需手动录入；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需支持入院记录快捷插入节气；</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需支持病历显示住院天数的样式；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需支持病历分区域权限管理；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需支持在病历中追加内容；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需支持在院患者病历封存；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需支持病历加锁后审批解锁；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需支持通过开立抢救、病危、病重医嘱生成的病历关联医嘱；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需支持显示带有院方规定的水印；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需支持病历带入公式结果(例如肌酐清除率、评分)；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需支持病历带入结构化内容；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需支持在病历中快捷插入患者医嘱，无需手动录入；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需支持病历中插入既往病历信息及检查检验结果，不需要主动查找；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需支持特殊符号的录入；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需支持病历中插入医学图片；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需支持病历中插入表格；</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需支持插入分页符进行分页；</w:t>
      </w:r>
    </w:p>
    <w:p>
      <w:pPr>
        <w:ind w:firstLine="480"/>
        <w:rPr>
          <w:rFonts w:hint="eastAsia" w:ascii="宋体" w:hAnsi="宋体" w:eastAsia="宋体" w:cs="宋体"/>
          <w:sz w:val="24"/>
          <w:szCs w:val="24"/>
          <w:lang w:eastAsia="zh-CN"/>
        </w:rPr>
      </w:pPr>
      <w:bookmarkStart w:id="317" w:name="_Hlk127196655"/>
      <w:bookmarkStart w:id="318" w:name="_Hlk127196641"/>
      <w:r>
        <w:rPr>
          <w:rFonts w:hint="eastAsia" w:ascii="宋体" w:hAnsi="宋体" w:eastAsia="宋体" w:cs="宋体"/>
          <w:sz w:val="24"/>
          <w:szCs w:val="24"/>
          <w:lang w:eastAsia="zh-CN"/>
        </w:rPr>
        <w:t>需支持插入鉴别诊断；</w:t>
      </w:r>
      <w:bookmarkEnd w:id="31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需支持插入中医治则治法</w:t>
      </w:r>
      <w:bookmarkEnd w:id="318"/>
      <w:r>
        <w:rPr>
          <w:rFonts w:hint="eastAsia" w:ascii="宋体" w:hAnsi="宋体" w:eastAsia="宋体" w:cs="宋体"/>
          <w:sz w:val="24"/>
          <w:szCs w:val="24"/>
          <w:lang w:eastAsia="zh-CN"/>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需支持插入、修改、删除、显示、隐藏批注的操作；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需支持记录操作人、操作时间以及操作类型，比较两个时间点病历的不同，支持还原到某一时间点的病历；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需支持病历痕迹查看；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需支持快速定位文本出现位置，支持替换文本。</w:t>
      </w:r>
    </w:p>
    <w:p>
      <w:pPr>
        <w:pStyle w:val="8"/>
        <w:numPr>
          <w:ilvl w:val="6"/>
          <w:numId w:val="13"/>
        </w:numPr>
        <w:ind w:firstLine="482"/>
        <w:rPr>
          <w:rFonts w:hint="eastAsia" w:ascii="宋体" w:hAnsi="宋体" w:eastAsia="宋体" w:cs="宋体"/>
          <w:i w:val="0"/>
          <w:iCs w:val="0"/>
          <w:sz w:val="24"/>
          <w:szCs w:val="24"/>
          <w:lang w:eastAsia="zh-CN"/>
        </w:rPr>
      </w:pPr>
      <w:bookmarkStart w:id="319" w:name="_Toc74923394"/>
      <w:r>
        <w:rPr>
          <w:rFonts w:hint="eastAsia" w:ascii="宋体" w:hAnsi="宋体" w:eastAsia="宋体" w:cs="宋体"/>
          <w:i w:val="0"/>
          <w:iCs w:val="0"/>
          <w:sz w:val="24"/>
          <w:szCs w:val="24"/>
          <w:lang w:eastAsia="zh-CN"/>
        </w:rPr>
        <w:t>住院病历暂存及签名</w:t>
      </w:r>
      <w:bookmarkEnd w:id="319"/>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需支持在病历书写过程中的暂存功能；</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需支持在完成病历后，能够插入医生电子签名并对病历进行保存，若需修改，可解签后修改；</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需支持病历保存时或签名时校验必填项；</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需支持病历主诉字数限制的提示；</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需支持规培医师签名；</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需支持下级医生指定或默认指定上级医生审签病历；</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需支持上级医师批量审签下级医生病历。</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需支持CA电子签名。</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住院病历打印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需支持选择续打；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需支持打印当前页；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需支持全部打印</w:t>
      </w:r>
      <w:r>
        <w:rPr>
          <w:rFonts w:hint="eastAsia" w:ascii="宋体" w:hAnsi="宋体" w:cs="宋体"/>
          <w:sz w:val="24"/>
          <w:szCs w:val="24"/>
          <w:lang w:eastAsia="zh-CN"/>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需支持打印带有院方规定的水印；</w:t>
      </w:r>
    </w:p>
    <w:p>
      <w:pPr>
        <w:pStyle w:val="8"/>
        <w:numPr>
          <w:ilvl w:val="6"/>
          <w:numId w:val="13"/>
        </w:numPr>
        <w:ind w:firstLine="482"/>
        <w:rPr>
          <w:rFonts w:hint="eastAsia" w:ascii="宋体" w:hAnsi="宋体" w:eastAsia="宋体" w:cs="宋体"/>
          <w:i w:val="0"/>
          <w:iCs w:val="0"/>
          <w:sz w:val="24"/>
          <w:szCs w:val="24"/>
          <w:lang w:eastAsia="zh-CN"/>
        </w:rPr>
      </w:pPr>
      <w:bookmarkStart w:id="320" w:name="_Toc74923395"/>
      <w:r>
        <w:rPr>
          <w:rFonts w:hint="eastAsia" w:ascii="宋体" w:hAnsi="宋体" w:eastAsia="宋体" w:cs="宋体"/>
          <w:i w:val="0"/>
          <w:iCs w:val="0"/>
          <w:sz w:val="24"/>
          <w:szCs w:val="24"/>
          <w:lang w:eastAsia="zh-CN"/>
        </w:rPr>
        <w:t>住院病历删除</w:t>
      </w:r>
      <w:bookmarkEnd w:id="320"/>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需支持对无用病历进行删除操作；</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需支持病历删除后可恢复。</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异常病历恢复</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需支持在异常情况下（如突然断电），可恢复固定时间段内的病历记录。</w:t>
      </w:r>
    </w:p>
    <w:p>
      <w:pPr>
        <w:pStyle w:val="8"/>
        <w:numPr>
          <w:ilvl w:val="6"/>
          <w:numId w:val="13"/>
        </w:numPr>
        <w:ind w:firstLine="482"/>
        <w:rPr>
          <w:rFonts w:hint="eastAsia" w:ascii="宋体" w:hAnsi="宋体" w:eastAsia="宋体" w:cs="宋体"/>
          <w:i w:val="0"/>
          <w:iCs w:val="0"/>
          <w:sz w:val="24"/>
          <w:szCs w:val="24"/>
          <w:lang w:eastAsia="zh-CN"/>
        </w:rPr>
      </w:pPr>
      <w:bookmarkStart w:id="321" w:name="_Toc74923396"/>
      <w:r>
        <w:rPr>
          <w:rFonts w:hint="eastAsia" w:ascii="宋体" w:hAnsi="宋体" w:eastAsia="宋体" w:cs="宋体"/>
          <w:i w:val="0"/>
          <w:iCs w:val="0"/>
          <w:sz w:val="24"/>
          <w:szCs w:val="24"/>
          <w:lang w:eastAsia="zh-CN"/>
        </w:rPr>
        <w:t>住院病历组套管理</w:t>
      </w:r>
      <w:bookmarkEnd w:id="321"/>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需支持将复用性较高的部分文字存为组套，形成文字组套；</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需支持将复用性较高的病历存为组套，形成病历组套；</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需支持修改存储的组套，支持添加文本、特殊符号、元素的操作；</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需支持指定职级医师维护所在科室的病历组套；</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需支持病历组套分级为个人、科室二个级别；</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需支持文本组套分级为个人、科室、全院三个级别；</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需支持文本组套个人文件夹名可修改，可上下移动；</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需支持特定类型病历可整体组套替换；</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需支持已创建的病历组套可以复制。</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住院病程记录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创建病程记录相关病历，如：首次病程记录、上级医师查房记录、日常病程记录、操作记录、交接班记录、转入转出记录、术前小结、术前讨论记录、疑难病例讨论记录、死亡病历讨论记录、输血病程记录、阶段小结、抢救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需支持创建病程记录时修改病历记录时间；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需支持创建病程时手动分页；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需支持病程记录整体显示和编辑；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需支持病程记录顺序重置；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需支持病程大纲展示，通过病程大纲可见病程状态；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需支持危急值病程关联检验危急值；</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需支持科室级选择模板自定义排序；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需支持输血申请时，自动生成病程记录；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需支持上级医师批量审查上级医师查房记录。</w:t>
      </w:r>
    </w:p>
    <w:p>
      <w:pPr>
        <w:pStyle w:val="8"/>
        <w:numPr>
          <w:ilvl w:val="6"/>
          <w:numId w:val="13"/>
        </w:numPr>
        <w:ind w:firstLine="482"/>
        <w:rPr>
          <w:rFonts w:hint="eastAsia" w:ascii="宋体" w:hAnsi="宋体" w:eastAsia="宋体" w:cs="宋体"/>
          <w:i w:val="0"/>
          <w:iCs w:val="0"/>
          <w:sz w:val="24"/>
          <w:szCs w:val="24"/>
          <w:lang w:eastAsia="zh-CN"/>
        </w:rPr>
      </w:pPr>
      <w:bookmarkStart w:id="322" w:name="_Toc74923401"/>
      <w:r>
        <w:rPr>
          <w:rFonts w:hint="eastAsia" w:ascii="宋体" w:hAnsi="宋体" w:eastAsia="宋体" w:cs="宋体"/>
          <w:i w:val="0"/>
          <w:iCs w:val="0"/>
          <w:sz w:val="24"/>
          <w:szCs w:val="24"/>
          <w:lang w:eastAsia="zh-CN"/>
        </w:rPr>
        <w:t>住院知情同意书</w:t>
      </w:r>
      <w:bookmarkEnd w:id="32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需支持将常用住院知情同意书设置为组套，支持批量创建、批量操作知情同意书；</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需支持根据住院知情同意书不同类型分类展示知情同意书列表，支持检索；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需支持已创建知情同意书的名称及状态一览。</w:t>
      </w:r>
    </w:p>
    <w:p>
      <w:pPr>
        <w:pStyle w:val="7"/>
        <w:numPr>
          <w:ilvl w:val="5"/>
          <w:numId w:val="13"/>
        </w:numPr>
        <w:ind w:firstLine="482"/>
        <w:rPr>
          <w:rFonts w:hint="eastAsia" w:ascii="宋体" w:hAnsi="宋体" w:eastAsia="宋体" w:cs="宋体"/>
          <w:sz w:val="24"/>
          <w:szCs w:val="24"/>
          <w:lang w:eastAsia="zh-CN"/>
        </w:rPr>
      </w:pPr>
      <w:bookmarkStart w:id="323" w:name="_Toc65252361"/>
      <w:bookmarkStart w:id="324" w:name="_Toc97072229"/>
      <w:bookmarkStart w:id="325" w:name="_Toc74923405"/>
      <w:r>
        <w:rPr>
          <w:rFonts w:hint="eastAsia" w:ascii="宋体" w:hAnsi="宋体" w:eastAsia="宋体" w:cs="宋体"/>
          <w:sz w:val="24"/>
          <w:szCs w:val="24"/>
          <w:lang w:eastAsia="zh-CN"/>
        </w:rPr>
        <w:t>住院诊断管理</w:t>
      </w:r>
      <w:bookmarkEnd w:id="323"/>
      <w:bookmarkEnd w:id="324"/>
      <w:bookmarkEnd w:id="32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住院诊断是住院医生站的核心功能，用以标识患者所患疾病，基于ICD10诊断明确患者看诊目的是患者就诊的根本。</w:t>
      </w:r>
    </w:p>
    <w:p>
      <w:pPr>
        <w:pStyle w:val="8"/>
        <w:numPr>
          <w:ilvl w:val="6"/>
          <w:numId w:val="13"/>
        </w:numPr>
        <w:ind w:firstLine="482"/>
        <w:rPr>
          <w:rFonts w:hint="eastAsia" w:ascii="宋体" w:hAnsi="宋体" w:eastAsia="宋体" w:cs="宋体"/>
          <w:i w:val="0"/>
          <w:iCs w:val="0"/>
          <w:sz w:val="24"/>
          <w:szCs w:val="24"/>
          <w:lang w:eastAsia="zh-CN"/>
        </w:rPr>
      </w:pPr>
      <w:bookmarkStart w:id="326" w:name="_Toc74923406"/>
      <w:r>
        <w:rPr>
          <w:rFonts w:hint="eastAsia" w:ascii="宋体" w:hAnsi="宋体" w:eastAsia="宋体" w:cs="宋体"/>
          <w:i w:val="0"/>
          <w:iCs w:val="0"/>
          <w:sz w:val="24"/>
          <w:szCs w:val="24"/>
          <w:lang w:eastAsia="zh-CN"/>
        </w:rPr>
        <w:t>诊断开立</w:t>
      </w:r>
      <w:bookmarkEnd w:id="32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需支持全键盘操作录入诊断；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需支持复用患者历史诊断或在院已录入（作废）的诊断；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需支持首字母检索录入中医TCD的病名和证候，中医的病名和证候支持自定义录入；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需支持首字母检索录入西医ICD诊断，西医的诊断支持选择疾病分类进行过滤；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需支持入院诊断、出院诊断、术前诊断、术后诊断、病理诊断、死亡诊断、临床诊断多种诊断类型进行录入；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需支持对诊断设置是否主诊，是否疑似诊断；支持入院病情、转归和转归日期的选择；</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需支持诊断多条录入，按照顺序多条显示，支持诊断上下移操作；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需支持在录入过诊断之后，医嘱单、申请单、护理病历可以带入已经录入的相关诊断；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需支持子诊断开立。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需支持根据患者性别校验诊断合理性；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需支持诊断医保对照；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需支持中医诊断、西医诊断分别显示。</w:t>
      </w:r>
    </w:p>
    <w:p>
      <w:pPr>
        <w:pStyle w:val="8"/>
        <w:numPr>
          <w:ilvl w:val="6"/>
          <w:numId w:val="13"/>
        </w:numPr>
        <w:ind w:firstLine="482"/>
        <w:rPr>
          <w:rFonts w:hint="eastAsia" w:ascii="宋体" w:hAnsi="宋体" w:eastAsia="宋体" w:cs="宋体"/>
          <w:i w:val="0"/>
          <w:iCs w:val="0"/>
          <w:sz w:val="24"/>
          <w:szCs w:val="24"/>
          <w:lang w:eastAsia="zh-CN"/>
        </w:rPr>
      </w:pPr>
      <w:bookmarkStart w:id="327" w:name="_Toc74923407"/>
      <w:r>
        <w:rPr>
          <w:rFonts w:hint="eastAsia" w:ascii="宋体" w:hAnsi="宋体" w:eastAsia="宋体" w:cs="宋体"/>
          <w:i w:val="0"/>
          <w:iCs w:val="0"/>
          <w:sz w:val="24"/>
          <w:szCs w:val="24"/>
          <w:lang w:eastAsia="zh-CN"/>
        </w:rPr>
        <w:t>诊断删除及作废</w:t>
      </w:r>
      <w:bookmarkEnd w:id="327"/>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已经录入过的诊断需支持作废处理；</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需支持查看已经作废诊断的信息，以及作废医生和作废时间。</w:t>
      </w:r>
    </w:p>
    <w:p>
      <w:pPr>
        <w:pStyle w:val="8"/>
        <w:numPr>
          <w:ilvl w:val="6"/>
          <w:numId w:val="13"/>
        </w:numPr>
        <w:ind w:firstLine="482"/>
        <w:rPr>
          <w:rFonts w:hint="eastAsia" w:ascii="宋体" w:hAnsi="宋体" w:eastAsia="宋体" w:cs="宋体"/>
          <w:i w:val="0"/>
          <w:iCs w:val="0"/>
          <w:sz w:val="24"/>
          <w:szCs w:val="24"/>
          <w:lang w:eastAsia="zh-CN"/>
        </w:rPr>
      </w:pPr>
      <w:bookmarkStart w:id="328" w:name="_Toc74923408"/>
      <w:r>
        <w:rPr>
          <w:rFonts w:hint="eastAsia" w:ascii="宋体" w:hAnsi="宋体" w:eastAsia="宋体" w:cs="宋体"/>
          <w:i w:val="0"/>
          <w:iCs w:val="0"/>
          <w:sz w:val="24"/>
          <w:szCs w:val="24"/>
          <w:lang w:eastAsia="zh-CN"/>
        </w:rPr>
        <w:t>诊断上报</w:t>
      </w:r>
      <w:bookmarkEnd w:id="328"/>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需支持自动关联传染病诊断报告卡。</w:t>
      </w:r>
    </w:p>
    <w:p>
      <w:pPr>
        <w:pStyle w:val="8"/>
        <w:numPr>
          <w:ilvl w:val="6"/>
          <w:numId w:val="13"/>
        </w:numPr>
        <w:ind w:firstLine="482"/>
        <w:rPr>
          <w:rFonts w:hint="eastAsia" w:ascii="宋体" w:hAnsi="宋体" w:eastAsia="宋体" w:cs="宋体"/>
          <w:i w:val="0"/>
          <w:iCs w:val="0"/>
          <w:sz w:val="24"/>
          <w:szCs w:val="24"/>
          <w:lang w:eastAsia="zh-CN"/>
        </w:rPr>
      </w:pPr>
      <w:bookmarkStart w:id="329" w:name="_Toc74923409"/>
      <w:r>
        <w:rPr>
          <w:rFonts w:hint="eastAsia" w:ascii="宋体" w:hAnsi="宋体" w:eastAsia="宋体" w:cs="宋体"/>
          <w:i w:val="0"/>
          <w:iCs w:val="0"/>
          <w:sz w:val="24"/>
          <w:szCs w:val="24"/>
          <w:lang w:eastAsia="zh-CN"/>
        </w:rPr>
        <w:t>诊断组套管理</w:t>
      </w:r>
      <w:bookmarkEnd w:id="329"/>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需支持自动抓取账号高频使用诊断，生成常用诊断组套；</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需支持添加全院、科室以及个人诊断组套。</w:t>
      </w:r>
    </w:p>
    <w:p>
      <w:pPr>
        <w:pStyle w:val="7"/>
        <w:numPr>
          <w:ilvl w:val="5"/>
          <w:numId w:val="13"/>
        </w:numPr>
        <w:ind w:firstLine="482"/>
        <w:rPr>
          <w:rFonts w:hint="eastAsia" w:ascii="宋体" w:hAnsi="宋体" w:eastAsia="宋体" w:cs="宋体"/>
          <w:i w:val="0"/>
          <w:iCs w:val="0"/>
          <w:sz w:val="24"/>
          <w:szCs w:val="24"/>
          <w:lang w:eastAsia="zh-CN"/>
        </w:rPr>
      </w:pPr>
      <w:bookmarkStart w:id="330" w:name="_Toc65252362"/>
      <w:bookmarkStart w:id="331" w:name="_Toc97072230"/>
      <w:bookmarkStart w:id="332" w:name="_Toc74923410"/>
      <w:r>
        <w:rPr>
          <w:rFonts w:hint="eastAsia" w:ascii="宋体" w:hAnsi="宋体" w:eastAsia="宋体" w:cs="宋体"/>
          <w:i w:val="0"/>
          <w:iCs w:val="0"/>
          <w:sz w:val="24"/>
          <w:szCs w:val="24"/>
          <w:lang w:eastAsia="zh-CN"/>
        </w:rPr>
        <w:t>住院报告查看</w:t>
      </w:r>
      <w:bookmarkEnd w:id="330"/>
      <w:bookmarkEnd w:id="331"/>
      <w:bookmarkEnd w:id="332"/>
    </w:p>
    <w:p>
      <w:pPr>
        <w:pStyle w:val="8"/>
        <w:numPr>
          <w:ilvl w:val="6"/>
          <w:numId w:val="13"/>
        </w:numPr>
        <w:ind w:firstLine="482"/>
        <w:rPr>
          <w:rFonts w:hint="eastAsia" w:ascii="宋体" w:hAnsi="宋体" w:eastAsia="宋体" w:cs="宋体"/>
          <w:i w:val="0"/>
          <w:iCs w:val="0"/>
          <w:sz w:val="24"/>
          <w:szCs w:val="24"/>
          <w:lang w:eastAsia="zh-CN"/>
        </w:rPr>
      </w:pPr>
      <w:bookmarkStart w:id="333" w:name="_Toc74923411"/>
      <w:r>
        <w:rPr>
          <w:rFonts w:hint="eastAsia" w:ascii="宋体" w:hAnsi="宋体" w:eastAsia="宋体" w:cs="宋体"/>
          <w:i w:val="0"/>
          <w:iCs w:val="0"/>
          <w:sz w:val="24"/>
          <w:szCs w:val="24"/>
          <w:lang w:eastAsia="zh-CN"/>
        </w:rPr>
        <w:t>住院检查报告</w:t>
      </w:r>
      <w:bookmarkEnd w:id="333"/>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需支持在医生站内查看检查报告及影像，无需切换至检查系统。</w:t>
      </w:r>
    </w:p>
    <w:p>
      <w:pPr>
        <w:pStyle w:val="8"/>
        <w:numPr>
          <w:ilvl w:val="6"/>
          <w:numId w:val="13"/>
        </w:numPr>
        <w:ind w:firstLine="482"/>
        <w:rPr>
          <w:rFonts w:hint="eastAsia" w:ascii="宋体" w:hAnsi="宋体" w:eastAsia="宋体" w:cs="宋体"/>
          <w:i w:val="0"/>
          <w:iCs w:val="0"/>
          <w:sz w:val="24"/>
          <w:szCs w:val="24"/>
          <w:lang w:eastAsia="zh-CN"/>
        </w:rPr>
      </w:pPr>
      <w:bookmarkStart w:id="334" w:name="_Toc74923412"/>
      <w:r>
        <w:rPr>
          <w:rFonts w:hint="eastAsia" w:ascii="宋体" w:hAnsi="宋体" w:eastAsia="宋体" w:cs="宋体"/>
          <w:i w:val="0"/>
          <w:iCs w:val="0"/>
          <w:sz w:val="24"/>
          <w:szCs w:val="24"/>
          <w:lang w:eastAsia="zh-CN"/>
        </w:rPr>
        <w:t>住院检验报告</w:t>
      </w:r>
      <w:bookmarkEnd w:id="33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需支持在医生站内查看检验报告，无需切换至检验系统。</w:t>
      </w:r>
    </w:p>
    <w:p>
      <w:pPr>
        <w:pStyle w:val="7"/>
        <w:numPr>
          <w:ilvl w:val="5"/>
          <w:numId w:val="13"/>
        </w:numPr>
        <w:ind w:firstLine="482"/>
        <w:rPr>
          <w:rFonts w:hint="eastAsia" w:ascii="宋体" w:hAnsi="宋体" w:eastAsia="宋体" w:cs="宋体"/>
          <w:sz w:val="24"/>
          <w:szCs w:val="24"/>
          <w:lang w:eastAsia="zh-CN"/>
        </w:rPr>
      </w:pPr>
      <w:bookmarkStart w:id="335" w:name="_Toc65252364"/>
      <w:bookmarkStart w:id="336" w:name="_Toc74923415"/>
      <w:bookmarkStart w:id="337" w:name="_Toc97072231"/>
      <w:r>
        <w:rPr>
          <w:rFonts w:hint="eastAsia" w:ascii="宋体" w:hAnsi="宋体" w:eastAsia="宋体" w:cs="宋体"/>
          <w:sz w:val="24"/>
          <w:szCs w:val="24"/>
          <w:lang w:eastAsia="zh-CN"/>
        </w:rPr>
        <w:t>会诊</w:t>
      </w:r>
      <w:bookmarkEnd w:id="335"/>
      <w:bookmarkEnd w:id="336"/>
      <w:bookmarkEnd w:id="337"/>
    </w:p>
    <w:p>
      <w:pPr>
        <w:ind w:firstLine="480"/>
        <w:rPr>
          <w:rFonts w:hint="eastAsia" w:ascii="宋体" w:hAnsi="宋体" w:eastAsia="宋体" w:cs="宋体"/>
          <w:sz w:val="24"/>
          <w:szCs w:val="24"/>
          <w:lang w:eastAsia="zh-CN"/>
        </w:rPr>
      </w:pPr>
      <w:bookmarkStart w:id="338" w:name="_Toc74923416"/>
      <w:bookmarkStart w:id="339" w:name="_Toc65252358"/>
      <w:bookmarkStart w:id="340" w:name="_Toc74923397"/>
      <w:bookmarkStart w:id="341" w:name="_Toc97072232"/>
      <w:r>
        <w:rPr>
          <w:rFonts w:hint="eastAsia" w:ascii="宋体" w:hAnsi="宋体" w:eastAsia="宋体" w:cs="宋体"/>
          <w:sz w:val="24"/>
          <w:szCs w:val="24"/>
          <w:lang w:eastAsia="zh-CN"/>
        </w:rPr>
        <w:t>会诊申请</w:t>
      </w:r>
      <w:bookmarkEnd w:id="33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需支持科间会诊、急会诊、院外会诊；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需支持查看已申请患者会诊处理情况；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需支持自动生成会诊描述医嘱。</w:t>
      </w:r>
    </w:p>
    <w:p>
      <w:pPr>
        <w:ind w:firstLine="480"/>
        <w:rPr>
          <w:rFonts w:hint="eastAsia" w:ascii="宋体" w:hAnsi="宋体" w:eastAsia="宋体" w:cs="宋体"/>
          <w:sz w:val="24"/>
          <w:szCs w:val="24"/>
          <w:lang w:eastAsia="zh-CN"/>
        </w:rPr>
      </w:pPr>
      <w:bookmarkStart w:id="342" w:name="_Toc74923417"/>
      <w:r>
        <w:rPr>
          <w:rFonts w:hint="eastAsia" w:ascii="宋体" w:hAnsi="宋体" w:eastAsia="宋体" w:cs="宋体"/>
          <w:sz w:val="24"/>
          <w:szCs w:val="24"/>
          <w:lang w:eastAsia="zh-CN"/>
        </w:rPr>
        <w:t>接收及拒绝</w:t>
      </w:r>
      <w:bookmarkEnd w:id="34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需支持在处理会诊患者前，查看患者治疗过程信息；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需支持接收会诊，书写会诊意见；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需支持拒绝会诊，填写拒绝理由；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需支持允许会诊专家为会诊患者开立医嘱；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需支持接收后自动生成会诊计费医嘱；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需支持接收后可取消接收会诊，并可取消计费医嘱；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需支持接收后自动授权医生书写患者病历、医嘱、诊断权限；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需支持在会诊完成时，可生成HIS收费；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需支持在会诊完成时，自动创建待完成的会诊病程记录。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会诊互评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需支持会诊科室与受邀科室相互评价、具备评价查询和分析功能。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会诊完成时，需支持会诊专家评价本次会诊，且评价内容只允许专家方可见；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会诊完成后，需支持会诊申请医师评价本次会诊，且评价内容只允许申请方可见；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会诊评价内容，需支持自定义维护。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支持院内多科室会诊申请、审批、会诊的接收和拒绝、会诊记录创建和书写等。</w:t>
      </w:r>
    </w:p>
    <w:p>
      <w:pPr>
        <w:pStyle w:val="7"/>
        <w:numPr>
          <w:ilvl w:val="5"/>
          <w:numId w:val="13"/>
        </w:numPr>
        <w:ind w:firstLine="482"/>
        <w:rPr>
          <w:rFonts w:hint="eastAsia" w:ascii="宋体" w:hAnsi="宋体" w:eastAsia="宋体" w:cs="宋体"/>
          <w:i w:val="0"/>
          <w:iCs w:val="0"/>
          <w:sz w:val="24"/>
          <w:szCs w:val="24"/>
          <w:lang w:eastAsia="zh-CN"/>
        </w:rPr>
      </w:pPr>
      <w:r>
        <w:rPr>
          <w:rFonts w:hint="eastAsia" w:ascii="宋体" w:hAnsi="宋体" w:eastAsia="宋体" w:cs="宋体"/>
          <w:sz w:val="24"/>
          <w:szCs w:val="24"/>
          <w:lang w:eastAsia="zh-CN"/>
        </w:rPr>
        <w:t>手术</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手术计划</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需支持建立手术计划，录入手术相关信息；</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需支持修改手术计划；</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需支持删除手术计划；</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需支持手术计划名称通过选择手术以 “+”拼接生成，不可自定义；</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需支持拟手术名称必须通过选择手术生成，不可自定义；</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需支持维护手术计划任务前、中、后的病历模板，例如；术前小结、术前讨论记录、手术相关知情同意书、手术记录、术后病程病历模板。</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手术申请</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需支持以计划形式开立手术申请及围术期事件相关病历文书；</w:t>
      </w:r>
    </w:p>
    <w:p>
      <w:pPr>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需能够保持计划内各病历文书内容相互引用，数据信息同源，保持各文书与本次手术计划的强关联性和逻辑性；</w:t>
      </w:r>
    </w:p>
    <w:p>
      <w:pPr>
        <w:pStyle w:val="8"/>
        <w:numPr>
          <w:ilvl w:val="6"/>
          <w:numId w:val="13"/>
        </w:numPr>
        <w:ind w:firstLine="482"/>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lang w:eastAsia="zh-CN"/>
        </w:rPr>
        <w:t>手术相关记录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需支持在手术计划节点下创建不同类型的手术相关记录，例如术前小结、术前讨论记录、手术相关知情同意书、手术记录、术后病程； </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需支持在书写手术记录前，医生能够确认手术信息，可新增或通过手麻或手术申请单提取手术信息；可编辑手术信息；可上下移动手术信息设置主子手术；可刷新手术信息；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需支持手术确认信息自动带入手术记录中</w:t>
      </w:r>
      <w:bookmarkEnd w:id="339"/>
      <w:bookmarkEnd w:id="340"/>
      <w:bookmarkEnd w:id="341"/>
      <w:r>
        <w:rPr>
          <w:rFonts w:hint="eastAsia" w:ascii="宋体" w:hAnsi="宋体" w:eastAsia="宋体" w:cs="宋体"/>
          <w:sz w:val="24"/>
          <w:szCs w:val="24"/>
          <w:lang w:eastAsia="zh-CN"/>
        </w:rPr>
        <w:t>。</w:t>
      </w:r>
    </w:p>
    <w:p>
      <w:pPr>
        <w:pStyle w:val="6"/>
        <w:rPr>
          <w:rFonts w:hint="eastAsia" w:ascii="宋体" w:hAnsi="宋体" w:eastAsia="宋体" w:cs="宋体"/>
          <w:sz w:val="24"/>
          <w:szCs w:val="24"/>
          <w:lang w:eastAsia="zh-CN"/>
        </w:rPr>
      </w:pPr>
      <w:bookmarkStart w:id="343" w:name="_Toc97072233"/>
      <w:bookmarkStart w:id="344" w:name="_Toc23377"/>
      <w:bookmarkStart w:id="345" w:name="_Toc212033778"/>
      <w:bookmarkStart w:id="346" w:name="_Toc74923594"/>
      <w:r>
        <w:rPr>
          <w:rFonts w:hint="eastAsia" w:ascii="宋体" w:hAnsi="宋体" w:eastAsia="宋体" w:cs="宋体"/>
          <w:sz w:val="24"/>
          <w:szCs w:val="24"/>
          <w:lang w:eastAsia="zh-CN"/>
        </w:rPr>
        <w:t>病历模板管理</w:t>
      </w:r>
      <w:bookmarkEnd w:id="343"/>
      <w:bookmarkEnd w:id="344"/>
      <w:bookmarkEnd w:id="345"/>
    </w:p>
    <w:p>
      <w:pPr>
        <w:ind w:firstLine="480"/>
        <w:rPr>
          <w:rFonts w:hint="eastAsia" w:ascii="宋体" w:hAnsi="宋体" w:eastAsia="宋体" w:cs="宋体"/>
          <w:sz w:val="24"/>
          <w:szCs w:val="24"/>
          <w:lang w:eastAsia="zh-CN"/>
        </w:rPr>
      </w:pPr>
      <w:bookmarkStart w:id="347" w:name="_Hlk158038604"/>
      <w:bookmarkStart w:id="348" w:name="_Hlk158040723"/>
      <w:r>
        <w:rPr>
          <w:rFonts w:hint="eastAsia" w:ascii="宋体" w:hAnsi="宋体" w:eastAsia="宋体" w:cs="宋体"/>
          <w:sz w:val="24"/>
          <w:szCs w:val="24"/>
          <w:lang w:eastAsia="zh-CN"/>
        </w:rPr>
        <w:t>病历文书基于“病历模版”创建而来。电子病历的书写需要规范化，需通过病历模版构建规范的模型框架，病历模版管理需协助医院打造规范电子病历，模版需基于结构化构建，需基于“病历元素”为基本核心构建统一化、体系化、兼顾各科室个性化的结构化病历模板，支撑整个病历书写</w:t>
      </w:r>
      <w:bookmarkEnd w:id="347"/>
      <w:r>
        <w:rPr>
          <w:rFonts w:hint="eastAsia" w:ascii="宋体" w:hAnsi="宋体" w:eastAsia="宋体" w:cs="宋体"/>
          <w:sz w:val="24"/>
          <w:szCs w:val="24"/>
          <w:lang w:eastAsia="zh-CN"/>
        </w:rPr>
        <w:t>。</w:t>
      </w:r>
      <w:bookmarkEnd w:id="348"/>
    </w:p>
    <w:p>
      <w:pPr>
        <w:pStyle w:val="7"/>
        <w:numPr>
          <w:ilvl w:val="5"/>
          <w:numId w:val="14"/>
        </w:numPr>
        <w:rPr>
          <w:rFonts w:hint="eastAsia" w:ascii="宋体" w:hAnsi="宋体" w:eastAsia="宋体" w:cs="宋体"/>
          <w:sz w:val="24"/>
          <w:szCs w:val="24"/>
          <w:lang w:eastAsia="zh-CN"/>
        </w:rPr>
      </w:pPr>
      <w:bookmarkStart w:id="349" w:name="_Toc35290495"/>
      <w:bookmarkStart w:id="350" w:name="_Toc74923419"/>
      <w:bookmarkStart w:id="351" w:name="_Toc16762_WPSOffice_Level3"/>
      <w:bookmarkStart w:id="352" w:name="_Toc65597083"/>
      <w:bookmarkStart w:id="353" w:name="_Toc97072234"/>
      <w:r>
        <w:rPr>
          <w:rFonts w:hint="eastAsia" w:ascii="宋体" w:hAnsi="宋体" w:eastAsia="宋体" w:cs="宋体"/>
          <w:sz w:val="24"/>
          <w:szCs w:val="24"/>
          <w:lang w:eastAsia="zh-CN"/>
        </w:rPr>
        <w:t>元素维护</w:t>
      </w:r>
      <w:bookmarkEnd w:id="349"/>
      <w:bookmarkEnd w:id="350"/>
      <w:bookmarkEnd w:id="351"/>
      <w:bookmarkEnd w:id="352"/>
      <w:bookmarkEnd w:id="35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病历元素，即病历中的项目，系统需通过病历元素实现病历数据的结构化存储、多元化录入和一元化管理。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元素类型需要包括文本框、下拉框、复选框、单选框、时间框，可实现病历的多元化录入。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需提供元素的引用功能，对于一次诊疗中的同一元素，直接应用，避免医生重复录入。</w:t>
      </w:r>
    </w:p>
    <w:p>
      <w:pPr>
        <w:pStyle w:val="7"/>
        <w:numPr>
          <w:ilvl w:val="5"/>
          <w:numId w:val="14"/>
        </w:numPr>
        <w:ind w:firstLine="482"/>
        <w:rPr>
          <w:rFonts w:hint="eastAsia" w:ascii="宋体" w:hAnsi="宋体" w:eastAsia="宋体" w:cs="宋体"/>
          <w:sz w:val="24"/>
          <w:szCs w:val="24"/>
          <w:lang w:eastAsia="zh-CN"/>
        </w:rPr>
      </w:pPr>
      <w:bookmarkStart w:id="354" w:name="_Toc74923420"/>
      <w:bookmarkStart w:id="355" w:name="_Toc65597084"/>
      <w:bookmarkStart w:id="356" w:name="_Toc35290496"/>
      <w:bookmarkStart w:id="357" w:name="_Toc22991_WPSOffice_Level3"/>
      <w:bookmarkStart w:id="358" w:name="_Toc97072235"/>
      <w:r>
        <w:rPr>
          <w:rFonts w:hint="eastAsia" w:ascii="宋体" w:hAnsi="宋体" w:eastAsia="宋体" w:cs="宋体"/>
          <w:sz w:val="24"/>
          <w:szCs w:val="24"/>
          <w:lang w:eastAsia="zh-CN"/>
        </w:rPr>
        <w:t>模板维护</w:t>
      </w:r>
      <w:bookmarkEnd w:id="354"/>
      <w:bookmarkEnd w:id="355"/>
      <w:bookmarkEnd w:id="356"/>
      <w:bookmarkEnd w:id="357"/>
      <w:bookmarkEnd w:id="35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需提供自定义和可视化病历模板维护功能。模板中的单元是由元素、元素节和区域组成的，这些单元灵活运用可生成一套完整结构化的模板。</w:t>
      </w:r>
    </w:p>
    <w:p>
      <w:pPr>
        <w:pStyle w:val="7"/>
        <w:numPr>
          <w:ilvl w:val="5"/>
          <w:numId w:val="14"/>
        </w:numPr>
        <w:ind w:firstLine="482"/>
        <w:rPr>
          <w:rFonts w:hint="eastAsia" w:ascii="宋体" w:hAnsi="宋体" w:eastAsia="宋体" w:cs="宋体"/>
          <w:sz w:val="24"/>
          <w:szCs w:val="24"/>
          <w:lang w:eastAsia="zh-CN"/>
        </w:rPr>
      </w:pPr>
      <w:bookmarkStart w:id="359" w:name="_Toc30625_WPSOffice_Level3"/>
      <w:bookmarkStart w:id="360" w:name="_Toc65597085"/>
      <w:bookmarkStart w:id="361" w:name="_Toc74923421"/>
      <w:bookmarkStart w:id="362" w:name="_Toc35290497"/>
      <w:bookmarkStart w:id="363" w:name="_Toc97072236"/>
      <w:r>
        <w:rPr>
          <w:rFonts w:hint="eastAsia" w:ascii="宋体" w:hAnsi="宋体" w:eastAsia="宋体" w:cs="宋体"/>
          <w:sz w:val="24"/>
          <w:szCs w:val="24"/>
          <w:lang w:eastAsia="zh-CN"/>
        </w:rPr>
        <w:t>模板分配</w:t>
      </w:r>
      <w:bookmarkEnd w:id="359"/>
      <w:bookmarkEnd w:id="360"/>
      <w:bookmarkEnd w:id="361"/>
      <w:bookmarkEnd w:id="362"/>
      <w:bookmarkEnd w:id="36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需提供将病历模板分配到指定科室的功能。医院可根据科室需要配置不同科室所使用的模板。</w:t>
      </w:r>
    </w:p>
    <w:p>
      <w:pPr>
        <w:pStyle w:val="7"/>
        <w:numPr>
          <w:ilvl w:val="5"/>
          <w:numId w:val="14"/>
        </w:numPr>
        <w:ind w:firstLine="482"/>
        <w:rPr>
          <w:rFonts w:hint="eastAsia" w:ascii="宋体" w:hAnsi="宋体" w:eastAsia="宋体" w:cs="宋体"/>
          <w:sz w:val="24"/>
          <w:szCs w:val="24"/>
          <w:lang w:eastAsia="zh-CN"/>
        </w:rPr>
      </w:pPr>
      <w:bookmarkStart w:id="364" w:name="_Toc14146_WPSOffice_Level3"/>
      <w:bookmarkStart w:id="365" w:name="_Toc35290499"/>
      <w:bookmarkStart w:id="366" w:name="_Toc74923423"/>
      <w:bookmarkStart w:id="367" w:name="_Toc97072237"/>
      <w:bookmarkStart w:id="368" w:name="_Toc65597087"/>
      <w:r>
        <w:rPr>
          <w:rFonts w:hint="eastAsia" w:ascii="宋体" w:hAnsi="宋体" w:eastAsia="宋体" w:cs="宋体"/>
          <w:sz w:val="24"/>
          <w:szCs w:val="24"/>
          <w:lang w:eastAsia="zh-CN"/>
        </w:rPr>
        <w:t>病历复用元素设置</w:t>
      </w:r>
      <w:bookmarkEnd w:id="364"/>
      <w:bookmarkEnd w:id="365"/>
      <w:bookmarkEnd w:id="366"/>
      <w:bookmarkEnd w:id="367"/>
      <w:bookmarkEnd w:id="36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需提供病历模板中元素的复用功能，当患者多次就诊或复诊时，医生可按照复用规则复用该患者既往就诊的元素信息。</w:t>
      </w:r>
    </w:p>
    <w:p>
      <w:pPr>
        <w:pStyle w:val="6"/>
        <w:rPr>
          <w:rFonts w:hint="eastAsia" w:ascii="宋体" w:hAnsi="宋体" w:eastAsia="宋体" w:cs="宋体"/>
          <w:sz w:val="24"/>
          <w:szCs w:val="24"/>
          <w:lang w:eastAsia="zh-CN"/>
        </w:rPr>
      </w:pPr>
      <w:bookmarkStart w:id="369" w:name="_Toc97072238"/>
      <w:bookmarkStart w:id="370" w:name="_Toc212033779"/>
      <w:bookmarkStart w:id="371" w:name="_Toc65252365"/>
      <w:bookmarkStart w:id="372" w:name="_Toc25123"/>
      <w:bookmarkStart w:id="373" w:name="_Toc74923424"/>
      <w:r>
        <w:rPr>
          <w:rFonts w:hint="eastAsia" w:ascii="宋体" w:hAnsi="宋体" w:eastAsia="宋体" w:cs="宋体"/>
          <w:sz w:val="24"/>
          <w:szCs w:val="24"/>
          <w:lang w:eastAsia="zh-CN"/>
        </w:rPr>
        <w:t>临床数据应用视图</w:t>
      </w:r>
      <w:bookmarkEnd w:id="369"/>
      <w:bookmarkEnd w:id="370"/>
      <w:bookmarkEnd w:id="371"/>
      <w:bookmarkEnd w:id="372"/>
      <w:bookmarkEnd w:id="37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系统需支持按照时间顺序倒序展示患者历次就诊的时间及相关就诊信息摘要功能；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系统需支持按照就诊场景（门诊、住院、手术、MDT会诊、放疗、化疗）展示患者历次就诊的时间以及摘要信息功能；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系统需支持可查询指定的某次就医功能；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系统需支持就诊节点相关的检验报告快速查看链接；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系统需支持就诊节点相关的检查报告快速查看链接；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系统需支持展示患者门诊就诊相关病历；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系统需支持展示患者急诊就诊相关病历；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系统需支持患者住院时所有的住院病历（入院记录，出院记录，病程记录，护理记录，手术记录）。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系统需支持展示患者历史医嘱信息功能；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系统需支持复制历史医嘱到医嘱开立页面功能；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系统需支持展示相关的常规检验，细菌实验的检验结果功能；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系统需支持查询指定的检验结果的曲线分析功能；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系统需支持展示患者相关的检查报告（CT、DR、心电、病理、内窥镜检查报告）功能；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系统需支持复制检查报告结果内容功能，方便医生填写患者病历。</w:t>
      </w:r>
    </w:p>
    <w:p>
      <w:pPr>
        <w:pStyle w:val="6"/>
        <w:rPr>
          <w:rFonts w:hint="eastAsia" w:ascii="宋体" w:hAnsi="宋体" w:eastAsia="宋体" w:cs="宋体"/>
          <w:sz w:val="24"/>
          <w:szCs w:val="24"/>
          <w:lang w:eastAsia="zh-CN"/>
        </w:rPr>
      </w:pPr>
      <w:bookmarkStart w:id="374" w:name="_Toc26322"/>
      <w:bookmarkStart w:id="375" w:name="_Toc97072240"/>
      <w:bookmarkStart w:id="376" w:name="_Toc74923427"/>
      <w:bookmarkStart w:id="377" w:name="_Toc65252370"/>
      <w:bookmarkStart w:id="378" w:name="_Toc212033780"/>
      <w:r>
        <w:rPr>
          <w:rFonts w:hint="eastAsia" w:ascii="宋体" w:hAnsi="宋体" w:eastAsia="宋体" w:cs="宋体"/>
          <w:sz w:val="24"/>
          <w:szCs w:val="24"/>
          <w:lang w:eastAsia="zh-CN"/>
        </w:rPr>
        <w:t>病历</w:t>
      </w:r>
      <w:bookmarkEnd w:id="374"/>
      <w:bookmarkEnd w:id="375"/>
      <w:bookmarkEnd w:id="376"/>
      <w:bookmarkEnd w:id="377"/>
      <w:r>
        <w:rPr>
          <w:rFonts w:hint="eastAsia" w:ascii="宋体" w:hAnsi="宋体" w:eastAsia="宋体" w:cs="宋体"/>
          <w:sz w:val="24"/>
          <w:szCs w:val="24"/>
          <w:lang w:eastAsia="zh-CN"/>
        </w:rPr>
        <w:t>查询</w:t>
      </w:r>
      <w:bookmarkEnd w:id="37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Web病历是基于浏览器形展示病历的方法是电子病历的延展，是科室间、医生间查看患者病历文书的便捷手段，可实现医技科室及临床辅助科室等不具备病历编辑权限的科室查看患者病历信息从而协助治疗。Web病历同时也适用于三方系统之间的病历展示应用形式灵活。</w:t>
      </w:r>
    </w:p>
    <w:p>
      <w:pPr>
        <w:pStyle w:val="7"/>
        <w:numPr>
          <w:ilvl w:val="5"/>
          <w:numId w:val="15"/>
        </w:numPr>
        <w:rPr>
          <w:rFonts w:hint="eastAsia" w:ascii="宋体" w:hAnsi="宋体" w:eastAsia="宋体" w:cs="宋体"/>
          <w:sz w:val="24"/>
          <w:szCs w:val="24"/>
          <w:lang w:eastAsia="zh-CN"/>
        </w:rPr>
      </w:pPr>
      <w:bookmarkStart w:id="379" w:name="_Toc74923428"/>
      <w:bookmarkStart w:id="380" w:name="_Toc97072241"/>
      <w:r>
        <w:rPr>
          <w:rFonts w:hint="eastAsia" w:ascii="宋体" w:hAnsi="宋体" w:eastAsia="宋体" w:cs="宋体"/>
          <w:sz w:val="24"/>
          <w:szCs w:val="24"/>
          <w:lang w:eastAsia="zh-CN"/>
        </w:rPr>
        <w:t>患者列表</w:t>
      </w:r>
      <w:bookmarkEnd w:id="379"/>
      <w:bookmarkEnd w:id="380"/>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系统需支持显示住院患者列表；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系统需支持显示门诊患者列表。</w:t>
      </w:r>
    </w:p>
    <w:p>
      <w:pPr>
        <w:pStyle w:val="7"/>
        <w:numPr>
          <w:ilvl w:val="5"/>
          <w:numId w:val="15"/>
        </w:numPr>
        <w:ind w:firstLine="482"/>
        <w:rPr>
          <w:rFonts w:hint="eastAsia" w:ascii="宋体" w:hAnsi="宋体" w:eastAsia="宋体" w:cs="宋体"/>
          <w:sz w:val="24"/>
          <w:szCs w:val="24"/>
          <w:lang w:eastAsia="zh-CN"/>
        </w:rPr>
      </w:pPr>
      <w:bookmarkStart w:id="381" w:name="_Toc74923429"/>
      <w:bookmarkStart w:id="382" w:name="_Toc97072242"/>
      <w:r>
        <w:rPr>
          <w:rFonts w:hint="eastAsia" w:ascii="宋体" w:hAnsi="宋体" w:eastAsia="宋体" w:cs="宋体"/>
          <w:sz w:val="24"/>
          <w:szCs w:val="24"/>
          <w:lang w:eastAsia="zh-CN"/>
        </w:rPr>
        <w:t>医生病历查看</w:t>
      </w:r>
      <w:bookmarkEnd w:id="381"/>
      <w:bookmarkEnd w:id="38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系统需支持查看入院记录、病程记录、手术相关记录、知情告知书、出院记录、会诊记录、病案首页。</w:t>
      </w:r>
    </w:p>
    <w:p>
      <w:pPr>
        <w:pStyle w:val="7"/>
        <w:numPr>
          <w:ilvl w:val="5"/>
          <w:numId w:val="15"/>
        </w:numPr>
        <w:ind w:firstLine="482"/>
        <w:rPr>
          <w:rFonts w:hint="eastAsia" w:ascii="宋体" w:hAnsi="宋体" w:eastAsia="宋体" w:cs="宋体"/>
          <w:sz w:val="24"/>
          <w:szCs w:val="24"/>
          <w:lang w:eastAsia="zh-CN"/>
        </w:rPr>
      </w:pPr>
      <w:bookmarkStart w:id="383" w:name="_Toc97072243"/>
      <w:bookmarkStart w:id="384" w:name="_Toc74923430"/>
      <w:r>
        <w:rPr>
          <w:rFonts w:hint="eastAsia" w:ascii="宋体" w:hAnsi="宋体" w:eastAsia="宋体" w:cs="宋体"/>
          <w:sz w:val="24"/>
          <w:szCs w:val="24"/>
          <w:lang w:eastAsia="zh-CN"/>
        </w:rPr>
        <w:t>护士病历查看</w:t>
      </w:r>
      <w:bookmarkEnd w:id="383"/>
      <w:bookmarkEnd w:id="38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系统需支持查看体温单、护理记录、入院评估单。</w:t>
      </w:r>
    </w:p>
    <w:p>
      <w:pPr>
        <w:pStyle w:val="7"/>
        <w:numPr>
          <w:ilvl w:val="5"/>
          <w:numId w:val="15"/>
        </w:numPr>
        <w:ind w:firstLine="482"/>
        <w:rPr>
          <w:rFonts w:hint="eastAsia" w:ascii="宋体" w:hAnsi="宋体" w:eastAsia="宋体" w:cs="宋体"/>
          <w:sz w:val="24"/>
          <w:szCs w:val="24"/>
          <w:lang w:eastAsia="zh-CN"/>
        </w:rPr>
      </w:pPr>
      <w:bookmarkStart w:id="385" w:name="_Toc74923431"/>
      <w:bookmarkStart w:id="386" w:name="_Toc97072244"/>
      <w:r>
        <w:rPr>
          <w:rFonts w:hint="eastAsia" w:ascii="宋体" w:hAnsi="宋体" w:eastAsia="宋体" w:cs="宋体"/>
          <w:sz w:val="24"/>
          <w:szCs w:val="24"/>
          <w:lang w:eastAsia="zh-CN"/>
        </w:rPr>
        <w:t>检验查看</w:t>
      </w:r>
      <w:bookmarkEnd w:id="385"/>
      <w:bookmarkEnd w:id="386"/>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系统需支持查看检验信息。</w:t>
      </w:r>
    </w:p>
    <w:p>
      <w:pPr>
        <w:pStyle w:val="7"/>
        <w:numPr>
          <w:ilvl w:val="5"/>
          <w:numId w:val="15"/>
        </w:numPr>
        <w:ind w:firstLine="482"/>
        <w:rPr>
          <w:rFonts w:hint="eastAsia" w:ascii="宋体" w:hAnsi="宋体" w:eastAsia="宋体" w:cs="宋体"/>
          <w:sz w:val="24"/>
          <w:szCs w:val="24"/>
          <w:lang w:eastAsia="zh-CN"/>
        </w:rPr>
      </w:pPr>
      <w:bookmarkStart w:id="387" w:name="_Toc97072245"/>
      <w:bookmarkStart w:id="388" w:name="_Toc74923432"/>
      <w:r>
        <w:rPr>
          <w:rFonts w:hint="eastAsia" w:ascii="宋体" w:hAnsi="宋体" w:eastAsia="宋体" w:cs="宋体"/>
          <w:sz w:val="24"/>
          <w:szCs w:val="24"/>
          <w:lang w:eastAsia="zh-CN"/>
        </w:rPr>
        <w:t>检查查看</w:t>
      </w:r>
      <w:bookmarkEnd w:id="387"/>
      <w:bookmarkEnd w:id="388"/>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系统需支持查看检查信息。</w:t>
      </w:r>
    </w:p>
    <w:p>
      <w:pPr>
        <w:pStyle w:val="7"/>
        <w:numPr>
          <w:ilvl w:val="5"/>
          <w:numId w:val="15"/>
        </w:numPr>
        <w:ind w:firstLine="482"/>
        <w:rPr>
          <w:rFonts w:hint="eastAsia" w:ascii="宋体" w:hAnsi="宋体" w:eastAsia="宋体" w:cs="宋体"/>
          <w:sz w:val="24"/>
          <w:szCs w:val="24"/>
          <w:lang w:eastAsia="zh-CN"/>
        </w:rPr>
      </w:pPr>
      <w:bookmarkStart w:id="389" w:name="_Toc74923433"/>
      <w:bookmarkStart w:id="390" w:name="_Toc97072246"/>
      <w:r>
        <w:rPr>
          <w:rFonts w:hint="eastAsia" w:ascii="宋体" w:hAnsi="宋体" w:eastAsia="宋体" w:cs="宋体"/>
          <w:sz w:val="24"/>
          <w:szCs w:val="24"/>
          <w:lang w:eastAsia="zh-CN"/>
        </w:rPr>
        <w:t>医嘱查看</w:t>
      </w:r>
      <w:bookmarkEnd w:id="389"/>
      <w:bookmarkEnd w:id="390"/>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系统需支持查看长期医嘱、临时医嘱。</w:t>
      </w:r>
    </w:p>
    <w:p>
      <w:pPr>
        <w:pStyle w:val="7"/>
        <w:numPr>
          <w:ilvl w:val="5"/>
          <w:numId w:val="15"/>
        </w:numPr>
        <w:ind w:firstLine="482"/>
        <w:rPr>
          <w:rFonts w:hint="eastAsia" w:ascii="宋体" w:hAnsi="宋体" w:eastAsia="宋体" w:cs="宋体"/>
          <w:sz w:val="24"/>
          <w:szCs w:val="24"/>
          <w:lang w:eastAsia="zh-CN"/>
        </w:rPr>
      </w:pPr>
      <w:bookmarkStart w:id="391" w:name="_Toc74923434"/>
      <w:bookmarkStart w:id="392" w:name="_Toc97072247"/>
      <w:r>
        <w:rPr>
          <w:rFonts w:hint="eastAsia" w:ascii="宋体" w:hAnsi="宋体" w:eastAsia="宋体" w:cs="宋体"/>
          <w:sz w:val="24"/>
          <w:szCs w:val="24"/>
          <w:lang w:eastAsia="zh-CN"/>
        </w:rPr>
        <w:t>既往病历查看</w:t>
      </w:r>
      <w:bookmarkEnd w:id="391"/>
      <w:bookmarkEnd w:id="39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系统需支持查看既往病历。</w:t>
      </w:r>
    </w:p>
    <w:p>
      <w:pPr>
        <w:pStyle w:val="7"/>
        <w:numPr>
          <w:ilvl w:val="5"/>
          <w:numId w:val="15"/>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申请单查看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系统需支持查看申请单信息。 </w:t>
      </w:r>
    </w:p>
    <w:p>
      <w:pPr>
        <w:pStyle w:val="7"/>
        <w:numPr>
          <w:ilvl w:val="5"/>
          <w:numId w:val="15"/>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发药信息查看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系统需支持查看发药信息。 </w:t>
      </w:r>
    </w:p>
    <w:p>
      <w:pPr>
        <w:pStyle w:val="7"/>
        <w:numPr>
          <w:ilvl w:val="5"/>
          <w:numId w:val="15"/>
        </w:numPr>
        <w:ind w:firstLine="482"/>
        <w:rPr>
          <w:rFonts w:hint="eastAsia" w:ascii="宋体" w:hAnsi="宋体" w:eastAsia="宋体" w:cs="宋体"/>
          <w:sz w:val="24"/>
          <w:szCs w:val="24"/>
          <w:lang w:eastAsia="zh-CN"/>
        </w:rPr>
      </w:pPr>
      <w:bookmarkStart w:id="393" w:name="_Hlk158038702"/>
      <w:r>
        <w:rPr>
          <w:rFonts w:hint="eastAsia" w:ascii="宋体" w:hAnsi="宋体" w:eastAsia="宋体" w:cs="宋体"/>
          <w:sz w:val="24"/>
          <w:szCs w:val="24"/>
          <w:lang w:eastAsia="zh-CN"/>
        </w:rPr>
        <w:t>医嘱执行记录查看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系统需支持查看医嘱执行记录信息。</w:t>
      </w:r>
      <w:bookmarkEnd w:id="393"/>
    </w:p>
    <w:p>
      <w:pPr>
        <w:pStyle w:val="6"/>
        <w:rPr>
          <w:rFonts w:hint="eastAsia" w:ascii="宋体" w:hAnsi="宋体" w:eastAsia="宋体" w:cs="宋体"/>
          <w:sz w:val="24"/>
          <w:szCs w:val="24"/>
          <w:lang w:eastAsia="zh-CN"/>
        </w:rPr>
      </w:pPr>
      <w:bookmarkStart w:id="394" w:name="_Toc97072256"/>
      <w:bookmarkStart w:id="395" w:name="_Toc14496"/>
      <w:bookmarkStart w:id="396" w:name="_Toc65509290"/>
      <w:bookmarkStart w:id="397" w:name="_Toc74923449"/>
      <w:bookmarkStart w:id="398" w:name="_Toc212033782"/>
      <w:r>
        <w:rPr>
          <w:rFonts w:hint="eastAsia" w:ascii="宋体" w:hAnsi="宋体" w:eastAsia="宋体" w:cs="宋体"/>
          <w:sz w:val="24"/>
          <w:szCs w:val="24"/>
          <w:lang w:eastAsia="zh-CN"/>
        </w:rPr>
        <w:t>病历管理</w:t>
      </w:r>
      <w:bookmarkEnd w:id="394"/>
      <w:bookmarkEnd w:id="395"/>
      <w:bookmarkEnd w:id="396"/>
      <w:bookmarkEnd w:id="397"/>
      <w:bookmarkEnd w:id="398"/>
    </w:p>
    <w:p>
      <w:pPr>
        <w:pStyle w:val="7"/>
        <w:numPr>
          <w:ilvl w:val="5"/>
          <w:numId w:val="16"/>
        </w:numPr>
        <w:ind w:firstLine="482"/>
        <w:rPr>
          <w:rFonts w:hint="eastAsia" w:ascii="宋体" w:hAnsi="宋体" w:eastAsia="宋体" w:cs="宋体"/>
          <w:sz w:val="24"/>
          <w:szCs w:val="24"/>
          <w:lang w:eastAsia="zh-CN"/>
        </w:rPr>
      </w:pPr>
      <w:bookmarkStart w:id="399" w:name="_Toc32245112"/>
      <w:r>
        <w:rPr>
          <w:rFonts w:hint="eastAsia" w:ascii="宋体" w:hAnsi="宋体" w:eastAsia="宋体" w:cs="宋体"/>
          <w:sz w:val="24"/>
          <w:szCs w:val="24"/>
          <w:lang w:eastAsia="zh-CN"/>
        </w:rPr>
        <w:t>住院病历结构化检索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系统需支持为病历结构化检索功能以维护科研角色权限；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系统需支持住院医生（科研角色）按结构化项目进行病历检索，并可查看检索到的病历内容；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病历检索功能需支持对病历内容、体征信息、诊断/手术信息进行结构化内容检索；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系统需支持管理部门对病历检索操作进行跟踪管理 （如管理者可以查看到科研病历查询的使用人员信息、登录终端信息、使用时间信息、查询条件记录）。</w:t>
      </w:r>
    </w:p>
    <w:p>
      <w:pPr>
        <w:pStyle w:val="7"/>
        <w:numPr>
          <w:ilvl w:val="5"/>
          <w:numId w:val="16"/>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门诊病历结构化检索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系统需支持门诊医生（科研角色）按结构化项目进行病历检索，并可查看检索到的病历内容；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系统需病历检索功能支持对病历内容、体征信息、过敏、诊断信息进行标准化内容检索；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系统需支持管理部门对病历检索操作进行跟踪管理 （如管理者可以查看到科研病历查询的使用人员信息、登录终端信息、使用时间信息、查询条件记录）。</w:t>
      </w:r>
      <w:bookmarkEnd w:id="346"/>
      <w:bookmarkEnd w:id="399"/>
    </w:p>
    <w:p>
      <w:pPr>
        <w:pStyle w:val="6"/>
        <w:rPr>
          <w:rFonts w:hint="eastAsia" w:ascii="宋体" w:hAnsi="宋体" w:eastAsia="宋体" w:cs="宋体"/>
          <w:sz w:val="24"/>
          <w:szCs w:val="24"/>
          <w:lang w:eastAsia="zh-CN"/>
        </w:rPr>
      </w:pPr>
      <w:bookmarkStart w:id="400" w:name="_Toc74923454"/>
      <w:bookmarkStart w:id="401" w:name="_Toc23786"/>
      <w:bookmarkStart w:id="402" w:name="_Toc97072262"/>
      <w:bookmarkStart w:id="403" w:name="_Toc212033783"/>
      <w:r>
        <w:rPr>
          <w:rFonts w:hint="eastAsia" w:ascii="宋体" w:hAnsi="宋体" w:eastAsia="宋体" w:cs="宋体"/>
          <w:sz w:val="24"/>
          <w:szCs w:val="24"/>
          <w:lang w:eastAsia="zh-CN"/>
        </w:rPr>
        <w:t>病历编辑</w:t>
      </w:r>
      <w:bookmarkEnd w:id="400"/>
      <w:bookmarkEnd w:id="401"/>
      <w:bookmarkEnd w:id="402"/>
      <w:r>
        <w:rPr>
          <w:rFonts w:hint="eastAsia" w:ascii="宋体" w:hAnsi="宋体" w:eastAsia="宋体" w:cs="宋体"/>
          <w:sz w:val="24"/>
          <w:szCs w:val="24"/>
          <w:lang w:eastAsia="zh-CN"/>
        </w:rPr>
        <w:t>管理</w:t>
      </w:r>
      <w:bookmarkEnd w:id="40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病历编辑需要提供病历编辑器。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需提供病历编辑器，用于支持电子病历文书的书写工作。</w:t>
      </w:r>
    </w:p>
    <w:p>
      <w:pPr>
        <w:pStyle w:val="6"/>
        <w:rPr>
          <w:rFonts w:hint="eastAsia" w:ascii="宋体" w:hAnsi="宋体" w:eastAsia="宋体" w:cs="宋体"/>
          <w:sz w:val="24"/>
          <w:szCs w:val="24"/>
          <w:lang w:eastAsia="zh-CN"/>
        </w:rPr>
      </w:pPr>
      <w:bookmarkStart w:id="404" w:name="_Toc13724"/>
      <w:bookmarkStart w:id="405" w:name="_Toc212033784"/>
      <w:r>
        <w:rPr>
          <w:rFonts w:hint="eastAsia" w:ascii="宋体" w:hAnsi="宋体" w:eastAsia="宋体" w:cs="宋体"/>
          <w:sz w:val="24"/>
          <w:szCs w:val="24"/>
          <w:lang w:eastAsia="zh-CN"/>
        </w:rPr>
        <w:t>知识库</w:t>
      </w:r>
      <w:bookmarkEnd w:id="404"/>
      <w:r>
        <w:rPr>
          <w:rFonts w:hint="eastAsia" w:ascii="宋体" w:hAnsi="宋体" w:eastAsia="宋体" w:cs="宋体"/>
          <w:sz w:val="24"/>
          <w:szCs w:val="24"/>
          <w:lang w:eastAsia="zh-CN"/>
        </w:rPr>
        <w:t>管理</w:t>
      </w:r>
      <w:bookmarkEnd w:id="40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需包含病历模板（互联互通标准模板、省市县医院整理模板）</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妇幼专科系统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需根据妇幼专科提供专科模板。</w:t>
      </w:r>
    </w:p>
    <w:p>
      <w:pPr>
        <w:pStyle w:val="6"/>
        <w:rPr>
          <w:rFonts w:hint="eastAsia" w:ascii="宋体" w:hAnsi="宋体" w:eastAsia="宋体" w:cs="宋体"/>
          <w:sz w:val="24"/>
          <w:szCs w:val="24"/>
          <w:lang w:eastAsia="zh-CN"/>
        </w:rPr>
      </w:pPr>
      <w:bookmarkStart w:id="406" w:name="_Toc32320"/>
      <w:bookmarkStart w:id="407" w:name="_Toc212033785"/>
      <w:r>
        <w:rPr>
          <w:rFonts w:hint="eastAsia" w:ascii="宋体" w:hAnsi="宋体" w:eastAsia="宋体" w:cs="宋体"/>
          <w:sz w:val="24"/>
          <w:szCs w:val="24"/>
          <w:lang w:eastAsia="zh-CN"/>
        </w:rPr>
        <w:t>对标评级改造</w:t>
      </w:r>
      <w:bookmarkEnd w:id="406"/>
      <w:bookmarkEnd w:id="40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病历具有分块安全控制机制和访问日志，系统需支持科室患者权限，系统需支持临时授权患者，系统需支持病历借阅功能，系统需支持隐私患者，系统需支持解归档功能。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维护病历书写校验的规则</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系统需支持临床医师书写的处方信息自动插入门诊病历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系统需支持病历访问权限控制，支持跨门诊科室患者访问，非本人签名病历不允许修改，打印后的病历医生通过修改审批实现修改。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系统需支持具有对按照质控修改的病历内容，进行追踪检查功能，支持医生通过质控问题进入病历具体位置，核对质控问题与病历内容；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系统需支持对医学影像资料、手术录像、接入检查录像等电子资料复制功能；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系统需支持对电子病历数据的封存处理，系统需支持病案室对病案进行封存与解封；</w:t>
      </w:r>
    </w:p>
    <w:p>
      <w:pPr>
        <w:pStyle w:val="6"/>
        <w:rPr>
          <w:rFonts w:hint="eastAsia" w:ascii="宋体" w:hAnsi="宋体" w:eastAsia="宋体" w:cs="宋体"/>
          <w:sz w:val="24"/>
          <w:szCs w:val="24"/>
          <w:lang w:eastAsia="zh-CN"/>
        </w:rPr>
      </w:pPr>
      <w:r>
        <w:rPr>
          <w:rFonts w:hint="eastAsia" w:ascii="宋体" w:hAnsi="宋体" w:eastAsia="宋体" w:cs="宋体"/>
          <w:sz w:val="24"/>
          <w:szCs w:val="24"/>
          <w:lang w:eastAsia="zh-CN"/>
        </w:rPr>
        <w:t>临床路径系统改造升级</w:t>
      </w:r>
    </w:p>
    <w:p>
      <w:pPr>
        <w:pStyle w:val="7"/>
        <w:rPr>
          <w:rFonts w:hint="eastAsia" w:ascii="宋体" w:hAnsi="宋体" w:eastAsia="宋体" w:cs="宋体"/>
          <w:sz w:val="24"/>
          <w:szCs w:val="24"/>
          <w:lang w:eastAsia="zh-CN"/>
        </w:rPr>
      </w:pPr>
      <w:bookmarkStart w:id="408" w:name="_Toc97708839"/>
      <w:bookmarkStart w:id="409" w:name="_Toc65597504"/>
      <w:bookmarkStart w:id="410" w:name="_Toc66262585"/>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基础功能</w:t>
      </w:r>
      <w:bookmarkEnd w:id="408"/>
      <w:bookmarkEnd w:id="409"/>
      <w:bookmarkEnd w:id="410"/>
    </w:p>
    <w:p>
      <w:pPr>
        <w:ind w:firstLine="480"/>
        <w:rPr>
          <w:rFonts w:hint="eastAsia" w:ascii="宋体" w:hAnsi="宋体" w:eastAsia="宋体" w:cs="宋体"/>
          <w:sz w:val="24"/>
          <w:szCs w:val="24"/>
          <w:lang w:eastAsia="zh-CN"/>
        </w:rPr>
      </w:pPr>
      <w:bookmarkStart w:id="411" w:name="_Toc65597508"/>
      <w:bookmarkStart w:id="412" w:name="_Toc97708840"/>
      <w:bookmarkStart w:id="413" w:name="_Toc66262586"/>
      <w:r>
        <w:rPr>
          <w:rFonts w:hint="eastAsia" w:ascii="宋体" w:hAnsi="宋体" w:eastAsia="宋体" w:cs="宋体"/>
          <w:sz w:val="24"/>
          <w:szCs w:val="24"/>
          <w:lang w:eastAsia="zh-CN"/>
        </w:rPr>
        <w:t>1.路径显示状态配置管理</w:t>
      </w:r>
      <w:bookmarkEnd w:id="411"/>
      <w:bookmarkEnd w:id="412"/>
      <w:bookmarkEnd w:id="41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系统需支持对路径中各种项目状态颜色配置；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系统需支持对路径模板中各个阶段列头颜色配置，作为是否执行状态区分。</w:t>
      </w:r>
    </w:p>
    <w:p>
      <w:pPr>
        <w:ind w:firstLine="480"/>
        <w:rPr>
          <w:rFonts w:hint="eastAsia" w:ascii="宋体" w:hAnsi="宋体" w:eastAsia="宋体" w:cs="宋体"/>
          <w:sz w:val="24"/>
          <w:szCs w:val="24"/>
          <w:lang w:eastAsia="zh-CN"/>
        </w:rPr>
      </w:pPr>
      <w:bookmarkStart w:id="414" w:name="_Toc65597509"/>
      <w:bookmarkStart w:id="415" w:name="_Toc66262587"/>
      <w:bookmarkStart w:id="416" w:name="_Toc34755148"/>
      <w:bookmarkStart w:id="417" w:name="_Toc97708841"/>
      <w:r>
        <w:rPr>
          <w:rFonts w:hint="eastAsia" w:ascii="宋体" w:hAnsi="宋体" w:eastAsia="宋体" w:cs="宋体"/>
          <w:sz w:val="24"/>
          <w:szCs w:val="24"/>
          <w:lang w:eastAsia="zh-CN"/>
        </w:rPr>
        <w:t>2.路径执行流程配置</w:t>
      </w:r>
      <w:bookmarkEnd w:id="414"/>
      <w:bookmarkEnd w:id="415"/>
      <w:bookmarkEnd w:id="416"/>
      <w:bookmarkEnd w:id="41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系统需支持院方各管理关键节点功能的开放与关闭的配置。</w:t>
      </w:r>
    </w:p>
    <w:p>
      <w:pPr>
        <w:ind w:firstLine="480"/>
        <w:rPr>
          <w:rFonts w:hint="eastAsia" w:ascii="宋体" w:hAnsi="宋体" w:eastAsia="宋体" w:cs="宋体"/>
          <w:sz w:val="24"/>
          <w:szCs w:val="24"/>
          <w:lang w:eastAsia="zh-CN"/>
        </w:rPr>
      </w:pPr>
      <w:bookmarkStart w:id="418" w:name="_Toc65597558"/>
      <w:bookmarkStart w:id="419" w:name="_Toc34755149"/>
      <w:bookmarkStart w:id="420" w:name="_Toc97708842"/>
      <w:bookmarkStart w:id="421" w:name="_Toc66262588"/>
      <w:r>
        <w:rPr>
          <w:rFonts w:hint="eastAsia" w:ascii="宋体" w:hAnsi="宋体" w:eastAsia="宋体" w:cs="宋体"/>
          <w:sz w:val="24"/>
          <w:szCs w:val="24"/>
          <w:lang w:eastAsia="zh-CN"/>
        </w:rPr>
        <w:t>3.系统操作权限配置</w:t>
      </w:r>
      <w:bookmarkEnd w:id="418"/>
      <w:bookmarkEnd w:id="419"/>
      <w:bookmarkEnd w:id="420"/>
      <w:bookmarkEnd w:id="421"/>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系统需支持角色权限设置；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系统需支持操作员角色权限的明细配置；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需提供默认角色的默认权限。</w:t>
      </w:r>
    </w:p>
    <w:p>
      <w:pPr>
        <w:ind w:firstLine="480"/>
        <w:rPr>
          <w:rFonts w:hint="eastAsia" w:ascii="宋体" w:hAnsi="宋体" w:eastAsia="宋体" w:cs="宋体"/>
          <w:sz w:val="24"/>
          <w:szCs w:val="24"/>
          <w:lang w:eastAsia="zh-CN"/>
        </w:rPr>
      </w:pPr>
      <w:bookmarkStart w:id="422" w:name="_Toc34755150"/>
      <w:bookmarkStart w:id="423" w:name="_Toc97708843"/>
      <w:bookmarkStart w:id="424" w:name="_Toc65597559"/>
      <w:bookmarkStart w:id="425" w:name="_Toc66262589"/>
      <w:r>
        <w:rPr>
          <w:rFonts w:hint="eastAsia" w:ascii="宋体" w:hAnsi="宋体" w:eastAsia="宋体" w:cs="宋体"/>
          <w:sz w:val="24"/>
          <w:szCs w:val="24"/>
          <w:lang w:eastAsia="zh-CN"/>
        </w:rPr>
        <w:t>4.系统关键数据配置</w:t>
      </w:r>
      <w:bookmarkEnd w:id="422"/>
      <w:bookmarkEnd w:id="423"/>
      <w:bookmarkEnd w:id="424"/>
      <w:bookmarkEnd w:id="42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系统需支持ICD诊断码与病种对照，一条路径可以匹配多条诊断；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系统需支持病种专业与实际科室对照；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系统需支持变异来源、变异原因、变异原因明细维护。</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路径模板管理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1.模板创建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系统需支持新建模版；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系统需支持模版基本信息维护；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系统需支持准入评估标准录入；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系统需支持准出评估标准录入；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系统需支持入径标准维护。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系统需支持新建门诊路径模板。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2.模板编辑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系统需支持所见即所得的模版编辑模式；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系统需支持路径模板自动对应所属病种专业；</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系统需支持模板涵盖临床路径所包含的所有项目，如诊疗工作、医嘱、护理项目、标准住院天数以及住院费用；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系统需支持患者路径维护；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系统需支持康复、心理项目维护；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系统需支持长、短期医嘱各种明细属性设置，所见即所得；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系统需支持护理项目明细属性设置，所见即所得；</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系统需支持医嘱明细直接调取医嘱组套进行对照维护；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系统需支持模板内医嘱顺序所见即所得，执行过程按顺序显示；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系统需支持模版医嘱系统需支持排序操作，可直接决定生成医嘱的顺序；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系统需支持路径项目自定义设置为必选项或可选项；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系统需支持模版多治疗阶段，每个治疗阶段可设置天数；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系统需支持路径模板维护时，同阶段可以维护分支备选阶段；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系统需支持智能判断模版天数是否超过维护的最大天数；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系统需支持急诊转住院模式模版维护；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系统需支持模版“重做”功能；可以重做整个模版，以及重做包括不限于：长嘱，临嘱，诊疗，护理，患者，心理治疗，康复治疗、医嘱明细项目等；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模版编辑时，系统需支持排行显示医嘱明细；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系统需支持系统需支持详细模式按钮展示详细内容信息；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系统需支持路径项目整体拷贝、剪切、粘贴等功能；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系统需支持医嘱细项拷贝、粘贴等功能；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系统需支持导出Excel功能；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系统需支持导出XML功能；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系统需支持模版作废功能；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医嘱对应时，系统需支持批量删除具体医嘱；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系统需提供路径校验功能，校验医嘱项目与ICD诊断；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系统需支持模版暂存功能；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系统需支持模版提交功能；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系统需支持等效药维护功能；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系统需支持阶段合并功能；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需提供阶段精简模式；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系统需支持阶段评估维护；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系统需支持模板打印（详细模式和正常模式）；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系统需支持使用其他模板覆盖当前模板功能；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系统需支持查看入径标准；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系统需支持模板关联科室</w:t>
      </w:r>
      <w:r>
        <w:rPr>
          <w:rFonts w:hint="eastAsia" w:ascii="宋体" w:hAnsi="宋体" w:cs="宋体"/>
          <w:sz w:val="24"/>
          <w:szCs w:val="24"/>
          <w:lang w:eastAsia="zh-CN"/>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系统需支持门诊模板维护。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3.模版审核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模版的审核需要单独的审核权限，未经审核模版，无法应用于患者；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系统需支持模版审核驳回；</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系统需支持模版状态查询；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系统需支持模板编辑痕迹监察；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系统需支持审核精度可精确到每个元素，方便模板修改者和审核者快速定位不通过的元素。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4.版本管理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系统需支持现有模版深层克隆技术；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系统需支持模版升级功能；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系统需支持模版维护后按版本管理，确保版本修正后不影响之前的路径患者；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系统需支持多个模版版本管理，即相同病种存在不同治疗方案的模版，且系统需支持不同治疗方案的各个模版单独升级版本；</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系统需支持模板维护时修改版本名称。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5.权限管理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系统需支持模板管理授权功能；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系统需支持模版多级管理机制；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系统需支持权限细分功能，同一角色可以具备不同权限。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6.医嘱项目维护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系统需支持医嘱组合；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系统需支持溶媒维护；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系统需支持自动与</w:t>
      </w:r>
      <w:bookmarkStart w:id="426" w:name="OLE_LINK1"/>
      <w:r>
        <w:rPr>
          <w:rFonts w:hint="eastAsia" w:ascii="宋体" w:hAnsi="宋体" w:eastAsia="宋体" w:cs="宋体"/>
          <w:sz w:val="24"/>
          <w:szCs w:val="24"/>
          <w:lang w:eastAsia="zh-CN"/>
        </w:rPr>
        <w:t>医院管理信息系统（HIS系统）中</w:t>
      </w:r>
      <w:bookmarkEnd w:id="426"/>
      <w:r>
        <w:rPr>
          <w:rFonts w:hint="eastAsia" w:ascii="宋体" w:hAnsi="宋体" w:eastAsia="宋体" w:cs="宋体"/>
          <w:sz w:val="24"/>
          <w:szCs w:val="24"/>
          <w:lang w:eastAsia="zh-CN"/>
        </w:rPr>
        <w:t>医嘱项目进行对照，医嘱字典无需人工建立；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系统需支持批量替换所有路径模版中的指定医嘱项目；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系统需支持模糊匹配组合维护；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系统需支持从医嘱组套中维护；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系统需支持从（在院或出院）患者医嘱中维护；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系统需支持描述类医嘱维护关键词功能，并通过关键词进行匹配医嘱。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7.路径校验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系统需支持医嘱校验（校验路径医嘱项目），未校验通过的的医嘱项目（包括所在元素）以颜色显示，如：以灰色显示。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系统需支持路径医嘱项目中编码在医院管理信息系统（HIS系统）中不存在的（如:需修改的）；</w:t>
      </w:r>
    </w:p>
    <w:p>
      <w:pPr>
        <w:ind w:firstLine="480"/>
        <w:rPr>
          <w:rFonts w:hint="eastAsia" w:ascii="宋体" w:hAnsi="宋体" w:eastAsia="宋体" w:cs="宋体"/>
          <w:sz w:val="24"/>
          <w:szCs w:val="24"/>
          <w:lang w:eastAsia="zh-CN"/>
        </w:rPr>
      </w:pPr>
      <w:bookmarkStart w:id="427" w:name="OLE_LINK2"/>
      <w:r>
        <w:rPr>
          <w:rFonts w:hint="eastAsia" w:ascii="宋体" w:hAnsi="宋体" w:eastAsia="宋体" w:cs="宋体"/>
          <w:sz w:val="24"/>
          <w:szCs w:val="24"/>
          <w:lang w:eastAsia="zh-CN"/>
        </w:rPr>
        <w:t>系统需支持</w:t>
      </w:r>
      <w:bookmarkEnd w:id="427"/>
      <w:r>
        <w:rPr>
          <w:rFonts w:hint="eastAsia" w:ascii="宋体" w:hAnsi="宋体" w:eastAsia="宋体" w:cs="宋体"/>
          <w:sz w:val="24"/>
          <w:szCs w:val="24"/>
          <w:lang w:eastAsia="zh-CN"/>
        </w:rPr>
        <w:t>路径医嘱项目中编码和名称与医院管理信息系统（HIS系统）中的不一致的（如：需修改的）；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路径医嘱项目中同一名称对应多条医院管理信息系统（HIS系统）医嘱的（如：需确认的）；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系统需支持ICD校验，以下两规则校验未通过的ICD会通过提示框的形式弹出，提醒需要修改，包括如下：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路径匹配的ICD编码在ICD字典中不存在的；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路径匹配的ICD编码与名称与ICD字典中不一致的。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8.变异分析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系统需支持精确定位每个元素的变异数量；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系统需支持以图表形式显示具体变异医嘱和变异原因；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系统需支持根据变异内容快捷改进模板。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9.模板复用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系统需支持模板需具备整体复制功能；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系统需支持模板以XML形式导出、导入；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系统需支持模版批量导入、导出；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系统需支持需自带不少于1000余张卫生部标准模版，方便用户使用。</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住院路径执行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1.路径门户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系统需支持根据患者诊断ICD10编码自动过滤出适合路径供医生选择；</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系统需支持医生可根据情况，自主选择本科室内对应的路径；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系统需支持采用“路径门户”窗体控制路径登记；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评估准入评估项目，需支持项目为必须符合的项目的，则系统在记录下不符合准入评估的标准后会自动退出；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系统需支持项目为非必须符合的项目的，则系统在记录下该项目后，继续登记路径操作；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系统需支持不入路径审核机制，避免医生无理由不使用路径，提升路径使用率；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系统需支持查看入径标准，为医生提供标准化的入径准则。</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2.过程管理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系统需支持查看任意阶段执行情况；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系统需支持显示完整的路径执行情况；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系统需支持任务列表显示，提示未完成工作；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系统需支持直接进入下一阶段，自由选择路径过程；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系统需支持延长、缩短治疗阶段；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系统需支持中途退出功能及对中途退出路径的权限以及流程进行控制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系统需支持中途治愈功能；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系统需支持中途退出审核机制；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系统需支持更改路径的执行日期；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系统需支持自动对照长期医嘱执行天数；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系统需支持医嘱闭环操作；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系统需支持一键开立当日路径医嘱；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系统需支持控制医嘱开立、停止、变更；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自定义路径变异标准，包括不限于：非路径医嘱规定金额上限变异、必选项未执行变异、非路径医嘱是否填写变异信息、延长或缩短阶段是否填写变异、整体费用超过路径规定费用标准是否变异、执行天数超过路径规定的最大天数是否变异、非路径医嘱数量和超过设置数量是否变异等，支持根据标准自动判断完成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系统需支持变异项目按照自定义颜色进行显示；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系统需支持路径展示时，排行显示医嘱明细和医嘱执行状态；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系统需支持详细模式按钮展示详细信息内容，如：医嘱大项下辖各个细项；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系统需支持批量执行诊疗、护理项目；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系统需支持完成护理、诊疗、患者、心理、康复等项目时后台记录操作人姓名；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系统需支持按照频次、用法、用量完全匹配；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系统需支持路径执行中添加医嘱细项；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系统需支持在不维护医嘱细项情况下，同时执行当天的多个元素（包含不限于：医嘱、诊疗项目等）；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系统需支持患者费用预估，提前预估整体费用，避免超标；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系统需支持路径使用时，可以移动医嘱元素，使用中可以移动医嘱项目到任何阶段日；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系统需支持当天可跳转多个阶段，手术日不固定情况适用；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系统需支持显示阶段医嘱执行明细；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系统需支持药品医嘱按名称匹配。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3.变异录入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异原因直接录入，界面直观显示；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系统需支持批量录入医嘱变异信息；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系统需支持非路径医嘱录入时选择归属项目，为变异分析改进模板质量提供系统需支持；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系统需支持阶段变异录入及删除。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4.关联医嘱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系统需支持智能关联医嘱项目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系统需支持双向医嘱执行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系统需支持作废医嘱提示替换药品开立功能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系统需支持临时医嘱添加复查功能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5.关联病历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需自动关联电子病历系统，达到双向互动的效果。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6.等效药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系统需支持开立医嘱时，自动匹配等效药。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7.监控提醒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系统需支持费用超标提醒；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系统需支持执行天数超标提醒。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8.退出路径医嘱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系统需支持开立退出路径医嘱，则提示退出路径。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9.分支路径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系统需支持路径模板使用时，可以根据患者病情情况选择分支阶段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10.变更路径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系统需支持模版使用时，可变更路径使用。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11.阶段评估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系统需支持填写阶段评估内容，如果有评估项目未通过，则不能进入下阶段（下阶段无法做任何操作）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12.准出评估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系统需支持填写准出评估内容，如果不符合出径标准，系统会自动记录不符合项目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13.告知单打印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系统需支持与国家标准路径表单格式相同的告知单打印。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系统需支持按照天进行打印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14.无纸化流传输</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系统需支持治疗单无纸化PDF流传输。</w:t>
      </w:r>
    </w:p>
    <w:p>
      <w:pPr>
        <w:pStyle w:val="7"/>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门诊路径执行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1.路径门户</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医生可根据情况，自主选择本科室内对应的路径。</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系统需支持采用“路径门户”窗体控制路径登记。</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系统需支持不入路径审核机制，避免医生无理由不使用路径，提升路径使用率。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2.过程管理</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系统需支持查看任意阶段执行情况。</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系统需支持显示完整的路径执行情况。</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系统需支持任务列表显示，提示未完成工作。</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系统需支持选择进入的路径阶段，自由选择路径过程。</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系统需支持中途退出功能及对中途退出路径的权限以及流程进行控制。</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系统需支持更改路径的执行日期。</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系统需支持自动对照长期医嘱执行天数。</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系统需支持医嘱闭环操作。</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系统需支持一键开立当日路径医嘱。</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系统需支持控制医嘱开立、停止、变更。</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系统需支持变异项目按照自定义颜色进行显示。</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系统需支持模版打印。</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系统需支持完成诊疗项目时后台记录操作人姓名。</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系统需支持按照频次、用法、用量完全匹配。</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系统需支持在不维护医嘱细项情况下，同时执行当天的多个元素（包含不限于：医嘱、诊疗项目）。</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系统需支持路径使用时，可以移动医嘱元素，使用中可以移动医嘱项目到任何阶段日。</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系统需支持当天可跳转多个阶段，手术日不固定情况适用。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3.变异录入</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系统需支持变异原因直接录入，界面直观显示。</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系统需支持批量录入医嘱变异信息。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4.关联医嘱</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系统需支持智能关联医嘱项目。</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系统需支持双向医嘱执行。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5.分支路径</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系统需支持路径模板使用时，可以根据患者病情情况选择分支阶段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6.变更路径</w:t>
      </w:r>
    </w:p>
    <w:p>
      <w:pPr>
        <w:pStyle w:val="45"/>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系统需支持模版使用时，可变更路径使用。</w:t>
      </w:r>
    </w:p>
    <w:p>
      <w:pPr>
        <w:pStyle w:val="7"/>
        <w:rPr>
          <w:rFonts w:hint="eastAsia" w:ascii="宋体" w:hAnsi="宋体" w:eastAsia="宋体" w:cs="宋体"/>
          <w:sz w:val="24"/>
          <w:szCs w:val="24"/>
          <w:lang w:eastAsia="zh-CN"/>
        </w:rPr>
      </w:pPr>
      <w:bookmarkStart w:id="428" w:name="_Toc65597587"/>
      <w:bookmarkStart w:id="429" w:name="_Toc34755176"/>
      <w:bookmarkStart w:id="430" w:name="_Toc66262615"/>
      <w:bookmarkStart w:id="431" w:name="_Toc97708869"/>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路径质量控制</w:t>
      </w:r>
      <w:bookmarkEnd w:id="428"/>
      <w:bookmarkEnd w:id="429"/>
      <w:bookmarkEnd w:id="430"/>
      <w:bookmarkEnd w:id="431"/>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系统需支持根据医院实际情况，自定义评分规则。</w:t>
      </w:r>
    </w:p>
    <w:p>
      <w:pPr>
        <w:ind w:firstLine="480"/>
        <w:rPr>
          <w:rFonts w:hint="eastAsia" w:ascii="宋体" w:hAnsi="宋体" w:eastAsia="宋体" w:cs="宋体"/>
          <w:sz w:val="24"/>
          <w:szCs w:val="24"/>
          <w:lang w:eastAsia="zh-CN"/>
        </w:rPr>
      </w:pPr>
      <w:bookmarkStart w:id="432" w:name="_Toc66262617"/>
      <w:bookmarkStart w:id="433" w:name="_Toc97708871"/>
      <w:bookmarkStart w:id="434" w:name="_Toc34755178"/>
      <w:bookmarkStart w:id="435" w:name="_Toc65597590"/>
      <w:r>
        <w:rPr>
          <w:rFonts w:hint="eastAsia" w:ascii="宋体" w:hAnsi="宋体" w:eastAsia="宋体" w:cs="宋体"/>
          <w:sz w:val="24"/>
          <w:szCs w:val="24"/>
          <w:lang w:eastAsia="zh-CN"/>
        </w:rPr>
        <w:t>系统需支持采用多级评分机制对路径中的各个操作项目进行评估</w:t>
      </w:r>
      <w:bookmarkEnd w:id="432"/>
      <w:bookmarkEnd w:id="433"/>
      <w:bookmarkEnd w:id="434"/>
      <w:bookmarkEnd w:id="43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系统需支持根据维护的评分规则，对医生进行路径使用情况质量监控。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系统需支持生成医生综合评分表、医生单病种得分表、医生分管患者得分明细表。</w:t>
      </w:r>
    </w:p>
    <w:p>
      <w:pPr>
        <w:pStyle w:val="7"/>
        <w:rPr>
          <w:rFonts w:hint="eastAsia" w:ascii="宋体" w:hAnsi="宋体" w:eastAsia="宋体" w:cs="宋体"/>
          <w:sz w:val="24"/>
          <w:szCs w:val="24"/>
          <w:lang w:eastAsia="zh-CN"/>
        </w:rPr>
      </w:pPr>
      <w:bookmarkStart w:id="436" w:name="_Toc346540241"/>
      <w:bookmarkStart w:id="437" w:name="_Toc66262618"/>
      <w:bookmarkStart w:id="438" w:name="_Toc65597591"/>
      <w:bookmarkStart w:id="439" w:name="_Toc97708872"/>
      <w:bookmarkStart w:id="440" w:name="_Toc34755179"/>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统计</w:t>
      </w:r>
      <w:bookmarkEnd w:id="436"/>
      <w:r>
        <w:rPr>
          <w:rFonts w:hint="eastAsia" w:ascii="宋体" w:hAnsi="宋体" w:eastAsia="宋体" w:cs="宋体"/>
          <w:sz w:val="24"/>
          <w:szCs w:val="24"/>
          <w:lang w:eastAsia="zh-CN"/>
        </w:rPr>
        <w:t>分析</w:t>
      </w:r>
      <w:bookmarkEnd w:id="437"/>
      <w:bookmarkEnd w:id="438"/>
      <w:bookmarkEnd w:id="439"/>
      <w:bookmarkEnd w:id="440"/>
    </w:p>
    <w:p>
      <w:pPr>
        <w:ind w:firstLine="480"/>
        <w:rPr>
          <w:rFonts w:hint="eastAsia" w:ascii="宋体" w:hAnsi="宋体" w:eastAsia="宋体" w:cs="宋体"/>
          <w:sz w:val="24"/>
          <w:szCs w:val="24"/>
          <w:lang w:eastAsia="zh-CN"/>
        </w:rPr>
      </w:pPr>
      <w:bookmarkStart w:id="441" w:name="_Toc66262619"/>
      <w:bookmarkStart w:id="442" w:name="_Toc65597593"/>
      <w:bookmarkStart w:id="443" w:name="_Toc97708873"/>
      <w:r>
        <w:rPr>
          <w:rFonts w:hint="eastAsia" w:ascii="宋体" w:hAnsi="宋体" w:eastAsia="宋体" w:cs="宋体"/>
          <w:sz w:val="24"/>
          <w:szCs w:val="24"/>
          <w:lang w:eastAsia="zh-CN"/>
        </w:rPr>
        <w:t>1.路径执行情况总览</w:t>
      </w:r>
      <w:bookmarkEnd w:id="441"/>
      <w:bookmarkEnd w:id="442"/>
      <w:bookmarkEnd w:id="443"/>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系统需支持统一路径四项关键指标（如：平均费用、路径执行情况分析、平均住院日及变异原因等）图形展示，直观反映出路径的执行情况。</w:t>
      </w:r>
    </w:p>
    <w:p>
      <w:pPr>
        <w:ind w:firstLine="480"/>
        <w:rPr>
          <w:rFonts w:hint="eastAsia" w:ascii="宋体" w:hAnsi="宋体" w:eastAsia="宋体" w:cs="宋体"/>
          <w:sz w:val="24"/>
          <w:szCs w:val="24"/>
          <w:lang w:eastAsia="zh-CN"/>
        </w:rPr>
      </w:pPr>
      <w:bookmarkStart w:id="444" w:name="_Toc66262620"/>
      <w:bookmarkStart w:id="445" w:name="_Toc34755181"/>
      <w:bookmarkStart w:id="446" w:name="_Toc65597594"/>
      <w:bookmarkStart w:id="447" w:name="_Toc97708874"/>
      <w:r>
        <w:rPr>
          <w:rFonts w:hint="eastAsia" w:ascii="宋体" w:hAnsi="宋体" w:eastAsia="宋体" w:cs="宋体"/>
          <w:sz w:val="24"/>
          <w:szCs w:val="24"/>
          <w:lang w:eastAsia="zh-CN"/>
        </w:rPr>
        <w:t>2.整体指标分析</w:t>
      </w:r>
      <w:bookmarkEnd w:id="444"/>
      <w:bookmarkEnd w:id="445"/>
      <w:bookmarkEnd w:id="446"/>
      <w:bookmarkEnd w:id="447"/>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系统需支持整体横向指标，统一汇总各科室路径的执行情况。</w:t>
      </w:r>
    </w:p>
    <w:p>
      <w:pPr>
        <w:ind w:firstLine="480"/>
        <w:rPr>
          <w:rFonts w:hint="eastAsia" w:ascii="宋体" w:hAnsi="宋体" w:eastAsia="宋体" w:cs="宋体"/>
          <w:sz w:val="24"/>
          <w:szCs w:val="24"/>
          <w:lang w:eastAsia="zh-CN"/>
        </w:rPr>
      </w:pPr>
      <w:bookmarkStart w:id="448" w:name="_Toc34755182"/>
      <w:bookmarkStart w:id="449" w:name="_Toc65597595"/>
      <w:bookmarkStart w:id="450" w:name="_Toc66262621"/>
      <w:bookmarkStart w:id="451" w:name="_Toc97708875"/>
      <w:r>
        <w:rPr>
          <w:rFonts w:hint="eastAsia" w:ascii="宋体" w:hAnsi="宋体" w:eastAsia="宋体" w:cs="宋体"/>
          <w:sz w:val="24"/>
          <w:szCs w:val="24"/>
          <w:lang w:eastAsia="zh-CN"/>
        </w:rPr>
        <w:t>3.路径执行趋势分析</w:t>
      </w:r>
      <w:bookmarkEnd w:id="448"/>
      <w:bookmarkEnd w:id="449"/>
      <w:bookmarkEnd w:id="450"/>
      <w:bookmarkEnd w:id="451"/>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系统需支持分析路径中的关键数字，各科室横向对比；</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系统需支持关键数字结果通过图形对比。</w:t>
      </w:r>
    </w:p>
    <w:p>
      <w:pPr>
        <w:ind w:firstLine="480"/>
        <w:rPr>
          <w:rFonts w:hint="eastAsia" w:ascii="宋体" w:hAnsi="宋体" w:eastAsia="宋体" w:cs="宋体"/>
          <w:sz w:val="24"/>
          <w:szCs w:val="24"/>
          <w:lang w:eastAsia="zh-CN"/>
        </w:rPr>
      </w:pPr>
      <w:bookmarkStart w:id="452" w:name="_Toc97708876"/>
      <w:bookmarkStart w:id="453" w:name="_Toc34755183"/>
      <w:bookmarkStart w:id="454" w:name="_Toc66262622"/>
      <w:bookmarkStart w:id="455" w:name="_Toc65597596"/>
      <w:r>
        <w:rPr>
          <w:rFonts w:hint="eastAsia" w:ascii="宋体" w:hAnsi="宋体" w:eastAsia="宋体" w:cs="宋体"/>
          <w:sz w:val="24"/>
          <w:szCs w:val="24"/>
          <w:lang w:eastAsia="zh-CN"/>
        </w:rPr>
        <w:t>4.路径明细追溯</w:t>
      </w:r>
      <w:bookmarkEnd w:id="452"/>
      <w:bookmarkEnd w:id="453"/>
      <w:bookmarkEnd w:id="454"/>
      <w:bookmarkEnd w:id="45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系统需支持统计分析结果，可追溯到个人。</w:t>
      </w:r>
    </w:p>
    <w:p>
      <w:pPr>
        <w:ind w:firstLine="480"/>
        <w:rPr>
          <w:rFonts w:hint="eastAsia" w:ascii="宋体" w:hAnsi="宋体" w:eastAsia="宋体" w:cs="宋体"/>
          <w:sz w:val="24"/>
          <w:szCs w:val="24"/>
          <w:lang w:eastAsia="zh-CN"/>
        </w:rPr>
      </w:pPr>
      <w:bookmarkStart w:id="456" w:name="_Toc34755184"/>
      <w:bookmarkStart w:id="457" w:name="_Toc65597597"/>
      <w:bookmarkStart w:id="458" w:name="_Toc66262623"/>
      <w:bookmarkStart w:id="459" w:name="_Toc97708877"/>
      <w:r>
        <w:rPr>
          <w:rFonts w:hint="eastAsia" w:ascii="宋体" w:hAnsi="宋体" w:eastAsia="宋体" w:cs="宋体"/>
          <w:sz w:val="24"/>
          <w:szCs w:val="24"/>
          <w:lang w:eastAsia="zh-CN"/>
        </w:rPr>
        <w:t>5.国家统计表单</w:t>
      </w:r>
      <w:bookmarkEnd w:id="456"/>
      <w:bookmarkEnd w:id="457"/>
      <w:bookmarkEnd w:id="458"/>
      <w:bookmarkEnd w:id="459"/>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系统需支持国家上报数据所需要各种表单。</w:t>
      </w:r>
    </w:p>
    <w:p>
      <w:pPr>
        <w:pStyle w:val="4"/>
        <w:numPr>
          <w:ilvl w:val="2"/>
          <w:numId w:val="16"/>
        </w:numPr>
        <w:rPr>
          <w:rFonts w:hint="eastAsia" w:ascii="宋体" w:hAnsi="宋体" w:eastAsia="宋体" w:cs="宋体"/>
          <w:sz w:val="24"/>
          <w:szCs w:val="24"/>
        </w:rPr>
      </w:pPr>
      <w:r>
        <w:rPr>
          <w:rFonts w:hint="eastAsia" w:ascii="宋体" w:hAnsi="宋体" w:eastAsia="宋体" w:cs="宋体"/>
          <w:sz w:val="24"/>
          <w:szCs w:val="24"/>
        </w:rPr>
        <w:t>成品软件</w:t>
      </w:r>
    </w:p>
    <w:p>
      <w:pPr>
        <w:pStyle w:val="5"/>
        <w:numPr>
          <w:ilvl w:val="3"/>
          <w:numId w:val="16"/>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不良事件管理系统</w:t>
      </w:r>
    </w:p>
    <w:p>
      <w:pPr>
        <w:numPr>
          <w:ilvl w:val="0"/>
          <w:numId w:val="17"/>
        </w:numPr>
        <w:tabs>
          <w:tab w:val="left" w:pos="425"/>
        </w:tabs>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自定义管理</w:t>
      </w:r>
    </w:p>
    <w:p>
      <w:pPr>
        <w:ind w:firstLine="480"/>
        <w:rPr>
          <w:rFonts w:hint="eastAsia" w:ascii="宋体" w:hAnsi="宋体" w:cs="宋体"/>
          <w:sz w:val="24"/>
          <w:szCs w:val="24"/>
          <w:highlight w:val="none"/>
        </w:rPr>
      </w:pPr>
      <w:r>
        <w:rPr>
          <w:rFonts w:hint="eastAsia" w:ascii="宋体" w:hAnsi="宋体" w:cs="宋体"/>
          <w:sz w:val="24"/>
          <w:szCs w:val="24"/>
          <w:highlight w:val="none"/>
        </w:rPr>
        <w:t>（1）事件自定义管理</w:t>
      </w:r>
    </w:p>
    <w:p>
      <w:pPr>
        <w:widowControl/>
        <w:ind w:left="420" w:firstLine="420"/>
        <w:rPr>
          <w:rFonts w:hint="eastAsia" w:ascii="宋体" w:hAnsi="宋体" w:cs="宋体"/>
          <w:sz w:val="24"/>
          <w:szCs w:val="24"/>
          <w:highlight w:val="none"/>
        </w:rPr>
      </w:pPr>
      <w:r>
        <w:rPr>
          <w:rFonts w:hint="eastAsia" w:ascii="宋体" w:hAnsi="宋体" w:cs="宋体"/>
          <w:sz w:val="24"/>
          <w:szCs w:val="24"/>
          <w:highlight w:val="none"/>
        </w:rPr>
        <w:t>支持事件自定义管理，医院根据自身需求，可以定义事件类型及事件上报内容，按照模板的元素进行保存，提供组件库，支持在软件界面自定义布局事件模板要展示的内容，多选框组件支持鱼骨图显示。（</w:t>
      </w:r>
      <w:r>
        <w:rPr>
          <w:rFonts w:hint="eastAsia" w:ascii="宋体" w:hAnsi="宋体" w:cs="宋体"/>
          <w:sz w:val="24"/>
          <w:szCs w:val="24"/>
          <w:highlight w:val="none"/>
          <w:lang w:eastAsia="zh-CN"/>
        </w:rPr>
        <w:t>需提供视频演示</w:t>
      </w:r>
      <w:r>
        <w:rPr>
          <w:rFonts w:hint="eastAsia" w:ascii="宋体" w:hAnsi="宋体" w:cs="宋体"/>
          <w:sz w:val="24"/>
          <w:szCs w:val="24"/>
          <w:highlight w:val="none"/>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（2）流程自定义管理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灵活的事件处理流程配置工具，可根据医院实际业务制定相应的审核流程，可自定义更改事件的跟进部门；系统提供可视化的拖拽操作；支持更改事件的审批环节，如“审核”新增一个环节；针对一级、二级事件，可根据管理需要自定义不同跟进部门的审核内容；支持设置多人会签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（3）事件内容自定义导出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支持针对单个事件类型自定义设置导出内容，支持批量导出。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（4）事件可能原因管理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系统内置标准的原因库，可针对单个事件配置可能的原因，便于后续对各事件进行原因分析。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（5）上报奖励金额自定义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可根据实际情况开启/关闭上报奖励机制开关，开启后支持根据事件类型自定义设置事件上报奖励金额，可在审核阶段调整当前事件奖励金额。</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（6）事件纳入统计开关</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支持对单个事件类型设置是否纳入统计，关闭后事件数据将不纳入后续统计分析。</w:t>
      </w:r>
    </w:p>
    <w:p>
      <w:pPr>
        <w:numPr>
          <w:ilvl w:val="0"/>
          <w:numId w:val="17"/>
        </w:numPr>
        <w:tabs>
          <w:tab w:val="left" w:pos="425"/>
        </w:tabs>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自动化管理</w:t>
      </w:r>
    </w:p>
    <w:p>
      <w:pPr>
        <w:tabs>
          <w:tab w:val="left" w:pos="425"/>
        </w:tabs>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可以根据事件的类型以及事件等级配置超时自动催办规则、超时自动跳过审核规则。</w:t>
      </w:r>
    </w:p>
    <w:p>
      <w:pPr>
        <w:numPr>
          <w:ilvl w:val="0"/>
          <w:numId w:val="17"/>
        </w:numPr>
        <w:tabs>
          <w:tab w:val="left" w:pos="425"/>
        </w:tabs>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事件上报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（1）系统内置丰富的事件模块，提供医疗类，护理类（用药错误等），药品类，器械类，输血类，医技类，院感类，职业防护类，治安类，后勤类，信息类上报表单。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根据事件类型选择事件上报模板，通过点选、快速定位、自动导入患者信息等，快速完成内容填报；当某个事件涉及多名患者或当事人，系统支持关联多个患者和多个当事人；事件填报时填写的报告者资料，可自动提取用户信息；填报时选类别的界面，支持只显示收藏的事件，从而达到快速选择到经常填报的事件类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（3）在填报中可保存草稿，系统支持自动保存为草稿，未完成必填项录入的也可保存为草稿。</w:t>
      </w:r>
    </w:p>
    <w:p>
      <w:pPr>
        <w:ind w:firstLine="480"/>
        <w:rPr>
          <w:rFonts w:hint="eastAsia" w:ascii="宋体" w:hAnsi="宋体" w:eastAsia="宋体" w:cs="宋体"/>
          <w:color w:val="FF0000"/>
          <w:sz w:val="24"/>
          <w:szCs w:val="24"/>
          <w:lang w:eastAsia="zh-CN"/>
        </w:rPr>
      </w:pPr>
      <w:r>
        <w:rPr>
          <w:rFonts w:hint="eastAsia" w:ascii="宋体" w:hAnsi="宋体" w:eastAsia="宋体" w:cs="宋体"/>
          <w:sz w:val="24"/>
          <w:szCs w:val="24"/>
          <w:lang w:eastAsia="zh-CN"/>
        </w:rPr>
        <w:t>（4）支持填报内容预览，在事件</w:t>
      </w:r>
      <w:r>
        <w:rPr>
          <w:rFonts w:hint="eastAsia" w:ascii="宋体" w:hAnsi="宋体" w:eastAsia="宋体" w:cs="宋体"/>
          <w:color w:val="000000"/>
          <w:sz w:val="24"/>
          <w:szCs w:val="24"/>
          <w:lang w:eastAsia="zh-CN"/>
        </w:rPr>
        <w:t>提交时上报人可以指</w:t>
      </w:r>
      <w:r>
        <w:rPr>
          <w:rFonts w:hint="eastAsia" w:ascii="宋体" w:hAnsi="宋体" w:eastAsia="宋体" w:cs="宋体"/>
          <w:sz w:val="24"/>
          <w:szCs w:val="24"/>
          <w:lang w:eastAsia="zh-CN"/>
        </w:rPr>
        <w:t>定上报科室和审核人。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（5）系统支持普通上报、匿名上报两种上报模式，可按审核阶段设置匿名跳过审核，可设置查看匿名事件权限。</w:t>
      </w:r>
    </w:p>
    <w:p>
      <w:pPr>
        <w:numPr>
          <w:ilvl w:val="0"/>
          <w:numId w:val="17"/>
        </w:numPr>
        <w:tabs>
          <w:tab w:val="left" w:pos="425"/>
        </w:tabs>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事件分流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针对不同的事件类型，支持事件上报后基于系统预设的流程，自动分派到对应的科室。</w:t>
      </w:r>
    </w:p>
    <w:p>
      <w:pPr>
        <w:numPr>
          <w:ilvl w:val="0"/>
          <w:numId w:val="17"/>
        </w:numPr>
        <w:tabs>
          <w:tab w:val="left" w:pos="425"/>
        </w:tabs>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事件查阅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（1）事件状态包含：待审核、已完成、回退；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（2）查看事件处理的进展，包括发生的事件类型、事件等级、发生日期、跟进的状态、处理是否超时等；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（3）针对延时处理或未处理的事件，根据延时程度以不同颜色进行警示，事件列表展示超时时间，系统提供时间警示报表，以便对相关人员进行督查；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（4）重复上报事件筛查：支持根据患者的姓名、性别、民族、体重、联系电话，对系统内上报事件进行筛查，检索出重复上报的事件；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事件分级管理：对所有上报的事件，按照Ⅰ级、Ⅱ级、Ⅲ级、Ⅳ级和无法判定伤害程度情况进行分类，方便质控员调整事件的等级。同时可对单个事件设置为“公开”或“隐藏”，对于隐藏的事件，统计报表能过滤这类数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（6）事件导出：支持事件详情导出，在导出时支持对需要导出的内容进行调整，可选择是否导出审核内容、追踪信息、操作记录；支持对事件列表的内容进行导出。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（7）查看范围设置：灵活配置各科室相关人员的事件查询范围。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（8）事件催办：支持针对单个事件发起催办，可填写催办批注；支持对多个事件进行批量催办。</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（9）事件抄送：可将事件抄送给需知情人员查看，支持抄送时修改消息内容。</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（10）回收站：汇总作废的事件信息，支持事件等级、上报日期及事件编号多条件查询，支持导出当前列表信息，对于误作废事件可通过“取消作废”进行复原。</w:t>
      </w:r>
    </w:p>
    <w:p>
      <w:pPr>
        <w:numPr>
          <w:ilvl w:val="0"/>
          <w:numId w:val="17"/>
        </w:numPr>
        <w:tabs>
          <w:tab w:val="left" w:pos="425"/>
        </w:tabs>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事件处理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事件处理分为：待审核、被回退、改派、协助、本人回退；各科室查看自己职权范围内的事件，可以通过上报日期、发生日期、上报部门、跟进部门、事件类型、事件级别和严重度进行检索；相关人员或角色填写意见、整改措施；涉及多个相关科室时，多个科室也可以填写意见、整改措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（1）事件审核内容：可自行创建需填写审核内容的模板，方便快速选择，并在此基础上完善审核内容。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（2）事件改派：对于不属于职权范围内的事件，支持将事件转交给其他职权范围。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（3）事件协助：事件需要其他部门协助时，可以将事件转发给其他部门一起协同处理。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（4）事件编辑：对于上报人提供的内容，在科室审核阶段，支持修改完善事件内容，对于修改的内容系统会保留痕迹。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（5）▲事件类型修改：当发现选择的上报类型不正确时，系统能提供重新选择事件类型的功能</w:t>
      </w:r>
      <w:r>
        <w:rPr>
          <w:rFonts w:hint="eastAsia" w:ascii="宋体" w:hAnsi="宋体" w:eastAsia="宋体" w:cs="宋体"/>
          <w:color w:val="000000"/>
          <w:sz w:val="24"/>
          <w:szCs w:val="24"/>
          <w:lang w:eastAsia="zh-CN"/>
        </w:rPr>
        <w:t>，支持审批流程替换为新事件类型的流程。</w:t>
      </w:r>
      <w:r>
        <w:rPr>
          <w:rFonts w:hint="eastAsia" w:ascii="宋体" w:hAnsi="宋体" w:eastAsia="宋体" w:cs="宋体"/>
          <w:sz w:val="24"/>
          <w:szCs w:val="24"/>
          <w:lang w:eastAsia="zh-CN"/>
        </w:rPr>
        <w:t>（需提供系统界面截图）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（6）事件流程修改：在单个事件流转过程中，支持对事件流转中的流程进行调整处理，如新增引入一个环节节点。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（7）事件回退：支持回退职权范围内的未完成或已完成事件，可回退给上报人或审批人，需填写回退原因、处理时限，回退上报人时支持添加批注。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（8）事件作废：支持作废职权范围内的事件，作废需填写作废原因，并保留痕迹。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（9）星级事件：可对重点关注事件进行标识，关注后可集中显示星级事件。</w:t>
      </w:r>
    </w:p>
    <w:p>
      <w:pPr>
        <w:numPr>
          <w:ilvl w:val="0"/>
          <w:numId w:val="17"/>
        </w:numPr>
        <w:tabs>
          <w:tab w:val="left" w:pos="425"/>
        </w:tabs>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事件追踪</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（1）对事件处理的全流程进行督促、追踪，追踪的查询状态分为：全部、待追踪、已追踪及个人发起的追踪；</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（2）支持相关人员填写跟踪情况，可以多次追踪检查形成闭环管理，可上传附件、导出打印详情，开启追踪计划后可设置截止日期与追踪处理人。</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（3）处理人填写追踪完成情况后，发起人可以进行确认，是否符合要求，不符合的可以回退。</w:t>
      </w:r>
    </w:p>
    <w:p>
      <w:pPr>
        <w:numPr>
          <w:ilvl w:val="0"/>
          <w:numId w:val="17"/>
        </w:numPr>
        <w:tabs>
          <w:tab w:val="left" w:pos="425"/>
        </w:tabs>
        <w:ind w:left="0" w:firstLine="480"/>
        <w:rPr>
          <w:rFonts w:hint="eastAsia" w:ascii="宋体" w:hAnsi="宋体" w:cs="宋体"/>
          <w:sz w:val="24"/>
          <w:szCs w:val="24"/>
          <w:highlight w:val="none"/>
        </w:rPr>
      </w:pPr>
      <w:r>
        <w:rPr>
          <w:rFonts w:hint="eastAsia" w:ascii="宋体" w:hAnsi="宋体" w:cs="宋体"/>
          <w:sz w:val="24"/>
          <w:szCs w:val="24"/>
          <w:highlight w:val="none"/>
        </w:rPr>
        <w:t>RCA流程管理</w:t>
      </w:r>
    </w:p>
    <w:p>
      <w:pPr>
        <w:ind w:firstLine="480"/>
        <w:rPr>
          <w:rFonts w:ascii="宋体" w:hAnsi="宋体" w:cs="宋体"/>
          <w:sz w:val="24"/>
          <w:szCs w:val="24"/>
          <w:highlight w:val="none"/>
        </w:rPr>
      </w:pPr>
      <w:r>
        <w:rPr>
          <w:rFonts w:hint="eastAsia" w:ascii="宋体" w:hAnsi="宋体" w:cs="宋体"/>
          <w:sz w:val="24"/>
          <w:szCs w:val="24"/>
          <w:highlight w:val="none"/>
        </w:rPr>
        <w:t>RCA流程管理，异常事件决策树系统支持对每个事件从伤害审视、能力审视、外部审视和情景审视进行判断，判断事件是个人问题或系统问题，为事件是否需要进行RCA处理提供依据。（</w:t>
      </w:r>
      <w:r>
        <w:rPr>
          <w:rFonts w:hint="eastAsia" w:ascii="宋体" w:hAnsi="宋体" w:cs="宋体"/>
          <w:sz w:val="24"/>
          <w:szCs w:val="24"/>
          <w:highlight w:val="none"/>
          <w:lang w:eastAsia="zh-CN"/>
        </w:rPr>
        <w:t>需提供视频演示</w:t>
      </w:r>
      <w:r>
        <w:rPr>
          <w:rFonts w:hint="eastAsia" w:ascii="宋体" w:hAnsi="宋体" w:cs="宋体"/>
          <w:sz w:val="24"/>
          <w:szCs w:val="24"/>
          <w:highlight w:val="none"/>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1）发起RCA：发起RCA主题，建立主题小组，通过5W1H分析法展开RCA分析，并且可以设置处理时限。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找出可能原因（近端因）：支持录入会议记录，填写时间序列表，并提供鱼骨图分析、全景分析工具协助用户寻找可能原因，可临时编辑新增新的事件可能原因，在上报人填写的鱼骨图基础上进行新增、修改问题原因，支持导出鱼骨分析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3）确认根本原因：通过小组投票生成柏拉图，协助用户寻找根本原因。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4）RCA处理：填写根本原因及整改措施，整改措施支持从最后一条审批记录的整改措施中自动填写，支持上传附件。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5）RCA审批：选择审批结果（通过/回退）、填写审批意见。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6）RCA追踪：填写追踪信息（可多次填写），支持上传附件。</w:t>
      </w:r>
    </w:p>
    <w:p>
      <w:pPr>
        <w:numPr>
          <w:ilvl w:val="0"/>
          <w:numId w:val="17"/>
        </w:numPr>
        <w:tabs>
          <w:tab w:val="left" w:pos="425"/>
        </w:tabs>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事件分享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系统提供事件分享的功能，支持屏蔽敏感信息，可进行全院人员、指定人员、指定科室等权限进行事件的分享，了解事件的处理动态，便于全员学习和普及，建立医院安全文化机制。</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rPr>
        <w:t>事件导出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（1）事件列表导出：支持按事件类型，进行事件列表的导出；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（2）单个事件导出：针对填报的内容，系统支持导出A4纸样式，供科室存档。</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事件归档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（1）按照各事件类型，统一由主管部门进行结案，对已完成事件归档操作，集中显示归档事件；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（2）归档信息支持填写相关信息，如导致的结果、处理的方式、造成的经济损失。</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12.</w:t>
      </w:r>
      <w:r>
        <w:rPr>
          <w:rFonts w:hint="eastAsia" w:ascii="宋体" w:hAnsi="宋体" w:eastAsia="宋体" w:cs="宋体"/>
          <w:sz w:val="24"/>
          <w:szCs w:val="24"/>
        </w:rPr>
        <w:t>事件评价</w:t>
      </w:r>
    </w:p>
    <w:p>
      <w:pPr>
        <w:tabs>
          <w:tab w:val="left" w:pos="425"/>
        </w:tabs>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支持对已完成事件的处理过程进行整体评价。</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13.</w:t>
      </w:r>
      <w:r>
        <w:rPr>
          <w:rFonts w:hint="eastAsia" w:ascii="宋体" w:hAnsi="宋体" w:eastAsia="宋体" w:cs="宋体"/>
          <w:sz w:val="24"/>
          <w:szCs w:val="24"/>
        </w:rPr>
        <w:t>事件整改</w:t>
      </w:r>
    </w:p>
    <w:p>
      <w:pPr>
        <w:tabs>
          <w:tab w:val="left" w:pos="425"/>
        </w:tabs>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（1）针对需要整改落实的事件，可以发起事件整改，支持指定事件整改责任人、参与人、管理人员。</w:t>
      </w:r>
    </w:p>
    <w:p>
      <w:pPr>
        <w:tabs>
          <w:tab w:val="left" w:pos="425"/>
        </w:tabs>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（2）责任人收到整改信息后，跟进整改，完成后填写完成情况。</w:t>
      </w:r>
    </w:p>
    <w:p>
      <w:pPr>
        <w:tabs>
          <w:tab w:val="left" w:pos="425"/>
        </w:tabs>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 管理人员收到完成情况后，进行针对整改情况进行确认，不符合要求的可以回退。</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14.</w:t>
      </w:r>
      <w:r>
        <w:rPr>
          <w:rFonts w:hint="eastAsia" w:ascii="宋体" w:hAnsi="宋体" w:eastAsia="宋体" w:cs="宋体"/>
          <w:sz w:val="24"/>
          <w:szCs w:val="24"/>
        </w:rPr>
        <w:t>报表查询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系统提供多层级的事件查询报表，可以根据事件分类、事件类型、事件级别、发生时间、上报科室等上报的数据进行多方位的汇总，根据年、季度、月份的筛选，真实、全面、准确的了解事件的分布，为管理者提供数据分析支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（2）针对系统生成的报表，需支持自定义调整，调整后的报表可导出；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（3）时间警示报表：按时间范围筛选，统计事件处理超时的情况；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（4）任务目标监测</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1）可按照卫健委标准或医院自身管理要求设置各科室每年不良事件上报件数。</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2）可查看各科室任务达成情况，了解上报概况。</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3）提供事件分类、事件类型、事件等级、事件进度、日期类型、年份、季度多条件查询。</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4）科室上报设置任务后，科室人员登录系统中可直观看到自己所在科室的上报任务达成情况以及个人贡献度，提高全院不良事件上报率。</w:t>
      </w:r>
    </w:p>
    <w:p>
      <w:pPr>
        <w:ind w:firstLine="480"/>
        <w:rPr>
          <w:rFonts w:hint="eastAsia" w:ascii="宋体" w:hAnsi="宋体" w:eastAsia="宋体" w:cs="宋体"/>
          <w:color w:val="FF0000"/>
          <w:sz w:val="24"/>
          <w:szCs w:val="24"/>
          <w:lang w:eastAsia="zh-CN"/>
        </w:rPr>
      </w:pPr>
      <w:r>
        <w:rPr>
          <w:rFonts w:hint="eastAsia" w:ascii="宋体" w:hAnsi="宋体" w:eastAsia="宋体" w:cs="宋体"/>
          <w:sz w:val="24"/>
          <w:szCs w:val="24"/>
          <w:lang w:eastAsia="zh-CN"/>
        </w:rPr>
        <w:t>（5）高级查询：能够支持事件上报中勾选的结构化主要因素进行筛选和统计分析，可灵活的配置查询模板，一次配</w:t>
      </w:r>
      <w:r>
        <w:rPr>
          <w:rFonts w:hint="eastAsia" w:ascii="宋体" w:hAnsi="宋体" w:eastAsia="宋体" w:cs="宋体"/>
          <w:color w:val="000000"/>
          <w:sz w:val="24"/>
          <w:szCs w:val="24"/>
          <w:lang w:eastAsia="zh-CN"/>
        </w:rPr>
        <w:t>置可永久使用；支持事件等级、事件进度、时间日期等多维度查询条件，帮助管理者对事件内容进行数据挖掘分析；单击可查看统计报表数据详情，支持跳转至对应事件详情页面；支持导出当前统计报表；可以表格对内容进行灵活编辑，预览后导出。</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15.</w:t>
      </w:r>
      <w:r>
        <w:rPr>
          <w:rFonts w:hint="eastAsia" w:ascii="宋体" w:hAnsi="宋体" w:eastAsia="宋体" w:cs="宋体"/>
          <w:sz w:val="24"/>
          <w:szCs w:val="24"/>
        </w:rPr>
        <w:t>事件统计</w:t>
      </w:r>
    </w:p>
    <w:p>
      <w:pPr>
        <w:ind w:firstLine="480"/>
        <w:rPr>
          <w:rFonts w:hint="eastAsia" w:ascii="宋体" w:hAnsi="宋体" w:eastAsia="宋体" w:cs="宋体"/>
          <w:sz w:val="24"/>
          <w:szCs w:val="24"/>
        </w:rPr>
      </w:pPr>
      <w:r>
        <w:rPr>
          <w:rFonts w:hint="eastAsia" w:ascii="宋体" w:hAnsi="宋体" w:eastAsia="宋体" w:cs="宋体"/>
          <w:sz w:val="24"/>
          <w:szCs w:val="24"/>
        </w:rPr>
        <w:t>（1）及时率统计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支持按事件分类、事件类型、事件等级、时间类型、年份、季度、月度统计不良事件及时上报率、不良事件及时处置率。</w:t>
      </w:r>
    </w:p>
    <w:p>
      <w:pPr>
        <w:tabs>
          <w:tab w:val="left" w:pos="425"/>
        </w:tabs>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（2）事件改进汇总表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事件类型、事件风险度、事件严重度、事件处理进度进行分析，形成一段时间内事件的改进情况汇总表，表单需包含的信息：上报科室、事件、事情发生级别、事件发生经过、事件发生可能原因、改进意见及措施、事件追踪、当前跟进部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（3）患者安全主题分析：针对发生不良事件的患者的特性进行多维度的统计与分析。</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16.</w:t>
      </w:r>
      <w:r>
        <w:rPr>
          <w:rFonts w:hint="eastAsia" w:ascii="宋体" w:hAnsi="宋体" w:eastAsia="宋体" w:cs="宋体"/>
          <w:sz w:val="24"/>
          <w:szCs w:val="24"/>
        </w:rPr>
        <w:t>事件分析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支持通过图表方式，对事件的原因、场所、人员、病人以及处理情况各类信息进行综合分析。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（1）全景图分析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针对系统中上报的事件，对某一类事件或单个事件的原因因素、发生科室或事件类型进行动态全景显示，形成全景分析网络，为管理与决策提供依据；支持通过点击因素指标，查看具体事件详情。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（2）鱼骨图分析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针对系统中上报的事件，可进行鱼骨分析，根据鱼骨图制作的“4321”要求及“4M1E”原则，对某一类事件或单个事件进行分析，生成完整的鱼骨图，并能够在线编辑、选择不同的鱼骨类型、导出；并能提供鱼骨图的绘制工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（3）柏拉图分析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系统能够自动生成帕累托图，根据80/20法则，挑选主要因素做为质控的重点；并能提供柏拉图的绘制工具。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（4）交叉统计分析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具有灵活的分析工具，自定义两种项目进行交叉分析提高纵深分析力度，例如：可对工作年限、事件级别进行交叉，来分析事件的严重等级与工作经验之间的联系等。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（5）趋势分析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针对事件发生的趋势情况，采取对应措施，有效控制事件再次发生。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环比分析：查看某类事件本期统计数据与上期比较，了解逐期的发展速度；</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同比分析：查看某类事件的本期发展水平与去年同期发展水平对比而达到的相对发展速度。</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w:t>
      </w:r>
      <w:r>
        <w:rPr>
          <w:rFonts w:hint="eastAsia" w:ascii="宋体" w:hAnsi="宋体" w:eastAsia="宋体" w:cs="宋体"/>
          <w:color w:val="000000"/>
          <w:sz w:val="24"/>
          <w:szCs w:val="24"/>
          <w:lang w:eastAsia="zh-CN"/>
        </w:rPr>
        <w:t>▲</w:t>
      </w:r>
      <w:r>
        <w:rPr>
          <w:rFonts w:hint="eastAsia" w:ascii="宋体" w:hAnsi="宋体" w:eastAsia="宋体" w:cs="宋体"/>
          <w:sz w:val="24"/>
          <w:szCs w:val="24"/>
          <w:lang w:eastAsia="zh-CN"/>
        </w:rPr>
        <w:t>处理率分析（需提供系统界面截图）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支持统计不良事件5日处理合格情况。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支持统计不良事件3日审核与7日结案情况。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支持统计不良事件平均响应时</w:t>
      </w:r>
      <w:r>
        <w:rPr>
          <w:rFonts w:hint="eastAsia" w:ascii="宋体" w:hAnsi="宋体" w:cs="宋体"/>
          <w:sz w:val="24"/>
          <w:szCs w:val="24"/>
          <w:lang w:val="en-US" w:eastAsia="zh-CN"/>
        </w:rPr>
        <w:t>长</w:t>
      </w:r>
      <w:r>
        <w:rPr>
          <w:rFonts w:hint="eastAsia" w:ascii="宋体" w:hAnsi="宋体" w:eastAsia="宋体" w:cs="宋体"/>
          <w:sz w:val="24"/>
          <w:szCs w:val="24"/>
          <w:lang w:eastAsia="zh-CN"/>
        </w:rPr>
        <w:t>。</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支持统计不良事件平均处理时长。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提供上报人与不良事件上报及时情况。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（7）当事人分析</w:t>
      </w:r>
      <w:r>
        <w:rPr>
          <w:rFonts w:hint="eastAsia" w:ascii="宋体" w:hAnsi="宋体" w:eastAsia="宋体" w:cs="宋体"/>
          <w:sz w:val="24"/>
          <w:szCs w:val="24"/>
          <w:lang w:eastAsia="zh-CN"/>
        </w:rPr>
        <w:tab/>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支持统计不良事件涉及当事人、当事人职称、工作年限、岗位、年龄、学历情况。</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17.</w:t>
      </w:r>
      <w:r>
        <w:rPr>
          <w:rFonts w:hint="eastAsia" w:ascii="宋体" w:hAnsi="宋体" w:eastAsia="宋体" w:cs="宋体"/>
          <w:sz w:val="24"/>
          <w:szCs w:val="24"/>
        </w:rPr>
        <w:t>分析报告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系统内置分析报告，根据年、季度、月份的筛选自动生成符合医院自身管理的报告，包含文字说明、图表分析等，可导出成A4纸样式的Word格式，有效提供工作效率。</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18.</w:t>
      </w:r>
      <w:r>
        <w:rPr>
          <w:rFonts w:hint="eastAsia" w:ascii="宋体" w:hAnsi="宋体" w:eastAsia="宋体" w:cs="宋体"/>
          <w:sz w:val="24"/>
          <w:szCs w:val="24"/>
        </w:rPr>
        <w:t>消息管理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系统按照不同的流程设置不同的消息提醒，提供消息模板管理、消息发送设置、已发送消息查询等功能；消息提醒的形式，包括平台短消息、“企业微信或钉钉”的消息机制对接。</w:t>
      </w:r>
    </w:p>
    <w:p>
      <w:pPr>
        <w:numPr>
          <w:ilvl w:val="0"/>
          <w:numId w:val="0"/>
        </w:numPr>
        <w:tabs>
          <w:tab w:val="left" w:pos="425"/>
        </w:tabs>
        <w:spacing w:after="0"/>
        <w:jc w:val="both"/>
        <w:rPr>
          <w:rFonts w:hint="eastAsia" w:ascii="宋体" w:hAnsi="宋体" w:eastAsia="宋体" w:cs="宋体"/>
          <w:color w:val="000000"/>
          <w:sz w:val="24"/>
          <w:szCs w:val="24"/>
          <w:lang w:eastAsia="zh-CN"/>
        </w:rPr>
      </w:pPr>
      <w:r>
        <w:rPr>
          <w:rFonts w:hint="eastAsia" w:ascii="宋体" w:hAnsi="宋体" w:cs="宋体"/>
          <w:sz w:val="24"/>
          <w:szCs w:val="24"/>
          <w:lang w:val="en-US" w:eastAsia="zh-CN"/>
        </w:rPr>
        <w:t>19.</w:t>
      </w:r>
      <w:r>
        <w:rPr>
          <w:rFonts w:hint="eastAsia" w:ascii="宋体" w:hAnsi="宋体" w:eastAsia="宋体" w:cs="宋体"/>
          <w:sz w:val="24"/>
          <w:szCs w:val="24"/>
          <w:lang w:eastAsia="zh-CN"/>
        </w:rPr>
        <w:t>▲简报管</w:t>
      </w:r>
      <w:r>
        <w:rPr>
          <w:rFonts w:hint="eastAsia" w:ascii="宋体" w:hAnsi="宋体" w:eastAsia="宋体" w:cs="宋体"/>
          <w:color w:val="000000"/>
          <w:sz w:val="24"/>
          <w:szCs w:val="24"/>
          <w:lang w:eastAsia="zh-CN"/>
        </w:rPr>
        <w:t>理</w:t>
      </w:r>
      <w:r>
        <w:rPr>
          <w:rFonts w:hint="eastAsia" w:ascii="宋体" w:hAnsi="宋体" w:eastAsia="宋体" w:cs="宋体"/>
          <w:sz w:val="24"/>
          <w:szCs w:val="24"/>
          <w:lang w:eastAsia="zh-CN"/>
        </w:rPr>
        <w:t>（需提供系统界面截图）</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支持不良事件日、周月报、监控简报以及待办汇报推送，可指定推送范围及推送时间段，推送范围可设置为全院公开、部分科室或指定人员，消息推送类型支持平台短消息、“企业微信”、“钉钉”方式。</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日、周、月报：定时发送昨日、上周、上月不良事件上报统计，帮助院领导快速了解全院事件上报概况；</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监控简报：定时发送当前用户监管范围内的不良事件待办信息，帮助质控人员快速了解科室事件处理概况。</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待办汇报：定时发送当前用户待办汇总信息，知会相关人员尽快处理。</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20.</w:t>
      </w:r>
      <w:r>
        <w:rPr>
          <w:rFonts w:hint="eastAsia" w:ascii="宋体" w:hAnsi="宋体" w:eastAsia="宋体" w:cs="宋体"/>
          <w:sz w:val="24"/>
          <w:szCs w:val="24"/>
        </w:rPr>
        <w:t>系统管理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（1）基本信息维护：包括医院管理、科室管理、用户管理、权限管理、事件模板维护等。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（2）公告管理：支持管理员和职能部门负责人通过平台发布公告、修改公告和删除公告，支持全院公开、对部分科室公开。</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（3）事件流转：包含事件修改、确认、跟踪、分派、协助、回退、作废功能。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（4）事件警示：支持针对不同级的事件设置“超量未处理”、“超时未处理”和“审批节点超时未处理”对应的时长。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（5）用户日志管理：系统需自动记录用户操作日志，管理人员可以随时查询用户使用系统情况。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（6）主题颜色：提供多种系统主题皮肤，用户可根据喜好选择皮肤。</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21.</w:t>
      </w:r>
      <w:r>
        <w:rPr>
          <w:rFonts w:hint="eastAsia" w:ascii="宋体" w:hAnsi="宋体" w:eastAsia="宋体" w:cs="宋体"/>
          <w:sz w:val="24"/>
          <w:szCs w:val="24"/>
        </w:rPr>
        <w:t>工作台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根据不同角色的关注点，配置相应的工作台面，有利于全面的掌握事件信息。工作台需要涵盖的内容：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（1）待办任务：包含我的上报、审批中、我的回退、我的回退超时、已完成、我的审核、未查看事件、回退事件、回退超时、待追踪事件、RCA处理；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（2）审核监控：事件查阅范围内，待审核、回退、整体超时、节点超时的事件数量；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（3）平台公告、需及时审批事件、事件上报等级统计、科室事件上报例数、每月事件上报例数、各类事件上报例数、药品反应排名。</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22.</w:t>
      </w:r>
      <w:r>
        <w:rPr>
          <w:rFonts w:hint="eastAsia" w:ascii="宋体" w:hAnsi="宋体" w:eastAsia="宋体" w:cs="宋体"/>
          <w:sz w:val="24"/>
          <w:szCs w:val="24"/>
        </w:rPr>
        <w:t>全院监测BI</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以BI形式对全院医疗安全情况进行监控，主要包含：全院上报事件总数、上报环比数据分析、上报时间趋势、上报发生时间段、各科室上报情况块状图呈现、事件等级警示、警示事件展示、事件重点风险分析矩阵图、事件等级例数统计、事件分类Top3、上报科室数量统计、事件类型上报统计。</w:t>
      </w:r>
    </w:p>
    <w:p>
      <w:pPr>
        <w:numPr>
          <w:ilvl w:val="0"/>
          <w:numId w:val="0"/>
        </w:numPr>
        <w:tabs>
          <w:tab w:val="left" w:pos="425"/>
        </w:tabs>
        <w:spacing w:after="0"/>
        <w:jc w:val="both"/>
        <w:rPr>
          <w:rFonts w:hint="eastAsia" w:ascii="宋体" w:hAnsi="宋体" w:eastAsia="宋体" w:cs="宋体"/>
          <w:sz w:val="24"/>
          <w:szCs w:val="24"/>
        </w:rPr>
      </w:pPr>
      <w:r>
        <w:rPr>
          <w:rFonts w:hint="eastAsia" w:ascii="宋体" w:hAnsi="宋体" w:cs="宋体"/>
          <w:sz w:val="24"/>
          <w:szCs w:val="24"/>
          <w:lang w:val="en-US" w:eastAsia="zh-CN"/>
        </w:rPr>
        <w:t>23.</w:t>
      </w:r>
      <w:r>
        <w:rPr>
          <w:rFonts w:hint="eastAsia" w:ascii="宋体" w:hAnsi="宋体" w:eastAsia="宋体" w:cs="宋体"/>
          <w:sz w:val="24"/>
          <w:szCs w:val="24"/>
        </w:rPr>
        <w:t>药品警示监测</w:t>
      </w:r>
    </w:p>
    <w:p>
      <w:pPr>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对某个批次的某个药品反应监测，统计并处理同批药品反应次数过多的药。提供药品警示规则设置。</w:t>
      </w:r>
    </w:p>
    <w:p>
      <w:pPr>
        <w:tabs>
          <w:tab w:val="left" w:pos="425"/>
        </w:tabs>
        <w:ind w:left="420"/>
        <w:rPr>
          <w:rFonts w:hint="eastAsia" w:ascii="宋体" w:hAnsi="宋体" w:cs="宋体"/>
          <w:sz w:val="24"/>
          <w:szCs w:val="24"/>
          <w:highlight w:val="none"/>
        </w:rPr>
      </w:pPr>
      <w:r>
        <w:rPr>
          <w:rFonts w:hint="eastAsia" w:ascii="宋体" w:hAnsi="宋体" w:cs="宋体"/>
          <w:sz w:val="24"/>
          <w:szCs w:val="24"/>
          <w:highlight w:val="none"/>
        </w:rPr>
        <w:t>24.移动端（企业微信版或钉钉版）</w:t>
      </w:r>
    </w:p>
    <w:p>
      <w:pPr>
        <w:ind w:firstLine="480"/>
        <w:rPr>
          <w:rFonts w:hint="eastAsia" w:ascii="宋体" w:hAnsi="宋体" w:cs="宋体"/>
          <w:sz w:val="24"/>
          <w:szCs w:val="24"/>
          <w:highlight w:val="none"/>
        </w:rPr>
      </w:pPr>
      <w:r>
        <w:rPr>
          <w:rFonts w:hint="eastAsia" w:ascii="宋体" w:hAnsi="宋体" w:cs="宋体"/>
          <w:sz w:val="24"/>
          <w:szCs w:val="24"/>
          <w:highlight w:val="none"/>
        </w:rPr>
        <w:t>不良事件管理系统基于企业微信/钉钉端，提供事件管理的应用，通过手机拍照、快速填报等形式，减少工作量，方便医护人员及时上报，支持事件上报，我的上报，事件审核，事件检索，统计分析，简报推送，消息通知，扫码登录功能。（需提供视频演示）</w:t>
      </w:r>
    </w:p>
    <w:p>
      <w:pPr>
        <w:tabs>
          <w:tab w:val="left" w:pos="425"/>
        </w:tabs>
        <w:ind w:left="420"/>
        <w:rPr>
          <w:rFonts w:hint="eastAsia" w:ascii="宋体" w:hAnsi="宋体" w:cs="宋体"/>
          <w:sz w:val="24"/>
          <w:szCs w:val="24"/>
          <w:highlight w:val="none"/>
        </w:rPr>
      </w:pPr>
      <w:r>
        <w:rPr>
          <w:rFonts w:hint="eastAsia" w:ascii="宋体" w:hAnsi="宋体" w:cs="宋体"/>
          <w:sz w:val="24"/>
          <w:szCs w:val="24"/>
          <w:highlight w:val="none"/>
        </w:rPr>
        <w:t>25.RPA（智能上报中心）</w:t>
      </w:r>
    </w:p>
    <w:p>
      <w:pPr>
        <w:ind w:firstLine="480"/>
        <w:rPr>
          <w:rFonts w:hint="eastAsia" w:ascii="宋体" w:hAnsi="宋体" w:cs="宋体"/>
          <w:sz w:val="24"/>
          <w:szCs w:val="24"/>
          <w:highlight w:val="none"/>
        </w:rPr>
      </w:pPr>
      <w:r>
        <w:rPr>
          <w:rFonts w:hint="eastAsia" w:ascii="宋体" w:hAnsi="宋体" w:cs="宋体"/>
          <w:sz w:val="24"/>
          <w:szCs w:val="24"/>
          <w:highlight w:val="none"/>
        </w:rPr>
        <w:t>基于RPA技术，实现将相关的不良事件批量、自动上报到国家平台：</w:t>
      </w:r>
    </w:p>
    <w:p>
      <w:pPr>
        <w:ind w:firstLine="480"/>
        <w:rPr>
          <w:rFonts w:ascii="宋体" w:hAnsi="宋体" w:cs="宋体"/>
          <w:sz w:val="24"/>
          <w:szCs w:val="24"/>
          <w:highlight w:val="none"/>
        </w:rPr>
      </w:pPr>
      <w:r>
        <w:rPr>
          <w:rFonts w:hint="eastAsia" w:ascii="宋体" w:hAnsi="宋体" w:cs="宋体"/>
          <w:sz w:val="24"/>
          <w:szCs w:val="24"/>
          <w:highlight w:val="none"/>
        </w:rPr>
        <w:t>（1）支持将药品不良反应直报“国家药品不良反应监测系统”，支持屏蔽列表中不需要上报的不良事件，可自定义设置列表显示字段；记录上报状态，可查看事件详情，支持导出列表信息，支持上报异常警示。（需提供视频演示）</w:t>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（2）支持将器械不良事件直报“国家器械不良事件上报系统”，支持屏蔽列表中不需要上报的不良事件，可自定义设置列表显示字段；记录上报状态，可查看事件详情，支持导出列表信息。</w:t>
      </w:r>
      <w:r>
        <w:rPr>
          <w:rFonts w:hint="eastAsia" w:ascii="宋体" w:hAnsi="宋体" w:eastAsia="宋体" w:cs="宋体"/>
          <w:color w:val="000000"/>
          <w:sz w:val="24"/>
          <w:szCs w:val="24"/>
        </w:rPr>
        <w:t>支持上报异常警示。</w:t>
      </w:r>
    </w:p>
    <w:p>
      <w:pPr>
        <w:numPr>
          <w:ilvl w:val="0"/>
          <w:numId w:val="0"/>
        </w:numPr>
        <w:tabs>
          <w:tab w:val="left" w:pos="425"/>
        </w:tabs>
        <w:spacing w:after="0"/>
        <w:jc w:val="both"/>
        <w:rPr>
          <w:rFonts w:hint="eastAsia" w:ascii="宋体" w:hAnsi="宋体" w:eastAsia="宋体" w:cs="宋体"/>
          <w:b/>
          <w:bCs/>
          <w:sz w:val="24"/>
          <w:szCs w:val="24"/>
        </w:rPr>
      </w:pPr>
      <w:r>
        <w:rPr>
          <w:rFonts w:hint="eastAsia" w:ascii="宋体" w:hAnsi="宋体" w:cs="宋体"/>
          <w:b/>
          <w:bCs/>
          <w:sz w:val="24"/>
          <w:szCs w:val="24"/>
          <w:lang w:val="en-US" w:eastAsia="zh-CN"/>
        </w:rPr>
        <w:t>26.</w:t>
      </w:r>
      <w:r>
        <w:rPr>
          <w:rFonts w:hint="eastAsia" w:ascii="宋体" w:hAnsi="宋体" w:eastAsia="宋体" w:cs="宋体"/>
          <w:b/>
          <w:bCs/>
          <w:sz w:val="24"/>
          <w:szCs w:val="24"/>
        </w:rPr>
        <w:t>不良事件监测管理</w:t>
      </w:r>
    </w:p>
    <w:p>
      <w:pPr>
        <w:pStyle w:val="45"/>
        <w:ind w:left="0" w:firstLine="480"/>
        <w:rPr>
          <w:rFonts w:hint="eastAsia" w:ascii="宋体" w:hAnsi="宋体" w:eastAsia="宋体" w:cs="宋体"/>
          <w:sz w:val="24"/>
          <w:szCs w:val="24"/>
        </w:rPr>
      </w:pPr>
      <w:r>
        <w:rPr>
          <w:rFonts w:hint="eastAsia" w:ascii="宋体" w:hAnsi="宋体" w:eastAsia="宋体" w:cs="宋体"/>
          <w:sz w:val="24"/>
          <w:szCs w:val="24"/>
        </w:rPr>
        <w:t>26.1数据仓库管理​</w:t>
      </w:r>
    </w:p>
    <w:p>
      <w:pPr>
        <w:pStyle w:val="45"/>
        <w:numPr>
          <w:ilvl w:val="0"/>
          <w:numId w:val="18"/>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数据池管理​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对从医院系统（如HIS、EMR系统、护理文书系统、重症系统、手麻系统、急诊系统、医疗设备管理系统、临床药师工作站）获取的数据，实现数据表统一归集管理，确保数据符合管理规范，且具备完整追溯链条，为后续事件监测提供基础数据支撑。</w:t>
      </w:r>
    </w:p>
    <w:p>
      <w:pPr>
        <w:pStyle w:val="45"/>
        <w:numPr>
          <w:ilvl w:val="0"/>
          <w:numId w:val="18"/>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数据转换处理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根据不良事件规则指标，对接口数据进行业务整合，确保转换后的数据与监测场景高度适配。</w:t>
      </w:r>
    </w:p>
    <w:p>
      <w:pPr>
        <w:pStyle w:val="45"/>
        <w:numPr>
          <w:ilvl w:val="0"/>
          <w:numId w:val="18"/>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目标数据提取</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从接口数据中精准提取监测规则所需的目标数据，为不良事件监测分析提供精准数据源。</w:t>
      </w:r>
    </w:p>
    <w:p>
      <w:pPr>
        <w:pStyle w:val="45"/>
        <w:ind w:left="0" w:firstLine="480"/>
        <w:rPr>
          <w:rFonts w:hint="eastAsia" w:ascii="宋体" w:hAnsi="宋体" w:eastAsia="宋体" w:cs="宋体"/>
          <w:sz w:val="24"/>
          <w:szCs w:val="24"/>
        </w:rPr>
      </w:pPr>
      <w:r>
        <w:rPr>
          <w:rFonts w:hint="eastAsia" w:ascii="宋体" w:hAnsi="宋体" w:eastAsia="宋体" w:cs="宋体"/>
          <w:sz w:val="24"/>
          <w:szCs w:val="24"/>
        </w:rPr>
        <w:t>26.2监测设置配置</w:t>
      </w:r>
    </w:p>
    <w:p>
      <w:pPr>
        <w:pStyle w:val="45"/>
        <w:numPr>
          <w:ilvl w:val="0"/>
          <w:numId w:val="19"/>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监测规则管理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可结合实际业务及数据仓库视图表，建立监测规则，并拥有规则的删改查权限，确保规则能动态匹配医疗业务调整需求。</w:t>
      </w:r>
    </w:p>
    <w:p>
      <w:pPr>
        <w:pStyle w:val="45"/>
        <w:numPr>
          <w:ilvl w:val="0"/>
          <w:numId w:val="19"/>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SQL 视图查看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支持将监测规则的设置内容以 SQL 形式展示，方便院内信息科技术人员核查规则逻辑，确保规则符合医疗数据统计规范。</w:t>
      </w:r>
    </w:p>
    <w:p>
      <w:pPr>
        <w:pStyle w:val="45"/>
        <w:numPr>
          <w:ilvl w:val="0"/>
          <w:numId w:val="19"/>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规则模板应用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依据预设的监测规则模板，分析匹配数据是否符合规则，提升规则应用的效率与一致性。</w:t>
      </w:r>
    </w:p>
    <w:p>
      <w:pPr>
        <w:pStyle w:val="45"/>
        <w:numPr>
          <w:ilvl w:val="0"/>
          <w:numId w:val="19"/>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匹配范围界定</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明确监测分析的内容位置范围，确保监测聚焦于核心数据区域。</w:t>
      </w:r>
    </w:p>
    <w:p>
      <w:pPr>
        <w:pStyle w:val="45"/>
        <w:numPr>
          <w:ilvl w:val="0"/>
          <w:numId w:val="19"/>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文本截取控制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需分析的医疗数据文本内容进行范围截取，减少无效文本干扰，提升监测精准度。</w:t>
      </w:r>
    </w:p>
    <w:p>
      <w:pPr>
        <w:pStyle w:val="45"/>
        <w:numPr>
          <w:ilvl w:val="0"/>
          <w:numId w:val="19"/>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多条件补充设置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支持监测规则添加额外查询条件，从数据仓库中精准筛选目标患者数据，满足复杂场景的监测需求。</w:t>
      </w:r>
    </w:p>
    <w:p>
      <w:pPr>
        <w:pStyle w:val="45"/>
        <w:numPr>
          <w:ilvl w:val="0"/>
          <w:numId w:val="19"/>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语义分析应用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通过医学术语分词技术，对文本数据进行分析，判断数据是否符合规则设置的业务要求；同时，在术语归一化处理后，采用自然语言处理技术对数据分类，保障文本数据的分析有效性。</w:t>
      </w:r>
    </w:p>
    <w:p>
      <w:pPr>
        <w:pStyle w:val="45"/>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26.3监测方案与规则配置</w:t>
      </w:r>
    </w:p>
    <w:p>
      <w:pPr>
        <w:ind w:firstLine="480"/>
        <w:rPr>
          <w:rFonts w:hint="eastAsia" w:ascii="宋体" w:hAnsi="宋体" w:eastAsia="宋体" w:cs="宋体"/>
          <w:sz w:val="24"/>
          <w:szCs w:val="24"/>
        </w:rPr>
      </w:pPr>
      <w:r>
        <w:rPr>
          <w:rFonts w:hint="eastAsia" w:ascii="宋体" w:hAnsi="宋体" w:eastAsia="宋体" w:cs="宋体"/>
          <w:sz w:val="24"/>
          <w:szCs w:val="24"/>
          <w:lang w:eastAsia="zh-CN"/>
        </w:rPr>
        <w:t>在项目实施期间，可根据院内不同医疗质量监测指标要求及医院管理、信息化建设实际情况，通过系统界面可视化配置监测规则；同时借助 AI 人工智能算法实现不良事件的漏报监测与提醒，并安排质控科专人与科室沟通确认数据准确度，确保满足科室对医疗指标抓取的需求。</w:t>
      </w:r>
      <w:r>
        <w:rPr>
          <w:rFonts w:hint="eastAsia" w:ascii="宋体" w:hAnsi="宋体" w:eastAsia="宋体" w:cs="宋体"/>
          <w:sz w:val="24"/>
          <w:szCs w:val="24"/>
        </w:rPr>
        <w:t>具体要求如下：</w:t>
      </w:r>
    </w:p>
    <w:p>
      <w:pPr>
        <w:pStyle w:val="45"/>
        <w:numPr>
          <w:ilvl w:val="0"/>
          <w:numId w:val="20"/>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指标类型管理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需具备医疗监测指标类型的增删改查权限。</w:t>
      </w:r>
    </w:p>
    <w:p>
      <w:pPr>
        <w:pStyle w:val="45"/>
        <w:numPr>
          <w:ilvl w:val="0"/>
          <w:numId w:val="20"/>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用户权限配置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需配置监测管理列表中指标的查看用户、审核用户及接收通知用户，明确各角色权限边界，保障患者医疗数据安全与监测流程规范。</w:t>
      </w:r>
    </w:p>
    <w:p>
      <w:pPr>
        <w:pStyle w:val="45"/>
        <w:numPr>
          <w:ilvl w:val="0"/>
          <w:numId w:val="20"/>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监测指标管理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根据实际需求组合监测规则，对监测指标进行增删改查，并为每个规则设置权重，确保指标监测的针对性。</w:t>
      </w:r>
    </w:p>
    <w:p>
      <w:pPr>
        <w:pStyle w:val="45"/>
        <w:numPr>
          <w:ilvl w:val="0"/>
          <w:numId w:val="20"/>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指标权重设置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对监测指标可选择设置权重或不设置权重；若设置权重，需满足规则组合匹配总权重≥指标权重时，生成监测结果。</w:t>
      </w:r>
    </w:p>
    <w:p>
      <w:pPr>
        <w:pStyle w:val="45"/>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26.4监测指标范围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重点监测的指标包括：</w:t>
      </w:r>
    </w:p>
    <w:p>
      <w:pPr>
        <w:pStyle w:val="45"/>
        <w:numPr>
          <w:ilvl w:val="0"/>
          <w:numId w:val="21"/>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非计划返院；</w:t>
      </w:r>
    </w:p>
    <w:p>
      <w:pPr>
        <w:pStyle w:val="45"/>
        <w:numPr>
          <w:ilvl w:val="0"/>
          <w:numId w:val="21"/>
        </w:numPr>
        <w:spacing w:after="0"/>
        <w:ind w:firstLine="468"/>
        <w:jc w:val="both"/>
        <w:rPr>
          <w:rFonts w:hint="eastAsia" w:ascii="宋体" w:hAnsi="宋体" w:eastAsia="宋体" w:cs="宋体"/>
          <w:sz w:val="24"/>
          <w:szCs w:val="24"/>
        </w:rPr>
      </w:pPr>
      <w:r>
        <w:rPr>
          <w:rFonts w:hint="eastAsia" w:ascii="宋体" w:hAnsi="宋体" w:eastAsia="宋体" w:cs="宋体"/>
          <w:spacing w:val="-3"/>
          <w:sz w:val="24"/>
          <w:szCs w:val="24"/>
        </w:rPr>
        <w:t>非计划手术；</w:t>
      </w:r>
    </w:p>
    <w:p>
      <w:pPr>
        <w:pStyle w:val="45"/>
        <w:numPr>
          <w:ilvl w:val="0"/>
          <w:numId w:val="21"/>
        </w:numPr>
        <w:spacing w:after="0"/>
        <w:ind w:firstLine="468"/>
        <w:jc w:val="both"/>
        <w:rPr>
          <w:rFonts w:hint="eastAsia" w:ascii="宋体" w:hAnsi="宋体" w:eastAsia="宋体" w:cs="宋体"/>
          <w:sz w:val="24"/>
          <w:szCs w:val="24"/>
        </w:rPr>
      </w:pPr>
      <w:r>
        <w:rPr>
          <w:rFonts w:hint="eastAsia" w:ascii="宋体" w:hAnsi="宋体" w:eastAsia="宋体" w:cs="宋体"/>
          <w:spacing w:val="-3"/>
          <w:sz w:val="24"/>
          <w:szCs w:val="24"/>
        </w:rPr>
        <w:t>非计划重返</w:t>
      </w:r>
      <w:r>
        <w:rPr>
          <w:rFonts w:hint="eastAsia" w:ascii="宋体" w:hAnsi="宋体" w:eastAsia="宋体" w:cs="宋体"/>
          <w:spacing w:val="-8"/>
          <w:sz w:val="24"/>
          <w:szCs w:val="24"/>
        </w:rPr>
        <w:t>ICU；</w:t>
      </w:r>
    </w:p>
    <w:p>
      <w:pPr>
        <w:pStyle w:val="45"/>
        <w:numPr>
          <w:ilvl w:val="0"/>
          <w:numId w:val="21"/>
        </w:numPr>
        <w:spacing w:after="0"/>
        <w:ind w:firstLine="472"/>
        <w:jc w:val="both"/>
        <w:rPr>
          <w:rFonts w:hint="eastAsia" w:ascii="宋体" w:hAnsi="宋体" w:eastAsia="宋体" w:cs="宋体"/>
          <w:sz w:val="24"/>
          <w:szCs w:val="24"/>
        </w:rPr>
      </w:pPr>
      <w:r>
        <w:rPr>
          <w:rFonts w:hint="eastAsia" w:ascii="宋体" w:hAnsi="宋体" w:eastAsia="宋体" w:cs="宋体"/>
          <w:spacing w:val="-2"/>
          <w:sz w:val="24"/>
          <w:szCs w:val="24"/>
        </w:rPr>
        <w:t>输血不良反应；</w:t>
      </w:r>
    </w:p>
    <w:p>
      <w:pPr>
        <w:pStyle w:val="45"/>
        <w:numPr>
          <w:ilvl w:val="0"/>
          <w:numId w:val="21"/>
        </w:numPr>
        <w:spacing w:after="0"/>
        <w:ind w:firstLine="468"/>
        <w:jc w:val="both"/>
        <w:rPr>
          <w:rFonts w:hint="eastAsia" w:ascii="宋体" w:hAnsi="宋体" w:eastAsia="宋体" w:cs="宋体"/>
          <w:sz w:val="24"/>
          <w:szCs w:val="24"/>
        </w:rPr>
      </w:pPr>
      <w:r>
        <w:rPr>
          <w:rFonts w:hint="eastAsia" w:ascii="宋体" w:hAnsi="宋体" w:eastAsia="宋体" w:cs="宋体"/>
          <w:spacing w:val="-3"/>
          <w:sz w:val="24"/>
          <w:szCs w:val="24"/>
        </w:rPr>
        <w:t>跌倒/坠床；</w:t>
      </w:r>
    </w:p>
    <w:p>
      <w:pPr>
        <w:pStyle w:val="45"/>
        <w:numPr>
          <w:ilvl w:val="0"/>
          <w:numId w:val="21"/>
        </w:numPr>
        <w:spacing w:after="0"/>
        <w:ind w:firstLine="452"/>
        <w:jc w:val="both"/>
        <w:rPr>
          <w:rFonts w:hint="eastAsia" w:ascii="宋体" w:hAnsi="宋体" w:eastAsia="宋体" w:cs="宋体"/>
          <w:sz w:val="24"/>
          <w:szCs w:val="24"/>
        </w:rPr>
      </w:pPr>
      <w:r>
        <w:rPr>
          <w:rFonts w:hint="eastAsia" w:ascii="宋体" w:hAnsi="宋体" w:eastAsia="宋体" w:cs="宋体"/>
          <w:spacing w:val="-7"/>
          <w:sz w:val="24"/>
          <w:szCs w:val="24"/>
        </w:rPr>
        <w:t>院内压疮；</w:t>
      </w:r>
    </w:p>
    <w:p>
      <w:pPr>
        <w:pStyle w:val="45"/>
        <w:numPr>
          <w:ilvl w:val="0"/>
          <w:numId w:val="21"/>
        </w:numPr>
        <w:spacing w:after="0"/>
        <w:ind w:firstLine="468"/>
        <w:jc w:val="both"/>
        <w:rPr>
          <w:rFonts w:hint="eastAsia" w:ascii="宋体" w:hAnsi="宋体" w:eastAsia="宋体" w:cs="宋体"/>
          <w:sz w:val="24"/>
          <w:szCs w:val="24"/>
        </w:rPr>
      </w:pPr>
      <w:r>
        <w:rPr>
          <w:rFonts w:hint="eastAsia" w:ascii="宋体" w:hAnsi="宋体" w:eastAsia="宋体" w:cs="宋体"/>
          <w:spacing w:val="-3"/>
          <w:sz w:val="24"/>
          <w:szCs w:val="24"/>
        </w:rPr>
        <w:t>非计划拔管；</w:t>
      </w:r>
    </w:p>
    <w:p>
      <w:pPr>
        <w:pStyle w:val="45"/>
        <w:numPr>
          <w:ilvl w:val="0"/>
          <w:numId w:val="21"/>
        </w:numPr>
        <w:spacing w:after="0"/>
        <w:ind w:firstLine="472"/>
        <w:jc w:val="both"/>
        <w:rPr>
          <w:rFonts w:hint="eastAsia" w:ascii="宋体" w:hAnsi="宋体" w:eastAsia="宋体" w:cs="宋体"/>
          <w:sz w:val="24"/>
          <w:szCs w:val="24"/>
        </w:rPr>
      </w:pPr>
      <w:r>
        <w:rPr>
          <w:rFonts w:hint="eastAsia" w:ascii="宋体" w:hAnsi="宋体" w:eastAsia="宋体" w:cs="宋体"/>
          <w:spacing w:val="-2"/>
          <w:sz w:val="24"/>
          <w:szCs w:val="24"/>
        </w:rPr>
        <w:t>呛奶/窒息（护理）；</w:t>
      </w:r>
    </w:p>
    <w:p>
      <w:pPr>
        <w:pStyle w:val="45"/>
        <w:numPr>
          <w:ilvl w:val="0"/>
          <w:numId w:val="21"/>
        </w:numPr>
        <w:spacing w:after="0"/>
        <w:ind w:firstLine="472"/>
        <w:jc w:val="both"/>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药物外渗/渗出（护理）；</w:t>
      </w:r>
    </w:p>
    <w:p>
      <w:pPr>
        <w:pStyle w:val="45"/>
        <w:numPr>
          <w:ilvl w:val="0"/>
          <w:numId w:val="21"/>
        </w:numPr>
        <w:spacing w:after="0"/>
        <w:ind w:firstLine="472"/>
        <w:jc w:val="both"/>
        <w:rPr>
          <w:rFonts w:hint="eastAsia" w:ascii="宋体" w:hAnsi="宋体" w:eastAsia="宋体" w:cs="宋体"/>
          <w:sz w:val="24"/>
          <w:szCs w:val="24"/>
        </w:rPr>
      </w:pPr>
      <w:r>
        <w:rPr>
          <w:rFonts w:hint="eastAsia" w:ascii="宋体" w:hAnsi="宋体" w:eastAsia="宋体" w:cs="宋体"/>
          <w:spacing w:val="-2"/>
          <w:sz w:val="24"/>
          <w:szCs w:val="24"/>
        </w:rPr>
        <w:t>VTE</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事件监测；</w:t>
      </w:r>
    </w:p>
    <w:p>
      <w:pPr>
        <w:pStyle w:val="45"/>
        <w:numPr>
          <w:ilvl w:val="0"/>
          <w:numId w:val="21"/>
        </w:numPr>
        <w:spacing w:after="0"/>
        <w:ind w:firstLine="464"/>
        <w:jc w:val="both"/>
        <w:rPr>
          <w:rFonts w:hint="eastAsia" w:ascii="宋体" w:hAnsi="宋体" w:eastAsia="宋体" w:cs="宋体"/>
          <w:sz w:val="24"/>
          <w:szCs w:val="24"/>
        </w:rPr>
      </w:pPr>
      <w:r>
        <w:rPr>
          <w:rFonts w:hint="eastAsia" w:ascii="宋体" w:hAnsi="宋体" w:eastAsia="宋体" w:cs="宋体"/>
          <w:spacing w:val="-4"/>
          <w:sz w:val="24"/>
          <w:szCs w:val="24"/>
        </w:rPr>
        <w:t>烫伤事件；</w:t>
      </w:r>
    </w:p>
    <w:p>
      <w:pPr>
        <w:pStyle w:val="45"/>
        <w:numPr>
          <w:ilvl w:val="0"/>
          <w:numId w:val="21"/>
        </w:numPr>
        <w:spacing w:after="0"/>
        <w:ind w:firstLine="468"/>
        <w:jc w:val="both"/>
        <w:rPr>
          <w:rFonts w:hint="eastAsia" w:ascii="宋体" w:hAnsi="宋体" w:eastAsia="宋体" w:cs="宋体"/>
          <w:sz w:val="24"/>
          <w:szCs w:val="24"/>
        </w:rPr>
      </w:pPr>
      <w:r>
        <w:rPr>
          <w:rFonts w:hint="eastAsia" w:ascii="宋体" w:hAnsi="宋体" w:eastAsia="宋体" w:cs="宋体"/>
          <w:spacing w:val="-3"/>
          <w:sz w:val="24"/>
          <w:szCs w:val="24"/>
        </w:rPr>
        <w:t>不合理用血；</w:t>
      </w:r>
    </w:p>
    <w:p>
      <w:pPr>
        <w:pStyle w:val="45"/>
        <w:numPr>
          <w:ilvl w:val="0"/>
          <w:numId w:val="21"/>
        </w:numPr>
        <w:spacing w:after="0"/>
        <w:ind w:firstLine="456"/>
        <w:jc w:val="both"/>
        <w:rPr>
          <w:rFonts w:hint="eastAsia" w:ascii="宋体" w:hAnsi="宋体" w:eastAsia="宋体" w:cs="宋体"/>
          <w:sz w:val="24"/>
          <w:szCs w:val="24"/>
        </w:rPr>
      </w:pPr>
      <w:r>
        <w:rPr>
          <w:rFonts w:hint="eastAsia" w:ascii="宋体" w:hAnsi="宋体" w:eastAsia="宋体" w:cs="宋体"/>
          <w:spacing w:val="-6"/>
          <w:sz w:val="24"/>
          <w:szCs w:val="24"/>
          <w:lang w:eastAsia="zh-CN"/>
        </w:rPr>
        <w:t>麻醉不良反应</w:t>
      </w:r>
      <w:r>
        <w:rPr>
          <w:rFonts w:hint="eastAsia" w:ascii="宋体" w:hAnsi="宋体" w:eastAsia="宋体" w:cs="宋体"/>
          <w:spacing w:val="-6"/>
          <w:sz w:val="24"/>
          <w:szCs w:val="24"/>
        </w:rPr>
        <w:t>；</w:t>
      </w:r>
    </w:p>
    <w:p>
      <w:pPr>
        <w:pStyle w:val="45"/>
        <w:numPr>
          <w:ilvl w:val="0"/>
          <w:numId w:val="21"/>
        </w:numPr>
        <w:spacing w:after="0"/>
        <w:ind w:firstLine="472"/>
        <w:jc w:val="both"/>
        <w:rPr>
          <w:rFonts w:hint="eastAsia" w:ascii="宋体" w:hAnsi="宋体" w:eastAsia="宋体" w:cs="宋体"/>
          <w:sz w:val="24"/>
          <w:szCs w:val="24"/>
        </w:rPr>
      </w:pPr>
      <w:r>
        <w:rPr>
          <w:rFonts w:hint="eastAsia" w:ascii="宋体" w:hAnsi="宋体" w:eastAsia="宋体" w:cs="宋体"/>
          <w:spacing w:val="-2"/>
          <w:sz w:val="24"/>
          <w:szCs w:val="24"/>
        </w:rPr>
        <w:t>手术并发症。</w:t>
      </w:r>
    </w:p>
    <w:p>
      <w:pPr>
        <w:pStyle w:val="45"/>
        <w:ind w:left="0" w:firstLine="480"/>
        <w:rPr>
          <w:rFonts w:hint="eastAsia" w:ascii="宋体" w:hAnsi="宋体" w:eastAsia="宋体" w:cs="宋体"/>
          <w:sz w:val="24"/>
          <w:szCs w:val="24"/>
        </w:rPr>
      </w:pPr>
      <w:r>
        <w:rPr>
          <w:rFonts w:hint="eastAsia" w:ascii="宋体" w:hAnsi="宋体" w:eastAsia="宋体" w:cs="宋体"/>
          <w:sz w:val="24"/>
          <w:szCs w:val="24"/>
        </w:rPr>
        <w:t>26.5匹配内容标识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监测匹配的内容及相关医疗文书需以红色标识，方便医护人员、质控专员快速识别核心监测信息，提升响应效率。</w:t>
      </w:r>
    </w:p>
    <w:p>
      <w:pPr>
        <w:pStyle w:val="45"/>
        <w:tabs>
          <w:tab w:val="left" w:pos="6869"/>
        </w:tabs>
        <w:ind w:left="0"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26.6监测管理操作</w:t>
      </w:r>
      <w:r>
        <w:rPr>
          <w:rFonts w:hint="eastAsia" w:ascii="宋体" w:hAnsi="宋体" w:eastAsia="宋体" w:cs="宋体"/>
          <w:sz w:val="24"/>
          <w:szCs w:val="24"/>
          <w:lang w:eastAsia="zh-CN"/>
        </w:rPr>
        <w:tab/>
      </w:r>
    </w:p>
    <w:p>
      <w:pPr>
        <w:pStyle w:val="45"/>
        <w:numPr>
          <w:ilvl w:val="0"/>
          <w:numId w:val="22"/>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监测结果查看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系统需每日自动生成监测结果，医护人员、质控专员可通过系统查看患者 360° 信息、匹配中的规则数据及患者基本信息，全面掌握不良事件情况。</w:t>
      </w:r>
    </w:p>
    <w:p>
      <w:pPr>
        <w:pStyle w:val="45"/>
        <w:numPr>
          <w:ilvl w:val="0"/>
          <w:numId w:val="22"/>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监测结果作废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若生成的监测结果不符合业务要求，需具备将该结果作废的权限，确保监测数据的准确性。</w:t>
      </w:r>
    </w:p>
    <w:p>
      <w:pPr>
        <w:pStyle w:val="45"/>
        <w:numPr>
          <w:ilvl w:val="0"/>
          <w:numId w:val="22"/>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上报人指定</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若监测结果判定为不良事件，质控专员可对结果进行审核，并指定科室医护人员负责上报，明确责任归属。</w:t>
      </w:r>
    </w:p>
    <w:p>
      <w:pPr>
        <w:pStyle w:val="45"/>
        <w:numPr>
          <w:ilvl w:val="0"/>
          <w:numId w:val="22"/>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已上报事件查看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在指定人员完成不良事件上报后，医护人员、质控专员可在结果详情页面查看已上报事件，实现从监测、判定到上报的全流程跟踪。</w:t>
      </w:r>
    </w:p>
    <w:p>
      <w:pPr>
        <w:pStyle w:val="45"/>
        <w:numPr>
          <w:ilvl w:val="0"/>
          <w:numId w:val="22"/>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直接上报功能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需能在结果详情页面直接上报对应的不良事件，简化上报流程，避免延误事件处理。</w:t>
      </w:r>
    </w:p>
    <w:p>
      <w:pPr>
        <w:pStyle w:val="45"/>
        <w:numPr>
          <w:ilvl w:val="0"/>
          <w:numId w:val="22"/>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疑似重复提示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需自动提示已上报过的不良事件，避免同一事件重复上报，提升工作效率。</w:t>
      </w:r>
    </w:p>
    <w:p>
      <w:pPr>
        <w:pStyle w:val="45"/>
        <w:numPr>
          <w:ilvl w:val="0"/>
          <w:numId w:val="22"/>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批量审核处理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需支持一次对多个监测结果进行审核，减少质控专员重复操作，提升不良事件监测结果的处理效率。</w:t>
      </w:r>
    </w:p>
    <w:p>
      <w:pPr>
        <w:pStyle w:val="45"/>
        <w:ind w:left="0" w:firstLine="480"/>
        <w:rPr>
          <w:rFonts w:hint="eastAsia" w:ascii="宋体" w:hAnsi="宋体" w:eastAsia="宋体" w:cs="宋体"/>
          <w:sz w:val="24"/>
          <w:szCs w:val="24"/>
        </w:rPr>
      </w:pPr>
      <w:r>
        <w:rPr>
          <w:rFonts w:hint="eastAsia" w:ascii="宋体" w:hAnsi="宋体" w:eastAsia="宋体" w:cs="宋体"/>
          <w:sz w:val="24"/>
          <w:szCs w:val="24"/>
        </w:rPr>
        <w:t>26.7监测工作台</w:t>
      </w:r>
    </w:p>
    <w:p>
      <w:pPr>
        <w:pStyle w:val="45"/>
        <w:numPr>
          <w:ilvl w:val="0"/>
          <w:numId w:val="23"/>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状态数量展示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监测工作台需清晰显示待处理、未查看、未上报三个状态的监测结果数量，方便质控科、科室管理人员掌握工作进度，合理分配医护任务。</w:t>
      </w:r>
    </w:p>
    <w:p>
      <w:pPr>
        <w:pStyle w:val="45"/>
        <w:numPr>
          <w:ilvl w:val="0"/>
          <w:numId w:val="23"/>
        </w:numPr>
        <w:spacing w:after="0"/>
        <w:ind w:firstLine="480"/>
        <w:jc w:val="both"/>
        <w:rPr>
          <w:rFonts w:hint="eastAsia" w:ascii="宋体" w:hAnsi="宋体" w:eastAsia="宋体" w:cs="宋体"/>
          <w:sz w:val="24"/>
          <w:szCs w:val="24"/>
        </w:rPr>
      </w:pPr>
      <w:r>
        <w:rPr>
          <w:rFonts w:hint="eastAsia" w:ascii="宋体" w:hAnsi="宋体" w:eastAsia="宋体" w:cs="宋体"/>
          <w:sz w:val="24"/>
          <w:szCs w:val="24"/>
        </w:rPr>
        <w:t>统计分析功能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监测工作台需提供监测指标统计、监测指标月统计功能，支持医院进行医疗质量复盘与管理决策，持续提升医疗质量与患者安全管理水平。</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接口：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1、包含与HIS、EMR、集成平台、护理文书系统、重症系统、手麻系统、急诊系统、医疗设备管理系统、临床药师工作站等各系统接口改造和对接；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2、五年维保；</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3、满足新旧电子病历六级标准要求；</w:t>
      </w:r>
    </w:p>
    <w:tbl>
      <w:tblPr>
        <w:tblStyle w:val="34"/>
        <w:tblW w:w="9372" w:type="dxa"/>
        <w:jc w:val="center"/>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6"/>
        <w:gridCol w:w="968"/>
        <w:gridCol w:w="1087"/>
        <w:gridCol w:w="1659"/>
        <w:gridCol w:w="48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9372" w:type="dxa"/>
            <w:gridSpan w:val="5"/>
            <w:tcBorders>
              <w:top w:val="single" w:color="auto" w:sz="12" w:space="0"/>
              <w:left w:val="single" w:color="auto" w:sz="12" w:space="0"/>
              <w:bottom w:val="single" w:color="auto" w:sz="4" w:space="0"/>
              <w:right w:val="single" w:color="auto" w:sz="12" w:space="0"/>
            </w:tcBorders>
            <w:vAlign w:val="top"/>
          </w:tcPr>
          <w:p>
            <w:pPr>
              <w:pStyle w:val="22"/>
              <w:keepNext/>
              <w:ind w:firstLine="480"/>
              <w:rPr>
                <w:rFonts w:hint="eastAsia" w:ascii="宋体" w:hAnsi="宋体" w:eastAsia="宋体" w:cs="宋体"/>
                <w:sz w:val="24"/>
                <w:szCs w:val="24"/>
              </w:rPr>
            </w:pPr>
            <w:r>
              <w:rPr>
                <w:rFonts w:hint="eastAsia" w:ascii="宋体" w:hAnsi="宋体" w:eastAsia="宋体" w:cs="宋体"/>
                <w:sz w:val="24"/>
                <w:szCs w:val="24"/>
              </w:rPr>
              <w:t>重点监测的指标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restart"/>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rPr>
                <w:rFonts w:hint="eastAsia" w:ascii="宋体" w:hAnsi="宋体" w:eastAsia="宋体" w:cs="宋体"/>
                <w:sz w:val="24"/>
                <w:szCs w:val="24"/>
              </w:rPr>
            </w:pPr>
            <w:r>
              <w:rPr>
                <w:rFonts w:hint="eastAsia" w:ascii="宋体" w:hAnsi="宋体" w:eastAsia="宋体" w:cs="宋体"/>
                <w:sz w:val="24"/>
                <w:szCs w:val="24"/>
              </w:rPr>
              <w:t>A01</w:t>
            </w:r>
          </w:p>
        </w:tc>
        <w:tc>
          <w:tcPr>
            <w:tcW w:w="968" w:type="dxa"/>
            <w:vMerge w:val="restart"/>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ind w:firstLine="480"/>
              <w:rPr>
                <w:rFonts w:hint="eastAsia" w:ascii="宋体" w:hAnsi="宋体" w:eastAsia="宋体" w:cs="宋体"/>
                <w:sz w:val="24"/>
                <w:szCs w:val="24"/>
              </w:rPr>
            </w:pPr>
          </w:p>
          <w:p>
            <w:pPr>
              <w:pStyle w:val="22"/>
              <w:keepNext/>
              <w:rPr>
                <w:rFonts w:hint="eastAsia" w:ascii="宋体" w:hAnsi="宋体" w:eastAsia="宋体" w:cs="宋体"/>
                <w:sz w:val="24"/>
                <w:szCs w:val="24"/>
              </w:rPr>
            </w:pPr>
            <w:r>
              <w:rPr>
                <w:rFonts w:hint="eastAsia" w:ascii="宋体" w:hAnsi="宋体" w:eastAsia="宋体" w:cs="宋体"/>
                <w:sz w:val="24"/>
                <w:szCs w:val="24"/>
              </w:rPr>
              <w:t>指标类型</w:t>
            </w: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A0101</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非计划返院</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住院患者在出院后又因相同或相关疾</w:t>
            </w:r>
            <w:r>
              <w:rPr>
                <w:rFonts w:hint="eastAsia" w:ascii="宋体" w:hAnsi="宋体" w:eastAsia="宋体" w:cs="宋体"/>
                <w:spacing w:val="-3"/>
                <w:sz w:val="24"/>
                <w:szCs w:val="24"/>
                <w:lang w:eastAsia="zh-CN"/>
              </w:rPr>
              <w:t>病 31</w:t>
            </w:r>
            <w:r>
              <w:rPr>
                <w:rFonts w:hint="eastAsia" w:ascii="宋体" w:hAnsi="宋体" w:eastAsia="宋体" w:cs="宋体"/>
                <w:spacing w:val="20"/>
                <w:sz w:val="24"/>
                <w:szCs w:val="24"/>
                <w:lang w:eastAsia="zh-CN"/>
              </w:rPr>
              <w:t xml:space="preserve"> </w:t>
            </w:r>
            <w:r>
              <w:rPr>
                <w:rFonts w:hint="eastAsia" w:ascii="宋体" w:hAnsi="宋体" w:eastAsia="宋体" w:cs="宋体"/>
                <w:spacing w:val="-3"/>
                <w:sz w:val="24"/>
                <w:szCs w:val="24"/>
                <w:lang w:eastAsia="zh-CN"/>
              </w:rPr>
              <w:t>天内再次住院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A0102</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非计划手术</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在同一次住院期间，因各种原因导致</w:t>
            </w:r>
            <w:r>
              <w:rPr>
                <w:rFonts w:hint="eastAsia" w:ascii="宋体" w:hAnsi="宋体" w:eastAsia="宋体" w:cs="宋体"/>
                <w:spacing w:val="-2"/>
                <w:sz w:val="24"/>
                <w:szCs w:val="24"/>
                <w:lang w:eastAsia="zh-CN"/>
              </w:rPr>
              <w:t>患者需进行的计划外手术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lang w:eastAsia="zh-CN"/>
              </w:rPr>
            </w:pPr>
          </w:p>
          <w:p>
            <w:pPr>
              <w:pStyle w:val="22"/>
              <w:keepNext/>
              <w:rPr>
                <w:rFonts w:hint="eastAsia" w:ascii="宋体" w:hAnsi="宋体" w:eastAsia="宋体" w:cs="宋体"/>
                <w:sz w:val="24"/>
                <w:szCs w:val="24"/>
              </w:rPr>
            </w:pPr>
            <w:r>
              <w:rPr>
                <w:rFonts w:hint="eastAsia" w:ascii="宋体" w:hAnsi="宋体" w:eastAsia="宋体" w:cs="宋体"/>
                <w:sz w:val="24"/>
                <w:szCs w:val="24"/>
              </w:rPr>
              <w:t>A0103</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非计划重返</w:t>
            </w:r>
            <w:r>
              <w:rPr>
                <w:rFonts w:hint="eastAsia" w:ascii="宋体" w:hAnsi="宋体" w:eastAsia="宋体" w:cs="宋体"/>
                <w:spacing w:val="-8"/>
                <w:sz w:val="24"/>
                <w:szCs w:val="24"/>
              </w:rPr>
              <w:t>ICU</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非计划</w:t>
            </w:r>
            <w:r>
              <w:rPr>
                <w:rFonts w:hint="eastAsia" w:ascii="宋体" w:hAnsi="宋体" w:eastAsia="宋体" w:cs="宋体"/>
                <w:spacing w:val="-37"/>
                <w:sz w:val="24"/>
                <w:szCs w:val="24"/>
                <w:lang w:eastAsia="zh-CN"/>
              </w:rPr>
              <w:t xml:space="preserve"> </w:t>
            </w:r>
            <w:r>
              <w:rPr>
                <w:rFonts w:hint="eastAsia" w:ascii="宋体" w:hAnsi="宋体" w:eastAsia="宋体" w:cs="宋体"/>
                <w:sz w:val="24"/>
                <w:szCs w:val="24"/>
                <w:lang w:eastAsia="zh-CN"/>
              </w:rPr>
              <w:t>24/48</w:t>
            </w:r>
            <w:r>
              <w:rPr>
                <w:rFonts w:hint="eastAsia" w:ascii="宋体" w:hAnsi="宋体" w:eastAsia="宋体" w:cs="宋体"/>
                <w:spacing w:val="-44"/>
                <w:sz w:val="24"/>
                <w:szCs w:val="24"/>
                <w:lang w:eastAsia="zh-CN"/>
              </w:rPr>
              <w:t xml:space="preserve"> </w:t>
            </w:r>
            <w:r>
              <w:rPr>
                <w:rFonts w:hint="eastAsia" w:ascii="宋体" w:hAnsi="宋体" w:eastAsia="宋体" w:cs="宋体"/>
                <w:sz w:val="24"/>
                <w:szCs w:val="24"/>
                <w:lang w:eastAsia="zh-CN"/>
              </w:rPr>
              <w:t>小井重返</w:t>
            </w:r>
            <w:r>
              <w:rPr>
                <w:rFonts w:hint="eastAsia" w:ascii="宋体" w:hAnsi="宋体" w:eastAsia="宋体" w:cs="宋体"/>
                <w:spacing w:val="-38"/>
                <w:sz w:val="24"/>
                <w:szCs w:val="24"/>
                <w:lang w:eastAsia="zh-CN"/>
              </w:rPr>
              <w:t xml:space="preserve"> </w:t>
            </w:r>
            <w:r>
              <w:rPr>
                <w:rFonts w:hint="eastAsia" w:ascii="宋体" w:hAnsi="宋体" w:eastAsia="宋体" w:cs="宋体"/>
                <w:sz w:val="24"/>
                <w:szCs w:val="24"/>
                <w:lang w:eastAsia="zh-CN"/>
              </w:rPr>
              <w:t>ICU，同一次</w:t>
            </w:r>
            <w:r>
              <w:rPr>
                <w:rFonts w:hint="eastAsia" w:ascii="宋体" w:hAnsi="宋体" w:eastAsia="宋体" w:cs="宋体"/>
                <w:spacing w:val="-3"/>
                <w:sz w:val="24"/>
                <w:szCs w:val="24"/>
                <w:lang w:eastAsia="zh-CN"/>
              </w:rPr>
              <w:t>住院期间出</w:t>
            </w:r>
            <w:r>
              <w:rPr>
                <w:rFonts w:hint="eastAsia" w:ascii="宋体" w:hAnsi="宋体" w:eastAsia="宋体" w:cs="宋体"/>
                <w:spacing w:val="-30"/>
                <w:sz w:val="24"/>
                <w:szCs w:val="24"/>
                <w:lang w:eastAsia="zh-CN"/>
              </w:rPr>
              <w:t xml:space="preserve"> </w:t>
            </w:r>
            <w:r>
              <w:rPr>
                <w:rFonts w:hint="eastAsia" w:ascii="宋体" w:hAnsi="宋体" w:eastAsia="宋体" w:cs="宋体"/>
                <w:spacing w:val="-3"/>
                <w:sz w:val="24"/>
                <w:szCs w:val="24"/>
                <w:lang w:eastAsia="zh-CN"/>
              </w:rPr>
              <w:t>ICU</w:t>
            </w:r>
            <w:r>
              <w:rPr>
                <w:rFonts w:hint="eastAsia" w:ascii="宋体" w:hAnsi="宋体" w:eastAsia="宋体" w:cs="宋体"/>
                <w:spacing w:val="-49"/>
                <w:sz w:val="24"/>
                <w:szCs w:val="24"/>
                <w:lang w:eastAsia="zh-CN"/>
              </w:rPr>
              <w:t xml:space="preserve"> </w:t>
            </w:r>
            <w:r>
              <w:rPr>
                <w:rFonts w:hint="eastAsia" w:ascii="宋体" w:hAnsi="宋体" w:eastAsia="宋体" w:cs="宋体"/>
                <w:spacing w:val="-3"/>
                <w:sz w:val="24"/>
                <w:szCs w:val="24"/>
                <w:lang w:eastAsia="zh-CN"/>
              </w:rPr>
              <w:t>后，因各种原因导致</w:t>
            </w:r>
            <w:r>
              <w:rPr>
                <w:rFonts w:hint="eastAsia" w:ascii="宋体" w:hAnsi="宋体" w:eastAsia="宋体" w:cs="宋体"/>
                <w:sz w:val="24"/>
                <w:szCs w:val="24"/>
                <w:lang w:eastAsia="zh-CN"/>
              </w:rPr>
              <w:t>患者在</w:t>
            </w:r>
            <w:r>
              <w:rPr>
                <w:rFonts w:hint="eastAsia" w:ascii="宋体" w:hAnsi="宋体" w:eastAsia="宋体" w:cs="宋体"/>
                <w:spacing w:val="-44"/>
                <w:sz w:val="24"/>
                <w:szCs w:val="24"/>
                <w:lang w:eastAsia="zh-CN"/>
              </w:rPr>
              <w:t xml:space="preserve"> </w:t>
            </w:r>
            <w:r>
              <w:rPr>
                <w:rFonts w:hint="eastAsia" w:ascii="宋体" w:hAnsi="宋体" w:eastAsia="宋体" w:cs="宋体"/>
                <w:sz w:val="24"/>
                <w:szCs w:val="24"/>
                <w:lang w:eastAsia="zh-CN"/>
              </w:rPr>
              <w:t>24/48</w:t>
            </w:r>
            <w:r>
              <w:rPr>
                <w:rFonts w:hint="eastAsia" w:ascii="宋体" w:hAnsi="宋体" w:eastAsia="宋体" w:cs="宋体"/>
                <w:spacing w:val="-44"/>
                <w:sz w:val="24"/>
                <w:szCs w:val="24"/>
                <w:lang w:eastAsia="zh-CN"/>
              </w:rPr>
              <w:t xml:space="preserve"> </w:t>
            </w:r>
            <w:r>
              <w:rPr>
                <w:rFonts w:hint="eastAsia" w:ascii="宋体" w:hAnsi="宋体" w:eastAsia="宋体" w:cs="宋体"/>
                <w:sz w:val="24"/>
                <w:szCs w:val="24"/>
                <w:lang w:eastAsia="zh-CN"/>
              </w:rPr>
              <w:t>小时内重返</w:t>
            </w:r>
            <w:r>
              <w:rPr>
                <w:rFonts w:hint="eastAsia" w:ascii="宋体" w:hAnsi="宋体" w:eastAsia="宋体" w:cs="宋体"/>
                <w:spacing w:val="-38"/>
                <w:sz w:val="24"/>
                <w:szCs w:val="24"/>
                <w:lang w:eastAsia="zh-CN"/>
              </w:rPr>
              <w:t xml:space="preserve"> </w:t>
            </w:r>
            <w:r>
              <w:rPr>
                <w:rFonts w:hint="eastAsia" w:ascii="宋体" w:hAnsi="宋体" w:eastAsia="宋体" w:cs="宋体"/>
                <w:sz w:val="24"/>
                <w:szCs w:val="24"/>
                <w:lang w:eastAsia="zh-CN"/>
              </w:rPr>
              <w:t>ICU</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ind w:firstLine="480"/>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p>
            <w:pPr>
              <w:pStyle w:val="22"/>
              <w:keepNext/>
              <w:rPr>
                <w:rFonts w:hint="eastAsia" w:ascii="宋体" w:hAnsi="宋体" w:eastAsia="宋体" w:cs="宋体"/>
                <w:sz w:val="24"/>
                <w:szCs w:val="24"/>
              </w:rPr>
            </w:pPr>
            <w:r>
              <w:rPr>
                <w:rFonts w:hint="eastAsia" w:ascii="宋体" w:hAnsi="宋体" w:eastAsia="宋体" w:cs="宋体"/>
                <w:sz w:val="24"/>
                <w:szCs w:val="24"/>
              </w:rPr>
              <w:t>A0105</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rPr>
            </w:pPr>
          </w:p>
          <w:p>
            <w:pPr>
              <w:pStyle w:val="22"/>
              <w:keepNext/>
              <w:rPr>
                <w:rFonts w:hint="eastAsia" w:ascii="宋体" w:hAnsi="宋体" w:eastAsia="宋体" w:cs="宋体"/>
                <w:sz w:val="24"/>
                <w:szCs w:val="24"/>
              </w:rPr>
            </w:pPr>
            <w:r>
              <w:rPr>
                <w:rFonts w:hint="eastAsia" w:ascii="宋体" w:hAnsi="宋体" w:eastAsia="宋体" w:cs="宋体"/>
                <w:sz w:val="24"/>
                <w:szCs w:val="24"/>
              </w:rPr>
              <w:t>输血不良反应</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在输血过程中或结束后，因输入血液或其制品或所用输注用具而产生的不良反应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A0106</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跌倒/坠床</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在同一次住院期间，因各种原因导致</w:t>
            </w:r>
            <w:r>
              <w:rPr>
                <w:rFonts w:hint="eastAsia" w:ascii="宋体" w:hAnsi="宋体" w:eastAsia="宋体" w:cs="宋体"/>
                <w:spacing w:val="-4"/>
                <w:sz w:val="24"/>
                <w:szCs w:val="24"/>
                <w:lang w:eastAsia="zh-CN"/>
              </w:rPr>
              <w:t>患者发生跌倒</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p>
            <w:pPr>
              <w:pStyle w:val="22"/>
              <w:keepNext/>
              <w:rPr>
                <w:rFonts w:hint="eastAsia" w:ascii="宋体" w:hAnsi="宋体" w:eastAsia="宋体" w:cs="宋体"/>
                <w:sz w:val="24"/>
                <w:szCs w:val="24"/>
              </w:rPr>
            </w:pPr>
            <w:r>
              <w:rPr>
                <w:rFonts w:hint="eastAsia" w:ascii="宋体" w:hAnsi="宋体" w:eastAsia="宋体" w:cs="宋体"/>
                <w:sz w:val="24"/>
                <w:szCs w:val="24"/>
              </w:rPr>
              <w:t>A0107</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rPr>
            </w:pPr>
          </w:p>
          <w:p>
            <w:pPr>
              <w:pStyle w:val="22"/>
              <w:keepNext/>
              <w:rPr>
                <w:rFonts w:hint="eastAsia" w:ascii="宋体" w:hAnsi="宋体" w:eastAsia="宋体" w:cs="宋体"/>
                <w:sz w:val="24"/>
                <w:szCs w:val="24"/>
              </w:rPr>
            </w:pPr>
            <w:r>
              <w:rPr>
                <w:rFonts w:hint="eastAsia" w:ascii="宋体" w:hAnsi="宋体" w:eastAsia="宋体" w:cs="宋体"/>
                <w:sz w:val="24"/>
                <w:szCs w:val="24"/>
              </w:rPr>
              <w:t>院内压疮</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在同一次住院期间，因各种原因导致患者由于局部组织长期受压，发生持续缺血、缺氧、营养不良而致组织溃</w:t>
            </w:r>
            <w:r>
              <w:rPr>
                <w:rFonts w:hint="eastAsia" w:ascii="宋体" w:hAnsi="宋体" w:eastAsia="宋体" w:cs="宋体"/>
                <w:spacing w:val="-4"/>
                <w:sz w:val="24"/>
                <w:szCs w:val="24"/>
                <w:lang w:eastAsia="zh-CN"/>
              </w:rPr>
              <w:t>烂坏死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A0108</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非计划拔管</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患者留置在体内的引流管自行脱落，</w:t>
            </w:r>
            <w:r>
              <w:rPr>
                <w:rFonts w:hint="eastAsia" w:ascii="宋体" w:hAnsi="宋体" w:eastAsia="宋体" w:cs="宋体"/>
                <w:spacing w:val="-2"/>
                <w:sz w:val="24"/>
                <w:szCs w:val="24"/>
                <w:lang w:eastAsia="zh-CN"/>
              </w:rPr>
              <w:t>并没有达到拔管的最好时机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呛奶/窒息（护理）</w:t>
            </w:r>
          </w:p>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药物外渗/渗出（护理）；</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ind w:firstLine="480"/>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A0110</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VTE</w:t>
            </w:r>
            <w:r>
              <w:rPr>
                <w:rFonts w:hint="eastAsia" w:ascii="宋体" w:hAnsi="宋体" w:eastAsia="宋体" w:cs="宋体"/>
                <w:spacing w:val="-51"/>
                <w:sz w:val="24"/>
                <w:szCs w:val="24"/>
              </w:rPr>
              <w:t xml:space="preserve"> </w:t>
            </w:r>
            <w:r>
              <w:rPr>
                <w:rFonts w:hint="eastAsia" w:ascii="宋体" w:hAnsi="宋体" w:eastAsia="宋体" w:cs="宋体"/>
                <w:sz w:val="24"/>
                <w:szCs w:val="24"/>
              </w:rPr>
              <w:t>事件监测</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指监测住院病人在住院期出现</w:t>
            </w:r>
            <w:r>
              <w:rPr>
                <w:rFonts w:hint="eastAsia" w:ascii="宋体" w:hAnsi="宋体" w:eastAsia="宋体" w:cs="宋体"/>
                <w:spacing w:val="-49"/>
                <w:sz w:val="24"/>
                <w:szCs w:val="24"/>
                <w:lang w:eastAsia="zh-CN"/>
              </w:rPr>
              <w:t xml:space="preserve"> </w:t>
            </w:r>
            <w:r>
              <w:rPr>
                <w:rFonts w:hint="eastAsia" w:ascii="宋体" w:hAnsi="宋体" w:eastAsia="宋体" w:cs="宋体"/>
                <w:sz w:val="24"/>
                <w:szCs w:val="24"/>
                <w:lang w:eastAsia="zh-CN"/>
              </w:rPr>
              <w:t>VTE</w:t>
            </w:r>
            <w:r>
              <w:rPr>
                <w:rFonts w:hint="eastAsia" w:ascii="宋体" w:hAnsi="宋体" w:eastAsia="宋体" w:cs="宋体"/>
                <w:spacing w:val="-51"/>
                <w:sz w:val="24"/>
                <w:szCs w:val="24"/>
                <w:lang w:eastAsia="zh-CN"/>
              </w:rPr>
              <w:t xml:space="preserve"> </w:t>
            </w:r>
            <w:r>
              <w:rPr>
                <w:rFonts w:hint="eastAsia" w:ascii="宋体" w:hAnsi="宋体" w:eastAsia="宋体" w:cs="宋体"/>
                <w:sz w:val="24"/>
                <w:szCs w:val="24"/>
                <w:lang w:eastAsia="zh-CN"/>
              </w:rPr>
              <w:t>事件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A0111</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烫伤事件</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指住院病人在住院期发生烫伤的事件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A0112</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不合理用血</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抓取临床不合理用血的情况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4"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A0113</w:t>
            </w:r>
          </w:p>
        </w:tc>
        <w:tc>
          <w:tcPr>
            <w:tcW w:w="1659" w:type="dxa"/>
            <w:tcBorders>
              <w:top w:val="single" w:color="auto" w:sz="4" w:space="0"/>
              <w:left w:val="single" w:color="auto" w:sz="4" w:space="0"/>
              <w:bottom w:val="single" w:color="auto" w:sz="4"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围麻醉期事件</w:t>
            </w:r>
          </w:p>
        </w:tc>
        <w:tc>
          <w:tcPr>
            <w:tcW w:w="4812" w:type="dxa"/>
            <w:tcBorders>
              <w:top w:val="single" w:color="auto" w:sz="4" w:space="0"/>
              <w:left w:val="single" w:color="auto" w:sz="4" w:space="0"/>
              <w:bottom w:val="single" w:color="auto" w:sz="4"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指围麻醉期发生的不良事件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jc w:val="center"/>
        </w:trPr>
        <w:tc>
          <w:tcPr>
            <w:tcW w:w="846" w:type="dxa"/>
            <w:vMerge w:val="continue"/>
            <w:tcBorders>
              <w:top w:val="single" w:color="auto" w:sz="4" w:space="0"/>
              <w:left w:val="single" w:color="auto" w:sz="12" w:space="0"/>
              <w:bottom w:val="single" w:color="auto" w:sz="12"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968" w:type="dxa"/>
            <w:vMerge w:val="continue"/>
            <w:tcBorders>
              <w:top w:val="single" w:color="auto" w:sz="4" w:space="0"/>
              <w:left w:val="single" w:color="auto" w:sz="4" w:space="0"/>
              <w:bottom w:val="single" w:color="auto" w:sz="12" w:space="0"/>
              <w:right w:val="single" w:color="auto" w:sz="4" w:space="0"/>
            </w:tcBorders>
            <w:vAlign w:val="top"/>
          </w:tcPr>
          <w:p>
            <w:pPr>
              <w:pStyle w:val="22"/>
              <w:keepNext/>
              <w:ind w:firstLine="480"/>
              <w:rPr>
                <w:rFonts w:hint="eastAsia" w:ascii="宋体" w:hAnsi="宋体" w:eastAsia="宋体" w:cs="宋体"/>
                <w:sz w:val="24"/>
                <w:szCs w:val="24"/>
                <w:lang w:eastAsia="zh-CN"/>
              </w:rPr>
            </w:pPr>
          </w:p>
        </w:tc>
        <w:tc>
          <w:tcPr>
            <w:tcW w:w="1087" w:type="dxa"/>
            <w:tcBorders>
              <w:top w:val="single" w:color="auto" w:sz="4" w:space="0"/>
              <w:left w:val="single" w:color="auto" w:sz="4" w:space="0"/>
              <w:bottom w:val="single" w:color="auto" w:sz="12"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A0114</w:t>
            </w:r>
          </w:p>
        </w:tc>
        <w:tc>
          <w:tcPr>
            <w:tcW w:w="1659" w:type="dxa"/>
            <w:tcBorders>
              <w:top w:val="single" w:color="auto" w:sz="4" w:space="0"/>
              <w:left w:val="single" w:color="auto" w:sz="4" w:space="0"/>
              <w:bottom w:val="single" w:color="auto" w:sz="12" w:space="0"/>
              <w:right w:val="single" w:color="auto" w:sz="4" w:space="0"/>
            </w:tcBorders>
            <w:vAlign w:val="top"/>
          </w:tcPr>
          <w:p>
            <w:pPr>
              <w:pStyle w:val="22"/>
              <w:keepNext/>
              <w:rPr>
                <w:rFonts w:hint="eastAsia" w:ascii="宋体" w:hAnsi="宋体" w:eastAsia="宋体" w:cs="宋体"/>
                <w:sz w:val="24"/>
                <w:szCs w:val="24"/>
              </w:rPr>
            </w:pPr>
            <w:r>
              <w:rPr>
                <w:rFonts w:hint="eastAsia" w:ascii="宋体" w:hAnsi="宋体" w:eastAsia="宋体" w:cs="宋体"/>
                <w:sz w:val="24"/>
                <w:szCs w:val="24"/>
              </w:rPr>
              <w:t>手术并发症</w:t>
            </w:r>
          </w:p>
        </w:tc>
        <w:tc>
          <w:tcPr>
            <w:tcW w:w="4812" w:type="dxa"/>
            <w:tcBorders>
              <w:top w:val="single" w:color="auto" w:sz="4" w:space="0"/>
              <w:left w:val="single" w:color="auto" w:sz="4" w:space="0"/>
              <w:bottom w:val="single" w:color="auto" w:sz="12" w:space="0"/>
              <w:right w:val="single" w:color="auto" w:sz="12" w:space="0"/>
            </w:tcBorders>
            <w:vAlign w:val="top"/>
          </w:tcPr>
          <w:p>
            <w:pPr>
              <w:pStyle w:val="22"/>
              <w:keepNext/>
              <w:rPr>
                <w:rFonts w:hint="eastAsia" w:ascii="宋体" w:hAnsi="宋体" w:eastAsia="宋体" w:cs="宋体"/>
                <w:sz w:val="24"/>
                <w:szCs w:val="24"/>
                <w:lang w:eastAsia="zh-CN"/>
              </w:rPr>
            </w:pPr>
            <w:r>
              <w:rPr>
                <w:rFonts w:hint="eastAsia" w:ascii="宋体" w:hAnsi="宋体" w:eastAsia="宋体" w:cs="宋体"/>
                <w:sz w:val="24"/>
                <w:szCs w:val="24"/>
                <w:lang w:eastAsia="zh-CN"/>
              </w:rPr>
              <w:t>是指手术操作而引起的其他组织器官的损伤、缺失、功能障碍的事件</w:t>
            </w:r>
          </w:p>
        </w:tc>
      </w:tr>
    </w:tbl>
    <w:p>
      <w:pPr>
        <w:ind w:firstLine="480"/>
        <w:rPr>
          <w:rFonts w:hint="eastAsia" w:ascii="宋体" w:hAnsi="宋体" w:eastAsia="宋体" w:cs="宋体"/>
          <w:sz w:val="24"/>
          <w:szCs w:val="24"/>
          <w:lang w:eastAsia="zh-CN"/>
        </w:rPr>
      </w:pPr>
    </w:p>
    <w:p>
      <w:pPr>
        <w:pStyle w:val="5"/>
        <w:numPr>
          <w:ilvl w:val="3"/>
          <w:numId w:val="16"/>
        </w:numPr>
        <w:ind w:firstLine="482"/>
        <w:rPr>
          <w:rFonts w:hint="eastAsia" w:ascii="宋体" w:hAnsi="宋体" w:eastAsia="宋体" w:cs="宋体"/>
          <w:sz w:val="24"/>
          <w:szCs w:val="24"/>
          <w:lang w:eastAsia="zh-CN"/>
        </w:rPr>
      </w:pPr>
      <w:bookmarkStart w:id="460" w:name="_Toc21126"/>
      <w:bookmarkStart w:id="461" w:name="_Toc212033804"/>
      <w:r>
        <w:rPr>
          <w:rFonts w:hint="eastAsia" w:ascii="宋体" w:hAnsi="宋体" w:eastAsia="宋体" w:cs="宋体"/>
          <w:sz w:val="24"/>
          <w:szCs w:val="24"/>
          <w:lang w:eastAsia="zh-CN"/>
        </w:rPr>
        <w:t>危急值管理</w:t>
      </w:r>
      <w:bookmarkEnd w:id="460"/>
      <w:r>
        <w:rPr>
          <w:rFonts w:hint="eastAsia" w:ascii="宋体" w:hAnsi="宋体" w:eastAsia="宋体" w:cs="宋体"/>
          <w:sz w:val="24"/>
          <w:szCs w:val="24"/>
          <w:lang w:eastAsia="zh-CN"/>
        </w:rPr>
        <w:t>系统</w:t>
      </w:r>
      <w:bookmarkEnd w:id="461"/>
    </w:p>
    <w:p>
      <w:pPr>
        <w:pStyle w:val="6"/>
        <w:numPr>
          <w:ilvl w:val="4"/>
          <w:numId w:val="24"/>
        </w:numPr>
        <w:rPr>
          <w:rFonts w:hint="eastAsia" w:ascii="宋体" w:hAnsi="宋体" w:eastAsia="宋体" w:cs="宋体"/>
          <w:sz w:val="24"/>
          <w:szCs w:val="24"/>
          <w:lang w:eastAsia="zh-CN"/>
        </w:rPr>
      </w:pPr>
      <w:bookmarkStart w:id="462" w:name="_Toc31250"/>
      <w:bookmarkStart w:id="463" w:name="_Toc112940512"/>
      <w:bookmarkStart w:id="464" w:name="_Toc212033805"/>
      <w:r>
        <w:rPr>
          <w:rFonts w:hint="eastAsia" w:ascii="宋体" w:hAnsi="宋体" w:eastAsia="宋体" w:cs="宋体"/>
          <w:sz w:val="24"/>
          <w:szCs w:val="24"/>
          <w:lang w:eastAsia="zh-CN"/>
        </w:rPr>
        <w:t>危急值上报</w:t>
      </w:r>
      <w:bookmarkEnd w:id="462"/>
      <w:bookmarkEnd w:id="463"/>
      <w:bookmarkEnd w:id="464"/>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危急值管理支持危急值上报终端维护，支持全类目的检查、检验危急值上报。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检验：常规检验、微生物检验；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检查：CT、超声、X线、DR、MRI、病理、心电、核磁、脑电。</w:t>
      </w:r>
    </w:p>
    <w:p>
      <w:pPr>
        <w:pStyle w:val="6"/>
        <w:numPr>
          <w:ilvl w:val="4"/>
          <w:numId w:val="24"/>
        </w:numPr>
        <w:rPr>
          <w:rFonts w:hint="eastAsia" w:ascii="宋体" w:hAnsi="宋体" w:eastAsia="宋体" w:cs="宋体"/>
          <w:sz w:val="24"/>
          <w:szCs w:val="24"/>
          <w:lang w:eastAsia="zh-CN"/>
        </w:rPr>
      </w:pPr>
      <w:bookmarkStart w:id="465" w:name="_Toc26867"/>
      <w:bookmarkStart w:id="466" w:name="_Toc112940513"/>
      <w:bookmarkStart w:id="467" w:name="_Toc212033806"/>
      <w:r>
        <w:rPr>
          <w:rFonts w:hint="eastAsia" w:ascii="宋体" w:hAnsi="宋体" w:eastAsia="宋体" w:cs="宋体"/>
          <w:sz w:val="24"/>
          <w:szCs w:val="24"/>
          <w:lang w:eastAsia="zh-CN"/>
        </w:rPr>
        <w:t>危急值提醒</w:t>
      </w:r>
      <w:bookmarkEnd w:id="465"/>
      <w:bookmarkEnd w:id="466"/>
      <w:bookmarkEnd w:id="467"/>
    </w:p>
    <w:p>
      <w:pPr>
        <w:pStyle w:val="29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管理支持终端上报危急值后，按照既定的危急值提醒规则通报相关医生护士，以霸屏的方式阻断危急值通知医护人员的工作站，强制医生、护士第一时间进行危急值查看和处理，提高危急值响应速率，保证医疗安全。如果一级设定的医护人员没有第一时间响应危急值提醒并处理，系统会根据既定的提醒规则升级提醒，可定制化设定危急值提醒升级时间和提醒范围，支持定制化指定危急值处理小组人员进行危急值专项处理。</w:t>
      </w:r>
    </w:p>
    <w:p>
      <w:pPr>
        <w:pStyle w:val="29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▲危急值管理支持按照科室定制化维护危急值提醒规则，可设置四级提醒模式，每级提醒可选择维护也可以定制化维护，以及升级提醒时限，如对接短信平台还可通过危急值系统设定是否开通短信提醒。</w:t>
      </w:r>
      <w:r>
        <w:rPr>
          <w:rFonts w:hint="eastAsia" w:ascii="宋体" w:hAnsi="宋体" w:cs="宋体"/>
          <w:sz w:val="24"/>
          <w:szCs w:val="24"/>
          <w:lang w:eastAsia="zh-CN"/>
        </w:rPr>
        <w:t>（</w:t>
      </w:r>
      <w:r>
        <w:rPr>
          <w:rFonts w:hint="eastAsia" w:ascii="宋体" w:hAnsi="宋体" w:cs="宋体"/>
          <w:sz w:val="24"/>
          <w:szCs w:val="24"/>
          <w:lang w:val="en-US" w:eastAsia="zh-CN"/>
        </w:rPr>
        <w:t>需提供系统截图</w:t>
      </w:r>
      <w:r>
        <w:rPr>
          <w:rFonts w:hint="eastAsia" w:ascii="宋体" w:hAnsi="宋体" w:cs="宋体"/>
          <w:sz w:val="24"/>
          <w:szCs w:val="24"/>
          <w:lang w:eastAsia="zh-CN"/>
        </w:rPr>
        <w:t>）</w:t>
      </w:r>
    </w:p>
    <w:p>
      <w:pPr>
        <w:pStyle w:val="295"/>
        <w:ind w:firstLine="480"/>
        <w:rPr>
          <w:rFonts w:hint="eastAsia" w:ascii="宋体" w:hAnsi="宋体" w:eastAsia="宋体" w:cs="宋体"/>
          <w:sz w:val="24"/>
          <w:szCs w:val="24"/>
        </w:rPr>
      </w:pPr>
      <w:r>
        <w:rPr>
          <w:rFonts w:hint="eastAsia" w:ascii="宋体" w:hAnsi="宋体" w:eastAsia="宋体" w:cs="宋体"/>
          <w:sz w:val="24"/>
          <w:szCs w:val="24"/>
        </w:rPr>
        <w:t>危急值一级提醒：</w:t>
      </w:r>
    </w:p>
    <w:p>
      <w:pPr>
        <w:pStyle w:val="295"/>
        <w:ind w:firstLine="480"/>
        <w:rPr>
          <w:rFonts w:hint="eastAsia" w:ascii="宋体" w:hAnsi="宋体" w:eastAsia="宋体" w:cs="宋体"/>
          <w:b/>
          <w:sz w:val="24"/>
          <w:szCs w:val="24"/>
        </w:rPr>
      </w:pPr>
      <w:r>
        <w:rPr>
          <w:rFonts w:hint="eastAsia" w:ascii="宋体" w:hAnsi="宋体" w:eastAsia="宋体" w:cs="宋体"/>
          <w:sz w:val="24"/>
          <w:szCs w:val="24"/>
        </w:rPr>
        <w:t>门诊：支持选择通知开单医生、挂号医生，可维护是否开通短信提醒；</w:t>
      </w:r>
    </w:p>
    <w:p>
      <w:pPr>
        <w:pStyle w:val="295"/>
        <w:ind w:firstLine="480"/>
        <w:rPr>
          <w:rFonts w:hint="eastAsia" w:ascii="宋体" w:hAnsi="宋体" w:eastAsia="宋体" w:cs="宋体"/>
          <w:b/>
          <w:sz w:val="24"/>
          <w:szCs w:val="24"/>
        </w:rPr>
      </w:pPr>
      <w:r>
        <w:rPr>
          <w:rFonts w:hint="eastAsia" w:ascii="宋体" w:hAnsi="宋体" w:eastAsia="宋体" w:cs="宋体"/>
          <w:sz w:val="24"/>
          <w:szCs w:val="24"/>
        </w:rPr>
        <w:t>住院：支持选择通知开单医生、责任医生、责任护士，可维护是否开通短信提醒。</w:t>
      </w:r>
    </w:p>
    <w:p>
      <w:pPr>
        <w:pStyle w:val="295"/>
        <w:ind w:firstLine="480"/>
        <w:rPr>
          <w:rFonts w:hint="eastAsia" w:ascii="宋体" w:hAnsi="宋体" w:eastAsia="宋体" w:cs="宋体"/>
          <w:sz w:val="24"/>
          <w:szCs w:val="24"/>
        </w:rPr>
      </w:pPr>
      <w:r>
        <w:rPr>
          <w:rFonts w:hint="eastAsia" w:ascii="宋体" w:hAnsi="宋体" w:eastAsia="宋体" w:cs="宋体"/>
          <w:sz w:val="24"/>
          <w:szCs w:val="24"/>
        </w:rPr>
        <w:t>危急值二级提醒：</w:t>
      </w:r>
    </w:p>
    <w:p>
      <w:pPr>
        <w:pStyle w:val="295"/>
        <w:ind w:firstLine="480"/>
        <w:rPr>
          <w:rFonts w:hint="eastAsia" w:ascii="宋体" w:hAnsi="宋体" w:eastAsia="宋体" w:cs="宋体"/>
          <w:b/>
          <w:sz w:val="24"/>
          <w:szCs w:val="24"/>
        </w:rPr>
      </w:pPr>
      <w:r>
        <w:rPr>
          <w:rFonts w:hint="eastAsia" w:ascii="宋体" w:hAnsi="宋体" w:eastAsia="宋体" w:cs="宋体"/>
          <w:sz w:val="24"/>
          <w:szCs w:val="24"/>
        </w:rPr>
        <w:t>门诊：支持选择通知全科医生、支持指定医护人员（精确到人或者组，门诊此场景可指定门诊护士组，已达到危急值提醒通知到门诊护士的目的），可维护是否开通短信提醒；</w:t>
      </w:r>
    </w:p>
    <w:p>
      <w:pPr>
        <w:pStyle w:val="295"/>
        <w:ind w:firstLine="480"/>
        <w:rPr>
          <w:rFonts w:hint="eastAsia" w:ascii="宋体" w:hAnsi="宋体" w:eastAsia="宋体" w:cs="宋体"/>
          <w:b/>
          <w:sz w:val="24"/>
          <w:szCs w:val="24"/>
        </w:rPr>
      </w:pPr>
      <w:r>
        <w:rPr>
          <w:rFonts w:hint="eastAsia" w:ascii="宋体" w:hAnsi="宋体" w:eastAsia="宋体" w:cs="宋体"/>
          <w:sz w:val="24"/>
          <w:szCs w:val="24"/>
        </w:rPr>
        <w:t>住院：支持选择通知全科医生、全病区护士、责任医生所在医疗组、支持指定医护人员（精确到人或者组，住院此场景可用于指定科室危急值处理小组，提升危急值处理效率），可维护是否开通短信提醒。</w:t>
      </w:r>
    </w:p>
    <w:p>
      <w:pPr>
        <w:pStyle w:val="295"/>
        <w:ind w:firstLine="480"/>
        <w:rPr>
          <w:rFonts w:hint="eastAsia" w:ascii="宋体" w:hAnsi="宋体" w:eastAsia="宋体" w:cs="宋体"/>
          <w:sz w:val="24"/>
          <w:szCs w:val="24"/>
        </w:rPr>
      </w:pPr>
      <w:r>
        <w:rPr>
          <w:rFonts w:hint="eastAsia" w:ascii="宋体" w:hAnsi="宋体" w:eastAsia="宋体" w:cs="宋体"/>
          <w:sz w:val="24"/>
          <w:szCs w:val="24"/>
        </w:rPr>
        <w:t>危急值三级提醒：</w:t>
      </w:r>
    </w:p>
    <w:p>
      <w:pPr>
        <w:pStyle w:val="295"/>
        <w:ind w:firstLine="480"/>
        <w:rPr>
          <w:rFonts w:hint="eastAsia" w:ascii="宋体" w:hAnsi="宋体" w:eastAsia="宋体" w:cs="宋体"/>
          <w:sz w:val="24"/>
          <w:szCs w:val="24"/>
        </w:rPr>
      </w:pPr>
      <w:r>
        <w:rPr>
          <w:rFonts w:hint="eastAsia" w:ascii="宋体" w:hAnsi="宋体" w:eastAsia="宋体" w:cs="宋体"/>
          <w:sz w:val="24"/>
          <w:szCs w:val="24"/>
        </w:rPr>
        <w:t>支持选择通知到科主任及副主任级别管理者，可以设置一人或多人，可维护是否开通短信提醒。</w:t>
      </w:r>
    </w:p>
    <w:p>
      <w:pPr>
        <w:pStyle w:val="295"/>
        <w:ind w:firstLine="480"/>
        <w:rPr>
          <w:rFonts w:hint="eastAsia" w:ascii="宋体" w:hAnsi="宋体" w:eastAsia="宋体" w:cs="宋体"/>
          <w:sz w:val="24"/>
          <w:szCs w:val="24"/>
        </w:rPr>
      </w:pPr>
      <w:r>
        <w:rPr>
          <w:rFonts w:hint="eastAsia" w:ascii="宋体" w:hAnsi="宋体" w:eastAsia="宋体" w:cs="宋体"/>
          <w:sz w:val="24"/>
          <w:szCs w:val="24"/>
        </w:rPr>
        <w:t>危急值四级提醒：</w:t>
      </w:r>
    </w:p>
    <w:p>
      <w:pPr>
        <w:pStyle w:val="295"/>
        <w:ind w:firstLine="480"/>
        <w:rPr>
          <w:rFonts w:hint="eastAsia" w:ascii="宋体" w:hAnsi="宋体" w:eastAsia="宋体" w:cs="宋体"/>
          <w:sz w:val="24"/>
          <w:szCs w:val="24"/>
        </w:rPr>
      </w:pPr>
      <w:r>
        <w:rPr>
          <w:rFonts w:hint="eastAsia" w:ascii="宋体" w:hAnsi="宋体" w:eastAsia="宋体" w:cs="宋体"/>
          <w:sz w:val="24"/>
          <w:szCs w:val="24"/>
        </w:rPr>
        <w:t>危急值四级提醒为终极提醒，支持扩展按照时间无限升级。支持选择通知到医务科或分管副院长，可灵活维护可设置一人或多人。如医院采购滚动大屏可支持投屏提醒，可维护是否开通短信提醒。</w:t>
      </w:r>
    </w:p>
    <w:p>
      <w:pPr>
        <w:pStyle w:val="6"/>
        <w:numPr>
          <w:ilvl w:val="4"/>
          <w:numId w:val="24"/>
        </w:numPr>
        <w:rPr>
          <w:rFonts w:hint="eastAsia" w:ascii="宋体" w:hAnsi="宋体" w:eastAsia="宋体" w:cs="宋体"/>
          <w:sz w:val="24"/>
          <w:szCs w:val="24"/>
          <w:lang w:eastAsia="zh-CN"/>
        </w:rPr>
      </w:pPr>
      <w:bookmarkStart w:id="468" w:name="_Toc212033807"/>
      <w:bookmarkStart w:id="469" w:name="_Toc25009"/>
      <w:bookmarkStart w:id="470" w:name="_Toc112940514"/>
      <w:r>
        <w:rPr>
          <w:rFonts w:hint="eastAsia" w:ascii="宋体" w:hAnsi="宋体" w:eastAsia="宋体" w:cs="宋体"/>
          <w:sz w:val="24"/>
          <w:szCs w:val="24"/>
          <w:lang w:eastAsia="zh-CN"/>
        </w:rPr>
        <w:t>危急值查看</w:t>
      </w:r>
      <w:bookmarkEnd w:id="468"/>
      <w:bookmarkEnd w:id="469"/>
      <w:bookmarkEnd w:id="470"/>
    </w:p>
    <w:p>
      <w:pPr>
        <w:pStyle w:val="29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危急值管理支持危急值历史数据查询，可按照时间段、患者、上报终端、处理医生、科室、医疗组、处理状态查询全院危急值历史数据，可按照多个检索维度排序，支持分页。 支持选择某条危急值查看危急值详细信息，可查看患者基本信息、患者诊断、危急值基本信息、危急值闭环情况及危急值处理方案。支持查看危急值项目的检查、检验报告单详情。</w:t>
      </w:r>
    </w:p>
    <w:p>
      <w:pPr>
        <w:pStyle w:val="6"/>
        <w:numPr>
          <w:ilvl w:val="4"/>
          <w:numId w:val="24"/>
        </w:numPr>
        <w:rPr>
          <w:rFonts w:hint="eastAsia" w:ascii="宋体" w:hAnsi="宋体" w:eastAsia="宋体" w:cs="宋体"/>
          <w:sz w:val="24"/>
          <w:szCs w:val="24"/>
          <w:lang w:eastAsia="zh-CN"/>
        </w:rPr>
      </w:pPr>
      <w:bookmarkStart w:id="471" w:name="_Toc212033808"/>
      <w:bookmarkStart w:id="472" w:name="_Toc112940515"/>
      <w:bookmarkStart w:id="473" w:name="_Toc1411"/>
      <w:r>
        <w:rPr>
          <w:rFonts w:hint="eastAsia" w:ascii="宋体" w:hAnsi="宋体" w:eastAsia="宋体" w:cs="宋体"/>
          <w:sz w:val="24"/>
          <w:szCs w:val="24"/>
          <w:lang w:eastAsia="zh-CN"/>
        </w:rPr>
        <w:t>危急值处理</w:t>
      </w:r>
      <w:bookmarkEnd w:id="471"/>
      <w:bookmarkEnd w:id="472"/>
      <w:bookmarkEnd w:id="473"/>
    </w:p>
    <w:p>
      <w:pPr>
        <w:pStyle w:val="29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危急值管理需支持医生端危急值处理，危急值处理可展示患者基本信息（包含患者诊断信息），危急值基本信息，危急值状态展示。</w:t>
      </w:r>
    </w:p>
    <w:p>
      <w:pPr>
        <w:pStyle w:val="29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系统应支持关联查新危急值产生的检查、检验报告单信息。可按照科室及危机值项目关联科室常用危急值处理方案，支持医生一键危急值处理方案录入，减少手动录入，提高危急值处理效率。</w:t>
      </w:r>
    </w:p>
    <w:p>
      <w:pPr>
        <w:pStyle w:val="29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危急值处理功能可通过配置设定为护士开放危急值处理功能，否则护士仅有查看权限。</w:t>
      </w:r>
    </w:p>
    <w:p>
      <w:pPr>
        <w:pStyle w:val="6"/>
        <w:numPr>
          <w:ilvl w:val="4"/>
          <w:numId w:val="24"/>
        </w:numPr>
        <w:rPr>
          <w:rFonts w:hint="eastAsia" w:ascii="宋体" w:hAnsi="宋体" w:eastAsia="宋体" w:cs="宋体"/>
          <w:sz w:val="24"/>
          <w:szCs w:val="24"/>
          <w:lang w:eastAsia="zh-CN"/>
        </w:rPr>
      </w:pPr>
      <w:bookmarkStart w:id="474" w:name="_Toc5468"/>
      <w:bookmarkStart w:id="475" w:name="_Toc112940516"/>
      <w:bookmarkStart w:id="476" w:name="_Toc212033809"/>
      <w:r>
        <w:rPr>
          <w:rFonts w:hint="eastAsia" w:ascii="宋体" w:hAnsi="宋体" w:eastAsia="宋体" w:cs="宋体"/>
          <w:sz w:val="24"/>
          <w:szCs w:val="24"/>
          <w:lang w:eastAsia="zh-CN"/>
        </w:rPr>
        <w:t>危急值病程同步</w:t>
      </w:r>
      <w:bookmarkEnd w:id="474"/>
      <w:bookmarkEnd w:id="475"/>
      <w:bookmarkEnd w:id="476"/>
    </w:p>
    <w:p>
      <w:pPr>
        <w:pStyle w:val="295"/>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管理支持与电子病历系统对接，医生在接收到患者危急值信息并处理完成后，可进入病程系统为患者创建危急值病程，危急值病程编写过程中可以直接引入患者危急值信息及危急值处理方案，简化医生操作，避免危急值处理方案重复录入。同时支持闭环回写，医生保存病程并签名生效后，危急值系统需支持同步病程录入状态，记录危急值病程签名医生及危急值病程创建时间。</w:t>
      </w:r>
    </w:p>
    <w:p>
      <w:pPr>
        <w:pStyle w:val="6"/>
        <w:numPr>
          <w:ilvl w:val="4"/>
          <w:numId w:val="24"/>
        </w:numPr>
        <w:rPr>
          <w:rFonts w:hint="eastAsia" w:ascii="宋体" w:hAnsi="宋体" w:eastAsia="宋体" w:cs="宋体"/>
          <w:sz w:val="24"/>
          <w:szCs w:val="24"/>
          <w:lang w:eastAsia="zh-CN"/>
        </w:rPr>
      </w:pPr>
      <w:bookmarkStart w:id="477" w:name="_Toc112940518"/>
      <w:bookmarkStart w:id="478" w:name="_Toc28837"/>
      <w:bookmarkStart w:id="479" w:name="_Toc212033810"/>
      <w:r>
        <w:rPr>
          <w:rFonts w:hint="eastAsia" w:ascii="宋体" w:hAnsi="宋体" w:eastAsia="宋体" w:cs="宋体"/>
          <w:sz w:val="24"/>
          <w:szCs w:val="24"/>
          <w:lang w:eastAsia="zh-CN"/>
        </w:rPr>
        <w:t>危急值统计分析</w:t>
      </w:r>
      <w:bookmarkEnd w:id="477"/>
      <w:bookmarkEnd w:id="478"/>
      <w:bookmarkEnd w:id="479"/>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危急值管理提供详尽的危急值数据分析，危急值处理历史查询，提供全院（院区）级、科室级危急值数据统计展示：</w:t>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支持危急值相关设定，支持以图形化方式进行危急值分析，包括但不限于：危急值情况、危急值分布、危急值通报及时情况、危急值处理及时情况、危急值排行；支持在检验结果中，以危急值为标签，快速筛选检验结果中的危急值，并插入病历</w:t>
      </w:r>
      <w:r>
        <w:rPr>
          <w:rFonts w:hint="eastAsia" w:ascii="宋体" w:hAnsi="宋体" w:cs="宋体"/>
          <w:sz w:val="24"/>
          <w:szCs w:val="24"/>
          <w:highlight w:val="none"/>
          <w:lang w:eastAsia="zh-CN"/>
        </w:rPr>
        <w:t>。</w:t>
      </w:r>
      <w:r>
        <w:rPr>
          <w:rFonts w:hint="eastAsia" w:ascii="宋体" w:hAnsi="宋体" w:cs="宋体"/>
          <w:sz w:val="24"/>
          <w:szCs w:val="24"/>
          <w:highlight w:val="none"/>
        </w:rPr>
        <w:t>（需提供视频演示）</w:t>
      </w:r>
    </w:p>
    <w:p>
      <w:pPr>
        <w:numPr>
          <w:ilvl w:val="0"/>
          <w:numId w:val="25"/>
        </w:numPr>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全院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支持按照时间段、上报终端、就诊类型、院区查询危急值统计信息。如下每一个展示项支持进入详情查询支持全院维度的危急值分析查询。</w:t>
      </w:r>
    </w:p>
    <w:p>
      <w:pPr>
        <w:ind w:firstLine="482"/>
        <w:rPr>
          <w:rFonts w:hint="eastAsia" w:ascii="宋体" w:hAnsi="宋体" w:eastAsia="宋体" w:cs="宋体"/>
          <w:sz w:val="24"/>
          <w:szCs w:val="24"/>
          <w:lang w:eastAsia="zh-CN"/>
        </w:rPr>
      </w:pPr>
      <w:r>
        <w:rPr>
          <w:rFonts w:hint="eastAsia" w:ascii="宋体" w:hAnsi="宋体" w:eastAsia="宋体" w:cs="宋体"/>
          <w:b/>
          <w:sz w:val="24"/>
          <w:szCs w:val="24"/>
          <w:lang w:eastAsia="zh-CN"/>
        </w:rPr>
        <w:t>危急值数量统计</w:t>
      </w:r>
      <w:r>
        <w:rPr>
          <w:rFonts w:hint="eastAsia" w:ascii="宋体" w:hAnsi="宋体" w:eastAsia="宋体" w:cs="宋体"/>
          <w:sz w:val="24"/>
          <w:szCs w:val="24"/>
          <w:lang w:eastAsia="zh-CN"/>
        </w:rPr>
        <w:t>：查询条件范围内的已经接入危急值管理的终端系统类型及对应发布到危急值的数量统计。查询条件范围内的已处理危急值总数、未接收危急值总数、已接受未处理的危急值总数。</w:t>
      </w:r>
    </w:p>
    <w:p>
      <w:pPr>
        <w:ind w:firstLine="482"/>
        <w:rPr>
          <w:rFonts w:hint="eastAsia" w:ascii="宋体" w:hAnsi="宋体" w:eastAsia="宋体" w:cs="宋体"/>
          <w:sz w:val="24"/>
          <w:szCs w:val="24"/>
          <w:lang w:eastAsia="zh-CN"/>
        </w:rPr>
      </w:pPr>
      <w:r>
        <w:rPr>
          <w:rFonts w:hint="eastAsia" w:ascii="宋体" w:hAnsi="宋体" w:eastAsia="宋体" w:cs="宋体"/>
          <w:b/>
          <w:sz w:val="24"/>
          <w:szCs w:val="24"/>
          <w:lang w:eastAsia="zh-CN"/>
        </w:rPr>
        <w:t>危急值分布统计：</w:t>
      </w:r>
      <w:r>
        <w:rPr>
          <w:rFonts w:hint="eastAsia" w:ascii="宋体" w:hAnsi="宋体" w:eastAsia="宋体" w:cs="宋体"/>
          <w:sz w:val="24"/>
          <w:szCs w:val="24"/>
          <w:lang w:eastAsia="zh-CN"/>
        </w:rPr>
        <w:t>查询条件范围内的危急值临床分布，支持门诊科室、住院科室、病区切换显示。</w:t>
      </w:r>
    </w:p>
    <w:p>
      <w:pPr>
        <w:ind w:firstLine="482"/>
        <w:rPr>
          <w:rFonts w:hint="eastAsia" w:ascii="宋体" w:hAnsi="宋体" w:eastAsia="宋体" w:cs="宋体"/>
          <w:sz w:val="24"/>
          <w:szCs w:val="24"/>
          <w:lang w:eastAsia="zh-CN"/>
        </w:rPr>
      </w:pPr>
      <w:r>
        <w:rPr>
          <w:rFonts w:hint="eastAsia" w:ascii="宋体" w:hAnsi="宋体" w:eastAsia="宋体" w:cs="宋体"/>
          <w:b/>
          <w:sz w:val="24"/>
          <w:szCs w:val="24"/>
          <w:lang w:eastAsia="zh-CN"/>
        </w:rPr>
        <w:t>危急值处理及时率统计：</w:t>
      </w:r>
      <w:r>
        <w:rPr>
          <w:rFonts w:hint="eastAsia" w:ascii="宋体" w:hAnsi="宋体" w:eastAsia="宋体" w:cs="宋体"/>
          <w:sz w:val="24"/>
          <w:szCs w:val="24"/>
          <w:lang w:eastAsia="zh-CN"/>
        </w:rPr>
        <w:t>查询条件范围内的已处理危急值的及时、超时情况统计，支持科室、病区切换显示。</w:t>
      </w:r>
    </w:p>
    <w:p>
      <w:pPr>
        <w:ind w:firstLine="482"/>
        <w:rPr>
          <w:rFonts w:hint="eastAsia" w:ascii="宋体" w:hAnsi="宋体" w:eastAsia="宋体" w:cs="宋体"/>
          <w:sz w:val="24"/>
          <w:szCs w:val="24"/>
          <w:lang w:eastAsia="zh-CN"/>
        </w:rPr>
      </w:pPr>
      <w:r>
        <w:rPr>
          <w:rFonts w:hint="eastAsia" w:ascii="宋体" w:hAnsi="宋体" w:eastAsia="宋体" w:cs="宋体"/>
          <w:b/>
          <w:sz w:val="24"/>
          <w:szCs w:val="24"/>
          <w:lang w:eastAsia="zh-CN"/>
        </w:rPr>
        <w:t>危急值通报率、通报及时率统计：</w:t>
      </w:r>
      <w:r>
        <w:rPr>
          <w:rFonts w:hint="eastAsia" w:ascii="宋体" w:hAnsi="宋体" w:eastAsia="宋体" w:cs="宋体"/>
          <w:sz w:val="24"/>
          <w:szCs w:val="24"/>
          <w:lang w:eastAsia="zh-CN"/>
        </w:rPr>
        <w:t>查询条件范围内的终端系统危急值通报率和通报及时率的统计，这里通报及时率的统计标准与国家要求一致，即危急值发生到危急值通报发送不得超过15分钟。</w:t>
      </w:r>
    </w:p>
    <w:p>
      <w:pPr>
        <w:ind w:firstLine="482"/>
        <w:rPr>
          <w:rFonts w:hint="eastAsia" w:ascii="宋体" w:hAnsi="宋体" w:eastAsia="宋体" w:cs="宋体"/>
          <w:sz w:val="24"/>
          <w:szCs w:val="24"/>
          <w:lang w:eastAsia="zh-CN"/>
        </w:rPr>
      </w:pPr>
      <w:r>
        <w:rPr>
          <w:rFonts w:hint="eastAsia" w:ascii="宋体" w:hAnsi="宋体" w:eastAsia="宋体" w:cs="宋体"/>
          <w:b/>
          <w:sz w:val="24"/>
          <w:szCs w:val="24"/>
          <w:lang w:eastAsia="zh-CN"/>
        </w:rPr>
        <w:t>危急值排行榜：</w:t>
      </w:r>
      <w:r>
        <w:rPr>
          <w:rFonts w:hint="eastAsia" w:ascii="宋体" w:hAnsi="宋体" w:eastAsia="宋体" w:cs="宋体"/>
          <w:sz w:val="24"/>
          <w:szCs w:val="24"/>
          <w:lang w:eastAsia="zh-CN"/>
        </w:rPr>
        <w:t>查询条件范围内的危</w:t>
      </w:r>
      <w:r>
        <w:rPr>
          <w:rFonts w:hint="eastAsia" w:ascii="宋体" w:hAnsi="宋体" w:cs="宋体"/>
          <w:sz w:val="24"/>
          <w:szCs w:val="24"/>
          <w:lang w:val="en-US" w:eastAsia="zh-CN"/>
        </w:rPr>
        <w:t>急</w:t>
      </w:r>
      <w:r>
        <w:rPr>
          <w:rFonts w:hint="eastAsia" w:ascii="宋体" w:hAnsi="宋体" w:eastAsia="宋体" w:cs="宋体"/>
          <w:sz w:val="24"/>
          <w:szCs w:val="24"/>
          <w:lang w:eastAsia="zh-CN"/>
        </w:rPr>
        <w:t>值总数、已处理、处理率、处理及时率、总数占比按照科室、病区排行统计。</w:t>
      </w:r>
    </w:p>
    <w:p>
      <w:pPr>
        <w:numPr>
          <w:ilvl w:val="0"/>
          <w:numId w:val="25"/>
        </w:numPr>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科室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按照时间段和终端类型查询科室危急值统计信息。科室危急值统计分析展示科室危急值全院排行情况，危急值总数、危急值处理数、危急值处理率、危急值处理及时率四项关键指标的全院排名情况、均值高低对比及全院占比。</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危急值处理及分布统计：查询范围内的危急值总数情况（未接收、已接受未处理、已处理、合计）；危急值分布门诊按照责任医生分布、住院按照医疗组或责任医生分布。</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危急值处理及时情况统计：可按照医疗组或处理医生切换展示。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危急值通报率、通报及时率统计：同住院。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危急值排行榜：同住院，支持医疗组或处理医生切换展示。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危急值管理支持不同维度危急值信息详情查询统计页面并配有专业图表：</w:t>
      </w:r>
    </w:p>
    <w:p>
      <w:pPr>
        <w:numPr>
          <w:ilvl w:val="0"/>
          <w:numId w:val="26"/>
        </w:numPr>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危急值处理情况查询</w:t>
      </w:r>
    </w:p>
    <w:p>
      <w:pPr>
        <w:numPr>
          <w:ilvl w:val="0"/>
          <w:numId w:val="26"/>
        </w:numPr>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危急值分布情况查询</w:t>
      </w:r>
    </w:p>
    <w:p>
      <w:pPr>
        <w:numPr>
          <w:ilvl w:val="0"/>
          <w:numId w:val="26"/>
        </w:numPr>
        <w:spacing w:after="0"/>
        <w:ind w:left="0"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危急值处理及时情况查询</w:t>
      </w:r>
    </w:p>
    <w:p>
      <w:pPr>
        <w:numPr>
          <w:ilvl w:val="0"/>
          <w:numId w:val="26"/>
        </w:numPr>
        <w:spacing w:after="0"/>
        <w:ind w:left="0" w:firstLine="480"/>
        <w:jc w:val="both"/>
        <w:rPr>
          <w:rFonts w:hint="eastAsia" w:ascii="宋体" w:hAnsi="宋体" w:eastAsia="宋体" w:cs="宋体"/>
          <w:sz w:val="24"/>
          <w:szCs w:val="24"/>
        </w:rPr>
      </w:pPr>
      <w:r>
        <w:rPr>
          <w:rFonts w:hint="eastAsia" w:ascii="宋体" w:hAnsi="宋体" w:eastAsia="宋体" w:cs="宋体"/>
          <w:sz w:val="24"/>
          <w:szCs w:val="24"/>
        </w:rPr>
        <w:t>危急值通报情况查询</w:t>
      </w:r>
    </w:p>
    <w:p>
      <w:pPr>
        <w:pStyle w:val="6"/>
        <w:numPr>
          <w:ilvl w:val="4"/>
          <w:numId w:val="24"/>
        </w:numPr>
        <w:rPr>
          <w:rFonts w:hint="eastAsia" w:ascii="宋体" w:hAnsi="宋体" w:eastAsia="宋体" w:cs="宋体"/>
          <w:sz w:val="24"/>
          <w:szCs w:val="24"/>
        </w:rPr>
      </w:pPr>
      <w:bookmarkStart w:id="480" w:name="_Toc112940519"/>
      <w:bookmarkStart w:id="481" w:name="_Toc3970"/>
      <w:bookmarkStart w:id="482" w:name="_Toc212033811"/>
      <w:r>
        <w:rPr>
          <w:rFonts w:hint="eastAsia" w:ascii="宋体" w:hAnsi="宋体" w:eastAsia="宋体" w:cs="宋体"/>
          <w:sz w:val="24"/>
          <w:szCs w:val="24"/>
        </w:rPr>
        <w:t>危急值接口</w:t>
      </w:r>
      <w:bookmarkEnd w:id="480"/>
      <w:bookmarkEnd w:id="481"/>
      <w:r>
        <w:rPr>
          <w:rFonts w:hint="eastAsia" w:ascii="宋体" w:hAnsi="宋体" w:eastAsia="宋体" w:cs="宋体"/>
          <w:sz w:val="24"/>
          <w:szCs w:val="24"/>
        </w:rPr>
        <w:t>管理</w:t>
      </w:r>
      <w:bookmarkEnd w:id="482"/>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危急值管理提供标准化危急值上报流程，将全院危急值信息汇总，可</w:t>
      </w:r>
      <w:r>
        <w:rPr>
          <w:rFonts w:hint="eastAsia" w:ascii="宋体" w:hAnsi="宋体" w:cs="宋体"/>
          <w:sz w:val="24"/>
          <w:szCs w:val="24"/>
          <w:lang w:val="en-US" w:eastAsia="zh-CN"/>
        </w:rPr>
        <w:t>按</w:t>
      </w:r>
      <w:r>
        <w:rPr>
          <w:rFonts w:hint="eastAsia" w:ascii="宋体" w:hAnsi="宋体" w:eastAsia="宋体" w:cs="宋体"/>
          <w:sz w:val="24"/>
          <w:szCs w:val="24"/>
          <w:lang w:eastAsia="zh-CN"/>
        </w:rPr>
        <w:t>科室维护定制化提醒规则，并提供标准化外联接口，支持对接短信平台、微信公众号、移动端危急值查询及处理功能。</w:t>
      </w:r>
    </w:p>
    <w:p>
      <w:pPr>
        <w:pStyle w:val="6"/>
        <w:numPr>
          <w:ilvl w:val="4"/>
          <w:numId w:val="24"/>
        </w:numPr>
        <w:rPr>
          <w:rFonts w:hint="eastAsia" w:ascii="宋体" w:hAnsi="宋体" w:eastAsia="宋体" w:cs="宋体"/>
          <w:sz w:val="24"/>
          <w:szCs w:val="24"/>
          <w:lang w:eastAsia="zh-CN"/>
        </w:rPr>
      </w:pPr>
      <w:bookmarkStart w:id="483" w:name="_Toc212033812"/>
      <w:bookmarkStart w:id="484" w:name="_Toc112940522"/>
      <w:bookmarkStart w:id="485" w:name="_Toc6409"/>
      <w:r>
        <w:rPr>
          <w:rFonts w:hint="eastAsia" w:ascii="宋体" w:hAnsi="宋体" w:eastAsia="宋体" w:cs="宋体"/>
          <w:sz w:val="24"/>
          <w:szCs w:val="24"/>
          <w:lang w:eastAsia="zh-CN"/>
        </w:rPr>
        <w:t>危急值系统维护</w:t>
      </w:r>
      <w:bookmarkEnd w:id="483"/>
      <w:bookmarkEnd w:id="484"/>
      <w:bookmarkEnd w:id="485"/>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支持接入危急值管理终端类型维护；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支持危急值闭环节点维护，医院可根据实际业务建设危急值闭环节点，从而实现危急值闭环展示功能快速上线；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支持危急值提醒规则维护，医院内各科室可以按照自己科室内部实际工作需要维护不同的危急值提醒规则，提高工作效率：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支持危急值多级提醒规则；</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支持开通危急值短信、微信提醒；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支持互联网医院接入提醒、处理。</w:t>
      </w:r>
    </w:p>
    <w:p>
      <w:pPr>
        <w:pStyle w:val="5"/>
        <w:numPr>
          <w:ilvl w:val="3"/>
          <w:numId w:val="16"/>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无纸化病案管理系统</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总体技术要求</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1．技术要求：系统记录行为日志、数据日志，使用水印技术、加密技术保证系统使用的稳定性和兼容性；应用端支持Edge、360极速浏览器、Chrome等主流浏览器。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cs="宋体"/>
          <w:sz w:val="24"/>
          <w:szCs w:val="24"/>
          <w:lang w:val="en-US" w:eastAsia="zh-CN"/>
        </w:rPr>
        <w:t>国产化</w:t>
      </w:r>
      <w:r>
        <w:rPr>
          <w:rFonts w:hint="eastAsia" w:ascii="宋体" w:hAnsi="宋体" w:eastAsia="宋体" w:cs="宋体"/>
          <w:sz w:val="24"/>
          <w:szCs w:val="24"/>
          <w:lang w:eastAsia="zh-CN"/>
        </w:rPr>
        <w:t>要求：支持国产数据库和国产操作系统兼容。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3.OFD文件格式：病案归档符合OFD格式，支持0FD管理的文档调阅、浏览，支持OFD格式数据交换，浏览操作痕迹记录。</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ab/>
      </w:r>
      <w:r>
        <w:rPr>
          <w:rFonts w:hint="eastAsia" w:ascii="宋体" w:hAnsi="宋体" w:eastAsia="宋体" w:cs="宋体"/>
          <w:sz w:val="24"/>
          <w:szCs w:val="24"/>
          <w:lang w:eastAsia="zh-CN"/>
        </w:rPr>
        <w:t>采集子系统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1.支持通过与HIS、EMR、PACS、LIS、输血、手麻、病理、心电等医院业务系统或临床数据平台对接，完成患者病历报告自动采集并汇总归集为一整份患者报告。</w:t>
      </w:r>
    </w:p>
    <w:p>
      <w:pPr>
        <w:ind w:firstLine="480"/>
        <w:rPr>
          <w:rFonts w:hint="eastAsia" w:ascii="宋体" w:hAnsi="宋体" w:eastAsia="宋体" w:cs="宋体"/>
          <w:sz w:val="24"/>
          <w:szCs w:val="24"/>
        </w:rPr>
      </w:pPr>
      <w:r>
        <w:rPr>
          <w:rFonts w:hint="eastAsia" w:ascii="宋体" w:hAnsi="宋体" w:eastAsia="宋体" w:cs="宋体"/>
          <w:sz w:val="24"/>
          <w:szCs w:val="24"/>
        </w:rPr>
        <w:t>2．接口方式：支持http、ftp、Webservice、共享方式和二进制数据流的对接。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3．指定存储：采集子系统将自动采集归档的病案存储到事先约定的服务器路径。</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4．后台执行：后台自动执行归档(采集)服务，不影响其他业务系统的正常运行。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5．重新采集：支持根据病案归档过程中，对发病历文书发生变化的病案执行重新采集的指令。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6．延迟采集：支持对特定业务系统配置延迟采集时间（如病理系统较晚出报告可以设置延迟采集），并支持多院区设置属于自己的采集服务。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7．采集周期配置：支持根据归档要求设定采集服务运行时间周期，灵活实现医院需求。</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8．重采配置：支持对指定业务系统设置重采天数及采集时间。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9．消息推送：支持将无纸化系统预警、消息通知的信息通过企业微信、钉钉推送给指定用户。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9．信息同步：支持患者信息、科室、用户等基础信息同步的界面化配置。</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ab/>
      </w:r>
      <w:r>
        <w:rPr>
          <w:rFonts w:hint="eastAsia" w:ascii="宋体" w:hAnsi="宋体" w:eastAsia="宋体" w:cs="宋体"/>
          <w:sz w:val="24"/>
          <w:szCs w:val="24"/>
          <w:lang w:eastAsia="zh-CN"/>
        </w:rPr>
        <w:t>单机采集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1．单机报告：在设备不提供接口的情况下，支持自动监测单机设备产生的报告并获取版式报告，联网后自动上传至无纸化病案服务器。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2．分类映射：支持配置指定设备上产出报告归属的病案分类，实现上传的单机报告可自动归类到指定病案分类下。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3．数据关联：支持将单机报告与患者绑定，并可支持与报告关联的医嘱关联。</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4．信息识别：系统支持识别报告单号，并可对单机报告名称命名。</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ab/>
      </w:r>
      <w:r>
        <w:rPr>
          <w:rFonts w:hint="eastAsia" w:ascii="宋体" w:hAnsi="宋体" w:eastAsia="宋体" w:cs="宋体"/>
          <w:sz w:val="24"/>
          <w:szCs w:val="24"/>
          <w:lang w:eastAsia="zh-CN"/>
        </w:rPr>
        <w:t>纸质病历采集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整体化应用：支持无纸化归档的患者病案还遗留的部分纸质病历，采用拍摄或扫描的方式实现病案数字化，并能够与采集的电子病案汇总成一份完整病案，用户通过图标能够区分该报告是采集报告还是拍摄报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2．先拍后传：系统支持拍摄时候直接上传外还支持先拍摄暂存本地，待系统空闲时批量上传。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3．图片处理：支持对病案图片删除、补拍功能，还能在拍摄过程中能够对所拍图片进行编辑。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4．重新审核：支持图片质量审核未通过的病案有单独的入口，加工人员处理提交后可再次进入审核流程。</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5．一键归档：支持根据管理模式要求可以选择开启一键归档的功能，即可实现审核图片的同时完成病案一键归档。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6．条码定义：支持单个或批量打印病案条码，且支持配置病案条码的展示内容。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7．病案上架：支持病案装箱上架的功能，并可以快速检索病案存放位置。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8．工作量统计：支持工作量统计如加工工作量、图片审核工作量、归档工作量统计等。</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ab/>
      </w:r>
      <w:r>
        <w:rPr>
          <w:rFonts w:hint="eastAsia" w:ascii="宋体" w:hAnsi="宋体" w:eastAsia="宋体" w:cs="宋体"/>
          <w:sz w:val="24"/>
          <w:szCs w:val="24"/>
          <w:lang w:eastAsia="zh-CN"/>
        </w:rPr>
        <w:t>采集监管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1．数据源采集监管：支持对数据源采集监管，监管内容包含归档状态、采集的业务系统、电子病历转化PDF数量以及实际上传数量。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2．采集管理：支持采集数据管理，可查看指定病案的采集结果、在各系统中的报告采集状态及采集时间轴；还支持指定业务系统的报告重采。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3．接口监管：支持数据源服务器心跳监管，实时跟踪采集服务及三方业务系统运行状态。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4．大屏：支持采集大屏展示，可动态查看各采集服务运行状态、全期采集报告统计、近六个月（删除）出院人数、归档数、采集数据的图表化展示以及近七日异常数据等。</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ab/>
      </w:r>
      <w:r>
        <w:rPr>
          <w:rFonts w:hint="eastAsia" w:ascii="宋体" w:hAnsi="宋体" w:eastAsia="宋体" w:cs="宋体"/>
          <w:sz w:val="24"/>
          <w:szCs w:val="24"/>
          <w:lang w:eastAsia="zh-CN"/>
        </w:rPr>
        <w:t>系统首页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1．动态首页：支持展示不同角色的首页，包含管理员首页、病案室用户首页和临床用户首页。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系统管理员首页：支持展示信息化管理常用菜单快捷入口、监管大屏入口并展示关键指标数据如出院人数，采集数量，归档数量等；展示服务性能情况如采集服务所在服务器的CPU使用情况、内存使用情况、存储硬盘使用情况等；支持实时展示接口异常情况及详细链接，为无纸化归档运行提供最直观的管理信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病案室用户首页：支持展示病案归档质控、病案查询、借阅审核等病案室常用菜单快捷入口；展示病案管理数据如当日出院人数、采集数量、已归档数量、打印数量等；展示待处理任务如待质控、待借阅审核的信息等；展示消息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临床用户首页：支持对医生/护士展示科室质控、我的责任病案、病案查询、病案标记、病案借阅等常用菜单快捷入口；展示用户科室的出院人数、采集数量、已归档、已打印病案数量；展示待处理的任务如待质控，驳回病案待处理及消息提醒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5．主题色配置：支持用户根据管理需要配置统一的系统主题色。</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病案查询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1．双浏览模式：支持用户通过网页端或移动端进行病案浏览，且能使用患者信息进行快速检索。</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2．动态列配置：支持用通过浏览器将检索的病案以表格形式展示，并支持用户对列表显示字段自定义配置，系统按照配置的结果展示表格字段。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3．浏览水印：支持在病案浏览页面自动加载已设定的水印内容，用以追溯被外传的报告源头。</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4.报告批注：支持用户查看患者报告的同时可以对报告中的内容画框批注，并提交病案讨论反馈；可以点击讨论内容直接定位讨论的报告，并在报告中突显讨论的区域。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5.全文检索：支持对所有病案进行关键字检索，系统自动定位含关键字病案，浏览患者报告时能列出对应报告页列表，点击可定位报告，报告中关键字以高亮突显。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6．复合检索：支持对病案首页内容动态分组查询，能自定义添加条件，支持算数运算符、逻辑运算符，字符模糊匹配，查询结果支持字段、顺序配置，数据导出及浏览选定病案报告。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7.导出访问文件：支持将病案文件导出，并可限制导出文件的查看时间周期和查看次数。</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完整性验证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1.必含项验证：支持配置住院病案归档时验证全院科室必含的病案分类及医疗文书。</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2.科室必含验证：支持对指定科室设置必含的病案分类或医疗文书。</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3．首页逻辑验证：支持根据病案首页信息的特征验证病案归档应该包含的报告文书，如验证死亡患者须有死亡记录单、死亡讨论单，病危患者须有病危通知单等。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4.报告数量验证：支持根据三方业务系统提供的数量视图验证系统采集数量。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5．医嘱申请单验证：支持根据医嘱申请单和检查、检验报告单号的关联号验证归档报告是否有缺失。</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6．规则定制：支持医院提出的规则增加进系统，实现归档病案报告包含项目的验证。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▲7.自检预警：支持在归档质控、纸质病案拍摄时提供完整性自检预警，并能限制所属纸质分类缺失时，不允许拍摄完成。（需提供系统界面截图）</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归档质控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1．归档库管理：支持根据配置的归档质控流程执行审批，审核通过的病历完成病案归档，并纳入受控的文档库中。</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2．我的责任病案：支持病案责任人如住院医生、主治医生、责任护士通过驳回病案待处理列表查看驳回病案，填写整改意见后再次提交归档申请，系统将自动重采，并流转至下一个审核节点。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▲3．科室质控：支持临床医生、护士质控员通过科室质控的待质控列表，快速审核无纸化病案，系统给予完整性自检预警，并可自动卡控采集不完整的病案不可归档。（需提供系统界面截图）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病案归档：支持病案室质控员通过病案归档页面快速审核临床已提交上来的病案，并能够通过系统完整性自检结果，识别病案完整性情况；在审核过程中，质控员可随时添加关联医疗文书的质控意见，对于驳回病案还能够追踪临床医生/护士对质控意见的回复详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数据状态识别：支持关键数据状态自动标识，可辅助质控员识别病案归档信息，如通过采集状态有采集失败，可追踪失败原因，通过拍摄状态可判定病案是否被归集全面，通过病历属性，可识别该病案是首次归档还是被返修提交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▲6．报告变更提醒：支持返修的病案，可以提示质控人返修的具体页以及返修类型如报告新增、内容有更新等。（需提供系统界面截图）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7．驳回自动定责：在质控时质控员发现问题可以驳回归档申请的病案，系统支持问题类型为医疗类的病案自动驳回给住院医生，问题类型为护理类的自动驳回给护士。</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8．跳签控制：支持多级审核的归档审核流程开启跳签规则，并可以实现归档质控驳回后，由病案责任人再次提交申请后跳签至原驳回节点。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科室质控统计：支持通过科室质控统计报表查看科室质控进度情况，可以通过筛选患者出院时间区间，查看科室内出院总病历数、待质控数据、医疗质控通过数、护理质控通过数、护理质控未通过数、医疗质控未通过数、归档完成率等，报表支持导出Excel格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10．病案标记：支持临床医生或护士对指定病案标记为缺失或者特殊病历，并支持病案室人员对已标记缺失的病案补收；对于缺失未归的病案在系统自检及打印时均可以做到提醒。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▲11.归档率统计：支持自动去除节假日后再与医院设定的标准归档天数比对，统计出各科室病案迟归率、迟归数和平均归档天数，其中迟归数支持下钻查看迟归明细及导出功能。（需提供系统界面截图）</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签章管理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1．签章：支持病案归档成功后自动加CA签章。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2．验签：对于已归档签章的病案，可实现调取CA接口验签。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3．单机报告电子签：单机报告采集时支持加盖CA签名。</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4．签章导出：在导出患者病案PDF文件时，通过调取病案签章，并将签章嵌入PDF文件中，防止非法篡改PDF原始文件。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5．CA登录：支持用户CA验证登录系统，无需录入用户名。</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终末质控</w:t>
      </w:r>
      <w:r>
        <w:rPr>
          <w:rFonts w:hint="eastAsia" w:ascii="宋体" w:hAnsi="宋体" w:eastAsia="宋体" w:cs="宋体"/>
          <w:sz w:val="24"/>
          <w:szCs w:val="24"/>
          <w:lang w:eastAsia="zh-CN"/>
        </w:rPr>
        <w:tab/>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1.评分规则定义：支持评分规则项自定义，可以设定评分项目、评分类型（甲、乙、丙级或者固定分值）。</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2.任务分配：支持院级质控部门，分配质控员分配终末质控任务，并能够追踪质控进度。</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3.执行任务：支持质控员查看被分配的终末质控任务，支持根据配置的评分规则在评分详情页面，勾选缺陷项并填写缺陷原因后由系统自动生成评分结果。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4.终末质控记录：支持质控员使用患者姓名、住院号、出院科室、住院天数范围、评分等级等条件筛选查看终末质控记录。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5.缺陷统计：支持根据终末评分的结果自动生成多维缺陷统计，如以缺陷类别维度的缺陷项目统计，以科室维度统计的缺陷项目统计。</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病案复印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1．电子申请单：支持外接身份证读卡器自动读取二代身份证信息，并通过获取的身份信息自动定位患者病案，且能够生成具有患者身份证或委托人身份证图片的电子申请单。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2．多种检索条件：除支持身份证号检索外还支持出入院时间、出入院科室、患者姓名等检索条件。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3．证件拍摄：支持外接高拍仪留存打印申请所需的证明材料，如户口簿、出生证明、保险单等。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4．套餐打印：支持选择打印套餐（套餐种类可自定义，如报销套餐、复诊套餐等），通过套餐系统自动选定涉及的病案分类，并支持病案一次性打印多份。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5．计费规则：支持设置打印费用计算规则如按页、按份、按阶段计费，还支持设定调档费，实现打印时自动增加调档费。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6．自动计费：系统能根据套餐内容、计费规则自动计算出打印应付金额。</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7．打印预警：支持病案打印时涉及封存病案、HIV病案、缺失病历的预警提示，并可控制未归档病案不允许打印。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8．跨院区打印：支持多院区模式，并能实现跨院区病案打印。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9．打印状态输出：支持对三方业务系统输出打印状态接口，方便第三方对已打印订单的逻辑控制，减少已打印病案返修可能造成的法律纠纷。</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病历时间轴功能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▲1．动态记录：支持对病案关键动态记录及追踪的功能，记录包含患者出院、医疗质控、护理质控、病案归档、查询、打印、借阅、封存、召回等。（需提供系统界面截图）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2.动态追踪：支持在病案查询、打印浏览时浏览动态时间轴功能，包含操作人、时间及关键动作。</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病案借阅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1．借阅审批流定义：支持多级借阅审批流程配置，且能支持各院区流程自定义。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2．到期关闭权限：支持用户对无权限浏览的病案申请借阅，申请被审批通过后方可浏览，借阅到期则自动关闭浏览权限。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3．续借：支持对访问权限已到期的病案，快速续借。</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4．主动授权访问：支持管理员以主动授权的方式给指定用户增加病案查看权限，授权方式包含依病案号及以科室的模式。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5．审核意见追踪：支持申请人与审批人在系统上查看各审核节点的审核意见。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6．借阅统计：支持查询病案借阅情况，检索条件包含申请科室，申请时间区间，出院科室，出院时间等。</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病案封存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1．封存审批流定义：支持多级封存审批流程配置，且能支持各院区流程自定义。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2．材料留存：支持解封/封存申请时上传相关附件以及拍摄的功能，留存关键材料。</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3．封存限制：支持在病案封存期间，禁止借阅、浏览、打印操作。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4．封存件备份：支持封存审核通过后，对已封存的病案系统自动备份。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5．打印留存：支持用户对已封存成功的病案，一键打印作为纸质留档。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6．解封继续流转：支持对已解封通过的病案继续流转，不影响原封存件文件内容。</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病案召回</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1．召回审批流定义：支持多级封存审批流程配置，且能支持各院区流程自定义。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2．已打印召回限制：支持用户申请病案召回（返修）申请时，已打印病案自动给予已打印预警，用于避免患者已打印病案与归档病案不一致带来的法律纠纷风险。</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3．意见填写：支持申请人填写召回原因，也支持审核人录入审批意见。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4．召回对比：支持召回的病案对不同版本之间可直观的展示对比界面，对差异内容标识显示。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5．对接三方返修状态：支持对接第三方业务系统的召回成功状态，并能对已召回病案开启报告变更监管完成自动重采。</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病案示踪</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1．交接模式：支持纸质病历由医生与护士交接的线上操作。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2．签入签出方式：支持扫码、勾选等方式签出、签收。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3．签出撤销：支持已签出未签收病案撤销功能。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4．交接超时处理：支持设定医护交接标准时间，且支持患者出院后医护交接超时的系统自动将病案流转至病案签出节点，能够使得病案从临床签出给病案室。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5．流程配置：支持通过参数控制病案交接没有超时且未经医护交接不得病案签出。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6．电子病历归档限制：系统支持开启电子病历归档限制，电子病历未归档的不允许纸质病案签出。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7．签出方式：支持手动勾选单个病案签出、批量勾选签出以及扫码签出的功能。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8．当面签收双密码验证：支持病案回收人员可以使用当面签收的功能，系统验证签收人的密码。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9．完整性提醒：支持纸质病案签出时系统提供报告完整性自检提醒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10．▲病案标记：支持在签出列表上对病案做缺失或者特殊病案标记。（需提供系统界面截图）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11．撤销管理：支持用户对已签出未签收病案执行撤销签出。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12．待签收提醒：支持待签收病案提醒与查看功能；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13．待签收导出：支持待签收详情导出功能；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14．签收方式：支持单项、批量签收也支持扫码签收功能；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15．病案标记查看：支持已标记缺失病案详情，特殊病案详情查看功能；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16．完整性提醒：支持签收时系统提供完整性自检提醒。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17．▲封皮打印：支持对已签收病案完成封皮打印。（需提供系统界面截图）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18．一键回收：支持临床科室把纸质病案送至病案室或病案室回收纸质病历后，使用系统一键签收。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19．流通：支持纸质病案在回收后的纸质病案流通记录。</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20．快捷筛选：支持使用出院日期区间、出院科室快捷筛选纸质归档率情况。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21．▲多维度统计：支持展示科室未回收数量、已回收数、应回收数，以及2、3、5、7日以上回收率情况以及迟归率。（需提供系统界面截图）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22．排除脱纸科室：支持档率报表排除已完全脱纸科室。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23．导出Excel：支持将查询结果导出Excel文件。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24．限定统计日期：支持选择以统计日期作为标准计算逾期归档情况。</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25．逾期标准参照回收标准天：支持按照参数设置的回收标准天数计算逾期归档率，并可排除脱纸科室。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26．科室汇总：支持以科室汇总逾期归档数量。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27．导出Excel：支持以Excel格式导出逾期归档报表。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28．超时标准限制：支持依照参数设置的医护交接标准值统计超期未交接的病案详情。</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29．筛选条件：支持依照超期天数、是否死亡、是否特殊病历等筛选条件；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30．▲移动签收：病案回收员可手持移动设备至临床科室完成纸质病案扫码签收。（需提供系统界面截图）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31．待签收列表：支持用户通过待签收列表，清晰地了解当日有病案需要回收的科室以及回收数量。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32．已签收查看：支持用户通过已签收记录追踪已签收病案明细。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33．多院区:支持设置多院区的封皮模板。</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34．条码定义：支持设置封皮模板上的条码内容。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35．封皮内容定义：支持封皮模板设置展示的关键字如出院日期，出院科室，患者姓名，病案号等。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36．节点设置：支持维护节点，可以设置节点的权限人员，只有被设置节点权限的人才可以使用该节点，如果不再需要使用该节点还可以禁用。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37．脱纸科室设置：支持设置脱纸科室，用于实现归档统计、病案签收签出的排除。</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图片智能审核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1．▲审核范围：支持图片智能审核功能，能审核出图片质量中的歪斜、黑边、空白页、手影、截断、模糊度检测等质量问题。（需提供系统界面截图）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2．精度校准：支持根据医疗文书样本单配置审核模板，用来校正辅助机器审核的精度。</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3．忽略机制：支持设置忽略分类，实现回避机器审核的病案分类，并支持将忽略分类自动推送给人工审核。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4．审核参数设定：支持配置截断的检测区域，模糊度阈值、倾斜度范围等参数，并支持通过参数控制机器验证的标准值。</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5．数据分析：支持通过图片拍摄/扫描日期、病案号等作为查询条件统计质检结果；并支持导出质检正确、异常、漏杀、误杀的图片用于数据分析，提升机器质检精度的研究。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ab/>
      </w:r>
      <w:r>
        <w:rPr>
          <w:rFonts w:hint="eastAsia" w:ascii="宋体" w:hAnsi="宋体" w:eastAsia="宋体" w:cs="宋体"/>
          <w:sz w:val="24"/>
          <w:szCs w:val="24"/>
          <w:lang w:eastAsia="zh-CN"/>
        </w:rPr>
        <w:t>智能脱敏系统实现对归档病案文档进行机器化的脱敏。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1．脱敏套餐：支持用户建立脱敏套餐，设置套餐对应的病案分类。</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2．脱敏关键字设置：支持对脱敏套餐设定脱敏关键字、打码模糊度和打码颜色。</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3．病案筛选：支持通过病案号、患者姓名或者主要诊断名称、年龄区间等筛选目标病案。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4．批量任务：支持根据筛选的目标病案批量创建脱敏任务，并支持给任务设定脱敏套餐。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5．▲机器脱敏：支持用户选择机器脱敏模式，则系统将会自动将脱敏任务中的病案按照脱敏套餐执行脱敏。（需提供系统界面截图）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6．效果预览：支持用户以浏览的方式查看机器脱敏的效果图，支持快速翻页的形式浏览也能通过分类快速定位选择要查看的图片浏览。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7．人工审核：支持机器脱敏后人工审核，支持快速恢复原图，并支持对脱敏结果做人工干预，执行人工打码完成偏差校正。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8．1．导出PDF：支持对已脱敏的病案导出PDF。</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9．2．打印：支持对已脱敏的病案快捷打印。</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移动应用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1.拍摄：支持系统自动利用数据关系快速定位医生负责的病案、本科室出院待拍摄的病案，并能够快速完成纸质病案数字化以及报告分类。</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2.驳回处理：病案拍摄完成后，如被病案室审核驳回，在移动端能直接展示给患者出院科室人员，负责人员在驳回模块完成报告重拍、补拍再提交。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3.补拍：如有漏拍的报告，拍摄完成后支持在补拍页面通过患者姓名、住院号、床位号快速定位病案，并可完成补拍操作。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4.已拍：支持查询已拍病案的记录查询以及报告浏览。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5.病案浏览：系统支持移动病案随时查的需求，能够支持用户在通过住院号、患者姓名、出院科室检索指定患者信息，并能在浏览的报告上区分出拍摄病案还是采集病案以及报告所属分类。</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全病案上报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1.满足国家规范：满足国卫办医政函〔2024〕96号国家卫生健康委办公厅关于开展死亡和非医嘱离院病案报告工作的通知要求，上传住院期间死亡或以“非医嘱离院”方式出院病例的全套归档病案的要求格式。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2.上报分组维护：支持对不同的上报进行分组进行维护，可添加或删除分组信息，形成上报字典。</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3.分类顺序编辑：支持鼠标拖拽的方式调整分组顺序形成上报要求的分组顺序。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4.分类映射：支持将医院在用的病案分类映射为上报要求的内容名称，且支持院方多个病案分类映射为一个上报内容名称，映射成功后，导出时则自动按照映射的内容名称导出。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5.上报水印：支持在导出PDF前设定想要在文档内展示的水印内容，达到文件保护的要求。</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6.格式定义：支持自定义导出PDF的命名格式，自定义的范围参数包含省份、医院名称、医院组织机构代码、病案号、住院号、住院次数、姓名、出院时间、身份证号、唯一号。</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7.报告预览：支持快速筛选要导出的病案并能对病案内容在线预览。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8.批量导出：支持对筛选出的病案批量按照上报要求的命名格式导出。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9.分组定位报告：支持选择上报字典后快速定位并勾选对应的报告分类。</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10.PDF页签：支持按照上报要求的方式在导出的PDF文件内自动加上页签。</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统计报表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1.脱纸率统计：支持统计各科室使用无纸化归档后实际脱纸情况，统计维度包含年、季度、月份。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2.科室超时统计：支持选择出院时间区间统计在临床科室归档超期病案明细，并能展示电子病历归档时间、科室质控通过时间及超期天数。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4.复印统计：支持按照复印时间区间统计收费明细情况、复印工作量情况、复印用途统计。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5.工作量统计：系统还提供多种工作量统计报表如扫描工作量、归档审核工作量、图片审核工作量报表。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6.缺陷统计：系统支持病案缺陷统计查询，可以按照科室也可以按照缺陷项目统计。</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多院区管理</w:t>
      </w:r>
      <w:r>
        <w:rPr>
          <w:rFonts w:hint="eastAsia" w:ascii="宋体" w:hAnsi="宋体" w:eastAsia="宋体" w:cs="宋体"/>
          <w:sz w:val="24"/>
          <w:szCs w:val="24"/>
          <w:lang w:eastAsia="zh-CN"/>
        </w:rPr>
        <w:tab/>
      </w:r>
    </w:p>
    <w:p>
      <w:pPr>
        <w:ind w:left="420"/>
        <w:rPr>
          <w:rFonts w:hint="eastAsia" w:ascii="宋体" w:hAnsi="宋体" w:eastAsia="宋体" w:cs="宋体"/>
          <w:sz w:val="24"/>
          <w:szCs w:val="24"/>
          <w:lang w:eastAsia="zh-CN"/>
        </w:rPr>
      </w:pPr>
      <w:r>
        <w:rPr>
          <w:rFonts w:hint="eastAsia" w:ascii="宋体" w:hAnsi="宋体" w:eastAsia="宋体" w:cs="宋体"/>
          <w:sz w:val="24"/>
          <w:szCs w:val="24"/>
          <w:lang w:eastAsia="zh-CN"/>
        </w:rPr>
        <w:t>1．多院区数据管理：支持多院区数据隔离，各院区数据独立运营，互不影响。2．多院区人员权限：支持给指定人员分配多院区权限，并支持用户设置默认登录院区。</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配置中心</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1．Logo上传：支持上传属于医院的LOGO，展示在系统头部，以辅助评级需要。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2．节假日配置：支持节假日配置管理，用于实现归档率统计时排除节假日。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3．参数设置：支持设置个性化的归档标准天数如普通病历3天、死亡病历5天、特殊病历7天，用于逾期归档率报表统计的标准。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4．病案分类对照：支持第三方病案分类与无纸化病案分类编码对照，可以实现第三方采集过来的分类直接映射为无纸化病案分类。</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5．特殊病历字典：支持特殊病历字典设置，用来实现病案标记时快速选择。</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6．别名配置：能够根据院方管理需要对病案别名设置，即可实现与医生站或病案统计系一致的病案号、住院号名称。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7．兼容管理：支持科室、用户管理、病案分类、医疗文书管理时均能兼容住院与门诊的特性。</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安全处理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1．加密存储：对服务器上的文件进行加密存储，从后台不能直接打开文件。</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2．水印功能：对病案浏览、借阅具备自动添加水印的功能（水印形式为登录工号、时间、IP地址，也可以自定义设置格式）。</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3．动态可追踪：系统对病案的关键操作留有痕迹，监管病案流通过程，通过时间轴把操作记录可视化。</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4．权限控制：用户都有严格的数据权限控制，只能使用或查看属于自己权限科室的数据。</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5．密码强度管理：系统支持强密码设置，验证用户的密码复杂度。</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6．保密等级管理：对指定病案可设置保密等级，低保密等级用户无法查看高保密等级病案。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7．单点登录：支持医院内部用户的注册及登录对接医院单点登录系统，实现统一管理，减少医生使用的麻烦。</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后台处理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1．模板重组：支持对特定业务系统进行结构化数据采集，模板重组展示。</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2．后台数据转换：支持对采集数据进行清洗、解析、转换等操作从而生成标准的格式文件，还应支持自动将已数字化加工（拍摄或扫描）的图片通过webservice 上传到存储服务器，同时系统还能将拍摄与采集的数据自动融合并加密储存，从而形成一份的完整电子病案。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3．在院采集：支持患者在院报告采集，实现用户查看在院患者的最新归档报告。</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4．采集任务调度：支持配置多个采集任务，后台根据采集服务空闲情况自动分配任务。</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存储和数据备份功能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1．存储叠加：支持服务器的叠加，通过配置服务器所在路径，满足服务器空间追加的需要。</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2．独立备份：支持完善的数据备份机制，支持增量备份以及数据转储。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3．结构清晰：要求文件服务器存储结构清晰，使用子目录存储规范，一旦数据库出现故障，可以从后台快捷查找患者的加密文档。</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集成应用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1．互联互通：支持业务系统集成无纸化应用所需的标准链接及安全验证，能够实现系统间的互联互通。</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2．外部链接：支持无纸化病案查询、归档质控、借阅页面等外部链接供医生站、护士站、医务等系统做集成。</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3．消息推送：支持采集失败、归档质控超时、质控驳回等信息推送至关联用户的企业微信、钉钉或消息平台。</w:t>
      </w:r>
    </w:p>
    <w:p>
      <w:pPr>
        <w:pStyle w:val="6"/>
        <w:numPr>
          <w:ilvl w:val="4"/>
          <w:numId w:val="27"/>
        </w:numPr>
        <w:rPr>
          <w:rFonts w:hint="eastAsia" w:ascii="宋体" w:hAnsi="宋体" w:eastAsia="宋体" w:cs="宋体"/>
          <w:sz w:val="24"/>
          <w:szCs w:val="24"/>
          <w:lang w:eastAsia="zh-CN"/>
        </w:rPr>
      </w:pPr>
      <w:r>
        <w:rPr>
          <w:rFonts w:hint="eastAsia" w:ascii="宋体" w:hAnsi="宋体" w:eastAsia="宋体" w:cs="宋体"/>
          <w:sz w:val="24"/>
          <w:szCs w:val="24"/>
          <w:lang w:eastAsia="zh-CN"/>
        </w:rPr>
        <w:t>其他要求</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1、满足OFD版式文件标准；满足新老电子病历六级标准要求；</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2、支持与HIS、EMR、病案系统、数据中心、集成平台等接口对接，支持与医院在用各仪器设备接口对接等，实现各单机报告电子化；</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3、免费五年质保；</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i/>
          <w:iCs/>
          <w:sz w:val="24"/>
          <w:szCs w:val="24"/>
          <w:u w:val="single"/>
          <w:lang w:eastAsia="zh-CN"/>
        </w:rPr>
        <w:t>支持国产数据库或开源数据库，支持国产服务器服务端软件部署，支持国产操作系统安装部署</w:t>
      </w:r>
      <w:r>
        <w:rPr>
          <w:rFonts w:hint="eastAsia" w:ascii="宋体" w:hAnsi="宋体" w:cs="宋体"/>
          <w:i/>
          <w:iCs/>
          <w:sz w:val="24"/>
          <w:szCs w:val="24"/>
          <w:u w:val="single"/>
          <w:lang w:eastAsia="zh-CN"/>
        </w:rPr>
        <w:t>。</w:t>
      </w:r>
      <w:r>
        <w:rPr>
          <w:rFonts w:hint="eastAsia" w:ascii="宋体" w:hAnsi="宋体" w:cs="宋体"/>
          <w:i/>
          <w:iCs/>
          <w:sz w:val="24"/>
          <w:szCs w:val="24"/>
          <w:u w:val="single"/>
        </w:rPr>
        <w:t>（投标人须提供承诺函）</w:t>
      </w:r>
    </w:p>
    <w:p>
      <w:pPr>
        <w:pStyle w:val="4"/>
        <w:numPr>
          <w:ilvl w:val="2"/>
          <w:numId w:val="16"/>
        </w:numPr>
        <w:rPr>
          <w:rFonts w:hint="eastAsia" w:ascii="宋体" w:hAnsi="宋体" w:eastAsia="宋体" w:cs="宋体"/>
          <w:sz w:val="24"/>
          <w:szCs w:val="24"/>
        </w:rPr>
      </w:pPr>
      <w:r>
        <w:rPr>
          <w:rFonts w:hint="eastAsia" w:ascii="宋体" w:hAnsi="宋体" w:eastAsia="宋体" w:cs="宋体"/>
          <w:sz w:val="24"/>
          <w:szCs w:val="24"/>
        </w:rPr>
        <w:t>CA硬件设备</w:t>
      </w:r>
    </w:p>
    <w:tbl>
      <w:tblPr>
        <w:tblStyle w:val="34"/>
        <w:tblW w:w="957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6070"/>
        <w:gridCol w:w="1150"/>
        <w:gridCol w:w="1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5"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序号</w:t>
            </w:r>
          </w:p>
        </w:tc>
        <w:tc>
          <w:tcPr>
            <w:tcW w:w="607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名称</w:t>
            </w:r>
          </w:p>
        </w:tc>
        <w:tc>
          <w:tcPr>
            <w:tcW w:w="115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数量</w:t>
            </w:r>
          </w:p>
        </w:tc>
        <w:tc>
          <w:tcPr>
            <w:tcW w:w="1246"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5"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607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医疗一体化管理设备</w:t>
            </w:r>
          </w:p>
        </w:tc>
        <w:tc>
          <w:tcPr>
            <w:tcW w:w="115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1246"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5"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2</w:t>
            </w:r>
          </w:p>
        </w:tc>
        <w:tc>
          <w:tcPr>
            <w:tcW w:w="6070"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签名验签时间戳服务专用设备</w:t>
            </w:r>
          </w:p>
        </w:tc>
        <w:tc>
          <w:tcPr>
            <w:tcW w:w="115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1246"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5"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3</w:t>
            </w:r>
          </w:p>
        </w:tc>
        <w:tc>
          <w:tcPr>
            <w:tcW w:w="607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软盾密钥协同设备</w:t>
            </w:r>
          </w:p>
        </w:tc>
        <w:tc>
          <w:tcPr>
            <w:tcW w:w="115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1246"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5"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4</w:t>
            </w:r>
          </w:p>
        </w:tc>
        <w:tc>
          <w:tcPr>
            <w:tcW w:w="607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电子签章服务器</w:t>
            </w:r>
          </w:p>
        </w:tc>
        <w:tc>
          <w:tcPr>
            <w:tcW w:w="115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1246"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5"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5</w:t>
            </w:r>
          </w:p>
        </w:tc>
        <w:tc>
          <w:tcPr>
            <w:tcW w:w="607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数据库加密管理设备</w:t>
            </w:r>
          </w:p>
        </w:tc>
        <w:tc>
          <w:tcPr>
            <w:tcW w:w="115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1246"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5"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6</w:t>
            </w:r>
          </w:p>
        </w:tc>
        <w:tc>
          <w:tcPr>
            <w:tcW w:w="607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患者手写签名服务器</w:t>
            </w:r>
          </w:p>
        </w:tc>
        <w:tc>
          <w:tcPr>
            <w:tcW w:w="115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2</w:t>
            </w:r>
          </w:p>
        </w:tc>
        <w:tc>
          <w:tcPr>
            <w:tcW w:w="1246"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5"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7</w:t>
            </w:r>
          </w:p>
        </w:tc>
        <w:tc>
          <w:tcPr>
            <w:tcW w:w="6070"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个人证书(专用密码服务)</w:t>
            </w:r>
          </w:p>
        </w:tc>
        <w:tc>
          <w:tcPr>
            <w:tcW w:w="115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1246"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5"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8</w:t>
            </w:r>
          </w:p>
        </w:tc>
        <w:tc>
          <w:tcPr>
            <w:tcW w:w="607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服务器证书</w:t>
            </w:r>
          </w:p>
        </w:tc>
        <w:tc>
          <w:tcPr>
            <w:tcW w:w="1150"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1246" w:type="dxa"/>
            <w:vAlign w:val="top"/>
          </w:tcPr>
          <w:p>
            <w:pPr>
              <w:pStyle w:val="22"/>
              <w:rPr>
                <w:rFonts w:hint="eastAsia" w:ascii="宋体" w:hAnsi="宋体" w:eastAsia="宋体" w:cs="宋体"/>
                <w:sz w:val="24"/>
                <w:szCs w:val="24"/>
              </w:rPr>
            </w:pPr>
            <w:r>
              <w:rPr>
                <w:rFonts w:hint="eastAsia" w:ascii="宋体" w:hAnsi="宋体" w:eastAsia="宋体" w:cs="宋体"/>
                <w:sz w:val="24"/>
                <w:szCs w:val="24"/>
              </w:rPr>
              <w:t>项</w:t>
            </w:r>
          </w:p>
        </w:tc>
      </w:tr>
    </w:tbl>
    <w:p>
      <w:pPr>
        <w:pStyle w:val="5"/>
        <w:numPr>
          <w:ilvl w:val="3"/>
          <w:numId w:val="16"/>
        </w:numPr>
        <w:ind w:firstLine="482"/>
        <w:rPr>
          <w:rFonts w:hint="eastAsia" w:ascii="宋体" w:hAnsi="宋体" w:eastAsia="宋体" w:cs="宋体"/>
          <w:sz w:val="24"/>
          <w:szCs w:val="24"/>
        </w:rPr>
      </w:pPr>
      <w:r>
        <w:rPr>
          <w:rFonts w:hint="eastAsia" w:ascii="宋体" w:hAnsi="宋体" w:eastAsia="宋体" w:cs="宋体"/>
          <w:sz w:val="24"/>
          <w:szCs w:val="24"/>
        </w:rPr>
        <w:t>医疗一体化管理设备</w:t>
      </w:r>
    </w:p>
    <w:tbl>
      <w:tblPr>
        <w:tblStyle w:val="34"/>
        <w:tblW w:w="957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8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8" w:hRule="atLeast"/>
        </w:trPr>
        <w:tc>
          <w:tcPr>
            <w:tcW w:w="725" w:type="dxa"/>
            <w:tcBorders>
              <w:bottom w:val="nil"/>
            </w:tcBorders>
            <w:vAlign w:val="center"/>
          </w:tcPr>
          <w:p>
            <w:pPr>
              <w:pStyle w:val="22"/>
              <w:rPr>
                <w:rFonts w:hint="eastAsia" w:ascii="宋体" w:hAnsi="宋体" w:eastAsia="宋体" w:cs="宋体"/>
                <w:sz w:val="24"/>
                <w:szCs w:val="24"/>
              </w:rPr>
            </w:pPr>
            <w:r>
              <w:rPr>
                <w:rFonts w:hint="eastAsia" w:ascii="宋体" w:hAnsi="宋体" w:eastAsia="宋体" w:cs="宋体"/>
                <w:sz w:val="24"/>
                <w:szCs w:val="24"/>
              </w:rPr>
              <w:t>序号</w:t>
            </w:r>
          </w:p>
        </w:tc>
        <w:tc>
          <w:tcPr>
            <w:tcW w:w="8846" w:type="dxa"/>
            <w:tcBorders>
              <w:bottom w:val="nil"/>
            </w:tcBorders>
            <w:vAlign w:val="top"/>
          </w:tcPr>
          <w:p>
            <w:pPr>
              <w:pStyle w:val="22"/>
              <w:rPr>
                <w:rFonts w:hint="eastAsia" w:ascii="宋体" w:hAnsi="宋体" w:eastAsia="宋体" w:cs="宋体"/>
                <w:sz w:val="24"/>
                <w:szCs w:val="24"/>
              </w:rPr>
            </w:pPr>
            <w:r>
              <w:rPr>
                <w:rFonts w:hint="eastAsia" w:ascii="宋体" w:hAnsi="宋体" w:eastAsia="宋体" w:cs="宋体"/>
                <w:sz w:val="24"/>
                <w:szCs w:val="24"/>
              </w:rPr>
              <w:t>功能指标要求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8" w:hRule="atLeast"/>
        </w:trPr>
        <w:tc>
          <w:tcPr>
            <w:tcW w:w="725"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8846"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收集证书应用环境发起的证书更新请求，再统一由管理员批量更新证书并由证书应用环境自动更新证书，证书更新支持移动端和PC端在线和离线更新</w:t>
            </w:r>
            <w:r>
              <w:rPr>
                <w:rFonts w:hint="eastAsia" w:ascii="宋体" w:hAnsi="宋体" w:cs="宋体"/>
                <w:i/>
                <w:iCs/>
                <w:sz w:val="24"/>
                <w:szCs w:val="24"/>
                <w:u w:val="single"/>
                <w:lang w:eastAsia="zh-CN"/>
              </w:rPr>
              <w:t>。</w:t>
            </w:r>
            <w:r>
              <w:rPr>
                <w:rFonts w:hint="eastAsia" w:ascii="宋体" w:hAnsi="宋体" w:cs="宋体"/>
                <w:b w:val="0"/>
                <w:bCs w:val="0"/>
                <w:i/>
                <w:iCs/>
                <w:sz w:val="24"/>
                <w:szCs w:val="24"/>
                <w:u w:val="single"/>
                <w:lang w:eastAsia="zh-CN"/>
              </w:rPr>
              <w:t>（</w:t>
            </w:r>
            <w:r>
              <w:rPr>
                <w:rFonts w:hint="eastAsia" w:ascii="宋体" w:hAnsi="宋体" w:cs="宋体"/>
                <w:b w:val="0"/>
                <w:bCs w:val="0"/>
                <w:i/>
                <w:iCs/>
                <w:sz w:val="24"/>
                <w:szCs w:val="24"/>
                <w:u w:val="single"/>
                <w:lang w:val="en-US" w:eastAsia="zh-CN"/>
              </w:rPr>
              <w:t>须提供产品白皮书</w:t>
            </w:r>
            <w:r>
              <w:rPr>
                <w:rFonts w:hint="eastAsia" w:ascii="宋体" w:hAnsi="宋体" w:cs="宋体"/>
                <w:b w:val="0"/>
                <w:bCs w:val="0"/>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 w:hRule="atLeast"/>
        </w:trPr>
        <w:tc>
          <w:tcPr>
            <w:tcW w:w="725"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8846"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提供证书批量制作功能，支持用户信息的批量导入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25"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8846"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通过统一服务调度，实现CA服务统一输出，实现CA服务的快速对接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25"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8846"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具备密码设备资源统一管理与调度，可按需扩展资源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25"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8846"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可检测密码资源，实现密码硬件和密码服务资源的一体化运维管理</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25"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8846"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对业务系统分权管理，提供独立的接口权限控制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25"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7</w:t>
            </w:r>
          </w:p>
        </w:tc>
        <w:tc>
          <w:tcPr>
            <w:tcW w:w="8846"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提供密码服务分类统计功能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25"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8846"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构建统一的数字证书发放与服务机制，与国家指定的第三方CA机构无缝衔接</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25"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9</w:t>
            </w:r>
          </w:p>
        </w:tc>
        <w:tc>
          <w:tcPr>
            <w:tcW w:w="8846"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提供证书管理、印章可视化功能</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bl>
    <w:p>
      <w:pPr>
        <w:pStyle w:val="5"/>
        <w:numPr>
          <w:ilvl w:val="3"/>
          <w:numId w:val="16"/>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签名验签时间戳服务专用设备</w:t>
      </w:r>
    </w:p>
    <w:tbl>
      <w:tblPr>
        <w:tblStyle w:val="34"/>
        <w:tblW w:w="957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8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8" w:hRule="atLeast"/>
        </w:trPr>
        <w:tc>
          <w:tcPr>
            <w:tcW w:w="923" w:type="dxa"/>
            <w:tcBorders>
              <w:bottom w:val="nil"/>
            </w:tcBorders>
            <w:vAlign w:val="center"/>
          </w:tcPr>
          <w:p>
            <w:pPr>
              <w:pStyle w:val="22"/>
              <w:rPr>
                <w:rFonts w:hint="eastAsia" w:ascii="宋体" w:hAnsi="宋体" w:eastAsia="宋体" w:cs="宋体"/>
                <w:sz w:val="24"/>
                <w:szCs w:val="24"/>
              </w:rPr>
            </w:pPr>
            <w:r>
              <w:rPr>
                <w:rFonts w:hint="eastAsia" w:ascii="宋体" w:hAnsi="宋体" w:eastAsia="宋体" w:cs="宋体"/>
                <w:sz w:val="24"/>
                <w:szCs w:val="24"/>
              </w:rPr>
              <w:t>序号</w:t>
            </w:r>
          </w:p>
        </w:tc>
        <w:tc>
          <w:tcPr>
            <w:tcW w:w="8648" w:type="dxa"/>
            <w:tcBorders>
              <w:bottom w:val="nil"/>
            </w:tcBorders>
            <w:vAlign w:val="top"/>
          </w:tcPr>
          <w:p>
            <w:pPr>
              <w:pStyle w:val="22"/>
              <w:rPr>
                <w:rFonts w:hint="eastAsia" w:ascii="宋体" w:hAnsi="宋体" w:eastAsia="宋体" w:cs="宋体"/>
                <w:sz w:val="24"/>
                <w:szCs w:val="24"/>
              </w:rPr>
            </w:pPr>
            <w:r>
              <w:rPr>
                <w:rFonts w:hint="eastAsia" w:ascii="宋体" w:hAnsi="宋体" w:eastAsia="宋体" w:cs="宋体"/>
                <w:sz w:val="24"/>
                <w:szCs w:val="24"/>
              </w:rPr>
              <w:t>功能指标要求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8" w:hRule="atLeast"/>
        </w:trPr>
        <w:tc>
          <w:tcPr>
            <w:tcW w:w="923"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支持国产SM系列算法；支持身份认证、数据签名、签名验证、数据加密/解密等功能</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1" w:hRule="atLeast"/>
        </w:trPr>
        <w:tc>
          <w:tcPr>
            <w:tcW w:w="923"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2</w:t>
            </w:r>
          </w:p>
        </w:tc>
        <w:tc>
          <w:tcPr>
            <w:tcW w:w="8648" w:type="dxa"/>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支持时间戳签发，验证时间戳，支持NTP协议，支持第三方CA证书，支持4G、北斗卫星授时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 w:hRule="atLeast"/>
        </w:trPr>
        <w:tc>
          <w:tcPr>
            <w:tcW w:w="923"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具有证书管理和验证、数字签名和验证等核心功能，要求符合《信息安全技术签名验签服务器技术规范GB/T 38629 -2020》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923"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支持标准X509 V3数字证书格式，支持签名证书和加密证书的双证书认证体系，提供CRL/OCSP/LDAP等多种方式的证书有效性验证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923"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具有基于WEB形式的图形管理界面，提供完善的配置管理、证书管理、服务管理等功能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923"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支持黑、白名单管理，不允许的IP地址则不能访问，允许的IP才能访问服务器</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923" w:type="dxa"/>
            <w:vAlign w:val="center"/>
          </w:tcPr>
          <w:p>
            <w:pPr>
              <w:pStyle w:val="22"/>
              <w:rPr>
                <w:rFonts w:hint="eastAsia" w:ascii="宋体" w:hAnsi="宋体" w:eastAsia="宋体" w:cs="宋体"/>
                <w:bCs/>
                <w:sz w:val="24"/>
                <w:szCs w:val="24"/>
                <w:lang w:eastAsia="zh-CN"/>
              </w:rPr>
            </w:pPr>
            <w:r>
              <w:rPr>
                <w:rFonts w:hint="eastAsia" w:ascii="宋体" w:hAnsi="宋体" w:cs="宋体"/>
                <w:sz w:val="24"/>
                <w:szCs w:val="24"/>
                <w:lang w:val="en-US" w:eastAsia="zh-CN"/>
              </w:rPr>
              <w:t>7</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支持移动协同场景下的签名验签功能</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923" w:type="dxa"/>
            <w:vAlign w:val="center"/>
          </w:tcPr>
          <w:p>
            <w:pPr>
              <w:pStyle w:val="22"/>
              <w:rPr>
                <w:rFonts w:hint="eastAsia" w:ascii="宋体" w:hAnsi="宋体" w:eastAsia="宋体" w:cs="宋体"/>
                <w:bCs/>
                <w:sz w:val="24"/>
                <w:szCs w:val="24"/>
                <w:lang w:eastAsia="zh-CN"/>
              </w:rPr>
            </w:pPr>
            <w:r>
              <w:rPr>
                <w:rFonts w:hint="eastAsia" w:ascii="宋体" w:hAnsi="宋体" w:cs="宋体"/>
                <w:sz w:val="24"/>
                <w:szCs w:val="24"/>
                <w:lang w:val="en-US" w:eastAsia="zh-CN"/>
              </w:rPr>
              <w:t>8</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提供时间戳的签发和验证功能,支持验证时间戳信息的有效性、签名证书的有效性等内容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923" w:type="dxa"/>
            <w:vAlign w:val="center"/>
          </w:tcPr>
          <w:p>
            <w:pPr>
              <w:pStyle w:val="22"/>
              <w:rPr>
                <w:rFonts w:hint="eastAsia" w:ascii="宋体" w:hAnsi="宋体" w:eastAsia="宋体" w:cs="宋体"/>
                <w:bCs/>
                <w:sz w:val="24"/>
                <w:szCs w:val="24"/>
                <w:lang w:eastAsia="zh-CN"/>
              </w:rPr>
            </w:pPr>
            <w:r>
              <w:rPr>
                <w:rFonts w:hint="eastAsia" w:ascii="宋体" w:hAnsi="宋体" w:cs="宋体"/>
                <w:sz w:val="24"/>
                <w:szCs w:val="24"/>
                <w:lang w:val="en-US" w:eastAsia="zh-CN"/>
              </w:rPr>
              <w:t>9</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提供获取时间戳信息功能，支持获取时间戳的时间、数据信息、消息摘要算法等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923" w:type="dxa"/>
            <w:vAlign w:val="center"/>
          </w:tcPr>
          <w:p>
            <w:pPr>
              <w:pStyle w:val="22"/>
              <w:rPr>
                <w:rFonts w:hint="eastAsia" w:ascii="宋体" w:hAnsi="宋体" w:eastAsia="宋体" w:cs="宋体"/>
                <w:bCs/>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0</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内置权威时间源卡，符合国家授时中心的时间精度标准，时间源卡精度小于1us</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8" w:hRule="atLeast"/>
        </w:trPr>
        <w:tc>
          <w:tcPr>
            <w:tcW w:w="923" w:type="dxa"/>
            <w:vAlign w:val="center"/>
          </w:tcPr>
          <w:p>
            <w:pPr>
              <w:pStyle w:val="22"/>
              <w:rPr>
                <w:rFonts w:hint="eastAsia" w:ascii="宋体" w:hAnsi="宋体" w:eastAsia="宋体" w:cs="宋体"/>
                <w:bCs/>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1</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支持可信时间发布功能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8" w:hRule="atLeast"/>
        </w:trPr>
        <w:tc>
          <w:tcPr>
            <w:tcW w:w="923" w:type="dxa"/>
            <w:vAlign w:val="center"/>
          </w:tcPr>
          <w:p>
            <w:pPr>
              <w:pStyle w:val="22"/>
              <w:rPr>
                <w:rFonts w:hint="eastAsia" w:ascii="宋体" w:hAnsi="宋体" w:eastAsia="宋体" w:cs="宋体"/>
                <w:bCs/>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2</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支持配置时间戳服务器证书，支持第三方CA证书导入、导出、备份和恢复等管理功能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8" w:hRule="atLeast"/>
        </w:trPr>
        <w:tc>
          <w:tcPr>
            <w:tcW w:w="923" w:type="dxa"/>
            <w:vAlign w:val="center"/>
          </w:tcPr>
          <w:p>
            <w:pPr>
              <w:pStyle w:val="22"/>
              <w:rPr>
                <w:rFonts w:hint="eastAsia" w:ascii="宋体" w:hAnsi="宋体" w:eastAsia="宋体" w:cs="宋体"/>
                <w:bCs/>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3</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具有日志审计功能，支持第三方SYSLOG日志服务器</w:t>
            </w:r>
            <w:r>
              <w:rPr>
                <w:rFonts w:hint="eastAsia" w:ascii="宋体" w:hAnsi="宋体" w:cs="宋体"/>
                <w:i/>
                <w:iCs/>
                <w:u w:val="single"/>
                <w:lang w:eastAsia="zh-CN"/>
              </w:rPr>
              <w:t>，</w:t>
            </w:r>
            <w:r>
              <w:rPr>
                <w:rFonts w:hint="eastAsia" w:ascii="宋体" w:hAnsi="宋体" w:cs="宋体"/>
                <w:i/>
                <w:iCs/>
                <w:u w:val="single"/>
                <w:lang w:val="en-US" w:eastAsia="zh-CN"/>
              </w:rPr>
              <w:t>满足6个月日志记录功能。</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8" w:hRule="atLeast"/>
        </w:trPr>
        <w:tc>
          <w:tcPr>
            <w:tcW w:w="923" w:type="dxa"/>
            <w:vAlign w:val="center"/>
          </w:tcPr>
          <w:p>
            <w:pPr>
              <w:pStyle w:val="22"/>
              <w:rPr>
                <w:rFonts w:hint="eastAsia" w:ascii="宋体" w:hAnsi="宋体" w:eastAsia="宋体" w:cs="宋体"/>
                <w:bCs/>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4</w:t>
            </w:r>
          </w:p>
        </w:tc>
        <w:tc>
          <w:tcPr>
            <w:tcW w:w="8648"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支持时间戳归档，支持下载时间戳归档文件</w:t>
            </w:r>
          </w:p>
        </w:tc>
      </w:tr>
    </w:tbl>
    <w:p>
      <w:pPr>
        <w:pStyle w:val="5"/>
        <w:numPr>
          <w:ilvl w:val="3"/>
          <w:numId w:val="16"/>
        </w:numPr>
        <w:ind w:firstLine="482"/>
        <w:rPr>
          <w:rFonts w:hint="eastAsia" w:ascii="宋体" w:hAnsi="宋体" w:eastAsia="宋体" w:cs="宋体"/>
          <w:sz w:val="24"/>
          <w:szCs w:val="24"/>
        </w:rPr>
      </w:pPr>
      <w:r>
        <w:rPr>
          <w:rFonts w:hint="eastAsia" w:ascii="宋体" w:hAnsi="宋体" w:eastAsia="宋体" w:cs="宋体"/>
          <w:sz w:val="24"/>
          <w:szCs w:val="24"/>
        </w:rPr>
        <w:t>软盾密钥协同设备</w:t>
      </w:r>
    </w:p>
    <w:tbl>
      <w:tblPr>
        <w:tblStyle w:val="34"/>
        <w:tblpPr w:leftFromText="180" w:rightFromText="180" w:vertAnchor="text" w:horzAnchor="page" w:tblpX="1883" w:tblpY="325"/>
        <w:tblW w:w="89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7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rPr>
            </w:pPr>
            <w:r>
              <w:rPr>
                <w:rFonts w:hint="eastAsia" w:ascii="宋体" w:hAnsi="宋体" w:eastAsia="宋体" w:cs="宋体"/>
                <w:sz w:val="24"/>
                <w:szCs w:val="24"/>
              </w:rPr>
              <w:t>序号</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rPr>
            </w:pPr>
            <w:r>
              <w:rPr>
                <w:rFonts w:hint="eastAsia" w:ascii="宋体" w:hAnsi="宋体" w:eastAsia="宋体" w:cs="宋体"/>
                <w:sz w:val="24"/>
                <w:szCs w:val="24"/>
              </w:rPr>
              <w:t>功能指标要求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cs="宋体"/>
                <w:i/>
                <w:iCs/>
                <w:highlight w:val="none"/>
                <w:u w:val="single"/>
              </w:rPr>
              <w:t>具有商用密码产品认证证书（</w:t>
            </w:r>
            <w:r>
              <w:rPr>
                <w:rFonts w:hint="eastAsia" w:ascii="宋体" w:hAnsi="宋体" w:cs="宋体"/>
                <w:i/>
                <w:iCs/>
                <w:highlight w:val="none"/>
                <w:u w:val="single"/>
                <w:lang w:val="en-US" w:eastAsia="zh-CN"/>
              </w:rPr>
              <w:t>须</w:t>
            </w:r>
            <w:r>
              <w:rPr>
                <w:rFonts w:hint="eastAsia" w:ascii="宋体" w:hAnsi="宋体" w:cs="宋体"/>
                <w:i/>
                <w:iCs/>
                <w:highlight w:val="none"/>
                <w:u w:val="single"/>
              </w:rPr>
              <w:t>提供</w:t>
            </w:r>
            <w:r>
              <w:rPr>
                <w:rFonts w:hint="eastAsia" w:ascii="宋体" w:hAnsi="宋体" w:cs="宋体"/>
                <w:i/>
                <w:iCs/>
                <w:highlight w:val="none"/>
                <w:u w:val="single"/>
                <w:lang w:val="en-US" w:eastAsia="zh-CN"/>
              </w:rPr>
              <w:t>产品认证证书</w:t>
            </w:r>
            <w:r>
              <w:rPr>
                <w:rFonts w:hint="eastAsia" w:ascii="宋体" w:hAnsi="宋体" w:cs="宋体"/>
                <w:i/>
                <w:iCs/>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rPr>
            </w:pPr>
            <w:r>
              <w:rPr>
                <w:rFonts w:hint="eastAsia" w:ascii="宋体" w:hAnsi="宋体" w:eastAsia="宋体" w:cs="宋体"/>
                <w:sz w:val="24"/>
                <w:szCs w:val="24"/>
              </w:rPr>
              <w:t>2</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通过连接第三方CA，为用户在客户端下发数字证书，证书格式标准遵循X.509 V3标准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提供完整的开发接口，实现应用系统与CA系统的业务对接，可为应用系统提供实时在线的证书申请、发放、更新、废除、状态查询服务</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支持用户在移动端下载个人证书，支持用户在PC端下载个人证书；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为用户提供数字证书全生命周期服务，包括证书的申请、更新服务等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移动端支持APP，且允许SDK集成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7</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支持二维码扫码认证、安全登录认证、签名验签、数据加解密集成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扫码签名：支持用户在移动端使用扫码方式签署业务数据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9</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扫码进行PDF签章和签章验签：对PDF文档进行电子签章；验证PDF签名文档有效性、完整性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0</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设置签名图片：支持用户在移动端设置手写签名图片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3" w:hRule="atLeast"/>
        </w:trPr>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1</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rPr>
            </w:pPr>
            <w:r>
              <w:rPr>
                <w:rFonts w:hint="eastAsia" w:ascii="宋体" w:hAnsi="宋体" w:eastAsia="宋体" w:cs="宋体"/>
                <w:i/>
                <w:iCs/>
                <w:sz w:val="24"/>
                <w:szCs w:val="24"/>
                <w:u w:val="single"/>
              </w:rPr>
              <w:t>支持环境 Android 4.0以上，HarmonyOS 5.0.0</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8" w:hRule="atLeast"/>
        </w:trPr>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default" w:ascii="宋体" w:hAnsi="宋体" w:eastAsia="宋体" w:cs="宋体"/>
                <w:sz w:val="24"/>
                <w:szCs w:val="24"/>
                <w:lang w:val="en-US" w:eastAsia="zh-CN"/>
              </w:rPr>
            </w:pPr>
            <w:r>
              <w:rPr>
                <w:rFonts w:hint="eastAsia" w:ascii="宋体" w:hAnsi="宋体" w:cs="宋体"/>
                <w:sz w:val="24"/>
                <w:szCs w:val="24"/>
                <w:lang w:val="en-US" w:eastAsia="zh-CN"/>
              </w:rPr>
              <w:t>12</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日志审计：提供业务操作日志、管理员操作日志等审计功能</w:t>
            </w:r>
            <w:r>
              <w:rPr>
                <w:rFonts w:hint="eastAsia" w:ascii="宋体" w:hAnsi="宋体" w:cs="宋体"/>
                <w:i/>
                <w:iCs/>
                <w:sz w:val="24"/>
                <w:szCs w:val="24"/>
                <w:u w:val="single"/>
                <w:lang w:eastAsia="zh-CN"/>
              </w:rPr>
              <w:t>，</w:t>
            </w:r>
            <w:r>
              <w:rPr>
                <w:rFonts w:hint="eastAsia" w:ascii="宋体" w:hAnsi="宋体" w:cs="宋体"/>
                <w:i/>
                <w:iCs/>
                <w:sz w:val="24"/>
                <w:szCs w:val="24"/>
                <w:u w:val="single"/>
                <w:lang w:val="en-US" w:eastAsia="zh-CN"/>
              </w:rPr>
              <w:t>满足6个月日志功能。</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8" w:hRule="atLeast"/>
        </w:trPr>
        <w:tc>
          <w:tcPr>
            <w:tcW w:w="996"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3</w:t>
            </w:r>
          </w:p>
        </w:tc>
        <w:tc>
          <w:tcPr>
            <w:tcW w:w="7941" w:type="dxa"/>
            <w:tcBorders>
              <w:top w:val="single" w:color="auto" w:sz="4" w:space="0"/>
              <w:left w:val="single" w:color="auto" w:sz="4" w:space="0"/>
              <w:bottom w:val="single" w:color="auto" w:sz="4" w:space="0"/>
              <w:right w:val="single" w:color="auto" w:sz="4" w:space="0"/>
            </w:tcBorders>
            <w:vAlign w:val="center"/>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为防范安全风险，系统须采用协同密钥产生和管理方式，密钥由客户端和服务端的硬件密码设备中分别产生。客户端的密钥因子应包含手机特征信息、用户签名口令、以及随机因子;服务端的密钥因子应加密后存储在密钥库中</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bl>
    <w:p>
      <w:pPr>
        <w:pStyle w:val="5"/>
        <w:numPr>
          <w:ilvl w:val="3"/>
          <w:numId w:val="16"/>
        </w:numPr>
        <w:ind w:firstLine="482"/>
        <w:rPr>
          <w:rFonts w:hint="eastAsia" w:ascii="宋体" w:hAnsi="宋体" w:eastAsia="宋体" w:cs="宋体"/>
          <w:sz w:val="24"/>
          <w:szCs w:val="24"/>
        </w:rPr>
      </w:pPr>
      <w:r>
        <w:rPr>
          <w:rFonts w:hint="eastAsia" w:ascii="宋体" w:hAnsi="宋体" w:eastAsia="宋体" w:cs="宋体"/>
          <w:sz w:val="24"/>
          <w:szCs w:val="24"/>
        </w:rPr>
        <w:t>电子签章服务器</w:t>
      </w:r>
    </w:p>
    <w:tbl>
      <w:tblPr>
        <w:tblStyle w:val="34"/>
        <w:tblW w:w="8981" w:type="dxa"/>
        <w:jc w:val="center"/>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9"/>
        <w:gridCol w:w="7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359"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序号</w:t>
            </w:r>
          </w:p>
        </w:tc>
        <w:tc>
          <w:tcPr>
            <w:tcW w:w="7622"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功能指标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359"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7622" w:type="dxa"/>
            <w:vAlign w:val="top"/>
          </w:tcPr>
          <w:p>
            <w:pPr>
              <w:pStyle w:val="22"/>
              <w:rPr>
                <w:rFonts w:hint="eastAsia" w:ascii="宋体" w:hAnsi="宋体" w:eastAsia="宋体" w:cs="宋体"/>
                <w:sz w:val="24"/>
                <w:szCs w:val="24"/>
                <w:lang w:eastAsia="zh-CN"/>
              </w:rPr>
            </w:pPr>
            <w:r>
              <w:rPr>
                <w:rFonts w:hint="eastAsia" w:ascii="宋体" w:hAnsi="宋体" w:cs="宋体"/>
                <w:i/>
                <w:iCs/>
                <w:highlight w:val="none"/>
                <w:u w:val="single"/>
              </w:rPr>
              <w:t>产品具有商用密码产品认证证书</w:t>
            </w:r>
            <w:r>
              <w:rPr>
                <w:rFonts w:hint="eastAsia" w:ascii="宋体" w:hAnsi="宋体" w:cs="宋体"/>
                <w:i/>
                <w:iCs/>
                <w:highlight w:val="none"/>
                <w:u w:val="single"/>
                <w:lang w:eastAsia="zh-CN"/>
              </w:rPr>
              <w:t>。</w:t>
            </w:r>
            <w:r>
              <w:rPr>
                <w:rFonts w:hint="eastAsia" w:ascii="宋体" w:hAnsi="宋体" w:cs="宋体"/>
                <w:i/>
                <w:iCs/>
                <w:highlight w:val="none"/>
                <w:u w:val="single"/>
              </w:rPr>
              <w:t>（</w:t>
            </w:r>
            <w:r>
              <w:rPr>
                <w:rFonts w:hint="eastAsia" w:ascii="宋体" w:hAnsi="宋体" w:cs="宋体"/>
                <w:i/>
                <w:iCs/>
                <w:highlight w:val="none"/>
                <w:u w:val="single"/>
                <w:lang w:val="en-US" w:eastAsia="zh-CN"/>
              </w:rPr>
              <w:t>须</w:t>
            </w:r>
            <w:r>
              <w:rPr>
                <w:rFonts w:hint="eastAsia" w:ascii="宋体" w:hAnsi="宋体" w:cs="宋体"/>
                <w:i/>
                <w:iCs/>
                <w:highlight w:val="none"/>
                <w:u w:val="single"/>
              </w:rPr>
              <w:t>提供</w:t>
            </w:r>
            <w:r>
              <w:rPr>
                <w:rFonts w:hint="eastAsia" w:ascii="宋体" w:hAnsi="宋体" w:cs="宋体"/>
                <w:i/>
                <w:iCs/>
                <w:highlight w:val="none"/>
                <w:u w:val="single"/>
                <w:lang w:val="en-US" w:eastAsia="zh-CN"/>
              </w:rPr>
              <w:t>产品认证证书</w:t>
            </w:r>
            <w:r>
              <w:rPr>
                <w:rFonts w:hint="eastAsia" w:ascii="宋体" w:hAnsi="宋体" w:cs="宋体"/>
                <w:i/>
                <w:iCs/>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359"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2</w:t>
            </w:r>
          </w:p>
        </w:tc>
        <w:tc>
          <w:tcPr>
            <w:tcW w:w="762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支持第三方CA机构签发的数字证书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359"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3</w:t>
            </w:r>
          </w:p>
        </w:tc>
        <w:tc>
          <w:tcPr>
            <w:tcW w:w="7622"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提供基于Web界面的电子印章的制作和管理功能，提供日志审计功能</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359"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4</w:t>
            </w:r>
          </w:p>
        </w:tc>
        <w:tc>
          <w:tcPr>
            <w:tcW w:w="7622"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支持电子印章图片写入证书存储介质中，并与证书绑定，且用户在多种终端应用场景下，可对应一个印章</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359"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5</w:t>
            </w:r>
          </w:p>
        </w:tc>
        <w:tc>
          <w:tcPr>
            <w:tcW w:w="762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支持自动生成电子印章图片，或支持采集的手写签名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359"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762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支持电子印章在密钥协同等多种终端场景下的调用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359"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7</w:t>
            </w:r>
          </w:p>
        </w:tc>
        <w:tc>
          <w:tcPr>
            <w:tcW w:w="762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支持在线签章和离线签章</w:t>
            </w:r>
          </w:p>
        </w:tc>
      </w:tr>
    </w:tbl>
    <w:p>
      <w:pPr>
        <w:pStyle w:val="5"/>
        <w:numPr>
          <w:ilvl w:val="3"/>
          <w:numId w:val="16"/>
        </w:numPr>
        <w:ind w:firstLine="482"/>
        <w:rPr>
          <w:rFonts w:hint="eastAsia" w:ascii="宋体" w:hAnsi="宋体" w:eastAsia="宋体" w:cs="宋体"/>
          <w:sz w:val="24"/>
          <w:szCs w:val="24"/>
        </w:rPr>
      </w:pPr>
      <w:r>
        <w:rPr>
          <w:rFonts w:hint="eastAsia" w:ascii="宋体" w:hAnsi="宋体" w:eastAsia="宋体" w:cs="宋体"/>
          <w:sz w:val="24"/>
          <w:szCs w:val="24"/>
        </w:rPr>
        <w:t>数据库加密管理设备</w:t>
      </w:r>
    </w:p>
    <w:tbl>
      <w:tblPr>
        <w:tblStyle w:val="34"/>
        <w:tblW w:w="10176" w:type="dxa"/>
        <w:tblInd w:w="-8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9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8" w:hRule="atLeast"/>
        </w:trPr>
        <w:tc>
          <w:tcPr>
            <w:tcW w:w="704" w:type="dxa"/>
            <w:tcBorders>
              <w:bottom w:val="nil"/>
            </w:tcBorders>
            <w:vAlign w:val="center"/>
          </w:tcPr>
          <w:p>
            <w:pPr>
              <w:pStyle w:val="22"/>
              <w:rPr>
                <w:rFonts w:hint="eastAsia" w:ascii="宋体" w:hAnsi="宋体" w:eastAsia="宋体" w:cs="宋体"/>
                <w:sz w:val="24"/>
                <w:szCs w:val="24"/>
              </w:rPr>
            </w:pPr>
            <w:r>
              <w:rPr>
                <w:rFonts w:hint="eastAsia" w:ascii="宋体" w:hAnsi="宋体" w:eastAsia="宋体" w:cs="宋体"/>
                <w:sz w:val="24"/>
                <w:szCs w:val="24"/>
              </w:rPr>
              <w:t>序号</w:t>
            </w:r>
          </w:p>
        </w:tc>
        <w:tc>
          <w:tcPr>
            <w:tcW w:w="9472" w:type="dxa"/>
            <w:tcBorders>
              <w:bottom w:val="nil"/>
            </w:tcBorders>
            <w:vAlign w:val="top"/>
          </w:tcPr>
          <w:p>
            <w:pPr>
              <w:pStyle w:val="22"/>
              <w:rPr>
                <w:rFonts w:hint="eastAsia" w:ascii="宋体" w:hAnsi="宋体" w:eastAsia="宋体" w:cs="宋体"/>
                <w:sz w:val="24"/>
                <w:szCs w:val="24"/>
              </w:rPr>
            </w:pPr>
            <w:r>
              <w:rPr>
                <w:rFonts w:hint="eastAsia" w:ascii="宋体" w:hAnsi="宋体" w:eastAsia="宋体" w:cs="宋体"/>
                <w:sz w:val="24"/>
                <w:szCs w:val="24"/>
              </w:rPr>
              <w:t>功能指标要求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 w:hRule="atLeast"/>
        </w:trPr>
        <w:tc>
          <w:tcPr>
            <w:tcW w:w="704"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1</w:t>
            </w:r>
          </w:p>
        </w:tc>
        <w:tc>
          <w:tcPr>
            <w:tcW w:w="9472" w:type="dxa"/>
            <w:vAlign w:val="top"/>
          </w:tcPr>
          <w:p>
            <w:pPr>
              <w:pStyle w:val="22"/>
              <w:rPr>
                <w:rFonts w:hint="eastAsia" w:ascii="宋体" w:hAnsi="宋体" w:eastAsia="宋体" w:cs="宋体"/>
                <w:sz w:val="24"/>
                <w:szCs w:val="24"/>
              </w:rPr>
            </w:pPr>
            <w:r>
              <w:rPr>
                <w:rFonts w:hint="eastAsia" w:ascii="宋体" w:hAnsi="宋体" w:cs="宋体"/>
                <w:i/>
                <w:iCs/>
                <w:highlight w:val="none"/>
                <w:u w:val="single"/>
              </w:rPr>
              <w:t>为支持不同的数据库、不同的应用场景需求，要求支持五种数据库加密模式：（1）支持MySQL、MariaDB的内核加密模式，且在内核中支持保留格式加密；（2）支持数据在应用层加密，采用以应用系统集成JDBC加密库的方式实现数据库加密，包括但不限于MySQL、MariaDB、Oracle、PostgreSQL、Informix、DB2、达梦、人大金仓、神通、南大通用等数据库，以及GoldenDB、OceanBase、MongoDB、GuassDB等分布式数据库，适配JDK1.8以上的开发编译环境；（3）支持Oracle、SQLServer、PostgreSQL、达梦、人大金仓、神通、南大通用等数据库的后置扩展列加密模式；（4）支持MySQL、PostgreSQL等数据库的网关透传加密模式；（5）支持大数据透明加密，包括但不限于HDFS、Hive、HBase等大数据组件的透明加密</w:t>
            </w:r>
            <w:r>
              <w:rPr>
                <w:rFonts w:hint="eastAsia" w:ascii="宋体" w:hAnsi="宋体" w:cs="宋体"/>
                <w:i/>
                <w:iCs/>
                <w:highlight w:val="none"/>
                <w:u w:val="single"/>
                <w:lang w:eastAsia="zh-CN"/>
              </w:rPr>
              <w:t>。</w:t>
            </w:r>
            <w:r>
              <w:rPr>
                <w:rFonts w:hint="eastAsia" w:ascii="宋体" w:hAnsi="宋体" w:cs="宋体"/>
                <w:i/>
                <w:iCs/>
                <w:highlight w:val="none"/>
                <w:u w:val="single"/>
              </w:rPr>
              <w:t>（</w:t>
            </w:r>
            <w:r>
              <w:rPr>
                <w:rFonts w:hint="eastAsia" w:ascii="宋体" w:hAnsi="宋体" w:cs="宋体"/>
                <w:i/>
                <w:iCs/>
                <w:highlight w:val="none"/>
                <w:u w:val="single"/>
                <w:lang w:val="en-US" w:eastAsia="zh-CN"/>
              </w:rPr>
              <w:t>须</w:t>
            </w:r>
            <w:r>
              <w:rPr>
                <w:rFonts w:hint="eastAsia" w:ascii="宋体" w:hAnsi="宋体" w:cs="宋体"/>
                <w:i/>
                <w:iCs/>
                <w:highlight w:val="none"/>
                <w:u w:val="single"/>
              </w:rPr>
              <w:t>提供产品互认证书</w:t>
            </w:r>
            <w:r>
              <w:rPr>
                <w:rFonts w:hint="eastAsia" w:ascii="宋体" w:hAnsi="宋体" w:cs="宋体"/>
                <w:i/>
                <w:iCs/>
                <w:highlight w:val="none"/>
                <w:u w:val="single"/>
                <w:lang w:val="en-US" w:eastAsia="zh-CN"/>
              </w:rPr>
              <w:t>或产品白皮书</w:t>
            </w:r>
            <w:r>
              <w:rPr>
                <w:rFonts w:hint="eastAsia" w:ascii="宋体" w:hAnsi="宋体" w:cs="宋体"/>
                <w:i/>
                <w:iCs/>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04"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947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支持业务系统不停机实现敏感数据加密，不停机切换数据库加密状态，数据库加密状态为“原始明文数据”、“加密试运行中”、“加密已上线”三种状态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04" w:type="dxa"/>
            <w:vAlign w:val="center"/>
          </w:tcPr>
          <w:p>
            <w:pPr>
              <w:pStyle w:val="22"/>
              <w:rPr>
                <w:rFonts w:hint="eastAsia" w:ascii="宋体" w:hAnsi="宋体" w:eastAsia="宋体" w:cs="宋体"/>
                <w:bCs/>
                <w:sz w:val="24"/>
                <w:szCs w:val="24"/>
                <w:lang w:eastAsia="zh-CN"/>
              </w:rPr>
            </w:pPr>
            <w:r>
              <w:rPr>
                <w:rFonts w:hint="eastAsia" w:ascii="宋体" w:hAnsi="宋体" w:cs="宋体"/>
                <w:sz w:val="24"/>
                <w:szCs w:val="24"/>
                <w:lang w:val="en-US" w:eastAsia="zh-CN"/>
              </w:rPr>
              <w:t>3</w:t>
            </w:r>
          </w:p>
        </w:tc>
        <w:tc>
          <w:tcPr>
            <w:tcW w:w="9472" w:type="dxa"/>
            <w:vAlign w:val="top"/>
          </w:tcPr>
          <w:p>
            <w:pPr>
              <w:pStyle w:val="22"/>
              <w:rPr>
                <w:rFonts w:hint="eastAsia" w:ascii="宋体" w:hAnsi="宋体" w:eastAsia="宋体" w:cs="宋体"/>
                <w:sz w:val="24"/>
                <w:szCs w:val="24"/>
                <w:lang w:eastAsia="zh-CN"/>
              </w:rPr>
            </w:pPr>
            <w:r>
              <w:rPr>
                <w:rFonts w:hint="eastAsia" w:ascii="宋体" w:hAnsi="宋体" w:cs="宋体"/>
                <w:i/>
                <w:iCs/>
                <w:highlight w:val="none"/>
                <w:u w:val="single"/>
              </w:rPr>
              <w:t>提供由国家版权局颁发的《计算机软件著作权登记证书》</w:t>
            </w:r>
            <w:r>
              <w:rPr>
                <w:rFonts w:hint="eastAsia" w:ascii="宋体" w:hAnsi="宋体" w:cs="宋体"/>
                <w:i/>
                <w:iCs/>
                <w:highlight w:val="none"/>
                <w:u w:val="single"/>
                <w:lang w:eastAsia="zh-CN"/>
              </w:rPr>
              <w:t>。</w:t>
            </w:r>
            <w:r>
              <w:rPr>
                <w:rFonts w:hint="eastAsia" w:ascii="宋体" w:hAnsi="宋体" w:cs="宋体"/>
                <w:i/>
                <w:iCs/>
                <w:highlight w:val="none"/>
                <w:u w:val="single"/>
              </w:rPr>
              <w:t>（</w:t>
            </w:r>
            <w:r>
              <w:rPr>
                <w:rFonts w:hint="eastAsia" w:ascii="宋体" w:hAnsi="宋体" w:cs="宋体"/>
                <w:i/>
                <w:iCs/>
                <w:highlight w:val="none"/>
                <w:u w:val="single"/>
                <w:lang w:val="en-US" w:eastAsia="zh-CN"/>
              </w:rPr>
              <w:t>须</w:t>
            </w:r>
            <w:r>
              <w:rPr>
                <w:rFonts w:hint="eastAsia" w:ascii="宋体" w:hAnsi="宋体" w:cs="宋体"/>
                <w:i/>
                <w:iCs/>
                <w:highlight w:val="none"/>
                <w:u w:val="single"/>
              </w:rPr>
              <w:t>提供</w:t>
            </w:r>
            <w:r>
              <w:rPr>
                <w:rFonts w:hint="eastAsia" w:ascii="宋体" w:hAnsi="宋体" w:cs="宋体"/>
                <w:i/>
                <w:iCs/>
                <w:highlight w:val="none"/>
                <w:u w:val="single"/>
                <w:lang w:val="en-US" w:eastAsia="zh-CN"/>
              </w:rPr>
              <w:t>软件著作权证书</w:t>
            </w:r>
            <w:r>
              <w:rPr>
                <w:rFonts w:hint="eastAsia" w:ascii="宋体" w:hAnsi="宋体" w:cs="宋体"/>
                <w:i/>
                <w:iCs/>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trPr>
        <w:tc>
          <w:tcPr>
            <w:tcW w:w="704" w:type="dxa"/>
            <w:vAlign w:val="center"/>
          </w:tcPr>
          <w:p>
            <w:pPr>
              <w:pStyle w:val="22"/>
              <w:rPr>
                <w:rFonts w:hint="eastAsia" w:ascii="宋体" w:hAnsi="宋体" w:eastAsia="宋体" w:cs="宋体"/>
                <w:bCs/>
                <w:sz w:val="24"/>
                <w:szCs w:val="24"/>
                <w:lang w:eastAsia="zh-CN"/>
              </w:rPr>
            </w:pPr>
            <w:r>
              <w:rPr>
                <w:rFonts w:hint="eastAsia" w:ascii="宋体" w:hAnsi="宋体" w:cs="宋体"/>
                <w:sz w:val="24"/>
                <w:szCs w:val="24"/>
                <w:lang w:val="en-US" w:eastAsia="zh-CN"/>
              </w:rPr>
              <w:t>4</w:t>
            </w:r>
          </w:p>
        </w:tc>
        <w:tc>
          <w:tcPr>
            <w:tcW w:w="947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采用国产密码算法SM4加密</w:t>
            </w:r>
          </w:p>
        </w:tc>
      </w:tr>
    </w:tbl>
    <w:p>
      <w:pPr>
        <w:pStyle w:val="5"/>
        <w:numPr>
          <w:ilvl w:val="3"/>
          <w:numId w:val="16"/>
        </w:numPr>
        <w:ind w:firstLine="482"/>
        <w:rPr>
          <w:rFonts w:hint="eastAsia" w:ascii="宋体" w:hAnsi="宋体" w:eastAsia="宋体" w:cs="宋体"/>
          <w:sz w:val="24"/>
          <w:szCs w:val="24"/>
        </w:rPr>
      </w:pPr>
      <w:r>
        <w:rPr>
          <w:rFonts w:hint="eastAsia" w:ascii="宋体" w:hAnsi="宋体" w:eastAsia="宋体" w:cs="宋体"/>
          <w:sz w:val="24"/>
          <w:szCs w:val="24"/>
        </w:rPr>
        <w:t>患者手写签名服务器</w:t>
      </w:r>
    </w:p>
    <w:tbl>
      <w:tblPr>
        <w:tblStyle w:val="34"/>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7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06"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序号</w:t>
            </w:r>
          </w:p>
        </w:tc>
        <w:tc>
          <w:tcPr>
            <w:tcW w:w="7722"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功能指标要求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06"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1</w:t>
            </w:r>
          </w:p>
        </w:tc>
        <w:tc>
          <w:tcPr>
            <w:tcW w:w="7722" w:type="dxa"/>
            <w:vAlign w:val="top"/>
          </w:tcPr>
          <w:p>
            <w:pPr>
              <w:pStyle w:val="22"/>
              <w:rPr>
                <w:rFonts w:hint="eastAsia" w:ascii="宋体" w:hAnsi="宋体" w:eastAsia="宋体" w:cs="宋体"/>
                <w:sz w:val="24"/>
                <w:szCs w:val="24"/>
                <w:lang w:eastAsia="zh-CN"/>
              </w:rPr>
            </w:pPr>
            <w:r>
              <w:rPr>
                <w:rFonts w:hint="eastAsia" w:ascii="宋体" w:hAnsi="宋体" w:cs="宋体"/>
                <w:i/>
                <w:iCs/>
                <w:highlight w:val="none"/>
                <w:u w:val="single"/>
              </w:rPr>
              <w:t>具有商用密码产品认证证书</w:t>
            </w:r>
            <w:r>
              <w:rPr>
                <w:rFonts w:hint="eastAsia" w:ascii="宋体" w:hAnsi="宋体" w:cs="宋体"/>
                <w:i/>
                <w:iCs/>
                <w:highlight w:val="none"/>
                <w:u w:val="single"/>
                <w:lang w:eastAsia="zh-CN"/>
              </w:rPr>
              <w:t>。</w:t>
            </w:r>
            <w:r>
              <w:rPr>
                <w:rFonts w:hint="eastAsia" w:ascii="宋体" w:hAnsi="宋体" w:cs="宋体"/>
                <w:i/>
                <w:iCs/>
                <w:highlight w:val="none"/>
                <w:u w:val="single"/>
              </w:rPr>
              <w:t>（</w:t>
            </w:r>
            <w:r>
              <w:rPr>
                <w:rFonts w:hint="eastAsia" w:ascii="宋体" w:hAnsi="宋体" w:cs="宋体"/>
                <w:i/>
                <w:iCs/>
                <w:highlight w:val="none"/>
                <w:u w:val="single"/>
                <w:lang w:val="en-US" w:eastAsia="zh-CN"/>
              </w:rPr>
              <w:t>须</w:t>
            </w:r>
            <w:r>
              <w:rPr>
                <w:rFonts w:hint="eastAsia" w:ascii="宋体" w:hAnsi="宋体" w:cs="宋体"/>
                <w:i/>
                <w:iCs/>
                <w:highlight w:val="none"/>
                <w:u w:val="single"/>
              </w:rPr>
              <w:t>提供</w:t>
            </w:r>
            <w:r>
              <w:rPr>
                <w:rFonts w:hint="eastAsia" w:ascii="宋体" w:hAnsi="宋体" w:cs="宋体"/>
                <w:i/>
                <w:iCs/>
                <w:highlight w:val="none"/>
                <w:u w:val="single"/>
                <w:lang w:val="en-US" w:eastAsia="zh-CN"/>
              </w:rPr>
              <w:t>产品认证证书</w:t>
            </w:r>
            <w:r>
              <w:rPr>
                <w:rFonts w:hint="eastAsia" w:ascii="宋体" w:hAnsi="宋体" w:cs="宋体"/>
                <w:i/>
                <w:iCs/>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06"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2</w:t>
            </w:r>
          </w:p>
        </w:tc>
        <w:tc>
          <w:tcPr>
            <w:tcW w:w="772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申请和获取签名数字证书。根据签名业务及签名人鉴证信息，向第三方CA机构证书服务平台申请颁发数字证书，对PDF格式数据进行数字签名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06"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3</w:t>
            </w:r>
          </w:p>
        </w:tc>
        <w:tc>
          <w:tcPr>
            <w:tcW w:w="772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通过手写输入设备，获取签名人手写签字笔迹，作为数字签名可视化展现效果图示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06"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4</w:t>
            </w:r>
          </w:p>
        </w:tc>
        <w:tc>
          <w:tcPr>
            <w:tcW w:w="7722"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通过指纹采集设备，获取签名人指纹，用以标识签名人身份特征，在出现纠纷和责任认定时可用于确认签名人身份。</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06"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772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支持患者通过扫描二维码采集签名笔迹，能够体现用户的手写生物特征，手写签名自动保存到文档中对应的签名区域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06"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772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支持部署方式可扩展，可自由选择物理硬件或虚拟化设备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06"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7</w:t>
            </w:r>
          </w:p>
        </w:tc>
        <w:tc>
          <w:tcPr>
            <w:tcW w:w="7722" w:type="dxa"/>
            <w:vAlign w:val="top"/>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支持移动端微信、浏览器等扫码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06"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7722" w:type="dxa"/>
            <w:vAlign w:val="top"/>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配备10个手写签名板</w:t>
            </w:r>
            <w:r>
              <w:rPr>
                <w:rFonts w:hint="eastAsia" w:ascii="宋体" w:hAnsi="宋体" w:cs="宋体"/>
                <w:i/>
                <w:iCs/>
                <w:sz w:val="24"/>
                <w:szCs w:val="24"/>
                <w:u w:val="single"/>
                <w:lang w:eastAsia="zh-CN"/>
              </w:rPr>
              <w:t>。（</w:t>
            </w:r>
            <w:r>
              <w:rPr>
                <w:rFonts w:hint="eastAsia" w:ascii="宋体" w:hAnsi="宋体" w:cs="宋体"/>
                <w:i/>
                <w:iCs/>
                <w:sz w:val="24"/>
                <w:szCs w:val="24"/>
                <w:u w:val="single"/>
                <w:lang w:val="en-US" w:eastAsia="zh-CN"/>
              </w:rPr>
              <w:t>投标人须提供承诺函</w:t>
            </w:r>
            <w:r>
              <w:rPr>
                <w:rFonts w:hint="eastAsia" w:ascii="宋体" w:hAnsi="宋体" w:cs="宋体"/>
                <w:i/>
                <w:iCs/>
                <w:sz w:val="24"/>
                <w:szCs w:val="24"/>
                <w:u w:val="single"/>
                <w:lang w:eastAsia="zh-CN"/>
              </w:rPr>
              <w:t>）</w:t>
            </w:r>
          </w:p>
        </w:tc>
      </w:tr>
    </w:tbl>
    <w:p>
      <w:pPr>
        <w:pStyle w:val="5"/>
        <w:numPr>
          <w:ilvl w:val="3"/>
          <w:numId w:val="16"/>
        </w:numPr>
        <w:ind w:firstLine="482"/>
        <w:rPr>
          <w:rFonts w:hint="eastAsia" w:ascii="宋体" w:hAnsi="宋体" w:eastAsia="宋体" w:cs="宋体"/>
          <w:sz w:val="24"/>
          <w:szCs w:val="24"/>
        </w:rPr>
      </w:pPr>
      <w:r>
        <w:rPr>
          <w:rFonts w:hint="eastAsia" w:ascii="宋体" w:hAnsi="宋体" w:eastAsia="宋体" w:cs="宋体"/>
          <w:sz w:val="24"/>
          <w:szCs w:val="24"/>
        </w:rPr>
        <w:t>个人证书</w:t>
      </w:r>
    </w:p>
    <w:tbl>
      <w:tblPr>
        <w:tblStyle w:val="34"/>
        <w:tblW w:w="83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7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序号</w:t>
            </w:r>
          </w:p>
        </w:tc>
        <w:tc>
          <w:tcPr>
            <w:tcW w:w="7552" w:type="dxa"/>
            <w:vAlign w:val="center"/>
          </w:tcPr>
          <w:p>
            <w:pPr>
              <w:pStyle w:val="22"/>
              <w:rPr>
                <w:rFonts w:hint="eastAsia" w:ascii="宋体" w:hAnsi="宋体" w:eastAsia="宋体" w:cs="宋体"/>
                <w:sz w:val="24"/>
                <w:szCs w:val="24"/>
              </w:rPr>
            </w:pPr>
            <w:r>
              <w:rPr>
                <w:rFonts w:hint="eastAsia" w:ascii="宋体" w:hAnsi="宋体" w:eastAsia="宋体" w:cs="宋体"/>
                <w:sz w:val="24"/>
                <w:szCs w:val="24"/>
              </w:rPr>
              <w:t>功能指标要求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Align w:val="center"/>
          </w:tcPr>
          <w:p>
            <w:pPr>
              <w:pStyle w:val="22"/>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7552" w:type="dxa"/>
            <w:vAlign w:val="center"/>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200张/年*5年(建设期2年+维护期3年)身份标识</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7552" w:type="dxa"/>
            <w:vAlign w:val="center"/>
          </w:tcPr>
          <w:p>
            <w:pPr>
              <w:pStyle w:val="22"/>
              <w:rPr>
                <w:rFonts w:hint="default" w:ascii="宋体" w:hAnsi="宋体" w:eastAsia="宋体" w:cs="宋体"/>
                <w:sz w:val="24"/>
                <w:szCs w:val="24"/>
                <w:lang w:val="en-US" w:eastAsia="zh-CN"/>
              </w:rPr>
            </w:pPr>
            <w:r>
              <w:rPr>
                <w:rFonts w:hint="eastAsia" w:ascii="宋体" w:hAnsi="宋体" w:eastAsia="宋体" w:cs="宋体"/>
                <w:i/>
                <w:iCs/>
                <w:sz w:val="24"/>
                <w:szCs w:val="24"/>
                <w:u w:val="single"/>
                <w:lang w:eastAsia="zh-CN"/>
              </w:rPr>
              <w:t>支持存放介质：智能USBKEY、蓝牙KEY、SDKEY及移动端终端安全存储</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8" w:type="dxa"/>
            <w:vAlign w:val="center"/>
          </w:tcPr>
          <w:p>
            <w:pPr>
              <w:pStyle w:val="22"/>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7552" w:type="dxa"/>
            <w:vAlign w:val="center"/>
          </w:tcPr>
          <w:p>
            <w:pPr>
              <w:pStyle w:val="22"/>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实现跨浏览器支持，支持现有主流浏览器，包括Internet Explorer、Firefox、Chrome等以满足未来多终端平台的证书应用。支持手机盾和PC软盾证书可以相互授权操作，实现一张证书在多终端使用。</w:t>
            </w:r>
            <w:r>
              <w:rPr>
                <w:rFonts w:hint="eastAsia" w:ascii="宋体" w:hAnsi="宋体" w:cs="宋体"/>
                <w:i/>
                <w:iCs/>
                <w:sz w:val="24"/>
                <w:szCs w:val="24"/>
                <w:u w:val="single"/>
                <w:lang w:eastAsia="zh-CN"/>
              </w:rPr>
              <w:t>（</w:t>
            </w:r>
            <w:r>
              <w:rPr>
                <w:rFonts w:hint="eastAsia" w:ascii="宋体" w:hAnsi="宋体" w:cs="宋体"/>
                <w:i/>
                <w:iCs/>
                <w:u w:val="single"/>
              </w:rPr>
              <w:t>须提供产品白皮书</w:t>
            </w:r>
            <w:r>
              <w:rPr>
                <w:rFonts w:hint="eastAsia" w:ascii="宋体" w:hAnsi="宋体" w:cs="宋体"/>
                <w:i/>
                <w:iCs/>
                <w:sz w:val="24"/>
                <w:szCs w:val="24"/>
                <w:u w:val="single"/>
                <w:lang w:eastAsia="zh-CN"/>
              </w:rPr>
              <w:t>）</w:t>
            </w:r>
          </w:p>
        </w:tc>
      </w:tr>
    </w:tbl>
    <w:p>
      <w:pPr>
        <w:pStyle w:val="5"/>
        <w:numPr>
          <w:ilvl w:val="3"/>
          <w:numId w:val="16"/>
        </w:numPr>
        <w:ind w:firstLine="482"/>
        <w:rPr>
          <w:rFonts w:hint="eastAsia" w:ascii="宋体" w:hAnsi="宋体" w:eastAsia="宋体" w:cs="宋体"/>
          <w:sz w:val="24"/>
          <w:szCs w:val="24"/>
          <w:lang w:eastAsia="zh-CN"/>
        </w:rPr>
      </w:pPr>
      <w:r>
        <w:rPr>
          <w:rFonts w:hint="eastAsia" w:ascii="宋体" w:hAnsi="宋体" w:eastAsia="宋体" w:cs="宋体"/>
          <w:sz w:val="24"/>
          <w:szCs w:val="24"/>
          <w:lang w:eastAsia="zh-CN"/>
        </w:rPr>
        <w:t>服务器证书</w:t>
      </w:r>
    </w:p>
    <w:p>
      <w:pPr>
        <w:ind w:firstLine="480"/>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每台设备需匹配1张服务器数字证书，标识身份5张/年*5年。</w:t>
      </w:r>
    </w:p>
    <w:p>
      <w:pPr>
        <w:ind w:firstLine="480"/>
        <w:rPr>
          <w:rFonts w:hint="eastAsia" w:ascii="宋体" w:hAnsi="宋体" w:cs="宋体"/>
          <w:i/>
          <w:iCs/>
          <w:sz w:val="24"/>
          <w:szCs w:val="24"/>
          <w:u w:val="single"/>
          <w:lang w:val="en-US" w:eastAsia="zh-CN"/>
        </w:rPr>
      </w:pPr>
      <w:r>
        <w:rPr>
          <w:rFonts w:hint="eastAsia" w:ascii="宋体" w:hAnsi="宋体" w:cs="宋体"/>
          <w:i/>
          <w:iCs/>
          <w:sz w:val="24"/>
          <w:szCs w:val="24"/>
          <w:u w:val="single"/>
          <w:lang w:val="en-US" w:eastAsia="zh-CN"/>
        </w:rPr>
        <w:t>每台设备均满足国家商用密码应用安全性评估要求；</w:t>
      </w:r>
    </w:p>
    <w:p>
      <w:pPr>
        <w:ind w:firstLine="480"/>
        <w:rPr>
          <w:rFonts w:hint="eastAsia" w:ascii="宋体" w:hAnsi="宋体" w:cs="宋体"/>
          <w:i/>
          <w:iCs/>
          <w:sz w:val="24"/>
          <w:szCs w:val="24"/>
          <w:u w:val="single"/>
          <w:lang w:val="en-US" w:eastAsia="zh-CN"/>
        </w:rPr>
      </w:pPr>
      <w:r>
        <w:rPr>
          <w:rFonts w:hint="eastAsia" w:ascii="宋体" w:hAnsi="宋体" w:cs="宋体"/>
          <w:i/>
          <w:iCs/>
          <w:sz w:val="24"/>
          <w:szCs w:val="24"/>
          <w:u w:val="single"/>
          <w:lang w:val="en-US" w:eastAsia="zh-CN"/>
        </w:rPr>
        <w:t>每台设备均能满足国家国产化要求。</w:t>
      </w:r>
    </w:p>
    <w:p>
      <w:pPr>
        <w:ind w:firstLine="480"/>
        <w:rPr>
          <w:rFonts w:hint="default" w:ascii="宋体" w:hAnsi="宋体" w:cs="宋体"/>
          <w:i/>
          <w:iCs/>
          <w:sz w:val="24"/>
          <w:szCs w:val="24"/>
          <w:u w:val="single"/>
          <w:lang w:val="en-US" w:eastAsia="zh-CN"/>
        </w:rPr>
      </w:pPr>
      <w:r>
        <w:rPr>
          <w:rFonts w:hint="eastAsia" w:ascii="宋体" w:hAnsi="宋体" w:cs="宋体"/>
          <w:i/>
          <w:iCs/>
          <w:sz w:val="24"/>
          <w:szCs w:val="24"/>
          <w:u w:val="single"/>
          <w:lang w:val="en-US" w:eastAsia="zh-CN"/>
        </w:rPr>
        <w:t>（投标人须提供承诺函）</w:t>
      </w:r>
    </w:p>
    <w:p>
      <w:pPr>
        <w:pStyle w:val="4"/>
        <w:numPr>
          <w:ilvl w:val="2"/>
          <w:numId w:val="16"/>
        </w:numPr>
        <w:rPr>
          <w:rFonts w:hint="eastAsia" w:ascii="宋体" w:hAnsi="宋体" w:eastAsia="宋体" w:cs="宋体"/>
          <w:sz w:val="24"/>
          <w:szCs w:val="24"/>
        </w:rPr>
      </w:pPr>
      <w:r>
        <w:rPr>
          <w:rFonts w:hint="eastAsia" w:ascii="宋体" w:hAnsi="宋体" w:eastAsia="宋体" w:cs="宋体"/>
          <w:sz w:val="24"/>
          <w:szCs w:val="24"/>
        </w:rPr>
        <w:t>评级服务</w:t>
      </w:r>
    </w:p>
    <w:p>
      <w:pPr>
        <w:pStyle w:val="296"/>
        <w:ind w:firstLine="480"/>
        <w:rPr>
          <w:rFonts w:hint="eastAsia" w:ascii="宋体" w:hAnsi="宋体" w:eastAsia="宋体" w:cs="宋体"/>
          <w:sz w:val="24"/>
          <w:szCs w:val="24"/>
        </w:rPr>
      </w:pPr>
      <w:r>
        <w:rPr>
          <w:rFonts w:hint="eastAsia" w:ascii="宋体" w:hAnsi="宋体" w:eastAsia="宋体" w:cs="宋体"/>
          <w:sz w:val="24"/>
          <w:szCs w:val="24"/>
        </w:rPr>
        <w:t>为了保障电子病历评级六级工作有序及规范的开展，结合评级标准及过程的理解、评级优秀项目案例的建设经验，为评级项目提供评级整体的指导服务。</w:t>
      </w:r>
    </w:p>
    <w:p>
      <w:pPr>
        <w:pStyle w:val="3"/>
        <w:numPr>
          <w:ilvl w:val="1"/>
          <w:numId w:val="16"/>
        </w:numPr>
        <w:rPr>
          <w:rFonts w:hint="eastAsia" w:ascii="宋体" w:hAnsi="宋体" w:eastAsia="宋体" w:cs="宋体"/>
          <w:sz w:val="24"/>
          <w:szCs w:val="24"/>
        </w:rPr>
      </w:pPr>
      <w:r>
        <w:rPr>
          <w:rFonts w:hint="eastAsia" w:ascii="宋体" w:hAnsi="宋体" w:eastAsia="宋体" w:cs="宋体"/>
          <w:sz w:val="24"/>
          <w:szCs w:val="24"/>
        </w:rPr>
        <w:t>其他技术要求</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本次项目系</w:t>
      </w:r>
      <w:r>
        <w:rPr>
          <w:rFonts w:hint="eastAsia" w:ascii="宋体" w:hAnsi="宋体" w:eastAsia="宋体" w:cs="宋体"/>
          <w:sz w:val="24"/>
          <w:szCs w:val="24"/>
          <w:lang w:val="en-US" w:eastAsia="zh-CN"/>
        </w:rPr>
        <w:t>采购人医院</w:t>
      </w:r>
      <w:r>
        <w:rPr>
          <w:rFonts w:hint="eastAsia" w:ascii="宋体" w:hAnsi="宋体" w:eastAsia="宋体" w:cs="宋体"/>
          <w:sz w:val="24"/>
          <w:szCs w:val="24"/>
          <w:lang w:eastAsia="zh-CN"/>
        </w:rPr>
        <w:t>升级改造项目，投标人须在充分理解采购人医院现有系统架构、业务逻辑及数据规范的基础上，完成系统的全面改造升级建设。</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1.系统功能无缝移植与优化</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中标人须确保将采购人现有系统所有版本的功能模块，以及已实施的各项个性化定制需求，完整、准确地迁移至新版本系统中。在移植过程中，应对原有功能进行验证与优化，确保其在新环境中稳定、高效运行，并实现业务操作的平滑过渡。</w:t>
      </w:r>
    </w:p>
    <w:p>
      <w:pPr>
        <w:ind w:firstLine="480"/>
        <w:rPr>
          <w:rFonts w:hint="eastAsia" w:ascii="宋体" w:hAnsi="宋体" w:eastAsia="宋体" w:cs="宋体"/>
          <w:b w:val="0"/>
          <w:bCs w:val="0"/>
          <w:i/>
          <w:sz w:val="24"/>
          <w:szCs w:val="24"/>
          <w:u w:val="single"/>
          <w:lang w:eastAsia="zh-CN"/>
        </w:rPr>
      </w:pPr>
      <w:r>
        <w:rPr>
          <w:rFonts w:hint="eastAsia" w:ascii="宋体" w:hAnsi="宋体" w:eastAsia="宋体" w:cs="宋体"/>
          <w:b w:val="0"/>
          <w:bCs w:val="0"/>
          <w:i/>
          <w:sz w:val="24"/>
          <w:szCs w:val="24"/>
          <w:u w:val="single"/>
          <w:lang w:eastAsia="zh-CN"/>
        </w:rPr>
        <w:t>投标人</w:t>
      </w:r>
      <w:r>
        <w:rPr>
          <w:rFonts w:hint="eastAsia" w:ascii="宋体" w:hAnsi="宋体" w:eastAsia="宋体" w:cs="宋体"/>
          <w:b w:val="0"/>
          <w:bCs w:val="0"/>
          <w:i/>
          <w:sz w:val="24"/>
          <w:szCs w:val="24"/>
          <w:u w:val="single"/>
          <w:lang w:val="en-US" w:eastAsia="zh-CN"/>
        </w:rPr>
        <w:t>须</w:t>
      </w:r>
      <w:r>
        <w:rPr>
          <w:rFonts w:hint="eastAsia" w:ascii="宋体" w:hAnsi="宋体" w:eastAsia="宋体" w:cs="宋体"/>
          <w:b w:val="0"/>
          <w:bCs w:val="0"/>
          <w:i/>
          <w:sz w:val="24"/>
          <w:szCs w:val="24"/>
          <w:u w:val="single"/>
          <w:lang w:eastAsia="zh-CN"/>
        </w:rPr>
        <w:t>承诺本次项目所升级系统功能需完全覆盖并满足</w:t>
      </w:r>
      <w:r>
        <w:rPr>
          <w:rFonts w:hint="eastAsia" w:ascii="宋体" w:hAnsi="宋体" w:eastAsia="宋体" w:cs="宋体"/>
          <w:b w:val="0"/>
          <w:bCs w:val="0"/>
          <w:i/>
          <w:sz w:val="24"/>
          <w:szCs w:val="24"/>
          <w:u w:val="single"/>
          <w:lang w:val="en-US" w:eastAsia="zh-CN"/>
        </w:rPr>
        <w:t>采购人</w:t>
      </w:r>
      <w:r>
        <w:rPr>
          <w:rFonts w:hint="eastAsia" w:ascii="宋体" w:hAnsi="宋体" w:eastAsia="宋体" w:cs="宋体"/>
          <w:b w:val="0"/>
          <w:bCs w:val="0"/>
          <w:i/>
          <w:sz w:val="24"/>
          <w:szCs w:val="24"/>
          <w:u w:val="single"/>
          <w:lang w:eastAsia="zh-CN"/>
        </w:rPr>
        <w:t>目前在行系统功能要求，需保障</w:t>
      </w:r>
      <w:r>
        <w:rPr>
          <w:rFonts w:hint="eastAsia" w:ascii="宋体" w:hAnsi="宋体" w:eastAsia="宋体" w:cs="宋体"/>
          <w:b w:val="0"/>
          <w:bCs w:val="0"/>
          <w:i/>
          <w:sz w:val="24"/>
          <w:szCs w:val="24"/>
          <w:u w:val="single"/>
          <w:lang w:val="en-US" w:eastAsia="zh-CN"/>
        </w:rPr>
        <w:t>采购人</w:t>
      </w:r>
      <w:r>
        <w:rPr>
          <w:rFonts w:hint="eastAsia" w:ascii="宋体" w:hAnsi="宋体" w:eastAsia="宋体" w:cs="宋体"/>
          <w:b w:val="0"/>
          <w:bCs w:val="0"/>
          <w:i/>
          <w:sz w:val="24"/>
          <w:szCs w:val="24"/>
          <w:u w:val="single"/>
          <w:lang w:eastAsia="zh-CN"/>
        </w:rPr>
        <w:t>用户操作习惯一致性（投标人</w:t>
      </w:r>
      <w:r>
        <w:rPr>
          <w:rFonts w:hint="eastAsia" w:ascii="宋体" w:hAnsi="宋体" w:eastAsia="宋体" w:cs="宋体"/>
          <w:b w:val="0"/>
          <w:bCs w:val="0"/>
          <w:i/>
          <w:sz w:val="24"/>
          <w:szCs w:val="24"/>
          <w:u w:val="single"/>
          <w:lang w:val="en-US" w:eastAsia="zh-CN"/>
        </w:rPr>
        <w:t>须</w:t>
      </w:r>
      <w:r>
        <w:rPr>
          <w:rFonts w:hint="eastAsia" w:ascii="宋体" w:hAnsi="宋体" w:eastAsia="宋体" w:cs="宋体"/>
          <w:b w:val="0"/>
          <w:bCs w:val="0"/>
          <w:i/>
          <w:sz w:val="24"/>
          <w:szCs w:val="24"/>
          <w:u w:val="single"/>
          <w:lang w:eastAsia="zh-CN"/>
        </w:rPr>
        <w:t>提供承诺函）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2.数据库迁移与业务连续性保障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中标人须负责将采购人现有数据库中的全部历史数据与业务数据，安全、准确地迁移至新版本数据库，确保数据的完整性、一致性与安全性，整个迁移过程应最大限度地减少对业务运行的影响，保障核心业务的连续性与数据的无缝衔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 第三方系统联动改造</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合同生效至核心系统（指HIS和EMR）上线一个月内，采购人所涉及的业务系统接口改造中标人不再另外收费。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w:t>
      </w:r>
      <w:r>
        <w:rPr>
          <w:rFonts w:hint="eastAsia" w:ascii="宋体" w:hAnsi="宋体" w:cs="宋体"/>
          <w:sz w:val="24"/>
          <w:szCs w:val="24"/>
          <w:lang w:val="en-US" w:eastAsia="zh-CN"/>
        </w:rPr>
        <w:t>国产化</w:t>
      </w:r>
      <w:r>
        <w:rPr>
          <w:rFonts w:hint="eastAsia" w:ascii="宋体" w:hAnsi="宋体" w:eastAsia="宋体" w:cs="宋体"/>
          <w:sz w:val="24"/>
          <w:szCs w:val="24"/>
          <w:lang w:eastAsia="zh-CN"/>
        </w:rPr>
        <w:t>适配服务承诺</w:t>
      </w:r>
    </w:p>
    <w:p>
      <w:pPr>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为响应国家信息技术应用创新战略，如因政策或采购人要求，中标人须配合采购人做数据库及服务器适配服务。（投标人须提供承诺函）</w:t>
      </w:r>
    </w:p>
    <w:p>
      <w:pPr>
        <w:pStyle w:val="2"/>
        <w:numPr>
          <w:ilvl w:val="0"/>
          <w:numId w:val="16"/>
        </w:numPr>
        <w:rPr>
          <w:rFonts w:hint="eastAsia" w:ascii="宋体" w:hAnsi="宋体" w:eastAsia="宋体" w:cs="宋体"/>
          <w:b/>
          <w:bCs/>
          <w:sz w:val="24"/>
          <w:szCs w:val="24"/>
        </w:rPr>
      </w:pPr>
      <w:r>
        <w:rPr>
          <w:rFonts w:hint="eastAsia" w:ascii="宋体" w:hAnsi="宋体" w:eastAsia="宋体" w:cs="宋体"/>
          <w:b/>
          <w:bCs/>
          <w:sz w:val="24"/>
          <w:szCs w:val="24"/>
        </w:rPr>
        <w:t>商务要求</w:t>
      </w:r>
    </w:p>
    <w:p>
      <w:pPr>
        <w:pStyle w:val="3"/>
        <w:numPr>
          <w:ilvl w:val="1"/>
          <w:numId w:val="16"/>
        </w:numPr>
        <w:rPr>
          <w:rFonts w:hint="eastAsia" w:ascii="宋体" w:hAnsi="宋体" w:eastAsia="宋体" w:cs="宋体"/>
          <w:sz w:val="24"/>
          <w:szCs w:val="24"/>
        </w:rPr>
      </w:pPr>
      <w:r>
        <w:rPr>
          <w:rFonts w:hint="eastAsia" w:ascii="宋体" w:hAnsi="宋体" w:eastAsia="宋体" w:cs="宋体"/>
          <w:sz w:val="24"/>
          <w:szCs w:val="24"/>
        </w:rPr>
        <w:t>项目实施服务</w:t>
      </w:r>
      <w:r>
        <w:rPr>
          <w:rFonts w:hint="eastAsia" w:eastAsia="宋体" w:cs="宋体"/>
          <w:sz w:val="24"/>
          <w:szCs w:val="24"/>
          <w:lang w:val="en-US" w:eastAsia="zh-CN"/>
        </w:rPr>
        <w:t>要求</w:t>
      </w:r>
    </w:p>
    <w:p>
      <w:pPr>
        <w:ind w:firstLine="480"/>
        <w:rPr>
          <w:rFonts w:hint="eastAsia" w:ascii="宋体" w:hAnsi="宋体" w:eastAsia="宋体" w:cs="宋体"/>
          <w:sz w:val="24"/>
          <w:szCs w:val="24"/>
          <w:lang w:val="zh-CN" w:eastAsia="zh-CN"/>
        </w:rPr>
      </w:pPr>
      <w:r>
        <w:rPr>
          <w:rFonts w:hint="eastAsia" w:ascii="宋体" w:hAnsi="宋体" w:eastAsia="宋体" w:cs="宋体"/>
          <w:sz w:val="24"/>
          <w:szCs w:val="24"/>
          <w:lang w:eastAsia="zh-CN"/>
        </w:rPr>
        <w:t>投</w:t>
      </w:r>
      <w:r>
        <w:rPr>
          <w:rFonts w:hint="eastAsia" w:ascii="宋体" w:hAnsi="宋体" w:eastAsia="宋体" w:cs="宋体"/>
          <w:sz w:val="24"/>
          <w:szCs w:val="24"/>
          <w:lang w:val="zh-CN" w:eastAsia="zh-CN"/>
        </w:rPr>
        <w:t>标人对系统建设要求提供软件实施方案，综合考虑实施方案可行性、详细、完整，根据招标要求视方案制作情况综合评审，软件实施方案需包含项目管理、项目进度管理，项目组织管理，项目风险管理。</w:t>
      </w:r>
    </w:p>
    <w:p>
      <w:pPr>
        <w:ind w:firstLine="48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 项目管理：投标人应负责在项目验收时将系统的全部有关技术文件、资料、及安装、测试、验收报告等文档汇集成册交付用户方。</w:t>
      </w:r>
    </w:p>
    <w:p>
      <w:pPr>
        <w:ind w:firstLine="48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 实施进度管理：项目建设周期1年。</w:t>
      </w:r>
    </w:p>
    <w:p>
      <w:pPr>
        <w:ind w:firstLine="48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3. 项目组织管理：实施期间要求项目工作组成员构成稳定，在双方合同期内，未经采购人书面同意，不得进行人员变更。成立针对本项目的项目工作组，成员包括：</w:t>
      </w:r>
    </w:p>
    <w:p>
      <w:pPr>
        <w:ind w:firstLine="48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项目经理1名：有三甲医院项目管理经验，有</w:t>
      </w:r>
      <w:r>
        <w:rPr>
          <w:rFonts w:hint="eastAsia" w:ascii="宋体" w:hAnsi="宋体" w:cs="宋体"/>
          <w:sz w:val="24"/>
          <w:szCs w:val="24"/>
          <w:lang w:val="en-US" w:eastAsia="zh-CN"/>
        </w:rPr>
        <w:t>通过</w:t>
      </w:r>
      <w:r>
        <w:rPr>
          <w:rFonts w:hint="eastAsia" w:ascii="宋体" w:hAnsi="宋体" w:eastAsia="宋体" w:cs="宋体"/>
          <w:sz w:val="24"/>
          <w:szCs w:val="24"/>
          <w:lang w:val="zh-CN" w:eastAsia="zh-CN"/>
        </w:rPr>
        <w:t>国家电子病历六级及以上</w:t>
      </w:r>
      <w:r>
        <w:rPr>
          <w:rFonts w:hint="eastAsia" w:ascii="宋体" w:hAnsi="宋体" w:cs="宋体"/>
          <w:sz w:val="24"/>
          <w:szCs w:val="24"/>
          <w:lang w:val="en-US" w:eastAsia="zh-CN"/>
        </w:rPr>
        <w:t>项目</w:t>
      </w:r>
      <w:r>
        <w:rPr>
          <w:rFonts w:hint="eastAsia" w:ascii="宋体" w:hAnsi="宋体" w:eastAsia="宋体" w:cs="宋体"/>
          <w:sz w:val="24"/>
          <w:szCs w:val="24"/>
          <w:lang w:val="zh-CN" w:eastAsia="zh-CN"/>
        </w:rPr>
        <w:t>经验；</w:t>
      </w:r>
    </w:p>
    <w:p>
      <w:pPr>
        <w:ind w:firstLine="48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项目技术负责人1名，负责本项目管理、系统架构设计和分析工作，要求具有在多种平台上开发的应用管理和系统分析经验，可以代表中标</w:t>
      </w:r>
      <w:r>
        <w:rPr>
          <w:rFonts w:hint="eastAsia" w:ascii="宋体" w:hAnsi="宋体" w:eastAsia="宋体" w:cs="宋体"/>
          <w:sz w:val="24"/>
          <w:szCs w:val="24"/>
          <w:lang w:val="en-US" w:eastAsia="zh-CN"/>
        </w:rPr>
        <w:t>人</w:t>
      </w:r>
      <w:r>
        <w:rPr>
          <w:rFonts w:hint="eastAsia" w:ascii="宋体" w:hAnsi="宋体" w:eastAsia="宋体" w:cs="宋体"/>
          <w:sz w:val="24"/>
          <w:szCs w:val="24"/>
          <w:lang w:val="zh-CN" w:eastAsia="zh-CN"/>
        </w:rPr>
        <w:t>执行各项技术工作；</w:t>
      </w:r>
    </w:p>
    <w:p>
      <w:pPr>
        <w:ind w:firstLine="48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项目实施人员不少于4名：要求熟悉系统规划与管理，熟悉信息安全、保障项目实施过程中的安全管理，具有大数据分析能力；</w:t>
      </w:r>
    </w:p>
    <w:p>
      <w:pPr>
        <w:ind w:firstLine="48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在项目实施和维保阶段，未经采购人同意</w:t>
      </w:r>
      <w:r>
        <w:rPr>
          <w:rFonts w:hint="eastAsia" w:ascii="宋体" w:hAnsi="宋体" w:eastAsia="宋体" w:cs="宋体"/>
          <w:sz w:val="24"/>
          <w:szCs w:val="24"/>
          <w:lang w:val="en-US" w:eastAsia="zh-CN"/>
        </w:rPr>
        <w:t>中标人</w:t>
      </w:r>
      <w:r>
        <w:rPr>
          <w:rFonts w:hint="eastAsia" w:ascii="宋体" w:hAnsi="宋体" w:eastAsia="宋体" w:cs="宋体"/>
          <w:sz w:val="24"/>
          <w:szCs w:val="24"/>
          <w:lang w:val="zh-CN" w:eastAsia="zh-CN"/>
        </w:rPr>
        <w:t>不得随意调换服务人员，采购人可根据人员服务情况，要求中标</w:t>
      </w:r>
      <w:r>
        <w:rPr>
          <w:rFonts w:hint="eastAsia" w:ascii="宋体" w:hAnsi="宋体" w:eastAsia="宋体" w:cs="宋体"/>
          <w:sz w:val="24"/>
          <w:szCs w:val="24"/>
          <w:lang w:val="en-US" w:eastAsia="zh-CN"/>
        </w:rPr>
        <w:t>人</w:t>
      </w:r>
      <w:r>
        <w:rPr>
          <w:rFonts w:hint="eastAsia" w:ascii="宋体" w:hAnsi="宋体" w:eastAsia="宋体" w:cs="宋体"/>
          <w:sz w:val="24"/>
          <w:szCs w:val="24"/>
          <w:lang w:val="zh-CN" w:eastAsia="zh-CN"/>
        </w:rPr>
        <w:t>更换项目经理和实施人员。</w:t>
      </w:r>
    </w:p>
    <w:p>
      <w:pPr>
        <w:ind w:firstLine="48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4.项目风险管理：投标人应具有完善的质量管理和控制体系。对本项目的风险预见以及风险规避有系统的解决方案，对项目进行中的突发事件有紧急的预案。</w:t>
      </w:r>
    </w:p>
    <w:p>
      <w:pPr>
        <w:pStyle w:val="3"/>
        <w:numPr>
          <w:ilvl w:val="1"/>
          <w:numId w:val="16"/>
        </w:numPr>
        <w:rPr>
          <w:rFonts w:hint="eastAsia" w:ascii="宋体" w:hAnsi="宋体" w:eastAsia="宋体" w:cs="宋体"/>
          <w:sz w:val="24"/>
          <w:szCs w:val="24"/>
          <w:lang w:eastAsia="zh-CN"/>
        </w:rPr>
      </w:pPr>
      <w:r>
        <w:rPr>
          <w:rFonts w:hint="eastAsia" w:ascii="宋体" w:hAnsi="宋体" w:eastAsia="宋体" w:cs="宋体"/>
          <w:sz w:val="24"/>
          <w:szCs w:val="24"/>
          <w:lang w:eastAsia="zh-CN"/>
        </w:rPr>
        <w:t>项目</w:t>
      </w:r>
      <w:r>
        <w:rPr>
          <w:rFonts w:hint="eastAsia" w:ascii="宋体" w:hAnsi="宋体" w:eastAsia="宋体" w:cs="宋体"/>
          <w:sz w:val="24"/>
          <w:szCs w:val="24"/>
        </w:rPr>
        <w:t>售后</w:t>
      </w:r>
      <w:r>
        <w:rPr>
          <w:rFonts w:hint="eastAsia" w:eastAsia="宋体" w:cs="宋体"/>
          <w:sz w:val="24"/>
          <w:szCs w:val="24"/>
          <w:lang w:val="en-US" w:eastAsia="zh-CN"/>
        </w:rPr>
        <w:t>要求</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投标人需根据本项目提供售后服务方案，根据方案响应程度进行综合评审，方案内容包括但不限于服务管理策略、售后服务承诺、维护响应方式、技术支持和售后服务组织等。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1.服务管理策略：投标人应该提供各类技术人员的职责，方便</w:t>
      </w:r>
      <w:r>
        <w:rPr>
          <w:rFonts w:hint="eastAsia" w:ascii="宋体" w:hAnsi="宋体" w:eastAsia="宋体" w:cs="宋体"/>
          <w:sz w:val="24"/>
          <w:szCs w:val="24"/>
          <w:lang w:val="en-US" w:eastAsia="zh-CN"/>
        </w:rPr>
        <w:t>采购人</w:t>
      </w:r>
      <w:r>
        <w:rPr>
          <w:rFonts w:hint="eastAsia" w:ascii="宋体" w:hAnsi="宋体" w:eastAsia="宋体" w:cs="宋体"/>
          <w:sz w:val="24"/>
          <w:szCs w:val="24"/>
          <w:lang w:eastAsia="zh-CN"/>
        </w:rPr>
        <w:t>与相关人员的沟通，协助制定相关子系统的操作规章制度。</w:t>
      </w:r>
    </w:p>
    <w:p>
      <w:pPr>
        <w:ind w:firstLine="482"/>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lang w:eastAsia="zh-CN"/>
        </w:rPr>
        <w:t>2.售后服务承诺：</w:t>
      </w:r>
    </w:p>
    <w:p>
      <w:pPr>
        <w:ind w:firstLine="482"/>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lang w:eastAsia="zh-CN"/>
        </w:rPr>
        <w:t>投标人</w:t>
      </w:r>
      <w:r>
        <w:rPr>
          <w:rFonts w:hint="eastAsia" w:ascii="宋体" w:hAnsi="宋体" w:eastAsia="宋体" w:cs="宋体"/>
          <w:b/>
          <w:bCs/>
          <w:i/>
          <w:iCs/>
          <w:sz w:val="24"/>
          <w:szCs w:val="24"/>
          <w:u w:val="single"/>
          <w:lang w:val="en-US" w:eastAsia="zh-CN"/>
        </w:rPr>
        <w:t>须</w:t>
      </w:r>
      <w:r>
        <w:rPr>
          <w:rFonts w:hint="eastAsia" w:ascii="宋体" w:hAnsi="宋体" w:eastAsia="宋体" w:cs="宋体"/>
          <w:b/>
          <w:bCs/>
          <w:i/>
          <w:iCs/>
          <w:sz w:val="24"/>
          <w:szCs w:val="24"/>
          <w:u w:val="single"/>
          <w:lang w:eastAsia="zh-CN"/>
        </w:rPr>
        <w:t>提供定制软件的技术支持服务免费维护期自终验之日起1年，1年内提供核心系统供应商驻场服务工程师1名（投标人</w:t>
      </w:r>
      <w:r>
        <w:rPr>
          <w:rFonts w:hint="eastAsia" w:ascii="宋体" w:hAnsi="宋体" w:eastAsia="宋体" w:cs="宋体"/>
          <w:b/>
          <w:bCs/>
          <w:i/>
          <w:iCs/>
          <w:sz w:val="24"/>
          <w:szCs w:val="24"/>
          <w:u w:val="single"/>
          <w:lang w:val="en-US" w:eastAsia="zh-CN"/>
        </w:rPr>
        <w:t>须</w:t>
      </w:r>
      <w:r>
        <w:rPr>
          <w:rFonts w:hint="eastAsia" w:ascii="宋体" w:hAnsi="宋体" w:eastAsia="宋体" w:cs="宋体"/>
          <w:b/>
          <w:bCs/>
          <w:i/>
          <w:iCs/>
          <w:sz w:val="24"/>
          <w:szCs w:val="24"/>
          <w:u w:val="single"/>
          <w:lang w:eastAsia="zh-CN"/>
        </w:rPr>
        <w:t>提供承诺函）。</w:t>
      </w:r>
    </w:p>
    <w:p>
      <w:pPr>
        <w:ind w:firstLine="482"/>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lang w:eastAsia="zh-CN"/>
        </w:rPr>
        <w:t>其中成品软件和CA硬件需提供免费维护期自终验之日起5年，（投标人</w:t>
      </w:r>
      <w:r>
        <w:rPr>
          <w:rFonts w:hint="eastAsia" w:ascii="宋体" w:hAnsi="宋体" w:eastAsia="宋体" w:cs="宋体"/>
          <w:b/>
          <w:bCs/>
          <w:i/>
          <w:iCs/>
          <w:sz w:val="24"/>
          <w:szCs w:val="24"/>
          <w:u w:val="single"/>
          <w:lang w:val="en-US" w:eastAsia="zh-CN"/>
        </w:rPr>
        <w:t>须</w:t>
      </w:r>
      <w:r>
        <w:rPr>
          <w:rFonts w:hint="eastAsia" w:ascii="宋体" w:hAnsi="宋体" w:eastAsia="宋体" w:cs="宋体"/>
          <w:b/>
          <w:bCs/>
          <w:i/>
          <w:iCs/>
          <w:sz w:val="24"/>
          <w:szCs w:val="24"/>
          <w:u w:val="single"/>
          <w:lang w:eastAsia="zh-CN"/>
        </w:rPr>
        <w:t>提供承诺函）。</w:t>
      </w:r>
    </w:p>
    <w:p>
      <w:pPr>
        <w:ind w:firstLine="482"/>
        <w:rPr>
          <w:rFonts w:hint="eastAsia" w:ascii="宋体" w:hAnsi="宋体" w:eastAsia="宋体" w:cs="宋体"/>
          <w:b/>
          <w:bCs/>
          <w:i/>
          <w:iCs/>
          <w:sz w:val="24"/>
          <w:szCs w:val="24"/>
          <w:highlight w:val="none"/>
          <w:u w:val="single"/>
          <w:lang w:eastAsia="zh-CN"/>
        </w:rPr>
      </w:pPr>
      <w:r>
        <w:rPr>
          <w:rFonts w:hint="eastAsia" w:ascii="宋体" w:hAnsi="宋体" w:cs="宋体"/>
          <w:b/>
          <w:bCs/>
          <w:i/>
          <w:iCs/>
          <w:sz w:val="24"/>
          <w:szCs w:val="24"/>
          <w:highlight w:val="none"/>
          <w:u w:val="single"/>
        </w:rPr>
        <w:t>免费维护期</w:t>
      </w:r>
      <w:r>
        <w:rPr>
          <w:rFonts w:hint="eastAsia" w:ascii="宋体" w:hAnsi="宋体" w:cs="宋体"/>
          <w:b/>
          <w:bCs/>
          <w:i/>
          <w:iCs/>
          <w:sz w:val="24"/>
          <w:szCs w:val="24"/>
          <w:highlight w:val="none"/>
          <w:u w:val="single"/>
          <w:lang w:val="en-US" w:eastAsia="zh-CN"/>
        </w:rPr>
        <w:t>结束</w:t>
      </w:r>
      <w:r>
        <w:rPr>
          <w:rFonts w:hint="eastAsia" w:ascii="宋体" w:hAnsi="宋体" w:cs="宋体"/>
          <w:b/>
          <w:bCs/>
          <w:i/>
          <w:iCs/>
          <w:sz w:val="24"/>
          <w:szCs w:val="24"/>
          <w:highlight w:val="none"/>
          <w:u w:val="single"/>
        </w:rPr>
        <w:t>，签订技术售后服务合同，软件每年售后服务费不超过该软件合同价（不含接口费和硬件设备费）的4%。（投标人须提供承诺函）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免费维护期过后，签订技术售后服务合同，软件售后服务费用按照双方协议价格收取。</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软件产品免费维护期内，应提供系统扩充、升级方面的技术支持服务。其中包括系统维护、跟踪检测，保证投标人所投软件的正常运行。</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3.维护响应方式：投标人应该在项目的实施过程中提供软件支持的服务，这些服务应该包括但不限于：</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（1）对影响到应用系统平稳作业的问题解答与分析，并提出解决方案；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（2）定期进行程序错误的修改、维护、实施；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（3）信息系统的服务关联到软硬件的各个方面，因此必须对所有相关的变化进行实时的更新；</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（4）对所有的维护活动进行记录，并形成规范的文档，例如记录时间、地点、原因等，最后还要注明完成的时间和人员；</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（5）提供7*24小时的现场维护和故障解决；故障响应时间不超过15分钟，维护期间发生故障响应时间30分钟，2小时内解决；维护期内对系统优化和常规安全检查。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4.技术支持和售后服务组织</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投标人应提供系统的维护服务，维护服务包含但不局限于以下几点：</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（1）管理、维护系统以及与其他系统的接口；</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（2）问题解答、问题分析、与其他合作方的协作；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（3）修正应用软件的错误；</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（4）维护和执行的服务必须满足系统的操作；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（5）信息系统的服务是与整个系统相关的，维护服务必须保证系统的一致性与稳定性；</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（6）对医院系统的每一次改变或是升级都必须对需求进行检查；</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（7）评估并保证建议的解决方案是完全符合目前的操作模式，并对系统的正常运作没有影响，所有的调优或修改建议不能够降低系统操作性能。</w:t>
      </w:r>
    </w:p>
    <w:p>
      <w:pPr>
        <w:pStyle w:val="3"/>
        <w:numPr>
          <w:ilvl w:val="1"/>
          <w:numId w:val="16"/>
        </w:numPr>
        <w:rPr>
          <w:rFonts w:hint="eastAsia" w:ascii="宋体" w:hAnsi="宋体" w:eastAsia="宋体" w:cs="宋体"/>
          <w:sz w:val="24"/>
          <w:szCs w:val="24"/>
        </w:rPr>
      </w:pPr>
      <w:r>
        <w:rPr>
          <w:rFonts w:hint="eastAsia" w:ascii="宋体" w:hAnsi="宋体" w:eastAsia="宋体" w:cs="宋体"/>
          <w:sz w:val="24"/>
          <w:szCs w:val="24"/>
        </w:rPr>
        <w:t>项目培训方案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投标人对系统建设能否提供很好的软件培训方案，综合考虑培训方案可操作性、详细、完整，根据招标要求方案制作情况综合评审，软件培训方案需包含培训目标、培训计划、培训方式、培训内容。</w:t>
      </w:r>
    </w:p>
    <w:p>
      <w:pPr>
        <w:widowControl w:val="0"/>
        <w:spacing w:after="0"/>
        <w:ind w:left="480"/>
        <w:rPr>
          <w:rFonts w:hint="eastAsia" w:ascii="宋体" w:hAnsi="宋体" w:eastAsia="宋体" w:cs="宋体"/>
          <w:sz w:val="24"/>
          <w:szCs w:val="24"/>
          <w:lang w:eastAsia="zh-CN"/>
        </w:rPr>
      </w:pPr>
      <w:r>
        <w:rPr>
          <w:rFonts w:hint="eastAsia" w:ascii="宋体" w:hAnsi="宋体" w:eastAsia="宋体" w:cs="宋体"/>
          <w:sz w:val="24"/>
          <w:szCs w:val="24"/>
          <w:lang w:eastAsia="zh-CN"/>
        </w:rPr>
        <w:t>1.培训目标：投标人必须向采购人提供免费培训，针对不同的培训对</w:t>
      </w:r>
      <w:r>
        <w:rPr>
          <w:rFonts w:hint="eastAsia" w:ascii="宋体" w:hAnsi="宋体" w:cs="宋体"/>
          <w:sz w:val="24"/>
          <w:szCs w:val="24"/>
          <w:lang w:val="en-US" w:eastAsia="zh-CN"/>
        </w:rPr>
        <w:t>象</w:t>
      </w:r>
      <w:r>
        <w:rPr>
          <w:rFonts w:hint="eastAsia" w:ascii="宋体" w:hAnsi="宋体" w:eastAsia="宋体" w:cs="宋体"/>
          <w:sz w:val="24"/>
          <w:szCs w:val="24"/>
          <w:lang w:eastAsia="zh-CN"/>
        </w:rPr>
        <w:t>分别进行理论培训和现场培训。</w:t>
      </w:r>
    </w:p>
    <w:p>
      <w:pPr>
        <w:widowControl w:val="0"/>
        <w:spacing w:after="0"/>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培训方式：培训对象包括信息科系统管理员、日常维护人员、技术层面人员（包括系统开发、程序版本控制、数据库维护）；非信息科的管理人员、操作员。系统管理人员培训内容为系统中涉及的相关技术内容；管理人员培训内容为系统流程和相关管理思想；操作员为系统的操作培训。</w:t>
      </w:r>
    </w:p>
    <w:p>
      <w:pPr>
        <w:widowControl w:val="0"/>
        <w:spacing w:after="0"/>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3.培训计划：</w:t>
      </w:r>
    </w:p>
    <w:p>
      <w:pPr>
        <w:widowControl w:val="0"/>
        <w:spacing w:after="0"/>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投标人派出的培训教员应具备丰富的相同课程教学经验。</w:t>
      </w:r>
    </w:p>
    <w:p>
      <w:pPr>
        <w:widowControl w:val="0"/>
        <w:spacing w:after="0"/>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投标人按购人约定合理地安排培训时间。</w:t>
      </w:r>
    </w:p>
    <w:p>
      <w:pPr>
        <w:widowControl w:val="0"/>
        <w:spacing w:after="0"/>
        <w:ind w:left="480"/>
        <w:rPr>
          <w:rFonts w:hint="eastAsia" w:ascii="宋体" w:hAnsi="宋体" w:eastAsia="宋体" w:cs="宋体"/>
          <w:sz w:val="24"/>
          <w:szCs w:val="24"/>
          <w:lang w:eastAsia="zh-CN"/>
        </w:rPr>
      </w:pPr>
      <w:r>
        <w:rPr>
          <w:rFonts w:hint="eastAsia" w:ascii="宋体" w:hAnsi="宋体" w:eastAsia="宋体" w:cs="宋体"/>
          <w:sz w:val="24"/>
          <w:szCs w:val="24"/>
          <w:lang w:eastAsia="zh-CN"/>
        </w:rPr>
        <w:t>4.培训内容：</w:t>
      </w:r>
    </w:p>
    <w:p>
      <w:pPr>
        <w:widowControl w:val="0"/>
        <w:spacing w:after="0"/>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投标人须在采购人指定的地点提供操作及维护培训，投标人须在投标文件中提供详细的培训计划，包括培训对象、培训地点、培训时间等。</w:t>
      </w:r>
    </w:p>
    <w:p>
      <w:pPr>
        <w:widowControl w:val="0"/>
        <w:spacing w:after="0"/>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投标人需提供本次项目招标范围内所有建设内容培训。</w:t>
      </w:r>
    </w:p>
    <w:p>
      <w:pPr>
        <w:pStyle w:val="3"/>
        <w:numPr>
          <w:ilvl w:val="0"/>
          <w:numId w:val="0"/>
        </w:num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w:t>
      </w:r>
      <w:r>
        <w:rPr>
          <w:rFonts w:hint="eastAsia" w:ascii="宋体" w:hAnsi="宋体" w:eastAsia="宋体" w:cs="宋体"/>
          <w:sz w:val="24"/>
          <w:szCs w:val="24"/>
          <w:lang w:eastAsia="zh-CN"/>
        </w:rPr>
        <w:t>）评级设计方案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投标人需提供评级设计方案，方案内容需对医院现有系统进行详细调研，需结合评级电子病历6级标准及过程的理解、评级优秀项目案例的建设经验，为评级项目提供评级整体的指导服务，评级设计方案需包含差异分析规划、评审过程指导、实证材料审核、评级迎检培训等。</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差异分析规划，通过调研了解医院现有临床相关信息系统功能及应用情况，针对评级标准的要求和专家考察的内容，进行系统功能、应用情况、数据质量内容的差异分析，对需要建设内容进行梳理，制定评级整体的建设计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2.评审过程指导，对于评审项目建设内容指导。对建设阶段评级标准的解读及相关问题提供专业的指导；业务流程指导方面，对于主要业务流程提供优秀案例，优化业务流程的系统实现方案。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3.实证材料审核，为确保评审过程实证材料的质量，开展对报名实证材料、补充实证材料、整改实证材料、申述实证材料共四个阶段的审核工作。</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4.评级迎检培训，评级项目建设初期，开展评级项目建设的启动会，为参与评级工作的领导和医务人员介绍评级的要求和意义，有助于系统的改造和应用的推广工作。</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五</w:t>
      </w:r>
      <w:r>
        <w:rPr>
          <w:rFonts w:hint="eastAsia" w:ascii="宋体" w:hAnsi="宋体" w:eastAsia="宋体" w:cs="宋体"/>
          <w:sz w:val="24"/>
          <w:szCs w:val="24"/>
          <w:lang w:eastAsia="zh-CN"/>
        </w:rPr>
        <w:t>）历史数据迁移方案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为保证医院管理信息系统（HIS）、电子病历系统（EMR）业务数据的延续性，实现历史系统数据的导入及存储、业务的无缝衔接，提供历史数据解析方案、历史数据迁移设计规划、历史数据迁移保障措施。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1.历史数据解析方案</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需</w:t>
      </w:r>
      <w:r>
        <w:rPr>
          <w:rFonts w:hint="eastAsia" w:ascii="宋体" w:hAnsi="宋体" w:eastAsia="宋体" w:cs="宋体"/>
          <w:sz w:val="24"/>
          <w:szCs w:val="24"/>
          <w:lang w:eastAsia="zh-CN"/>
        </w:rPr>
        <w:t>解析医院管理信息系统（HIS）历史数据，患者历史诊疗数据在迁移后依然能被临床医护使用，整体建设会在原有数据库上做迁移和继承复用，包含基础数据部分、诊疗数据部分、费用数据部分。</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需</w:t>
      </w:r>
      <w:r>
        <w:rPr>
          <w:rFonts w:hint="eastAsia" w:ascii="宋体" w:hAnsi="宋体" w:eastAsia="宋体" w:cs="宋体"/>
          <w:sz w:val="24"/>
          <w:szCs w:val="24"/>
          <w:lang w:eastAsia="zh-CN"/>
        </w:rPr>
        <w:t>解析电子病历系统（EMR）历史数据，用于在病历数据迁移后，历史病历数据查看及复用，可在统一既往病历查看界面查看历史病历，病历结构化查询，病历组套复用，基础数据字典复用。</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2.历史数据迁移设计规划</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需</w:t>
      </w:r>
      <w:r>
        <w:rPr>
          <w:rFonts w:hint="eastAsia" w:ascii="宋体" w:hAnsi="宋体" w:eastAsia="宋体" w:cs="宋体"/>
          <w:sz w:val="24"/>
          <w:szCs w:val="24"/>
          <w:lang w:eastAsia="zh-CN"/>
        </w:rPr>
        <w:t>提供历史数据迁移原则，在系统迁移过程中，必须保证原系统数据的正确性和准确性；对原有的设备资源要进行合理利用；对原有系统的数据在一段时间内进行保护，保证新旧系统的平稳过渡。</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需</w:t>
      </w:r>
      <w:r>
        <w:rPr>
          <w:rFonts w:hint="eastAsia" w:ascii="宋体" w:hAnsi="宋体" w:eastAsia="宋体" w:cs="宋体"/>
          <w:sz w:val="24"/>
          <w:szCs w:val="24"/>
          <w:lang w:eastAsia="zh-CN"/>
        </w:rPr>
        <w:t>提供历史数据迁移组织机构，成立独立的迁移小组，有独立的负责人来负责从原系统分析、切换设计、数据整理、数据转换、系统切换等过程的实施。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需</w:t>
      </w:r>
      <w:r>
        <w:rPr>
          <w:rFonts w:hint="eastAsia" w:ascii="宋体" w:hAnsi="宋体" w:eastAsia="宋体" w:cs="宋体"/>
          <w:sz w:val="24"/>
          <w:szCs w:val="24"/>
          <w:lang w:eastAsia="zh-CN"/>
        </w:rPr>
        <w:t>制定历史数据迁移方法和步骤。</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3.历史数据迁移保障措施</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需</w:t>
      </w:r>
      <w:r>
        <w:rPr>
          <w:rFonts w:hint="eastAsia" w:ascii="宋体" w:hAnsi="宋体" w:eastAsia="宋体" w:cs="宋体"/>
          <w:sz w:val="24"/>
          <w:szCs w:val="24"/>
          <w:lang w:eastAsia="zh-CN"/>
        </w:rPr>
        <w:t>提供系统对接应急预案，在数据迁移过程中，如出现性能问题、严重安全漏洞等导致系统无法继续处理业务，须及时提供应急措施，整个应急预案需要从业务系统、数据库、网络平台三个方面来考虑。</w:t>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需</w:t>
      </w:r>
      <w:r>
        <w:rPr>
          <w:rFonts w:hint="eastAsia" w:ascii="宋体" w:hAnsi="宋体" w:eastAsia="宋体" w:cs="宋体"/>
          <w:sz w:val="24"/>
          <w:szCs w:val="24"/>
          <w:lang w:eastAsia="zh-CN"/>
        </w:rPr>
        <w:t>提供数据迁移风险规避策略，对本次系统建设中可能存在的风险提供相应的规避措施，如原有数据库设计无法获取、数据存在逻辑错误等问题。</w:t>
      </w:r>
    </w:p>
    <w:p>
      <w:pPr>
        <w:ind w:firstLine="482"/>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三、演示要求</w:t>
      </w:r>
    </w:p>
    <w:p>
      <w:pPr>
        <w:spacing w:line="360" w:lineRule="auto"/>
        <w:ind w:firstLine="482"/>
        <w:rPr>
          <w:rFonts w:hint="eastAsia" w:asciiTheme="minorEastAsia" w:hAnsiTheme="minorEastAsia" w:eastAsiaTheme="minorEastAsia" w:cstheme="minorEastAsia"/>
          <w:b/>
          <w:bCs/>
          <w:sz w:val="24"/>
          <w:szCs w:val="24"/>
          <w:highlight w:val="none"/>
          <w:lang w:bidi="ar"/>
        </w:rPr>
      </w:pPr>
      <w:r>
        <w:rPr>
          <w:rFonts w:hint="eastAsia" w:asciiTheme="minorEastAsia" w:hAnsiTheme="minorEastAsia" w:eastAsiaTheme="minorEastAsia" w:cstheme="minorEastAsia"/>
          <w:b/>
          <w:bCs/>
          <w:sz w:val="24"/>
          <w:szCs w:val="24"/>
          <w:highlight w:val="none"/>
          <w:lang w:bidi="ar"/>
        </w:rPr>
        <w:t>投标人需按照招标文件第五章评分标准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Theme="minorEastAsia" w:hAnsiTheme="minorEastAsia" w:eastAsiaTheme="minorEastAsia" w:cstheme="minorEastAsia"/>
          <w:b/>
          <w:bCs/>
          <w:sz w:val="24"/>
          <w:szCs w:val="24"/>
          <w:highlight w:val="none"/>
          <w:lang w:val="en-US" w:eastAsia="zh-CN" w:bidi="ar"/>
        </w:rPr>
        <w:t>15</w:t>
      </w:r>
      <w:r>
        <w:rPr>
          <w:rFonts w:hint="eastAsia" w:asciiTheme="minorEastAsia" w:hAnsiTheme="minorEastAsia" w:eastAsiaTheme="minorEastAsia" w:cstheme="minorEastAsia"/>
          <w:b/>
          <w:bCs/>
          <w:sz w:val="24"/>
          <w:szCs w:val="24"/>
          <w:highlight w:val="none"/>
          <w:lang w:bidi="ar"/>
        </w:rPr>
        <w:t>分钟。</w:t>
      </w:r>
    </w:p>
    <w:p>
      <w:pPr>
        <w:spacing w:line="360" w:lineRule="auto"/>
        <w:ind w:firstLine="482"/>
        <w:rPr>
          <w:rFonts w:hint="eastAsia" w:asciiTheme="minorEastAsia" w:hAnsiTheme="minorEastAsia" w:eastAsiaTheme="minorEastAsia" w:cstheme="minorEastAsia"/>
          <w:b/>
          <w:color w:val="000000" w:themeColor="text1"/>
          <w:sz w:val="24"/>
          <w:szCs w:val="24"/>
          <w:highlight w:val="none"/>
          <w:lang w:bidi="ar"/>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bidi="ar"/>
          <w14:textFill>
            <w14:solidFill>
              <w14:schemeClr w14:val="tx1"/>
            </w14:solidFill>
          </w14:textFill>
        </w:rPr>
        <w:t>演示内容如下：</w:t>
      </w:r>
    </w:p>
    <w:p>
      <w:pPr>
        <w:widowControl/>
        <w:ind w:firstLine="480"/>
        <w:jc w:val="left"/>
        <w:rPr>
          <w:rFonts w:hint="eastAsia"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w:t>
      </w:r>
      <w:r>
        <w:rPr>
          <w:rFonts w:hint="eastAsia" w:ascii="宋体" w:hAnsi="宋体" w:cs="宋体"/>
          <w:sz w:val="24"/>
          <w:szCs w:val="24"/>
          <w:highlight w:val="none"/>
        </w:rPr>
        <w:t>支持手术全流程管理，支持以可视化流程图方式，查看手术流程，并支持直接在流程图上调整参数设定；支持以图形方式查看手术汇总统计，包括但不局限于手术数量，治疗性操作数量，诊断性操作数量，介入数量，最高三/四级手术科室手术量；</w:t>
      </w:r>
    </w:p>
    <w:p>
      <w:pPr>
        <w:widowControl/>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需支持门诊排班精细化管理，以卡片方式进行门诊排班，精确到以分钟为单位进行预约，可根据时间段、号源数量自动生成号源，支持限定现场挂号、预约挂号、加号数量，同时满足加号、停诊、复诊按照时间段进行操作，并可设定停诊理由；</w:t>
      </w:r>
    </w:p>
    <w:p>
      <w:pPr>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需支持既往就诊历史信息调用，在门诊医生看诊场景下，支持在同一界面，既可分别复制当前患者的病历，诊断，医嘱到本次就诊，也可通过一键进行全复制；同时支持查询复制其他患者门诊或住院医嘱到当前患者。</w:t>
      </w:r>
    </w:p>
    <w:p>
      <w:pPr>
        <w:widowControl/>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ascii="宋体" w:hAnsi="宋体" w:cs="宋体"/>
          <w:sz w:val="24"/>
          <w:szCs w:val="24"/>
          <w:highlight w:val="none"/>
        </w:rPr>
        <w:t>.</w:t>
      </w:r>
      <w:r>
        <w:rPr>
          <w:rFonts w:hint="eastAsia" w:ascii="宋体" w:hAnsi="宋体" w:cs="宋体"/>
          <w:sz w:val="24"/>
          <w:szCs w:val="24"/>
          <w:highlight w:val="none"/>
        </w:rPr>
        <w:t>支持事件自定义管理，医院根据自身需求，可以定义事件类型及事件上报内容，按照模板的元素进行保存，提供组件库，支持在软件界面自定义布局事件模板要展示的内容，多选框组件支持鱼骨图显示。</w:t>
      </w:r>
    </w:p>
    <w:p>
      <w:pPr>
        <w:widowControl/>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 RCA流程管理，异常事件决策树系统支持对每个事件从伤害审视、能力审视、外部审视和情景审视进行判断，判断事件是个人问题或系统问题，为事件是否需要进行RCA处理提供依据。</w:t>
      </w:r>
    </w:p>
    <w:p>
      <w:pPr>
        <w:widowControl/>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 不良事件管理系统基于企业微信/钉钉端，提供事件管理的应用，通过手机拍照、快速填报等形式，减少工作量，方便医护人员及时上报，支持事件上报，我的上报，事件审核，事件检索，统计分析，简报推送，消息通知，扫码登录功能。</w:t>
      </w:r>
    </w:p>
    <w:p>
      <w:pPr>
        <w:widowControl/>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 RPA（智能上报中心），支持将药品不良反应直报“国家药品不良反应监测系统”，支持屏蔽列表中不需要上报的不良事件，可自定义设置列表显示字段；记录上报状态，可查看事件详情，支持导出列表信息，支持上报异常警示。</w:t>
      </w:r>
    </w:p>
    <w:p>
      <w:pPr>
        <w:widowControl/>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 支持危急值相关设定，支持以图形化方式进行危急值分析，包括但不限于：危急值情况、危急值分布、危急值通报及时情况、危急值处理及时情况、危急值排行；支持在检验结果中，以危急值为标签，快速筛选检验结果中的危急值，并插入病历；</w:t>
      </w:r>
    </w:p>
    <w:p>
      <w:pPr>
        <w:pBdr>
          <w:top w:val="none" w:color="000000" w:sz="0" w:space="0"/>
          <w:left w:val="none" w:color="000000" w:sz="0" w:space="0"/>
          <w:bottom w:val="none" w:color="000000" w:sz="0" w:space="0"/>
          <w:right w:val="none" w:color="000000" w:sz="0" w:space="0"/>
        </w:pBdr>
        <w:spacing w:before="0" w:after="0"/>
        <w:ind w:left="0" w:right="0" w:firstLine="0"/>
        <w:jc w:val="both"/>
        <w:rPr>
          <w:sz w:val="24"/>
          <w:szCs w:val="24"/>
        </w:rPr>
      </w:pP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4"/>
        </w:rPr>
        <w:t> </w:t>
      </w:r>
    </w:p>
    <w:p>
      <w:pPr>
        <w:pBdr>
          <w:top w:val="none" w:color="000000" w:sz="0" w:space="0"/>
          <w:left w:val="none" w:color="000000" w:sz="0" w:space="0"/>
          <w:bottom w:val="none" w:color="000000" w:sz="0" w:space="0"/>
          <w:right w:val="none" w:color="000000" w:sz="0" w:space="0"/>
        </w:pBdr>
        <w:spacing w:before="240" w:after="240"/>
        <w:ind w:left="120" w:right="0" w:firstLine="36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right="0"/>
        <w:jc w:val="both"/>
        <w:rPr>
          <w:rFonts w:ascii="Times New Roman" w:hAnsi="Times New Roman" w:eastAsia="Times New Roman" w:cs="Times New Roman"/>
          <w:color w:val="000000"/>
          <w:sz w:val="21"/>
        </w:rPr>
      </w:pPr>
    </w:p>
    <w:p>
      <w:pPr>
        <w:pBdr>
          <w:top w:val="none" w:color="000000" w:sz="0" w:space="0"/>
          <w:left w:val="none" w:color="000000" w:sz="0" w:space="0"/>
          <w:bottom w:val="none" w:color="000000" w:sz="0" w:space="0"/>
          <w:right w:val="none" w:color="000000" w:sz="0" w:space="0"/>
        </w:pBdr>
        <w:spacing w:before="240" w:after="240"/>
        <w:ind w:left="0" w:right="0" w:firstLine="0"/>
        <w:jc w:val="both"/>
        <w:rPr>
          <w:rFonts w:ascii="Times New Roman" w:hAnsi="Times New Roman" w:eastAsia="Times New Roman" w:cs="Times New Roman"/>
          <w:color w:val="000000"/>
          <w:sz w:val="21"/>
        </w:rPr>
      </w:pPr>
    </w:p>
    <w:p>
      <w:pPr>
        <w:pBdr>
          <w:top w:val="none" w:color="000000" w:sz="0" w:space="0"/>
          <w:left w:val="none" w:color="000000" w:sz="0" w:space="0"/>
          <w:bottom w:val="none" w:color="000000" w:sz="0" w:space="0"/>
          <w:right w:val="none" w:color="000000" w:sz="0" w:space="0"/>
        </w:pBdr>
        <w:spacing w:before="240" w:after="240"/>
        <w:ind w:left="0" w:right="0" w:firstLine="0"/>
        <w:jc w:val="both"/>
        <w:rPr>
          <w:rFonts w:ascii="Times New Roman" w:hAnsi="Times New Roman" w:eastAsia="Times New Roman" w:cs="Times New Roman"/>
          <w:color w:val="000000"/>
          <w:sz w:val="21"/>
        </w:rPr>
      </w:pPr>
    </w:p>
    <w:p>
      <w:pPr>
        <w:pStyle w:val="184"/>
      </w:pPr>
      <w:r>
        <w:rPr>
          <w:rFonts w:ascii="黑体" w:hAnsi="黑体" w:eastAsia="黑体" w:cs="黑体"/>
          <w:color w:val="000000"/>
          <w:sz w:val="44"/>
        </w:rPr>
        <w:t> 第五章评标方法与评标标准</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240" w:after="240"/>
        <w:ind w:left="0" w:right="0" w:firstLine="439"/>
        <w:jc w:val="both"/>
        <w:rPr>
          <w:rFonts w:ascii="宋体" w:hAnsi="宋体" w:eastAsia="宋体" w:cs="宋体"/>
          <w:color w:val="000000"/>
          <w:sz w:val="24"/>
          <w:szCs w:val="24"/>
          <w:highlight w:val="none"/>
        </w:rPr>
      </w:pPr>
      <w:r>
        <w:rPr>
          <w:rFonts w:ascii="宋体" w:hAnsi="宋体" w:eastAsia="宋体" w:cs="宋体"/>
          <w:color w:val="000000"/>
          <w:sz w:val="24"/>
        </w:rPr>
        <w:t>采用综合评分法的，评标结果按评审后得分由高到低顺序排列。得分相同的，按投标报价由低到高顺序排列。得分且投标报价相同的并列。</w:t>
      </w:r>
    </w:p>
    <w:tbl>
      <w:tblPr>
        <w:tblStyle w:val="35"/>
        <w:tblW w:w="91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80"/>
        <w:gridCol w:w="2081"/>
        <w:gridCol w:w="5875"/>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1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采购包号</w:t>
            </w:r>
          </w:p>
        </w:tc>
        <w:tc>
          <w:tcPr>
            <w:tcW w:w="208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选取中标候选人数量</w:t>
            </w:r>
          </w:p>
        </w:tc>
        <w:tc>
          <w:tcPr>
            <w:tcW w:w="587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选取中标候选人的原则</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18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2081"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3</w:t>
            </w:r>
          </w:p>
        </w:tc>
        <w:tc>
          <w:tcPr>
            <w:tcW w:w="587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szCs w:val="24"/>
                <w:highlight w:val="none"/>
              </w:rPr>
            </w:pPr>
            <w:r>
              <w:rPr>
                <w:rFonts w:ascii="宋体" w:hAnsi="宋体" w:eastAsia="宋体" w:cs="宋体"/>
                <w:color w:val="000000"/>
                <w:sz w:val="24"/>
              </w:rPr>
              <w:t>满足招标文件全部实质性要求，且按照评审因素的量化指标评审得分最高的投标人为中标候选人。</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70C0"/>
              </w:rPr>
            </w:pPr>
          </w:p>
        </w:tc>
      </w:tr>
    </w:tbl>
    <w:p>
      <w:pPr>
        <w:pBdr>
          <w:top w:val="none" w:color="000000" w:sz="0" w:space="0"/>
          <w:left w:val="none" w:color="000000" w:sz="0" w:space="0"/>
          <w:bottom w:val="none" w:color="000000" w:sz="0" w:space="0"/>
          <w:right w:val="none" w:color="000000" w:sz="0" w:space="0"/>
        </w:pBdr>
        <w:spacing w:before="240" w:after="240"/>
        <w:ind w:left="0" w:right="0" w:firstLine="441"/>
        <w:jc w:val="both"/>
      </w:pPr>
      <w:r>
        <w:rPr>
          <w:rFonts w:ascii="宋体" w:hAnsi="宋体" w:eastAsia="宋体" w:cs="宋体"/>
          <w:b/>
          <w:color w:val="000000"/>
          <w:sz w:val="24"/>
        </w:rPr>
        <w:t>政府采购政策功能落实</w:t>
      </w:r>
    </w:p>
    <w:p>
      <w:pPr>
        <w:pBdr>
          <w:top w:val="none" w:color="000000" w:sz="0" w:space="0"/>
          <w:left w:val="none" w:color="000000" w:sz="0" w:space="0"/>
          <w:bottom w:val="none" w:color="000000" w:sz="0" w:space="0"/>
          <w:right w:val="none" w:color="000000" w:sz="0" w:space="0"/>
        </w:pBdr>
        <w:spacing w:before="120" w:after="120"/>
        <w:ind w:left="0" w:right="0" w:firstLine="441"/>
        <w:jc w:val="both"/>
      </w:pPr>
      <w:r>
        <w:rPr>
          <w:rFonts w:ascii="宋体" w:hAnsi="宋体" w:eastAsia="宋体" w:cs="宋体"/>
          <w:b/>
          <w:color w:val="FF0000"/>
          <w:sz w:val="24"/>
        </w:rPr>
        <w:t>本项目专门面向中小企业：是/否</w:t>
      </w:r>
    </w:p>
    <w:tbl>
      <w:tblPr>
        <w:tblStyle w:val="35"/>
        <w:tblW w:w="916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996"/>
        <w:gridCol w:w="717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9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采购包号</w:t>
            </w:r>
          </w:p>
        </w:tc>
        <w:tc>
          <w:tcPr>
            <w:tcW w:w="717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专门面向中小企业</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19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7170"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eastAsia="宋体"/>
                <w:lang w:eastAsia="zh-CN"/>
              </w:rPr>
            </w:pPr>
            <w:r>
              <w:rPr>
                <w:rFonts w:hint="eastAsia" w:ascii="宋体" w:hAnsi="宋体" w:cs="宋体"/>
                <w:color w:val="000000"/>
                <w:sz w:val="24"/>
                <w:lang w:val="en-US" w:eastAsia="zh-CN"/>
              </w:rPr>
              <w:t>否</w:t>
            </w:r>
          </w:p>
        </w:tc>
      </w:tr>
    </w:tbl>
    <w:p>
      <w:pPr>
        <w:pBdr>
          <w:top w:val="none" w:color="000000" w:sz="0" w:space="0"/>
          <w:left w:val="none" w:color="000000" w:sz="0" w:space="0"/>
          <w:bottom w:val="none" w:color="000000" w:sz="0" w:space="0"/>
          <w:right w:val="none" w:color="000000" w:sz="0" w:space="0"/>
        </w:pBdr>
        <w:spacing w:before="120" w:after="120"/>
        <w:ind w:left="0" w:right="0" w:firstLine="480"/>
        <w:jc w:val="both"/>
      </w:pPr>
      <w:r>
        <w:rPr>
          <w:rFonts w:ascii="宋体" w:hAnsi="宋体" w:eastAsia="宋体" w:cs="宋体"/>
          <w:color w:val="000000"/>
          <w:sz w:val="24"/>
        </w:rPr>
        <w:t>1、小微型企业价格扣除</w:t>
      </w:r>
    </w:p>
    <w:p>
      <w:pPr>
        <w:pBdr>
          <w:top w:val="none" w:color="000000" w:sz="0" w:space="0"/>
          <w:left w:val="none" w:color="000000" w:sz="0" w:space="0"/>
          <w:bottom w:val="none" w:color="000000" w:sz="0" w:space="0"/>
          <w:right w:val="none" w:color="000000" w:sz="0" w:space="0"/>
        </w:pBdr>
        <w:spacing w:before="120" w:after="120"/>
        <w:ind w:left="0" w:right="0" w:firstLine="360"/>
        <w:jc w:val="both"/>
        <w:rPr>
          <w:rFonts w:ascii="宋体" w:hAnsi="宋体" w:eastAsia="宋体" w:cs="宋体"/>
          <w:color w:val="000000"/>
          <w:sz w:val="24"/>
        </w:rPr>
      </w:pPr>
      <w:r>
        <w:rPr>
          <w:rFonts w:ascii="宋体" w:hAnsi="宋体" w:eastAsia="宋体" w:cs="宋体"/>
          <w:color w:val="000000"/>
          <w:sz w:val="24"/>
        </w:rPr>
        <w:t>（1）本项目对小型和微型企业产品给予</w:t>
      </w:r>
      <w:r>
        <w:rPr>
          <w:rFonts w:ascii="宋体" w:hAnsi="宋体" w:eastAsia="宋体" w:cs="宋体"/>
          <w:color w:val="000000"/>
          <w:sz w:val="24"/>
          <w:highlight w:val="none"/>
          <w:u w:val="single"/>
        </w:rPr>
        <w:t>20%</w:t>
      </w:r>
      <w:r>
        <w:rPr>
          <w:rFonts w:ascii="宋体" w:hAnsi="宋体" w:eastAsia="宋体" w:cs="宋体"/>
          <w:color w:val="000000"/>
          <w:sz w:val="24"/>
        </w:rPr>
        <w:t>的扣除价格，用扣除后的价格参与评审。</w:t>
      </w:r>
    </w:p>
    <w:p>
      <w:pPr>
        <w:pBdr>
          <w:top w:val="none" w:color="000000" w:sz="0" w:space="0"/>
          <w:left w:val="none" w:color="000000" w:sz="0" w:space="0"/>
          <w:bottom w:val="none" w:color="000000" w:sz="0" w:space="0"/>
          <w:right w:val="none" w:color="000000" w:sz="0" w:space="0"/>
        </w:pBdr>
        <w:spacing w:before="120" w:after="120"/>
        <w:ind w:left="0" w:right="0" w:firstLine="360"/>
        <w:jc w:val="both"/>
      </w:pPr>
      <w:r>
        <w:rPr>
          <w:rFonts w:ascii="宋体" w:hAnsi="宋体" w:eastAsia="宋体" w:cs="宋体"/>
          <w:color w:val="000000"/>
          <w:sz w:val="24"/>
        </w:rPr>
        <w:t>（2）供应商需按照采购文件的要求提供相应的《中小企业声明函》。</w:t>
      </w:r>
    </w:p>
    <w:p>
      <w:pPr>
        <w:pBdr>
          <w:top w:val="none" w:color="000000" w:sz="0" w:space="0"/>
          <w:left w:val="none" w:color="000000" w:sz="0" w:space="0"/>
          <w:bottom w:val="none" w:color="000000" w:sz="0" w:space="0"/>
          <w:right w:val="none" w:color="000000" w:sz="0" w:space="0"/>
        </w:pBdr>
        <w:spacing w:before="240" w:after="240"/>
        <w:ind w:left="0" w:right="0" w:firstLine="360"/>
        <w:jc w:val="both"/>
      </w:pPr>
      <w:r>
        <w:rPr>
          <w:rFonts w:ascii="宋体" w:hAnsi="宋体" w:eastAsia="宋体" w:cs="宋体"/>
          <w:color w:val="000000"/>
          <w:sz w:val="24"/>
        </w:rPr>
        <w:t>（3）企业标准请参照《关于印发中小企业划型标准规定的通知》（工信部联企业[2011]300号）文件规定自行填写。</w:t>
      </w:r>
    </w:p>
    <w:p>
      <w:pPr>
        <w:pBdr>
          <w:top w:val="none" w:color="000000" w:sz="0" w:space="0"/>
          <w:left w:val="none" w:color="000000" w:sz="0" w:space="0"/>
          <w:bottom w:val="none" w:color="000000" w:sz="0" w:space="0"/>
          <w:right w:val="none" w:color="000000" w:sz="0" w:space="0"/>
        </w:pBdr>
        <w:spacing w:before="120" w:after="120"/>
        <w:ind w:left="0" w:right="0" w:firstLine="480"/>
        <w:jc w:val="both"/>
      </w:pPr>
      <w:r>
        <w:rPr>
          <w:rFonts w:ascii="宋体" w:hAnsi="宋体" w:eastAsia="宋体" w:cs="宋体"/>
          <w:color w:val="000000"/>
          <w:sz w:val="24"/>
        </w:rPr>
        <w:t>2、残疾人福利单位价格扣除</w:t>
      </w:r>
    </w:p>
    <w:p>
      <w:pPr>
        <w:pBdr>
          <w:top w:val="none" w:color="000000" w:sz="0" w:space="0"/>
          <w:left w:val="none" w:color="000000" w:sz="0" w:space="0"/>
          <w:bottom w:val="none" w:color="000000" w:sz="0" w:space="0"/>
          <w:right w:val="none" w:color="000000" w:sz="0" w:space="0"/>
        </w:pBdr>
        <w:spacing w:before="120" w:after="120"/>
        <w:ind w:left="120" w:right="0" w:firstLine="360"/>
        <w:jc w:val="both"/>
      </w:pPr>
      <w:r>
        <w:rPr>
          <w:rFonts w:ascii="宋体" w:hAnsi="宋体" w:eastAsia="宋体" w:cs="宋体"/>
          <w:color w:val="000000"/>
          <w:sz w:val="24"/>
        </w:rPr>
        <w:t>（1）本项目对残疾人福利性单位视同小型、微型企业，给予</w:t>
      </w:r>
      <w:r>
        <w:rPr>
          <w:rFonts w:ascii="宋体" w:hAnsi="宋体" w:eastAsia="宋体" w:cs="宋体"/>
          <w:color w:val="000000"/>
          <w:sz w:val="24"/>
          <w:highlight w:val="none"/>
          <w:u w:val="single"/>
        </w:rPr>
        <w:t>20%</w:t>
      </w:r>
      <w:r>
        <w:rPr>
          <w:rFonts w:ascii="宋体" w:hAnsi="宋体" w:eastAsia="宋体" w:cs="宋体"/>
          <w:color w:val="000000"/>
          <w:sz w:val="24"/>
        </w:rPr>
        <w:t>的价格扣除，用扣除后的价格参与评审。</w:t>
      </w:r>
    </w:p>
    <w:p>
      <w:pPr>
        <w:pBdr>
          <w:top w:val="none" w:color="000000" w:sz="0" w:space="0"/>
          <w:left w:val="none" w:color="000000" w:sz="0" w:space="0"/>
          <w:bottom w:val="none" w:color="000000" w:sz="0" w:space="0"/>
          <w:right w:val="none" w:color="000000" w:sz="0" w:space="0"/>
        </w:pBdr>
        <w:spacing w:before="120" w:after="120"/>
        <w:ind w:left="120" w:right="0" w:firstLine="360"/>
        <w:jc w:val="both"/>
      </w:pPr>
      <w:r>
        <w:rPr>
          <w:rFonts w:ascii="宋体" w:hAnsi="宋体" w:eastAsia="宋体" w:cs="宋体"/>
          <w:color w:val="000000"/>
          <w:sz w:val="24"/>
        </w:rPr>
        <w:t>（2）残疾人福利单位需按照采购文件的要求提供《残疾人福利性单位声明函》。</w:t>
      </w:r>
    </w:p>
    <w:p>
      <w:pPr>
        <w:pBdr>
          <w:top w:val="none" w:color="000000" w:sz="0" w:space="0"/>
          <w:left w:val="none" w:color="000000" w:sz="0" w:space="0"/>
          <w:bottom w:val="none" w:color="000000" w:sz="0" w:space="0"/>
          <w:right w:val="none" w:color="000000" w:sz="0" w:space="0"/>
        </w:pBdr>
        <w:spacing w:before="120" w:after="120"/>
        <w:ind w:left="120" w:right="0" w:firstLine="360"/>
        <w:jc w:val="both"/>
      </w:pPr>
      <w:r>
        <w:rPr>
          <w:rFonts w:ascii="宋体" w:hAnsi="宋体" w:eastAsia="宋体" w:cs="宋体"/>
          <w:color w:val="000000"/>
          <w:sz w:val="24"/>
        </w:rPr>
        <w:t>（3）残疾人福利单位标准请参照《关于促进残疾人就业政府采购政策的通知》（财库〔2017〕141号）。</w:t>
      </w:r>
    </w:p>
    <w:p>
      <w:pPr>
        <w:pBdr>
          <w:top w:val="none" w:color="000000" w:sz="0" w:space="0"/>
          <w:left w:val="none" w:color="000000" w:sz="0" w:space="0"/>
          <w:bottom w:val="none" w:color="000000" w:sz="0" w:space="0"/>
          <w:right w:val="none" w:color="000000" w:sz="0" w:space="0"/>
        </w:pBdr>
        <w:spacing w:before="120" w:after="120"/>
        <w:ind w:left="0" w:right="0" w:firstLine="480"/>
        <w:jc w:val="both"/>
      </w:pPr>
      <w:r>
        <w:rPr>
          <w:rFonts w:ascii="宋体" w:hAnsi="宋体" w:eastAsia="宋体" w:cs="宋体"/>
          <w:color w:val="000000"/>
          <w:sz w:val="24"/>
        </w:rPr>
        <w:t>3、监狱和戒毒企业价格扣除</w:t>
      </w:r>
    </w:p>
    <w:p>
      <w:pPr>
        <w:pBdr>
          <w:top w:val="none" w:color="000000" w:sz="0" w:space="0"/>
          <w:left w:val="none" w:color="000000" w:sz="0" w:space="0"/>
          <w:bottom w:val="none" w:color="000000" w:sz="0" w:space="0"/>
          <w:right w:val="none" w:color="000000" w:sz="0" w:space="0"/>
        </w:pBdr>
        <w:spacing w:before="120" w:after="120"/>
        <w:ind w:left="0" w:right="0" w:firstLine="480"/>
        <w:jc w:val="both"/>
      </w:pPr>
      <w:r>
        <w:rPr>
          <w:rFonts w:ascii="宋体" w:hAnsi="宋体" w:eastAsia="宋体" w:cs="宋体"/>
          <w:color w:val="000000"/>
          <w:sz w:val="24"/>
        </w:rPr>
        <w:t>（1）本项目对监狱和戒毒企业（简称监狱企业）视同小型、微型企业，给予</w:t>
      </w:r>
      <w:r>
        <w:rPr>
          <w:rFonts w:ascii="宋体" w:hAnsi="宋体" w:eastAsia="宋体" w:cs="宋体"/>
          <w:color w:val="000000"/>
          <w:sz w:val="24"/>
          <w:highlight w:val="none"/>
          <w:u w:val="single"/>
        </w:rPr>
        <w:t>20%</w:t>
      </w:r>
      <w:r>
        <w:rPr>
          <w:rFonts w:ascii="宋体" w:hAnsi="宋体" w:eastAsia="宋体" w:cs="宋体"/>
          <w:color w:val="000000"/>
          <w:sz w:val="24"/>
        </w:rPr>
        <w:t>的价格扣除，用扣除后的价格参与评审。</w:t>
      </w:r>
    </w:p>
    <w:p>
      <w:pPr>
        <w:pBdr>
          <w:top w:val="none" w:color="000000" w:sz="0" w:space="0"/>
          <w:left w:val="none" w:color="000000" w:sz="0" w:space="0"/>
          <w:bottom w:val="none" w:color="000000" w:sz="0" w:space="0"/>
          <w:right w:val="none" w:color="000000" w:sz="0" w:space="0"/>
        </w:pBdr>
        <w:spacing w:before="120" w:after="120"/>
        <w:ind w:left="0" w:right="0" w:firstLine="480"/>
        <w:jc w:val="both"/>
      </w:pPr>
      <w:r>
        <w:rPr>
          <w:rFonts w:ascii="宋体" w:hAnsi="宋体" w:eastAsia="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pPr>
        <w:pBdr>
          <w:top w:val="none" w:color="000000" w:sz="0" w:space="0"/>
          <w:left w:val="none" w:color="000000" w:sz="0" w:space="0"/>
          <w:bottom w:val="none" w:color="000000" w:sz="0" w:space="0"/>
          <w:right w:val="none" w:color="000000" w:sz="0" w:space="0"/>
        </w:pBdr>
        <w:spacing w:before="120" w:after="120"/>
        <w:ind w:left="0" w:right="0" w:firstLine="480"/>
        <w:jc w:val="both"/>
      </w:pPr>
      <w:r>
        <w:rPr>
          <w:rFonts w:ascii="宋体" w:hAnsi="宋体" w:eastAsia="宋体" w:cs="宋体"/>
          <w:color w:val="000000"/>
          <w:sz w:val="24"/>
        </w:rPr>
        <w:t>（3）监狱企业标准请参照《关于政府采购支持监狱企业发展有关问题的通知》（财库〔2014〕68号）。</w:t>
      </w:r>
    </w:p>
    <w:p>
      <w:pPr>
        <w:pBdr>
          <w:top w:val="none" w:color="000000" w:sz="0" w:space="0"/>
          <w:left w:val="none" w:color="000000" w:sz="0" w:space="0"/>
          <w:bottom w:val="none" w:color="000000" w:sz="0" w:space="0"/>
          <w:right w:val="none" w:color="000000" w:sz="0" w:space="0"/>
        </w:pBdr>
        <w:spacing w:before="120" w:after="120" w:line="400" w:lineRule="atLeast"/>
        <w:ind w:left="0" w:right="0" w:firstLine="480"/>
        <w:jc w:val="both"/>
      </w:pPr>
      <w:r>
        <w:rPr>
          <w:rFonts w:ascii="宋体" w:hAnsi="宋体" w:eastAsia="宋体" w:cs="宋体"/>
          <w:color w:val="000000"/>
          <w:sz w:val="24"/>
        </w:rPr>
        <w:t>4、残疾人福利单位、监狱企业属于小型、微型企业的，不重复享受政策。</w:t>
      </w:r>
    </w:p>
    <w:p>
      <w:pPr>
        <w:pBdr>
          <w:top w:val="none" w:color="000000" w:sz="0" w:space="0"/>
          <w:left w:val="none" w:color="000000" w:sz="0" w:space="0"/>
          <w:bottom w:val="none" w:color="000000" w:sz="0" w:space="0"/>
          <w:right w:val="none" w:color="000000" w:sz="0" w:space="0"/>
        </w:pBdr>
        <w:spacing w:before="120" w:after="12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none"/>
          <w:u w:val="single"/>
        </w:rPr>
        <w:t>6%</w:t>
      </w:r>
      <w:r>
        <w:rPr>
          <w:rFonts w:ascii="宋体" w:hAnsi="宋体" w:eastAsia="宋体" w:cs="宋体"/>
          <w:color w:val="000000"/>
          <w:sz w:val="24"/>
        </w:rPr>
        <w:t>的价格扣除，用扣除后的价格参与评审。</w:t>
      </w:r>
    </w:p>
    <w:p>
      <w:pPr>
        <w:pBdr>
          <w:top w:val="none" w:color="000000" w:sz="0" w:space="0"/>
          <w:left w:val="none" w:color="000000" w:sz="0" w:space="0"/>
          <w:bottom w:val="none" w:color="000000" w:sz="0" w:space="0"/>
          <w:right w:val="none" w:color="000000" w:sz="0" w:space="0"/>
        </w:pBdr>
        <w:spacing w:before="120" w:after="120" w:line="400" w:lineRule="atLeast"/>
        <w:ind w:left="0" w:right="0" w:firstLine="480"/>
        <w:jc w:val="both"/>
      </w:pPr>
      <w:r>
        <w:rPr>
          <w:rFonts w:ascii="宋体" w:hAnsi="宋体" w:eastAsia="宋体" w:cs="宋体"/>
          <w:color w:val="000000"/>
          <w:sz w:val="24"/>
        </w:rPr>
        <w:t>6、联合体各方均为小型、微型企业（残疾人福利单位、监狱企业）的，联合体享受</w:t>
      </w:r>
      <w:r>
        <w:rPr>
          <w:rFonts w:ascii="宋体" w:hAnsi="宋体" w:eastAsia="宋体" w:cs="宋体"/>
          <w:color w:val="000000"/>
          <w:sz w:val="24"/>
          <w:highlight w:val="none"/>
          <w:u w:val="single"/>
        </w:rPr>
        <w:t>20%</w:t>
      </w:r>
      <w:r>
        <w:rPr>
          <w:rFonts w:ascii="宋体" w:hAnsi="宋体" w:eastAsia="宋体" w:cs="宋体"/>
          <w:color w:val="000000"/>
          <w:sz w:val="24"/>
        </w:rPr>
        <w:t>价格扣除，用扣除后的价格参与评审。</w:t>
      </w:r>
    </w:p>
    <w:tbl>
      <w:tblPr>
        <w:tblStyle w:val="34"/>
        <w:tblW w:w="9367" w:type="dxa"/>
        <w:tblInd w:w="-252" w:type="dxa"/>
        <w:tblLayout w:type="fixed"/>
        <w:tblCellMar>
          <w:top w:w="0" w:type="dxa"/>
          <w:left w:w="108" w:type="dxa"/>
          <w:bottom w:w="0" w:type="dxa"/>
          <w:right w:w="108" w:type="dxa"/>
        </w:tblCellMar>
      </w:tblPr>
      <w:tblGrid>
        <w:gridCol w:w="1218"/>
        <w:gridCol w:w="1059"/>
        <w:gridCol w:w="7090"/>
      </w:tblGrid>
      <w:tr>
        <w:tblPrEx>
          <w:tblLayout w:type="fixed"/>
          <w:tblCellMar>
            <w:top w:w="0" w:type="dxa"/>
            <w:left w:w="108" w:type="dxa"/>
            <w:bottom w:w="0" w:type="dxa"/>
            <w:right w:w="108" w:type="dxa"/>
          </w:tblCellMar>
        </w:tblPrEx>
        <w:trPr>
          <w:trHeight w:val="312" w:hRule="atLeast"/>
        </w:trPr>
        <w:tc>
          <w:tcPr>
            <w:tcW w:w="227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项目</w:t>
            </w:r>
          </w:p>
        </w:tc>
        <w:tc>
          <w:tcPr>
            <w:tcW w:w="709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评分</w:t>
            </w:r>
            <w:r>
              <w:rPr>
                <w:rFonts w:hint="eastAsia" w:ascii="宋体" w:hAnsi="宋体" w:eastAsia="宋体" w:cs="宋体"/>
                <w:b/>
                <w:bCs/>
                <w:color w:val="000000"/>
                <w:sz w:val="24"/>
                <w:szCs w:val="24"/>
                <w:lang w:val="en-US" w:eastAsia="zh-CN" w:bidi="ar"/>
              </w:rPr>
              <w:t>标准</w:t>
            </w:r>
          </w:p>
        </w:tc>
      </w:tr>
      <w:tr>
        <w:tblPrEx>
          <w:tblLayout w:type="fixed"/>
          <w:tblCellMar>
            <w:top w:w="0" w:type="dxa"/>
            <w:left w:w="108" w:type="dxa"/>
            <w:bottom w:w="0" w:type="dxa"/>
            <w:right w:w="108" w:type="dxa"/>
          </w:tblCellMar>
        </w:tblPrEx>
        <w:trPr>
          <w:trHeight w:val="1245" w:hRule="atLeast"/>
        </w:trPr>
        <w:tc>
          <w:tcPr>
            <w:tcW w:w="227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价格（10分）</w:t>
            </w:r>
          </w:p>
        </w:tc>
        <w:tc>
          <w:tcPr>
            <w:tcW w:w="709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以满足招标文件要求的最低投标报价为评标基准价，得满分10分，其他投标报价得分=（评标基准价/其他投标报价）×10×100%。</w:t>
            </w:r>
          </w:p>
        </w:tc>
      </w:tr>
      <w:tr>
        <w:tblPrEx>
          <w:tblLayout w:type="fixed"/>
          <w:tblCellMar>
            <w:top w:w="0" w:type="dxa"/>
            <w:left w:w="108" w:type="dxa"/>
            <w:bottom w:w="0" w:type="dxa"/>
            <w:right w:w="108" w:type="dxa"/>
          </w:tblCellMar>
        </w:tblPrEx>
        <w:trPr>
          <w:trHeight w:val="1811" w:hRule="atLeast"/>
        </w:trPr>
        <w:tc>
          <w:tcPr>
            <w:tcW w:w="1218"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技术部分</w:t>
            </w:r>
            <w:r>
              <w:rPr>
                <w:rFonts w:hint="eastAsia" w:ascii="宋体" w:hAnsi="宋体" w:eastAsia="宋体" w:cs="宋体"/>
                <w:color w:val="000000"/>
                <w:sz w:val="24"/>
                <w:szCs w:val="24"/>
                <w:highlight w:val="none"/>
                <w:lang w:eastAsia="zh-CN" w:bidi="ar"/>
              </w:rPr>
              <w:t>（</w:t>
            </w:r>
            <w:r>
              <w:rPr>
                <w:rFonts w:hint="eastAsia" w:ascii="宋体" w:hAnsi="宋体" w:cs="宋体"/>
                <w:color w:val="000000"/>
                <w:sz w:val="24"/>
                <w:szCs w:val="24"/>
                <w:highlight w:val="none"/>
                <w:lang w:val="en-US" w:eastAsia="zh-CN" w:bidi="ar"/>
              </w:rPr>
              <w:t>60</w:t>
            </w:r>
            <w:r>
              <w:rPr>
                <w:rFonts w:hint="eastAsia" w:ascii="宋体" w:hAnsi="宋体" w:eastAsia="宋体" w:cs="宋体"/>
                <w:color w:val="000000"/>
                <w:sz w:val="24"/>
                <w:szCs w:val="24"/>
                <w:lang w:eastAsia="zh-CN" w:bidi="ar"/>
              </w:rPr>
              <w:t>分）</w:t>
            </w:r>
          </w:p>
        </w:tc>
        <w:tc>
          <w:tcPr>
            <w:tcW w:w="1059" w:type="dxa"/>
            <w:tcBorders>
              <w:top w:val="single" w:color="000000" w:sz="4" w:space="0"/>
              <w:left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项目实施方案</w:t>
            </w:r>
          </w:p>
        </w:tc>
        <w:tc>
          <w:tcPr>
            <w:tcW w:w="709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投标人需根据本项目需求提供项目实施方案，实施方案需包含项目管理、项目进度管理，项目组织管理，项目风险管理。</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1、实施方案优于采购文件要求的得5分；</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2、实施方案符合采购文件要求的得3分；</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3、实施方案不符合采购文件</w:t>
            </w:r>
            <w:r>
              <w:rPr>
                <w:rFonts w:hint="eastAsia" w:ascii="宋体" w:hAnsi="宋体" w:cs="宋体"/>
                <w:color w:val="000000"/>
                <w:sz w:val="24"/>
                <w:szCs w:val="24"/>
                <w:lang w:val="en-US" w:eastAsia="zh-CN"/>
              </w:rPr>
              <w:t>要求</w:t>
            </w:r>
            <w:r>
              <w:rPr>
                <w:rFonts w:hint="eastAsia" w:ascii="宋体" w:hAnsi="宋体" w:eastAsia="宋体" w:cs="宋体"/>
                <w:color w:val="000000"/>
                <w:sz w:val="24"/>
                <w:szCs w:val="24"/>
                <w:lang w:eastAsia="zh-CN"/>
              </w:rPr>
              <w:t>或未提供</w:t>
            </w:r>
            <w:r>
              <w:rPr>
                <w:rFonts w:hint="eastAsia" w:ascii="宋体" w:hAnsi="宋体" w:eastAsia="宋体" w:cs="宋体"/>
                <w:color w:val="000000"/>
                <w:sz w:val="24"/>
                <w:szCs w:val="24"/>
                <w:lang w:val="en-US" w:eastAsia="zh-CN"/>
              </w:rPr>
              <w:t>的</w:t>
            </w:r>
            <w:r>
              <w:rPr>
                <w:rFonts w:hint="eastAsia" w:ascii="宋体" w:hAnsi="宋体" w:eastAsia="宋体" w:cs="宋体"/>
                <w:color w:val="000000"/>
                <w:sz w:val="24"/>
                <w:szCs w:val="24"/>
                <w:lang w:eastAsia="zh-CN"/>
              </w:rPr>
              <w:t>不得分。</w:t>
            </w:r>
          </w:p>
        </w:tc>
      </w:tr>
      <w:tr>
        <w:tblPrEx>
          <w:tblLayout w:type="fixed"/>
          <w:tblCellMar>
            <w:top w:w="0" w:type="dxa"/>
            <w:left w:w="108" w:type="dxa"/>
            <w:bottom w:w="0" w:type="dxa"/>
            <w:right w:w="108" w:type="dxa"/>
          </w:tblCellMar>
        </w:tblPrEx>
        <w:trPr>
          <w:trHeight w:val="1200"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项目售后方案</w:t>
            </w:r>
          </w:p>
        </w:tc>
        <w:tc>
          <w:tcPr>
            <w:tcW w:w="709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投标人需根据本项目提供详细的售后服务方案，投标人需根据本项目提供售后服务方案，方案内容包括但不限于服务管理策略、维护响应方式、技术支持和售后服务组织等。</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1、售后服务方案优于采购文件要求的得5分；</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2、售后服务方案符合采购文件要求的得3分；</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3、售后服务方案不符合采购文件</w:t>
            </w:r>
            <w:r>
              <w:rPr>
                <w:rFonts w:hint="eastAsia" w:ascii="宋体" w:hAnsi="宋体" w:cs="宋体"/>
                <w:color w:val="000000"/>
                <w:sz w:val="24"/>
                <w:szCs w:val="24"/>
                <w:lang w:val="en-US" w:eastAsia="zh-CN"/>
              </w:rPr>
              <w:t>要求</w:t>
            </w:r>
            <w:r>
              <w:rPr>
                <w:rFonts w:hint="eastAsia" w:ascii="宋体" w:hAnsi="宋体" w:eastAsia="宋体" w:cs="宋体"/>
                <w:color w:val="000000"/>
                <w:sz w:val="24"/>
                <w:szCs w:val="24"/>
                <w:lang w:eastAsia="zh-CN"/>
              </w:rPr>
              <w:t>或未提供</w:t>
            </w:r>
            <w:r>
              <w:rPr>
                <w:rFonts w:hint="eastAsia" w:ascii="宋体" w:hAnsi="宋体" w:eastAsia="宋体" w:cs="宋体"/>
                <w:color w:val="000000"/>
                <w:sz w:val="24"/>
                <w:szCs w:val="24"/>
                <w:lang w:val="en-US" w:eastAsia="zh-CN"/>
              </w:rPr>
              <w:t>的</w:t>
            </w:r>
            <w:r>
              <w:rPr>
                <w:rFonts w:hint="eastAsia" w:ascii="宋体" w:hAnsi="宋体" w:eastAsia="宋体" w:cs="宋体"/>
                <w:color w:val="000000"/>
                <w:sz w:val="24"/>
                <w:szCs w:val="24"/>
                <w:lang w:eastAsia="zh-CN"/>
              </w:rPr>
              <w:t>不得分。</w:t>
            </w:r>
          </w:p>
        </w:tc>
      </w:tr>
      <w:tr>
        <w:tblPrEx>
          <w:tblLayout w:type="fixed"/>
          <w:tblCellMar>
            <w:top w:w="0" w:type="dxa"/>
            <w:left w:w="108" w:type="dxa"/>
            <w:bottom w:w="0" w:type="dxa"/>
            <w:right w:w="108" w:type="dxa"/>
          </w:tblCellMar>
        </w:tblPrEx>
        <w:trPr>
          <w:trHeight w:val="1200"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项目培训方案</w:t>
            </w:r>
          </w:p>
        </w:tc>
        <w:tc>
          <w:tcPr>
            <w:tcW w:w="709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投标人需根据本项目提供详细的培训方案，培训方案需包含培训目标、培训计划、培训方式、培训内容。</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1、培训方案优于采购文件要求的得5分；</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2、培训方案符合采购文件要求的得3分；</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3、培训方案不符合采购文件</w:t>
            </w:r>
            <w:r>
              <w:rPr>
                <w:rFonts w:hint="eastAsia" w:ascii="宋体" w:hAnsi="宋体" w:cs="宋体"/>
                <w:color w:val="000000"/>
                <w:sz w:val="24"/>
                <w:szCs w:val="24"/>
                <w:lang w:val="en-US" w:eastAsia="zh-CN"/>
              </w:rPr>
              <w:t>要求</w:t>
            </w:r>
            <w:r>
              <w:rPr>
                <w:rFonts w:hint="eastAsia" w:ascii="宋体" w:hAnsi="宋体" w:eastAsia="宋体" w:cs="宋体"/>
                <w:color w:val="000000"/>
                <w:sz w:val="24"/>
                <w:szCs w:val="24"/>
                <w:lang w:eastAsia="zh-CN"/>
              </w:rPr>
              <w:t>或未提供</w:t>
            </w:r>
            <w:r>
              <w:rPr>
                <w:rFonts w:hint="eastAsia" w:ascii="宋体" w:hAnsi="宋体" w:eastAsia="宋体" w:cs="宋体"/>
                <w:color w:val="000000"/>
                <w:sz w:val="24"/>
                <w:szCs w:val="24"/>
                <w:lang w:val="en-US" w:eastAsia="zh-CN"/>
              </w:rPr>
              <w:t>的</w:t>
            </w:r>
            <w:r>
              <w:rPr>
                <w:rFonts w:hint="eastAsia" w:ascii="宋体" w:hAnsi="宋体" w:eastAsia="宋体" w:cs="宋体"/>
                <w:color w:val="000000"/>
                <w:sz w:val="24"/>
                <w:szCs w:val="24"/>
                <w:lang w:eastAsia="zh-CN"/>
              </w:rPr>
              <w:t>不得分。</w:t>
            </w:r>
          </w:p>
        </w:tc>
      </w:tr>
      <w:tr>
        <w:tblPrEx>
          <w:tblLayout w:type="fixed"/>
          <w:tblCellMar>
            <w:top w:w="0" w:type="dxa"/>
            <w:left w:w="108" w:type="dxa"/>
            <w:bottom w:w="0" w:type="dxa"/>
            <w:right w:w="108" w:type="dxa"/>
          </w:tblCellMar>
        </w:tblPrEx>
        <w:trPr>
          <w:trHeight w:val="928"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评级设计方案</w:t>
            </w:r>
          </w:p>
        </w:tc>
        <w:tc>
          <w:tcPr>
            <w:tcW w:w="7090" w:type="dxa"/>
            <w:tcBorders>
              <w:top w:val="single" w:color="000000" w:sz="4" w:space="0"/>
              <w:left w:val="single" w:color="000000" w:sz="4" w:space="0"/>
              <w:bottom w:val="single" w:color="auto" w:sz="4" w:space="0"/>
              <w:right w:val="single" w:color="000000" w:sz="4" w:space="0"/>
            </w:tcBorders>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投标人需对电子病历评级进行分析，为评级项目提供评级整体的指导服务，评级设计方案需包含差异分析规划、评审过程指导、实证材料审核、评级迎检培训等。</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1、培训方案优于采购文件要求的得5分；</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2、培训方案符合采购文件要求的得3分；</w:t>
            </w:r>
            <w:r>
              <w:rPr>
                <w:rFonts w:hint="eastAsia" w:ascii="宋体" w:hAnsi="宋体" w:eastAsia="宋体" w:cs="宋体"/>
                <w:color w:val="000000"/>
                <w:sz w:val="24"/>
                <w:szCs w:val="24"/>
                <w:lang w:eastAsia="zh-CN"/>
              </w:rPr>
              <w:br w:type="textWrapping"/>
            </w:r>
            <w:r>
              <w:rPr>
                <w:rFonts w:hint="eastAsia" w:ascii="宋体" w:hAnsi="宋体" w:eastAsia="宋体" w:cs="宋体"/>
                <w:color w:val="000000"/>
                <w:sz w:val="24"/>
                <w:szCs w:val="24"/>
                <w:lang w:eastAsia="zh-CN"/>
              </w:rPr>
              <w:t>3、培训方案不符合采购文件</w:t>
            </w:r>
            <w:r>
              <w:rPr>
                <w:rFonts w:hint="eastAsia" w:ascii="宋体" w:hAnsi="宋体" w:cs="宋体"/>
                <w:color w:val="000000"/>
                <w:sz w:val="24"/>
                <w:szCs w:val="24"/>
                <w:lang w:val="en-US" w:eastAsia="zh-CN"/>
              </w:rPr>
              <w:t>要求</w:t>
            </w:r>
            <w:r>
              <w:rPr>
                <w:rFonts w:hint="eastAsia" w:ascii="宋体" w:hAnsi="宋体" w:eastAsia="宋体" w:cs="宋体"/>
                <w:color w:val="000000"/>
                <w:sz w:val="24"/>
                <w:szCs w:val="24"/>
                <w:lang w:eastAsia="zh-CN"/>
              </w:rPr>
              <w:t>或未提供</w:t>
            </w:r>
            <w:r>
              <w:rPr>
                <w:rFonts w:hint="eastAsia" w:ascii="宋体" w:hAnsi="宋体" w:eastAsia="宋体" w:cs="宋体"/>
                <w:color w:val="000000"/>
                <w:sz w:val="24"/>
                <w:szCs w:val="24"/>
                <w:lang w:val="en-US" w:eastAsia="zh-CN"/>
              </w:rPr>
              <w:t>的</w:t>
            </w:r>
            <w:r>
              <w:rPr>
                <w:rFonts w:hint="eastAsia" w:ascii="宋体" w:hAnsi="宋体" w:eastAsia="宋体" w:cs="宋体"/>
                <w:color w:val="000000"/>
                <w:sz w:val="24"/>
                <w:szCs w:val="24"/>
                <w:lang w:eastAsia="zh-CN"/>
              </w:rPr>
              <w:t>不得分。</w:t>
            </w:r>
          </w:p>
        </w:tc>
      </w:tr>
      <w:tr>
        <w:tblPrEx>
          <w:tblLayout w:type="fixed"/>
          <w:tblCellMar>
            <w:top w:w="0" w:type="dxa"/>
            <w:left w:w="108" w:type="dxa"/>
            <w:bottom w:w="0" w:type="dxa"/>
            <w:right w:w="108" w:type="dxa"/>
          </w:tblCellMar>
        </w:tblPrEx>
        <w:trPr>
          <w:trHeight w:val="928" w:hRule="atLeast"/>
        </w:trPr>
        <w:tc>
          <w:tcPr>
            <w:tcW w:w="1218" w:type="dxa"/>
            <w:vMerge w:val="continue"/>
            <w:tcBorders>
              <w:left w:val="single" w:color="000000" w:sz="4" w:space="0"/>
              <w:bottom w:val="single" w:color="000000" w:sz="4" w:space="0"/>
              <w:right w:val="single" w:color="000000" w:sz="4" w:space="0"/>
            </w:tcBorders>
            <w:vAlign w:val="center"/>
          </w:tcPr>
          <w:p>
            <w:pPr>
              <w:jc w:val="center"/>
            </w:pPr>
          </w:p>
        </w:tc>
        <w:tc>
          <w:tcPr>
            <w:tcW w:w="1059" w:type="dxa"/>
            <w:tcBorders>
              <w:top w:val="single" w:color="000000" w:sz="4" w:space="0"/>
              <w:left w:val="single" w:color="000000" w:sz="4" w:space="0"/>
              <w:bottom w:val="single" w:color="000000" w:sz="4" w:space="0"/>
              <w:right w:val="single" w:color="auto" w:sz="4" w:space="0"/>
            </w:tcBorders>
            <w:vAlign w:val="center"/>
          </w:tcPr>
          <w:p>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历史数据迁移方案</w:t>
            </w:r>
          </w:p>
        </w:tc>
        <w:tc>
          <w:tcPr>
            <w:tcW w:w="709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投标人需根据本项目提供历史数据迁移方案，方案内容包括但不限于</w:t>
            </w:r>
            <w:r>
              <w:rPr>
                <w:rFonts w:hint="eastAsia" w:ascii="宋体" w:hAnsi="宋体" w:cs="宋体"/>
                <w:color w:val="000000"/>
                <w:sz w:val="24"/>
                <w:szCs w:val="24"/>
                <w:highlight w:val="none"/>
                <w:lang w:val="en-US" w:eastAsia="zh-CN"/>
              </w:rPr>
              <w:t>历史数据解析、设计规划、保障措施</w:t>
            </w:r>
            <w:r>
              <w:rPr>
                <w:rFonts w:hint="eastAsia" w:ascii="宋体" w:hAnsi="宋体" w:cs="宋体"/>
                <w:color w:val="000000"/>
                <w:sz w:val="24"/>
                <w:szCs w:val="24"/>
                <w:highlight w:val="none"/>
              </w:rPr>
              <w:t>等。</w:t>
            </w:r>
          </w:p>
          <w:p>
            <w:pPr>
              <w:jc w:val="both"/>
              <w:rPr>
                <w:rFonts w:hint="eastAsia" w:ascii="宋体" w:hAnsi="宋体" w:eastAsia="宋体" w:cs="宋体"/>
                <w:color w:val="000000"/>
                <w:sz w:val="24"/>
                <w:szCs w:val="24"/>
              </w:rPr>
            </w:pPr>
            <w:r>
              <w:rPr>
                <w:rFonts w:hint="eastAsia" w:ascii="宋体" w:hAnsi="宋体" w:cs="宋体"/>
                <w:color w:val="000000"/>
                <w:sz w:val="24"/>
                <w:szCs w:val="24"/>
                <w:highlight w:val="none"/>
              </w:rPr>
              <w:t>1、历史数据迁移方案优于采购文件要求的得5分；</w:t>
            </w:r>
            <w:r>
              <w:rPr>
                <w:rFonts w:hint="eastAsia" w:ascii="宋体" w:hAnsi="宋体" w:cs="宋体"/>
                <w:color w:val="000000"/>
                <w:sz w:val="24"/>
                <w:szCs w:val="24"/>
                <w:highlight w:val="none"/>
              </w:rPr>
              <w:br w:type="textWrapping"/>
            </w:r>
            <w:r>
              <w:rPr>
                <w:rFonts w:hint="eastAsia" w:ascii="宋体" w:hAnsi="宋体" w:cs="宋体"/>
                <w:color w:val="000000"/>
                <w:sz w:val="24"/>
                <w:szCs w:val="24"/>
                <w:highlight w:val="none"/>
              </w:rPr>
              <w:t>2、历史数据迁移方案符合采购文件要求的得3分；</w:t>
            </w:r>
            <w:r>
              <w:rPr>
                <w:rFonts w:hint="eastAsia" w:ascii="宋体" w:hAnsi="宋体" w:cs="宋体"/>
                <w:color w:val="000000"/>
                <w:sz w:val="24"/>
                <w:szCs w:val="24"/>
                <w:highlight w:val="none"/>
              </w:rPr>
              <w:br w:type="textWrapping"/>
            </w:r>
            <w:r>
              <w:rPr>
                <w:rFonts w:hint="eastAsia" w:ascii="宋体" w:hAnsi="宋体" w:cs="宋体"/>
                <w:color w:val="000000"/>
                <w:sz w:val="24"/>
                <w:szCs w:val="24"/>
                <w:highlight w:val="none"/>
              </w:rPr>
              <w:t>3、历史数据迁移方案不符合采购文件</w:t>
            </w:r>
            <w:r>
              <w:rPr>
                <w:rFonts w:hint="eastAsia" w:ascii="宋体" w:hAnsi="宋体" w:cs="宋体"/>
                <w:color w:val="000000"/>
                <w:sz w:val="24"/>
                <w:szCs w:val="24"/>
                <w:highlight w:val="none"/>
                <w:lang w:val="en-US" w:eastAsia="zh-CN"/>
              </w:rPr>
              <w:t>要求</w:t>
            </w:r>
            <w:r>
              <w:rPr>
                <w:rFonts w:hint="eastAsia" w:ascii="宋体" w:hAnsi="宋体" w:cs="宋体"/>
                <w:color w:val="000000"/>
                <w:sz w:val="24"/>
                <w:szCs w:val="24"/>
                <w:highlight w:val="none"/>
              </w:rPr>
              <w:t>或未提供的不得分。</w:t>
            </w:r>
          </w:p>
        </w:tc>
      </w:tr>
      <w:tr>
        <w:tblPrEx>
          <w:tblLayout w:type="fixed"/>
          <w:tblCellMar>
            <w:top w:w="0" w:type="dxa"/>
            <w:left w:w="108" w:type="dxa"/>
            <w:bottom w:w="0" w:type="dxa"/>
            <w:right w:w="108" w:type="dxa"/>
          </w:tblCellMar>
        </w:tblPrEx>
        <w:trPr>
          <w:trHeight w:val="1040"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系统知识产权</w:t>
            </w:r>
          </w:p>
        </w:tc>
        <w:tc>
          <w:tcPr>
            <w:tcW w:w="7090" w:type="dxa"/>
            <w:tcBorders>
              <w:top w:val="single" w:color="auto" w:sz="4" w:space="0"/>
              <w:left w:val="single" w:color="000000" w:sz="4" w:space="0"/>
              <w:bottom w:val="single" w:color="auto" w:sz="4" w:space="0"/>
              <w:right w:val="single" w:color="000000" w:sz="4" w:space="0"/>
            </w:tcBorders>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lang w:val="en-US" w:eastAsia="zh-CN"/>
              </w:rPr>
              <w:t>需</w:t>
            </w:r>
            <w:r>
              <w:rPr>
                <w:rFonts w:hint="eastAsia" w:ascii="宋体" w:hAnsi="宋体" w:eastAsia="宋体" w:cs="宋体"/>
                <w:color w:val="000000"/>
                <w:sz w:val="24"/>
                <w:szCs w:val="24"/>
                <w:highlight w:val="none"/>
                <w:lang w:eastAsia="zh-CN"/>
              </w:rPr>
              <w:t>提供与本项目相关的</w:t>
            </w:r>
            <w:r>
              <w:rPr>
                <w:rFonts w:hint="eastAsia" w:ascii="宋体" w:hAnsi="宋体" w:cs="宋体"/>
                <w:color w:val="000000"/>
                <w:sz w:val="24"/>
                <w:szCs w:val="24"/>
                <w:highlight w:val="none"/>
                <w:lang w:val="en-US" w:eastAsia="zh-CN"/>
              </w:rPr>
              <w:t>类似</w:t>
            </w:r>
            <w:r>
              <w:rPr>
                <w:rFonts w:hint="eastAsia" w:ascii="宋体" w:hAnsi="宋体" w:eastAsia="宋体" w:cs="宋体"/>
                <w:color w:val="000000"/>
                <w:sz w:val="24"/>
                <w:szCs w:val="24"/>
                <w:highlight w:val="none"/>
                <w:lang w:eastAsia="zh-CN"/>
              </w:rPr>
              <w:t>软件著作权证书：</w:t>
            </w:r>
            <w:r>
              <w:rPr>
                <w:rFonts w:hint="eastAsia" w:ascii="宋体" w:hAnsi="宋体" w:eastAsia="宋体" w:cs="宋体"/>
                <w:color w:val="000000"/>
                <w:sz w:val="24"/>
                <w:szCs w:val="24"/>
                <w:highlight w:val="none"/>
                <w:lang w:eastAsia="zh-CN"/>
              </w:rPr>
              <w:br w:type="textWrapping"/>
            </w:r>
            <w:r>
              <w:rPr>
                <w:rFonts w:hint="eastAsia" w:ascii="宋体" w:hAnsi="宋体" w:eastAsia="宋体" w:cs="宋体"/>
                <w:color w:val="000000"/>
                <w:sz w:val="24"/>
                <w:szCs w:val="24"/>
                <w:highlight w:val="none"/>
                <w:lang w:eastAsia="zh-CN"/>
              </w:rPr>
              <w:t>1.医院</w:t>
            </w:r>
            <w:r>
              <w:rPr>
                <w:rFonts w:hint="eastAsia" w:ascii="宋体" w:hAnsi="宋体" w:cs="宋体"/>
                <w:color w:val="000000"/>
                <w:sz w:val="24"/>
                <w:szCs w:val="24"/>
                <w:highlight w:val="none"/>
                <w:lang w:val="en-US" w:eastAsia="zh-CN"/>
              </w:rPr>
              <w:t>HIS</w:t>
            </w:r>
            <w:r>
              <w:rPr>
                <w:rFonts w:hint="eastAsia" w:ascii="宋体" w:hAnsi="宋体" w:eastAsia="宋体" w:cs="宋体"/>
                <w:color w:val="000000"/>
                <w:sz w:val="24"/>
                <w:szCs w:val="24"/>
                <w:highlight w:val="none"/>
                <w:lang w:eastAsia="zh-CN"/>
              </w:rPr>
              <w:t>系统</w:t>
            </w:r>
            <w:r>
              <w:rPr>
                <w:rFonts w:hint="eastAsia" w:ascii="宋体" w:hAnsi="宋体" w:cs="宋体"/>
                <w:color w:val="000000"/>
                <w:sz w:val="24"/>
                <w:szCs w:val="24"/>
                <w:highlight w:val="none"/>
                <w:lang w:val="en-US" w:eastAsia="zh-CN"/>
              </w:rPr>
              <w:t>类</w:t>
            </w:r>
            <w:r>
              <w:rPr>
                <w:rFonts w:hint="eastAsia" w:ascii="宋体" w:hAnsi="宋体" w:eastAsia="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.手术室闭环管理系统</w:t>
            </w:r>
            <w:r>
              <w:rPr>
                <w:rFonts w:hint="eastAsia" w:ascii="宋体" w:hAnsi="宋体" w:cs="宋体"/>
                <w:color w:val="000000"/>
                <w:sz w:val="24"/>
                <w:szCs w:val="24"/>
                <w:highlight w:val="none"/>
                <w:lang w:val="en-US" w:eastAsia="zh-CN"/>
              </w:rPr>
              <w:t>类</w:t>
            </w:r>
            <w:r>
              <w:rPr>
                <w:rFonts w:hint="eastAsia" w:ascii="宋体" w:hAnsi="宋体" w:eastAsia="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.临床路径系统</w:t>
            </w:r>
            <w:r>
              <w:rPr>
                <w:rFonts w:hint="eastAsia" w:ascii="宋体" w:hAnsi="宋体" w:cs="宋体"/>
                <w:color w:val="000000"/>
                <w:sz w:val="24"/>
                <w:szCs w:val="24"/>
                <w:highlight w:val="none"/>
                <w:lang w:val="en-US" w:eastAsia="zh-CN"/>
              </w:rPr>
              <w:t>类</w:t>
            </w:r>
            <w:r>
              <w:rPr>
                <w:rFonts w:hint="eastAsia" w:ascii="宋体" w:hAnsi="宋体" w:eastAsia="宋体" w:cs="宋体"/>
                <w:color w:val="000000"/>
                <w:sz w:val="24"/>
                <w:szCs w:val="24"/>
                <w:highlight w:val="none"/>
                <w:lang w:eastAsia="zh-CN"/>
              </w:rPr>
              <w:br w:type="textWrapping"/>
            </w:r>
            <w:r>
              <w:rPr>
                <w:rFonts w:hint="eastAsia" w:ascii="宋体" w:hAnsi="宋体" w:eastAsia="宋体" w:cs="宋体"/>
                <w:color w:val="000000"/>
                <w:sz w:val="24"/>
                <w:szCs w:val="24"/>
                <w:highlight w:val="none"/>
                <w:lang w:val="en-US" w:eastAsia="zh-CN"/>
              </w:rPr>
              <w:t>每提供1项得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满分</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分。</w:t>
            </w:r>
            <w:r>
              <w:rPr>
                <w:rFonts w:hint="eastAsia" w:ascii="宋体" w:hAnsi="宋体" w:eastAsia="宋体" w:cs="宋体"/>
                <w:color w:val="000000"/>
                <w:sz w:val="24"/>
                <w:szCs w:val="24"/>
                <w:highlight w:val="none"/>
                <w:lang w:eastAsia="zh-CN"/>
              </w:rPr>
              <w:br w:type="textWrapping"/>
            </w:r>
            <w:r>
              <w:rPr>
                <w:rFonts w:hint="eastAsia" w:ascii="宋体" w:hAnsi="宋体" w:eastAsia="宋体" w:cs="宋体"/>
                <w:color w:val="000000"/>
                <w:sz w:val="24"/>
                <w:szCs w:val="24"/>
                <w:highlight w:val="none"/>
                <w:lang w:eastAsia="zh-CN"/>
              </w:rPr>
              <w:t>注：</w:t>
            </w:r>
            <w:r>
              <w:rPr>
                <w:rFonts w:hint="eastAsia" w:ascii="宋体" w:hAnsi="宋体" w:eastAsia="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.软件著作权登记证书所有人必须与投标人名称一致；</w:t>
            </w:r>
            <w:r>
              <w:rPr>
                <w:rFonts w:hint="eastAsia" w:ascii="宋体" w:hAnsi="宋体" w:eastAsia="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.投标文件中需提供软件著作权登记证书，</w:t>
            </w:r>
            <w:r>
              <w:rPr>
                <w:rFonts w:hint="eastAsia" w:ascii="宋体" w:hAnsi="宋体" w:eastAsia="宋体" w:cs="宋体"/>
                <w:color w:val="000000"/>
                <w:sz w:val="24"/>
                <w:szCs w:val="24"/>
                <w:highlight w:val="none"/>
                <w:lang w:val="en-US" w:eastAsia="zh-CN"/>
              </w:rPr>
              <w:t>扫描上传</w:t>
            </w:r>
            <w:r>
              <w:rPr>
                <w:rFonts w:hint="eastAsia" w:ascii="宋体" w:hAnsi="宋体" w:eastAsia="宋体" w:cs="宋体"/>
                <w:color w:val="000000"/>
                <w:sz w:val="24"/>
                <w:szCs w:val="24"/>
                <w:highlight w:val="none"/>
                <w:lang w:eastAsia="zh-CN"/>
              </w:rPr>
              <w:t>。</w:t>
            </w:r>
          </w:p>
        </w:tc>
      </w:tr>
      <w:tr>
        <w:tblPrEx>
          <w:tblLayout w:type="fixed"/>
          <w:tblCellMar>
            <w:top w:w="0" w:type="dxa"/>
            <w:left w:w="108" w:type="dxa"/>
            <w:bottom w:w="0" w:type="dxa"/>
            <w:right w:w="108" w:type="dxa"/>
          </w:tblCellMar>
        </w:tblPrEx>
        <w:trPr>
          <w:trHeight w:val="1040"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pPr>
          </w:p>
        </w:tc>
        <w:tc>
          <w:tcPr>
            <w:tcW w:w="1059" w:type="dxa"/>
            <w:vMerge w:val="restart"/>
            <w:tcBorders>
              <w:top w:val="single" w:color="000000" w:sz="4" w:space="0"/>
              <w:left w:val="single" w:color="000000" w:sz="4" w:space="0"/>
              <w:right w:val="single" w:color="auto" w:sz="4" w:space="0"/>
            </w:tcBorders>
            <w:vAlign w:val="center"/>
          </w:tcPr>
          <w:p>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测试报告</w:t>
            </w:r>
          </w:p>
        </w:tc>
        <w:tc>
          <w:tcPr>
            <w:tcW w:w="709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投标人所投医院管理信息系统（HIS）需要具备国产化的适配能力，具备中国软件测评中心国产化信息技术适配测试证书。</w:t>
            </w:r>
            <w:r>
              <w:rPr>
                <w:rFonts w:hint="eastAsia" w:ascii="宋体" w:hAnsi="宋体" w:cs="宋体"/>
                <w:color w:val="000000"/>
                <w:sz w:val="24"/>
                <w:szCs w:val="24"/>
                <w:highlight w:val="none"/>
              </w:rPr>
              <w:br w:type="textWrapping"/>
            </w:r>
            <w:r>
              <w:rPr>
                <w:rFonts w:hint="eastAsia" w:ascii="宋体" w:hAnsi="宋体" w:cs="宋体"/>
                <w:color w:val="000000"/>
                <w:sz w:val="24"/>
                <w:szCs w:val="24"/>
                <w:highlight w:val="none"/>
              </w:rPr>
              <w:t>其中适配环境至少包含：国产硬件服务器、国产虚拟化超融合平台、国产服务器操作系统、国产数据库管理系统、国产客户端操作系统、国产客户端浏览器内容。</w:t>
            </w:r>
            <w:r>
              <w:rPr>
                <w:rFonts w:hint="eastAsia" w:ascii="宋体" w:hAnsi="宋体" w:cs="宋体"/>
                <w:color w:val="000000"/>
                <w:sz w:val="24"/>
                <w:szCs w:val="24"/>
                <w:highlight w:val="none"/>
              </w:rPr>
              <w:br w:type="textWrapping"/>
            </w:r>
            <w:r>
              <w:rPr>
                <w:rFonts w:hint="eastAsia" w:ascii="宋体" w:hAnsi="宋体" w:cs="宋体"/>
                <w:color w:val="000000"/>
                <w:sz w:val="24"/>
                <w:szCs w:val="24"/>
                <w:highlight w:val="none"/>
              </w:rPr>
              <w:t>提供产品适配测试证书得3分。</w:t>
            </w:r>
            <w:r>
              <w:rPr>
                <w:rFonts w:hint="eastAsia" w:ascii="宋体" w:hAnsi="宋体" w:cs="宋体"/>
                <w:color w:val="000000"/>
                <w:sz w:val="24"/>
                <w:szCs w:val="24"/>
                <w:highlight w:val="none"/>
              </w:rPr>
              <w:br w:type="textWrapping"/>
            </w:r>
            <w:r>
              <w:rPr>
                <w:rFonts w:hint="eastAsia" w:ascii="宋体" w:hAnsi="宋体" w:cs="宋体"/>
                <w:color w:val="000000"/>
                <w:sz w:val="24"/>
                <w:szCs w:val="24"/>
                <w:highlight w:val="none"/>
              </w:rPr>
              <w:t>注：</w:t>
            </w:r>
            <w:r>
              <w:rPr>
                <w:rFonts w:hint="eastAsia" w:ascii="宋体" w:hAnsi="宋体" w:cs="宋体"/>
                <w:color w:val="000000"/>
                <w:sz w:val="24"/>
                <w:szCs w:val="24"/>
                <w:highlight w:val="none"/>
                <w:lang w:val="en-US" w:eastAsia="zh-CN"/>
              </w:rPr>
              <w:t>需</w:t>
            </w:r>
            <w:r>
              <w:rPr>
                <w:rFonts w:hint="eastAsia" w:ascii="宋体" w:hAnsi="宋体" w:cs="宋体"/>
                <w:color w:val="000000"/>
                <w:sz w:val="24"/>
                <w:szCs w:val="24"/>
                <w:highlight w:val="none"/>
              </w:rPr>
              <w:t>提供证书</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扫描上传</w:t>
            </w:r>
            <w:r>
              <w:rPr>
                <w:rFonts w:hint="eastAsia" w:ascii="宋体" w:hAnsi="宋体" w:cs="宋体"/>
                <w:color w:val="000000"/>
                <w:sz w:val="24"/>
                <w:szCs w:val="24"/>
                <w:highlight w:val="none"/>
              </w:rPr>
              <w:t>。</w:t>
            </w:r>
          </w:p>
        </w:tc>
      </w:tr>
      <w:tr>
        <w:tblPrEx>
          <w:tblLayout w:type="fixed"/>
          <w:tblCellMar>
            <w:top w:w="0" w:type="dxa"/>
            <w:left w:w="108" w:type="dxa"/>
            <w:bottom w:w="0" w:type="dxa"/>
            <w:right w:w="108" w:type="dxa"/>
          </w:tblCellMar>
        </w:tblPrEx>
        <w:trPr>
          <w:trHeight w:val="1040" w:hRule="atLeast"/>
        </w:trPr>
        <w:tc>
          <w:tcPr>
            <w:tcW w:w="1218" w:type="dxa"/>
            <w:vMerge w:val="continue"/>
            <w:tcBorders>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vMerge w:val="continue"/>
            <w:tcBorders>
              <w:left w:val="single" w:color="000000" w:sz="4" w:space="0"/>
              <w:bottom w:val="single" w:color="000000" w:sz="4" w:space="0"/>
              <w:right w:val="single" w:color="auto" w:sz="4" w:space="0"/>
            </w:tcBorders>
            <w:vAlign w:val="center"/>
          </w:tcPr>
          <w:p>
            <w:pPr>
              <w:jc w:val="center"/>
              <w:rPr>
                <w:rFonts w:hint="eastAsia" w:ascii="宋体" w:hAnsi="宋体" w:eastAsia="宋体" w:cs="宋体"/>
                <w:color w:val="000000"/>
                <w:sz w:val="24"/>
                <w:szCs w:val="24"/>
                <w:highlight w:val="none"/>
              </w:rPr>
            </w:pPr>
          </w:p>
        </w:tc>
        <w:tc>
          <w:tcPr>
            <w:tcW w:w="709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投标人所投电子病历系统（EMR）需具备中国软件测评中心国产化信息技术适配测试证书。</w:t>
            </w:r>
            <w:r>
              <w:rPr>
                <w:rFonts w:hint="eastAsia" w:ascii="宋体" w:hAnsi="宋体" w:cs="宋体"/>
                <w:color w:val="000000"/>
                <w:sz w:val="24"/>
                <w:szCs w:val="24"/>
                <w:highlight w:val="none"/>
              </w:rPr>
              <w:br w:type="textWrapping"/>
            </w:r>
            <w:r>
              <w:rPr>
                <w:rFonts w:hint="eastAsia" w:ascii="宋体" w:hAnsi="宋体" w:cs="宋体"/>
                <w:color w:val="000000"/>
                <w:sz w:val="24"/>
                <w:szCs w:val="24"/>
                <w:highlight w:val="none"/>
              </w:rPr>
              <w:t>其中适配环境至少包含：国产硬件服务器、国产虚拟化超融合平台、国产服务器操作系统、国产数据库管理系统、国产客户端操作系统、国产客户端浏览器内容。</w:t>
            </w:r>
            <w:r>
              <w:rPr>
                <w:rFonts w:hint="eastAsia" w:ascii="宋体" w:hAnsi="宋体" w:cs="宋体"/>
                <w:color w:val="000000"/>
                <w:sz w:val="24"/>
                <w:szCs w:val="24"/>
                <w:highlight w:val="none"/>
              </w:rPr>
              <w:br w:type="textWrapping"/>
            </w:r>
            <w:r>
              <w:rPr>
                <w:rFonts w:hint="eastAsia" w:ascii="宋体" w:hAnsi="宋体" w:cs="宋体"/>
                <w:color w:val="000000"/>
                <w:sz w:val="24"/>
                <w:szCs w:val="24"/>
                <w:highlight w:val="none"/>
              </w:rPr>
              <w:t>提供产品适配测试证书得3分。</w:t>
            </w:r>
            <w:r>
              <w:rPr>
                <w:rFonts w:hint="eastAsia" w:ascii="宋体" w:hAnsi="宋体" w:cs="宋体"/>
                <w:color w:val="000000"/>
                <w:sz w:val="24"/>
                <w:szCs w:val="24"/>
                <w:highlight w:val="none"/>
              </w:rPr>
              <w:br w:type="textWrapping"/>
            </w:r>
            <w:r>
              <w:rPr>
                <w:rFonts w:hint="eastAsia" w:ascii="宋体" w:hAnsi="宋体" w:cs="宋体"/>
                <w:color w:val="000000"/>
                <w:sz w:val="24"/>
                <w:szCs w:val="24"/>
                <w:highlight w:val="none"/>
              </w:rPr>
              <w:t>注：</w:t>
            </w:r>
            <w:r>
              <w:rPr>
                <w:rFonts w:hint="eastAsia" w:ascii="宋体" w:hAnsi="宋体" w:cs="宋体"/>
                <w:color w:val="000000"/>
                <w:sz w:val="24"/>
                <w:szCs w:val="24"/>
                <w:highlight w:val="none"/>
                <w:lang w:val="en-US" w:eastAsia="zh-CN"/>
              </w:rPr>
              <w:t>需</w:t>
            </w:r>
            <w:r>
              <w:rPr>
                <w:rFonts w:hint="eastAsia" w:ascii="宋体" w:hAnsi="宋体" w:cs="宋体"/>
                <w:color w:val="000000"/>
                <w:sz w:val="24"/>
                <w:szCs w:val="24"/>
                <w:highlight w:val="none"/>
              </w:rPr>
              <w:t>提供证书</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扫描上传</w:t>
            </w:r>
            <w:r>
              <w:rPr>
                <w:rFonts w:hint="eastAsia" w:ascii="宋体" w:hAnsi="宋体" w:cs="宋体"/>
                <w:color w:val="000000"/>
                <w:sz w:val="24"/>
                <w:szCs w:val="24"/>
                <w:highlight w:val="none"/>
              </w:rPr>
              <w:t>。</w:t>
            </w:r>
          </w:p>
        </w:tc>
      </w:tr>
      <w:tr>
        <w:tblPrEx>
          <w:tblLayout w:type="fixed"/>
          <w:tblCellMar>
            <w:top w:w="0" w:type="dxa"/>
            <w:left w:w="108" w:type="dxa"/>
            <w:bottom w:w="0" w:type="dxa"/>
            <w:right w:w="108" w:type="dxa"/>
          </w:tblCellMar>
        </w:tblPrEx>
        <w:trPr>
          <w:trHeight w:val="428"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tcBorders>
              <w:top w:val="single" w:color="000000" w:sz="4" w:space="0"/>
              <w:left w:val="single" w:color="000000" w:sz="4" w:space="0"/>
              <w:bottom w:val="single" w:color="000000" w:sz="4" w:space="0"/>
              <w:right w:val="single" w:color="auto"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系统功能响应</w:t>
            </w:r>
          </w:p>
        </w:tc>
        <w:tc>
          <w:tcPr>
            <w:tcW w:w="709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标▲项为重点指标，</w:t>
            </w:r>
            <w:r>
              <w:rPr>
                <w:rFonts w:hint="eastAsia" w:ascii="宋体" w:hAnsi="宋体" w:eastAsia="宋体" w:cs="宋体"/>
                <w:color w:val="000000"/>
                <w:sz w:val="24"/>
                <w:szCs w:val="24"/>
                <w:lang w:val="en-US" w:eastAsia="zh-CN" w:bidi="ar"/>
              </w:rPr>
              <w:t>全部满足要求得</w:t>
            </w:r>
            <w:r>
              <w:rPr>
                <w:rFonts w:hint="eastAsia" w:ascii="宋体" w:hAnsi="宋体" w:cs="宋体"/>
                <w:color w:val="000000"/>
                <w:sz w:val="24"/>
                <w:szCs w:val="24"/>
                <w:highlight w:val="none"/>
                <w:lang w:val="en-US" w:eastAsia="zh-CN" w:bidi="ar"/>
              </w:rPr>
              <w:t>15</w:t>
            </w:r>
            <w:r>
              <w:rPr>
                <w:rFonts w:hint="eastAsia" w:ascii="宋体" w:hAnsi="宋体" w:eastAsia="宋体" w:cs="宋体"/>
                <w:color w:val="000000"/>
                <w:sz w:val="24"/>
                <w:szCs w:val="24"/>
                <w:lang w:val="en-US" w:eastAsia="zh-CN" w:bidi="ar"/>
              </w:rPr>
              <w:t>分，</w:t>
            </w:r>
            <w:r>
              <w:rPr>
                <w:rFonts w:hint="eastAsia" w:ascii="宋体" w:hAnsi="宋体" w:eastAsia="宋体" w:cs="宋体"/>
                <w:color w:val="000000"/>
                <w:sz w:val="24"/>
                <w:szCs w:val="24"/>
                <w:lang w:eastAsia="zh-CN" w:bidi="ar"/>
              </w:rPr>
              <w:t>每有一项</w:t>
            </w:r>
            <w:r>
              <w:rPr>
                <w:rFonts w:hint="eastAsia" w:ascii="宋体" w:hAnsi="宋体" w:eastAsia="宋体" w:cs="宋体"/>
                <w:color w:val="000000"/>
                <w:sz w:val="24"/>
                <w:szCs w:val="24"/>
                <w:lang w:val="en-US" w:eastAsia="zh-CN" w:bidi="ar"/>
              </w:rPr>
              <w:t>不满足</w:t>
            </w:r>
            <w:r>
              <w:rPr>
                <w:rFonts w:hint="eastAsia" w:ascii="宋体" w:hAnsi="宋体" w:eastAsia="宋体" w:cs="宋体"/>
                <w:color w:val="000000"/>
                <w:sz w:val="24"/>
                <w:szCs w:val="24"/>
                <w:lang w:eastAsia="zh-CN" w:bidi="ar"/>
              </w:rPr>
              <w:t>扣1分。（需按要求提供相应系统界面截图，否则不得分）</w:t>
            </w:r>
          </w:p>
        </w:tc>
      </w:tr>
      <w:tr>
        <w:tblPrEx>
          <w:tblLayout w:type="fixed"/>
          <w:tblCellMar>
            <w:top w:w="0" w:type="dxa"/>
            <w:left w:w="108" w:type="dxa"/>
            <w:bottom w:w="0" w:type="dxa"/>
            <w:right w:w="108" w:type="dxa"/>
          </w:tblCellMar>
        </w:tblPrEx>
        <w:trPr>
          <w:trHeight w:val="428" w:hRule="atLeast"/>
        </w:trPr>
        <w:tc>
          <w:tcPr>
            <w:tcW w:w="1218" w:type="dxa"/>
            <w:vMerge w:val="continue"/>
            <w:tcBorders>
              <w:left w:val="single" w:color="000000" w:sz="4" w:space="0"/>
              <w:bottom w:val="single" w:color="000000" w:sz="4" w:space="0"/>
              <w:right w:val="single" w:color="000000" w:sz="4" w:space="0"/>
            </w:tcBorders>
            <w:vAlign w:val="center"/>
          </w:tcPr>
          <w:p>
            <w:pPr>
              <w:jc w:val="center"/>
            </w:pPr>
          </w:p>
        </w:tc>
        <w:tc>
          <w:tcPr>
            <w:tcW w:w="1059" w:type="dxa"/>
            <w:tcBorders>
              <w:top w:val="single" w:color="000000" w:sz="4" w:space="0"/>
              <w:left w:val="single" w:color="000000" w:sz="4" w:space="0"/>
              <w:bottom w:val="single" w:color="000000" w:sz="4" w:space="0"/>
              <w:right w:val="single" w:color="auto" w:sz="4" w:space="0"/>
            </w:tcBorders>
            <w:vAlign w:val="center"/>
          </w:tcPr>
          <w:p>
            <w:pPr>
              <w:jc w:val="center"/>
              <w:rPr>
                <w:rFonts w:hint="eastAsia" w:ascii="宋体" w:hAnsi="宋体" w:eastAsia="宋体" w:cs="宋体"/>
                <w:color w:val="000000"/>
                <w:sz w:val="24"/>
                <w:szCs w:val="24"/>
              </w:rPr>
            </w:pPr>
            <w:r>
              <w:rPr>
                <w:rFonts w:hint="eastAsia" w:ascii="宋体" w:hAnsi="宋体" w:cs="宋体"/>
                <w:color w:val="000000"/>
                <w:sz w:val="24"/>
                <w:szCs w:val="24"/>
                <w:highlight w:val="none"/>
              </w:rPr>
              <w:t>视频演示</w:t>
            </w:r>
          </w:p>
        </w:tc>
        <w:tc>
          <w:tcPr>
            <w:tcW w:w="7090"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s="宋体"/>
                <w:b/>
                <w:sz w:val="24"/>
                <w:szCs w:val="24"/>
                <w:highlight w:val="none"/>
              </w:rPr>
            </w:pPr>
            <w:r>
              <w:rPr>
                <w:rFonts w:hint="eastAsia" w:ascii="宋体" w:hAnsi="宋体" w:cs="宋体"/>
                <w:b/>
                <w:sz w:val="24"/>
                <w:szCs w:val="24"/>
                <w:highlight w:val="none"/>
              </w:rPr>
              <w:t>投标人需按照招标文件规定的演示要求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p>
          <w:p>
            <w:pPr>
              <w:widowControl/>
              <w:jc w:val="left"/>
              <w:rPr>
                <w:rFonts w:hint="eastAsia" w:ascii="宋体" w:hAnsi="宋体" w:cs="宋体"/>
                <w:b/>
                <w:sz w:val="24"/>
                <w:szCs w:val="24"/>
                <w:highlight w:val="none"/>
              </w:rPr>
            </w:pPr>
            <w:r>
              <w:rPr>
                <w:rFonts w:hint="eastAsia" w:ascii="宋体" w:hAnsi="宋体" w:cs="宋体"/>
                <w:b/>
                <w:sz w:val="24"/>
                <w:szCs w:val="24"/>
                <w:highlight w:val="none"/>
              </w:rPr>
              <w:t>本项满分</w:t>
            </w:r>
            <w:r>
              <w:rPr>
                <w:rFonts w:hint="eastAsia" w:ascii="宋体" w:hAnsi="宋体" w:cs="宋体"/>
                <w:b/>
                <w:sz w:val="24"/>
                <w:szCs w:val="24"/>
                <w:highlight w:val="none"/>
                <w:lang w:val="en-US" w:eastAsia="zh-CN"/>
              </w:rPr>
              <w:t>8</w:t>
            </w:r>
            <w:r>
              <w:rPr>
                <w:rFonts w:hint="eastAsia" w:ascii="宋体" w:hAnsi="宋体" w:cs="宋体"/>
                <w:b/>
                <w:sz w:val="24"/>
                <w:szCs w:val="24"/>
                <w:highlight w:val="none"/>
              </w:rPr>
              <w:t>分。使用真实系统演示的，每个功能点得</w:t>
            </w:r>
            <w:r>
              <w:rPr>
                <w:rFonts w:hint="eastAsia" w:ascii="宋体" w:hAnsi="宋体" w:cs="宋体"/>
                <w:b/>
                <w:sz w:val="24"/>
                <w:szCs w:val="24"/>
                <w:highlight w:val="none"/>
                <w:lang w:val="en-US" w:eastAsia="zh-CN"/>
              </w:rPr>
              <w:t>1</w:t>
            </w:r>
            <w:r>
              <w:rPr>
                <w:rFonts w:hint="eastAsia" w:ascii="宋体" w:hAnsi="宋体" w:cs="宋体"/>
                <w:b/>
                <w:sz w:val="24"/>
                <w:szCs w:val="24"/>
                <w:highlight w:val="none"/>
              </w:rPr>
              <w:t>分；使用DEMO演示的，每个功能点得</w:t>
            </w:r>
            <w:r>
              <w:rPr>
                <w:rFonts w:hint="eastAsia" w:ascii="宋体" w:hAnsi="宋体" w:cs="宋体"/>
                <w:b/>
                <w:sz w:val="24"/>
                <w:szCs w:val="24"/>
                <w:highlight w:val="none"/>
                <w:lang w:val="en-US" w:eastAsia="zh-CN"/>
              </w:rPr>
              <w:t>0.5</w:t>
            </w:r>
            <w:r>
              <w:rPr>
                <w:rFonts w:hint="eastAsia" w:ascii="宋体" w:hAnsi="宋体" w:cs="宋体"/>
                <w:b/>
                <w:sz w:val="24"/>
                <w:szCs w:val="24"/>
                <w:highlight w:val="none"/>
              </w:rPr>
              <w:t>分；使用PPT演示的每个功能点得0.</w:t>
            </w:r>
            <w:r>
              <w:rPr>
                <w:rFonts w:hint="eastAsia" w:ascii="宋体" w:hAnsi="宋体" w:cs="宋体"/>
                <w:b/>
                <w:sz w:val="24"/>
                <w:szCs w:val="24"/>
                <w:highlight w:val="none"/>
                <w:lang w:val="en-US" w:eastAsia="zh-CN"/>
              </w:rPr>
              <w:t>2</w:t>
            </w:r>
            <w:r>
              <w:rPr>
                <w:rFonts w:hint="eastAsia" w:ascii="宋体" w:hAnsi="宋体" w:cs="宋体"/>
                <w:b/>
                <w:sz w:val="24"/>
                <w:szCs w:val="24"/>
                <w:highlight w:val="none"/>
              </w:rPr>
              <w:t>分；不演示或不符合要求不得分。视频画面需清晰。视频随投标文件上传，未上传或无法播放或不满足要求的均不得分。</w:t>
            </w:r>
          </w:p>
          <w:p>
            <w:pPr>
              <w:widowControl/>
              <w:jc w:val="left"/>
              <w:rPr>
                <w:rFonts w:hint="eastAsia"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w:t>
            </w:r>
            <w:r>
              <w:rPr>
                <w:rFonts w:hint="eastAsia" w:ascii="宋体" w:hAnsi="宋体" w:cs="宋体"/>
                <w:sz w:val="24"/>
                <w:szCs w:val="24"/>
                <w:highlight w:val="none"/>
              </w:rPr>
              <w:t>支持手术全流程管理，支持以可视化流程图方式，查看手术流程，并支持直接在流程图上调整参数设定；支持以图形方式查看手术汇总统计，包括但不局限于手术数量，治疗性操作数量，诊断性操作数量，介入数量，最高三/四级手术科室手术量；</w:t>
            </w:r>
          </w:p>
          <w:p>
            <w:pPr>
              <w:widowControl/>
              <w:jc w:val="left"/>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需支持门诊排班精细化管理，以卡片方式进行门诊排班，精确到以分钟为单位进行预约，可根据时间段、号源数量自动生成号源，支持限定现场挂号、预约挂号、加号数量，同时满足加号、停诊、复诊按照时间段进行操作，并可设定停诊理由；</w:t>
            </w:r>
          </w:p>
          <w:p>
            <w:pPr>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需支持既往就诊历史信息调用，在门诊医生看诊场景下，支持在同一界面，既可分别复制当前患者的病历，诊断，医嘱到本次就诊，也可通过一键进行全复制；同时支持查询复制其他患者门诊或住院医嘱到当前患者。</w:t>
            </w:r>
          </w:p>
          <w:p>
            <w:pPr>
              <w:widowControl/>
              <w:jc w:val="left"/>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ascii="宋体" w:hAnsi="宋体" w:cs="宋体"/>
                <w:sz w:val="24"/>
                <w:szCs w:val="24"/>
                <w:highlight w:val="none"/>
              </w:rPr>
              <w:t>.</w:t>
            </w:r>
            <w:r>
              <w:rPr>
                <w:rFonts w:hint="eastAsia" w:ascii="宋体" w:hAnsi="宋体" w:cs="宋体"/>
                <w:sz w:val="24"/>
                <w:szCs w:val="24"/>
                <w:highlight w:val="none"/>
              </w:rPr>
              <w:t>支持事件自定义管理，医院根据自身需求，可以定义事件类型及事件上报内容，按照模板的元素进行保存，提供组件库，支持在软件界面自定义布局事件模板要展示的内容，多选框组件支持鱼骨图显示。</w:t>
            </w:r>
          </w:p>
          <w:p>
            <w:pPr>
              <w:widowControl/>
              <w:jc w:val="left"/>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 RCA流程管理，异常事件决策树系统支持对每个事件从伤害审视、能力审视、外部审视和情景审视进行判断，判断事件是个人问题或系统问题，为事件是否需要进行RCA处理提供依据。</w:t>
            </w:r>
          </w:p>
          <w:p>
            <w:pPr>
              <w:widowControl/>
              <w:jc w:val="left"/>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 不良事件管理系统基于企业微信/钉钉端，提供事件管理的应用，通过手机拍照、快速填报等形式，减少工作量，方便医护人员及时上报，支持事件上报，我的上报，事件审核，事件检索，统计分析，简报推送，消息通知，扫码登录功能。</w:t>
            </w:r>
          </w:p>
          <w:p>
            <w:pPr>
              <w:widowControl/>
              <w:jc w:val="left"/>
              <w:rPr>
                <w:rFonts w:hint="eastAsia"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 RPA（智能上报中心），支持将药品不良反应直报“国家药品不良反应监测系统”，支持屏蔽列表中不需要上报的不良事件，可自定义设置列表显示字段；记录上报状态，可查看事件详情，支持导出列表信息，支持上报异常警示。</w:t>
            </w:r>
          </w:p>
          <w:p>
            <w:pPr>
              <w:widowControl/>
              <w:jc w:val="left"/>
              <w:rPr>
                <w:rFonts w:hint="eastAsia" w:ascii="宋体" w:hAnsi="宋体" w:eastAsia="宋体" w:cs="宋体"/>
                <w:color w:val="000000"/>
                <w:sz w:val="24"/>
                <w:szCs w:val="24"/>
                <w:lang w:eastAsia="zh-CN"/>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 支持危急值相关设定，支持以图形化方式进行危急值分析，包括但不限于：危急值情况、危急值分布、危急值通报及时情况、危急值处理及时情况、危急值排行；支持在检验结果中，以危急值为标签，快速筛选检验结果中的危急值，并插入病历</w:t>
            </w:r>
            <w:r>
              <w:rPr>
                <w:rFonts w:hint="eastAsia" w:ascii="宋体" w:hAnsi="宋体" w:cs="宋体"/>
                <w:sz w:val="24"/>
                <w:szCs w:val="24"/>
                <w:highlight w:val="none"/>
                <w:lang w:eastAsia="zh-CN"/>
              </w:rPr>
              <w:t>。</w:t>
            </w:r>
          </w:p>
        </w:tc>
      </w:tr>
      <w:tr>
        <w:tblPrEx>
          <w:tblLayout w:type="fixed"/>
          <w:tblCellMar>
            <w:top w:w="0" w:type="dxa"/>
            <w:left w:w="108" w:type="dxa"/>
            <w:bottom w:w="0" w:type="dxa"/>
            <w:right w:w="108" w:type="dxa"/>
          </w:tblCellMar>
        </w:tblPrEx>
        <w:trPr>
          <w:trHeight w:val="997" w:hRule="atLeast"/>
        </w:trPr>
        <w:tc>
          <w:tcPr>
            <w:tcW w:w="1218"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商务部分（3</w:t>
            </w:r>
            <w:r>
              <w:rPr>
                <w:rFonts w:hint="eastAsia" w:ascii="宋体" w:hAnsi="宋体" w:cs="宋体"/>
                <w:color w:val="000000"/>
                <w:sz w:val="24"/>
                <w:szCs w:val="24"/>
                <w:lang w:val="en-US" w:eastAsia="zh-CN" w:bidi="ar"/>
              </w:rPr>
              <w:t>0</w:t>
            </w:r>
            <w:r>
              <w:rPr>
                <w:rFonts w:hint="eastAsia" w:ascii="宋体" w:hAnsi="宋体" w:eastAsia="宋体" w:cs="宋体"/>
                <w:color w:val="000000"/>
                <w:sz w:val="24"/>
                <w:szCs w:val="24"/>
                <w:lang w:eastAsia="zh-CN" w:bidi="ar"/>
              </w:rPr>
              <w:t>分）</w:t>
            </w:r>
          </w:p>
        </w:tc>
        <w:tc>
          <w:tcPr>
            <w:tcW w:w="1059"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投标人资质能力</w:t>
            </w:r>
          </w:p>
        </w:tc>
        <w:tc>
          <w:tcPr>
            <w:tcW w:w="7090" w:type="dxa"/>
            <w:tcBorders>
              <w:top w:val="single" w:color="auto" w:sz="4" w:space="0"/>
              <w:left w:val="single" w:color="000000" w:sz="4" w:space="0"/>
              <w:bottom w:val="single" w:color="000000" w:sz="4" w:space="0"/>
              <w:right w:val="single" w:color="000000" w:sz="4" w:space="0"/>
            </w:tcBorders>
            <w:vAlign w:val="center"/>
          </w:tcPr>
          <w:p>
            <w:pPr>
              <w:jc w:val="both"/>
              <w:rPr>
                <w:rFonts w:hint="eastAsia" w:ascii="宋体" w:hAnsi="宋体" w:eastAsia="宋体" w:cs="宋体"/>
                <w:color w:val="000000"/>
                <w:sz w:val="24"/>
                <w:szCs w:val="24"/>
                <w:lang w:eastAsia="zh-CN"/>
              </w:rPr>
            </w:pPr>
            <w:r>
              <w:rPr>
                <w:rFonts w:hint="eastAsia" w:ascii="宋体" w:hAnsi="宋体" w:cs="宋体"/>
                <w:color w:val="000000"/>
                <w:sz w:val="24"/>
                <w:szCs w:val="24"/>
                <w:highlight w:val="none"/>
              </w:rPr>
              <w:t>1</w:t>
            </w:r>
            <w:r>
              <w:rPr>
                <w:rFonts w:ascii="宋体" w:hAnsi="宋体" w:cs="宋体"/>
                <w:color w:val="000000"/>
                <w:sz w:val="24"/>
                <w:szCs w:val="24"/>
                <w:highlight w:val="none"/>
              </w:rPr>
              <w:t>、投标人具有IT 服务管理标准体系认证、隐私信息安全管理体系认证，每提供1个得</w:t>
            </w:r>
            <w:r>
              <w:rPr>
                <w:rFonts w:hint="eastAsia" w:ascii="宋体" w:hAnsi="宋体" w:cs="宋体"/>
                <w:color w:val="000000"/>
                <w:sz w:val="24"/>
                <w:szCs w:val="24"/>
                <w:highlight w:val="none"/>
                <w:lang w:val="en-US" w:eastAsia="zh-CN"/>
              </w:rPr>
              <w:t>1</w:t>
            </w:r>
            <w:r>
              <w:rPr>
                <w:rFonts w:ascii="宋体" w:hAnsi="宋体" w:cs="宋体"/>
                <w:color w:val="000000"/>
                <w:sz w:val="24"/>
                <w:szCs w:val="24"/>
                <w:highlight w:val="none"/>
              </w:rPr>
              <w:t>分，满分</w:t>
            </w:r>
            <w:r>
              <w:rPr>
                <w:rFonts w:hint="eastAsia" w:ascii="宋体" w:hAnsi="宋体" w:cs="宋体"/>
                <w:color w:val="000000"/>
                <w:sz w:val="24"/>
                <w:szCs w:val="24"/>
                <w:highlight w:val="none"/>
                <w:lang w:val="en-US" w:eastAsia="zh-CN"/>
              </w:rPr>
              <w:t>2</w:t>
            </w:r>
            <w:r>
              <w:rPr>
                <w:rFonts w:ascii="宋体" w:hAnsi="宋体" w:cs="宋体"/>
                <w:color w:val="000000"/>
                <w:sz w:val="24"/>
                <w:szCs w:val="24"/>
                <w:highlight w:val="none"/>
              </w:rPr>
              <w:t>分，不具备不得分。（需提供证书，原件扫描上传）</w:t>
            </w:r>
          </w:p>
        </w:tc>
      </w:tr>
      <w:tr>
        <w:tblPrEx>
          <w:tblLayout w:type="fixed"/>
          <w:tblCellMar>
            <w:top w:w="0" w:type="dxa"/>
            <w:left w:w="108" w:type="dxa"/>
            <w:bottom w:w="0" w:type="dxa"/>
            <w:right w:w="108" w:type="dxa"/>
          </w:tblCellMar>
        </w:tblPrEx>
        <w:trPr>
          <w:trHeight w:val="998"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7090" w:type="dxa"/>
            <w:tcBorders>
              <w:top w:val="single" w:color="000000" w:sz="4" w:space="0"/>
              <w:left w:val="single" w:color="000000" w:sz="4" w:space="0"/>
              <w:bottom w:val="single" w:color="000000" w:sz="4" w:space="0"/>
              <w:right w:val="single" w:color="000000" w:sz="4" w:space="0"/>
            </w:tcBorders>
            <w:vAlign w:val="center"/>
          </w:tcPr>
          <w:p>
            <w:pPr>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eastAsia="zh-CN" w:bidi="ar"/>
              </w:rPr>
              <w:t>2、</w:t>
            </w:r>
            <w:r>
              <w:rPr>
                <w:rFonts w:hint="eastAsia" w:ascii="宋体" w:hAnsi="宋体" w:cs="宋体"/>
                <w:color w:val="000000"/>
                <w:sz w:val="24"/>
                <w:szCs w:val="24"/>
                <w:highlight w:val="none"/>
              </w:rPr>
              <w:t>投标人提供软件安全运维服务资质</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符合信息安全服务资质认证一级的得3分；二级及以下的得1分，不具备不得分。（需提供证书，原件扫描上传）</w:t>
            </w:r>
          </w:p>
        </w:tc>
      </w:tr>
      <w:tr>
        <w:tblPrEx>
          <w:tblLayout w:type="fixed"/>
          <w:tblCellMar>
            <w:top w:w="0" w:type="dxa"/>
            <w:left w:w="108" w:type="dxa"/>
            <w:bottom w:w="0" w:type="dxa"/>
            <w:right w:w="108" w:type="dxa"/>
          </w:tblCellMar>
        </w:tblPrEx>
        <w:trPr>
          <w:trHeight w:val="1254"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709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3</w:t>
            </w:r>
            <w:r>
              <w:rPr>
                <w:rFonts w:hint="eastAsia" w:ascii="宋体" w:hAnsi="宋体" w:eastAsia="宋体" w:cs="宋体"/>
                <w:color w:val="000000"/>
                <w:sz w:val="24"/>
                <w:szCs w:val="24"/>
                <w:lang w:eastAsia="zh-CN" w:bidi="ar"/>
              </w:rPr>
              <w:t>、投标人提供</w:t>
            </w:r>
            <w:r>
              <w:rPr>
                <w:rFonts w:hint="eastAsia" w:ascii="宋体" w:hAnsi="宋体" w:eastAsia="宋体" w:cs="宋体"/>
                <w:b w:val="0"/>
                <w:bCs w:val="0"/>
                <w:color w:val="000000"/>
                <w:sz w:val="24"/>
                <w:szCs w:val="24"/>
                <w:lang w:eastAsia="zh-CN" w:bidi="ar"/>
              </w:rPr>
              <w:t>软件安全集成服务</w:t>
            </w:r>
            <w:r>
              <w:rPr>
                <w:rFonts w:hint="eastAsia" w:ascii="宋体" w:hAnsi="宋体" w:eastAsia="宋体" w:cs="宋体"/>
                <w:color w:val="000000"/>
                <w:sz w:val="24"/>
                <w:szCs w:val="24"/>
                <w:lang w:eastAsia="zh-CN" w:bidi="ar"/>
              </w:rPr>
              <w:t>资质</w:t>
            </w:r>
            <w:r>
              <w:rPr>
                <w:rFonts w:hint="eastAsia" w:ascii="宋体" w:hAnsi="宋体" w:cs="宋体"/>
                <w:color w:val="000000"/>
                <w:sz w:val="24"/>
                <w:szCs w:val="24"/>
                <w:lang w:eastAsia="zh-CN" w:bidi="ar"/>
              </w:rPr>
              <w:t>，</w:t>
            </w:r>
            <w:r>
              <w:rPr>
                <w:rFonts w:hint="eastAsia" w:ascii="宋体" w:hAnsi="宋体" w:eastAsia="宋体" w:cs="宋体"/>
                <w:color w:val="000000"/>
                <w:sz w:val="24"/>
                <w:szCs w:val="24"/>
                <w:lang w:eastAsia="zh-CN" w:bidi="ar"/>
              </w:rPr>
              <w:t>符合信息安全服务资质认证一级的得3分；二级及以下的得1分，不具备不得分。 （需提供证书，原件扫描上传）</w:t>
            </w:r>
          </w:p>
        </w:tc>
      </w:tr>
      <w:tr>
        <w:tblPrEx>
          <w:tblLayout w:type="fixed"/>
          <w:tblCellMar>
            <w:top w:w="0" w:type="dxa"/>
            <w:left w:w="108" w:type="dxa"/>
            <w:bottom w:w="0" w:type="dxa"/>
            <w:right w:w="108" w:type="dxa"/>
          </w:tblCellMar>
        </w:tblPrEx>
        <w:trPr>
          <w:trHeight w:val="720"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709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4</w:t>
            </w:r>
            <w:r>
              <w:rPr>
                <w:rFonts w:hint="eastAsia" w:ascii="宋体" w:hAnsi="宋体" w:eastAsia="宋体" w:cs="宋体"/>
                <w:color w:val="000000"/>
                <w:sz w:val="24"/>
                <w:szCs w:val="24"/>
                <w:lang w:eastAsia="zh-CN" w:bidi="ar"/>
              </w:rPr>
              <w:t>、投标人提供</w:t>
            </w:r>
            <w:r>
              <w:rPr>
                <w:rFonts w:hint="eastAsia" w:ascii="宋体" w:hAnsi="宋体" w:eastAsia="宋体" w:cs="宋体"/>
                <w:b w:val="0"/>
                <w:bCs w:val="0"/>
                <w:color w:val="000000"/>
                <w:sz w:val="24"/>
                <w:szCs w:val="24"/>
                <w:lang w:eastAsia="zh-CN" w:bidi="ar"/>
              </w:rPr>
              <w:t>软件安全开发服务</w:t>
            </w:r>
            <w:r>
              <w:rPr>
                <w:rFonts w:hint="eastAsia" w:ascii="宋体" w:hAnsi="宋体" w:eastAsia="宋体" w:cs="宋体"/>
                <w:color w:val="000000"/>
                <w:sz w:val="24"/>
                <w:szCs w:val="24"/>
                <w:lang w:eastAsia="zh-CN" w:bidi="ar"/>
              </w:rPr>
              <w:t>资质</w:t>
            </w:r>
            <w:r>
              <w:rPr>
                <w:rFonts w:hint="eastAsia" w:ascii="宋体" w:hAnsi="宋体" w:cs="宋体"/>
                <w:color w:val="000000"/>
                <w:sz w:val="24"/>
                <w:szCs w:val="24"/>
                <w:lang w:eastAsia="zh-CN" w:bidi="ar"/>
              </w:rPr>
              <w:t>，</w:t>
            </w:r>
            <w:r>
              <w:rPr>
                <w:rFonts w:hint="eastAsia" w:ascii="宋体" w:hAnsi="宋体" w:eastAsia="宋体" w:cs="宋体"/>
                <w:color w:val="000000"/>
                <w:sz w:val="24"/>
                <w:szCs w:val="24"/>
                <w:lang w:eastAsia="zh-CN" w:bidi="ar"/>
              </w:rPr>
              <w:t>符合信息安全服务资质认证一级的得3分；二级及以下的得1分，不具备不得分。 （需提供证书，原件扫描上传）</w:t>
            </w:r>
          </w:p>
        </w:tc>
      </w:tr>
      <w:tr>
        <w:tblPrEx>
          <w:tblLayout w:type="fixed"/>
          <w:tblCellMar>
            <w:top w:w="0" w:type="dxa"/>
            <w:left w:w="108" w:type="dxa"/>
            <w:bottom w:w="0" w:type="dxa"/>
            <w:right w:w="108" w:type="dxa"/>
          </w:tblCellMar>
        </w:tblPrEx>
        <w:trPr>
          <w:trHeight w:val="480"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类似业绩</w:t>
            </w:r>
          </w:p>
        </w:tc>
        <w:tc>
          <w:tcPr>
            <w:tcW w:w="7090" w:type="dxa"/>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color w:val="000000"/>
                <w:sz w:val="24"/>
                <w:szCs w:val="24"/>
                <w:highlight w:val="yellow"/>
              </w:rPr>
            </w:pPr>
            <w:r>
              <w:rPr>
                <w:rFonts w:hint="eastAsia" w:ascii="宋体" w:hAnsi="宋体" w:cs="宋体"/>
                <w:color w:val="000000"/>
                <w:sz w:val="24"/>
                <w:szCs w:val="24"/>
                <w:highlight w:val="none"/>
              </w:rPr>
              <w:t>投标人承担过类似项目通过电子病历评级</w:t>
            </w:r>
            <w:r>
              <w:rPr>
                <w:rFonts w:ascii="宋体" w:hAnsi="宋体" w:cs="宋体"/>
                <w:color w:val="000000"/>
                <w:sz w:val="24"/>
                <w:szCs w:val="24"/>
                <w:highlight w:val="none"/>
              </w:rPr>
              <w:t>6级及以上的，提供1个得2.5分，满分10分，不提供不得分；</w:t>
            </w:r>
          </w:p>
          <w:p>
            <w:pPr>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需</w:t>
            </w:r>
            <w:r>
              <w:rPr>
                <w:rFonts w:hint="eastAsia" w:ascii="宋体" w:hAnsi="宋体" w:eastAsia="宋体" w:cs="宋体"/>
                <w:color w:val="000000"/>
                <w:sz w:val="24"/>
                <w:szCs w:val="24"/>
                <w:lang w:eastAsia="zh-CN" w:bidi="ar"/>
              </w:rPr>
              <w:t>提供：</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①项目合同（各合同内容需包含HIS、EMR等建设内容，合同乙方须是投标人且产品为投标人自有产品）；</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②测评通过牌子或其他有效过级证明</w:t>
            </w:r>
            <w:r>
              <w:rPr>
                <w:rFonts w:hint="eastAsia" w:ascii="宋体" w:hAnsi="宋体" w:cs="宋体"/>
                <w:color w:val="000000"/>
                <w:sz w:val="24"/>
                <w:szCs w:val="24"/>
                <w:lang w:eastAsia="zh-CN" w:bidi="ar"/>
              </w:rPr>
              <w:t>。</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以上证明材料</w:t>
            </w:r>
            <w:r>
              <w:rPr>
                <w:rFonts w:hint="eastAsia" w:ascii="宋体" w:hAnsi="宋体" w:eastAsia="宋体" w:cs="宋体"/>
                <w:color w:val="000000"/>
                <w:sz w:val="24"/>
                <w:szCs w:val="24"/>
                <w:lang w:val="en-US" w:eastAsia="zh-CN" w:bidi="ar"/>
              </w:rPr>
              <w:t>扫描上传，</w:t>
            </w:r>
            <w:r>
              <w:rPr>
                <w:rFonts w:hint="eastAsia" w:ascii="宋体" w:hAnsi="宋体" w:eastAsia="宋体" w:cs="宋体"/>
                <w:color w:val="000000"/>
                <w:sz w:val="24"/>
                <w:szCs w:val="24"/>
                <w:lang w:eastAsia="zh-CN" w:bidi="ar"/>
              </w:rPr>
              <w:t>有缺项、漏项者不得分。</w:t>
            </w:r>
          </w:p>
        </w:tc>
      </w:tr>
      <w:tr>
        <w:tblPrEx>
          <w:tblLayout w:type="fixed"/>
          <w:tblCellMar>
            <w:top w:w="0" w:type="dxa"/>
            <w:left w:w="108" w:type="dxa"/>
            <w:bottom w:w="0" w:type="dxa"/>
            <w:right w:w="108" w:type="dxa"/>
          </w:tblCellMar>
        </w:tblPrEx>
        <w:trPr>
          <w:trHeight w:val="1174" w:hRule="atLeast"/>
        </w:trPr>
        <w:tc>
          <w:tcPr>
            <w:tcW w:w="121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p>
        </w:tc>
        <w:tc>
          <w:tcPr>
            <w:tcW w:w="1059"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bidi="ar"/>
              </w:rPr>
              <w:t>拟派项目组实力</w:t>
            </w:r>
          </w:p>
        </w:tc>
        <w:tc>
          <w:tcPr>
            <w:tcW w:w="7090" w:type="dxa"/>
            <w:tcBorders>
              <w:top w:val="single" w:color="000000" w:sz="4" w:space="0"/>
              <w:left w:val="single" w:color="000000" w:sz="4" w:space="0"/>
              <w:bottom w:val="single" w:color="000000" w:sz="4" w:space="0"/>
              <w:right w:val="single" w:color="000000" w:sz="4" w:space="0"/>
            </w:tcBorders>
            <w:vAlign w:val="center"/>
          </w:tcPr>
          <w:p>
            <w:pPr>
              <w:numPr>
                <w:ilvl w:val="0"/>
                <w:numId w:val="28"/>
              </w:numPr>
              <w:rPr>
                <w:rFonts w:hint="eastAsia" w:ascii="宋体" w:hAnsi="宋体" w:eastAsia="宋体" w:cs="宋体"/>
                <w:color w:val="000000"/>
                <w:sz w:val="24"/>
                <w:szCs w:val="24"/>
                <w:lang w:eastAsia="zh-CN" w:bidi="ar"/>
              </w:rPr>
            </w:pPr>
            <w:r>
              <w:rPr>
                <w:rFonts w:hint="eastAsia" w:ascii="宋体" w:hAnsi="宋体" w:cs="宋体"/>
                <w:color w:val="000000"/>
                <w:sz w:val="24"/>
                <w:szCs w:val="24"/>
                <w:highlight w:val="none"/>
              </w:rPr>
              <w:t>项目经理</w:t>
            </w:r>
            <w:r>
              <w:rPr>
                <w:rFonts w:hint="eastAsia" w:ascii="宋体" w:hAnsi="宋体" w:cs="宋体"/>
                <w:color w:val="000000"/>
                <w:sz w:val="24"/>
                <w:szCs w:val="24"/>
                <w:highlight w:val="none"/>
                <w:lang w:val="en-US" w:eastAsia="zh-CN"/>
              </w:rPr>
              <w:t>承担过</w:t>
            </w:r>
            <w:r>
              <w:rPr>
                <w:rFonts w:hint="eastAsia" w:ascii="宋体" w:hAnsi="宋体" w:cs="宋体"/>
                <w:color w:val="000000"/>
                <w:sz w:val="24"/>
                <w:szCs w:val="24"/>
                <w:highlight w:val="none"/>
              </w:rPr>
              <w:t>类似项目通过电子病历评级</w:t>
            </w:r>
            <w:r>
              <w:rPr>
                <w:rFonts w:ascii="宋体" w:hAnsi="宋体" w:cs="宋体"/>
                <w:color w:val="000000"/>
                <w:sz w:val="24"/>
                <w:szCs w:val="24"/>
                <w:highlight w:val="none"/>
              </w:rPr>
              <w:t>6级及以上的</w:t>
            </w:r>
            <w:r>
              <w:rPr>
                <w:rFonts w:hint="eastAsia" w:ascii="宋体" w:hAnsi="宋体" w:cs="宋体"/>
                <w:color w:val="000000"/>
                <w:sz w:val="24"/>
                <w:szCs w:val="24"/>
                <w:highlight w:val="none"/>
              </w:rPr>
              <w:t>得2分。</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val="en-US" w:eastAsia="zh-CN" w:bidi="ar"/>
              </w:rPr>
              <w:t>需提供</w:t>
            </w:r>
            <w:r>
              <w:rPr>
                <w:rFonts w:hint="eastAsia" w:ascii="宋体" w:hAnsi="宋体" w:eastAsia="宋体" w:cs="宋体"/>
                <w:color w:val="000000"/>
                <w:sz w:val="24"/>
                <w:szCs w:val="24"/>
                <w:highlight w:val="none"/>
                <w:lang w:eastAsia="zh-CN" w:bidi="ar"/>
              </w:rPr>
              <w:t>通过电子病历6级客户</w:t>
            </w:r>
            <w:r>
              <w:rPr>
                <w:rFonts w:hint="eastAsia" w:ascii="宋体" w:hAnsi="宋体" w:eastAsia="宋体" w:cs="宋体"/>
                <w:color w:val="000000"/>
                <w:sz w:val="24"/>
                <w:szCs w:val="24"/>
                <w:highlight w:val="none"/>
                <w:lang w:val="en-US" w:eastAsia="zh-CN" w:bidi="ar"/>
              </w:rPr>
              <w:t>盖章</w:t>
            </w:r>
            <w:r>
              <w:rPr>
                <w:rFonts w:hint="eastAsia" w:ascii="宋体" w:hAnsi="宋体" w:eastAsia="宋体" w:cs="宋体"/>
                <w:color w:val="000000"/>
                <w:sz w:val="24"/>
                <w:szCs w:val="24"/>
                <w:highlight w:val="none"/>
                <w:lang w:eastAsia="zh-CN" w:bidi="ar"/>
              </w:rPr>
              <w:t>证明材料）</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二、项目技术负责人具有：</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1、信息系统项目管理师（须为人社部和工信部相关部门颁发）</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2、系统架构设计师（须为人社部和工信部相关部门颁发）</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3、系统分析师（须为人社部和工信部相关部门颁发）</w:t>
            </w:r>
          </w:p>
          <w:p>
            <w:pPr>
              <w:numPr>
                <w:ilvl w:val="0"/>
                <w:numId w:val="0"/>
              </w:numPr>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每提供一个得1分，满分3分。</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（注：投标人</w:t>
            </w:r>
            <w:r>
              <w:rPr>
                <w:rFonts w:hint="eastAsia" w:ascii="宋体" w:hAnsi="宋体" w:eastAsia="宋体" w:cs="宋体"/>
                <w:color w:val="000000"/>
                <w:sz w:val="24"/>
                <w:szCs w:val="24"/>
                <w:lang w:val="en-US" w:eastAsia="zh-CN" w:bidi="ar"/>
              </w:rPr>
              <w:t>需</w:t>
            </w:r>
            <w:r>
              <w:rPr>
                <w:rFonts w:hint="eastAsia" w:ascii="宋体" w:hAnsi="宋体" w:eastAsia="宋体" w:cs="宋体"/>
                <w:color w:val="000000"/>
                <w:sz w:val="24"/>
                <w:szCs w:val="24"/>
                <w:lang w:eastAsia="zh-CN" w:bidi="ar"/>
              </w:rPr>
              <w:t>提供证书及投标人近三个月内任意一个月为上述持证人员缴纳社保的证明材料，原件扫描上传）</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三、项目成员（项目经理、技术负责人除外）具有：</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1、系统规划与管理师（须为人社部和工信部相关部门颁发）</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2、注册信息安全专业人员（CISP）（中国信息安全测评中心颁发）</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3、软件设计师（须为人社部和工信部相关部门颁发）</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4、大数据分析师（须为工信部相关部门颁发）</w:t>
            </w:r>
          </w:p>
          <w:p>
            <w:pPr>
              <w:numPr>
                <w:ilvl w:val="0"/>
                <w:numId w:val="0"/>
              </w:num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每提供一个得1分，满分4分。</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（注：以上人员不得重复，投标人</w:t>
            </w:r>
            <w:r>
              <w:rPr>
                <w:rFonts w:hint="eastAsia" w:ascii="宋体" w:hAnsi="宋体" w:eastAsia="宋体" w:cs="宋体"/>
                <w:color w:val="000000"/>
                <w:sz w:val="24"/>
                <w:szCs w:val="24"/>
                <w:lang w:val="en-US" w:eastAsia="zh-CN" w:bidi="ar"/>
              </w:rPr>
              <w:t>需</w:t>
            </w:r>
            <w:r>
              <w:rPr>
                <w:rFonts w:hint="eastAsia" w:ascii="宋体" w:hAnsi="宋体" w:eastAsia="宋体" w:cs="宋体"/>
                <w:color w:val="000000"/>
                <w:sz w:val="24"/>
                <w:szCs w:val="24"/>
                <w:lang w:eastAsia="zh-CN" w:bidi="ar"/>
              </w:rPr>
              <w:t>提供证书及投标人近三个月内任意一个月为上述持证人员缴纳社保的证明材料，原件扫描上传）</w:t>
            </w:r>
          </w:p>
        </w:tc>
      </w:tr>
    </w:tbl>
    <w:p>
      <w:pPr>
        <w:pBdr>
          <w:top w:val="none" w:color="000000" w:sz="0" w:space="0"/>
          <w:left w:val="none" w:color="000000" w:sz="0" w:space="0"/>
          <w:bottom w:val="none" w:color="000000" w:sz="0" w:space="0"/>
          <w:right w:val="none" w:color="000000" w:sz="0" w:space="0"/>
        </w:pBdr>
        <w:spacing w:before="240" w:after="240"/>
        <w:ind w:left="0" w:right="0" w:firstLine="0"/>
        <w:jc w:val="both"/>
        <w:rPr>
          <w:rFonts w:ascii="Times New Roman" w:hAnsi="Times New Roman" w:eastAsia="Times New Roman" w:cs="Times New Roman"/>
          <w:sz w:val="21"/>
          <w:szCs w:val="21"/>
        </w:rPr>
      </w:pPr>
    </w:p>
    <w:p>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pPr>
        <w:pBdr>
          <w:top w:val="none" w:color="000000" w:sz="0" w:space="0"/>
          <w:left w:val="none" w:color="000000" w:sz="0" w:space="0"/>
          <w:bottom w:val="none" w:color="000000" w:sz="0" w:space="0"/>
          <w:right w:val="none" w:color="000000" w:sz="0" w:space="0"/>
        </w:pBdr>
        <w:spacing w:before="240" w:after="240"/>
        <w:ind w:left="0" w:right="0" w:firstLine="0"/>
        <w:jc w:val="left"/>
        <w:rPr>
          <w:rFonts w:ascii="黑体" w:hAnsi="黑体" w:eastAsia="黑体" w:cs="黑体"/>
          <w:color w:val="000000"/>
          <w:sz w:val="44"/>
          <w:szCs w:val="44"/>
          <w:highlight w:val="none"/>
        </w:rPr>
      </w:pPr>
    </w:p>
    <w:p>
      <w:pPr>
        <w:pStyle w:val="184"/>
        <w:rPr>
          <w:rFonts w:ascii="黑体" w:hAnsi="黑体" w:eastAsia="黑体" w:cs="黑体"/>
          <w:color w:val="000000"/>
          <w:sz w:val="44"/>
          <w:szCs w:val="44"/>
          <w:highlight w:val="none"/>
        </w:rPr>
      </w:pPr>
      <w:r>
        <w:rPr>
          <w:rStyle w:val="219"/>
          <w:rFonts w:ascii="黑体" w:hAnsi="黑体" w:eastAsia="黑体" w:cs="黑体"/>
        </w:rPr>
        <w:t>第六章投标文件格式</w:t>
      </w:r>
      <w:r>
        <w:rPr>
          <w:rFonts w:ascii="黑体" w:hAnsi="黑体" w:eastAsia="黑体" w:cs="黑体"/>
          <w:color w:val="000000"/>
          <w:sz w:val="44"/>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投标文件</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pPr>
        <w:pBdr>
          <w:top w:val="none" w:color="000000" w:sz="0" w:space="0"/>
          <w:left w:val="none" w:color="000000" w:sz="0" w:space="0"/>
          <w:bottom w:val="none" w:color="000000" w:sz="0" w:space="0"/>
          <w:right w:val="none" w:color="000000" w:sz="0" w:space="0"/>
        </w:pBdr>
        <w:spacing w:before="0" w:after="0"/>
        <w:ind w:left="0" w:right="0" w:firstLine="1084"/>
        <w:jc w:val="left"/>
      </w:pPr>
      <w:r>
        <w:rPr>
          <w:rFonts w:ascii="宋体" w:hAnsi="宋体" w:eastAsia="宋体" w:cs="宋体"/>
          <w:b/>
          <w:color w:val="000000"/>
          <w:sz w:val="36"/>
        </w:rPr>
        <w:t>项 目 名 称：</w:t>
      </w:r>
      <w:r>
        <w:rPr>
          <w:rFonts w:ascii="宋体" w:hAnsi="宋体" w:eastAsia="宋体" w:cs="宋体"/>
          <w:b/>
          <w:color w:val="000000"/>
          <w:sz w:val="36"/>
          <w:u w:val="single"/>
        </w:rPr>
        <w:t>               </w:t>
      </w:r>
    </w:p>
    <w:p>
      <w:pPr>
        <w:pBdr>
          <w:top w:val="none" w:color="000000" w:sz="0" w:space="0"/>
          <w:left w:val="none" w:color="000000" w:sz="0" w:space="0"/>
          <w:bottom w:val="none" w:color="000000" w:sz="0" w:space="0"/>
          <w:right w:val="none" w:color="000000" w:sz="0" w:space="0"/>
        </w:pBdr>
        <w:spacing w:before="0" w:after="0"/>
        <w:ind w:left="0" w:right="0" w:firstLine="1084"/>
        <w:jc w:val="left"/>
        <w:rPr>
          <w:rFonts w:ascii="宋体" w:hAnsi="宋体" w:eastAsia="宋体" w:cs="宋体"/>
          <w:b/>
          <w:bCs/>
          <w:color w:val="000000"/>
          <w:sz w:val="36"/>
          <w:szCs w:val="36"/>
          <w:u w:val="single"/>
        </w:rPr>
      </w:pPr>
      <w:r>
        <w:rPr>
          <w:rFonts w:ascii="宋体" w:hAnsi="宋体" w:eastAsia="宋体" w:cs="宋体"/>
          <w:b/>
          <w:color w:val="000000"/>
          <w:sz w:val="36"/>
        </w:rPr>
        <w:t>项 目 编 号：</w:t>
      </w:r>
      <w:r>
        <w:rPr>
          <w:rFonts w:ascii="宋体" w:hAnsi="宋体" w:eastAsia="宋体" w:cs="宋体"/>
          <w:b/>
          <w:color w:val="000000"/>
          <w:sz w:val="36"/>
          <w:u w:val="single"/>
        </w:rPr>
        <w:t>              </w:t>
      </w:r>
    </w:p>
    <w:p>
      <w:pPr>
        <w:pBdr>
          <w:top w:val="none" w:color="000000" w:sz="0" w:space="0"/>
          <w:left w:val="none" w:color="000000" w:sz="0" w:space="0"/>
          <w:bottom w:val="none" w:color="000000" w:sz="0" w:space="0"/>
          <w:right w:val="none" w:color="000000" w:sz="0" w:space="0"/>
        </w:pBdr>
        <w:spacing w:before="0" w:after="0"/>
        <w:ind w:left="0" w:right="0" w:firstLine="1084"/>
        <w:jc w:val="left"/>
        <w:rPr>
          <w:rFonts w:ascii="宋体" w:hAnsi="宋体" w:eastAsia="宋体" w:cs="宋体"/>
          <w:b/>
          <w:bCs/>
          <w:color w:val="000000"/>
          <w:sz w:val="36"/>
          <w:szCs w:val="36"/>
          <w:u w:val="single"/>
        </w:rPr>
      </w:pPr>
      <w:r>
        <w:rPr>
          <w:rFonts w:ascii="宋体" w:hAnsi="宋体" w:eastAsia="宋体" w:cs="宋体"/>
          <w:b/>
          <w:color w:val="000000"/>
          <w:sz w:val="36"/>
        </w:rPr>
        <w:t>投标人名称 ：</w:t>
      </w:r>
      <w:r>
        <w:rPr>
          <w:rFonts w:ascii="宋体" w:hAnsi="宋体" w:eastAsia="宋体" w:cs="宋体"/>
          <w:b/>
          <w:color w:val="000000"/>
          <w:sz w:val="36"/>
          <w:u w:val="single"/>
        </w:rPr>
        <w:t>（加盖CA电子公章）</w:t>
      </w:r>
    </w:p>
    <w:p>
      <w:pPr>
        <w:pBdr>
          <w:top w:val="none" w:color="000000" w:sz="0" w:space="0"/>
          <w:left w:val="none" w:color="000000" w:sz="0" w:space="0"/>
          <w:bottom w:val="none" w:color="000000" w:sz="0" w:space="0"/>
          <w:right w:val="none" w:color="000000" w:sz="0" w:space="0"/>
        </w:pBdr>
        <w:spacing w:before="0" w:after="0"/>
        <w:ind w:left="0" w:right="0" w:firstLine="1084"/>
        <w:jc w:val="left"/>
      </w:pPr>
      <w:r>
        <w:rPr>
          <w:rFonts w:ascii="宋体" w:hAnsi="宋体" w:eastAsia="宋体" w:cs="宋体"/>
          <w:b/>
          <w:color w:val="000000"/>
          <w:sz w:val="36"/>
        </w:rPr>
        <w:t>日期 ：</w:t>
      </w:r>
      <w:r>
        <w:rPr>
          <w:rFonts w:ascii="宋体" w:hAnsi="宋体" w:eastAsia="宋体" w:cs="宋体"/>
          <w:b/>
          <w:color w:val="000000"/>
          <w:sz w:val="36"/>
          <w:u w:val="single"/>
        </w:rPr>
        <w:t>               </w:t>
      </w:r>
    </w:p>
    <w:p>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38" w:lineRule="atLeast"/>
        <w:ind w:left="0" w:right="0" w:firstLine="0"/>
        <w:jc w:val="both"/>
      </w:pPr>
      <w:r>
        <w:rPr>
          <w:rFonts w:ascii="宋体" w:hAnsi="宋体" w:eastAsia="宋体" w:cs="宋体"/>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1084"/>
        <w:jc w:val="both"/>
      </w:pPr>
      <w:r>
        <w:rPr/>
        <w:br w:type="page" w:clear="all"/>
      </w:r>
    </w:p>
    <w:p>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投标文件的组成</w:t>
      </w:r>
    </w:p>
    <w:p>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一、基本目录</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1.开标一览表（格式见附件1）</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2.投标分项报价表（格式见附件2）</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3.技术要求响应及偏离表（格式见附件3）</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4.商务要求响应及偏离表（格式见附件4）</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5.法人授权书（格式见附件5）</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6.投标函（格式见附件6）</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7.主要标的信息（格式见附件7）</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8.其他</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color w:val="000000"/>
          <w:sz w:val="24"/>
        </w:rPr>
        <w:t>****（格式见附件**）</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二、资格审查内容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1.法人或者其他组织的营业执照等证明文件，自然人的身份证明</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2.上一年度的财务状况报告（成立不满一年无需提供）</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3.依法缴纳税收和社会保障资金的相关材料（提供提交投标文件截止时间前一年内任意一个月依法缴纳税收及缴纳社会保障资金的证明材料。投标人依法享受缓缴、免缴税收、社会保障资金的提供证明材料。）</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4.具备履行合同所必需的设备和专业技术能力的书面声明（格式见附件8）</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5.参加政府采购活动前 3 年内在经营活动中没有重大违法记录的书面声明（格式见附件9）</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6.供应商信用承诺函（格式见附件10）</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7.企业报价折扣证明文件：</w:t>
      </w:r>
    </w:p>
    <w:p>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中小企业声明函（格式见附件11）。</w:t>
      </w:r>
      <w:r>
        <w:rPr>
          <w:rFonts w:ascii="宋体" w:hAnsi="宋体" w:eastAsia="宋体" w:cs="宋体"/>
          <w:color w:val="FF0000"/>
          <w:sz w:val="24"/>
        </w:rPr>
        <w:t>如果本项目专门面向中小企业采购，则必须提供。</w:t>
      </w:r>
    </w:p>
    <w:p>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残疾人福利性单位声明函（格式见附件12）。</w:t>
      </w:r>
      <w:r>
        <w:rPr>
          <w:rFonts w:ascii="宋体" w:hAnsi="宋体" w:eastAsia="宋体" w:cs="宋体"/>
          <w:color w:val="FF0000"/>
          <w:sz w:val="24"/>
        </w:rPr>
        <w:t>如果本项目专门面向中小企业采购，供应商为残疾人福利性单位并提供本单位制造的货物，或者提供其他残疾人福利性单位制造的货物，则必须提供。</w:t>
      </w:r>
    </w:p>
    <w:p>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监狱企业的证明文件。</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color w:val="000000"/>
          <w:sz w:val="24"/>
        </w:rPr>
        <w:t xml:space="preserve">  8.联合体协议（格式见附件13）。</w:t>
      </w:r>
      <w:r>
        <w:rPr>
          <w:rFonts w:ascii="宋体" w:hAnsi="宋体" w:eastAsia="宋体" w:cs="宋体"/>
          <w:color w:val="FF0000"/>
          <w:sz w:val="24"/>
        </w:rPr>
        <w:t>如果本项目接受联合体投标，投标人是联合体的，则必须提供。</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9.特定资格要求的证明文件。</w:t>
      </w:r>
      <w:r>
        <w:rPr>
          <w:rFonts w:ascii="宋体" w:hAnsi="宋体" w:eastAsia="宋体" w:cs="宋体"/>
          <w:color w:val="FF0000"/>
          <w:sz w:val="24"/>
        </w:rPr>
        <w:t>如果本项目对投标人做出特定资格要求的，则必须提供。</w:t>
      </w:r>
    </w:p>
    <w:p>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三、符合性审查内容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投标人必须对技术要求和商务要求中加斜体下划线的实质性要求逐条做出响应，并按照招标文件要求提供证明材料，否则做无效投标处理。（格式见附件14）</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四、价格扣除证明文件</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1.中小企业声明函（格式见附件11）</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2.残疾人福利性单位声明函（格式见附件12）</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附件1 开标一览表</w:t>
      </w:r>
    </w:p>
    <w:p>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投标人全称（加盖CA电子签章）：</w:t>
      </w:r>
    </w:p>
    <w:p>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项目名称：</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项目编号：</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采购包号：</w:t>
      </w:r>
    </w:p>
    <w:tbl>
      <w:tblPr>
        <w:tblStyle w:val="35"/>
        <w:tblW w:w="9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28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25" w:hRule="atLeast"/>
        </w:trPr>
        <w:tc>
          <w:tcPr>
            <w:tcW w:w="928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投标总报价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12" w:hRule="atLeast"/>
        </w:trPr>
        <w:tc>
          <w:tcPr>
            <w:tcW w:w="92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大写：                   （人民币：元）</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12" w:hRule="atLeast"/>
        </w:trPr>
        <w:tc>
          <w:tcPr>
            <w:tcW w:w="928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小写：                   （人民币：元）</w:t>
            </w:r>
          </w:p>
        </w:tc>
      </w:tr>
    </w:tbl>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Times New Roman" w:hAnsi="Times New Roman" w:eastAsia="Times New Roman" w:cs="Times New Roman"/>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附件2             投标分项报价表（采购包号：**）</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tbl>
      <w:tblPr>
        <w:tblStyle w:val="35"/>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63"/>
        <w:gridCol w:w="658"/>
        <w:gridCol w:w="897"/>
        <w:gridCol w:w="799"/>
        <w:gridCol w:w="655"/>
        <w:gridCol w:w="917"/>
        <w:gridCol w:w="2723"/>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44" w:hRule="atLeast"/>
        </w:trPr>
        <w:tc>
          <w:tcPr>
            <w:tcW w:w="863"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序号</w:t>
            </w:r>
          </w:p>
        </w:tc>
        <w:tc>
          <w:tcPr>
            <w:tcW w:w="6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2</w:t>
            </w:r>
          </w:p>
        </w:tc>
        <w:tc>
          <w:tcPr>
            <w:tcW w:w="7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3</w:t>
            </w:r>
          </w:p>
        </w:tc>
        <w:tc>
          <w:tcPr>
            <w:tcW w:w="6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4</w:t>
            </w:r>
          </w:p>
        </w:tc>
        <w:tc>
          <w:tcPr>
            <w:tcW w:w="9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5</w:t>
            </w:r>
          </w:p>
        </w:tc>
        <w:tc>
          <w:tcPr>
            <w:tcW w:w="27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6</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94" w:hRule="atLeast"/>
        </w:trPr>
        <w:tc>
          <w:tcPr>
            <w:tcW w:w="863" w:type="dxa"/>
            <w:vMerge w:val="continue"/>
            <w:tcBorders>
              <w:top w:val="single" w:color="000000" w:sz="4" w:space="0"/>
              <w:left w:val="single" w:color="000000" w:sz="4" w:space="0"/>
              <w:bottom w:val="single" w:color="000000" w:sz="4" w:space="0"/>
              <w:right w:val="single" w:color="000000" w:sz="4" w:space="0"/>
            </w:tcBorders>
          </w:tcPr>
          <w:p>
            <w:pPr>
              <w:spacing w:after="0" w:line="240" w:lineRule="auto"/>
            </w:pPr>
          </w:p>
        </w:tc>
        <w:tc>
          <w:tcPr>
            <w:tcW w:w="658" w:type="dxa"/>
            <w:tcBorders>
              <w:top w:val="nil"/>
              <w:left w:val="single" w:color="000000" w:sz="4"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分项服务名称</w:t>
            </w:r>
          </w:p>
        </w:tc>
        <w:tc>
          <w:tcPr>
            <w:tcW w:w="897"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交付期</w:t>
            </w:r>
          </w:p>
        </w:tc>
        <w:tc>
          <w:tcPr>
            <w:tcW w:w="799"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分项单位</w:t>
            </w:r>
          </w:p>
        </w:tc>
        <w:tc>
          <w:tcPr>
            <w:tcW w:w="655"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数量</w:t>
            </w:r>
          </w:p>
        </w:tc>
        <w:tc>
          <w:tcPr>
            <w:tcW w:w="917"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分项</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单价</w:t>
            </w:r>
          </w:p>
        </w:tc>
        <w:tc>
          <w:tcPr>
            <w:tcW w:w="2723" w:type="dxa"/>
            <w:tcBorders>
              <w:top w:val="nil"/>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分项</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54" w:hRule="atLeast"/>
        </w:trPr>
        <w:tc>
          <w:tcPr>
            <w:tcW w:w="8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6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合同签订后</w:t>
            </w:r>
            <w:r>
              <w:rPr>
                <w:rFonts w:ascii="宋体" w:hAnsi="宋体" w:eastAsia="宋体" w:cs="宋体"/>
                <w:color w:val="000000"/>
                <w:sz w:val="24"/>
                <w:u w:val="single"/>
              </w:rPr>
              <w:t xml:space="preserve">  </w:t>
            </w:r>
            <w:r>
              <w:rPr>
                <w:rFonts w:ascii="宋体" w:hAnsi="宋体" w:eastAsia="宋体" w:cs="宋体"/>
                <w:color w:val="000000"/>
                <w:sz w:val="24"/>
              </w:rPr>
              <w:t>日</w:t>
            </w:r>
          </w:p>
        </w:tc>
        <w:tc>
          <w:tcPr>
            <w:tcW w:w="7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6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9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27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54" w:hRule="atLeast"/>
        </w:trPr>
        <w:tc>
          <w:tcPr>
            <w:tcW w:w="8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2</w:t>
            </w:r>
          </w:p>
        </w:tc>
        <w:tc>
          <w:tcPr>
            <w:tcW w:w="6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7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6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9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c>
          <w:tcPr>
            <w:tcW w:w="27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487" w:hRule="atLeast"/>
        </w:trPr>
        <w:tc>
          <w:tcPr>
            <w:tcW w:w="4789"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投标总报价（人民币：元）</w:t>
            </w:r>
          </w:p>
        </w:tc>
        <w:tc>
          <w:tcPr>
            <w:tcW w:w="27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Times New Roman" w:hAnsi="Times New Roman" w:eastAsia="Times New Roman" w:cs="Times New Roman"/>
                <w:color w:val="000000"/>
                <w:sz w:val="24"/>
              </w:rPr>
              <w:t> </w:t>
            </w:r>
          </w:p>
        </w:tc>
      </w:tr>
    </w:tbl>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备注：</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2.“投标分项报价表”中“投标总报价”数额应当与“开标一览表”中“投标总报价”数额一致。</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3. 项目经办人可以根据项目实际需要对表格结构进行调整。</w:t>
      </w: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附件3            技术要求响应及偏离表（采购包号：**）</w:t>
      </w:r>
    </w:p>
    <w:tbl>
      <w:tblPr>
        <w:tblStyle w:val="35"/>
        <w:tblW w:w="8924"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3182"/>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241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技术要求</w:t>
            </w:r>
          </w:p>
        </w:tc>
        <w:tc>
          <w:tcPr>
            <w:tcW w:w="245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318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PrEx>
        <w:trPr>
          <w:trHeight w:val="640" w:hRule="atLeast"/>
        </w:trPr>
        <w:tc>
          <w:tcPr>
            <w:tcW w:w="8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241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51"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182"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1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2451"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182"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附件3-1  证明材料1，证明材料2，……</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1.投标人需对技术要求（未加斜体下划线的非实质性要求）逐条做出明确响应。</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附件4          商务要求响应及偏离表（采购包号：**）</w:t>
      </w:r>
    </w:p>
    <w:tbl>
      <w:tblPr>
        <w:tblStyle w:val="35"/>
        <w:tblW w:w="8924"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3182"/>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241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商务要求</w:t>
            </w:r>
          </w:p>
        </w:tc>
        <w:tc>
          <w:tcPr>
            <w:tcW w:w="245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318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241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51"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182"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1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2451"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182"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附件4-1  证明材料1，证明材料2，……</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1.投标人需对商务要求（未加斜体下划线的非实质性要求）逐条做出明确响应。</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2.如果招标文件要求提供证明材料，投标人需将证明材料列于该表之下。</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附件5            法人授权书</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本授权书声明：____________（投标人名称）授权</w:t>
      </w:r>
      <w:r>
        <w:rPr>
          <w:rFonts w:ascii="Times New Roman" w:hAnsi="Times New Roman" w:eastAsia="Times New Roman" w:cs="Times New Roman"/>
          <w:color w:val="000000"/>
          <w:sz w:val="24"/>
        </w:rPr>
        <w:t>________________</w:t>
      </w:r>
      <w:r>
        <w:rPr>
          <w:rFonts w:ascii="宋体" w:hAnsi="宋体" w:eastAsia="宋体" w:cs="宋体"/>
          <w:color w:val="000000"/>
          <w:sz w:val="24"/>
        </w:rPr>
        <w:t>（被授权人的姓名）为我方就</w:t>
      </w:r>
      <w:r>
        <w:rPr>
          <w:rFonts w:ascii="Times New Roman" w:hAnsi="Times New Roman" w:eastAsia="Times New Roman" w:cs="Times New Roman"/>
          <w:color w:val="000000"/>
          <w:sz w:val="24"/>
          <w:u w:val="single"/>
        </w:rPr>
        <w:t>***</w:t>
      </w:r>
      <w:r>
        <w:rPr>
          <w:rFonts w:ascii="宋体" w:hAnsi="宋体" w:eastAsia="宋体" w:cs="宋体"/>
          <w:color w:val="000000"/>
          <w:sz w:val="24"/>
        </w:rPr>
        <w:t>号项目采购活动的合法代理人，以本单位名义全权处理一切与该项目采购有关的事务。</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本授权书于______年</w:t>
      </w:r>
      <w:r>
        <w:rPr>
          <w:rFonts w:ascii="Times New Roman" w:hAnsi="Times New Roman" w:eastAsia="Times New Roman" w:cs="Times New Roman"/>
          <w:color w:val="000000"/>
          <w:sz w:val="24"/>
        </w:rPr>
        <w:t>____</w:t>
      </w:r>
      <w:r>
        <w:rPr>
          <w:rFonts w:ascii="宋体" w:hAnsi="宋体" w:eastAsia="宋体" w:cs="宋体"/>
          <w:color w:val="000000"/>
          <w:sz w:val="24"/>
        </w:rPr>
        <w:t>月</w:t>
      </w:r>
      <w:r>
        <w:rPr>
          <w:rFonts w:ascii="Times New Roman" w:hAnsi="Times New Roman" w:eastAsia="Times New Roman" w:cs="Times New Roman"/>
          <w:color w:val="000000"/>
          <w:sz w:val="24"/>
        </w:rPr>
        <w:t>____</w:t>
      </w:r>
      <w:r>
        <w:rPr>
          <w:rFonts w:ascii="宋体" w:hAnsi="宋体" w:eastAsia="宋体" w:cs="宋体"/>
          <w:color w:val="000000"/>
          <w:sz w:val="24"/>
        </w:rPr>
        <w:t>日起生效，特此声明。</w:t>
      </w:r>
    </w:p>
    <w:p>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被授权人身份证号码：           </w:t>
      </w:r>
    </w:p>
    <w:p>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被授权人联系电话：（手机）           </w:t>
      </w:r>
    </w:p>
    <w:p>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pPr>
      <w:r>
        <w:rPr>
          <w:rFonts w:ascii="宋体" w:hAnsi="宋体" w:eastAsia="宋体" w:cs="宋体"/>
          <w:color w:val="000000" w:themeColor="text1"/>
          <w:sz w:val="24"/>
          <w14:textFill>
            <w14:solidFill>
              <w14:schemeClr w14:val="tx1"/>
            </w14:solidFill>
          </w14:textFill>
        </w:rPr>
        <w:t>被授权人电子邮箱</w:t>
      </w:r>
      <w:r>
        <w:rPr>
          <w:rFonts w:ascii="宋体" w:hAnsi="宋体" w:eastAsia="宋体" w:cs="宋体"/>
          <w:color w:val="000000"/>
          <w:sz w:val="24"/>
        </w:rPr>
        <w:t>：</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pPr>
      <w:r>
        <w:rPr>
          <w:rFonts w:ascii="宋体" w:hAnsi="宋体" w:eastAsia="宋体" w:cs="宋体"/>
          <w:color w:val="000000"/>
          <w:sz w:val="24"/>
        </w:rPr>
        <w:t>授权单位名称：</w:t>
      </w:r>
      <w:r>
        <w:rPr>
          <w:rFonts w:ascii="宋体" w:hAnsi="宋体" w:eastAsia="宋体" w:cs="宋体"/>
          <w:color w:val="000000"/>
          <w:sz w:val="24"/>
          <w:u w:val="single"/>
        </w:rPr>
        <w:t>（加盖CA电子公章）</w:t>
      </w:r>
    </w:p>
    <w:p>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单位地址：           </w:t>
      </w:r>
    </w:p>
    <w:p>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日期：           </w:t>
      </w:r>
    </w:p>
    <w:p>
      <w:pPr>
        <w:pBdr>
          <w:top w:val="none" w:color="000000" w:sz="0" w:space="0"/>
          <w:left w:val="none" w:color="000000" w:sz="0" w:space="0"/>
          <w:bottom w:val="none" w:color="000000" w:sz="0" w:space="0"/>
          <w:right w:val="none" w:color="000000" w:sz="0" w:space="0"/>
        </w:pBdr>
        <w:spacing w:before="260" w:after="260"/>
        <w:ind w:left="0" w:right="0" w:firstLine="0"/>
        <w:jc w:val="both"/>
      </w:pPr>
      <w:r>
        <w:rPr/>
        <w:br w:type="page" w:clear="all"/>
      </w:r>
    </w:p>
    <w:p>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附件6                投标函</w:t>
      </w:r>
    </w:p>
    <w:p>
      <w:pPr>
        <w:pBdr>
          <w:top w:val="none" w:color="000000" w:sz="0" w:space="0"/>
          <w:left w:val="none" w:color="000000" w:sz="0" w:space="0"/>
          <w:bottom w:val="none" w:color="000000" w:sz="0" w:space="0"/>
          <w:right w:val="none" w:color="000000" w:sz="0" w:space="0"/>
        </w:pBdr>
        <w:spacing w:before="0" w:after="0" w:line="418" w:lineRule="atLeast"/>
        <w:ind w:left="0" w:right="0" w:firstLine="0"/>
        <w:jc w:val="both"/>
      </w:pPr>
      <w:r>
        <w:rPr>
          <w:rFonts w:ascii="宋体" w:hAnsi="宋体" w:eastAsia="宋体" w:cs="宋体"/>
          <w:color w:val="000000"/>
          <w:sz w:val="24"/>
        </w:rPr>
        <w:t>致：扬州市公共资源交易中心：</w:t>
      </w:r>
    </w:p>
    <w:p>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根据贵方的</w:t>
      </w:r>
      <w:r>
        <w:rPr>
          <w:rFonts w:ascii="宋体" w:hAnsi="宋体" w:eastAsia="宋体" w:cs="宋体"/>
          <w:color w:val="000000"/>
          <w:sz w:val="24"/>
          <w:u w:val="single"/>
        </w:rPr>
        <w:t>****</w:t>
      </w:r>
      <w:r>
        <w:rPr>
          <w:rFonts w:ascii="宋体" w:hAnsi="宋体" w:eastAsia="宋体" w:cs="宋体"/>
          <w:color w:val="000000"/>
          <w:sz w:val="24"/>
        </w:rPr>
        <w:t>号招标文件，正式授权下述签字人_____(姓名)代表我方_______（投标人的名称），全权处理本次项目投标的有关事宜。</w:t>
      </w:r>
    </w:p>
    <w:p>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据此函，__________签字人兹宣布同意如下：</w:t>
      </w:r>
    </w:p>
    <w:p>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1.按招标文件规定的各项要求，向买方提供所需货物（包含与货物相关的服务）。</w:t>
      </w:r>
    </w:p>
    <w:p>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2.我们完全理解贵方不一定将合同授予最低报价的投标人。</w:t>
      </w:r>
    </w:p>
    <w:p>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3.我们已详细审核全部招标文件及其有效补充文件，我们知道必须放弃提出含糊不清或误解问题的权利。</w:t>
      </w:r>
    </w:p>
    <w:p>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4.我们同意从规定的开标日期起遵循本投标文件，并在规定的投标有效期期满之前均具有约束力。</w:t>
      </w:r>
    </w:p>
    <w:p>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5.同意向贵方提供贵方可能另外要求的与投标有关的任何证据或资料，并保证我方已提供和将要提供的文件是真实的、准确的。</w:t>
      </w:r>
    </w:p>
    <w:p>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6.一旦我方中标,我方将根据招标文件的规定，严格履行合同的责任和义务,并保证在招标文件规定的时间完成项目，交付买方验收、使用。</w:t>
      </w:r>
    </w:p>
    <w:p>
      <w:pPr>
        <w:pBdr>
          <w:top w:val="none" w:color="000000" w:sz="0" w:space="0"/>
          <w:left w:val="none" w:color="000000" w:sz="0" w:space="0"/>
          <w:bottom w:val="none" w:color="000000" w:sz="0" w:space="0"/>
          <w:right w:val="none" w:color="000000" w:sz="0" w:space="0"/>
        </w:pBdr>
        <w:spacing w:before="0" w:after="0" w:line="418" w:lineRule="atLeast"/>
        <w:ind w:left="425" w:right="0" w:firstLine="0"/>
        <w:jc w:val="both"/>
      </w:pPr>
      <w:r>
        <w:rPr>
          <w:rFonts w:ascii="宋体" w:hAnsi="宋体" w:eastAsia="宋体" w:cs="宋体"/>
          <w:color w:val="000000"/>
          <w:sz w:val="24"/>
        </w:rPr>
        <w:t>7.与本投标有关的正式通讯地址为：</w:t>
      </w:r>
    </w:p>
    <w:p>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地址：</w:t>
      </w:r>
    </w:p>
    <w:p>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邮编：</w:t>
      </w:r>
    </w:p>
    <w:p>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电话：</w:t>
      </w:r>
    </w:p>
    <w:p>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传真：</w:t>
      </w:r>
    </w:p>
    <w:p>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投标人开户行：</w:t>
      </w:r>
    </w:p>
    <w:p>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 xml:space="preserve">账号： </w:t>
      </w:r>
    </w:p>
    <w:p>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日期：______年____月____日</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rPr>
          <w:rFonts w:ascii="宋体" w:hAnsi="宋体" w:eastAsia="宋体" w:cs="宋体"/>
          <w:b/>
          <w:color w:val="000000"/>
          <w:sz w:val="24"/>
        </w:rPr>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附件7           主要标的信息（中标后将公示）</w:t>
      </w:r>
    </w:p>
    <w:p>
      <w:pPr>
        <w:pBdr>
          <w:top w:val="none" w:color="000000" w:sz="0" w:space="0"/>
          <w:left w:val="none" w:color="000000" w:sz="0" w:space="0"/>
          <w:bottom w:val="none" w:color="000000" w:sz="0" w:space="0"/>
          <w:right w:val="none" w:color="000000" w:sz="0" w:space="0"/>
        </w:pBdr>
        <w:spacing w:before="0" w:after="312"/>
        <w:ind w:left="0" w:right="0" w:firstLine="0"/>
        <w:jc w:val="both"/>
      </w:pPr>
      <w:r>
        <w:rPr>
          <w:rFonts w:ascii="宋体" w:hAnsi="宋体" w:eastAsia="宋体" w:cs="宋体"/>
          <w:color w:val="000000"/>
          <w:sz w:val="24"/>
        </w:rPr>
        <w:t>投标人全称：</w:t>
      </w:r>
    </w:p>
    <w:tbl>
      <w:tblPr>
        <w:tblStyle w:val="35"/>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3433"/>
        <w:gridCol w:w="329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343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货物类</w:t>
            </w:r>
          </w:p>
        </w:tc>
        <w:tc>
          <w:tcPr>
            <w:tcW w:w="329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3810" w:hRule="atLeast"/>
        </w:trPr>
        <w:tc>
          <w:tcPr>
            <w:tcW w:w="3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名称：</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品牌（如有）：</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规格型号：</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数量：</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单价：</w:t>
            </w:r>
          </w:p>
        </w:tc>
        <w:tc>
          <w:tcPr>
            <w:tcW w:w="3296"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名称：</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服务范围：</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服务要求：</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服务时间：</w:t>
            </w:r>
          </w:p>
          <w:p>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服务标准：</w:t>
            </w:r>
          </w:p>
        </w:tc>
      </w:tr>
    </w:tbl>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附件8</w:t>
      </w:r>
    </w:p>
    <w:p>
      <w:pPr>
        <w:pBdr>
          <w:top w:val="none" w:color="000000" w:sz="0" w:space="0"/>
          <w:left w:val="none" w:color="000000" w:sz="0" w:space="0"/>
          <w:bottom w:val="none" w:color="000000" w:sz="0" w:space="0"/>
          <w:right w:val="none" w:color="000000" w:sz="0" w:space="0"/>
        </w:pBdr>
        <w:spacing w:before="0" w:after="0"/>
        <w:ind w:left="0" w:right="0" w:firstLine="1205"/>
        <w:jc w:val="both"/>
      </w:pPr>
      <w:r>
        <w:rPr>
          <w:rFonts w:ascii="宋体" w:hAnsi="宋体" w:eastAsia="宋体" w:cs="宋体"/>
          <w:b/>
          <w:color w:val="000000"/>
          <w:sz w:val="24"/>
        </w:rPr>
        <w:t>具备履行合同所必需的设备和专业技术能力的书面声明</w:t>
      </w:r>
    </w:p>
    <w:p>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我单位郑重声明：我单位具备履行本项采购合同所必需的设备和专业技术能力，为履行本项采购合同我公司具备如下主要设备和主要专业技术能力：</w:t>
      </w:r>
    </w:p>
    <w:p>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主要设备有：</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主要专业技术能力有：</w:t>
      </w:r>
      <w:r>
        <w:rPr>
          <w:rFonts w:ascii="宋体" w:hAnsi="宋体" w:eastAsia="宋体" w:cs="宋体"/>
          <w:color w:val="000000"/>
          <w:sz w:val="24"/>
          <w:u w:val="single"/>
        </w:rPr>
        <w:t>           </w:t>
      </w: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附件9</w:t>
      </w:r>
    </w:p>
    <w:p>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480" w:right="0" w:firstLine="0"/>
        <w:jc w:val="both"/>
      </w:pPr>
      <w:r>
        <w:rPr>
          <w:rFonts w:ascii="宋体" w:hAnsi="宋体" w:eastAsia="宋体" w:cs="宋体"/>
          <w:b/>
          <w:color w:val="000000"/>
          <w:sz w:val="24"/>
        </w:rPr>
        <w:t>参加政府采购活动前 3 年内在经营活动中没有重大违法记录的书面声明</w:t>
      </w:r>
    </w:p>
    <w:p>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我单位郑重声明：参加本次政府采购活动前3年内，我单位在经营活动中没有因违法经营受到刑事处罚或者责令停产停业、吊销许可证或者执照、较大数额罚款等行政处罚。</w:t>
      </w:r>
    </w:p>
    <w:p>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b/>
          <w:color w:val="000000"/>
          <w:sz w:val="24"/>
        </w:rPr>
        <w:t>附件10            供应商信用承诺函</w:t>
      </w:r>
    </w:p>
    <w:p>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24"/>
        </w:rPr>
        <w:t> </w:t>
      </w:r>
    </w:p>
    <w:p>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承诺主体名称：</w:t>
      </w:r>
    </w:p>
    <w:p>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统一社会信用代码：</w:t>
      </w:r>
    </w:p>
    <w:p>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为维护公平竞争、规范有序的市场秩序，营造诚实守信的信用环境，共同推进社会信用体系建设完善，树立企业诚信守法形象，本企业对________________________项目政府采购活动郑重承诺如下:</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一、对提供给注册登记部门、行业管理部门、司法部门、行业组织以及在政府采购活动中提交的所有资料的合法性、真实性、准确性和有效性负责；</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二、严格按照国家法律、法规和规章开展采购活动，全面履行应尽的责任和义务，全面做到履约守信，具备《中华人民共和国政府采购法》第二十二条第一款规定的条件;</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三、严格依法开展生产经营活动，主动接受行业监管，自愿接受依法开展的日常检查；违法失信经营后将自愿接受约束和惩戒，并依法承担相应责任；</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四、自觉接受行政管理部门、行业组织、社会公众、新闻舆论的监督；</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五、自觉做到自我约束、自我管理，不制假售假、商标侵权、虚假宣传、违约毁约、恶意逃债、偷税漏税、垄断和不正当竞争，维护经营者、消费者的合法权益；</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六、提出政府采购质疑和投诉坚持依法依规、诚实信用原则，在全国范围12个月内没有三次以上查无实据的政府采购投诉；</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七、严格遵守信用信息公示相关规定，向社会公示信用信息；</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八、在“信用中国”和“中国政府采购网”网站中无严重失信记录；</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九、如违反承诺，自愿接受管理部门依法给予的行政处罚，同意将违反承诺的行为作为不良记录记入信用档案，依法依规进行信息公示，并承担所产生的一切法律责任和经济损失。</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十、本承诺书自签订之日起生效。</w:t>
      </w:r>
    </w:p>
    <w:p>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 （注：法定代表人或负责人、主体名称发生变更的应当重新做出承诺。）</w:t>
      </w:r>
    </w:p>
    <w:p>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承诺单位（加盖CA电子公章）：    </w:t>
      </w:r>
    </w:p>
    <w:p>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年  月  日</w:t>
      </w:r>
    </w:p>
    <w:p>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361"/>
        <w:ind w:left="0" w:right="0" w:firstLine="0"/>
        <w:jc w:val="both"/>
      </w:pPr>
      <w:r>
        <w:rPr>
          <w:rFonts w:ascii="宋体" w:hAnsi="宋体" w:eastAsia="宋体" w:cs="宋体"/>
          <w:b/>
          <w:color w:val="000000"/>
          <w:sz w:val="24"/>
        </w:rPr>
        <w:t>附件11        中小企业声明函（服务类项目）（采购包号：**）</w:t>
      </w:r>
    </w:p>
    <w:p>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（项目名称）（采购包号：**）</w:t>
      </w:r>
      <w:r>
        <w:rPr>
          <w:rFonts w:ascii="宋体" w:hAnsi="宋体" w:eastAsia="宋体" w:cs="宋体"/>
          <w:color w:val="000000"/>
          <w:sz w:val="24"/>
        </w:rPr>
        <w:t>的采购活动，服务全部由符合政策的中小企业承接。相关企业（含联合体中的中小企业、签订采购包意向协议的中小企业）的具体情况如下：</w:t>
      </w:r>
    </w:p>
    <w:p>
      <w:pPr>
        <w:pBdr>
          <w:top w:val="none" w:color="000000" w:sz="0" w:space="0"/>
          <w:left w:val="none" w:color="000000" w:sz="0" w:space="0"/>
          <w:bottom w:val="none" w:color="000000" w:sz="0" w:space="0"/>
          <w:right w:val="none" w:color="000000" w:sz="0" w:space="0"/>
        </w:pBdr>
        <w:spacing w:before="0" w:after="0"/>
        <w:ind w:left="0" w:right="0" w:firstLine="360"/>
        <w:jc w:val="both"/>
        <w:rPr>
          <w:color w:val="000000" w:themeColor="text1"/>
          <w14:textFill>
            <w14:solidFill>
              <w14:schemeClr w14:val="tx1"/>
            </w14:solidFill>
          </w14:textFill>
        </w:rPr>
      </w:pPr>
      <w:r>
        <w:rPr>
          <w:rFonts w:ascii="宋体" w:hAnsi="宋体" w:eastAsia="宋体" w:cs="宋体"/>
          <w:color w:val="000000"/>
          <w:sz w:val="24"/>
        </w:rPr>
        <w:t>1.</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000000" w:themeColor="text1"/>
          <w:sz w:val="24"/>
          <w:u w:val="single"/>
          <w14:textFill>
            <w14:solidFill>
              <w14:schemeClr w14:val="tx1"/>
            </w14:solidFill>
          </w14:textFill>
        </w:rPr>
        <w:t>（</w:t>
      </w:r>
      <w:r>
        <w:rPr>
          <w:rFonts w:hint="eastAsia" w:ascii="宋体" w:hAnsi="宋体" w:cs="宋体"/>
          <w:color w:val="000000" w:themeColor="text1"/>
          <w:sz w:val="24"/>
          <w:u w:val="single"/>
          <w:lang w:val="en-US" w:eastAsia="zh-CN"/>
          <w14:textFill>
            <w14:solidFill>
              <w14:schemeClr w14:val="tx1"/>
            </w14:solidFill>
          </w14:textFill>
        </w:rPr>
        <w:t>软件和信息技术服务业</w:t>
      </w:r>
      <w:r>
        <w:rPr>
          <w:rFonts w:ascii="宋体" w:hAnsi="宋体" w:eastAsia="宋体" w:cs="宋体"/>
          <w:color w:val="000000" w:themeColor="text1"/>
          <w:sz w:val="24"/>
          <w:u w:val="single"/>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行业；承接企业为</w:t>
      </w:r>
      <w:r>
        <w:rPr>
          <w:rFonts w:ascii="宋体" w:hAnsi="宋体" w:eastAsia="宋体" w:cs="宋体"/>
          <w:color w:val="000000" w:themeColor="text1"/>
          <w:sz w:val="24"/>
          <w:u w:val="single"/>
          <w14:textFill>
            <w14:solidFill>
              <w14:schemeClr w14:val="tx1"/>
            </w14:solidFill>
          </w14:textFill>
        </w:rPr>
        <w:t>（企业名称）</w:t>
      </w:r>
      <w:r>
        <w:rPr>
          <w:rFonts w:ascii="宋体" w:hAnsi="宋体" w:eastAsia="宋体" w:cs="宋体"/>
          <w:color w:val="000000" w:themeColor="text1"/>
          <w:sz w:val="24"/>
          <w14:textFill>
            <w14:solidFill>
              <w14:schemeClr w14:val="tx1"/>
            </w14:solidFill>
          </w14:textFill>
        </w:rPr>
        <w:t>，从业人员</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人，营业收入为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万元，资产总额为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万元</w:t>
      </w:r>
      <w:r>
        <w:rPr>
          <w:rFonts w:ascii="宋体" w:hAnsi="宋体" w:eastAsia="宋体" w:cs="宋体"/>
          <w:color w:val="000000" w:themeColor="text1"/>
          <w:sz w:val="24"/>
          <w:vertAlign w:val="superscript"/>
          <w14:textFill>
            <w14:solidFill>
              <w14:schemeClr w14:val="tx1"/>
            </w14:solidFill>
          </w14:textFill>
        </w:rPr>
        <w:t>1</w:t>
      </w:r>
      <w:r>
        <w:rPr>
          <w:rFonts w:ascii="宋体" w:hAnsi="宋体" w:eastAsia="宋体" w:cs="宋体"/>
          <w:color w:val="000000" w:themeColor="text1"/>
          <w:sz w:val="24"/>
          <w14:textFill>
            <w14:solidFill>
              <w14:schemeClr w14:val="tx1"/>
            </w14:solidFill>
          </w14:textFill>
        </w:rPr>
        <w:t>，属于</w:t>
      </w:r>
      <w:r>
        <w:rPr>
          <w:rFonts w:ascii="宋体" w:hAnsi="宋体" w:eastAsia="宋体" w:cs="宋体"/>
          <w:color w:val="000000" w:themeColor="text1"/>
          <w:sz w:val="24"/>
          <w:u w:val="single"/>
          <w14:textFill>
            <w14:solidFill>
              <w14:schemeClr w14:val="tx1"/>
            </w14:solidFill>
          </w14:textFill>
        </w:rPr>
        <w:t>（□中型企业 □小型企业 □微型企业）；</w:t>
      </w:r>
    </w:p>
    <w:p>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themeColor="text1"/>
          <w:sz w:val="24"/>
          <w14:textFill>
            <w14:solidFill>
              <w14:schemeClr w14:val="tx1"/>
            </w14:solidFill>
          </w14:textFill>
        </w:rPr>
        <w:t>2.</w:t>
      </w:r>
      <w:r>
        <w:rPr>
          <w:rFonts w:ascii="宋体" w:hAnsi="宋体" w:eastAsia="宋体" w:cs="宋体"/>
          <w:color w:val="000000" w:themeColor="text1"/>
          <w:sz w:val="24"/>
          <w:u w:val="single"/>
          <w14:textFill>
            <w14:solidFill>
              <w14:schemeClr w14:val="tx1"/>
            </w14:solidFill>
          </w14:textFill>
        </w:rPr>
        <w:t>（标的名称）</w:t>
      </w:r>
      <w:r>
        <w:rPr>
          <w:rFonts w:ascii="宋体" w:hAnsi="宋体" w:eastAsia="宋体" w:cs="宋体"/>
          <w:i/>
          <w:color w:val="000000" w:themeColor="text1"/>
          <w:sz w:val="24"/>
          <w14:textFill>
            <w14:solidFill>
              <w14:schemeClr w14:val="tx1"/>
            </w14:solidFill>
          </w14:textFill>
        </w:rPr>
        <w:t>，</w:t>
      </w:r>
      <w:r>
        <w:rPr>
          <w:rFonts w:ascii="宋体" w:hAnsi="宋体" w:eastAsia="宋体" w:cs="宋体"/>
          <w:color w:val="000000" w:themeColor="text1"/>
          <w:sz w:val="24"/>
          <w14:textFill>
            <w14:solidFill>
              <w14:schemeClr w14:val="tx1"/>
            </w14:solidFill>
          </w14:textFill>
        </w:rPr>
        <w:t>属于</w:t>
      </w:r>
      <w:r>
        <w:rPr>
          <w:rFonts w:ascii="宋体" w:hAnsi="宋体" w:eastAsia="宋体" w:cs="宋体"/>
          <w:color w:val="000000" w:themeColor="text1"/>
          <w:sz w:val="24"/>
          <w:u w:val="single"/>
          <w14:textFill>
            <w14:solidFill>
              <w14:schemeClr w14:val="tx1"/>
            </w14:solidFill>
          </w14:textFill>
        </w:rPr>
        <w:t>（</w:t>
      </w:r>
      <w:r>
        <w:rPr>
          <w:rFonts w:hint="eastAsia" w:ascii="宋体" w:hAnsi="宋体" w:cs="宋体"/>
          <w:color w:val="000000" w:themeColor="text1"/>
          <w:sz w:val="24"/>
          <w:u w:val="single"/>
          <w:lang w:val="en-US" w:eastAsia="zh-CN"/>
          <w14:textFill>
            <w14:solidFill>
              <w14:schemeClr w14:val="tx1"/>
            </w14:solidFill>
          </w14:textFill>
        </w:rPr>
        <w:t>软件和信息技术服务业</w:t>
      </w:r>
      <w:r>
        <w:rPr>
          <w:rFonts w:ascii="宋体" w:hAnsi="宋体" w:eastAsia="宋体" w:cs="宋体"/>
          <w:color w:val="000000" w:themeColor="text1"/>
          <w:sz w:val="24"/>
          <w:u w:val="single"/>
          <w14:textFill>
            <w14:solidFill>
              <w14:schemeClr w14:val="tx1"/>
            </w14:solidFill>
          </w14:textFill>
        </w:rPr>
        <w:t>）</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color w:val="000000"/>
          <w:sz w:val="24"/>
          <w:u w:val="single"/>
        </w:rPr>
        <w:t>（□中型企业 □小型企业 □微型企业）；</w:t>
      </w:r>
    </w:p>
    <w:p>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本企业对上述声明内容的真实性负责。如有虚假，将依法承担相应责任</w:t>
      </w:r>
    </w:p>
    <w:p>
      <w:pPr>
        <w:pBdr>
          <w:top w:val="none" w:color="000000" w:sz="0" w:space="0"/>
          <w:left w:val="none" w:color="000000" w:sz="0" w:space="0"/>
          <w:bottom w:val="none" w:color="000000" w:sz="0" w:space="0"/>
          <w:right w:val="none" w:color="000000" w:sz="0" w:space="0"/>
        </w:pBdr>
        <w:spacing w:before="0" w:after="0"/>
        <w:ind w:left="0" w:right="720" w:firstLine="0"/>
        <w:jc w:val="both"/>
      </w:pPr>
      <w:r>
        <w:rPr>
          <w:rFonts w:ascii="Times New Roman" w:hAnsi="Times New Roman" w:eastAsia="Times New Roman" w:cs="Times New Roman"/>
          <w:color w:val="000000"/>
          <w:sz w:val="24"/>
        </w:rPr>
        <w:t> </w:t>
      </w:r>
    </w:p>
    <w:p>
      <w:pPr>
        <w:pBdr>
          <w:top w:val="none" w:color="000000" w:sz="0" w:space="0"/>
          <w:left w:val="none" w:color="000000" w:sz="0" w:space="0"/>
          <w:bottom w:val="none" w:color="000000" w:sz="0" w:space="0"/>
          <w:right w:val="none" w:color="000000" w:sz="0" w:space="0"/>
        </w:pBdr>
        <w:spacing w:before="0" w:after="0"/>
        <w:ind w:left="0" w:right="180" w:firstLine="360"/>
        <w:jc w:val="right"/>
      </w:pPr>
      <w:r>
        <w:rPr>
          <w:rFonts w:ascii="宋体" w:hAnsi="宋体" w:eastAsia="宋体" w:cs="宋体"/>
          <w:color w:val="000000"/>
          <w:sz w:val="24"/>
        </w:rPr>
        <w:t>企业名称（加盖CA电子公章）：</w:t>
      </w:r>
    </w:p>
    <w:p>
      <w:pPr>
        <w:pBdr>
          <w:top w:val="none" w:color="000000" w:sz="0" w:space="0"/>
          <w:left w:val="none" w:color="000000" w:sz="0" w:space="0"/>
          <w:bottom w:val="none" w:color="000000" w:sz="0" w:space="0"/>
          <w:right w:val="none" w:color="000000" w:sz="0" w:space="0"/>
        </w:pBdr>
        <w:spacing w:before="0" w:after="0"/>
        <w:ind w:left="0" w:right="480" w:firstLine="5400"/>
        <w:jc w:val="both"/>
      </w:pPr>
      <w:r>
        <w:rPr>
          <w:rFonts w:ascii="宋体" w:hAnsi="宋体" w:eastAsia="宋体" w:cs="宋体"/>
          <w:color w:val="000000"/>
          <w:sz w:val="24"/>
        </w:rPr>
        <w:t>日  期：</w:t>
      </w:r>
    </w:p>
    <w:p>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Times New Roman" w:hAnsi="Times New Roman" w:eastAsia="Times New Roman" w:cs="Times New Roman"/>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备注：</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1.从业人员、营业收入、资产总额填报上一年度数据，无上一年度数据的新成立企业可不填报。</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2.专门面向中小微型企业采购的项目，供应商如不提供此声明函，则不能通过资格审查；非专门面向中小微型企业采购的项目，供应商如不提供此声明函，价格将不做相应扣除。</w:t>
      </w:r>
    </w:p>
    <w:p>
      <w:pPr>
        <w:pBdr>
          <w:top w:val="none" w:color="000000" w:sz="0" w:space="0"/>
          <w:left w:val="none" w:color="000000" w:sz="0" w:space="0"/>
          <w:bottom w:val="none" w:color="000000" w:sz="0" w:space="0"/>
          <w:right w:val="none" w:color="000000" w:sz="0" w:space="0"/>
        </w:pBdr>
        <w:spacing w:before="0" w:after="0"/>
        <w:ind w:left="540" w:right="0" w:hanging="120"/>
        <w:jc w:val="both"/>
      </w:pPr>
      <w:r>
        <w:rPr>
          <w:rFonts w:ascii="宋体" w:hAnsi="宋体" w:eastAsia="宋体" w:cs="宋体"/>
          <w:color w:val="FF0000"/>
          <w:sz w:val="24"/>
        </w:rPr>
        <w:t>3.供应商应对照《工业和信息化部、国家统计局、国家发展和改革委员会、财政</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部关于印发中小企业划型标准规定的通知》(工信部联企业[2011]300号)《国家统计局关于印发〈统计上大中小微型企业划分办法（2017）〉的通知》（国统字〔2017〕213号）的规定，自行勾选承接企业的企业规模类型。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b/>
          <w:color w:val="0070C0"/>
          <w:sz w:val="21"/>
        </w:rPr>
        <w:t> </w:t>
      </w:r>
    </w:p>
    <w:p>
      <w:pPr>
        <w:pBdr>
          <w:top w:val="none" w:color="000000" w:sz="0" w:space="0"/>
          <w:left w:val="none" w:color="000000" w:sz="0" w:space="0"/>
          <w:bottom w:val="none" w:color="000000" w:sz="0" w:space="0"/>
          <w:right w:val="none" w:color="000000" w:sz="0" w:space="0"/>
        </w:pBdr>
        <w:spacing w:before="300" w:after="452"/>
        <w:ind w:left="0" w:right="0" w:firstLine="0"/>
        <w:jc w:val="both"/>
      </w:pPr>
      <w:r>
        <w:rPr>
          <w:rFonts w:ascii="等线" w:hAnsi="等线" w:eastAsia="等线" w:cs="等线"/>
          <w:b/>
          <w:color w:val="666666"/>
          <w:sz w:val="21"/>
        </w:rPr>
        <w:t>中小微企业划型标准如下：</w:t>
      </w:r>
    </w:p>
    <w:tbl>
      <w:tblPr>
        <w:tblStyle w:val="35"/>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16"/>
        <w:gridCol w:w="1417"/>
        <w:gridCol w:w="1276"/>
        <w:gridCol w:w="1134"/>
        <w:gridCol w:w="1701"/>
        <w:gridCol w:w="1559"/>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85" w:hRule="atLeast"/>
        </w:trPr>
        <w:tc>
          <w:tcPr>
            <w:tcW w:w="171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行业名称</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指标名称</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计量单位</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中型</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小型</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微型</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农、林、牧、渔</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50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工业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40000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300≤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300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建筑业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6000≤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80000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300≤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6000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300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80000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300≤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5000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Z＜</w:t>
            </w:r>
            <w:r>
              <w:rPr>
                <w:rFonts w:ascii="宋体" w:hAnsi="宋体" w:eastAsia="宋体" w:cs="宋体"/>
                <w:b/>
                <w:color w:val="666666"/>
                <w:sz w:val="21"/>
              </w:rPr>
              <w:t>300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批发业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5</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40000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零售业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50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交通运输业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200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仓储业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邮政业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住宿业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餐饮业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信息传输业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center"/>
            </w:pPr>
            <w:r>
              <w:rPr>
                <w:rFonts w:ascii="等线" w:hAnsi="等线" w:eastAsia="等线" w:cs="等线"/>
                <w:b/>
                <w:color w:val="666666"/>
                <w:sz w:val="21"/>
              </w:rPr>
              <w:t>软件和信息技术服务业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50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房地产开发经营</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10000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2000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物业管理</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500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租赁和商务服务业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vMerge w:val="continue"/>
          </w:tcPr>
          <w:p>
            <w:pPr>
              <w:spacing w:after="0" w:line="240" w:lineRule="auto"/>
            </w:pP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8000≤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120000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8000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225" w:hRule="atLeast"/>
        </w:trPr>
        <w:tc>
          <w:tcPr>
            <w:tcW w:w="171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其他未列明行业</w:t>
            </w:r>
          </w:p>
        </w:tc>
        <w:tc>
          <w:tcPr>
            <w:tcW w:w="1417"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1276"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134"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701"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tcMar>
              <w:top w:w="0" w:type="dxa"/>
              <w:left w:w="105" w:type="dxa"/>
              <w:bottom w:w="0" w:type="dxa"/>
              <w:right w:w="105" w:type="dxa"/>
            </w:tcMar>
            <w:vAlign w:val="center"/>
          </w:tcPr>
          <w:p>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bl>
    <w:p>
      <w:pPr>
        <w:pBdr>
          <w:top w:val="none" w:color="000000" w:sz="0" w:space="0"/>
          <w:left w:val="none" w:color="000000" w:sz="0" w:space="0"/>
          <w:bottom w:val="none" w:color="000000" w:sz="0" w:space="0"/>
          <w:right w:val="none" w:color="000000" w:sz="0" w:space="0"/>
        </w:pBdr>
        <w:spacing w:before="300" w:after="452"/>
        <w:ind w:left="0" w:right="0" w:firstLine="810"/>
        <w:jc w:val="both"/>
      </w:pPr>
      <w:r>
        <w:rPr>
          <w:rFonts w:ascii="等线" w:hAnsi="等线" w:eastAsia="等线" w:cs="等线"/>
          <w:b/>
          <w:color w:val="666666"/>
          <w:sz w:val="21"/>
        </w:rPr>
        <w:t>说明：上述标准参照《关于印发中小企业划型标准规定的通知》（工信部联企业[2011]300号），大型、中型和小型企业须同时满足所列指标的下限，否则下划一档；微型企业只须满足所列指标中的一项即可。</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附件12     残疾人福利性单位声明函（服务类项目）（采购包号：**）</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本单位对上述声明的真实性负责。如有虚假，将依法承担相应责任。</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1.专门面向中小微型企业采购的项目，供应商为残疾人福利性单位并提供服务的必须提供此声明函，否则将不能通过资格审查。</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2.非专门面向中小微型企业采购的项目，供应商如不提供此声明函，价格将不做相应扣除。</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3.中标/成交供应商为残疾人福利性单位的，此声明函将随中标/成交结果同时公告，接受社会监督</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供应商全称（加盖CA电子公章）：</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日期：</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color w:val="000000"/>
          <w:sz w:val="24"/>
        </w:rPr>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bCs/>
          <w:color w:val="000000"/>
          <w:sz w:val="24"/>
          <w:szCs w:val="24"/>
          <w:highlight w:val="none"/>
        </w:rPr>
      </w:pPr>
      <w:r>
        <w:rPr>
          <w:rFonts w:ascii="宋体" w:hAnsi="宋体" w:eastAsia="宋体" w:cs="宋体"/>
          <w:b/>
          <w:color w:val="000000"/>
          <w:sz w:val="24"/>
        </w:rPr>
        <w:t>附件13          联合体协议（参考格式）（采购包号：**）</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（联合体中各供应商全称）在此达成以下协议：</w:t>
      </w:r>
    </w:p>
    <w:p>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1、我们</w:t>
      </w:r>
      <w:r>
        <w:rPr>
          <w:rFonts w:ascii="宋体" w:hAnsi="宋体" w:eastAsia="宋体" w:cs="宋体"/>
          <w:color w:val="000000"/>
          <w:sz w:val="24"/>
          <w:u w:val="single"/>
        </w:rPr>
        <w:t> （供应商1），（供应商2） ，……</w:t>
      </w:r>
      <w:r>
        <w:rPr>
          <w:rFonts w:ascii="宋体" w:hAnsi="宋体" w:eastAsia="宋体" w:cs="宋体"/>
          <w:color w:val="000000"/>
          <w:sz w:val="24"/>
        </w:rPr>
        <w:t>自愿组成联合体，参加扬州市公共资源交易中心组织的采购编号为</w:t>
      </w:r>
      <w:r>
        <w:rPr>
          <w:rFonts w:ascii="宋体" w:hAnsi="宋体" w:eastAsia="宋体" w:cs="宋体"/>
          <w:color w:val="000000"/>
          <w:sz w:val="24"/>
          <w:u w:val="single"/>
        </w:rPr>
        <w:t>（编号全称），（项目全称）</w:t>
      </w:r>
      <w:r>
        <w:rPr>
          <w:rFonts w:ascii="宋体" w:hAnsi="宋体" w:eastAsia="宋体" w:cs="宋体"/>
          <w:color w:val="000000"/>
          <w:sz w:val="24"/>
        </w:rPr>
        <w:t>项目（采购包号：**）的政府采购活动，我联合体指定</w:t>
      </w:r>
      <w:r>
        <w:rPr>
          <w:rFonts w:ascii="宋体" w:hAnsi="宋体" w:eastAsia="宋体" w:cs="宋体"/>
          <w:color w:val="000000"/>
          <w:sz w:val="24"/>
          <w:u w:val="single"/>
        </w:rPr>
        <w:t>（供应商*）</w:t>
      </w:r>
      <w:r>
        <w:rPr>
          <w:rFonts w:ascii="宋体" w:hAnsi="宋体" w:eastAsia="宋体" w:cs="宋体"/>
          <w:color w:val="000000"/>
          <w:sz w:val="24"/>
        </w:rPr>
        <w:t>为牵头单位（牵头单位必须为联合体成员）。</w:t>
      </w:r>
    </w:p>
    <w:p>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3、其中</w:t>
      </w:r>
      <w:r>
        <w:rPr>
          <w:rFonts w:ascii="宋体" w:hAnsi="宋体" w:eastAsia="宋体" w:cs="宋体"/>
          <w:color w:val="000000"/>
          <w:sz w:val="24"/>
          <w:u w:val="single"/>
        </w:rPr>
        <w:t>      </w:t>
      </w:r>
      <w:r>
        <w:rPr>
          <w:rFonts w:ascii="宋体" w:hAnsi="宋体" w:eastAsia="宋体" w:cs="宋体"/>
          <w:color w:val="000000"/>
          <w:sz w:val="24"/>
        </w:rPr>
        <w:t>（小型、微型企业/残疾人福利性单位/监狱企业全称）为</w:t>
      </w:r>
      <w:r>
        <w:rPr>
          <w:rFonts w:ascii="宋体" w:hAnsi="宋体" w:eastAsia="宋体" w:cs="宋体"/>
          <w:color w:val="000000"/>
          <w:sz w:val="24"/>
          <w:u w:val="single"/>
        </w:rPr>
        <w:t>    </w:t>
      </w:r>
      <w:r>
        <w:rPr>
          <w:rFonts w:ascii="宋体" w:hAnsi="宋体" w:eastAsia="宋体" w:cs="宋体"/>
          <w:color w:val="000000"/>
          <w:sz w:val="24"/>
        </w:rPr>
        <w:t>（小型、微型企业/残疾人福利性单位/监狱企业）企业，且我们约定该公司/单位所承担的合同金额将占本项目合同总金额的</w:t>
      </w:r>
      <w:r>
        <w:rPr>
          <w:rFonts w:ascii="宋体" w:hAnsi="宋体" w:eastAsia="宋体" w:cs="宋体"/>
          <w:color w:val="000000"/>
          <w:sz w:val="24"/>
          <w:u w:val="single"/>
        </w:rPr>
        <w:t>  </w:t>
      </w: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558" w:lineRule="atLeast"/>
        <w:ind w:left="0" w:right="0" w:firstLine="645"/>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646"/>
        <w:jc w:val="right"/>
      </w:pPr>
      <w:r>
        <w:rPr>
          <w:rFonts w:ascii="宋体" w:hAnsi="宋体" w:eastAsia="宋体" w:cs="宋体"/>
          <w:color w:val="000000"/>
          <w:sz w:val="24"/>
        </w:rPr>
        <w:t>联合体中各供应商全称（公章）：     </w:t>
      </w:r>
    </w:p>
    <w:p>
      <w:pPr>
        <w:pBdr>
          <w:top w:val="none" w:color="000000" w:sz="0" w:space="0"/>
          <w:left w:val="none" w:color="000000" w:sz="0" w:space="0"/>
          <w:bottom w:val="none" w:color="000000" w:sz="0" w:space="0"/>
          <w:right w:val="none" w:color="000000" w:sz="0" w:space="0"/>
        </w:pBdr>
        <w:spacing w:before="0" w:after="0" w:line="400" w:lineRule="atLeast"/>
        <w:ind w:left="0" w:right="0" w:firstLine="646"/>
        <w:jc w:val="both"/>
      </w:pP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 日期：</w:t>
      </w:r>
    </w:p>
    <w:p>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备注：本招标文件中要求加盖CA电子签章的地方，仅需加盖牵头单位的CA电子签章。</w:t>
      </w:r>
    </w:p>
    <w:p>
      <w:pPr>
        <w:pBdr>
          <w:top w:val="none" w:color="000000" w:sz="0" w:space="0"/>
          <w:left w:val="none" w:color="000000" w:sz="0" w:space="0"/>
          <w:bottom w:val="none" w:color="000000" w:sz="0" w:space="0"/>
          <w:right w:val="none" w:color="000000" w:sz="0" w:space="0"/>
        </w:pBdr>
        <w:spacing w:before="0" w:after="0" w:line="558" w:lineRule="atLeast"/>
        <w:ind w:left="0" w:right="0" w:firstLine="645"/>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color w:val="000000"/>
          <w:sz w:val="21"/>
        </w:rPr>
      </w:pP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361"/>
        <w:ind w:left="0" w:right="0" w:firstLine="0"/>
        <w:jc w:val="both"/>
      </w:pPr>
      <w:r>
        <w:rPr>
          <w:rFonts w:ascii="宋体" w:hAnsi="宋体" w:eastAsia="宋体" w:cs="宋体"/>
          <w:b/>
          <w:color w:val="000000"/>
          <w:sz w:val="24"/>
        </w:rPr>
        <w:t>附件14        实质性要求响应及偏离表（采购包号：**）</w:t>
      </w:r>
    </w:p>
    <w:tbl>
      <w:tblPr>
        <w:tblStyle w:val="35"/>
        <w:tblW w:w="91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69"/>
        <w:gridCol w:w="3807"/>
        <w:gridCol w:w="2475"/>
        <w:gridCol w:w="237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4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380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技术要求和商务要求中的实质性要求</w:t>
            </w:r>
            <w:r>
              <w:rPr>
                <w:rFonts w:ascii="宋体" w:hAnsi="宋体" w:eastAsia="宋体" w:cs="宋体"/>
                <w:b/>
                <w:color w:val="FF0000"/>
                <w:sz w:val="24"/>
              </w:rPr>
              <w:t>（</w:t>
            </w:r>
            <w:r>
              <w:rPr>
                <w:rFonts w:ascii="宋体" w:hAnsi="宋体" w:eastAsia="宋体" w:cs="宋体"/>
                <w:b/>
                <w:i/>
                <w:color w:val="FF0000"/>
                <w:sz w:val="24"/>
                <w:u w:val="single"/>
              </w:rPr>
              <w:t>斜体且有下划线部分</w:t>
            </w:r>
            <w:r>
              <w:rPr>
                <w:rFonts w:ascii="宋体" w:hAnsi="宋体" w:eastAsia="宋体" w:cs="宋体"/>
                <w:b/>
                <w:color w:val="FF0000"/>
                <w:sz w:val="24"/>
              </w:rPr>
              <w:t>）</w:t>
            </w:r>
          </w:p>
        </w:tc>
        <w:tc>
          <w:tcPr>
            <w:tcW w:w="247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237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3807"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7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370"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2</w:t>
            </w:r>
          </w:p>
        </w:tc>
        <w:tc>
          <w:tcPr>
            <w:tcW w:w="3807"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7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370"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807"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2475"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370" w:type="dxa"/>
            <w:tcBorders>
              <w:top w:val="nil"/>
              <w:left w:val="nil"/>
              <w:bottom w:val="single" w:color="000000" w:sz="8" w:space="0"/>
              <w:right w:val="single" w:color="000000" w:sz="8" w:space="0"/>
            </w:tcBorders>
            <w:tcMar>
              <w:top w:w="0" w:type="dxa"/>
              <w:left w:w="108" w:type="dxa"/>
              <w:bottom w:w="0" w:type="dxa"/>
              <w:right w:w="108" w:type="dxa"/>
            </w:tcMar>
            <w:vAlign w:val="top"/>
          </w:tcPr>
          <w:p>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附件14-1 证明材料1，证明材料2，……</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1.投标人必须对技术要求和商务要求中的实质性要求</w:t>
      </w:r>
      <w:r>
        <w:rPr>
          <w:rFonts w:ascii="宋体" w:hAnsi="宋体" w:eastAsia="宋体" w:cs="宋体"/>
          <w:b/>
          <w:color w:val="FF0000"/>
          <w:sz w:val="24"/>
        </w:rPr>
        <w:t>（</w:t>
      </w:r>
      <w:r>
        <w:rPr>
          <w:rFonts w:ascii="宋体" w:hAnsi="宋体" w:eastAsia="宋体" w:cs="宋体"/>
          <w:b/>
          <w:i/>
          <w:color w:val="FF0000"/>
          <w:sz w:val="24"/>
          <w:u w:val="single"/>
        </w:rPr>
        <w:t>斜体且有下划线部分</w:t>
      </w:r>
      <w:r>
        <w:rPr>
          <w:rFonts w:ascii="宋体" w:hAnsi="宋体" w:eastAsia="宋体" w:cs="宋体"/>
          <w:b/>
          <w:color w:val="FF0000"/>
          <w:sz w:val="24"/>
        </w:rPr>
        <w:t>）</w:t>
      </w:r>
      <w:r>
        <w:rPr>
          <w:rFonts w:ascii="宋体" w:hAnsi="宋体" w:eastAsia="宋体" w:cs="宋体"/>
          <w:color w:val="000000"/>
          <w:sz w:val="24"/>
        </w:rPr>
        <w:t>逐条做出明确响应。</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2.如果招标文件要求提供证明材料，投标人必须将证明材料列于该表之下。</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3.投标人未对实质性要求逐条作出明确响应的，或未按招标文件要求提供证明材料的，该采购包作无效投标处理。</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32"/>
        </w:rPr>
      </w:pP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质疑函范本</w:t>
      </w:r>
    </w:p>
    <w:p>
      <w:pPr>
        <w:pBdr>
          <w:top w:val="none" w:color="000000" w:sz="0" w:space="0"/>
          <w:left w:val="none" w:color="000000" w:sz="0" w:space="0"/>
          <w:bottom w:val="none" w:color="000000" w:sz="0" w:space="0"/>
          <w:right w:val="none" w:color="000000" w:sz="0" w:space="0"/>
        </w:pBdr>
        <w:spacing w:before="312" w:after="0"/>
        <w:ind w:left="0" w:right="0" w:firstLine="0"/>
        <w:jc w:val="both"/>
      </w:pPr>
      <w:r>
        <w:rPr>
          <w:rFonts w:ascii="宋体" w:hAnsi="宋体" w:eastAsia="宋体" w:cs="宋体"/>
          <w:color w:val="000000"/>
          <w:sz w:val="24"/>
        </w:rPr>
        <w:t>一、质疑供应商基本信息</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质疑供应商：</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rPr>
        <w:t>联系电话</w:t>
      </w:r>
      <w:r>
        <w:rPr>
          <w:rFonts w:ascii="宋体" w:hAnsi="宋体" w:eastAsia="宋体" w:cs="宋体"/>
          <w:color w:val="000000"/>
          <w:sz w:val="21"/>
        </w:rPr>
        <w:t>：</w:t>
      </w:r>
      <w:r>
        <w:rPr>
          <w:rFonts w:ascii="宋体" w:hAnsi="宋体" w:eastAsia="宋体" w:cs="宋体"/>
          <w:color w:val="000000"/>
          <w:sz w:val="21"/>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授权代表：</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二、质疑项目基本情况</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质疑项目的名称：</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质疑项目的编号：</w:t>
      </w:r>
      <w:r>
        <w:rPr>
          <w:rFonts w:ascii="宋体" w:hAnsi="宋体" w:eastAsia="宋体" w:cs="宋体"/>
          <w:color w:val="000000"/>
          <w:sz w:val="24"/>
          <w:u w:val="single"/>
        </w:rPr>
        <w:t>           </w:t>
      </w:r>
      <w:r>
        <w:rPr>
          <w:rFonts w:ascii="宋体" w:hAnsi="宋体" w:eastAsia="宋体" w:cs="宋体"/>
          <w:color w:val="000000"/>
          <w:sz w:val="24"/>
        </w:rPr>
        <w:t>包号：</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采购人名称：</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采购文件获取日期：</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三、质疑事项具体内容</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质疑事项1：</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事实依据：</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法律依据：</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质疑事项2</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四、与质疑事项相关的质疑请求</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请求：</w:t>
      </w:r>
      <w:r>
        <w:rPr>
          <w:rFonts w:ascii="宋体" w:hAnsi="宋体" w:eastAsia="宋体" w:cs="宋体"/>
          <w:color w:val="000000"/>
          <w:sz w:val="24"/>
          <w:u w:val="single"/>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签字(签章)：                   公章：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日期：</w:t>
      </w:r>
    </w:p>
    <w:p>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质疑函制作说明：</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1.供应商提出质疑时，应提交质疑函和必要的证明材料。</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3.质疑供应商若对项目的某一采购包进行质疑，质疑函中应列明具体采购包号。</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4.质疑函的质疑事项应具体、明确，并有必要的事实依据和法律依据。</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5.质疑函的质疑请求应与质疑事项相关。</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p>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Times New Roman" w:hAnsi="Times New Roman" w:eastAsia="Times New Roman" w:cs="Times New Roman"/>
          <w:color w:val="000000"/>
          <w:sz w:val="21"/>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Arial Unicode MS"/>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5"/>
      <w:framePr w:wrap="around" w:vAnchor="text" w:hAnchor="margin" w:xAlign="center" w:y="1"/>
      <w:rPr>
        <w:rStyle w:val="226"/>
        <w:rFonts w:ascii="宋体" w:hAnsi="宋体"/>
      </w:rPr>
    </w:pPr>
    <w:r>
      <w:rPr>
        <w:rFonts w:ascii="宋体" w:hAnsi="宋体"/>
      </w:rPr>
      <w:fldChar w:fldCharType="begin"/>
    </w:r>
    <w:r>
      <w:rPr>
        <w:rStyle w:val="226"/>
        <w:rFonts w:ascii="宋体" w:hAnsi="宋体"/>
      </w:rPr>
      <w:instrText xml:space="preserve">PAGE  </w:instrText>
    </w:r>
    <w:r>
      <w:rPr>
        <w:rFonts w:ascii="宋体" w:hAnsi="宋体"/>
      </w:rPr>
      <w:fldChar w:fldCharType="separate"/>
    </w:r>
    <w:r>
      <w:rPr>
        <w:rStyle w:val="226"/>
        <w:rFonts w:ascii="宋体" w:hAnsi="宋体"/>
      </w:rPr>
      <w:t>３５</w:t>
    </w:r>
    <w:r>
      <w:rPr>
        <w:rFonts w:ascii="宋体" w:hAnsi="宋体"/>
      </w:rPr>
      <w:fldChar w:fldCharType="end"/>
    </w:r>
  </w:p>
  <w:p>
    <w:pPr>
      <w:pStyle w:val="205"/>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5"/>
      <w:framePr w:wrap="around" w:vAnchor="text" w:hAnchor="margin" w:xAlign="center" w:y="1"/>
      <w:rPr>
        <w:rStyle w:val="226"/>
      </w:rPr>
    </w:pPr>
    <w:r>
      <w:fldChar w:fldCharType="begin"/>
    </w:r>
    <w:r>
      <w:rPr>
        <w:rStyle w:val="226"/>
      </w:rPr>
      <w:instrText xml:space="preserve">PAGE  </w:instrText>
    </w:r>
    <w:r>
      <w:fldChar w:fldCharType="separate"/>
    </w:r>
    <w:r>
      <w:rPr>
        <w:rStyle w:val="226"/>
      </w:rPr>
      <w:t>1</w:t>
    </w:r>
    <w:r>
      <w:fldChar w:fldCharType="end"/>
    </w:r>
  </w:p>
  <w:p>
    <w:pPr>
      <w:pStyle w:val="20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bullet"/>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suff w:val="space"/>
      <w:lvlText w:val="（%1）"/>
      <w:lvlJc w:val="left"/>
      <w:pPr>
        <w:ind w:left="0" w:firstLine="0"/>
      </w:pPr>
      <w:rPr>
        <w:rFonts w:hint="eastAsia"/>
        <w:lang w:val="en-U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B0F1ACD9"/>
    <w:multiLevelType w:val="multilevel"/>
    <w:tmpl w:val="B0F1ACD9"/>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482"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B5E306ED"/>
    <w:multiLevelType w:val="multilevel"/>
    <w:tmpl w:val="B5E306E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BE923771"/>
    <w:multiLevelType w:val="multilevel"/>
    <w:tmpl w:val="BE923771"/>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482"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5">
    <w:nsid w:val="BF205925"/>
    <w:multiLevelType w:val="multilevel"/>
    <w:tmpl w:val="BF205925"/>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quot;&quot;&quot;&quot;o&quot;&quot;&quot;&quot;&quot;"/>
      <w:lvlJc w:val="left"/>
      <w:pPr>
        <w:ind w:left="1440" w:hanging="360"/>
      </w:pPr>
      <w:rPr>
        <w:rFonts w:hint="default" w:ascii="Courier New" w:hAnsi="Courier New" w:eastAsia="Courier New" w:cs="Courier New"/>
      </w:rPr>
    </w:lvl>
    <w:lvl w:ilvl="2" w:tentative="0">
      <w:start w:val="1"/>
      <w:numFmt w:val="bullet"/>
      <w:lvlText w:val="&quot;&quot;&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quot;&quot;"/>
      <w:lvlJc w:val="left"/>
      <w:pPr>
        <w:ind w:left="2880" w:hanging="360"/>
      </w:pPr>
      <w:rPr>
        <w:rFonts w:hint="default" w:ascii="Symbol" w:hAnsi="Symbol" w:eastAsia="Symbol" w:cs="Symbol"/>
      </w:rPr>
    </w:lvl>
    <w:lvl w:ilvl="4" w:tentative="0">
      <w:start w:val="1"/>
      <w:numFmt w:val="bullet"/>
      <w:lvlText w:val="&quot;&quot;&quot;&quot;&quot;o&quot;&quot;&quot;&quot;&quot;"/>
      <w:lvlJc w:val="left"/>
      <w:pPr>
        <w:ind w:left="3600" w:hanging="360"/>
      </w:pPr>
      <w:rPr>
        <w:rFonts w:hint="default" w:ascii="Courier New" w:hAnsi="Courier New" w:eastAsia="Courier New" w:cs="Courier New"/>
      </w:rPr>
    </w:lvl>
    <w:lvl w:ilvl="5" w:tentative="0">
      <w:start w:val="1"/>
      <w:numFmt w:val="bullet"/>
      <w:lvlText w:val="&quot;&quot;&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quot;&quot;"/>
      <w:lvlJc w:val="left"/>
      <w:pPr>
        <w:ind w:left="5040" w:hanging="360"/>
      </w:pPr>
      <w:rPr>
        <w:rFonts w:hint="default" w:ascii="Symbol" w:hAnsi="Symbol" w:eastAsia="Symbol" w:cs="Symbol"/>
      </w:rPr>
    </w:lvl>
    <w:lvl w:ilvl="7" w:tentative="0">
      <w:start w:val="1"/>
      <w:numFmt w:val="bullet"/>
      <w:lvlText w:val="&quot;&quot;&quot;&quot;&quot;o&quot;&quot;&quot;&quot;&quot;"/>
      <w:lvlJc w:val="left"/>
      <w:pPr>
        <w:ind w:left="5760" w:hanging="360"/>
      </w:pPr>
      <w:rPr>
        <w:rFonts w:hint="default" w:ascii="Courier New" w:hAnsi="Courier New" w:eastAsia="Courier New" w:cs="Courier New"/>
      </w:rPr>
    </w:lvl>
    <w:lvl w:ilvl="8" w:tentative="0">
      <w:start w:val="1"/>
      <w:numFmt w:val="bullet"/>
      <w:lvlText w:val="&quot;&quot;&quot;&quot;&quot;§&quot;&quot;&quot;&quot;&quot;"/>
      <w:lvlJc w:val="left"/>
      <w:pPr>
        <w:ind w:left="6480" w:hanging="360"/>
      </w:pPr>
      <w:rPr>
        <w:rFonts w:hint="default" w:ascii="Wingdings" w:hAnsi="Wingdings" w:eastAsia="Wingdings" w:cs="Wingdings"/>
      </w:rPr>
    </w:lvl>
  </w:abstractNum>
  <w:abstractNum w:abstractNumId="6">
    <w:nsid w:val="C8879AEF"/>
    <w:multiLevelType w:val="multilevel"/>
    <w:tmpl w:val="C8879AEF"/>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482"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CF092B84"/>
    <w:multiLevelType w:val="multilevel"/>
    <w:tmpl w:val="CF092B84"/>
    <w:lvl w:ilvl="0" w:tentative="0">
      <w:start w:val="1"/>
      <w:numFmt w:val="upperLetter"/>
      <w:pStyle w:val="27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D7F9FE59"/>
    <w:multiLevelType w:val="multilevel"/>
    <w:tmpl w:val="D7F9FE59"/>
    <w:lvl w:ilvl="0" w:tentative="0">
      <w:start w:val="1"/>
      <w:numFmt w:val="decimal"/>
      <w:suff w:val="space"/>
      <w:lvlText w:val="（%1）"/>
      <w:lvlJc w:val="left"/>
      <w:pPr>
        <w:ind w:left="0" w:firstLine="0"/>
      </w:pPr>
      <w:rPr>
        <w:rFonts w:hint="eastAsia"/>
        <w:lang w:val="en-U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DCBA6B53"/>
    <w:multiLevelType w:val="multilevel"/>
    <w:tmpl w:val="DCBA6B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F4B5D9F5"/>
    <w:multiLevelType w:val="multilevel"/>
    <w:tmpl w:val="F4B5D9F5"/>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482"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12">
    <w:nsid w:val="0248C179"/>
    <w:multiLevelType w:val="multilevel"/>
    <w:tmpl w:val="0248C179"/>
    <w:lvl w:ilvl="0" w:tentative="0">
      <w:start w:val="1"/>
      <w:numFmt w:val="bullet"/>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03D62ECE"/>
    <w:multiLevelType w:val="multilevel"/>
    <w:tmpl w:val="03D62ECE"/>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0E640482"/>
    <w:multiLevelType w:val="multilevel"/>
    <w:tmpl w:val="0E640482"/>
    <w:lvl w:ilvl="0" w:tentative="0">
      <w:start w:val="1"/>
      <w:numFmt w:val="decimal"/>
      <w:suff w:val="space"/>
      <w:lvlText w:val="（%1）"/>
      <w:lvlJc w:val="left"/>
      <w:pPr>
        <w:ind w:left="0" w:firstLine="0"/>
      </w:pPr>
      <w:rPr>
        <w:rFonts w:hint="eastAsia"/>
        <w:lang w:val="en-U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2470EC97"/>
    <w:multiLevelType w:val="multilevel"/>
    <w:tmpl w:val="2470EC97"/>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482"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25B654F3"/>
    <w:multiLevelType w:val="multilevel"/>
    <w:tmpl w:val="25B654F3"/>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2A8F537B"/>
    <w:multiLevelType w:val="multilevel"/>
    <w:tmpl w:val="2A8F537B"/>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46A08BB8"/>
    <w:multiLevelType w:val="multilevel"/>
    <w:tmpl w:val="46A08BB8"/>
    <w:lvl w:ilvl="0" w:tentative="0">
      <w:start w:val="1"/>
      <w:numFmt w:val="decimal"/>
      <w:suff w:val="space"/>
      <w:lvlText w:val="（%1）"/>
      <w:lvlJc w:val="left"/>
      <w:pPr>
        <w:ind w:left="0" w:firstLine="0"/>
      </w:pPr>
      <w:rPr>
        <w:rFonts w:hint="eastAsia"/>
        <w:lang w:val="en-U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4C1BAE26"/>
    <w:multiLevelType w:val="multilevel"/>
    <w:tmpl w:val="4C1BAE26"/>
    <w:lvl w:ilvl="0" w:tentative="0">
      <w:start w:val="1"/>
      <w:numFmt w:val="decimal"/>
      <w:suff w:val="space"/>
      <w:lvlText w:val="（%1）"/>
      <w:lvlJc w:val="left"/>
      <w:pPr>
        <w:ind w:left="0" w:firstLine="0"/>
      </w:pPr>
      <w:rPr>
        <w:rFonts w:hint="eastAsia"/>
        <w:lang w:val="en-U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D4DC07F"/>
    <w:multiLevelType w:val="multilevel"/>
    <w:tmpl w:val="4D4DC07F"/>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482"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9ADCABA"/>
    <w:multiLevelType w:val="multilevel"/>
    <w:tmpl w:val="59ADCABA"/>
    <w:lvl w:ilvl="0" w:tentative="0">
      <w:start w:val="1"/>
      <w:numFmt w:val="decimal"/>
      <w:pStyle w:val="29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2">
    <w:nsid w:val="5A241D34"/>
    <w:multiLevelType w:val="multilevel"/>
    <w:tmpl w:val="5A241D34"/>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482"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3">
    <w:nsid w:val="60382F6E"/>
    <w:multiLevelType w:val="multilevel"/>
    <w:tmpl w:val="60382F6E"/>
    <w:lvl w:ilvl="0" w:tentative="0">
      <w:start w:val="1"/>
      <w:numFmt w:val="decimal"/>
      <w:suff w:val="space"/>
      <w:lvlText w:val="（%1）"/>
      <w:lvlJc w:val="left"/>
      <w:pPr>
        <w:ind w:left="0" w:firstLine="0"/>
      </w:pPr>
      <w:rPr>
        <w:rFonts w:hint="eastAsia"/>
        <w:lang w:val="en-U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629F7852"/>
    <w:multiLevelType w:val="multilevel"/>
    <w:tmpl w:val="629F7852"/>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72183CF9"/>
    <w:multiLevelType w:val="multilevel"/>
    <w:tmpl w:val="72183CF9"/>
    <w:lvl w:ilvl="0" w:tentative="0">
      <w:start w:val="1"/>
      <w:numFmt w:val="bullet"/>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6">
    <w:nsid w:val="77ECEA79"/>
    <w:multiLevelType w:val="multilevel"/>
    <w:tmpl w:val="77ECEA7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7">
    <w:nsid w:val="7C246926"/>
    <w:multiLevelType w:val="multilevel"/>
    <w:tmpl w:val="7C246926"/>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1"/>
  </w:num>
  <w:num w:numId="2">
    <w:abstractNumId w:val="7"/>
  </w:num>
  <w:num w:numId="3">
    <w:abstractNumId w:val="21"/>
  </w:num>
  <w:num w:numId="4">
    <w:abstractNumId w:val="5"/>
  </w:num>
  <w:num w:numId="5">
    <w:abstractNumId w:val="3"/>
  </w:num>
  <w:num w:numId="6">
    <w:abstractNumId w:val="13"/>
  </w:num>
  <w:num w:numId="7">
    <w:abstractNumId w:val="16"/>
  </w:num>
  <w:num w:numId="8">
    <w:abstractNumId w:val="25"/>
  </w:num>
  <w:num w:numId="9">
    <w:abstractNumId w:val="12"/>
  </w:num>
  <w:num w:numId="10">
    <w:abstractNumId w:val="0"/>
  </w:num>
  <w:num w:numId="11">
    <w:abstractNumId w:val="17"/>
  </w:num>
  <w:num w:numId="12">
    <w:abstractNumId w:val="22"/>
  </w:num>
  <w:num w:numId="13">
    <w:abstractNumId w:val="6"/>
  </w:num>
  <w:num w:numId="14">
    <w:abstractNumId w:val="20"/>
  </w:num>
  <w:num w:numId="15">
    <w:abstractNumId w:val="10"/>
  </w:num>
  <w:num w:numId="16">
    <w:abstractNumId w:val="15"/>
  </w:num>
  <w:num w:numId="17">
    <w:abstractNumId w:val="9"/>
  </w:num>
  <w:num w:numId="18">
    <w:abstractNumId w:val="8"/>
  </w:num>
  <w:num w:numId="19">
    <w:abstractNumId w:val="1"/>
  </w:num>
  <w:num w:numId="20">
    <w:abstractNumId w:val="19"/>
  </w:num>
  <w:num w:numId="21">
    <w:abstractNumId w:val="23"/>
  </w:num>
  <w:num w:numId="22">
    <w:abstractNumId w:val="14"/>
  </w:num>
  <w:num w:numId="23">
    <w:abstractNumId w:val="18"/>
  </w:num>
  <w:num w:numId="24">
    <w:abstractNumId w:val="2"/>
  </w:num>
  <w:num w:numId="25">
    <w:abstractNumId w:val="27"/>
  </w:num>
  <w:num w:numId="26">
    <w:abstractNumId w:val="26"/>
  </w:num>
  <w:num w:numId="27">
    <w:abstractNumId w:val="4"/>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6D3588"/>
    <w:rsid w:val="311C336F"/>
    <w:rsid w:val="3DE81EA2"/>
    <w:rsid w:val="431673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0"/>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29">
    <w:name w:val="Default Paragraph Font"/>
    <w:semiHidden/>
    <w:unhideWhenUsed/>
    <w:qFormat/>
    <w:uiPriority w:val="1"/>
  </w:style>
  <w:style w:type="table" w:default="1" w:styleId="34">
    <w:name w:val="Normal Table"/>
    <w:semiHidden/>
    <w:unhideWhenUsed/>
    <w:qFormat/>
    <w:uiPriority w:val="99"/>
    <w:tblPr>
      <w:tblLayout w:type="fixed"/>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99"/>
    <w:pPr>
      <w:spacing w:after="0" w:line="360" w:lineRule="auto"/>
      <w:ind w:firstLine="200"/>
      <w:jc w:val="both"/>
    </w:pPr>
    <w:rPr>
      <w:rFonts w:ascii="Times New Roman" w:hAnsi="Times New Roman" w:eastAsia="宋体" w:cs="Times New Roman"/>
      <w:sz w:val="24"/>
      <w:lang w:eastAsia="zh-CN"/>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2"/>
    <w:semiHidden/>
    <w:unhideWhenUsed/>
    <w:qFormat/>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7"/>
    <w:qFormat/>
    <w:uiPriority w:val="10"/>
    <w:pPr>
      <w:spacing w:before="300" w:after="200"/>
      <w:contextualSpacing/>
    </w:pPr>
    <w:rPr>
      <w:sz w:val="48"/>
      <w:szCs w:val="48"/>
    </w:rPr>
  </w:style>
  <w:style w:type="character" w:styleId="30">
    <w:name w:val="endnote reference"/>
    <w:semiHidden/>
    <w:unhideWhenUsed/>
    <w:qFormat/>
    <w:uiPriority w:val="99"/>
    <w:rPr>
      <w:vertAlign w:val="superscript"/>
    </w:rPr>
  </w:style>
  <w:style w:type="character" w:styleId="31">
    <w:name w:val="Hyperlink"/>
    <w:unhideWhenUsed/>
    <w:qFormat/>
    <w:uiPriority w:val="99"/>
    <w:rPr>
      <w:color w:val="0000FF" w:themeColor="hyperlink"/>
      <w:u w:val="single"/>
      <w14:textFill>
        <w14:solidFill>
          <w14:schemeClr w14:val="hlink"/>
        </w14:solidFill>
      </w14:textFill>
    </w:rPr>
  </w:style>
  <w:style w:type="character" w:styleId="32">
    <w:name w:val="annotation reference"/>
    <w:unhideWhenUsed/>
    <w:qFormat/>
    <w:uiPriority w:val="0"/>
    <w:rPr>
      <w:sz w:val="21"/>
      <w:szCs w:val="21"/>
    </w:rPr>
  </w:style>
  <w:style w:type="character" w:styleId="33">
    <w:name w:val="footnote reference"/>
    <w:unhideWhenUsed/>
    <w:qFormat/>
    <w:uiPriority w:val="99"/>
    <w:rPr>
      <w:vertAlign w:val="superscript"/>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Pr>
      <w:tblLayout w:type="fixed"/>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Pr>
      <w:tblLayout w:type="fixed"/>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Pr>
      <w:tblLayout w:type="fixed"/>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Pr>
      <w:tblLayout w:type="fixed"/>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Pr>
      <w:tblLayout w:type="fixed"/>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Pr>
      <w:tblLayout w:type="fixed"/>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Pr>
      <w:tblLayout w:type="fixed"/>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Pr>
      <w:tblLayout w:type="fixed"/>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Pr>
      <w:tblLayout w:type="fixed"/>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Pr>
      <w:tblLayout w:type="fixed"/>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Layout w:type="fixed"/>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Layout w:type="fixed"/>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Layout w:type="fixed"/>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Layout w:type="fixed"/>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uiPriority w:val="99"/>
    <w:pPr>
      <w:spacing w:after="0" w:line="240" w:lineRule="auto"/>
    </w:pPr>
    <w:tblPr>
      <w:tblBorders>
        <w:right w:val="single" w:color="92CCDC" w:themeColor="accent5" w:themeTint="9A" w:sz="4" w:space="0"/>
      </w:tblBorders>
      <w:tblLayout w:type="fixed"/>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uiPriority w:val="99"/>
    <w:pPr>
      <w:spacing w:after="0" w:line="240" w:lineRule="auto"/>
    </w:pPr>
    <w:tblPr>
      <w:tblBorders>
        <w:right w:val="single" w:color="FAC090" w:themeColor="accent6" w:themeTint="98" w:sz="4" w:space="0"/>
      </w:tblBorders>
      <w:tblLayout w:type="fixed"/>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uiPriority w:val="99"/>
    <w:pPr>
      <w:spacing w:after="0" w:line="240" w:lineRule="auto"/>
    </w:pPr>
    <w:rPr>
      <w:color w:val="404040"/>
    </w:rPr>
    <w:tblPr>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uiPriority w:val="99"/>
    <w:pPr>
      <w:spacing w:after="0" w:line="240" w:lineRule="auto"/>
    </w:pPr>
    <w:rPr>
      <w:color w:val="404040"/>
    </w:rPr>
    <w:tblPr>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uiPriority w:val="99"/>
    <w:pPr>
      <w:spacing w:after="0" w:line="240" w:lineRule="auto"/>
    </w:pPr>
    <w:rPr>
      <w:color w:val="404040"/>
    </w:rPr>
    <w:tblPr>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uiPriority w:val="99"/>
    <w:pPr>
      <w:spacing w:after="0" w:line="240" w:lineRule="auto"/>
    </w:pPr>
    <w:rPr>
      <w:color w:val="404040"/>
    </w:rPr>
    <w:tblPr>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uiPriority w:val="99"/>
    <w:pPr>
      <w:spacing w:after="0" w:line="240" w:lineRule="auto"/>
    </w:pPr>
    <w:rPr>
      <w:color w:val="404040"/>
    </w:rPr>
    <w:tblPr>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uiPriority w:val="99"/>
    <w:pPr>
      <w:spacing w:after="0" w:line="240" w:lineRule="auto"/>
    </w:pPr>
    <w:rPr>
      <w:color w:val="404040"/>
    </w:rPr>
    <w:tblPr>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uiPriority w:val="99"/>
    <w:pPr>
      <w:spacing w:after="0" w:line="240" w:lineRule="auto"/>
    </w:pPr>
    <w:rPr>
      <w:color w:val="404040"/>
    </w:rPr>
    <w:tblPr>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uiPriority w:val="99"/>
    <w:rPr>
      <w:sz w:val="18"/>
    </w:rPr>
  </w:style>
  <w:style w:type="character" w:customStyle="1" w:styleId="182">
    <w:name w:val="Endnote Text Char"/>
    <w:link w:val="17"/>
    <w:uiPriority w:val="99"/>
    <w:rPr>
      <w:sz w:val="20"/>
    </w:rPr>
  </w:style>
  <w:style w:type="paragraph" w:customStyle="1" w:styleId="183">
    <w:name w:val="TOC Heading"/>
    <w:unhideWhenUsed/>
    <w:uiPriority w:val="39"/>
    <w:rPr>
      <w:rFonts w:hint="default" w:ascii="Times New Roman" w:hAnsi="Times New Roman" w:eastAsia="宋体" w:cs="Times New Roman"/>
    </w:rPr>
  </w:style>
  <w:style w:type="paragraph" w:customStyle="1" w:styleId="184">
    <w:name w:val="标题 11"/>
    <w:basedOn w:val="1"/>
    <w:next w:val="1"/>
    <w:link w:val="219"/>
    <w:qFormat/>
    <w:uiPriority w:val="0"/>
    <w:pPr>
      <w:keepNext/>
      <w:jc w:val="center"/>
      <w:outlineLvl w:val="0"/>
    </w:pPr>
    <w:rPr>
      <w:rFonts w:ascii="楷体_GB2312" w:hAnsi="楷体_GB2312" w:eastAsia="黑体"/>
      <w:sz w:val="44"/>
      <w:szCs w:val="28"/>
    </w:rPr>
  </w:style>
  <w:style w:type="paragraph" w:customStyle="1" w:styleId="185">
    <w:name w:val="标题 21"/>
    <w:basedOn w:val="1"/>
    <w:next w:val="186"/>
    <w:link w:val="19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6">
    <w:name w:val="正文缩进1"/>
    <w:basedOn w:val="1"/>
    <w:link w:val="225"/>
    <w:uiPriority w:val="0"/>
    <w:pPr>
      <w:ind w:firstLine="420"/>
    </w:pPr>
  </w:style>
  <w:style w:type="paragraph" w:customStyle="1" w:styleId="187">
    <w:name w:val="标题 31"/>
    <w:basedOn w:val="1"/>
    <w:next w:val="186"/>
    <w:link w:val="196"/>
    <w:qFormat/>
    <w:uiPriority w:val="0"/>
    <w:pPr>
      <w:keepNext/>
      <w:keepLines/>
      <w:spacing w:before="260" w:after="260" w:line="416" w:lineRule="auto"/>
      <w:outlineLvl w:val="2"/>
    </w:pPr>
    <w:rPr>
      <w:b/>
      <w:bCs/>
      <w:sz w:val="32"/>
      <w:szCs w:val="32"/>
    </w:rPr>
  </w:style>
  <w:style w:type="paragraph" w:customStyle="1" w:styleId="188">
    <w:name w:val="标题 41"/>
    <w:basedOn w:val="1"/>
    <w:next w:val="186"/>
    <w:link w:val="23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9">
    <w:name w:val="标题 51"/>
    <w:basedOn w:val="1"/>
    <w:next w:val="186"/>
    <w:link w:val="231"/>
    <w:qFormat/>
    <w:uiPriority w:val="0"/>
    <w:pPr>
      <w:keepNext/>
      <w:outlineLvl w:val="4"/>
    </w:pPr>
    <w:rPr>
      <w:rFonts w:ascii="宋体"/>
      <w:color w:val="000000"/>
      <w:sz w:val="28"/>
      <w:szCs w:val="28"/>
    </w:rPr>
  </w:style>
  <w:style w:type="paragraph" w:customStyle="1" w:styleId="190">
    <w:name w:val="标题 61"/>
    <w:basedOn w:val="1"/>
    <w:next w:val="1"/>
    <w:link w:val="20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27"/>
    <w:qFormat/>
    <w:uiPriority w:val="0"/>
    <w:pPr>
      <w:keepNext/>
      <w:keepLines/>
      <w:numPr>
        <w:ilvl w:val="6"/>
        <w:numId w:val="1"/>
      </w:numPr>
      <w:spacing w:before="240" w:after="64" w:line="320" w:lineRule="auto"/>
      <w:outlineLvl w:val="6"/>
    </w:pPr>
    <w:rPr>
      <w:b/>
      <w:bCs/>
      <w:sz w:val="24"/>
      <w:szCs w:val="24"/>
    </w:rPr>
  </w:style>
  <w:style w:type="paragraph" w:customStyle="1" w:styleId="192">
    <w:name w:val="标题 81"/>
    <w:basedOn w:val="1"/>
    <w:next w:val="1"/>
    <w:link w:val="24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3">
    <w:name w:val="标题 91"/>
    <w:basedOn w:val="1"/>
    <w:next w:val="1"/>
    <w:link w:val="229"/>
    <w:qFormat/>
    <w:uiPriority w:val="0"/>
    <w:pPr>
      <w:keepNext/>
      <w:keepLines/>
      <w:numPr>
        <w:ilvl w:val="8"/>
        <w:numId w:val="1"/>
      </w:numPr>
      <w:spacing w:before="240" w:after="64" w:line="320" w:lineRule="auto"/>
      <w:outlineLvl w:val="8"/>
    </w:pPr>
    <w:rPr>
      <w:rFonts w:ascii="Arial" w:hAnsi="Arial" w:eastAsia="黑体"/>
    </w:rPr>
  </w:style>
  <w:style w:type="character" w:customStyle="1" w:styleId="194">
    <w:name w:val="默认段落字体1"/>
    <w:link w:val="1"/>
    <w:unhideWhenUsed/>
    <w:uiPriority w:val="1"/>
  </w:style>
  <w:style w:type="table" w:customStyle="1" w:styleId="195">
    <w:name w:val="普通表格1"/>
    <w:unhideWhenUsed/>
    <w:uiPriority w:val="99"/>
  </w:style>
  <w:style w:type="character" w:customStyle="1" w:styleId="196">
    <w:name w:val="标题 3 Char"/>
    <w:link w:val="187"/>
    <w:uiPriority w:val="0"/>
    <w:rPr>
      <w:rFonts w:ascii="Times New Roman" w:hAnsi="Times New Roman" w:eastAsia="宋体" w:cs="Times New Roman"/>
      <w:b/>
      <w:bCs/>
      <w:sz w:val="32"/>
      <w:szCs w:val="32"/>
    </w:rPr>
  </w:style>
  <w:style w:type="character" w:customStyle="1" w:styleId="197">
    <w:name w:val="标题 2 Char"/>
    <w:link w:val="185"/>
    <w:uiPriority w:val="0"/>
    <w:rPr>
      <w:rFonts w:ascii="Arial" w:hAnsi="Arial" w:eastAsia="幼圆" w:cs="Arial"/>
      <w:b/>
      <w:bCs/>
      <w:sz w:val="44"/>
      <w:szCs w:val="44"/>
    </w:rPr>
  </w:style>
  <w:style w:type="character" w:customStyle="1" w:styleId="198">
    <w:name w:val="批注引用1"/>
    <w:link w:val="1"/>
    <w:semiHidden/>
    <w:uiPriority w:val="0"/>
    <w:rPr>
      <w:sz w:val="21"/>
      <w:szCs w:val="21"/>
    </w:rPr>
  </w:style>
  <w:style w:type="character" w:customStyle="1" w:styleId="199">
    <w:name w:val="纯文本 Char"/>
    <w:link w:val="200"/>
    <w:uiPriority w:val="0"/>
    <w:rPr>
      <w:rFonts w:ascii="宋体" w:hAnsi="Courier New" w:eastAsia="宋体" w:cs="Courier New"/>
      <w:szCs w:val="21"/>
    </w:rPr>
  </w:style>
  <w:style w:type="paragraph" w:customStyle="1" w:styleId="200">
    <w:name w:val="纯文本1"/>
    <w:basedOn w:val="1"/>
    <w:link w:val="199"/>
    <w:uiPriority w:val="0"/>
    <w:rPr>
      <w:rFonts w:ascii="宋体" w:hAnsi="Courier New" w:cs="Courier New"/>
    </w:rPr>
  </w:style>
  <w:style w:type="character" w:customStyle="1" w:styleId="201">
    <w:name w:val="文档结构图 Char"/>
    <w:link w:val="202"/>
    <w:semiHidden/>
    <w:uiPriority w:val="0"/>
    <w:rPr>
      <w:rFonts w:ascii="Times New Roman" w:hAnsi="Times New Roman" w:eastAsia="宋体" w:cs="Times New Roman"/>
      <w:szCs w:val="21"/>
      <w:shd w:val="clear" w:color="auto" w:fill="000080"/>
    </w:rPr>
  </w:style>
  <w:style w:type="paragraph" w:customStyle="1" w:styleId="202">
    <w:name w:val="文档结构图1"/>
    <w:basedOn w:val="1"/>
    <w:link w:val="201"/>
    <w:semiHidden/>
    <w:uiPriority w:val="0"/>
    <w:pPr>
      <w:shd w:val="clear" w:color="auto" w:fill="000080"/>
    </w:pPr>
  </w:style>
  <w:style w:type="character" w:customStyle="1" w:styleId="203">
    <w:name w:val="要点1"/>
    <w:link w:val="1"/>
    <w:qFormat/>
    <w:uiPriority w:val="0"/>
    <w:rPr>
      <w:b/>
      <w:bCs/>
    </w:rPr>
  </w:style>
  <w:style w:type="character" w:customStyle="1" w:styleId="204">
    <w:name w:val="页脚 Char"/>
    <w:link w:val="205"/>
    <w:uiPriority w:val="0"/>
    <w:rPr>
      <w:rFonts w:ascii="Times New Roman" w:hAnsi="Times New Roman" w:eastAsia="宋体" w:cs="Times New Roman"/>
      <w:sz w:val="18"/>
      <w:szCs w:val="18"/>
    </w:rPr>
  </w:style>
  <w:style w:type="paragraph" w:customStyle="1" w:styleId="205">
    <w:name w:val="页脚1"/>
    <w:basedOn w:val="1"/>
    <w:link w:val="204"/>
    <w:uiPriority w:val="0"/>
    <w:pPr>
      <w:tabs>
        <w:tab w:val="center" w:pos="4153"/>
        <w:tab w:val="right" w:pos="8306"/>
      </w:tabs>
      <w:jc w:val="left"/>
    </w:pPr>
    <w:rPr>
      <w:sz w:val="18"/>
      <w:szCs w:val="18"/>
    </w:rPr>
  </w:style>
  <w:style w:type="character" w:customStyle="1" w:styleId="206">
    <w:name w:val="列出段落 Char"/>
    <w:link w:val="207"/>
    <w:uiPriority w:val="0"/>
    <w:rPr>
      <w:rFonts w:ascii="Calibri" w:hAnsi="Calibri"/>
      <w:sz w:val="24"/>
      <w:szCs w:val="24"/>
      <w:lang w:eastAsia="en-US" w:bidi="en-US"/>
    </w:rPr>
  </w:style>
  <w:style w:type="paragraph" w:customStyle="1" w:styleId="207">
    <w:name w:val="列出段落1"/>
    <w:basedOn w:val="1"/>
    <w:link w:val="206"/>
    <w:qFormat/>
    <w:uiPriority w:val="0"/>
    <w:pPr>
      <w:widowControl/>
      <w:ind w:left="720"/>
      <w:contextualSpacing/>
      <w:jc w:val="left"/>
    </w:pPr>
    <w:rPr>
      <w:rFonts w:ascii="Calibri" w:hAnsi="Calibri" w:eastAsia="宋体" w:cs="Times New Roman"/>
      <w:sz w:val="24"/>
      <w:szCs w:val="24"/>
      <w:lang w:eastAsia="en-US" w:bidi="en-US"/>
    </w:rPr>
  </w:style>
  <w:style w:type="character" w:customStyle="1" w:styleId="208">
    <w:name w:val="标题 6 Char"/>
    <w:link w:val="190"/>
    <w:uiPriority w:val="0"/>
    <w:rPr>
      <w:rFonts w:ascii="Arial" w:hAnsi="Arial" w:eastAsia="黑体" w:cs="Times New Roman"/>
      <w:b/>
      <w:bCs/>
      <w:sz w:val="24"/>
      <w:szCs w:val="24"/>
    </w:rPr>
  </w:style>
  <w:style w:type="character" w:customStyle="1" w:styleId="209">
    <w:name w:val="批注主题 Char"/>
    <w:link w:val="210"/>
    <w:semiHidden/>
    <w:uiPriority w:val="0"/>
    <w:rPr>
      <w:rFonts w:ascii="Times New Roman" w:hAnsi="Times New Roman" w:eastAsia="宋体" w:cs="Times New Roman"/>
      <w:b/>
      <w:bCs/>
      <w:szCs w:val="21"/>
    </w:rPr>
  </w:style>
  <w:style w:type="paragraph" w:customStyle="1" w:styleId="210">
    <w:name w:val="批注主题1"/>
    <w:basedOn w:val="211"/>
    <w:next w:val="211"/>
    <w:link w:val="209"/>
    <w:semiHidden/>
    <w:uiPriority w:val="0"/>
    <w:rPr>
      <w:b/>
      <w:bCs/>
    </w:rPr>
  </w:style>
  <w:style w:type="paragraph" w:customStyle="1" w:styleId="211">
    <w:name w:val="批注文字1"/>
    <w:basedOn w:val="1"/>
    <w:link w:val="230"/>
    <w:semiHidden/>
    <w:uiPriority w:val="0"/>
    <w:pPr>
      <w:jc w:val="left"/>
    </w:pPr>
  </w:style>
  <w:style w:type="character" w:customStyle="1" w:styleId="212">
    <w:name w:val="正文文本 2 Char"/>
    <w:link w:val="213"/>
    <w:qFormat/>
    <w:uiPriority w:val="0"/>
    <w:rPr>
      <w:rFonts w:ascii="楷体_GB2312" w:hAnsi="Times New Roman" w:eastAsia="楷体_GB2312" w:cs="Times New Roman"/>
      <w:sz w:val="28"/>
      <w:szCs w:val="28"/>
    </w:rPr>
  </w:style>
  <w:style w:type="paragraph" w:customStyle="1" w:styleId="213">
    <w:name w:val="正文文本 21"/>
    <w:basedOn w:val="1"/>
    <w:link w:val="212"/>
    <w:uiPriority w:val="0"/>
    <w:pPr>
      <w:widowControl/>
      <w:jc w:val="center"/>
    </w:pPr>
    <w:rPr>
      <w:rFonts w:ascii="楷体_GB2312" w:eastAsia="楷体_GB2312"/>
      <w:sz w:val="28"/>
      <w:szCs w:val="28"/>
    </w:rPr>
  </w:style>
  <w:style w:type="character" w:customStyle="1" w:styleId="214">
    <w:name w:val="正文首行缩进 Char"/>
    <w:link w:val="215"/>
    <w:uiPriority w:val="0"/>
    <w:rPr>
      <w:rFonts w:ascii="仿宋_GB2312" w:hAnsi="Times New Roman" w:eastAsia="仿宋_GB2312" w:cs="Times New Roman"/>
      <w:sz w:val="30"/>
      <w:szCs w:val="30"/>
    </w:rPr>
  </w:style>
  <w:style w:type="paragraph" w:customStyle="1" w:styleId="215">
    <w:name w:val="正文首行缩进1"/>
    <w:basedOn w:val="1"/>
    <w:link w:val="214"/>
    <w:uiPriority w:val="0"/>
    <w:pPr>
      <w:spacing w:line="360" w:lineRule="auto"/>
      <w:ind w:firstLine="200"/>
    </w:pPr>
    <w:rPr>
      <w:rFonts w:ascii="仿宋_GB2312" w:eastAsia="仿宋_GB2312"/>
      <w:sz w:val="30"/>
      <w:szCs w:val="30"/>
    </w:rPr>
  </w:style>
  <w:style w:type="character" w:customStyle="1" w:styleId="216">
    <w:name w:val="正文首行缩进 2 Char"/>
    <w:link w:val="217"/>
    <w:uiPriority w:val="0"/>
    <w:rPr>
      <w:rFonts w:ascii="宋体" w:hAnsi="宋体" w:eastAsia="宋体" w:cs="Times New Roman"/>
      <w:sz w:val="32"/>
      <w:szCs w:val="20"/>
    </w:rPr>
  </w:style>
  <w:style w:type="paragraph" w:customStyle="1" w:styleId="217">
    <w:name w:val="正文首行缩进 21"/>
    <w:basedOn w:val="218"/>
    <w:link w:val="216"/>
    <w:uiPriority w:val="0"/>
    <w:pPr>
      <w:spacing w:line="360" w:lineRule="auto"/>
      <w:ind w:firstLine="420"/>
    </w:pPr>
    <w:rPr>
      <w:rFonts w:ascii="宋体" w:hAnsi="宋体" w:eastAsia="宋体"/>
      <w:sz w:val="21"/>
      <w:szCs w:val="20"/>
    </w:rPr>
  </w:style>
  <w:style w:type="paragraph" w:customStyle="1" w:styleId="218">
    <w:name w:val="正文文本缩进1"/>
    <w:basedOn w:val="1"/>
    <w:link w:val="228"/>
    <w:uiPriority w:val="0"/>
    <w:pPr>
      <w:ind w:firstLine="645"/>
    </w:pPr>
    <w:rPr>
      <w:rFonts w:ascii="楷体_GB2312" w:eastAsia="楷体_GB2312"/>
      <w:sz w:val="32"/>
      <w:szCs w:val="32"/>
    </w:rPr>
  </w:style>
  <w:style w:type="character" w:customStyle="1" w:styleId="219">
    <w:name w:val="标题 1 Char"/>
    <w:link w:val="184"/>
    <w:uiPriority w:val="0"/>
    <w:rPr>
      <w:rFonts w:ascii="楷体_GB2312" w:hAnsi="楷体_GB2312" w:eastAsia="黑体" w:cs="Times New Roman"/>
      <w:sz w:val="44"/>
      <w:szCs w:val="28"/>
    </w:rPr>
  </w:style>
  <w:style w:type="character" w:customStyle="1" w:styleId="220">
    <w:name w:val="已访问的超链接1"/>
    <w:link w:val="1"/>
    <w:uiPriority w:val="0"/>
    <w:rPr>
      <w:color w:val="800080"/>
      <w:u w:val="single"/>
    </w:rPr>
  </w:style>
  <w:style w:type="character" w:customStyle="1" w:styleId="221">
    <w:name w:val="正文文本 3 Char"/>
    <w:link w:val="222"/>
    <w:uiPriority w:val="0"/>
    <w:rPr>
      <w:rFonts w:ascii="仿宋_GB2312" w:hAnsi="Arial" w:eastAsia="仿宋_GB2312" w:cs="Times New Roman"/>
      <w:sz w:val="32"/>
      <w:szCs w:val="32"/>
    </w:rPr>
  </w:style>
  <w:style w:type="paragraph" w:customStyle="1" w:styleId="222">
    <w:name w:val="正文文本 31"/>
    <w:basedOn w:val="1"/>
    <w:link w:val="221"/>
    <w:uiPriority w:val="0"/>
    <w:rPr>
      <w:rFonts w:ascii="仿宋_GB2312" w:hAnsi="Arial" w:eastAsia="仿宋_GB2312"/>
      <w:sz w:val="32"/>
      <w:szCs w:val="32"/>
    </w:rPr>
  </w:style>
  <w:style w:type="character" w:customStyle="1" w:styleId="223">
    <w:name w:val="二级目录 Char"/>
    <w:link w:val="224"/>
    <w:uiPriority w:val="0"/>
    <w:rPr>
      <w:b/>
      <w:sz w:val="30"/>
      <w:szCs w:val="28"/>
    </w:rPr>
  </w:style>
  <w:style w:type="paragraph" w:customStyle="1" w:styleId="224">
    <w:name w:val="二级目录"/>
    <w:next w:val="1"/>
    <w:link w:val="223"/>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25">
    <w:name w:val="正文缩进 Char"/>
    <w:link w:val="186"/>
    <w:uiPriority w:val="0"/>
    <w:rPr>
      <w:rFonts w:ascii="Times New Roman" w:hAnsi="Times New Roman" w:eastAsia="宋体" w:cs="Times New Roman"/>
      <w:szCs w:val="21"/>
    </w:rPr>
  </w:style>
  <w:style w:type="character" w:customStyle="1" w:styleId="226">
    <w:name w:val="页码1"/>
    <w:link w:val="1"/>
    <w:qFormat/>
    <w:uiPriority w:val="0"/>
  </w:style>
  <w:style w:type="character" w:customStyle="1" w:styleId="227">
    <w:name w:val="标题 7 Char"/>
    <w:link w:val="191"/>
    <w:qFormat/>
    <w:uiPriority w:val="0"/>
    <w:rPr>
      <w:rFonts w:ascii="Times New Roman" w:hAnsi="Times New Roman" w:eastAsia="宋体" w:cs="Times New Roman"/>
      <w:b/>
      <w:bCs/>
      <w:sz w:val="24"/>
      <w:szCs w:val="24"/>
    </w:rPr>
  </w:style>
  <w:style w:type="character" w:customStyle="1" w:styleId="228">
    <w:name w:val="正文文本缩进 Char"/>
    <w:link w:val="218"/>
    <w:uiPriority w:val="0"/>
    <w:rPr>
      <w:rFonts w:ascii="楷体_GB2312" w:hAnsi="Times New Roman" w:eastAsia="楷体_GB2312" w:cs="Times New Roman"/>
      <w:sz w:val="32"/>
      <w:szCs w:val="32"/>
    </w:rPr>
  </w:style>
  <w:style w:type="character" w:customStyle="1" w:styleId="229">
    <w:name w:val="标题 9 Char"/>
    <w:link w:val="193"/>
    <w:uiPriority w:val="0"/>
    <w:rPr>
      <w:rFonts w:ascii="Arial" w:hAnsi="Arial" w:eastAsia="黑体" w:cs="Times New Roman"/>
      <w:szCs w:val="21"/>
    </w:rPr>
  </w:style>
  <w:style w:type="character" w:customStyle="1" w:styleId="230">
    <w:name w:val="批注文字 Char"/>
    <w:link w:val="211"/>
    <w:semiHidden/>
    <w:qFormat/>
    <w:uiPriority w:val="0"/>
    <w:rPr>
      <w:rFonts w:ascii="Times New Roman" w:hAnsi="Times New Roman" w:eastAsia="宋体" w:cs="Times New Roman"/>
      <w:szCs w:val="21"/>
    </w:rPr>
  </w:style>
  <w:style w:type="character" w:customStyle="1" w:styleId="231">
    <w:name w:val="标题 5 Char"/>
    <w:link w:val="189"/>
    <w:qFormat/>
    <w:uiPriority w:val="0"/>
    <w:rPr>
      <w:rFonts w:ascii="宋体" w:hAnsi="Times New Roman" w:eastAsia="宋体" w:cs="Times New Roman"/>
      <w:color w:val="000000"/>
      <w:sz w:val="28"/>
      <w:szCs w:val="28"/>
    </w:rPr>
  </w:style>
  <w:style w:type="character" w:customStyle="1" w:styleId="232">
    <w:name w:val="正文文本缩进 2 Char"/>
    <w:link w:val="233"/>
    <w:qFormat/>
    <w:uiPriority w:val="0"/>
    <w:rPr>
      <w:rFonts w:ascii="Arial" w:hAnsi="Arial" w:eastAsia="仿宋_GB2312" w:cs="Arial"/>
      <w:sz w:val="32"/>
      <w:szCs w:val="32"/>
    </w:rPr>
  </w:style>
  <w:style w:type="paragraph" w:customStyle="1" w:styleId="233">
    <w:name w:val="正文文本缩进 21"/>
    <w:basedOn w:val="1"/>
    <w:link w:val="232"/>
    <w:qFormat/>
    <w:uiPriority w:val="0"/>
    <w:pPr>
      <w:ind w:left="630" w:firstLine="645"/>
    </w:pPr>
    <w:rPr>
      <w:rFonts w:ascii="Arial" w:hAnsi="Arial" w:eastAsia="仿宋_GB2312" w:cs="Arial"/>
      <w:sz w:val="32"/>
      <w:szCs w:val="32"/>
    </w:rPr>
  </w:style>
  <w:style w:type="character" w:customStyle="1" w:styleId="234">
    <w:name w:val="日期 Char"/>
    <w:link w:val="235"/>
    <w:qFormat/>
    <w:uiPriority w:val="0"/>
    <w:rPr>
      <w:rFonts w:ascii="Times New Roman" w:hAnsi="Times New Roman" w:eastAsia="宋体" w:cs="Times New Roman"/>
      <w:sz w:val="24"/>
      <w:szCs w:val="24"/>
    </w:rPr>
  </w:style>
  <w:style w:type="paragraph" w:customStyle="1" w:styleId="235">
    <w:name w:val="日期1"/>
    <w:basedOn w:val="1"/>
    <w:next w:val="1"/>
    <w:link w:val="234"/>
    <w:uiPriority w:val="0"/>
    <w:rPr>
      <w:sz w:val="24"/>
      <w:szCs w:val="24"/>
    </w:rPr>
  </w:style>
  <w:style w:type="character" w:customStyle="1" w:styleId="236">
    <w:name w:val="超链接1"/>
    <w:link w:val="1"/>
    <w:qFormat/>
    <w:uiPriority w:val="0"/>
    <w:rPr>
      <w:color w:val="0000FF"/>
      <w:u w:val="single"/>
    </w:rPr>
  </w:style>
  <w:style w:type="character" w:customStyle="1" w:styleId="237">
    <w:name w:val="批注框文本 Char"/>
    <w:link w:val="238"/>
    <w:semiHidden/>
    <w:uiPriority w:val="0"/>
    <w:rPr>
      <w:rFonts w:ascii="Times New Roman" w:hAnsi="Times New Roman" w:eastAsia="宋体" w:cs="Times New Roman"/>
      <w:sz w:val="18"/>
      <w:szCs w:val="18"/>
    </w:rPr>
  </w:style>
  <w:style w:type="paragraph" w:customStyle="1" w:styleId="238">
    <w:name w:val="批注框文本1"/>
    <w:basedOn w:val="1"/>
    <w:link w:val="237"/>
    <w:semiHidden/>
    <w:uiPriority w:val="0"/>
    <w:rPr>
      <w:sz w:val="18"/>
      <w:szCs w:val="18"/>
    </w:rPr>
  </w:style>
  <w:style w:type="character" w:customStyle="1" w:styleId="239">
    <w:name w:val="标题 4 Char"/>
    <w:link w:val="188"/>
    <w:qFormat/>
    <w:uiPriority w:val="0"/>
    <w:rPr>
      <w:rFonts w:ascii="Arial" w:hAnsi="Arial" w:eastAsia="黑体" w:cs="Arial"/>
      <w:b/>
      <w:bCs/>
      <w:sz w:val="28"/>
      <w:szCs w:val="28"/>
    </w:rPr>
  </w:style>
  <w:style w:type="character" w:customStyle="1" w:styleId="240">
    <w:name w:val="font5 Char"/>
    <w:link w:val="1"/>
    <w:qFormat/>
    <w:uiPriority w:val="0"/>
    <w:rPr>
      <w:rFonts w:ascii="宋体" w:hAnsi="宋体" w:eastAsia="宋体"/>
      <w:sz w:val="28"/>
      <w:szCs w:val="28"/>
      <w:lang w:val="en-US" w:eastAsia="zh-CN" w:bidi="ar-SA"/>
    </w:rPr>
  </w:style>
  <w:style w:type="character" w:customStyle="1" w:styleId="241">
    <w:name w:val="页眉 Char"/>
    <w:link w:val="242"/>
    <w:qFormat/>
    <w:uiPriority w:val="0"/>
    <w:rPr>
      <w:rFonts w:ascii="Times New Roman" w:hAnsi="Times New Roman" w:eastAsia="宋体" w:cs="Times New Roman"/>
      <w:sz w:val="18"/>
      <w:szCs w:val="18"/>
    </w:rPr>
  </w:style>
  <w:style w:type="paragraph" w:customStyle="1" w:styleId="242">
    <w:name w:val="页眉1"/>
    <w:basedOn w:val="1"/>
    <w:link w:val="241"/>
    <w:qFormat/>
    <w:uiPriority w:val="0"/>
    <w:pPr>
      <w:pBdr>
        <w:bottom w:val="single" w:color="000000" w:sz="6" w:space="1"/>
      </w:pBdr>
      <w:tabs>
        <w:tab w:val="center" w:pos="4153"/>
        <w:tab w:val="right" w:pos="8306"/>
      </w:tabs>
      <w:jc w:val="center"/>
    </w:pPr>
    <w:rPr>
      <w:sz w:val="18"/>
      <w:szCs w:val="18"/>
    </w:rPr>
  </w:style>
  <w:style w:type="character" w:customStyle="1" w:styleId="243">
    <w:name w:val="正文文本 Char"/>
    <w:link w:val="244"/>
    <w:qFormat/>
    <w:uiPriority w:val="0"/>
    <w:rPr>
      <w:rFonts w:ascii="楷体_GB2312" w:hAnsi="Arial" w:eastAsia="楷体_GB2312" w:cs="Times New Roman"/>
      <w:sz w:val="28"/>
      <w:szCs w:val="28"/>
    </w:rPr>
  </w:style>
  <w:style w:type="paragraph" w:customStyle="1" w:styleId="244">
    <w:name w:val="正文文本1"/>
    <w:basedOn w:val="1"/>
    <w:link w:val="243"/>
    <w:qFormat/>
    <w:uiPriority w:val="0"/>
    <w:rPr>
      <w:rFonts w:ascii="楷体_GB2312" w:hAnsi="Arial" w:eastAsia="楷体_GB2312"/>
      <w:sz w:val="28"/>
      <w:szCs w:val="28"/>
    </w:rPr>
  </w:style>
  <w:style w:type="character" w:customStyle="1" w:styleId="245">
    <w:name w:val="正文文本缩进 3 Char"/>
    <w:link w:val="246"/>
    <w:qFormat/>
    <w:uiPriority w:val="0"/>
    <w:rPr>
      <w:rFonts w:ascii="Arial" w:hAnsi="Arial" w:eastAsia="仿宋_GB2312" w:cs="Arial"/>
      <w:color w:val="FFFF00"/>
      <w:sz w:val="32"/>
      <w:szCs w:val="32"/>
    </w:rPr>
  </w:style>
  <w:style w:type="paragraph" w:customStyle="1" w:styleId="246">
    <w:name w:val="正文文本缩进 31"/>
    <w:basedOn w:val="1"/>
    <w:link w:val="245"/>
    <w:qFormat/>
    <w:uiPriority w:val="0"/>
    <w:pPr>
      <w:ind w:left="645" w:firstLine="645"/>
    </w:pPr>
    <w:rPr>
      <w:rFonts w:ascii="Arial" w:hAnsi="Arial" w:eastAsia="仿宋_GB2312" w:cs="Arial"/>
      <w:color w:val="FFFF00"/>
      <w:sz w:val="32"/>
      <w:szCs w:val="32"/>
    </w:rPr>
  </w:style>
  <w:style w:type="character" w:customStyle="1" w:styleId="247">
    <w:name w:val="标题 8 Char"/>
    <w:link w:val="192"/>
    <w:qFormat/>
    <w:uiPriority w:val="0"/>
    <w:rPr>
      <w:rFonts w:ascii="Arial" w:hAnsi="Arial" w:eastAsia="黑体" w:cs="Times New Roman"/>
      <w:sz w:val="24"/>
      <w:szCs w:val="24"/>
    </w:rPr>
  </w:style>
  <w:style w:type="paragraph" w:customStyle="1" w:styleId="24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4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51">
    <w:name w:val="目录 31"/>
    <w:basedOn w:val="1"/>
    <w:next w:val="1"/>
    <w:semiHidden/>
    <w:qFormat/>
    <w:uiPriority w:val="0"/>
    <w:pPr>
      <w:ind w:left="420"/>
      <w:jc w:val="left"/>
    </w:pPr>
    <w:rPr>
      <w:i/>
      <w:iCs/>
      <w:szCs w:val="24"/>
    </w:rPr>
  </w:style>
  <w:style w:type="paragraph" w:customStyle="1" w:styleId="25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5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5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6">
    <w:name w:val="列表 31"/>
    <w:basedOn w:val="1"/>
    <w:qFormat/>
    <w:uiPriority w:val="0"/>
    <w:pPr>
      <w:ind w:left="100" w:hanging="200"/>
    </w:pPr>
  </w:style>
  <w:style w:type="paragraph" w:customStyle="1" w:styleId="257">
    <w:name w:val="列表1"/>
    <w:basedOn w:val="1"/>
    <w:qFormat/>
    <w:uiPriority w:val="0"/>
    <w:pPr>
      <w:ind w:left="200" w:hanging="200"/>
    </w:pPr>
  </w:style>
  <w:style w:type="paragraph" w:customStyle="1" w:styleId="258">
    <w:name w:val=" Char Char Char Char"/>
    <w:basedOn w:val="202"/>
    <w:qFormat/>
    <w:uiPriority w:val="0"/>
    <w:pPr>
      <w:spacing w:line="360" w:lineRule="auto"/>
    </w:pPr>
    <w:rPr>
      <w:rFonts w:ascii="Tahoma" w:hAnsi="Tahoma"/>
      <w:sz w:val="24"/>
      <w:szCs w:val="24"/>
    </w:rPr>
  </w:style>
  <w:style w:type="paragraph" w:customStyle="1" w:styleId="259">
    <w:name w:val="目录 81"/>
    <w:basedOn w:val="1"/>
    <w:next w:val="1"/>
    <w:semiHidden/>
    <w:qFormat/>
    <w:uiPriority w:val="0"/>
    <w:pPr>
      <w:ind w:left="1470"/>
      <w:jc w:val="left"/>
    </w:pPr>
  </w:style>
  <w:style w:type="paragraph" w:customStyle="1" w:styleId="260">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61">
    <w:name w:val="列表 21"/>
    <w:basedOn w:val="1"/>
    <w:qFormat/>
    <w:uiPriority w:val="0"/>
    <w:pPr>
      <w:ind w:left="100" w:hanging="200"/>
    </w:pPr>
  </w:style>
  <w:style w:type="paragraph" w:customStyle="1" w:styleId="26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3">
    <w:name w:val="目录 51"/>
    <w:basedOn w:val="1"/>
    <w:next w:val="1"/>
    <w:semiHidden/>
    <w:qFormat/>
    <w:uiPriority w:val="0"/>
    <w:pPr>
      <w:ind w:left="840"/>
      <w:jc w:val="left"/>
    </w:pPr>
  </w:style>
  <w:style w:type="paragraph" w:customStyle="1" w:styleId="26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5">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7">
    <w:name w:val="索引 11"/>
    <w:basedOn w:val="1"/>
    <w:next w:val="1"/>
    <w:semiHidden/>
    <w:qFormat/>
    <w:uiPriority w:val="0"/>
    <w:pPr>
      <w:spacing w:line="240" w:lineRule="atLeast"/>
    </w:pPr>
    <w:rPr>
      <w:b/>
      <w:bCs/>
    </w:rPr>
  </w:style>
  <w:style w:type="paragraph" w:customStyle="1" w:styleId="268">
    <w:name w:val="目录 61"/>
    <w:basedOn w:val="1"/>
    <w:next w:val="1"/>
    <w:semiHidden/>
    <w:qFormat/>
    <w:uiPriority w:val="0"/>
    <w:pPr>
      <w:ind w:left="1050"/>
      <w:jc w:val="left"/>
    </w:pPr>
  </w:style>
  <w:style w:type="paragraph" w:customStyle="1" w:styleId="26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0">
    <w:name w:val="table_lines"/>
    <w:basedOn w:val="1"/>
    <w:qFormat/>
    <w:uiPriority w:val="0"/>
    <w:pPr>
      <w:widowControl/>
      <w:jc w:val="left"/>
    </w:pPr>
    <w:rPr>
      <w:sz w:val="20"/>
      <w:szCs w:val="20"/>
      <w:lang w:val="de-DE" w:eastAsia="de-DE"/>
    </w:rPr>
  </w:style>
  <w:style w:type="paragraph" w:customStyle="1" w:styleId="271">
    <w:name w:val=" Char"/>
    <w:basedOn w:val="202"/>
    <w:qFormat/>
    <w:uiPriority w:val="0"/>
    <w:rPr>
      <w:rFonts w:ascii="Tahoma" w:hAnsi="Tahoma"/>
      <w:sz w:val="24"/>
      <w:szCs w:val="24"/>
    </w:rPr>
  </w:style>
  <w:style w:type="paragraph" w:customStyle="1" w:styleId="27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3">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74">
    <w:name w:val="图表目录1"/>
    <w:basedOn w:val="1"/>
    <w:next w:val="1"/>
    <w:semiHidden/>
    <w:qFormat/>
    <w:uiPriority w:val="0"/>
    <w:pPr>
      <w:ind w:left="840" w:hanging="420"/>
    </w:pPr>
  </w:style>
  <w:style w:type="paragraph" w:customStyle="1" w:styleId="275">
    <w:name w:val="Body Text(ch)"/>
    <w:basedOn w:val="1"/>
    <w:next w:val="244"/>
    <w:qFormat/>
    <w:uiPriority w:val="0"/>
    <w:pPr>
      <w:spacing w:after="120"/>
    </w:pPr>
    <w:rPr>
      <w:rFonts w:ascii="宋体" w:hAnsi="Arial"/>
      <w:bCs/>
      <w:iCs/>
      <w:szCs w:val="24"/>
    </w:rPr>
  </w:style>
  <w:style w:type="paragraph" w:customStyle="1" w:styleId="276">
    <w:name w:val="目录 91"/>
    <w:basedOn w:val="1"/>
    <w:next w:val="1"/>
    <w:semiHidden/>
    <w:qFormat/>
    <w:uiPriority w:val="0"/>
    <w:pPr>
      <w:ind w:left="1680"/>
      <w:jc w:val="left"/>
    </w:pPr>
  </w:style>
  <w:style w:type="paragraph" w:customStyle="1" w:styleId="277">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7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9">
    <w:name w:val="目录 21"/>
    <w:basedOn w:val="1"/>
    <w:next w:val="1"/>
    <w:semiHidden/>
    <w:qFormat/>
    <w:uiPriority w:val="0"/>
    <w:pPr>
      <w:ind w:left="210"/>
      <w:jc w:val="left"/>
    </w:pPr>
    <w:rPr>
      <w:smallCaps/>
      <w:szCs w:val="24"/>
    </w:rPr>
  </w:style>
  <w:style w:type="paragraph" w:customStyle="1" w:styleId="28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1">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8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3">
    <w:name w:val="目录 71"/>
    <w:basedOn w:val="1"/>
    <w:next w:val="1"/>
    <w:semiHidden/>
    <w:qFormat/>
    <w:uiPriority w:val="0"/>
    <w:pPr>
      <w:ind w:left="1260"/>
      <w:jc w:val="left"/>
    </w:pPr>
  </w:style>
  <w:style w:type="paragraph" w:customStyle="1" w:styleId="284">
    <w:name w:val="目录 41"/>
    <w:basedOn w:val="1"/>
    <w:next w:val="1"/>
    <w:semiHidden/>
    <w:qFormat/>
    <w:uiPriority w:val="0"/>
    <w:pPr>
      <w:ind w:left="630"/>
      <w:jc w:val="left"/>
    </w:pPr>
  </w:style>
  <w:style w:type="paragraph" w:customStyle="1" w:styleId="28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
    <w:basedOn w:val="1"/>
    <w:qFormat/>
    <w:uiPriority w:val="0"/>
    <w:pPr>
      <w:tabs>
        <w:tab w:val="left" w:pos="360"/>
      </w:tabs>
      <w:ind w:firstLine="200"/>
    </w:pPr>
    <w:rPr>
      <w:sz w:val="28"/>
      <w:szCs w:val="30"/>
    </w:rPr>
  </w:style>
  <w:style w:type="paragraph" w:customStyle="1" w:styleId="288">
    <w:name w:val="4"/>
    <w:basedOn w:val="1"/>
    <w:next w:val="246"/>
    <w:qFormat/>
    <w:uiPriority w:val="0"/>
    <w:pPr>
      <w:spacing w:line="360" w:lineRule="auto"/>
      <w:ind w:firstLine="420"/>
    </w:pPr>
    <w:rPr>
      <w:color w:val="FF0000"/>
      <w:sz w:val="24"/>
      <w:szCs w:val="24"/>
    </w:rPr>
  </w:style>
  <w:style w:type="paragraph" w:customStyle="1" w:styleId="289">
    <w:name w:val=" Char Char Char Char Char Char Char Char Char Char"/>
    <w:basedOn w:val="1"/>
    <w:qFormat/>
    <w:uiPriority w:val="0"/>
    <w:pPr>
      <w:spacing w:line="360" w:lineRule="auto"/>
    </w:pPr>
    <w:rPr>
      <w:sz w:val="24"/>
      <w:szCs w:val="20"/>
    </w:rPr>
  </w:style>
  <w:style w:type="paragraph" w:customStyle="1" w:styleId="290">
    <w:name w:val="样式1"/>
    <w:basedOn w:val="1"/>
    <w:qFormat/>
    <w:uiPriority w:val="0"/>
    <w:pPr>
      <w:numPr>
        <w:ilvl w:val="0"/>
        <w:numId w:val="3"/>
      </w:numPr>
    </w:pPr>
    <w:rPr>
      <w:rFonts w:ascii="宋体" w:hAnsi="宋体"/>
    </w:rPr>
  </w:style>
  <w:style w:type="paragraph" w:customStyle="1" w:styleId="29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2">
    <w:name w:val="Char Char Char Char"/>
    <w:basedOn w:val="202"/>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table" w:customStyle="1" w:styleId="294">
    <w:name w:val="网格型1"/>
    <w:basedOn w:val="195"/>
    <w:qFormat/>
    <w:uiPriority w:val="0"/>
    <w:pPr>
      <w:widowControl w:val="0"/>
      <w:jc w:val="both"/>
    </w:pPr>
    <w:rPr>
      <w:rFonts w:ascii="Times New Roman" w:hAnsi="Times New Roman" w:eastAsia="宋体" w:cs="Times New Roman"/>
      <w:sz w:val="20"/>
      <w:szCs w:val="20"/>
    </w:rPr>
  </w:style>
  <w:style w:type="paragraph" w:customStyle="1" w:styleId="295">
    <w:name w:val="样式 正文缩进 + 首行缩进:  2 字符"/>
    <w:basedOn w:val="12"/>
    <w:qFormat/>
    <w:uiPriority w:val="0"/>
    <w:pPr>
      <w:widowControl w:val="0"/>
    </w:pPr>
    <w:rPr>
      <w:rFonts w:cs="宋体"/>
      <w:szCs w:val="20"/>
    </w:rPr>
  </w:style>
  <w:style w:type="paragraph" w:customStyle="1" w:styleId="296">
    <w:name w:val="缩进正文"/>
    <w:basedOn w:val="1"/>
    <w:qFormat/>
    <w:uiPriority w:val="0"/>
    <w:pPr>
      <w:spacing w:after="0" w:line="360" w:lineRule="auto"/>
      <w:ind w:firstLine="200"/>
      <w:jc w:val="both"/>
    </w:pPr>
    <w:rPr>
      <w:rFonts w:ascii="Times New Roman" w:hAnsi="Times New Roman" w:eastAsia="宋体" w:cs="Times New Roman"/>
      <w:sz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TotalTime>2</TotalTime>
  <ScaleCrop>false</ScaleCrop>
  <LinksUpToDate>false</LinksUpToDate>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lenovo</cp:lastModifiedBy>
  <dcterms:modified xsi:type="dcterms:W3CDTF">2026-01-08T06:20:11Z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