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4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740"/>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 苏州市第九人民医院临床业务用计算机</w:t>
      </w:r>
      <w:r/>
    </w:p>
    <w:p>
      <w:pPr>
        <w:pStyle w:val="740"/>
        <w:ind w:firstLine="2249"/>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JSZC-320509-JZCG-G2025-0069</w:t>
      </w:r>
      <w:r>
        <w:rPr>
          <w:rFonts w:hint="eastAsia" w:ascii="Arial" w:hAnsi="Arial"/>
          <w:b/>
          <w:bCs/>
          <w:sz w:val="32"/>
          <w:szCs w:val="24"/>
        </w:rPr>
      </w:r>
      <w:r/>
    </w:p>
    <w:p>
      <w:pPr>
        <w:pStyle w:val="740"/>
        <w:ind w:left="2100" w:hanging="2100"/>
        <w:rPr>
          <w:rFonts w:hint="eastAsia"/>
          <w:b/>
          <w:sz w:val="30"/>
          <w:szCs w:val="30"/>
        </w:rPr>
      </w:pPr>
      <w:r>
        <w:rPr>
          <w:rFonts w:hint="eastAsia"/>
          <w:szCs w:val="21"/>
        </w:rPr>
        <w:t xml:space="preserve">           </w:t>
      </w:r>
      <w:r>
        <w:rPr>
          <w:rFonts w:hint="eastAsia"/>
          <w:b/>
          <w:sz w:val="30"/>
          <w:szCs w:val="30"/>
        </w:rPr>
        <w:t xml:space="preserve">       采购类别：货物类</w:t>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left"/>
        <w:spacing w:line="360" w:lineRule="auto"/>
        <w:rPr>
          <w:rFonts w:hint="eastAsia" w:ascii="宋体" w:hAnsi="宋体"/>
          <w:sz w:val="24"/>
          <w:szCs w:val="24"/>
        </w:rPr>
      </w:pPr>
      <w:r>
        <w:rPr>
          <w:rFonts w:hint="eastAsia" w:ascii="宋体" w:hAnsi="宋体"/>
          <w:sz w:val="24"/>
          <w:szCs w:val="24"/>
        </w:rPr>
      </w:r>
      <w:r/>
    </w:p>
    <w:p>
      <w:pPr>
        <w:pStyle w:val="740"/>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p>
    <w:p>
      <w:pPr>
        <w:pStyle w:val="740"/>
        <w:jc w:val="center"/>
        <w:spacing w:before="120" w:after="120" w:line="360" w:lineRule="auto"/>
        <w:rPr>
          <w:rFonts w:hint="eastAsia"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年1</w:t>
      </w:r>
      <w:r>
        <w:rPr>
          <w:rFonts w:hint="eastAsia" w:ascii="Arial" w:hAnsi="Arial"/>
          <w:b/>
          <w:bCs/>
          <w:sz w:val="32"/>
          <w:szCs w:val="24"/>
        </w:rPr>
        <w:t xml:space="preserve">2</w:t>
      </w:r>
      <w:r>
        <w:rPr>
          <w:rFonts w:hint="eastAsia" w:ascii="Arial" w:hAnsi="Arial"/>
          <w:b/>
          <w:bCs/>
          <w:sz w:val="32"/>
          <w:szCs w:val="24"/>
        </w:rPr>
        <w:t xml:space="preserve">月</w:t>
      </w:r>
      <w:r/>
    </w:p>
    <w:p>
      <w:pPr>
        <w:pStyle w:val="74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40"/>
        <w:jc w:val="center"/>
        <w:spacing w:before="120" w:after="120" w:line="360" w:lineRule="auto"/>
        <w:rPr>
          <w:rFonts w:hint="eastAsia" w:ascii="Arial" w:hAnsi="Arial"/>
          <w:sz w:val="24"/>
          <w:szCs w:val="24"/>
        </w:rPr>
      </w:pPr>
      <w:r>
        <w:rPr>
          <w:rFonts w:hint="eastAsia" w:ascii="Arial" w:hAnsi="Arial"/>
          <w:sz w:val="24"/>
          <w:szCs w:val="24"/>
        </w:rPr>
      </w:r>
      <w:r/>
    </w:p>
    <w:p>
      <w:pPr>
        <w:pStyle w:val="740"/>
        <w:rPr>
          <w:rFonts w:hint="eastAsia"/>
          <w:szCs w:val="21"/>
        </w:rPr>
      </w:pPr>
      <w:r>
        <w:rPr>
          <w:szCs w:val="21"/>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szCs w:val="21"/>
        </w:rPr>
      </w:r>
      <w:r/>
    </w:p>
    <w:p>
      <w:pPr>
        <w:pStyle w:val="868"/>
        <w:rPr>
          <w:rFonts w:ascii="等线" w:hAnsi="等线" w:eastAsia="等线"/>
          <w:b/>
          <w:bCs/>
          <w:color w:val="000000"/>
          <w:sz w:val="30"/>
          <w:szCs w:val="30"/>
        </w:rPr>
      </w:pPr>
      <w:r>
        <w:rPr>
          <w:rFonts w:ascii="等线" w:hAnsi="等线" w:eastAsia="等线"/>
          <w:b/>
          <w:bCs/>
          <w:color w:val="000000"/>
          <w:sz w:val="30"/>
          <w:szCs w:val="30"/>
          <w:lang w:val="zh-CN"/>
        </w:rPr>
        <w:t xml:space="preserve">目录</w:t>
      </w:r>
      <w:r>
        <w:rPr>
          <w:rFonts w:ascii="等线" w:hAnsi="等线" w:eastAsia="等线"/>
          <w:b/>
          <w:bCs/>
          <w:color w:val="000000"/>
          <w:sz w:val="30"/>
          <w:szCs w:val="30"/>
        </w:rPr>
      </w:r>
      <w:r/>
    </w:p>
    <w:p>
      <w:pPr>
        <w:pStyle w:val="796"/>
        <w:rPr>
          <w:rFonts w:ascii="等线" w:hAnsi="等线" w:eastAsia="等线"/>
          <w:b/>
          <w:bCs/>
          <w:caps w:val="0"/>
          <w:sz w:val="30"/>
          <w:szCs w:val="30"/>
          <w:lang w:val="en-US" w:eastAsia="zh-CN"/>
        </w:rPr>
      </w:pPr>
      <w:r>
        <w:rPr>
          <w:rFonts w:ascii="等线" w:hAnsi="等线" w:eastAsia="等线"/>
          <w:b/>
          <w:bCs/>
          <w:sz w:val="30"/>
          <w:szCs w:val="30"/>
          <w:lang w:val="en-US"/>
        </w:rPr>
        <w:fldChar w:fldCharType="begin"/>
      </w:r>
      <w:r>
        <w:rPr>
          <w:rFonts w:ascii="等线" w:hAnsi="等线" w:eastAsia="等线"/>
          <w:b/>
          <w:bCs/>
          <w:sz w:val="30"/>
          <w:szCs w:val="30"/>
        </w:rPr>
        <w:instrText xml:space="preserve"> TOC \o "1-3" \h \z \u </w:instrText>
      </w:r>
      <w:r>
        <w:rPr>
          <w:rFonts w:ascii="等线" w:hAnsi="等线" w:eastAsia="等线"/>
          <w:b/>
          <w:bCs/>
          <w:sz w:val="30"/>
          <w:szCs w:val="30"/>
          <w:lang w:val="en-US"/>
        </w:rPr>
        <w:fldChar w:fldCharType="separate"/>
      </w: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HYPERLINK \l "_Toc190700430"</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b/>
          <w:bCs/>
          <w:color w:val="000000"/>
          <w:sz w:val="30"/>
          <w:szCs w:val="30"/>
        </w:rPr>
        <w:t xml:space="preserve">第一章  投标邀请</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_Toc190700430 \h </w:instrText>
      </w:r>
      <w:r>
        <w:rPr>
          <w:rFonts w:ascii="等线" w:hAnsi="等线" w:eastAsia="等线"/>
          <w:b/>
          <w:bCs/>
          <w:sz w:val="30"/>
          <w:szCs w:val="30"/>
        </w:rPr>
        <w:fldChar w:fldCharType="separate"/>
      </w:r>
      <w:r>
        <w:rPr>
          <w:rFonts w:hint="eastAsia" w:ascii="等线" w:hAnsi="等线" w:eastAsia="等线"/>
          <w:b/>
          <w:bCs/>
          <w:sz w:val="30"/>
          <w:szCs w:val="30"/>
        </w:rPr>
        <w:t xml:space="preserve">２</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caps w:val="0"/>
          <w:sz w:val="30"/>
          <w:szCs w:val="30"/>
          <w:lang w:val="en-US" w:eastAsia="zh-CN"/>
        </w:rPr>
      </w:r>
      <w:r/>
    </w:p>
    <w:p>
      <w:pPr>
        <w:pStyle w:val="807"/>
        <w:ind w:left="0"/>
        <w:spacing w:line="360" w:lineRule="auto"/>
        <w:tabs>
          <w:tab w:val="right" w:pos="8943" w:leader="dot"/>
        </w:tabs>
        <w:rPr>
          <w:rFonts w:ascii="等线" w:hAnsi="等线" w:eastAsia="等线"/>
          <w:b/>
          <w:bCs/>
          <w:smallCaps w:val="0"/>
          <w:sz w:val="30"/>
          <w:szCs w:val="30"/>
        </w:rPr>
      </w:pP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HYPERLINK \l "_Toc190700442"</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cs="Arial"/>
          <w:b/>
          <w:bCs/>
          <w:color w:val="000000"/>
          <w:sz w:val="30"/>
          <w:szCs w:val="30"/>
        </w:rPr>
        <w:t xml:space="preserve">第二章  </w:t>
      </w:r>
      <w:r>
        <w:rPr>
          <w:rStyle w:val="826"/>
          <w:rFonts w:ascii="等线" w:hAnsi="等线" w:eastAsia="等线"/>
          <w:b/>
          <w:bCs/>
          <w:caps/>
          <w:smallCaps/>
          <w:color w:val="000000"/>
          <w:sz w:val="30"/>
          <w:szCs w:val="30"/>
        </w:rPr>
        <w:t xml:space="preserve">投标人须知</w:t>
      </w:r>
      <w:r>
        <w:rPr>
          <w:rFonts w:ascii="等线" w:hAnsi="等线" w:eastAsia="等线"/>
          <w:b/>
          <w:bCs/>
          <w:sz w:val="30"/>
          <w:szCs w:val="30"/>
        </w:rPr>
        <w:t xml:space="preserve">…………………………………………………………… </w:t>
      </w:r>
      <w:r>
        <w:rPr>
          <w:rFonts w:ascii="等线" w:hAnsi="等线" w:eastAsia="等线"/>
          <w:b/>
          <w:bCs/>
          <w:sz w:val="30"/>
          <w:szCs w:val="30"/>
        </w:rPr>
        <w:fldChar w:fldCharType="begin"/>
      </w:r>
      <w:r>
        <w:rPr>
          <w:rFonts w:ascii="等线" w:hAnsi="等线" w:eastAsia="等线"/>
          <w:b/>
          <w:bCs/>
          <w:sz w:val="30"/>
          <w:szCs w:val="30"/>
        </w:rPr>
        <w:instrText xml:space="preserve"> PAGEREF _Toc190700442 \h </w:instrText>
      </w:r>
      <w:r>
        <w:rPr>
          <w:rFonts w:ascii="等线" w:hAnsi="等线" w:eastAsia="等线"/>
          <w:b/>
          <w:bCs/>
          <w:sz w:val="30"/>
          <w:szCs w:val="30"/>
        </w:rPr>
        <w:fldChar w:fldCharType="separate"/>
      </w:r>
      <w:r>
        <w:rPr>
          <w:rFonts w:hint="eastAsia" w:ascii="等线" w:hAnsi="等线" w:eastAsia="等线"/>
          <w:b/>
          <w:bCs/>
          <w:sz w:val="30"/>
          <w:szCs w:val="30"/>
        </w:rPr>
        <w:t xml:space="preserve">７</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smallCaps w:val="0"/>
          <w:sz w:val="30"/>
          <w:szCs w:val="30"/>
        </w:rPr>
      </w:r>
      <w:r/>
    </w:p>
    <w:p>
      <w:pPr>
        <w:pStyle w:val="796"/>
        <w:rPr>
          <w:rFonts w:ascii="等线" w:hAnsi="等线" w:eastAsia="等线"/>
          <w:b/>
          <w:bCs/>
          <w:caps w:val="0"/>
          <w:sz w:val="30"/>
          <w:szCs w:val="30"/>
          <w:lang w:val="en-US" w:eastAsia="zh-CN"/>
        </w:rPr>
      </w:pP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HYPERLINK \l "_Toc190700450"</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b/>
          <w:bCs/>
          <w:color w:val="000000"/>
          <w:sz w:val="30"/>
          <w:szCs w:val="30"/>
        </w:rPr>
        <w:t xml:space="preserve">第三章  合同文本</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_Toc190700450 \h </w:instrText>
      </w:r>
      <w:r>
        <w:rPr>
          <w:rFonts w:ascii="等线" w:hAnsi="等线" w:eastAsia="等线"/>
          <w:b/>
          <w:bCs/>
          <w:sz w:val="30"/>
          <w:szCs w:val="30"/>
        </w:rPr>
        <w:fldChar w:fldCharType="separate"/>
      </w:r>
      <w:r>
        <w:rPr>
          <w:rFonts w:hint="eastAsia" w:ascii="等线" w:hAnsi="等线" w:eastAsia="等线"/>
          <w:b/>
          <w:bCs/>
          <w:sz w:val="30"/>
          <w:szCs w:val="30"/>
        </w:rPr>
        <w:t xml:space="preserve">１９</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caps w:val="0"/>
          <w:sz w:val="30"/>
          <w:szCs w:val="30"/>
          <w:lang w:val="en-US" w:eastAsia="zh-CN"/>
        </w:rPr>
      </w:r>
      <w:r/>
    </w:p>
    <w:p>
      <w:pPr>
        <w:pStyle w:val="796"/>
        <w:rPr>
          <w:rFonts w:ascii="等线" w:hAnsi="等线" w:eastAsia="等线"/>
          <w:b/>
          <w:bCs/>
          <w:caps w:val="0"/>
          <w:sz w:val="30"/>
          <w:szCs w:val="30"/>
          <w:lang w:val="en-US" w:eastAsia="zh-CN"/>
        </w:rPr>
      </w:pP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HYPERLINK \l "_Toc190700451"</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b/>
          <w:bCs/>
          <w:color w:val="000000"/>
          <w:sz w:val="30"/>
          <w:szCs w:val="30"/>
        </w:rPr>
        <w:t xml:space="preserve">第四章 采购需求</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_Toc190700451 \h </w:instrText>
      </w:r>
      <w:r>
        <w:rPr>
          <w:rFonts w:ascii="等线" w:hAnsi="等线" w:eastAsia="等线"/>
          <w:b/>
          <w:bCs/>
          <w:sz w:val="30"/>
          <w:szCs w:val="30"/>
        </w:rPr>
        <w:fldChar w:fldCharType="separate"/>
      </w:r>
      <w:r>
        <w:rPr>
          <w:rFonts w:hint="eastAsia" w:ascii="等线" w:hAnsi="等线" w:eastAsia="等线"/>
          <w:b/>
          <w:bCs/>
          <w:sz w:val="30"/>
          <w:szCs w:val="30"/>
        </w:rPr>
        <w:t xml:space="preserve">２４</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caps w:val="0"/>
          <w:sz w:val="30"/>
          <w:szCs w:val="30"/>
          <w:lang w:val="en-US" w:eastAsia="zh-CN"/>
        </w:rPr>
      </w:r>
      <w:r/>
    </w:p>
    <w:p>
      <w:pPr>
        <w:pStyle w:val="796"/>
        <w:rPr>
          <w:rFonts w:ascii="等线" w:hAnsi="等线" w:eastAsia="等线"/>
          <w:b/>
          <w:bCs/>
          <w:caps w:val="0"/>
          <w:sz w:val="30"/>
          <w:szCs w:val="30"/>
          <w:lang w:val="en-US" w:eastAsia="zh-CN"/>
        </w:rPr>
      </w:pP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w:instrText>
      </w:r>
      <w:r>
        <w:rPr>
          <w:rFonts w:ascii="等线" w:hAnsi="等线" w:eastAsia="等线"/>
          <w:b/>
          <w:bCs/>
          <w:sz w:val="30"/>
          <w:szCs w:val="30"/>
        </w:rPr>
        <w:instrText xml:space="preserve">NK \l "_Toc190700452"</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b/>
          <w:bCs/>
          <w:color w:val="000000"/>
          <w:sz w:val="30"/>
          <w:szCs w:val="30"/>
        </w:rPr>
        <w:t xml:space="preserve">第五章  评标方法与评标标准</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_Toc190700452 \h </w:instrText>
      </w:r>
      <w:r>
        <w:rPr>
          <w:rFonts w:ascii="等线" w:hAnsi="等线" w:eastAsia="等线"/>
          <w:b/>
          <w:bCs/>
          <w:sz w:val="30"/>
          <w:szCs w:val="30"/>
        </w:rPr>
        <w:fldChar w:fldCharType="separate"/>
      </w:r>
      <w:r>
        <w:rPr>
          <w:rFonts w:hint="eastAsia" w:ascii="等线" w:hAnsi="等线" w:eastAsia="等线"/>
          <w:b/>
          <w:bCs/>
          <w:sz w:val="30"/>
          <w:szCs w:val="30"/>
        </w:rPr>
        <w:t xml:space="preserve">６０</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caps w:val="0"/>
          <w:sz w:val="30"/>
          <w:szCs w:val="30"/>
          <w:lang w:val="en-US" w:eastAsia="zh-CN"/>
        </w:rPr>
      </w:r>
      <w:r/>
    </w:p>
    <w:p>
      <w:pPr>
        <w:pStyle w:val="796"/>
        <w:rPr>
          <w:rFonts w:ascii="等线" w:hAnsi="等线" w:eastAsia="等线"/>
          <w:b/>
          <w:bCs/>
          <w:caps w:val="0"/>
          <w:sz w:val="30"/>
          <w:szCs w:val="30"/>
          <w:lang w:val="en-US" w:eastAsia="zh-CN"/>
        </w:rPr>
      </w:pPr>
      <w:r>
        <w:rPr>
          <w:rStyle w:val="826"/>
          <w:rFonts w:ascii="等线" w:hAnsi="等线" w:eastAsia="等线"/>
          <w:b/>
          <w:bCs/>
          <w:color w:val="000000"/>
          <w:sz w:val="30"/>
          <w:szCs w:val="30"/>
        </w:rPr>
        <w:fldChar w:fldCharType="begin"/>
      </w:r>
      <w:r>
        <w:rPr>
          <w:rStyle w:val="826"/>
          <w:rFonts w:ascii="等线" w:hAnsi="等线" w:eastAsia="等线"/>
          <w:b/>
          <w:bCs/>
          <w:color w:val="000000"/>
          <w:sz w:val="30"/>
          <w:szCs w:val="30"/>
        </w:rPr>
        <w:instrText xml:space="preserve"> </w:instrText>
      </w:r>
      <w:r>
        <w:rPr>
          <w:rFonts w:ascii="等线" w:hAnsi="等线" w:eastAsia="等线"/>
          <w:b/>
          <w:bCs/>
          <w:sz w:val="30"/>
          <w:szCs w:val="30"/>
        </w:rPr>
        <w:instrText xml:space="preserve">HYPERLINK \l "_Toc190700453"</w:instrText>
      </w:r>
      <w:r>
        <w:rPr>
          <w:rStyle w:val="826"/>
          <w:rFonts w:ascii="等线" w:hAnsi="等线" w:eastAsia="等线"/>
          <w:b/>
          <w:bCs/>
          <w:color w:val="000000"/>
          <w:sz w:val="30"/>
          <w:szCs w:val="30"/>
        </w:rPr>
        <w:instrText xml:space="preserve"> </w:instrText>
      </w:r>
      <w:r>
        <w:rPr>
          <w:rStyle w:val="826"/>
          <w:rFonts w:ascii="等线" w:hAnsi="等线" w:eastAsia="等线"/>
          <w:b/>
          <w:bCs/>
          <w:color w:val="000000"/>
          <w:sz w:val="30"/>
          <w:szCs w:val="30"/>
        </w:rPr>
        <w:fldChar w:fldCharType="separate"/>
      </w:r>
      <w:r>
        <w:rPr>
          <w:rStyle w:val="826"/>
          <w:rFonts w:ascii="等线" w:hAnsi="等线" w:eastAsia="等线"/>
          <w:b/>
          <w:bCs/>
          <w:color w:val="000000"/>
          <w:sz w:val="30"/>
          <w:szCs w:val="30"/>
        </w:rPr>
        <w:t xml:space="preserve">第六章  投标文件格式</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_Toc190700453 \h </w:instrText>
      </w:r>
      <w:r>
        <w:rPr>
          <w:rFonts w:ascii="等线" w:hAnsi="等线" w:eastAsia="等线"/>
          <w:b/>
          <w:bCs/>
          <w:sz w:val="30"/>
          <w:szCs w:val="30"/>
        </w:rPr>
        <w:fldChar w:fldCharType="separate"/>
      </w:r>
      <w:r>
        <w:rPr>
          <w:rFonts w:hint="eastAsia" w:ascii="等线" w:hAnsi="等线" w:eastAsia="等线"/>
          <w:b/>
          <w:bCs/>
          <w:sz w:val="30"/>
          <w:szCs w:val="30"/>
        </w:rPr>
        <w:t xml:space="preserve">６５</w:t>
      </w:r>
      <w:r>
        <w:rPr>
          <w:rFonts w:ascii="等线" w:hAnsi="等线" w:eastAsia="等线"/>
          <w:b/>
          <w:bCs/>
          <w:sz w:val="30"/>
          <w:szCs w:val="30"/>
        </w:rPr>
        <w:fldChar w:fldCharType="end"/>
      </w:r>
      <w:r>
        <w:rPr>
          <w:rStyle w:val="826"/>
          <w:rFonts w:ascii="等线" w:hAnsi="等线" w:eastAsia="等线"/>
          <w:b/>
          <w:bCs/>
          <w:color w:val="000000"/>
          <w:sz w:val="30"/>
          <w:szCs w:val="30"/>
        </w:rPr>
        <w:fldChar w:fldCharType="end"/>
      </w:r>
      <w:r>
        <w:rPr>
          <w:rFonts w:ascii="等线" w:hAnsi="等线" w:eastAsia="等线"/>
          <w:b/>
          <w:bCs/>
          <w:caps w:val="0"/>
          <w:sz w:val="30"/>
          <w:szCs w:val="30"/>
          <w:lang w:val="en-US" w:eastAsia="zh-CN"/>
        </w:rPr>
      </w:r>
      <w:r/>
    </w:p>
    <w:p>
      <w:pPr>
        <w:pStyle w:val="740"/>
      </w:pPr>
      <w:r>
        <w:rPr>
          <w:rFonts w:ascii="等线" w:hAnsi="等线" w:eastAsia="等线"/>
          <w:b/>
          <w:bCs/>
          <w:sz w:val="30"/>
          <w:szCs w:val="30"/>
          <w:lang w:val="zh-CN"/>
        </w:rPr>
        <w:fldChar w:fldCharType="end"/>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szCs w:val="21"/>
        </w:rPr>
      </w:pPr>
      <w:r>
        <w:rPr>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rPr>
          <w:rFonts w:hint="eastAsia"/>
          <w:szCs w:val="21"/>
        </w:rPr>
      </w:pPr>
      <w:r>
        <w:rPr>
          <w:rFonts w:hint="eastAsia"/>
          <w:szCs w:val="21"/>
        </w:rPr>
      </w:r>
      <w:r/>
    </w:p>
    <w:p>
      <w:pPr>
        <w:pStyle w:val="740"/>
        <w:jc w:val="center"/>
        <w:keepNext/>
        <w:rPr>
          <w:rFonts w:hint="eastAsia" w:ascii="黑体" w:eastAsia="黑体"/>
          <w:bCs/>
          <w:sz w:val="44"/>
          <w:szCs w:val="44"/>
        </w:rPr>
        <w:outlineLvl w:val="0"/>
      </w:pPr>
      <w:r/>
      <w:bookmarkStart w:id="6" w:name="_Toc19070043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74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受苏州市第九人民医院的委托，苏州市公共资源交易中心吴江分中心就苏州市第九人民医院临床业务用计算机(</w:t>
      </w:r>
      <w:r>
        <w:rPr>
          <w:rFonts w:ascii="宋体" w:hAnsi="宋体"/>
          <w:sz w:val="24"/>
          <w:szCs w:val="24"/>
        </w:rPr>
        <w:t xml:space="preserve">JSZC-320509-JZCG-</w:t>
      </w:r>
      <w:r>
        <w:rPr>
          <w:rFonts w:ascii="宋体" w:hAnsi="宋体"/>
          <w:sz w:val="24"/>
          <w:szCs w:val="24"/>
        </w:rPr>
        <w:t xml:space="preserve">G2025-0069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4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4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苏州市第九人民医院临床业务用计算机项目的潜在投标人可在“江苏政府采购网”自行免费下载招标文件，并于2026年1月27日 13点30分（北京时间）前递交投标文件。</w:t>
      </w:r>
      <w:r>
        <w:rPr>
          <w:rFonts w:ascii="宋体" w:hAnsi="宋体"/>
          <w:sz w:val="24"/>
          <w:szCs w:val="24"/>
        </w:rPr>
      </w:r>
      <w:r/>
    </w:p>
    <w:p>
      <w:pPr>
        <w:pStyle w:val="740"/>
        <w:ind w:firstLine="498"/>
        <w:keepLines/>
        <w:keepNext/>
        <w:spacing w:before="145" w:after="145" w:line="360" w:lineRule="auto"/>
        <w:rPr>
          <w:b/>
          <w:bCs/>
          <w:sz w:val="32"/>
          <w:szCs w:val="32"/>
        </w:rPr>
        <w:outlineLvl w:val="2"/>
      </w:pPr>
      <w:r/>
      <w:bookmarkStart w:id="7" w:name="_Toc190700431"/>
      <w:r/>
      <w:bookmarkStart w:id="8" w:name="_Toc35393621"/>
      <w:r/>
      <w:bookmarkStart w:id="9" w:name="_Toc28359079"/>
      <w:r/>
      <w:bookmarkStart w:id="10" w:name="_Toc35393790"/>
      <w:r/>
      <w:bookmarkStart w:id="11" w:name="_Toc38985263"/>
      <w:r/>
      <w:bookmarkStart w:id="12" w:name="_Toc28359002"/>
      <w:r/>
      <w:bookmarkStart w:id="13" w:name="_Hlk24379207"/>
      <w:r>
        <w:rPr>
          <w:rFonts w:hint="eastAsia"/>
          <w:b/>
          <w:bCs/>
          <w:sz w:val="32"/>
          <w:szCs w:val="32"/>
        </w:rPr>
        <w:t xml:space="preserve">一、项目基本情况</w:t>
      </w:r>
      <w:bookmarkEnd w:id="7"/>
      <w:r/>
      <w:bookmarkEnd w:id="8"/>
      <w:r/>
      <w:bookmarkEnd w:id="9"/>
      <w:r/>
      <w:bookmarkEnd w:id="10"/>
      <w:r/>
      <w:bookmarkEnd w:id="11"/>
      <w:r/>
      <w:bookmarkEnd w:id="12"/>
      <w:r>
        <w:rPr>
          <w:b/>
          <w:bCs/>
          <w:sz w:val="32"/>
          <w:szCs w:val="32"/>
        </w:rPr>
      </w:r>
      <w:r/>
    </w:p>
    <w:p>
      <w:pPr>
        <w:pStyle w:val="740"/>
        <w:ind w:firstLine="480"/>
        <w:rPr>
          <w:rFonts w:hint="eastAsia" w:ascii="宋体" w:hAnsi="宋体"/>
          <w:sz w:val="24"/>
          <w:szCs w:val="24"/>
        </w:rPr>
      </w:pPr>
      <w:r/>
      <w:bookmarkEnd w:id="13"/>
      <w:r>
        <w:rPr>
          <w:rFonts w:hint="eastAsia" w:ascii="宋体" w:hAnsi="宋体"/>
          <w:sz w:val="24"/>
          <w:szCs w:val="24"/>
        </w:rPr>
        <w:t xml:space="preserve">1.项目编号：</w:t>
      </w:r>
      <w:r>
        <w:rPr>
          <w:rFonts w:ascii="宋体" w:hAnsi="宋体"/>
          <w:sz w:val="24"/>
          <w:szCs w:val="24"/>
        </w:rPr>
        <w:t xml:space="preserve">JSZC-320509-JZCG-G2025-0069</w:t>
      </w:r>
      <w:r>
        <w:rPr>
          <w:rFonts w:hint="eastAsia" w:ascii="宋体" w:hAnsi="宋体"/>
          <w:sz w:val="24"/>
          <w:szCs w:val="24"/>
        </w:rPr>
      </w:r>
      <w:r/>
    </w:p>
    <w:p>
      <w:pPr>
        <w:pStyle w:val="740"/>
        <w:ind w:firstLine="480"/>
        <w:rPr>
          <w:rFonts w:hint="eastAsia" w:ascii="宋体" w:hAnsi="宋体"/>
          <w:sz w:val="24"/>
          <w:szCs w:val="24"/>
        </w:rPr>
      </w:pPr>
      <w:r>
        <w:rPr>
          <w:rFonts w:hint="eastAsia" w:ascii="宋体" w:hAnsi="宋体"/>
          <w:sz w:val="24"/>
          <w:szCs w:val="24"/>
        </w:rPr>
        <w:t xml:space="preserve">2.项目名称：苏州市第九人民医院临床业务用计算机</w:t>
      </w:r>
      <w:r/>
    </w:p>
    <w:p>
      <w:pPr>
        <w:pStyle w:val="740"/>
        <w:ind w:firstLine="480"/>
        <w:rPr>
          <w:rFonts w:hint="eastAsia" w:ascii="宋体" w:hAnsi="宋体"/>
          <w:sz w:val="24"/>
          <w:szCs w:val="24"/>
        </w:rPr>
      </w:pPr>
      <w:r>
        <w:rPr>
          <w:rFonts w:hint="eastAsia" w:ascii="宋体" w:hAnsi="宋体"/>
          <w:sz w:val="24"/>
          <w:szCs w:val="24"/>
        </w:rPr>
        <w:t xml:space="preserve">3.预算金额：160万元</w:t>
      </w:r>
      <w:r/>
    </w:p>
    <w:p>
      <w:pPr>
        <w:pStyle w:val="740"/>
        <w:ind w:firstLine="480"/>
        <w:rPr>
          <w:rFonts w:ascii="宋体" w:hAnsi="宋体"/>
          <w:sz w:val="24"/>
          <w:szCs w:val="24"/>
        </w:rPr>
      </w:pPr>
      <w:r>
        <w:rPr>
          <w:rFonts w:hint="eastAsia" w:ascii="宋体" w:hAnsi="宋体"/>
          <w:sz w:val="24"/>
          <w:szCs w:val="24"/>
        </w:rPr>
        <w:t xml:space="preserve">4.本项目最高限价：160万元</w:t>
      </w:r>
      <w:r>
        <w:rPr>
          <w:rFonts w:ascii="宋体" w:hAnsi="宋体"/>
          <w:sz w:val="24"/>
          <w:szCs w:val="24"/>
        </w:rPr>
      </w:r>
      <w:r/>
    </w:p>
    <w:p>
      <w:pPr>
        <w:pStyle w:val="740"/>
        <w:ind w:firstLine="480"/>
        <w:rPr>
          <w:rFonts w:ascii="宋体" w:hAnsi="宋体"/>
          <w:sz w:val="24"/>
          <w:szCs w:val="24"/>
        </w:rPr>
      </w:pPr>
      <w:r>
        <w:rPr>
          <w:rFonts w:hint="eastAsia" w:ascii="宋体" w:hAnsi="宋体"/>
          <w:sz w:val="24"/>
          <w:szCs w:val="24"/>
        </w:rPr>
        <w:t xml:space="preserve">5.采购需求(简介)：临床业务用计算机一批</w:t>
      </w:r>
      <w:r>
        <w:rPr>
          <w:rFonts w:hint="eastAsia" w:ascii="宋体" w:hAnsi="宋体"/>
          <w:sz w:val="24"/>
          <w:szCs w:val="24"/>
        </w:rPr>
        <w:t xml:space="preserve">，</w:t>
      </w:r>
      <w:r>
        <w:rPr>
          <w:rFonts w:hint="eastAsia" w:ascii="宋体" w:hAnsi="宋体" w:cs="宋体"/>
          <w:sz w:val="28"/>
          <w:szCs w:val="28"/>
        </w:rPr>
        <w:t xml:space="preserve">台式电脑</w:t>
      </w:r>
      <w:r>
        <w:rPr>
          <w:rFonts w:hint="eastAsia" w:ascii="宋体" w:hAnsi="宋体" w:cs="宋体"/>
          <w:sz w:val="28"/>
          <w:szCs w:val="28"/>
        </w:rPr>
        <w:t xml:space="preserve">200台，</w:t>
      </w:r>
      <w:r>
        <w:rPr>
          <w:rFonts w:hint="eastAsia" w:ascii="宋体" w:hAnsi="宋体" w:cs="宋体"/>
          <w:sz w:val="28"/>
          <w:szCs w:val="28"/>
        </w:rPr>
        <w:t xml:space="preserve">工作站40台</w:t>
      </w:r>
      <w:r>
        <w:rPr>
          <w:rFonts w:hint="eastAsia" w:ascii="宋体" w:hAnsi="宋体" w:cs="宋体"/>
          <w:sz w:val="28"/>
          <w:szCs w:val="28"/>
        </w:rPr>
        <w:t xml:space="preserve">，</w:t>
      </w:r>
      <w:r>
        <w:rPr>
          <w:rFonts w:hint="eastAsia" w:ascii="宋体" w:hAnsi="宋体" w:cs="宋体"/>
          <w:sz w:val="28"/>
          <w:szCs w:val="28"/>
        </w:rPr>
        <w:t xml:space="preserve">一体机50台</w:t>
      </w:r>
      <w:r>
        <w:rPr>
          <w:rFonts w:hint="eastAsia" w:ascii="宋体" w:hAnsi="宋体" w:cs="宋体"/>
          <w:sz w:val="28"/>
          <w:szCs w:val="28"/>
        </w:rPr>
        <w:t xml:space="preserve">，</w:t>
      </w:r>
      <w:r>
        <w:rPr>
          <w:rFonts w:hint="eastAsia" w:ascii="宋体" w:hAnsi="宋体" w:cs="宋体"/>
          <w:sz w:val="28"/>
          <w:szCs w:val="28"/>
        </w:rPr>
        <w:t xml:space="preserve">笔记本10台</w:t>
      </w:r>
      <w:r>
        <w:rPr>
          <w:rFonts w:hint="eastAsia" w:ascii="宋体" w:hAnsi="宋体"/>
          <w:sz w:val="24"/>
          <w:szCs w:val="24"/>
        </w:rPr>
        <w:t xml:space="preserve">。</w:t>
      </w:r>
      <w:r>
        <w:rPr>
          <w:rFonts w:ascii="宋体" w:hAnsi="宋体"/>
          <w:sz w:val="24"/>
          <w:szCs w:val="24"/>
        </w:rPr>
      </w:r>
      <w:r/>
    </w:p>
    <w:p>
      <w:pPr>
        <w:pStyle w:val="740"/>
        <w:ind w:firstLine="480"/>
        <w:rPr>
          <w:rFonts w:ascii="宋体" w:hAnsi="宋体"/>
          <w:sz w:val="24"/>
          <w:szCs w:val="24"/>
          <w:u w:val="single"/>
        </w:rPr>
      </w:pPr>
      <w:r>
        <w:rPr>
          <w:rFonts w:hint="eastAsia" w:ascii="宋体" w:hAnsi="宋体"/>
          <w:sz w:val="24"/>
          <w:szCs w:val="24"/>
        </w:rPr>
        <w:t xml:space="preserve">6.合同履行期限：自合同签订之日起12个月内完成招标文件规定的设备分批供货及安装。初验合格后提供3年免费原厂质保期。</w:t>
      </w:r>
      <w:r>
        <w:rPr>
          <w:rFonts w:ascii="宋体" w:hAnsi="宋体"/>
          <w:sz w:val="24"/>
          <w:szCs w:val="24"/>
          <w:u w:val="single"/>
        </w:rPr>
      </w:r>
      <w:r/>
    </w:p>
    <w:p>
      <w:pPr>
        <w:pStyle w:val="740"/>
        <w:ind w:firstLine="480"/>
        <w:rPr>
          <w:rFonts w:ascii="宋体" w:hAnsi="宋体"/>
          <w:sz w:val="24"/>
          <w:szCs w:val="24"/>
          <w:u w:val="single"/>
        </w:rPr>
      </w:pPr>
      <w:r>
        <w:rPr>
          <w:rFonts w:ascii="宋体" w:hAnsi="宋体"/>
          <w:sz w:val="24"/>
          <w:szCs w:val="24"/>
          <w:u w:val="single"/>
        </w:rPr>
      </w:r>
      <w:r/>
    </w:p>
    <w:p>
      <w:pPr>
        <w:pStyle w:val="740"/>
        <w:ind w:firstLine="498"/>
        <w:keepLines/>
        <w:keepNext/>
        <w:spacing w:before="145" w:after="145" w:line="360" w:lineRule="auto"/>
        <w:rPr>
          <w:b/>
          <w:bCs/>
          <w:sz w:val="32"/>
          <w:szCs w:val="32"/>
        </w:rPr>
        <w:outlineLvl w:val="2"/>
      </w:pPr>
      <w:r/>
      <w:bookmarkStart w:id="14" w:name="_Toc190700432"/>
      <w:r/>
      <w:bookmarkStart w:id="15" w:name="_Toc35393622"/>
      <w:r/>
      <w:bookmarkStart w:id="16" w:name="_Toc35393791"/>
      <w:r/>
      <w:bookmarkStart w:id="17" w:name="_Toc28359003"/>
      <w:r/>
      <w:bookmarkStart w:id="18" w:name="_Toc28359080"/>
      <w:r/>
      <w:bookmarkStart w:id="19" w:name="_Toc38985264"/>
      <w:r>
        <w:rPr>
          <w:rFonts w:hint="eastAsia"/>
          <w:b/>
          <w:bCs/>
          <w:sz w:val="32"/>
          <w:szCs w:val="32"/>
        </w:rPr>
        <w:t xml:space="preserve">二、申请人的资格要求：</w:t>
      </w:r>
      <w:bookmarkEnd w:id="14"/>
      <w:r/>
      <w:bookmarkEnd w:id="15"/>
      <w:r/>
      <w:bookmarkEnd w:id="16"/>
      <w:r/>
      <w:bookmarkEnd w:id="17"/>
      <w:r/>
      <w:bookmarkEnd w:id="18"/>
      <w:r/>
      <w:bookmarkEnd w:id="19"/>
      <w:r>
        <w:rPr>
          <w:b/>
          <w:bCs/>
          <w:sz w:val="32"/>
          <w:szCs w:val="32"/>
        </w:rPr>
      </w:r>
      <w:r/>
    </w:p>
    <w:p>
      <w:pPr>
        <w:pStyle w:val="740"/>
        <w:ind w:firstLine="480"/>
        <w:rPr>
          <w:rFonts w:hint="eastAsia" w:ascii="宋体" w:hAnsi="宋体"/>
          <w:sz w:val="24"/>
          <w:szCs w:val="24"/>
        </w:rPr>
      </w:pPr>
      <w:r/>
      <w:bookmarkStart w:id="20" w:name="_Toc38985265"/>
      <w:r/>
      <w:bookmarkStart w:id="21" w:name="_Toc28359081"/>
      <w:r/>
      <w:bookmarkStart w:id="22" w:name="_Toc35393623"/>
      <w:r/>
      <w:bookmarkStart w:id="23" w:name="_Toc35393792"/>
      <w:r/>
      <w:bookmarkStart w:id="24"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0"/>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pStyle w:val="740"/>
        <w:ind w:firstLine="480"/>
        <w:rPr>
          <w:rFonts w:hint="eastAsia"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p>
    <w:p>
      <w:pPr>
        <w:pStyle w:val="740"/>
        <w:ind w:firstLine="480"/>
        <w:rPr>
          <w:rFonts w:hint="eastAsia"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024</w:t>
      </w:r>
      <w:r>
        <w:rPr>
          <w:rFonts w:hint="eastAsia" w:ascii="宋体" w:hAnsi="宋体"/>
          <w:sz w:val="24"/>
          <w:szCs w:val="24"/>
        </w:rPr>
        <w:t xml:space="preserve">年度经审计的财务报告或投标截止前六个月内银行金融机构出具的资信证明；</w:t>
      </w:r>
      <w:r/>
    </w:p>
    <w:p>
      <w:pPr>
        <w:pStyle w:val="740"/>
        <w:ind w:firstLine="480"/>
        <w:rPr>
          <w:rFonts w:hint="eastAsia" w:ascii="宋体" w:hAnsi="宋体"/>
          <w:sz w:val="24"/>
          <w:szCs w:val="24"/>
        </w:rPr>
      </w:pPr>
      <w:r>
        <w:rPr>
          <w:rFonts w:hint="eastAsia" w:ascii="宋体" w:hAnsi="宋体"/>
          <w:sz w:val="24"/>
          <w:szCs w:val="24"/>
        </w:rPr>
        <w:t xml:space="preserve">1.3.有依法</w:t>
      </w:r>
      <w:r>
        <w:rPr>
          <w:rFonts w:hint="eastAsia" w:ascii="宋体" w:hAnsi="宋体"/>
          <w:sz w:val="24"/>
          <w:szCs w:val="24"/>
        </w:rPr>
        <w:t xml:space="preserve">缴纳税收和社会保障资金的良好记录。提供参加本次政府采购活动前依法缴纳税收和社会保障资金的相关材料；</w:t>
      </w:r>
      <w:r/>
    </w:p>
    <w:p>
      <w:pPr>
        <w:pStyle w:val="740"/>
        <w:ind w:firstLine="480"/>
        <w:rPr>
          <w:rFonts w:hint="eastAsia" w:ascii="宋体" w:hAnsi="宋体"/>
          <w:sz w:val="24"/>
          <w:szCs w:val="24"/>
        </w:rPr>
      </w:pPr>
      <w:r>
        <w:rPr>
          <w:rFonts w:hint="eastAsia" w:ascii="宋体" w:hAnsi="宋体"/>
          <w:sz w:val="24"/>
          <w:szCs w:val="24"/>
        </w:rPr>
        <w:t xml:space="preserve">1.4.提供具有履行合同所必需的设备和专业技术能力的书面声明；</w:t>
      </w:r>
      <w:r/>
    </w:p>
    <w:p>
      <w:pPr>
        <w:pStyle w:val="740"/>
        <w:ind w:firstLine="480"/>
        <w:rPr>
          <w:rFonts w:hint="eastAsia" w:ascii="华文新魏" w:hAnsi="宋体" w:eastAsia="华文新魏"/>
          <w:sz w:val="36"/>
          <w:szCs w:val="36"/>
        </w:rPr>
      </w:pPr>
      <w:r>
        <w:rPr>
          <w:rFonts w:hint="eastAsia" w:ascii="宋体" w:hAnsi="宋体"/>
          <w:sz w:val="24"/>
          <w:szCs w:val="24"/>
        </w:rPr>
        <w:t xml:space="preserve">1.5.提供参加政府采购活动前三年内在经营活动中没有重大违法记录的书面声明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40"/>
        <w:ind w:firstLine="480"/>
        <w:rPr>
          <w:rFonts w:ascii="宋体" w:hAnsi="宋体" w:cs="宋体"/>
          <w:sz w:val="24"/>
          <w:szCs w:val="24"/>
        </w:rPr>
      </w:pPr>
      <w:r>
        <w:rPr>
          <w:rFonts w:hint="eastAsia" w:ascii="宋体" w:hAnsi="宋体"/>
          <w:sz w:val="24"/>
          <w:szCs w:val="24"/>
        </w:rPr>
        <w:t xml:space="preserve">3.</w:t>
      </w:r>
      <w:r>
        <w:rPr>
          <w:rFonts w:hint="eastAsia"/>
        </w:rPr>
        <w:t xml:space="preserve"> </w:t>
      </w:r>
      <w:r>
        <w:rPr>
          <w:rFonts w:hint="eastAsia" w:ascii="宋体" w:hAnsi="宋体" w:cs="宋体"/>
          <w:sz w:val="24"/>
          <w:szCs w:val="24"/>
        </w:rPr>
        <w:t xml:space="preserve">落实政府采购政策需满足的</w:t>
      </w:r>
      <w:r>
        <w:rPr>
          <w:rFonts w:hint="eastAsia" w:ascii="宋体" w:hAnsi="宋体" w:cs="宋体"/>
          <w:sz w:val="24"/>
          <w:szCs w:val="24"/>
        </w:rPr>
        <w:t xml:space="preserve">资格要求：无</w:t>
      </w:r>
      <w:r>
        <w:rPr>
          <w:rFonts w:ascii="宋体" w:hAnsi="宋体" w:cs="宋体"/>
          <w:sz w:val="24"/>
          <w:szCs w:val="24"/>
        </w:rPr>
      </w:r>
      <w:r/>
    </w:p>
    <w:p>
      <w:pPr>
        <w:pStyle w:val="74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联合体投标（接受/不接受）。</w:t>
      </w:r>
      <w:r>
        <w:rPr>
          <w:rFonts w:ascii="宋体" w:hAnsi="宋体" w:cs="宋体"/>
          <w:sz w:val="24"/>
          <w:szCs w:val="24"/>
        </w:rPr>
      </w:r>
      <w:r/>
    </w:p>
    <w:p>
      <w:pPr>
        <w:pStyle w:val="74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0"/>
        <w:ind w:firstLine="480"/>
        <w:spacing w:line="360" w:lineRule="auto"/>
        <w:rPr>
          <w:rFonts w:hAnsi="宋体" w:eastAsia="宋体"/>
          <w:sz w:val="24"/>
          <w:szCs w:val="24"/>
        </w:rPr>
      </w:pPr>
      <w:r>
        <w:rPr>
          <w:rFonts w:hint="eastAsia" w:hAnsi="宋体" w:eastAsia="宋体"/>
          <w:sz w:val="24"/>
          <w:szCs w:val="24"/>
        </w:rPr>
        <w:t xml:space="preserve">无</w:t>
      </w:r>
      <w:r>
        <w:rPr>
          <w:rFonts w:hAnsi="宋体" w:eastAsia="宋体"/>
          <w:sz w:val="24"/>
          <w:szCs w:val="24"/>
        </w:rPr>
      </w:r>
      <w:r/>
    </w:p>
    <w:p>
      <w:pPr>
        <w:pStyle w:val="740"/>
        <w:ind w:firstLine="498"/>
        <w:keepLines/>
        <w:keepNext/>
        <w:spacing w:before="145" w:after="145" w:line="360" w:lineRule="auto"/>
        <w:rPr>
          <w:b/>
          <w:bCs/>
          <w:sz w:val="32"/>
          <w:szCs w:val="32"/>
        </w:rPr>
        <w:outlineLvl w:val="2"/>
      </w:pPr>
      <w:r/>
      <w:bookmarkStart w:id="25" w:name="_Toc190700433"/>
      <w:r>
        <w:rPr>
          <w:rFonts w:hint="eastAsia"/>
          <w:b/>
          <w:bCs/>
          <w:sz w:val="32"/>
          <w:szCs w:val="32"/>
        </w:rPr>
        <w:t xml:space="preserve">三、获取招标文件</w:t>
      </w:r>
      <w:bookmarkEnd w:id="20"/>
      <w:r/>
      <w:bookmarkEnd w:id="21"/>
      <w:r/>
      <w:bookmarkEnd w:id="22"/>
      <w:r/>
      <w:bookmarkEnd w:id="23"/>
      <w:r/>
      <w:bookmarkEnd w:id="24"/>
      <w:r/>
      <w:bookmarkEnd w:id="25"/>
      <w:r>
        <w:rPr>
          <w:b/>
          <w:bCs/>
          <w:sz w:val="32"/>
          <w:szCs w:val="32"/>
        </w:rPr>
      </w:r>
      <w:r/>
    </w:p>
    <w:p>
      <w:pPr>
        <w:pStyle w:val="740"/>
        <w:ind w:firstLine="540"/>
        <w:spacing w:line="360" w:lineRule="auto"/>
        <w:rPr>
          <w:rFonts w:ascii="宋体" w:hAnsi="宋体" w:cs="宋体"/>
          <w:sz w:val="24"/>
          <w:szCs w:val="24"/>
        </w:rPr>
      </w:pPr>
      <w:r/>
      <w:bookmarkStart w:id="26" w:name="_Toc28359005"/>
      <w:r/>
      <w:bookmarkStart w:id="27" w:name="_Toc28359082"/>
      <w:r/>
      <w:bookmarkStart w:id="28" w:name="_Toc35393793"/>
      <w:r/>
      <w:bookmarkStart w:id="29" w:name="_Toc38985266"/>
      <w:r/>
      <w:bookmarkStart w:id="30"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74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740"/>
        <w:ind w:firstLine="498"/>
        <w:keepLines/>
        <w:keepNext/>
        <w:spacing w:before="145" w:after="145" w:line="360" w:lineRule="auto"/>
        <w:rPr>
          <w:b/>
          <w:bCs/>
          <w:sz w:val="32"/>
          <w:szCs w:val="32"/>
        </w:rPr>
        <w:outlineLvl w:val="2"/>
      </w:pPr>
      <w:r/>
      <w:bookmarkStart w:id="31" w:name="_Toc190700434"/>
      <w:r>
        <w:rPr>
          <w:rFonts w:hint="eastAsia"/>
          <w:b/>
          <w:bCs/>
          <w:sz w:val="32"/>
          <w:szCs w:val="32"/>
        </w:rPr>
        <w:t xml:space="preserve">四、提交投标文件</w:t>
      </w:r>
      <w:bookmarkEnd w:id="26"/>
      <w:r/>
      <w:bookmarkEnd w:id="27"/>
      <w:r>
        <w:rPr>
          <w:rFonts w:hint="eastAsia"/>
          <w:b/>
          <w:bCs/>
          <w:sz w:val="32"/>
          <w:szCs w:val="32"/>
        </w:rPr>
        <w:t xml:space="preserve">截止时间、开标时间和地点</w:t>
      </w:r>
      <w:bookmarkEnd w:id="28"/>
      <w:r/>
      <w:bookmarkEnd w:id="29"/>
      <w:r/>
      <w:bookmarkEnd w:id="30"/>
      <w:r/>
      <w:bookmarkEnd w:id="31"/>
      <w:r>
        <w:rPr>
          <w:b/>
          <w:bCs/>
          <w:sz w:val="32"/>
          <w:szCs w:val="32"/>
        </w:rPr>
      </w:r>
      <w:r/>
    </w:p>
    <w:p>
      <w:pPr>
        <w:pStyle w:val="740"/>
        <w:ind w:firstLine="480"/>
        <w:rPr>
          <w:rFonts w:ascii="宋体" w:hAnsi="宋体"/>
          <w:bCs/>
          <w:sz w:val="24"/>
          <w:szCs w:val="24"/>
          <w:u w:val="single"/>
        </w:rPr>
      </w:pPr>
      <w:r>
        <w:rPr>
          <w:rFonts w:hint="eastAsia" w:ascii="宋体" w:hAnsi="宋体"/>
          <w:bCs/>
          <w:sz w:val="24"/>
          <w:szCs w:val="24"/>
          <w:u w:val="single"/>
        </w:rPr>
        <w:t xml:space="preserve">1.</w:t>
      </w:r>
      <w:r>
        <w:rPr>
          <w:rFonts w:hint="eastAsia"/>
        </w:rPr>
        <w:t xml:space="preserve"> </w:t>
      </w:r>
      <w:r>
        <w:rPr>
          <w:rFonts w:hint="eastAsia" w:ascii="宋体" w:hAnsi="宋体"/>
          <w:bCs/>
          <w:sz w:val="24"/>
          <w:szCs w:val="24"/>
          <w:u w:val="single"/>
        </w:rPr>
        <w:t xml:space="preserve">2026年1月27日 13点30分</w:t>
      </w:r>
      <w:r>
        <w:rPr>
          <w:rFonts w:hint="eastAsia" w:ascii="宋体" w:hAnsi="宋体"/>
          <w:bCs/>
          <w:sz w:val="24"/>
          <w:szCs w:val="24"/>
        </w:rPr>
        <w:t xml:space="preserve">（北京时间）。</w:t>
      </w:r>
      <w:r>
        <w:rPr>
          <w:rFonts w:ascii="宋体" w:hAnsi="宋体"/>
          <w:bCs/>
          <w:sz w:val="24"/>
          <w:szCs w:val="24"/>
          <w:u w:val="single"/>
        </w:rPr>
      </w:r>
      <w:r/>
    </w:p>
    <w:p>
      <w:pPr>
        <w:pStyle w:val="740"/>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740"/>
        <w:ind w:firstLine="498"/>
        <w:keepLines/>
        <w:keepNext/>
        <w:spacing w:before="145" w:after="145" w:line="360" w:lineRule="auto"/>
        <w:rPr>
          <w:b/>
          <w:bCs/>
          <w:sz w:val="32"/>
          <w:szCs w:val="32"/>
        </w:rPr>
        <w:outlineLvl w:val="2"/>
      </w:pPr>
      <w:r/>
      <w:bookmarkStart w:id="32" w:name="_Toc35393625"/>
      <w:r/>
      <w:bookmarkStart w:id="33" w:name="_Toc35393794"/>
      <w:r/>
      <w:bookmarkStart w:id="34" w:name="_Toc190700435"/>
      <w:r/>
      <w:bookmarkStart w:id="35" w:name="_Toc28359084"/>
      <w:r/>
      <w:bookmarkStart w:id="36" w:name="_Toc28359007"/>
      <w:r/>
      <w:bookmarkStart w:id="37" w:name="_Toc38985267"/>
      <w:r>
        <w:rPr>
          <w:rFonts w:hint="eastAsia"/>
          <w:b/>
          <w:bCs/>
          <w:sz w:val="32"/>
          <w:szCs w:val="32"/>
        </w:rPr>
        <w:t xml:space="preserve">五、公告期限</w:t>
      </w:r>
      <w:bookmarkEnd w:id="32"/>
      <w:r/>
      <w:bookmarkEnd w:id="33"/>
      <w:r/>
      <w:bookmarkEnd w:id="34"/>
      <w:r/>
      <w:bookmarkEnd w:id="35"/>
      <w:r/>
      <w:bookmarkEnd w:id="36"/>
      <w:r/>
      <w:bookmarkEnd w:id="37"/>
      <w:r>
        <w:rPr>
          <w:b/>
          <w:bCs/>
          <w:sz w:val="32"/>
          <w:szCs w:val="32"/>
        </w:rPr>
      </w:r>
      <w:r/>
    </w:p>
    <w:p>
      <w:pPr>
        <w:pStyle w:val="740"/>
        <w:ind w:firstLine="480"/>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40"/>
        <w:ind w:firstLine="498"/>
        <w:keepLines/>
        <w:keepNext/>
        <w:spacing w:before="145" w:after="145" w:line="360" w:lineRule="auto"/>
        <w:rPr>
          <w:b/>
          <w:bCs/>
          <w:sz w:val="32"/>
          <w:szCs w:val="32"/>
        </w:rPr>
        <w:outlineLvl w:val="2"/>
      </w:pPr>
      <w:r/>
      <w:bookmarkStart w:id="41" w:name="_Toc190700436"/>
      <w:r>
        <w:rPr>
          <w:rFonts w:hint="eastAsia"/>
          <w:b/>
          <w:bCs/>
          <w:sz w:val="32"/>
          <w:szCs w:val="32"/>
        </w:rPr>
        <w:t xml:space="preserve">六、其他补充事宜</w:t>
      </w:r>
      <w:bookmarkEnd w:id="38"/>
      <w:r/>
      <w:bookmarkEnd w:id="39"/>
      <w:r/>
      <w:bookmarkEnd w:id="40"/>
      <w:r/>
      <w:bookmarkEnd w:id="41"/>
      <w:r>
        <w:rPr>
          <w:b/>
          <w:bCs/>
          <w:sz w:val="32"/>
          <w:szCs w:val="32"/>
        </w:rPr>
      </w:r>
      <w:r/>
    </w:p>
    <w:p>
      <w:pPr>
        <w:pStyle w:val="740"/>
        <w:ind w:firstLine="482"/>
        <w:spacing w:line="360" w:lineRule="auto"/>
        <w:rPr>
          <w:rFonts w:hint="eastAsia" w:ascii="宋体" w:hAnsi="宋体" w:cs="宋体"/>
          <w:sz w:val="24"/>
          <w:szCs w:val="24"/>
        </w:rPr>
      </w:pPr>
      <w:r/>
      <w:bookmarkStart w:id="42" w:name="_Toc35393627"/>
      <w:r/>
      <w:bookmarkStart w:id="43" w:name="_Toc28359008"/>
      <w:r/>
      <w:bookmarkStart w:id="44" w:name="_Toc38985269"/>
      <w:r/>
      <w:bookmarkStart w:id="45" w:name="_Toc190700441"/>
      <w:r/>
      <w:bookmarkStart w:id="46" w:name="_Toc28359085"/>
      <w:r/>
      <w:bookmarkStart w:id="47" w:name="_Toc35393796"/>
      <w:r>
        <w:rPr>
          <w:rFonts w:hint="eastAsia" w:ascii="宋体" w:hAnsi="宋体" w:cs="宋体"/>
          <w:sz w:val="24"/>
          <w:szCs w:val="24"/>
        </w:rPr>
        <w:t xml:space="preserve">1.CA证书办理供应商参与政府采购活动需办</w:t>
      </w:r>
      <w:r>
        <w:rPr>
          <w:rFonts w:hint="eastAsia" w:ascii="宋体" w:hAnsi="宋体" w:cs="宋体"/>
          <w:sz w:val="24"/>
          <w:szCs w:val="24"/>
        </w:rPr>
        <w:t xml:space="preserve">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740"/>
        <w:ind w:firstLine="482"/>
        <w:spacing w:line="360" w:lineRule="auto"/>
        <w:rPr>
          <w:rFonts w:hint="eastAsia" w:ascii="宋体" w:hAnsi="宋体" w:cs="宋体"/>
          <w:sz w:val="24"/>
          <w:szCs w:val="24"/>
        </w:rPr>
      </w:pPr>
      <w:r>
        <w:rPr>
          <w:rFonts w:hint="eastAsia" w:ascii="宋体" w:hAnsi="宋体" w:cs="宋体"/>
          <w:sz w:val="24"/>
          <w:szCs w:val="24"/>
        </w:rPr>
        <w:t xml:space="preserve">2.参与采购活动供应商插入CA证书登录“苏采云”系统后选择具</w:t>
      </w:r>
      <w:r>
        <w:rPr>
          <w:rFonts w:hint="eastAsia" w:ascii="宋体" w:hAnsi="宋体" w:cs="宋体"/>
          <w:sz w:val="24"/>
          <w:szCs w:val="24"/>
        </w:rPr>
        <w:t xml:space="preserve">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0"/>
        <w:ind w:firstLine="482"/>
        <w:spacing w:line="360" w:lineRule="auto"/>
        <w:rPr>
          <w:rFonts w:hint="eastAsia" w:ascii="宋体" w:hAnsi="宋体" w:cs="宋体"/>
          <w:sz w:val="24"/>
          <w:szCs w:val="24"/>
        </w:rPr>
      </w:pPr>
      <w:r>
        <w:rPr>
          <w:rFonts w:hint="eastAsia" w:ascii="宋体" w:hAnsi="宋体" w:cs="宋体"/>
          <w:sz w:val="24"/>
          <w:szCs w:val="24"/>
        </w:rPr>
        <w:t xml:space="preserve">3.电子投标准备供应商在“苏采云”系统中操作成功参与项目后，必须在“已</w:t>
      </w:r>
      <w:r>
        <w:rPr>
          <w:rFonts w:hint="eastAsia" w:ascii="宋体" w:hAnsi="宋体" w:cs="宋体"/>
          <w:sz w:val="24"/>
          <w:szCs w:val="24"/>
        </w:rPr>
        <w:t xml:space="preserve">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740"/>
        <w:ind w:firstLine="482"/>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p>
    <w:p>
      <w:pPr>
        <w:pStyle w:val="740"/>
        <w:ind w:firstLine="482"/>
        <w:spacing w:line="360" w:lineRule="auto"/>
        <w:rPr>
          <w:rFonts w:ascii="宋体" w:hAnsi="宋体" w:cs="宋体"/>
          <w:sz w:val="24"/>
          <w:szCs w:val="24"/>
        </w:rPr>
      </w:pPr>
      <w:r>
        <w:rPr>
          <w:rFonts w:hint="eastAsia" w:ascii="宋体" w:hAnsi="宋体" w:cs="宋体"/>
          <w:sz w:val="24"/>
          <w:szCs w:val="24"/>
        </w:rPr>
        <w:t xml:space="preserve">5.本次招标不收取投标保证金。</w:t>
      </w:r>
      <w:r>
        <w:rPr>
          <w:rFonts w:ascii="宋体" w:hAnsi="宋体" w:cs="宋体"/>
          <w:sz w:val="24"/>
          <w:szCs w:val="24"/>
        </w:rPr>
      </w:r>
      <w:r/>
    </w:p>
    <w:p>
      <w:pPr>
        <w:pStyle w:val="740"/>
        <w:ind w:firstLine="498"/>
        <w:keepLines/>
        <w:keepNext/>
        <w:spacing w:before="145" w:after="145" w:line="360" w:lineRule="auto"/>
        <w:rPr>
          <w:b/>
          <w:bCs/>
          <w:sz w:val="32"/>
          <w:szCs w:val="32"/>
        </w:rPr>
        <w:outlineLvl w:val="2"/>
      </w:pPr>
      <w:r>
        <w:rPr>
          <w:rFonts w:hint="eastAsia"/>
          <w:b/>
          <w:bCs/>
          <w:sz w:val="32"/>
          <w:szCs w:val="32"/>
        </w:rPr>
        <w:t xml:space="preserve">七、本次招标联系方式</w:t>
      </w:r>
      <w:bookmarkEnd w:id="42"/>
      <w:r/>
      <w:bookmarkEnd w:id="43"/>
      <w:r/>
      <w:bookmarkEnd w:id="44"/>
      <w:r/>
      <w:bookmarkEnd w:id="45"/>
      <w:r/>
      <w:bookmarkEnd w:id="46"/>
      <w:r/>
      <w:bookmarkEnd w:id="47"/>
      <w:r>
        <w:rPr>
          <w:b/>
          <w:bCs/>
          <w:sz w:val="32"/>
          <w:szCs w:val="32"/>
        </w:rPr>
      </w:r>
      <w:r/>
    </w:p>
    <w:p>
      <w:pPr>
        <w:pStyle w:val="740"/>
        <w:jc w:val="left"/>
        <w:widowControl/>
        <w:rPr>
          <w:rFonts w:ascii="宋体" w:hAnsi="宋体"/>
          <w:sz w:val="24"/>
          <w:szCs w:val="24"/>
        </w:rPr>
      </w:pPr>
      <w:r>
        <w:rPr>
          <w:rFonts w:hint="eastAsia" w:ascii="仿宋" w:hAnsi="仿宋" w:eastAsia="仿宋" w:cs="宋体"/>
          <w:sz w:val="28"/>
          <w:szCs w:val="28"/>
        </w:rPr>
        <w:t xml:space="preserve">　　</w:t>
      </w:r>
      <w:bookmarkStart w:id="48" w:name="_Toc28359087"/>
      <w:r/>
      <w:bookmarkStart w:id="49" w:name="_Toc28359010"/>
      <w:r>
        <w:rPr>
          <w:rFonts w:hint="eastAsia" w:ascii="宋体" w:hAnsi="宋体" w:cs="宋体"/>
          <w:sz w:val="24"/>
          <w:szCs w:val="24"/>
        </w:rPr>
        <w:t xml:space="preserve">1.采购人信息</w:t>
      </w:r>
      <w:r>
        <w:rPr>
          <w:rFonts w:ascii="宋体" w:hAnsi="宋体"/>
          <w:sz w:val="24"/>
          <w:szCs w:val="24"/>
        </w:rPr>
      </w:r>
      <w:r/>
    </w:p>
    <w:p>
      <w:pPr>
        <w:pStyle w:val="740"/>
        <w:ind w:firstLine="720"/>
        <w:jc w:val="left"/>
        <w:spacing w:line="360" w:lineRule="auto"/>
        <w:rPr>
          <w:rFonts w:hint="eastAsia" w:ascii="宋体" w:hAnsi="宋体"/>
          <w:sz w:val="24"/>
          <w:szCs w:val="24"/>
        </w:rPr>
      </w:pPr>
      <w:r/>
      <w:bookmarkStart w:id="50" w:name="_Toc28359086"/>
      <w:r/>
      <w:bookmarkStart w:id="51" w:name="_Toc28359009"/>
      <w:r>
        <w:rPr>
          <w:rFonts w:hint="eastAsia" w:ascii="宋体" w:hAnsi="宋体"/>
          <w:sz w:val="24"/>
          <w:szCs w:val="24"/>
        </w:rPr>
        <w:t xml:space="preserve">名 称：苏州市第九人民医院</w:t>
      </w:r>
      <w:r/>
    </w:p>
    <w:p>
      <w:pPr>
        <w:pStyle w:val="740"/>
        <w:ind w:firstLine="720"/>
        <w:jc w:val="left"/>
        <w:spacing w:line="360" w:lineRule="auto"/>
        <w:rPr>
          <w:rFonts w:hint="eastAsia" w:ascii="宋体" w:hAnsi="宋体" w:cs="宋体"/>
          <w:bCs/>
          <w:szCs w:val="21"/>
        </w:rPr>
      </w:pPr>
      <w:r>
        <w:rPr>
          <w:rFonts w:hint="eastAsia" w:ascii="宋体" w:hAnsi="宋体"/>
          <w:sz w:val="24"/>
          <w:szCs w:val="24"/>
        </w:rPr>
        <w:t xml:space="preserve">地址：</w:t>
      </w:r>
      <w:r>
        <w:rPr>
          <w:rFonts w:hint="eastAsia" w:ascii="宋体" w:hAnsi="宋体"/>
          <w:sz w:val="24"/>
          <w:szCs w:val="24"/>
          <w:lang w:bidi="ar"/>
        </w:rPr>
        <w:t xml:space="preserve">江苏省苏州市吴江区太湖新城芦荡路2666号</w:t>
      </w:r>
      <w:r>
        <w:rPr>
          <w:rFonts w:hint="eastAsia" w:ascii="宋体" w:hAnsi="宋体" w:cs="宋体"/>
          <w:bCs/>
          <w:szCs w:val="21"/>
        </w:rPr>
      </w:r>
      <w:r/>
    </w:p>
    <w:p>
      <w:pPr>
        <w:pStyle w:val="740"/>
        <w:ind w:firstLine="720"/>
        <w:jc w:val="left"/>
        <w:spacing w:line="360" w:lineRule="auto"/>
        <w:rPr>
          <w:rFonts w:ascii="宋体" w:hAnsi="宋体"/>
          <w:sz w:val="24"/>
          <w:szCs w:val="24"/>
        </w:rPr>
      </w:pPr>
      <w:r>
        <w:rPr>
          <w:rFonts w:hint="eastAsia" w:ascii="宋体" w:hAnsi="宋体"/>
          <w:sz w:val="24"/>
          <w:szCs w:val="24"/>
        </w:rPr>
        <w:t xml:space="preserve">联系人：钮晓丽</w:t>
      </w:r>
      <w:r>
        <w:rPr>
          <w:rFonts w:ascii="宋体" w:hAnsi="宋体"/>
          <w:sz w:val="24"/>
          <w:szCs w:val="24"/>
        </w:rPr>
      </w:r>
      <w:r/>
    </w:p>
    <w:p>
      <w:pPr>
        <w:pStyle w:val="740"/>
        <w:ind w:firstLine="720"/>
        <w:jc w:val="left"/>
        <w:spacing w:line="360" w:lineRule="auto"/>
        <w:rPr>
          <w:rFonts w:ascii="宋体" w:hAnsi="宋体"/>
          <w:sz w:val="24"/>
          <w:szCs w:val="24"/>
        </w:rPr>
      </w:pPr>
      <w:r>
        <w:rPr>
          <w:rFonts w:hint="eastAsia" w:ascii="宋体" w:hAnsi="宋体"/>
          <w:sz w:val="24"/>
          <w:szCs w:val="24"/>
        </w:rPr>
        <w:t xml:space="preserve">联系</w:t>
      </w:r>
      <w:r>
        <w:rPr>
          <w:rFonts w:hint="eastAsia" w:ascii="宋体" w:hAnsi="宋体"/>
          <w:sz w:val="24"/>
          <w:szCs w:val="24"/>
        </w:rPr>
        <w:t xml:space="preserve">方式：0512-82881151</w:t>
      </w:r>
      <w:r>
        <w:rPr>
          <w:rFonts w:ascii="宋体" w:hAnsi="宋体"/>
          <w:sz w:val="24"/>
          <w:szCs w:val="24"/>
        </w:rPr>
      </w:r>
      <w:r/>
    </w:p>
    <w:p>
      <w:pPr>
        <w:pStyle w:val="740"/>
        <w:ind w:left="1042" w:hanging="263"/>
        <w:jc w:val="left"/>
        <w:spacing w:line="360" w:lineRule="auto"/>
        <w:rPr>
          <w:rFonts w:hint="eastAsia" w:ascii="宋体" w:hAnsi="宋体" w:cs="宋体"/>
          <w:bCs/>
          <w:szCs w:val="21"/>
        </w:rPr>
      </w:pPr>
      <w:r>
        <w:rPr>
          <w:rFonts w:hint="eastAsia" w:ascii="宋体" w:hAnsi="宋体" w:cs="宋体"/>
          <w:bCs/>
          <w:szCs w:val="21"/>
        </w:rPr>
      </w:r>
      <w:r/>
    </w:p>
    <w:p>
      <w:pPr>
        <w:pStyle w:val="740"/>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pStyle w:val="740"/>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单位名称：苏州市公共资源交易中心吴江分中心</w:t>
      </w:r>
      <w:r/>
    </w:p>
    <w:p>
      <w:pPr>
        <w:pStyle w:val="740"/>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单位地址：苏州市吴江区开平路998号</w:t>
      </w:r>
      <w:r/>
    </w:p>
    <w:p>
      <w:pPr>
        <w:pStyle w:val="740"/>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联系人：沈宇明</w:t>
      </w:r>
      <w:r/>
    </w:p>
    <w:p>
      <w:pPr>
        <w:pStyle w:val="740"/>
        <w:ind w:firstLine="720"/>
        <w:spacing w:line="360" w:lineRule="auto"/>
        <w:rPr>
          <w:rFonts w:ascii="宋体" w:hAnsi="宋体"/>
          <w:sz w:val="24"/>
          <w:szCs w:val="24"/>
        </w:rPr>
      </w:pPr>
      <w:r>
        <w:rPr>
          <w:rFonts w:hint="eastAsia" w:ascii="宋体" w:hAnsi="宋体" w:cs="宋体"/>
          <w:sz w:val="24"/>
          <w:szCs w:val="24"/>
        </w:rPr>
        <w:t xml:space="preserve">联系电话：0512-60905861</w:t>
      </w:r>
      <w:bookmarkEnd w:id="50"/>
      <w:r/>
      <w:bookmarkEnd w:id="51"/>
      <w:r>
        <w:rPr>
          <w:rFonts w:ascii="宋体" w:hAnsi="宋体"/>
          <w:sz w:val="24"/>
          <w:szCs w:val="24"/>
        </w:rPr>
      </w:r>
      <w:r/>
    </w:p>
    <w:p>
      <w:pPr>
        <w:pStyle w:val="740"/>
        <w:ind w:firstLine="480"/>
        <w:spacing w:line="560" w:lineRule="exact"/>
        <w:rPr>
          <w:rFonts w:hint="eastAsia" w:ascii="宋体" w:hAnsi="宋体"/>
          <w:sz w:val="24"/>
          <w:szCs w:val="21"/>
        </w:rPr>
      </w:pPr>
      <w:r/>
      <w:bookmarkEnd w:id="48"/>
      <w:r/>
      <w:bookmarkEnd w:id="49"/>
      <w:r>
        <w:rPr>
          <w:rFonts w:hint="eastAsia" w:ascii="宋体" w:hAnsi="宋体"/>
          <w:sz w:val="24"/>
          <w:szCs w:val="21"/>
        </w:rPr>
      </w:r>
      <w:r/>
    </w:p>
    <w:p>
      <w:pPr>
        <w:pStyle w:val="74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40"/>
        <w:ind w:firstLine="2429"/>
        <w:keepLines/>
        <w:keepNext/>
        <w:spacing w:before="260" w:after="260" w:line="416" w:lineRule="auto"/>
        <w:rPr>
          <w:rFonts w:hint="eastAsia" w:ascii="黑体" w:hAnsi="Arial" w:eastAsia="黑体" w:cs="Arial"/>
          <w:sz w:val="44"/>
          <w:szCs w:val="44"/>
        </w:rPr>
        <w:outlineLvl w:val="1"/>
      </w:pPr>
      <w:r/>
      <w:bookmarkStart w:id="52" w:name="_Toc120614211"/>
      <w:r/>
      <w:bookmarkStart w:id="53" w:name="_Toc190700442"/>
      <w:r>
        <w:rPr>
          <w:rFonts w:hint="eastAsia" w:ascii="黑体" w:hAnsi="Arial" w:eastAsia="黑体" w:cs="Arial"/>
          <w:b/>
          <w:bCs/>
          <w:sz w:val="44"/>
          <w:szCs w:val="44"/>
        </w:rPr>
        <w:t xml:space="preserve">第二章  </w:t>
      </w:r>
      <w:bookmarkEnd w:id="1"/>
      <w:r/>
      <w:bookmarkEnd w:id="2"/>
      <w:r/>
      <w:bookmarkEnd w:id="3"/>
      <w:r/>
      <w:bookmarkEnd w:id="4"/>
      <w:r/>
      <w:bookmarkEnd w:id="5"/>
      <w:r/>
      <w:bookmarkEnd w:id="52"/>
      <w:r/>
      <w:bookmarkStart w:id="54" w:name="_Toc20823274"/>
      <w:r/>
      <w:bookmarkStart w:id="55" w:name="_Toc513029202"/>
      <w:r/>
      <w:bookmarkStart w:id="56" w:name="_Toc16938518"/>
      <w:r/>
      <w:bookmarkStart w:id="57" w:name="_Toc120614213"/>
      <w:r>
        <w:rPr>
          <w:rFonts w:hint="eastAsia" w:ascii="黑体" w:hAnsi="Arial" w:eastAsia="黑体" w:cs="Arial"/>
          <w:b/>
          <w:bCs/>
          <w:sz w:val="44"/>
          <w:szCs w:val="44"/>
        </w:rPr>
        <w:t xml:space="preserve">投标人须知</w:t>
      </w:r>
      <w:bookmarkEnd w:id="53"/>
      <w:r/>
      <w:bookmarkEnd w:id="54"/>
      <w:r/>
      <w:bookmarkEnd w:id="55"/>
      <w:r/>
      <w:bookmarkEnd w:id="56"/>
      <w:r/>
      <w:bookmarkEnd w:id="57"/>
      <w:r>
        <w:rPr>
          <w:rFonts w:hint="eastAsia" w:ascii="黑体" w:hAnsi="Arial" w:eastAsia="黑体" w:cs="Arial"/>
          <w:sz w:val="44"/>
          <w:szCs w:val="44"/>
        </w:rPr>
      </w:r>
      <w:r/>
    </w:p>
    <w:p>
      <w:pPr>
        <w:pStyle w:val="740"/>
        <w:ind w:firstLine="498"/>
        <w:keepLines/>
        <w:keepNext/>
        <w:spacing w:before="145" w:after="145" w:line="360" w:lineRule="auto"/>
        <w:rPr>
          <w:rFonts w:hint="eastAsia"/>
          <w:b/>
          <w:bCs/>
          <w:sz w:val="32"/>
          <w:szCs w:val="32"/>
        </w:rPr>
        <w:outlineLvl w:val="2"/>
      </w:pPr>
      <w:r/>
      <w:bookmarkStart w:id="58" w:name="_Toc190700443"/>
      <w:r/>
      <w:bookmarkStart w:id="59" w:name="_Toc513029242"/>
      <w:r/>
      <w:bookmarkStart w:id="60" w:name="_Toc479757207"/>
      <w:r/>
      <w:bookmarkStart w:id="61" w:name="_Toc120614221"/>
      <w:r/>
      <w:bookmarkStart w:id="62" w:name="_Toc16938558"/>
      <w:r/>
      <w:bookmarkStart w:id="63" w:name="_Toc20823314"/>
      <w:r>
        <w:rPr>
          <w:rFonts w:hint="eastAsia"/>
          <w:b/>
          <w:bCs/>
          <w:sz w:val="32"/>
          <w:szCs w:val="32"/>
        </w:rPr>
        <w:t xml:space="preserve">一、总则</w:t>
      </w:r>
      <w:bookmarkEnd w:id="58"/>
      <w:r>
        <w:rPr>
          <w:rFonts w:hint="eastAsia"/>
          <w:b/>
          <w:bCs/>
          <w:sz w:val="32"/>
          <w:szCs w:val="32"/>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1、招标方式</w:t>
      </w:r>
      <w:r/>
    </w:p>
    <w:p>
      <w:pPr>
        <w:pStyle w:val="740"/>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2、合格的投标人</w:t>
      </w:r>
      <w:r/>
    </w:p>
    <w:p>
      <w:pPr>
        <w:pStyle w:val="74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40"/>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740"/>
        <w:ind w:firstLine="480"/>
        <w:spacing w:line="40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r/>
    </w:p>
    <w:p>
      <w:pPr>
        <w:pStyle w:val="740"/>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4、投标费用</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投标人应自行承担所有与参加投标有关的费用，无论投标过程中的做法和结果如何，苏州市公共资源交易中心吴江分中心（以下简称交易中心）在任何情况下均无义务和责任承担这些费用。</w:t>
      </w:r>
      <w:r/>
    </w:p>
    <w:p>
      <w:pPr>
        <w:pStyle w:val="740"/>
        <w:ind w:firstLine="480"/>
        <w:spacing w:line="500" w:lineRule="exact"/>
        <w:rPr>
          <w:rFonts w:hint="eastAsia" w:ascii="宋体" w:hAnsi="宋体"/>
          <w:sz w:val="24"/>
          <w:szCs w:val="21"/>
        </w:rPr>
      </w:pPr>
      <w:r>
        <w:rPr>
          <w:rFonts w:hint="eastAsia" w:ascii="宋体" w:hAnsi="宋体"/>
          <w:sz w:val="24"/>
          <w:szCs w:val="21"/>
        </w:rPr>
        <w:t xml:space="preserve">4.2本次招标交易中心和采购人不收取标书工本费与中标服务费。</w:t>
      </w:r>
      <w:r/>
    </w:p>
    <w:p>
      <w:pPr>
        <w:pStyle w:val="740"/>
        <w:ind w:firstLine="602"/>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74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40"/>
        <w:ind w:firstLine="321"/>
        <w:keepLines/>
        <w:keepNext/>
        <w:spacing w:before="145" w:after="145" w:line="360" w:lineRule="auto"/>
        <w:rPr>
          <w:rFonts w:hint="eastAsia"/>
          <w:b/>
          <w:bCs/>
          <w:sz w:val="32"/>
          <w:szCs w:val="32"/>
        </w:rPr>
        <w:outlineLvl w:val="2"/>
      </w:pPr>
      <w:r/>
      <w:bookmarkStart w:id="64" w:name="_Toc190700444"/>
      <w:r>
        <w:rPr>
          <w:rFonts w:hint="eastAsia"/>
          <w:b/>
          <w:bCs/>
          <w:sz w:val="32"/>
          <w:szCs w:val="32"/>
        </w:rPr>
        <w:t xml:space="preserve">二、招标文件</w:t>
      </w:r>
      <w:bookmarkEnd w:id="64"/>
      <w:r>
        <w:rPr>
          <w:rFonts w:hint="eastAsia"/>
          <w:b/>
          <w:bCs/>
          <w:sz w:val="32"/>
          <w:szCs w:val="32"/>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6、招标文件构成</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w:t>
      </w:r>
      <w:r>
        <w:rPr>
          <w:rFonts w:hint="eastAsia" w:ascii="宋体" w:hAnsi="宋体"/>
          <w:sz w:val="24"/>
          <w:szCs w:val="21"/>
        </w:rPr>
        <w:t xml:space="preserve">下部分组成：</w:t>
      </w:r>
      <w:r/>
    </w:p>
    <w:p>
      <w:pPr>
        <w:pStyle w:val="74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4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4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40"/>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4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4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40"/>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请仔细检查招标文件是否齐全，如有缺漏请立即与交易中心联系解决。</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560"/>
        <w:keepLines/>
        <w:keepNext/>
        <w:rPr>
          <w:rFonts w:hint="eastAsia" w:ascii="Arial" w:hAnsi="Arial" w:eastAsia="黑体" w:cs="Arial"/>
          <w:sz w:val="28"/>
          <w:szCs w:val="28"/>
        </w:rPr>
        <w:outlineLvl w:val="3"/>
      </w:pPr>
      <w:r>
        <w:rPr>
          <w:rFonts w:hint="eastAsia" w:ascii="Arial" w:hAnsi="Arial" w:eastAsia="黑体" w:cs="Arial"/>
          <w:sz w:val="28"/>
          <w:szCs w:val="28"/>
        </w:rPr>
        <w:t xml:space="preserve">7、招标文件的澄清</w:t>
      </w:r>
      <w:r/>
    </w:p>
    <w:p>
      <w:pPr>
        <w:pStyle w:val="740"/>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szCs w:val="21"/>
        </w:rPr>
        <w:t xml:space="preserve">按招标公告中的通讯地址，以书面形式通知交易中心。</w:t>
      </w:r>
      <w:r>
        <w:rPr>
          <w:rFonts w:hint="eastAsia" w:ascii="宋体" w:hAnsi="宋体"/>
          <w:sz w:val="24"/>
          <w:szCs w:val="24"/>
        </w:rPr>
      </w:r>
      <w:r/>
    </w:p>
    <w:p>
      <w:pPr>
        <w:pStyle w:val="740"/>
        <w:ind w:firstLine="560"/>
        <w:keepLines/>
        <w:keepNex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，交易中心可以对招标文件进行修改。</w:t>
      </w:r>
      <w:r/>
    </w:p>
    <w:p>
      <w:pPr>
        <w:pStyle w:val="740"/>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交易中心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740"/>
        <w:ind w:firstLine="482"/>
        <w:keepLines/>
        <w:keepNext/>
        <w:spacing w:before="145" w:after="145" w:line="360" w:lineRule="auto"/>
        <w:rPr>
          <w:rFonts w:hint="eastAsia"/>
          <w:b/>
          <w:bCs/>
          <w:sz w:val="32"/>
          <w:szCs w:val="32"/>
        </w:rPr>
        <w:outlineLvl w:val="2"/>
      </w:pPr>
      <w:r/>
      <w:bookmarkStart w:id="65" w:name="_Toc190700445"/>
      <w:r>
        <w:rPr>
          <w:rFonts w:hint="eastAsia"/>
          <w:b/>
          <w:bCs/>
          <w:sz w:val="32"/>
          <w:szCs w:val="32"/>
        </w:rPr>
        <w:t xml:space="preserve">三、投标文件的编制</w:t>
      </w:r>
      <w:bookmarkEnd w:id="65"/>
      <w:r>
        <w:rPr>
          <w:rFonts w:hint="eastAsia"/>
          <w:b/>
          <w:bCs/>
          <w:sz w:val="32"/>
          <w:szCs w:val="32"/>
        </w:rPr>
      </w:r>
      <w:r/>
    </w:p>
    <w:p>
      <w:pPr>
        <w:pStyle w:val="740"/>
        <w:ind w:firstLine="560"/>
        <w:keepLines/>
        <w:keepNext/>
        <w:rPr>
          <w:rFonts w:hint="eastAsia" w:ascii="Arial" w:hAnsi="Arial" w:eastAsia="黑体" w:cs="Arial"/>
          <w:b/>
          <w:sz w:val="28"/>
          <w:szCs w:val="28"/>
        </w:rPr>
        <w:outlineLvl w:val="3"/>
      </w:pPr>
      <w:r>
        <w:rPr>
          <w:rFonts w:hint="eastAsia" w:ascii="Arial" w:hAnsi="Arial" w:eastAsia="黑体" w:cs="Arial"/>
          <w:sz w:val="28"/>
          <w:szCs w:val="28"/>
        </w:rPr>
        <w:t xml:space="preserve">9、投标文件的语言及度量衡单位</w:t>
      </w:r>
      <w:r>
        <w:rPr>
          <w:rFonts w:hint="eastAsia" w:ascii="Arial" w:hAnsi="Arial" w:eastAsia="黑体" w:cs="Arial"/>
          <w:b/>
          <w:sz w:val="28"/>
          <w:szCs w:val="28"/>
        </w:rPr>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投标人提交的投标文件以及投标人与交易中心就有关投标的所有来往通知、函件和文件均应使用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r/>
    </w:p>
    <w:p>
      <w:pPr>
        <w:pStyle w:val="740"/>
        <w:ind w:firstLine="480"/>
        <w:spacing w:line="44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pStyle w:val="740"/>
        <w:ind w:firstLine="480"/>
        <w:spacing w:line="44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如标书制作工具中格式和内容与“江苏政府采购网”发布的招标文件不一致，请以“江苏政府采购网”发布的招标文件为准。</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11、证明投标人及投标标的符合招标文件规定的文件</w:t>
      </w:r>
      <w:r/>
    </w:p>
    <w:p>
      <w:pPr>
        <w:pStyle w:val="740"/>
        <w:spacing w:line="480" w:lineRule="exact"/>
        <w:rPr>
          <w:rFonts w:hint="eastAsia"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4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w:t>
      </w:r>
      <w:r>
        <w:rPr>
          <w:rFonts w:hint="eastAsia" w:ascii="宋体" w:hAnsi="宋体"/>
          <w:sz w:val="24"/>
          <w:szCs w:val="24"/>
        </w:rPr>
        <w:t xml:space="preserve">料、图纸和数据等形式提交。</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12、投标分项报价</w:t>
      </w:r>
      <w:bookmarkStart w:id="66" w:name="_Hlt26670373"/>
      <w:r/>
      <w:bookmarkEnd w:id="66"/>
      <w:r>
        <w:rPr>
          <w:rFonts w:hint="eastAsia" w:ascii="Arial" w:hAnsi="Arial" w:eastAsia="黑体" w:cs="Arial"/>
          <w:sz w:val="28"/>
          <w:szCs w:val="28"/>
        </w:rPr>
        <w:t xml:space="preserve">表</w:t>
      </w:r>
      <w:r/>
    </w:p>
    <w:p>
      <w:pPr>
        <w:pStyle w:val="740"/>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w:t>
      </w:r>
      <w:bookmarkStart w:id="67" w:name="_Hlt26954840"/>
      <w:r/>
      <w:bookmarkEnd w:id="67"/>
      <w:r>
        <w:rPr>
          <w:rFonts w:hint="eastAsia" w:ascii="宋体" w:hAnsi="宋体"/>
          <w:sz w:val="24"/>
          <w:szCs w:val="21"/>
        </w:rPr>
        <w:t xml:space="preserve">标人应按照招标文件规定格式填报投标分项报价表</w:t>
      </w:r>
      <w:bookmarkStart w:id="68" w:name="_Hlt26670399"/>
      <w:r/>
      <w:bookmarkEnd w:id="68"/>
      <w:r>
        <w:rPr>
          <w:rFonts w:hint="eastAsia" w:ascii="宋体" w:hAnsi="宋体"/>
          <w:sz w:val="24"/>
          <w:szCs w:val="21"/>
        </w:rPr>
        <w:t xml:space="preserve">。</w:t>
      </w:r>
      <w:r>
        <w:rPr>
          <w:rFonts w:hint="eastAsia" w:ascii="宋体" w:hAnsi="宋体"/>
          <w:bCs/>
          <w:sz w:val="24"/>
          <w:szCs w:val="21"/>
        </w:rPr>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40"/>
        <w:ind w:firstLine="420"/>
        <w:keepLines/>
        <w:keepNext/>
        <w:rPr>
          <w:rFonts w:hint="eastAsia" w:ascii="Arial" w:hAnsi="Arial" w:eastAsia="黑体" w:cs="Arial"/>
          <w:sz w:val="28"/>
          <w:szCs w:val="28"/>
        </w:rPr>
        <w:outlineLvl w:val="3"/>
      </w:pPr>
      <w:r/>
      <w:bookmarkStart w:id="69" w:name="_Hlt26954842"/>
      <w:r/>
      <w:bookmarkEnd w:id="69"/>
      <w:r/>
      <w:bookmarkStart w:id="70" w:name="_Hlt26668983"/>
      <w:r/>
      <w:bookmarkEnd w:id="70"/>
      <w:r/>
      <w:bookmarkStart w:id="71" w:name="_Hlt26670403"/>
      <w:r/>
      <w:bookmarkEnd w:id="71"/>
      <w:r/>
      <w:bookmarkStart w:id="72" w:name="_Hlt26670425"/>
      <w:r/>
      <w:bookmarkEnd w:id="72"/>
      <w:r/>
      <w:bookmarkStart w:id="73" w:name="_Hlt26954844"/>
      <w:r/>
      <w:bookmarkEnd w:id="73"/>
      <w:r>
        <w:rPr>
          <w:rFonts w:hint="eastAsia" w:ascii="Arial" w:hAnsi="Arial" w:eastAsia="黑体" w:cs="Arial"/>
          <w:sz w:val="28"/>
          <w:szCs w:val="28"/>
        </w:rPr>
        <w:t xml:space="preserve">13、技术要求响应及偏离表、商务要求响应及偏离表</w:t>
      </w:r>
      <w:r/>
    </w:p>
    <w:p>
      <w:pPr>
        <w:pStyle w:val="740"/>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ascii="宋体" w:hAnsi="Arial" w:cs="宋体"/>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740"/>
        <w:ind w:firstLine="480"/>
        <w:spacing w:line="500" w:lineRule="exact"/>
        <w:tabs>
          <w:tab w:val="left" w:pos="1035" w:leader="none"/>
        </w:tabs>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14、投标函和开标一览表</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 投标人应按照招标</w:t>
      </w:r>
      <w:r>
        <w:rPr>
          <w:rFonts w:hint="eastAsia" w:ascii="宋体" w:hAnsi="宋体"/>
          <w:sz w:val="24"/>
          <w:szCs w:val="21"/>
        </w:rPr>
        <w:t xml:space="preserve">文件中提供的格式完整、正确填写投标函、开标一览表。</w:t>
      </w:r>
      <w:r/>
    </w:p>
    <w:p>
      <w:pPr>
        <w:pStyle w:val="740"/>
        <w:ind w:firstLine="480"/>
        <w:spacing w:line="500" w:lineRule="exact"/>
        <w:rPr>
          <w:rFonts w:hint="eastAsia" w:ascii="宋体" w:hAnsi="宋体"/>
          <w:sz w:val="24"/>
          <w:szCs w:val="21"/>
        </w:rPr>
      </w:pPr>
      <w:r>
        <w:rPr>
          <w:rFonts w:hint="eastAsia" w:ascii="宋体" w:hAnsi="宋体"/>
          <w:bCs/>
          <w:sz w:val="24"/>
          <w:szCs w:val="21"/>
        </w:rPr>
        <w:t xml:space="preserve">14.2</w:t>
      </w:r>
      <w:r>
        <w:rPr>
          <w:rFonts w:hint="eastAsia" w:ascii="宋体" w:hAnsi="宋体"/>
          <w:sz w:val="24"/>
          <w:szCs w:val="21"/>
        </w:rPr>
        <w:t xml:space="preserve"> 对于采用货币报价的项目，</w:t>
      </w:r>
      <w:r>
        <w:rPr>
          <w:rFonts w:hint="eastAsia" w:ascii="宋体" w:hAnsi="宋体"/>
          <w:bCs/>
          <w:sz w:val="24"/>
          <w:szCs w:val="21"/>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szCs w:val="21"/>
        </w:rPr>
        <w:t xml:space="preserve">，但评标时按开标一览表中价格为准</w:t>
      </w:r>
      <w:r>
        <w:rPr>
          <w:rFonts w:hint="eastAsia" w:ascii="宋体" w:hAnsi="宋体"/>
          <w:b/>
          <w:bCs/>
          <w:sz w:val="24"/>
          <w:szCs w:val="21"/>
        </w:rPr>
        <w:t xml:space="preserve">。</w:t>
      </w:r>
      <w:r>
        <w:rPr>
          <w:rFonts w:hint="eastAsia" w:ascii="宋体" w:hAnsi="宋体"/>
          <w:sz w:val="24"/>
          <w:szCs w:val="21"/>
        </w:rPr>
      </w:r>
      <w:r/>
    </w:p>
    <w:p>
      <w:pPr>
        <w:pStyle w:val="740"/>
        <w:ind w:firstLine="420"/>
        <w:keepLines/>
        <w:keepNext/>
        <w:rPr>
          <w:rFonts w:hint="eastAsia" w:ascii="Arial" w:hAnsi="Arial" w:eastAsia="黑体" w:cs="Arial"/>
          <w:sz w:val="28"/>
          <w:szCs w:val="28"/>
        </w:rPr>
        <w:outlineLvl w:val="3"/>
      </w:pPr>
      <w:r/>
      <w:bookmarkStart w:id="74" w:name="_Hlt26954850"/>
      <w:r/>
      <w:bookmarkEnd w:id="74"/>
      <w:r/>
      <w:bookmarkStart w:id="75" w:name="_Hlt26954734"/>
      <w:r/>
      <w:bookmarkEnd w:id="75"/>
      <w:r/>
      <w:bookmarkStart w:id="76" w:name="_Hlt26670489"/>
      <w:r/>
      <w:bookmarkEnd w:id="76"/>
      <w:r>
        <w:rPr>
          <w:rFonts w:hint="eastAsia" w:ascii="Arial" w:hAnsi="Arial" w:eastAsia="黑体" w:cs="Arial"/>
          <w:sz w:val="28"/>
          <w:szCs w:val="28"/>
        </w:rPr>
        <w:t xml:space="preserve">15、投标有效期</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15.1</w:t>
      </w:r>
      <w:r>
        <w:rPr>
          <w:rFonts w:hint="eastAsia" w:ascii="宋体" w:hAnsi="宋体"/>
          <w:bCs/>
          <w:sz w:val="24"/>
          <w:szCs w:val="21"/>
        </w:rPr>
        <w:t xml:space="preserve"> 投标有效期为交易中心规定的开标之日后</w:t>
      </w:r>
      <w:r>
        <w:rPr>
          <w:rFonts w:hint="eastAsia" w:ascii="仿宋_GB2312" w:hAnsi="仿宋_GB2312"/>
          <w:b/>
          <w:sz w:val="24"/>
          <w:szCs w:val="21"/>
          <w:u w:val="single"/>
        </w:rPr>
        <w:t xml:space="preserve">九十（90）天</w:t>
      </w:r>
      <w:r>
        <w:rPr>
          <w:rFonts w:hint="eastAsia" w:ascii="宋体" w:hAnsi="宋体"/>
          <w:bCs/>
          <w:sz w:val="24"/>
          <w:szCs w:val="21"/>
        </w:rPr>
        <w:t xml:space="preserve">。投标有效期比规定短的将被视为未实质性响应招标</w:t>
      </w:r>
      <w:r>
        <w:rPr>
          <w:rFonts w:ascii="宋体" w:hAnsi="宋体"/>
          <w:bCs/>
          <w:sz w:val="24"/>
          <w:szCs w:val="21"/>
        </w:rPr>
        <w:t xml:space="preserve">文件</w:t>
      </w:r>
      <w:r>
        <w:rPr>
          <w:rFonts w:hint="eastAsia" w:ascii="宋体" w:hAnsi="宋体"/>
          <w:bCs/>
          <w:sz w:val="24"/>
          <w:szCs w:val="21"/>
        </w:rPr>
        <w:t xml:space="preserve">而予以拒绝。</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16、投标有效期的延长</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16.1</w:t>
      </w:r>
      <w:r>
        <w:rPr>
          <w:rFonts w:hint="eastAsia" w:ascii="宋体" w:hAnsi="宋体"/>
          <w:bCs/>
          <w:sz w:val="24"/>
          <w:szCs w:val="21"/>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szCs w:val="21"/>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1"/>
        </w:rPr>
        <w:t xml:space="preserve">。</w:t>
      </w:r>
      <w:r/>
    </w:p>
    <w:p>
      <w:pPr>
        <w:pStyle w:val="740"/>
        <w:ind w:firstLine="482"/>
        <w:keepLines/>
        <w:keepNext/>
        <w:spacing w:before="145" w:after="145" w:line="360" w:lineRule="auto"/>
        <w:rPr>
          <w:rFonts w:hint="eastAsia"/>
          <w:b/>
          <w:bCs/>
          <w:sz w:val="32"/>
          <w:szCs w:val="32"/>
        </w:rPr>
        <w:outlineLvl w:val="2"/>
      </w:pPr>
      <w:r/>
      <w:bookmarkStart w:id="77" w:name="_Toc190700446"/>
      <w:r>
        <w:rPr>
          <w:rFonts w:hint="eastAsia"/>
          <w:b/>
          <w:bCs/>
          <w:sz w:val="32"/>
          <w:szCs w:val="32"/>
        </w:rPr>
        <w:t xml:space="preserve">四、投标文件的递交</w:t>
      </w:r>
      <w:bookmarkEnd w:id="77"/>
      <w:r>
        <w:rPr>
          <w:rFonts w:hint="eastAsia"/>
          <w:b/>
          <w:bCs/>
          <w:sz w:val="32"/>
          <w:szCs w:val="32"/>
        </w:rPr>
      </w:r>
      <w:r/>
    </w:p>
    <w:p>
      <w:pPr>
        <w:pStyle w:val="740"/>
        <w:ind w:firstLine="560"/>
        <w:keepLines/>
        <w:keepNext/>
        <w:rPr>
          <w:rFonts w:hint="eastAsia" w:ascii="黑体" w:hAnsi="Arial" w:eastAsia="黑体" w:cs="Arial"/>
          <w:sz w:val="28"/>
          <w:szCs w:val="28"/>
        </w:rPr>
        <w:outlineLvl w:val="3"/>
      </w:pPr>
      <w:r>
        <w:rPr>
          <w:rFonts w:hint="eastAsia" w:ascii="Arial" w:hAnsi="Arial" w:eastAsia="黑体" w:cs="Arial"/>
          <w:sz w:val="28"/>
          <w:szCs w:val="28"/>
        </w:rPr>
        <w:t xml:space="preserve">17、</w:t>
      </w:r>
      <w:r>
        <w:rPr>
          <w:rFonts w:hint="eastAsia" w:ascii="黑体" w:hAnsi="Arial" w:eastAsia="黑体" w:cs="Arial"/>
          <w:sz w:val="28"/>
          <w:szCs w:val="28"/>
        </w:rPr>
        <w:t xml:space="preserve">投标文件的递交</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17.1</w:t>
      </w:r>
      <w:r>
        <w:rPr>
          <w:rFonts w:hint="eastAsia" w:ascii="宋体" w:hAnsi="宋体"/>
          <w:bCs/>
          <w:sz w:val="24"/>
          <w:szCs w:val="21"/>
        </w:rPr>
        <w:t xml:space="preserve"> 电子投标文件的递交</w:t>
      </w:r>
      <w:r/>
    </w:p>
    <w:p>
      <w:pPr>
        <w:pStyle w:val="740"/>
        <w:ind w:left="525"/>
        <w:rPr>
          <w:rFonts w:hint="eastAsia" w:ascii="宋体" w:hAnsi="宋体"/>
          <w:bCs/>
          <w:sz w:val="24"/>
          <w:szCs w:val="21"/>
        </w:rPr>
      </w:pPr>
      <w:r>
        <w:rPr>
          <w:rFonts w:hint="eastAsia" w:ascii="宋体" w:hAnsi="宋体"/>
          <w:bCs/>
          <w:sz w:val="24"/>
          <w:szCs w:val="21"/>
        </w:rPr>
        <w:t xml:space="preserve">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r/>
    </w:p>
    <w:p>
      <w:pPr>
        <w:pStyle w:val="740"/>
        <w:ind w:firstLine="420"/>
        <w:keepLines/>
        <w:keepNext/>
        <w:spacing w:before="280" w:after="290" w:line="376" w:lineRule="auto"/>
        <w:rPr>
          <w:rFonts w:hint="eastAsia" w:ascii="Arial" w:hAnsi="Arial" w:eastAsia="黑体" w:cs="Arial"/>
          <w:bCs/>
          <w:sz w:val="28"/>
          <w:szCs w:val="28"/>
        </w:rPr>
        <w:outlineLvl w:val="3"/>
      </w:pPr>
      <w:r>
        <w:rPr>
          <w:rFonts w:hint="eastAsia" w:ascii="Arial" w:hAnsi="Arial" w:eastAsia="黑体" w:cs="Arial"/>
          <w:bCs/>
          <w:sz w:val="28"/>
          <w:szCs w:val="28"/>
        </w:rPr>
        <w:t xml:space="preserve">18、投标截止时间</w:t>
      </w:r>
      <w:r/>
    </w:p>
    <w:p>
      <w:pPr>
        <w:pStyle w:val="740"/>
        <w:ind w:firstLine="480"/>
        <w:spacing w:line="500" w:lineRule="exact"/>
        <w:rPr>
          <w:rFonts w:hint="eastAsia" w:ascii="宋体" w:hAnsi="宋体"/>
          <w:bCs/>
          <w:iCs/>
          <w:sz w:val="24"/>
          <w:szCs w:val="21"/>
        </w:rPr>
      </w:pPr>
      <w:r>
        <w:rPr>
          <w:rFonts w:hint="eastAsia" w:ascii="宋体" w:hAnsi="宋体"/>
          <w:iCs/>
          <w:sz w:val="24"/>
          <w:szCs w:val="21"/>
        </w:rPr>
        <w:t xml:space="preserve">18.1</w:t>
      </w:r>
      <w:r>
        <w:rPr>
          <w:rFonts w:hint="eastAsia" w:ascii="宋体" w:hAnsi="宋体"/>
          <w:bCs/>
          <w:iCs/>
          <w:sz w:val="24"/>
          <w:szCs w:val="21"/>
        </w:rPr>
        <w:t xml:space="preserve"> ★投标人上传电子投标文件的时间不得迟于招标公告中规定的投标截止时间。</w:t>
      </w:r>
      <w:r/>
    </w:p>
    <w:p>
      <w:pPr>
        <w:pStyle w:val="740"/>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w:t>
      </w:r>
      <w:r>
        <w:rPr>
          <w:rFonts w:hint="eastAsia" w:ascii="宋体" w:hAnsi="宋体"/>
          <w:bCs/>
          <w:sz w:val="24"/>
          <w:szCs w:val="21"/>
        </w:rPr>
        <w:t xml:space="preserve">第26.1.2条 规定做无效投标处理。</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18.2</w:t>
      </w:r>
      <w:r>
        <w:rPr>
          <w:rFonts w:hint="eastAsia" w:ascii="宋体" w:hAnsi="宋体"/>
          <w:bCs/>
          <w:sz w:val="24"/>
          <w:szCs w:val="21"/>
        </w:rPr>
        <w:t xml:space="preserve"> 交易中心可以按照规定，通过修改招标文件酌情延长投标截止时间，在此情况下，投标人的所有权利和义务以及投标人受制的截止时间均应以延长后新的截止时间为准。</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19、投标文件的拒收</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19.1</w:t>
      </w:r>
      <w:r>
        <w:rPr>
          <w:rFonts w:hint="eastAsia" w:ascii="宋体" w:hAnsi="宋体"/>
          <w:bCs/>
          <w:sz w:val="24"/>
          <w:szCs w:val="21"/>
        </w:rPr>
        <w:t xml:space="preserve">交易中心拒绝接收在其规定的投标截止时间后上传的任何投标文件。</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20、投标文件的撤回和修改</w:t>
      </w:r>
      <w:r/>
    </w:p>
    <w:p>
      <w:pPr>
        <w:pStyle w:val="740"/>
        <w:ind w:firstLine="480"/>
        <w:spacing w:line="480" w:lineRule="exact"/>
        <w:rPr>
          <w:rFonts w:hint="eastAsia" w:ascii="宋体" w:hAnsi="宋体"/>
          <w:sz w:val="24"/>
          <w:szCs w:val="21"/>
        </w:rPr>
      </w:pPr>
      <w:r>
        <w:rPr>
          <w:rFonts w:hint="eastAsia" w:ascii="宋体" w:hAnsi="宋体"/>
          <w:sz w:val="24"/>
          <w:szCs w:val="21"/>
        </w:rPr>
        <w:t xml:space="preserve">20.1 投标文件的撤回</w:t>
      </w:r>
      <w:r/>
    </w:p>
    <w:p>
      <w:pPr>
        <w:pStyle w:val="740"/>
        <w:ind w:firstLine="480"/>
        <w:spacing w:line="480" w:lineRule="exact"/>
        <w:rPr>
          <w:rFonts w:hint="eastAsia" w:ascii="宋体" w:hAnsi="宋体"/>
          <w:sz w:val="24"/>
          <w:szCs w:val="21"/>
        </w:rPr>
      </w:pPr>
      <w:r>
        <w:rPr>
          <w:rFonts w:hint="eastAsia" w:ascii="宋体" w:hAnsi="宋体"/>
          <w:sz w:val="24"/>
          <w:szCs w:val="21"/>
        </w:rPr>
        <w:t xml:space="preserve">21.1.1 电子投标文件的撤回</w:t>
      </w:r>
      <w:r/>
    </w:p>
    <w:p>
      <w:pPr>
        <w:pStyle w:val="740"/>
        <w:ind w:firstLine="480"/>
        <w:spacing w:line="48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40"/>
        <w:ind w:firstLine="480"/>
        <w:spacing w:line="480" w:lineRule="exact"/>
        <w:rPr>
          <w:rFonts w:hint="eastAsia" w:ascii="宋体" w:hAnsi="宋体"/>
          <w:sz w:val="24"/>
          <w:szCs w:val="21"/>
        </w:rPr>
      </w:pPr>
      <w:r>
        <w:rPr>
          <w:rFonts w:hint="eastAsia" w:ascii="宋体" w:hAnsi="宋体"/>
          <w:sz w:val="24"/>
          <w:szCs w:val="21"/>
        </w:rPr>
        <w:t xml:space="preserve">20.2.1投标人可在投标截止时间前，对其电子投标文件进行修改，具体操作方法见《操作手册》。</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20.2.2</w:t>
      </w:r>
      <w:r>
        <w:rPr>
          <w:rFonts w:hint="eastAsia" w:ascii="宋体" w:hAnsi="宋体"/>
          <w:bCs/>
          <w:sz w:val="24"/>
          <w:szCs w:val="21"/>
        </w:rPr>
        <w:t xml:space="preserve"> 在投标截止时间之后，投标人不得对其电子投标文件作任何修改。</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在投标截止时间至招标文件中规定的投标有效期满之间的这段时间内，投标人不得撤回其投标。</w:t>
      </w:r>
      <w:r/>
    </w:p>
    <w:p>
      <w:pPr>
        <w:pStyle w:val="740"/>
        <w:ind w:firstLine="482"/>
        <w:keepLines/>
        <w:keepNext/>
        <w:spacing w:before="145" w:after="145" w:line="360" w:lineRule="auto"/>
        <w:rPr>
          <w:rFonts w:hint="eastAsia"/>
          <w:b/>
          <w:bCs/>
          <w:sz w:val="32"/>
          <w:szCs w:val="32"/>
        </w:rPr>
        <w:outlineLvl w:val="2"/>
      </w:pPr>
      <w:r/>
      <w:bookmarkStart w:id="78" w:name="_Toc190700447"/>
      <w:r>
        <w:rPr>
          <w:rFonts w:hint="eastAsia"/>
          <w:b/>
          <w:bCs/>
          <w:sz w:val="32"/>
          <w:szCs w:val="32"/>
        </w:rPr>
        <w:t xml:space="preserve">五、开标与评标</w:t>
      </w:r>
      <w:bookmarkEnd w:id="78"/>
      <w:r>
        <w:rPr>
          <w:rFonts w:hint="eastAsia"/>
          <w:b/>
          <w:bCs/>
          <w:sz w:val="32"/>
          <w:szCs w:val="32"/>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21、开标</w:t>
      </w:r>
      <w:r/>
    </w:p>
    <w:p>
      <w:pPr>
        <w:pStyle w:val="740"/>
        <w:ind w:firstLine="360"/>
        <w:rPr>
          <w:rFonts w:hint="eastAsia"/>
          <w:szCs w:val="21"/>
        </w:rPr>
      </w:pPr>
      <w:r>
        <w:rPr>
          <w:rFonts w:hint="eastAsia" w:ascii="宋体" w:hAnsi="宋体"/>
          <w:sz w:val="24"/>
          <w:szCs w:val="21"/>
        </w:rPr>
        <w:t xml:space="preserve">21.1</w:t>
      </w:r>
      <w:r>
        <w:rPr>
          <w:rFonts w:hint="eastAsia" w:ascii="宋体" w:hAnsi="宋体"/>
          <w:bCs/>
          <w:sz w:val="24"/>
          <w:szCs w:val="21"/>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74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w:t>
      </w:r>
      <w:r>
        <w:rPr>
          <w:rFonts w:hint="eastAsia" w:ascii="宋体" w:hAnsi="宋体"/>
          <w:sz w:val="24"/>
          <w:szCs w:val="24"/>
        </w:rPr>
        <w:t xml:space="preserve">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40"/>
        <w:ind w:firstLine="480"/>
        <w:spacing w:line="500" w:lineRule="exact"/>
        <w:rPr>
          <w:rFonts w:hint="eastAsia" w:ascii="宋体" w:hAnsi="宋体"/>
          <w:sz w:val="24"/>
          <w:szCs w:val="24"/>
        </w:rPr>
      </w:pPr>
      <w:r>
        <w:rPr>
          <w:rFonts w:hint="eastAsia" w:ascii="宋体" w:hAnsi="宋体"/>
          <w:bCs/>
          <w:sz w:val="24"/>
          <w:szCs w:val="21"/>
        </w:rPr>
        <w:t xml:space="preserve">21.3投标人在开标过程中涉及到的投标文件解密、开标结果确认等工作，应按照《操作手册》规定执行。</w:t>
      </w:r>
      <w:r>
        <w:rPr>
          <w:rFonts w:hint="eastAsia" w:ascii="宋体" w:hAnsi="宋体"/>
          <w:sz w:val="24"/>
          <w:szCs w:val="24"/>
        </w:rPr>
      </w:r>
      <w:r/>
    </w:p>
    <w:p>
      <w:pPr>
        <w:pStyle w:val="74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22、评标委员会</w:t>
      </w:r>
      <w:r/>
    </w:p>
    <w:p>
      <w:pPr>
        <w:pStyle w:val="74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hint="eastAsia" w:ascii="宋体" w:hAnsi="宋体"/>
          <w:b/>
          <w:sz w:val="24"/>
          <w:szCs w:val="24"/>
        </w:rPr>
      </w:r>
      <w:r/>
    </w:p>
    <w:p>
      <w:pPr>
        <w:pStyle w:val="74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4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40"/>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23、评标过程的保密与公正</w:t>
      </w:r>
      <w:r/>
    </w:p>
    <w:p>
      <w:pPr>
        <w:pStyle w:val="740"/>
        <w:ind w:firstLine="480"/>
        <w:spacing w:line="500" w:lineRule="exact"/>
        <w:rPr>
          <w:rFonts w:hint="eastAsia" w:ascii="宋体" w:hAnsi="宋体"/>
          <w:bCs/>
          <w:sz w:val="24"/>
          <w:szCs w:val="21"/>
        </w:rPr>
      </w:pPr>
      <w:r>
        <w:rPr>
          <w:rFonts w:hint="eastAsia" w:ascii="宋体" w:hAnsi="宋体"/>
          <w:sz w:val="24"/>
          <w:szCs w:val="21"/>
        </w:rPr>
        <w:t xml:space="preserve">23.1</w:t>
      </w:r>
      <w:r>
        <w:rPr>
          <w:rFonts w:hint="eastAsia" w:ascii="宋体" w:hAnsi="宋体"/>
          <w:bCs/>
          <w:sz w:val="24"/>
          <w:szCs w:val="21"/>
        </w:rPr>
        <w:t xml:space="preserve">凡是与审查、澄清、评价和比较投标的有关资料以及授标建议等，采购人、评委、交易中心均不得向投标人或与评标无关的其他人员透露。</w:t>
      </w:r>
      <w:r/>
    </w:p>
    <w:p>
      <w:pPr>
        <w:pStyle w:val="740"/>
        <w:ind w:firstLine="480"/>
        <w:spacing w:line="480" w:lineRule="exact"/>
        <w:rPr>
          <w:rFonts w:hint="eastAsia"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pStyle w:val="74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w:t>
      </w:r>
      <w:r>
        <w:rPr>
          <w:rFonts w:hint="eastAsia" w:ascii="宋体" w:hAnsi="宋体"/>
          <w:sz w:val="24"/>
          <w:szCs w:val="24"/>
        </w:rPr>
        <w:t xml:space="preserve">采云系统查看自己的评审得分及排序情况。</w:t>
      </w:r>
      <w:r>
        <w:rPr>
          <w:rFonts w:ascii="宋体" w:hAnsi="宋体"/>
          <w:sz w:val="24"/>
          <w:szCs w:val="24"/>
        </w:rPr>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24、投标文件的澄清</w:t>
      </w:r>
      <w:r/>
    </w:p>
    <w:p>
      <w:pPr>
        <w:pStyle w:val="74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4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4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25、对投标文件的初审</w:t>
      </w:r>
      <w:r/>
    </w:p>
    <w:p>
      <w:pPr>
        <w:pStyle w:val="740"/>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投标文件初审分为资格审查和符合性审查。</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25.1.1 资格审查：依据法律法规和招标文件的规定，由采购人对投标文件中的资格证明文件进行审查。资格审查的结论，采购人以书面形式向评委会进行反馈。</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w:t>
      </w:r>
      <w:r>
        <w:rPr>
          <w:rFonts w:hint="eastAsia" w:ascii="宋体" w:hAnsi="宋体"/>
          <w:bCs/>
          <w:sz w:val="24"/>
          <w:szCs w:val="21"/>
        </w:rPr>
        <w:t xml:space="preserve">询投标人的信用记录，以确定投标人是否具备投标资格,查询结果留存并归档。</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符合性审查：依据招标文件的规定，由评委会从投标文件的有效性、完整性和对招标文件的响应程度进行审查，以确定是否对招标文件的实质性要求作出响应。</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25.</w:t>
      </w:r>
      <w:r>
        <w:rPr>
          <w:rFonts w:ascii="宋体" w:hAnsi="宋体"/>
          <w:bCs/>
          <w:sz w:val="24"/>
          <w:szCs w:val="21"/>
        </w:rPr>
        <w:t xml:space="preserve">1.</w:t>
      </w:r>
      <w:r>
        <w:rPr>
          <w:rFonts w:hint="eastAsia" w:ascii="宋体" w:hAnsi="宋体"/>
          <w:bCs/>
          <w:sz w:val="24"/>
          <w:szCs w:val="21"/>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w:t>
      </w:r>
      <w:r>
        <w:rPr>
          <w:rFonts w:ascii="宋体" w:hAnsi="宋体"/>
          <w:bCs/>
          <w:sz w:val="24"/>
          <w:szCs w:val="21"/>
        </w:rPr>
        <w:t xml:space="preserve">评标</w:t>
      </w:r>
      <w:r>
        <w:rPr>
          <w:rFonts w:ascii="宋体" w:hAnsi="宋体"/>
          <w:bCs/>
          <w:sz w:val="24"/>
          <w:szCs w:val="21"/>
        </w:rPr>
        <w:t xml:space="preserve">结束后，</w:t>
      </w:r>
      <w:r>
        <w:rPr>
          <w:rFonts w:hint="eastAsia" w:ascii="宋体" w:hAnsi="宋体"/>
          <w:bCs/>
          <w:sz w:val="24"/>
          <w:szCs w:val="21"/>
        </w:rPr>
        <w:t xml:space="preserve">交易中心</w:t>
      </w:r>
      <w:r>
        <w:rPr>
          <w:rFonts w:ascii="宋体" w:hAnsi="宋体"/>
          <w:bCs/>
          <w:sz w:val="24"/>
          <w:szCs w:val="21"/>
        </w:rPr>
        <w:t xml:space="preserve">将不再告知未通过资格审查和</w:t>
      </w:r>
      <w:r>
        <w:rPr>
          <w:rFonts w:hint="eastAsia" w:ascii="宋体" w:hAnsi="宋体"/>
          <w:bCs/>
          <w:sz w:val="24"/>
          <w:szCs w:val="21"/>
        </w:rPr>
        <w:t xml:space="preserve">符合性</w:t>
      </w:r>
      <w:r>
        <w:rPr>
          <w:rFonts w:ascii="宋体" w:hAnsi="宋体"/>
          <w:bCs/>
          <w:sz w:val="24"/>
          <w:szCs w:val="21"/>
        </w:rPr>
        <w:t xml:space="preserve">审查的原因。</w:t>
      </w:r>
      <w:r>
        <w:rPr>
          <w:rFonts w:hint="eastAsia" w:ascii="宋体" w:hAnsi="宋体"/>
          <w:bCs/>
          <w:sz w:val="24"/>
          <w:szCs w:val="21"/>
        </w:rPr>
      </w:r>
      <w:r/>
    </w:p>
    <w:p>
      <w:pPr>
        <w:pStyle w:val="740"/>
        <w:ind w:firstLine="48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40"/>
        <w:ind w:firstLine="480"/>
        <w:spacing w:line="460" w:lineRule="exact"/>
        <w:rPr>
          <w:rFonts w:hint="eastAsia" w:ascii="宋体" w:hAnsi="宋体"/>
          <w:sz w:val="24"/>
          <w:szCs w:val="21"/>
        </w:rPr>
      </w:pPr>
      <w:r>
        <w:rPr>
          <w:rFonts w:hint="eastAsia" w:ascii="宋体" w:hAnsi="宋体"/>
          <w:sz w:val="24"/>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w:t>
      </w:r>
      <w:r>
        <w:rPr>
          <w:rFonts w:hint="eastAsia" w:ascii="宋体" w:hAnsi="宋体"/>
          <w:sz w:val="24"/>
          <w:szCs w:val="21"/>
        </w:rPr>
        <w:t xml:space="preserve">论。评委决定投标文件的响应性只根据投标文件本身的内容，而不寻求外部的证据。</w:t>
      </w:r>
      <w:r/>
    </w:p>
    <w:p>
      <w:pPr>
        <w:pStyle w:val="740"/>
        <w:ind w:firstLine="480"/>
        <w:spacing w:line="46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szCs w:val="21"/>
        </w:rPr>
      </w:r>
      <w:r/>
    </w:p>
    <w:p>
      <w:pPr>
        <w:pStyle w:val="740"/>
        <w:ind w:firstLine="480"/>
        <w:spacing w:line="460" w:lineRule="exact"/>
        <w:rPr>
          <w:rFonts w:hint="eastAsia" w:ascii="宋体" w:hAnsi="宋体"/>
          <w:bCs/>
          <w:sz w:val="24"/>
          <w:szCs w:val="21"/>
        </w:rPr>
      </w:pPr>
      <w:r>
        <w:rPr>
          <w:rFonts w:hint="eastAsia" w:ascii="宋体" w:hAnsi="宋体"/>
          <w:sz w:val="24"/>
          <w:szCs w:val="21"/>
        </w:rPr>
        <w:t xml:space="preserve">25.</w:t>
      </w:r>
      <w:r>
        <w:rPr>
          <w:rFonts w:ascii="宋体" w:hAnsi="宋体"/>
          <w:sz w:val="24"/>
          <w:szCs w:val="21"/>
        </w:rPr>
        <w:t xml:space="preserve">4</w:t>
      </w:r>
      <w:r>
        <w:rPr>
          <w:rFonts w:hint="eastAsia" w:ascii="宋体" w:hAnsi="宋体"/>
          <w:bCs/>
          <w:sz w:val="24"/>
          <w:szCs w:val="21"/>
        </w:rPr>
        <w:t xml:space="preserve">评委会将对确定为实质性响应的投标进行进一步审核，确定其是否有计算上或累加上的算术错误，修正错误的原则如下：</w:t>
      </w:r>
      <w:r/>
    </w:p>
    <w:p>
      <w:pPr>
        <w:pStyle w:val="740"/>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40"/>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40"/>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740"/>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740"/>
        <w:ind w:firstLine="480"/>
        <w:spacing w:line="460" w:lineRule="exact"/>
        <w:rPr>
          <w:rFonts w:ascii="宋体" w:hAnsi="宋体"/>
          <w:bCs/>
          <w:sz w:val="24"/>
          <w:szCs w:val="21"/>
        </w:rPr>
      </w:pPr>
      <w:r>
        <w:rPr>
          <w:rFonts w:hint="eastAsia" w:ascii="宋体" w:hAnsi="宋体"/>
          <w:sz w:val="24"/>
          <w:szCs w:val="21"/>
        </w:rPr>
        <w:t xml:space="preserve">25.</w:t>
      </w:r>
      <w:r>
        <w:rPr>
          <w:rFonts w:ascii="宋体" w:hAnsi="宋体"/>
          <w:sz w:val="24"/>
          <w:szCs w:val="21"/>
        </w:rPr>
        <w:t xml:space="preserve">5</w:t>
      </w:r>
      <w:r>
        <w:rPr>
          <w:rFonts w:hint="eastAsia" w:ascii="宋体" w:hAnsi="宋体"/>
          <w:sz w:val="24"/>
          <w:szCs w:val="21"/>
        </w:rPr>
        <w:t xml:space="preserve"> </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40"/>
        <w:ind w:firstLine="420"/>
        <w:spacing w:line="460" w:lineRule="exact"/>
        <w:rPr>
          <w:rFonts w:ascii="宋体" w:hAnsi="宋体"/>
          <w:sz w:val="24"/>
          <w:szCs w:val="21"/>
        </w:rPr>
      </w:pPr>
      <w:r>
        <w:rPr>
          <w:rFonts w:hint="eastAsia" w:ascii="宋体" w:hAnsi="宋体"/>
          <w:sz w:val="24"/>
          <w:szCs w:val="21"/>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并安排专人与交易中心及评标委员会联系。</w:t>
      </w:r>
      <w:r>
        <w:rPr>
          <w:rFonts w:ascii="宋体" w:hAnsi="宋体"/>
          <w:sz w:val="24"/>
          <w:szCs w:val="21"/>
        </w:rPr>
      </w:r>
      <w:r/>
    </w:p>
    <w:p>
      <w:pPr>
        <w:pStyle w:val="740"/>
        <w:ind w:firstLine="420"/>
        <w:spacing w:line="460" w:lineRule="exact"/>
        <w:rPr>
          <w:rFonts w:hint="eastAsia" w:ascii="宋体" w:hAnsi="宋体"/>
          <w:b/>
          <w:bCs/>
          <w:sz w:val="24"/>
          <w:szCs w:val="21"/>
        </w:rPr>
      </w:pPr>
      <w:r>
        <w:rPr>
          <w:rFonts w:hint="eastAsia" w:ascii="宋体" w:hAnsi="宋体"/>
          <w:b/>
          <w:bCs/>
          <w:sz w:val="24"/>
          <w:szCs w:val="21"/>
        </w:rPr>
        <w:t xml:space="preserve">25.7.1评审过程中出现下列情形之一的，评审委员会应</w:t>
      </w:r>
      <w:r>
        <w:rPr>
          <w:rFonts w:hint="eastAsia" w:ascii="宋体" w:hAnsi="宋体"/>
          <w:b/>
          <w:bCs/>
          <w:sz w:val="24"/>
          <w:szCs w:val="21"/>
        </w:rPr>
        <w:t xml:space="preserve">当启动异常低价投标(响应)审查程序:</w:t>
      </w:r>
      <w:r/>
    </w:p>
    <w:p>
      <w:pPr>
        <w:pStyle w:val="740"/>
        <w:ind w:firstLine="420"/>
        <w:spacing w:line="460" w:lineRule="exact"/>
        <w:rPr>
          <w:rFonts w:hint="eastAsia" w:ascii="宋体" w:hAnsi="宋体"/>
          <w:b/>
          <w:bCs/>
          <w:sz w:val="24"/>
          <w:szCs w:val="21"/>
        </w:rPr>
      </w:pPr>
      <w:r>
        <w:rPr>
          <w:rFonts w:ascii="宋体" w:hAnsi="宋体"/>
          <w:b/>
          <w:bCs/>
          <w:sz w:val="24"/>
          <w:szCs w:val="21"/>
        </w:rPr>
        <w:t xml:space="preserve">25.7.1</w:t>
      </w:r>
      <w:r>
        <w:rPr>
          <w:rFonts w:hint="eastAsia" w:ascii="宋体" w:hAnsi="宋体"/>
          <w:b/>
          <w:bCs/>
          <w:sz w:val="24"/>
          <w:szCs w:val="21"/>
        </w:rPr>
        <w:t xml:space="preserve">.1.投标(响应)报价低于采购项目预算50%的，即投标(响应)报价&lt;采购项目预算x50%;</w:t>
      </w:r>
      <w:r/>
    </w:p>
    <w:p>
      <w:pPr>
        <w:pStyle w:val="740"/>
        <w:ind w:firstLine="420"/>
        <w:spacing w:line="460" w:lineRule="exact"/>
        <w:rPr>
          <w:rFonts w:hint="eastAsia" w:ascii="宋体" w:hAnsi="宋体"/>
          <w:b/>
          <w:bCs/>
          <w:sz w:val="24"/>
          <w:szCs w:val="21"/>
        </w:rPr>
      </w:pPr>
      <w:r>
        <w:rPr>
          <w:rFonts w:ascii="宋体" w:hAnsi="宋体"/>
          <w:b/>
          <w:bCs/>
          <w:sz w:val="24"/>
          <w:szCs w:val="21"/>
        </w:rPr>
        <w:t xml:space="preserve">25.7.1</w:t>
      </w:r>
      <w:r>
        <w:rPr>
          <w:rFonts w:hint="eastAsia" w:ascii="宋体" w:hAnsi="宋体"/>
          <w:b/>
          <w:bCs/>
          <w:sz w:val="24"/>
          <w:szCs w:val="21"/>
        </w:rPr>
        <w:t xml:space="preserve">.2.投标(响应)报价低于采购项目最高限价45%的，即投标(响应)报价&lt;采购项目最高限价x45%;</w:t>
      </w:r>
      <w:r/>
    </w:p>
    <w:p>
      <w:pPr>
        <w:pStyle w:val="740"/>
        <w:ind w:firstLine="420"/>
        <w:spacing w:line="460" w:lineRule="exact"/>
        <w:rPr>
          <w:rFonts w:hint="eastAsia" w:ascii="宋体" w:hAnsi="宋体"/>
          <w:b/>
          <w:bCs/>
          <w:sz w:val="24"/>
          <w:szCs w:val="21"/>
        </w:rPr>
      </w:pPr>
      <w:r>
        <w:rPr>
          <w:rFonts w:ascii="宋体" w:hAnsi="宋体"/>
          <w:b/>
          <w:bCs/>
          <w:sz w:val="24"/>
          <w:szCs w:val="21"/>
        </w:rPr>
        <w:t xml:space="preserve">25.7.1</w:t>
      </w:r>
      <w:r>
        <w:rPr>
          <w:rFonts w:hint="eastAsia" w:ascii="宋体" w:hAnsi="宋体"/>
          <w:b/>
          <w:bCs/>
          <w:sz w:val="24"/>
          <w:szCs w:val="21"/>
        </w:rPr>
        <w:t xml:space="preserve">.3.评审委员会认定的供应商报价过低、有可能影响产品质量或者不能诚信履约的其他情形。</w:t>
      </w:r>
      <w:r/>
    </w:p>
    <w:p>
      <w:pPr>
        <w:pStyle w:val="740"/>
        <w:ind w:firstLine="420"/>
        <w:spacing w:line="460" w:lineRule="exact"/>
        <w:rPr>
          <w:rFonts w:ascii="宋体" w:hAnsi="宋体"/>
          <w:b/>
          <w:bCs/>
          <w:sz w:val="24"/>
          <w:szCs w:val="21"/>
        </w:rPr>
      </w:pPr>
      <w:r>
        <w:rPr>
          <w:rFonts w:hint="eastAsia" w:ascii="宋体" w:hAnsi="宋体"/>
          <w:b/>
          <w:bCs/>
          <w:sz w:val="24"/>
          <w:szCs w:val="21"/>
        </w:rPr>
        <w:t xml:space="preserve">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w:t>
      </w:r>
      <w:r>
        <w:rPr>
          <w:rFonts w:hint="eastAsia" w:ascii="宋体" w:hAnsi="宋体"/>
          <w:b/>
          <w:bCs/>
          <w:sz w:val="24"/>
          <w:szCs w:val="21"/>
        </w:rPr>
        <w:t xml:space="preserve">提供书面说明、证明材料,或者提供的书面说明、证明材料不能证明其报价合理性的评审委员会应当将其作为无效投标(响应)处理。审查相关情况应当在评审报告中进行记录。</w:t>
      </w:r>
      <w:r>
        <w:rPr>
          <w:rFonts w:ascii="宋体" w:hAnsi="宋体"/>
          <w:b/>
          <w:bCs/>
          <w:sz w:val="24"/>
          <w:szCs w:val="21"/>
        </w:rPr>
      </w:r>
      <w:r/>
    </w:p>
    <w:p>
      <w:pPr>
        <w:pStyle w:val="740"/>
        <w:ind w:firstLine="420"/>
        <w:spacing w:line="460" w:lineRule="exact"/>
        <w:rPr>
          <w:rFonts w:hint="eastAsia" w:ascii="宋体" w:hAnsi="宋体"/>
          <w:b/>
          <w:bCs/>
          <w:sz w:val="24"/>
          <w:szCs w:val="21"/>
        </w:rPr>
      </w:pPr>
      <w:r>
        <w:rPr>
          <w:rFonts w:hint="eastAsia" w:ascii="宋体" w:hAnsi="宋体"/>
          <w:b/>
          <w:bCs/>
          <w:sz w:val="24"/>
          <w:szCs w:val="21"/>
        </w:rPr>
        <w:t xml:space="preserve">2</w:t>
      </w:r>
      <w:r>
        <w:rPr>
          <w:rFonts w:ascii="宋体" w:hAnsi="宋体"/>
          <w:b/>
          <w:bCs/>
          <w:sz w:val="24"/>
          <w:szCs w:val="21"/>
        </w:rPr>
        <w:t xml:space="preserve">5.8</w:t>
      </w:r>
      <w:r>
        <w:rPr>
          <w:rFonts w:hint="eastAsia" w:ascii="宋体" w:hAnsi="宋体"/>
          <w:b/>
          <w:bCs/>
          <w:sz w:val="24"/>
          <w:szCs w:val="21"/>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w:t>
      </w:r>
      <w:r>
        <w:rPr>
          <w:rFonts w:hint="eastAsia" w:ascii="宋体" w:hAnsi="宋体"/>
          <w:b/>
          <w:bCs/>
          <w:sz w:val="24"/>
          <w:szCs w:val="21"/>
        </w:rPr>
        <w:t xml:space="preserve">员对本人的打分做出情况说明。</w:t>
      </w:r>
      <w:r/>
    </w:p>
    <w:p>
      <w:pPr>
        <w:pStyle w:val="740"/>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26、无效投标条款和废标条款</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26.1无效投标条款</w:t>
      </w:r>
      <w:r/>
    </w:p>
    <w:p>
      <w:pPr>
        <w:pStyle w:val="740"/>
        <w:ind w:firstLine="480"/>
        <w:spacing w:line="440" w:lineRule="exact"/>
        <w:rPr>
          <w:rFonts w:hint="eastAsia" w:ascii="宋体" w:hAnsi="宋体"/>
          <w:bCs/>
          <w:sz w:val="24"/>
          <w:szCs w:val="24"/>
        </w:rPr>
      </w:pPr>
      <w:r>
        <w:rPr>
          <w:rFonts w:hint="eastAsia" w:ascii="宋体" w:hAnsi="宋体"/>
          <w:bCs/>
          <w:sz w:val="24"/>
          <w:szCs w:val="21"/>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26.1.2 投标人未按照招标文件要求上传电子投标文件的。</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26.1.3同一投标人提交两个（含两个）以上不同的投标报价的。</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26.1.4投标人不具备招标文件中规定资格要求的。</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26.1.5投标人的报价超过了采购预算或最高限价的。</w:t>
      </w:r>
      <w:r/>
    </w:p>
    <w:p>
      <w:pPr>
        <w:pStyle w:val="740"/>
        <w:ind w:firstLine="480"/>
        <w:spacing w:line="440" w:lineRule="exact"/>
        <w:rPr>
          <w:rFonts w:hint="eastAsia" w:ascii="宋体" w:hAnsi="宋体"/>
          <w:bCs/>
          <w:i/>
          <w:sz w:val="24"/>
          <w:szCs w:val="21"/>
          <w:u w:val="single"/>
        </w:rPr>
      </w:pPr>
      <w:r>
        <w:rPr>
          <w:rFonts w:hint="eastAsia" w:ascii="宋体" w:hAnsi="宋体"/>
          <w:bCs/>
          <w:sz w:val="24"/>
          <w:szCs w:val="21"/>
        </w:rPr>
        <w:t xml:space="preserve">26.1.6未通过符合性审查的。</w:t>
      </w:r>
      <w:r>
        <w:rPr>
          <w:rFonts w:hint="eastAsia" w:ascii="宋体" w:hAnsi="宋体"/>
          <w:bCs/>
          <w:i/>
          <w:sz w:val="24"/>
          <w:szCs w:val="21"/>
          <w:u w:val="single"/>
        </w:rPr>
      </w:r>
      <w:r/>
    </w:p>
    <w:p>
      <w:pPr>
        <w:pStyle w:val="740"/>
        <w:ind w:firstLine="360"/>
        <w:spacing w:line="440" w:lineRule="exact"/>
        <w:rPr>
          <w:rFonts w:ascii="宋体" w:hAnsi="宋体"/>
          <w:bCs/>
          <w:iCs/>
          <w:sz w:val="24"/>
          <w:szCs w:val="21"/>
        </w:rPr>
      </w:pPr>
      <w:r>
        <w:rPr>
          <w:rFonts w:hint="eastAsia" w:ascii="宋体" w:hAnsi="宋体"/>
          <w:bCs/>
          <w:sz w:val="24"/>
          <w:szCs w:val="21"/>
        </w:rPr>
        <w:t xml:space="preserve"> 26.1.7不符合招标文件中规定的实质性要求和条件的（</w:t>
      </w:r>
      <w:r>
        <w:rPr>
          <w:rFonts w:hint="eastAsia" w:ascii="宋体" w:hAnsi="宋体"/>
          <w:b/>
          <w:iCs/>
          <w:sz w:val="24"/>
          <w:szCs w:val="21"/>
        </w:rPr>
        <w:t xml:space="preserve">本招标文件中标有“★”部分为实质性要求和条件</w:t>
      </w:r>
      <w:r>
        <w:rPr>
          <w:rFonts w:hint="eastAsia" w:ascii="宋体" w:hAnsi="宋体"/>
          <w:bCs/>
          <w:iCs/>
          <w:sz w:val="24"/>
          <w:szCs w:val="21"/>
        </w:rPr>
        <w:t xml:space="preserve">）。</w:t>
      </w:r>
      <w:r>
        <w:rPr>
          <w:rFonts w:ascii="宋体" w:hAnsi="宋体"/>
          <w:bCs/>
          <w:iCs/>
          <w:sz w:val="24"/>
          <w:szCs w:val="21"/>
        </w:rPr>
      </w:r>
      <w:r/>
    </w:p>
    <w:p>
      <w:pPr>
        <w:pStyle w:val="740"/>
        <w:ind w:firstLine="360"/>
        <w:spacing w:line="440" w:lineRule="exact"/>
        <w:rPr>
          <w:rFonts w:hint="eastAsia" w:ascii="宋体" w:hAnsi="宋体"/>
          <w:bCs/>
          <w:sz w:val="24"/>
          <w:szCs w:val="21"/>
        </w:rPr>
      </w:pPr>
      <w:r>
        <w:rPr>
          <w:rFonts w:hint="eastAsia" w:ascii="宋体" w:hAnsi="宋体"/>
          <w:bCs/>
          <w:sz w:val="24"/>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26.1.9 投标文件含有采购人不能接受的附加条件的。</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w:t>
      </w:r>
      <w:r>
        <w:rPr>
          <w:rFonts w:hint="eastAsia" w:ascii="宋体" w:hAnsi="宋体"/>
          <w:bCs/>
          <w:sz w:val="24"/>
          <w:szCs w:val="21"/>
        </w:rPr>
        <w:t xml:space="preserve">交相关证明材料；投标人不能证明其报价合理性的，评标委员会应当将其作为无效投标处理。</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为加快数据中心绿色转型，根据财政部、生态环境部、工业和信息化部关于印发《绿色数据中心政府采购需求标准（试行）》的通知（财库2</w:t>
      </w:r>
      <w:r>
        <w:rPr>
          <w:rFonts w:ascii="宋体" w:hAnsi="宋体"/>
          <w:bCs/>
          <w:sz w:val="24"/>
          <w:szCs w:val="21"/>
        </w:rPr>
        <w:t xml:space="preserve">023</w:t>
      </w:r>
      <w:r>
        <w:rPr>
          <w:rFonts w:hint="eastAsia" w:ascii="宋体" w:hAnsi="宋体"/>
          <w:bCs/>
          <w:sz w:val="24"/>
          <w:szCs w:val="21"/>
        </w:rPr>
        <w:t xml:space="preserve">〔7〕号）文件规定，采购数据中心相关设备、运维服务，应当有利于节约能源、环境保护和资源循环利用，按照标准要求实施相关采购活动，供应商应提供符合标准要求的设备或服务。</w:t>
      </w:r>
      <w:r/>
    </w:p>
    <w:p>
      <w:pPr>
        <w:pStyle w:val="740"/>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40"/>
        <w:ind w:firstLine="480"/>
        <w:spacing w:line="440" w:lineRule="exact"/>
        <w:rPr>
          <w:rFonts w:ascii="宋体" w:hAnsi="宋体"/>
          <w:b/>
          <w:sz w:val="24"/>
          <w:szCs w:val="21"/>
        </w:rPr>
      </w:pPr>
      <w:r>
        <w:rPr>
          <w:rFonts w:hint="eastAsia" w:ascii="宋体" w:hAnsi="宋体"/>
          <w:b/>
          <w:sz w:val="24"/>
          <w:szCs w:val="21"/>
        </w:rPr>
        <w:t xml:space="preserve">2</w:t>
      </w:r>
      <w:r>
        <w:rPr>
          <w:rFonts w:ascii="宋体" w:hAnsi="宋体"/>
          <w:b/>
          <w:sz w:val="24"/>
          <w:szCs w:val="21"/>
        </w:rPr>
        <w:t xml:space="preserve">6</w:t>
      </w:r>
      <w:r>
        <w:rPr>
          <w:rFonts w:hint="eastAsia" w:ascii="宋体" w:hAnsi="宋体"/>
          <w:b/>
          <w:sz w:val="24"/>
          <w:szCs w:val="21"/>
        </w:rPr>
        <w:t xml:space="preserve">.1.1</w:t>
      </w:r>
      <w:r>
        <w:rPr>
          <w:rFonts w:ascii="宋体" w:hAnsi="宋体"/>
          <w:b/>
          <w:sz w:val="24"/>
          <w:szCs w:val="21"/>
        </w:rPr>
        <w:t xml:space="preserve">3</w:t>
      </w:r>
      <w:r>
        <w:rPr>
          <w:rFonts w:hint="eastAsia" w:ascii="宋体" w:hAnsi="宋体"/>
          <w:b/>
          <w:sz w:val="24"/>
          <w:szCs w:val="21"/>
        </w:rPr>
        <w:t xml:space="preserve">不同投标人的投标文件制作机器码一致。</w:t>
      </w:r>
      <w:r>
        <w:rPr>
          <w:rFonts w:ascii="宋体" w:hAnsi="宋体"/>
          <w:b/>
          <w:sz w:val="24"/>
          <w:szCs w:val="21"/>
        </w:rPr>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4</w:t>
      </w:r>
      <w:r>
        <w:rPr>
          <w:rFonts w:hint="eastAsia" w:ascii="宋体" w:hAnsi="宋体"/>
          <w:bCs/>
          <w:sz w:val="24"/>
          <w:szCs w:val="21"/>
        </w:rPr>
        <w:t xml:space="preserve">其他法律、法规及本招标文件规定的属无效投标的情形。</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26.2废标条款</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26.2.1符合专业条件的供应商或者对招标文件作实质响应的供应商不足三家的。26.2.2出现影响采购公正的违法、违规行为的。</w:t>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26.2.3因重大变故，采购</w:t>
      </w:r>
      <w:r>
        <w:rPr>
          <w:rFonts w:hint="eastAsia" w:ascii="宋体" w:hAnsi="宋体"/>
          <w:bCs/>
          <w:sz w:val="24"/>
          <w:szCs w:val="21"/>
        </w:rPr>
        <w:t xml:space="preserve">任务取消的。</w:t>
      </w:r>
      <w:r/>
    </w:p>
    <w:p>
      <w:pPr>
        <w:pStyle w:val="740"/>
        <w:ind w:left="479"/>
        <w:spacing w:line="440" w:lineRule="exact"/>
        <w:rPr>
          <w:rFonts w:ascii="宋体" w:hAnsi="宋体"/>
          <w:bCs/>
          <w:sz w:val="24"/>
          <w:szCs w:val="21"/>
        </w:rPr>
      </w:pPr>
      <w:r>
        <w:rPr>
          <w:rFonts w:hint="eastAsia" w:ascii="宋体" w:hAnsi="宋体"/>
          <w:bCs/>
          <w:sz w:val="24"/>
          <w:szCs w:val="21"/>
        </w:rPr>
        <w:t xml:space="preserve">26.2.4评标委员会认定招标文件存在歧义、重大缺陷导致评审工作无法进行。</w:t>
      </w:r>
      <w:r>
        <w:rPr>
          <w:rFonts w:ascii="宋体" w:hAnsi="宋体"/>
          <w:bCs/>
          <w:sz w:val="24"/>
          <w:szCs w:val="21"/>
        </w:rPr>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40"/>
        <w:ind w:left="479"/>
        <w:spacing w:line="440" w:lineRule="exact"/>
        <w:rPr>
          <w:rFonts w:hint="eastAsia" w:ascii="宋体" w:hAnsi="宋体"/>
          <w:bCs/>
          <w:sz w:val="24"/>
          <w:szCs w:val="21"/>
        </w:rPr>
      </w:pPr>
      <w:r>
        <w:rPr>
          <w:rFonts w:hint="eastAsia" w:ascii="宋体" w:hAnsi="宋体"/>
          <w:bCs/>
          <w:sz w:val="24"/>
          <w:szCs w:val="21"/>
        </w:rPr>
        <w:t xml:space="preserve">26.3 投标截止时间结束后参加投标的供应商不足三家的处理：</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26.3.1如出现投标截止时间结束后参加投标的供应商或者在评标期间对招标文件做出实质响应的供应商不足三家情况，按政府采购相关规定执行。</w:t>
      </w:r>
      <w:r/>
    </w:p>
    <w:p>
      <w:pPr>
        <w:pStyle w:val="740"/>
        <w:ind w:firstLine="482"/>
        <w:keepLines/>
        <w:keepNext/>
        <w:spacing w:before="145" w:after="145" w:line="360" w:lineRule="auto"/>
        <w:rPr>
          <w:rFonts w:hint="eastAsia"/>
          <w:b/>
          <w:bCs/>
          <w:sz w:val="32"/>
          <w:szCs w:val="32"/>
        </w:rPr>
        <w:outlineLvl w:val="2"/>
      </w:pPr>
      <w:r/>
      <w:bookmarkStart w:id="79" w:name="_Toc190700448"/>
      <w:r>
        <w:rPr>
          <w:rFonts w:hint="eastAsia"/>
          <w:b/>
          <w:bCs/>
          <w:sz w:val="32"/>
          <w:szCs w:val="32"/>
        </w:rPr>
        <w:t xml:space="preserve">六、定标</w:t>
      </w:r>
      <w:bookmarkEnd w:id="79"/>
      <w:r>
        <w:rPr>
          <w:rFonts w:hint="eastAsia"/>
          <w:b/>
          <w:bCs/>
          <w:sz w:val="32"/>
          <w:szCs w:val="32"/>
        </w:rPr>
      </w:r>
      <w:r/>
    </w:p>
    <w:p>
      <w:pPr>
        <w:pStyle w:val="74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27、确定中标单位</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pStyle w:val="740"/>
        <w:ind w:firstLine="480"/>
        <w:spacing w:line="44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采购人应根据评委会推荐的中标候选人确定中标人。</w:t>
      </w:r>
      <w:r/>
    </w:p>
    <w:p>
      <w:pPr>
        <w:pStyle w:val="740"/>
        <w:ind w:firstLine="480"/>
        <w:spacing w:line="480" w:lineRule="exact"/>
        <w:rPr>
          <w:rFonts w:hint="eastAsia" w:ascii="宋体" w:hAnsi="宋体"/>
          <w:sz w:val="24"/>
          <w:szCs w:val="24"/>
        </w:rPr>
      </w:pPr>
      <w:r>
        <w:rPr>
          <w:rFonts w:hint="eastAsia" w:ascii="宋体" w:hAnsi="宋体"/>
          <w:bCs/>
          <w:sz w:val="24"/>
          <w:szCs w:val="24"/>
        </w:rPr>
        <w:t xml:space="preserve">27</w:t>
      </w:r>
      <w:r>
        <w:rPr>
          <w:rFonts w:hint="eastAsia" w:ascii="宋体" w:hAnsi="宋体"/>
          <w:bCs/>
          <w:sz w:val="24"/>
          <w:szCs w:val="24"/>
        </w:rPr>
        <w:t xml:space="preserve">.3 </w:t>
      </w:r>
      <w:r>
        <w:rPr>
          <w:rFonts w:hint="eastAsia" w:ascii="宋体" w:hAnsi="宋体"/>
          <w:sz w:val="24"/>
          <w:szCs w:val="24"/>
        </w:rPr>
        <w:t xml:space="preserve">交易中心将在“江苏政府采购网”发布中标公告，公告期限为1个工作日。</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40"/>
        <w:ind w:firstLine="480"/>
        <w:spacing w:line="48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40"/>
        <w:ind w:firstLine="480"/>
        <w:spacing w:line="480" w:lineRule="exact"/>
        <w:rPr>
          <w:rFonts w:ascii="宋体" w:hAnsi="宋体"/>
          <w:sz w:val="24"/>
          <w:szCs w:val="24"/>
        </w:rPr>
      </w:pPr>
      <w:r>
        <w:rPr>
          <w:rFonts w:hint="eastAsia" w:ascii="宋体" w:hAnsi="宋体"/>
          <w:sz w:val="24"/>
          <w:szCs w:val="24"/>
        </w:rPr>
        <w:t xml:space="preserve">27.5.1不同投标人的投标文件由同</w:t>
      </w:r>
      <w:r>
        <w:rPr>
          <w:rFonts w:hint="eastAsia" w:ascii="宋体" w:hAnsi="宋体"/>
          <w:sz w:val="24"/>
          <w:szCs w:val="24"/>
        </w:rPr>
        <w:t xml:space="preserve">一单位或者个人编制。</w:t>
      </w:r>
      <w:r>
        <w:rPr>
          <w:rFonts w:ascii="宋体" w:hAnsi="宋体"/>
          <w:sz w:val="24"/>
          <w:szCs w:val="24"/>
        </w:rPr>
      </w:r>
      <w:r/>
    </w:p>
    <w:p>
      <w:pPr>
        <w:pStyle w:val="74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4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4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4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28、质疑处理</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w:t>
      </w:r>
      <w:r>
        <w:rPr>
          <w:rFonts w:hint="eastAsia" w:ascii="宋体" w:hAnsi="宋体"/>
          <w:sz w:val="24"/>
          <w:szCs w:val="24"/>
        </w:rPr>
        <w:t xml:space="preserve">面形式根据下述28.4条款的规定向交易中心或采购人提出质疑。上述应知其权益受到损害之日，是指：</w:t>
      </w:r>
      <w:r/>
    </w:p>
    <w:p>
      <w:pPr>
        <w:pStyle w:val="74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4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4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4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28.3质疑函必须按照本招标</w:t>
      </w:r>
      <w:r>
        <w:rPr>
          <w:rFonts w:hint="eastAsia" w:ascii="宋体" w:hAnsi="宋体"/>
          <w:sz w:val="24"/>
          <w:szCs w:val="24"/>
        </w:rPr>
        <w:t xml:space="preserve">文件中《质疑函范本》要求的格式和内容进行填写。供应商如组成联合体参加投标，则《质疑函范本》中要求签字、盖章、加盖公章之处，联合体各方均须按要求签字、盖章、加盖公章。</w:t>
      </w:r>
      <w:r/>
    </w:p>
    <w:p>
      <w:pPr>
        <w:pStyle w:val="74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40"/>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w:t>
      </w:r>
      <w:r>
        <w:rPr>
          <w:rFonts w:hint="eastAsia" w:ascii="宋体" w:hAnsi="宋体"/>
          <w:sz w:val="24"/>
          <w:szCs w:val="24"/>
        </w:rPr>
        <w:t xml:space="preserve">心不接受未填写快递运单的快件）。</w:t>
      </w:r>
      <w:r/>
    </w:p>
    <w:p>
      <w:pPr>
        <w:pStyle w:val="740"/>
        <w:ind w:firstLine="480"/>
        <w:spacing w:line="480" w:lineRule="exact"/>
        <w:rPr>
          <w:rFonts w:ascii="宋体" w:hAnsi="宋体"/>
          <w:sz w:val="24"/>
          <w:szCs w:val="24"/>
        </w:rPr>
      </w:pPr>
      <w:r>
        <w:rPr>
          <w:rFonts w:hint="eastAsia" w:ascii="宋体" w:hAnsi="宋体"/>
          <w:sz w:val="24"/>
          <w:szCs w:val="24"/>
        </w:rPr>
        <w:t xml:space="preserve">交易中心质疑联系人：质疑处理专岗工作人员  联系地址：苏州市吴江区开平路998号 苏州市公共资源交易中心吴江分中心，联系电话：0512-60905855。</w:t>
      </w:r>
      <w:r>
        <w:rPr>
          <w:rFonts w:ascii="宋体" w:hAnsi="宋体"/>
          <w:sz w:val="24"/>
          <w:szCs w:val="24"/>
        </w:rPr>
      </w:r>
      <w:r/>
    </w:p>
    <w:p>
      <w:pPr>
        <w:pStyle w:val="740"/>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4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4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4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29、中标通知书</w:t>
      </w:r>
      <w:r/>
    </w:p>
    <w:p>
      <w:pPr>
        <w:pStyle w:val="74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w:t>
      </w:r>
      <w:r>
        <w:rPr>
          <w:rFonts w:hint="eastAsia" w:ascii="宋体" w:hAnsi="宋体"/>
          <w:sz w:val="24"/>
          <w:szCs w:val="24"/>
        </w:rPr>
        <w:t xml:space="preserve">系统存储空间有限，自中标结果公告届满之日起30日后，苏采云系统不再保证提供下载中标通知书服务,因未及时下载而造成的不利后果由中标人自行承担。</w:t>
      </w:r>
      <w:r/>
    </w:p>
    <w:p>
      <w:pPr>
        <w:pStyle w:val="74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40"/>
        <w:keepLines/>
        <w:keepNext/>
        <w:spacing w:before="145" w:after="145" w:line="360" w:lineRule="auto"/>
        <w:rPr>
          <w:rFonts w:hint="eastAsia"/>
          <w:b/>
          <w:bCs/>
          <w:sz w:val="32"/>
          <w:szCs w:val="32"/>
        </w:rPr>
        <w:outlineLvl w:val="2"/>
      </w:pPr>
      <w:r/>
      <w:bookmarkStart w:id="80" w:name="_Toc190700449"/>
      <w:r>
        <w:rPr>
          <w:rFonts w:hint="eastAsia"/>
          <w:b/>
          <w:bCs/>
          <w:sz w:val="32"/>
          <w:szCs w:val="32"/>
        </w:rPr>
        <w:t xml:space="preserve">七、授予合同</w:t>
      </w:r>
      <w:bookmarkEnd w:id="80"/>
      <w:r>
        <w:rPr>
          <w:rFonts w:hint="eastAsia"/>
          <w:b/>
          <w:bCs/>
          <w:sz w:val="32"/>
          <w:szCs w:val="32"/>
        </w:rPr>
      </w:r>
      <w:r/>
    </w:p>
    <w:p>
      <w:pPr>
        <w:pStyle w:val="74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30. 签订合同</w:t>
      </w:r>
      <w:r/>
    </w:p>
    <w:p>
      <w:pPr>
        <w:pStyle w:val="74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4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4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40"/>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31、服务（包含与服务相关的货物）的追加</w:t>
      </w:r>
      <w:r/>
    </w:p>
    <w:p>
      <w:pPr>
        <w:pStyle w:val="74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0"/>
        <w:ind w:firstLine="600"/>
        <w:keepLines/>
        <w:keepNext/>
        <w:rPr>
          <w:rFonts w:ascii="黑体" w:hAnsi="宋体" w:eastAsia="黑体"/>
          <w:bCs/>
          <w:sz w:val="30"/>
          <w:szCs w:val="30"/>
        </w:rPr>
        <w:outlineLvl w:val="3"/>
      </w:pPr>
      <w:r>
        <w:rPr>
          <w:rFonts w:hint="eastAsia" w:ascii="黑体" w:hAnsi="宋体" w:eastAsia="黑体"/>
          <w:bCs/>
          <w:sz w:val="30"/>
          <w:szCs w:val="30"/>
        </w:rPr>
        <w:t xml:space="preserve">32、政府采购履约资金扶持政策</w:t>
      </w:r>
      <w:r>
        <w:rPr>
          <w:rFonts w:ascii="黑体" w:hAnsi="宋体" w:eastAsia="黑体"/>
          <w:bCs/>
          <w:sz w:val="30"/>
          <w:szCs w:val="30"/>
        </w:rPr>
      </w:r>
      <w:r/>
    </w:p>
    <w:p>
      <w:pPr>
        <w:pStyle w:val="740"/>
        <w:ind w:firstLine="420"/>
        <w:rPr>
          <w:rFonts w:hint="eastAsia"/>
          <w:szCs w:val="21"/>
        </w:rPr>
      </w:pPr>
      <w:r>
        <w:rPr>
          <w:rFonts w:hint="eastAsia" w:ascii="宋体" w:hAnsi="宋体"/>
          <w:bCs/>
          <w:sz w:val="24"/>
          <w:szCs w:val="21"/>
        </w:rPr>
        <w:t xml:space="preserve">中标人可凭政府采购合同办理融资贷款，详情请见</w:t>
      </w:r>
      <w:r>
        <w:rPr>
          <w:rFonts w:hint="eastAsia" w:ascii="宋体" w:hAnsi="宋体"/>
          <w:bCs/>
          <w:sz w:val="24"/>
          <w:szCs w:val="21"/>
        </w:rPr>
        <w:t xml:space="preserve">江苏政府采购网“政采贷”专栏。</w:t>
      </w:r>
      <w:r>
        <w:rPr>
          <w:rFonts w:hint="eastAsia"/>
          <w:szCs w:val="21"/>
        </w:rPr>
      </w:r>
      <w:r/>
    </w:p>
    <w:p>
      <w:pPr>
        <w:pStyle w:val="740"/>
        <w:jc w:val="center"/>
        <w:keepNext/>
        <w:rPr>
          <w:rFonts w:hint="eastAsia" w:ascii="黑体" w:eastAsia="黑体"/>
          <w:bCs/>
          <w:sz w:val="44"/>
          <w:szCs w:val="28"/>
        </w:rPr>
        <w:outlineLvl w:val="0"/>
      </w:pPr>
      <w:r>
        <w:rPr>
          <w:rFonts w:ascii="黑体" w:eastAsia="黑体"/>
          <w:bCs/>
          <w:sz w:val="44"/>
          <w:szCs w:val="28"/>
        </w:rPr>
        <w:br w:type="page" w:clear="all"/>
      </w:r>
      <w:bookmarkStart w:id="81" w:name="_Toc190700450"/>
      <w:r>
        <w:rPr>
          <w:rFonts w:hint="eastAsia" w:ascii="黑体" w:eastAsia="黑体"/>
          <w:bCs/>
          <w:sz w:val="44"/>
          <w:szCs w:val="28"/>
        </w:rPr>
        <w:t xml:space="preserve">第三章  合同</w:t>
      </w:r>
      <w:bookmarkEnd w:id="59"/>
      <w:r/>
      <w:bookmarkEnd w:id="60"/>
      <w:r/>
      <w:bookmarkEnd w:id="61"/>
      <w:r/>
      <w:bookmarkEnd w:id="62"/>
      <w:r/>
      <w:bookmarkEnd w:id="63"/>
      <w:r>
        <w:rPr>
          <w:rFonts w:hint="eastAsia" w:ascii="黑体" w:eastAsia="黑体"/>
          <w:bCs/>
          <w:sz w:val="44"/>
          <w:szCs w:val="28"/>
        </w:rPr>
        <w:t xml:space="preserve">文本</w:t>
      </w:r>
      <w:bookmarkEnd w:id="81"/>
      <w:r>
        <w:rPr>
          <w:rFonts w:hint="eastAsia" w:ascii="黑体" w:eastAsia="黑体"/>
          <w:bCs/>
          <w:sz w:val="44"/>
          <w:szCs w:val="28"/>
        </w:rPr>
      </w:r>
      <w:r/>
    </w:p>
    <w:p>
      <w:pPr>
        <w:pStyle w:val="740"/>
        <w:ind w:firstLine="480"/>
        <w:spacing w:line="500" w:lineRule="exact"/>
        <w:rPr>
          <w:rFonts w:ascii="宋体" w:hAnsi="宋体"/>
          <w:bCs/>
          <w:sz w:val="24"/>
          <w:szCs w:val="21"/>
        </w:rPr>
      </w:pPr>
      <w:r/>
      <w:bookmarkStart w:id="82" w:name="_Toc513029243"/>
      <w:r/>
      <w:bookmarkStart w:id="83" w:name="_Toc20823315"/>
      <w:r/>
      <w:bookmarkStart w:id="84" w:name="_Toc16938559"/>
      <w:r/>
      <w:bookmarkStart w:id="85" w:name="_Hlt16619350"/>
      <w:r/>
      <w:bookmarkStart w:id="86" w:name="_Toc20823346"/>
      <w:r/>
      <w:bookmarkStart w:id="87" w:name="_Toc120614244"/>
      <w:r/>
      <w:bookmarkStart w:id="88" w:name="_Toc16938590"/>
      <w:r/>
      <w:bookmarkStart w:id="89" w:name="_Toc479757211"/>
      <w:r/>
      <w:bookmarkStart w:id="90" w:name="_Toc462564139"/>
      <w:r>
        <w:rPr>
          <w:rFonts w:hint="eastAsia" w:ascii="宋体" w:hAnsi="宋体"/>
          <w:bCs/>
          <w:sz w:val="24"/>
          <w:szCs w:val="21"/>
        </w:rPr>
        <w:t xml:space="preserve">以下为中标后签定本项目合同的通用条款，中标人不得提出实质性的修改。</w:t>
      </w:r>
      <w:r>
        <w:rPr>
          <w:rFonts w:ascii="宋体" w:hAnsi="宋体"/>
          <w:bCs/>
          <w:sz w:val="24"/>
          <w:szCs w:val="21"/>
        </w:rPr>
      </w:r>
      <w:r/>
    </w:p>
    <w:p>
      <w:pPr>
        <w:pStyle w:val="776"/>
        <w:rPr>
          <w:rFonts w:hint="eastAsia"/>
        </w:rPr>
      </w:pPr>
      <w:r>
        <w:rPr>
          <w:rFonts w:hint="eastAsia"/>
        </w:rPr>
      </w:r>
      <w:r/>
    </w:p>
    <w:p>
      <w:pPr>
        <w:pStyle w:val="740"/>
        <w:jc w:val="center"/>
        <w:rPr>
          <w:b/>
          <w:bCs/>
          <w:sz w:val="28"/>
          <w:szCs w:val="24"/>
        </w:rPr>
      </w:pPr>
      <w:r>
        <w:rPr>
          <w:rFonts w:hint="eastAsia"/>
          <w:b/>
          <w:bCs/>
          <w:sz w:val="28"/>
          <w:szCs w:val="32"/>
        </w:rPr>
        <w:t xml:space="preserve">江苏省政府采购合同（货物）（合同编号）</w:t>
      </w:r>
      <w:r>
        <w:rPr>
          <w:b/>
          <w:bCs/>
          <w:sz w:val="28"/>
          <w:szCs w:val="24"/>
        </w:rPr>
      </w:r>
      <w:r/>
    </w:p>
    <w:p>
      <w:pPr>
        <w:pStyle w:val="740"/>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740"/>
        <w:spacing w:before="120" w:after="120"/>
        <w:rPr>
          <w:rFonts w:ascii="宋体" w:hAnsi="宋体" w:cs="Courier New"/>
          <w:sz w:val="24"/>
          <w:szCs w:val="24"/>
        </w:rPr>
      </w:pPr>
      <w:r>
        <w:rPr>
          <w:rFonts w:ascii="宋体" w:hAnsi="宋体" w:cs="Courier New"/>
          <w:sz w:val="24"/>
          <w:szCs w:val="24"/>
        </w:rPr>
        <w:t xml:space="preserve">甲方：（买方）_________</w:t>
      </w:r>
      <w:r/>
    </w:p>
    <w:p>
      <w:pPr>
        <w:pStyle w:val="740"/>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40"/>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ascii="宋体" w:hAnsi="宋体" w:cs="Courier New"/>
          <w:b/>
          <w:sz w:val="24"/>
          <w:szCs w:val="24"/>
        </w:rPr>
      </w:r>
      <w:r/>
    </w:p>
    <w:p>
      <w:pPr>
        <w:pStyle w:val="740"/>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740"/>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40"/>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740"/>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4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pStyle w:val="740"/>
        <w:spacing w:before="120" w:after="120"/>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r>
      <w:r/>
    </w:p>
    <w:p>
      <w:pPr>
        <w:pStyle w:val="740"/>
        <w:spacing w:before="120" w:after="120"/>
        <w:rPr>
          <w:rFonts w:ascii="宋体" w:hAnsi="宋体" w:cs="Courier New"/>
          <w:b/>
          <w:sz w:val="24"/>
          <w:szCs w:val="24"/>
        </w:rPr>
      </w:pPr>
      <w:r>
        <w:rPr>
          <w:rFonts w:ascii="宋体" w:hAnsi="宋体" w:cs="Courier New"/>
          <w:b/>
          <w:sz w:val="24"/>
          <w:szCs w:val="24"/>
        </w:rPr>
        <w:t xml:space="preserve">二、合同金额</w:t>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w:t>
      </w:r>
      <w:r>
        <w:rPr>
          <w:rFonts w:hint="eastAsia" w:ascii="宋体" w:hAnsi="宋体" w:cs="Courier New"/>
          <w:sz w:val="24"/>
          <w:szCs w:val="24"/>
        </w:rPr>
        <w:t xml:space="preserve">圆</w:t>
      </w:r>
      <w:r>
        <w:rPr>
          <w:rFonts w:ascii="宋体" w:hAnsi="宋体" w:cs="Courier New"/>
          <w:sz w:val="24"/>
          <w:szCs w:val="24"/>
        </w:rPr>
        <w:t xml:space="preserve">（___元）人民币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740"/>
        <w:spacing w:before="120" w:after="120"/>
        <w:rPr>
          <w:rFonts w:ascii="宋体" w:hAnsi="宋体" w:cs="Courier New"/>
          <w:b/>
          <w:sz w:val="24"/>
          <w:szCs w:val="24"/>
        </w:rPr>
      </w:pPr>
      <w:r>
        <w:rPr>
          <w:rFonts w:ascii="宋体" w:hAnsi="宋体" w:cs="Courier New"/>
          <w:b/>
          <w:sz w:val="24"/>
          <w:szCs w:val="24"/>
        </w:rPr>
        <w:t xml:space="preserve">三、技术资料</w:t>
      </w:r>
      <w:r/>
    </w:p>
    <w:p>
      <w:pPr>
        <w:pStyle w:val="740"/>
        <w:ind w:left="410" w:hanging="410"/>
        <w:spacing w:before="120" w:after="120"/>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740"/>
        <w:spacing w:line="0" w:lineRule="atLeast"/>
        <w:rPr>
          <w:rFonts w:hint="eastAsia" w:ascii="宋体" w:hAnsi="宋体"/>
          <w:sz w:val="24"/>
          <w:szCs w:val="21"/>
        </w:rPr>
      </w:pPr>
      <w:r>
        <w:rPr>
          <w:rFonts w:hAnsi="宋体"/>
          <w:sz w:val="24"/>
          <w:szCs w:val="24"/>
        </w:rPr>
        <w:t xml:space="preserve">4.1乙</w:t>
      </w:r>
      <w:r>
        <w:rPr>
          <w:rFonts w:hint="eastAsia" w:ascii="宋体" w:hAnsi="宋体"/>
          <w:sz w:val="24"/>
          <w:szCs w:val="21"/>
        </w:rPr>
        <w:t xml:space="preserve">方应保证甲方在使用、接受本合同货物</w:t>
      </w:r>
      <w:r>
        <w:rPr>
          <w:rFonts w:hint="eastAsia" w:hAnsi="宋体"/>
          <w:sz w:val="24"/>
          <w:szCs w:val="24"/>
        </w:rPr>
        <w:t xml:space="preserve">（包含与货物相关的服务）</w:t>
      </w:r>
      <w:r>
        <w:rPr>
          <w:rFonts w:hint="eastAsia" w:ascii="宋体" w:hAnsi="宋体"/>
          <w:sz w:val="24"/>
          <w:szCs w:val="21"/>
        </w:rPr>
        <w:t xml:space="preserve">或其任何一部分时不受第三方提出侵犯其专利权、版权、商标权和工业设计权等知识产权的起诉。一旦出现侵权，由乙方负全部责任。</w:t>
      </w:r>
      <w:r/>
    </w:p>
    <w:p>
      <w:pPr>
        <w:pStyle w:val="740"/>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40"/>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40"/>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40"/>
        <w:ind w:left="408" w:hanging="408"/>
        <w:spacing w:before="120" w:after="120"/>
        <w:rPr>
          <w:rFonts w:hint="eastAsia" w:ascii="宋体" w:hAnsi="宋体" w:cs="Courier New"/>
          <w:sz w:val="24"/>
          <w:szCs w:val="24"/>
        </w:rPr>
      </w:pPr>
      <w:r>
        <w:rPr>
          <w:rFonts w:hint="eastAsia" w:ascii="宋体" w:hAnsi="宋体" w:cs="Courier New"/>
          <w:sz w:val="24"/>
          <w:szCs w:val="24"/>
        </w:rPr>
        <w:t xml:space="preserve">无</w:t>
      </w:r>
      <w:r/>
    </w:p>
    <w:p>
      <w:pPr>
        <w:pStyle w:val="740"/>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40"/>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740"/>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740"/>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740"/>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740"/>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740"/>
        <w:spacing w:before="145" w:after="145"/>
        <w:rPr>
          <w:rFonts w:hint="eastAsia" w:ascii="宋体" w:hAnsi="宋体"/>
          <w:sz w:val="24"/>
          <w:szCs w:val="24"/>
        </w:rPr>
      </w:pPr>
      <w:r>
        <w:rPr>
          <w:rFonts w:hint="eastAsia" w:ascii="宋体" w:hAnsi="宋体"/>
          <w:sz w:val="24"/>
          <w:szCs w:val="24"/>
        </w:rPr>
        <w:t xml:space="preserve">8．1.1进度安排：自合同生效之日起，甲方支付合同总价款的30%作为预付款；乙方在12个月内完成设备分批供货及安装，并配合甲方完成验收，并由乙方提前向甲方提供下列单据（A、B、C)后15日内，无任何争议情况下，甲方向乙方支付验收货款的70%。</w:t>
      </w:r>
      <w:r/>
    </w:p>
    <w:p>
      <w:pPr>
        <w:pStyle w:val="740"/>
        <w:spacing w:before="145" w:after="145"/>
        <w:rPr>
          <w:rFonts w:hint="eastAsia" w:ascii="宋体" w:hAnsi="宋体"/>
          <w:sz w:val="24"/>
          <w:szCs w:val="24"/>
        </w:rPr>
      </w:pPr>
      <w:r>
        <w:rPr>
          <w:rFonts w:hint="eastAsia" w:ascii="宋体" w:hAnsi="宋体"/>
          <w:sz w:val="24"/>
          <w:szCs w:val="24"/>
        </w:rPr>
        <w:t xml:space="preserve">A 甲乙方签字确认的《采购验收单》</w:t>
      </w:r>
      <w:r/>
    </w:p>
    <w:p>
      <w:pPr>
        <w:pStyle w:val="740"/>
        <w:spacing w:before="145" w:after="145"/>
        <w:rPr>
          <w:rFonts w:hint="eastAsia" w:ascii="宋体" w:hAnsi="宋体"/>
          <w:sz w:val="24"/>
          <w:szCs w:val="24"/>
        </w:rPr>
      </w:pPr>
      <w:r>
        <w:rPr>
          <w:rFonts w:hint="eastAsia" w:ascii="宋体" w:hAnsi="宋体"/>
          <w:sz w:val="24"/>
          <w:szCs w:val="24"/>
        </w:rPr>
        <w:t xml:space="preserve">B 乙方出具的满足甲方要求的合格销售发票</w:t>
      </w:r>
      <w:r/>
    </w:p>
    <w:p>
      <w:pPr>
        <w:pStyle w:val="740"/>
        <w:spacing w:before="145" w:after="145"/>
        <w:rPr>
          <w:rFonts w:hint="eastAsia" w:ascii="宋体" w:hAnsi="宋体"/>
          <w:sz w:val="24"/>
          <w:szCs w:val="24"/>
        </w:rPr>
      </w:pPr>
      <w:r>
        <w:rPr>
          <w:rFonts w:hint="eastAsia" w:ascii="宋体" w:hAnsi="宋体"/>
          <w:sz w:val="24"/>
          <w:szCs w:val="24"/>
        </w:rPr>
        <w:t xml:space="preserve">C 其他验收资料</w:t>
      </w:r>
      <w:r/>
    </w:p>
    <w:p>
      <w:pPr>
        <w:pStyle w:val="740"/>
        <w:spacing w:before="145" w:after="145"/>
        <w:rPr>
          <w:rFonts w:hint="eastAsia" w:ascii="宋体" w:hAnsi="宋体"/>
          <w:sz w:val="24"/>
          <w:szCs w:val="24"/>
        </w:rPr>
      </w:pPr>
      <w:r>
        <w:rPr>
          <w:rFonts w:hint="eastAsia" w:ascii="宋体" w:hAnsi="宋体"/>
          <w:sz w:val="24"/>
          <w:szCs w:val="24"/>
        </w:rPr>
        <w:t xml:space="preserve">8．1.2支付</w:t>
      </w:r>
      <w:r>
        <w:rPr>
          <w:rFonts w:ascii="宋体" w:hAnsi="宋体"/>
          <w:sz w:val="24"/>
          <w:szCs w:val="24"/>
        </w:rPr>
        <w:t xml:space="preserve">方式：银行汇票或转帐支票。</w:t>
      </w:r>
      <w:r>
        <w:rPr>
          <w:rFonts w:hint="eastAsia" w:ascii="宋体" w:hAnsi="宋体"/>
          <w:sz w:val="24"/>
          <w:szCs w:val="24"/>
        </w:rPr>
      </w:r>
      <w:r/>
    </w:p>
    <w:p>
      <w:pPr>
        <w:pStyle w:val="740"/>
        <w:ind w:left="480" w:hanging="480"/>
        <w:spacing w:before="120" w:after="120"/>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应根据实际使用量供货，合同的最终结算金额按实际使用量乘以</w:t>
      </w:r>
      <w:r>
        <w:rPr>
          <w:rFonts w:ascii="宋体" w:hAnsi="宋体" w:cs="Courier New"/>
          <w:sz w:val="24"/>
          <w:szCs w:val="24"/>
        </w:rPr>
        <w:t xml:space="preserve">成交单价进行计算。</w:t>
      </w:r>
      <w:r>
        <w:rPr>
          <w:rFonts w:ascii="宋体" w:hAnsi="宋体" w:cs="Courier New"/>
          <w:bCs/>
          <w:sz w:val="24"/>
          <w:szCs w:val="24"/>
        </w:rPr>
      </w:r>
      <w:r/>
    </w:p>
    <w:p>
      <w:pPr>
        <w:pStyle w:val="740"/>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40"/>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0"/>
        <w:ind w:left="412" w:hanging="412"/>
        <w:spacing w:before="120" w:after="120"/>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rPr>
          <w:rFonts w:ascii="宋体" w:hAnsi="宋体" w:cs="Courier New"/>
          <w:sz w:val="24"/>
          <w:szCs w:val="24"/>
        </w:rPr>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pStyle w:val="740"/>
        <w:ind w:firstLine="420"/>
        <w:spacing w:before="120" w:after="120"/>
        <w:rPr>
          <w:rFonts w:ascii="宋体" w:hAnsi="宋体" w:cs="Courier New"/>
          <w:sz w:val="24"/>
          <w:szCs w:val="24"/>
        </w:rPr>
      </w:pPr>
      <w:r>
        <w:rPr>
          <w:rFonts w:ascii="宋体" w:hAnsi="宋体" w:cs="Courier New"/>
          <w:sz w:val="24"/>
          <w:szCs w:val="24"/>
        </w:rPr>
        <w:t xml:space="preserve">⑴更换：由乙方承担所发生的全部费用。</w:t>
      </w:r>
      <w:r/>
    </w:p>
    <w:p>
      <w:pPr>
        <w:pStyle w:val="740"/>
        <w:ind w:firstLine="420"/>
        <w:spacing w:before="120" w:after="120"/>
        <w:rPr>
          <w:rFonts w:ascii="宋体" w:hAnsi="宋体" w:cs="Courier New"/>
          <w:sz w:val="24"/>
          <w:szCs w:val="24"/>
        </w:rPr>
      </w:pPr>
      <w:r>
        <w:rPr>
          <w:rFonts w:ascii="宋体" w:hAnsi="宋体" w:cs="Courier New"/>
          <w:sz w:val="24"/>
          <w:szCs w:val="24"/>
        </w:rPr>
        <w:t xml:space="preserve">⑵贬值处理：由甲乙双方合议定价。</w:t>
      </w:r>
      <w:r/>
    </w:p>
    <w:p>
      <w:pPr>
        <w:pStyle w:val="740"/>
        <w:ind w:left="420"/>
        <w:spacing w:before="120" w:after="120"/>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三</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年（自交货验收合格之日起计），因人为因素出现的故障不在免费保修范围内。超过保修期的机器设备，终生维修，维修时只收部件成本费。</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w:t>
      </w:r>
      <w:r>
        <w:rPr>
          <w:rFonts w:hint="eastAsia" w:ascii="宋体" w:hAnsi="宋体" w:cs="Courier New"/>
          <w:sz w:val="24"/>
          <w:szCs w:val="24"/>
        </w:rPr>
        <w:t xml:space="preserve">式、程序等内容，并可根据项目特点对服务期内的服务实施情况进行分期考核，综合考核情况和服务效果进行验收。乙方应根据验收方案内容做好相应配合工作。</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0"/>
        <w:spacing w:before="120" w:after="12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w:t>
      </w:r>
      <w:r>
        <w:rPr>
          <w:rFonts w:ascii="宋体" w:hAnsi="宋体" w:cs="Courier New"/>
          <w:sz w:val="24"/>
          <w:szCs w:val="24"/>
        </w:rPr>
        <w:t xml:space="preserve">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pStyle w:val="740"/>
        <w:ind w:left="480" w:right="26" w:hanging="480"/>
        <w:spacing w:before="156" w:after="15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.2 甲方无故逾期验收和办理货款支付手续的,甲方应按逾期付款总额每日</w:t>
      </w:r>
      <w:r>
        <w:rPr>
          <w:rFonts w:hint="eastAsia" w:ascii="宋体" w:hAnsi="宋体" w:cs="Courier New"/>
          <w:sz w:val="24"/>
          <w:szCs w:val="24"/>
          <w:u w:val="single"/>
        </w:rPr>
        <w:t xml:space="preserve">    </w:t>
      </w:r>
      <w:r>
        <w:rPr>
          <w:rFonts w:ascii="宋体" w:hAnsi="宋体" w:cs="Courier New"/>
          <w:sz w:val="24"/>
          <w:szCs w:val="24"/>
        </w:rPr>
        <w:t xml:space="preserve">向乙方支付违约金。</w:t>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w:t>
      </w:r>
      <w:r>
        <w:rPr>
          <w:rFonts w:ascii="宋体" w:hAnsi="宋体" w:cs="Courier New"/>
          <w:sz w:val="24"/>
          <w:szCs w:val="24"/>
        </w:rPr>
        <w:t xml:space="preserve">。 </w:t>
      </w:r>
      <w:r/>
    </w:p>
    <w:p>
      <w:pPr>
        <w:pStyle w:val="74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40"/>
        <w:ind w:left="480" w:hanging="480"/>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w:t>
      </w:r>
      <w:r>
        <w:rPr>
          <w:rFonts w:hint="eastAsia" w:ascii="宋体" w:hAnsi="宋体" w:cs="Courier New"/>
          <w:sz w:val="24"/>
          <w:szCs w:val="24"/>
        </w:rPr>
        <w:t xml:space="preserve">甲乙</w:t>
      </w:r>
      <w:r>
        <w:rPr>
          <w:rFonts w:ascii="宋体" w:hAnsi="宋体" w:cs="Courier New"/>
          <w:sz w:val="24"/>
          <w:szCs w:val="24"/>
        </w:rPr>
        <w:t xml:space="preserve">双方</w:t>
      </w:r>
      <w:r>
        <w:rPr>
          <w:rFonts w:hint="eastAsia" w:ascii="宋体" w:hAnsi="宋体" w:cs="Courier New"/>
          <w:sz w:val="24"/>
          <w:szCs w:val="24"/>
        </w:rPr>
        <w:t xml:space="preserve">因</w:t>
      </w:r>
      <w:r>
        <w:rPr>
          <w:rFonts w:ascii="宋体" w:hAnsi="宋体" w:cs="Courier New"/>
          <w:sz w:val="24"/>
          <w:szCs w:val="24"/>
        </w:rPr>
        <w:t xml:space="preserve">合同</w:t>
      </w:r>
      <w:r>
        <w:rPr>
          <w:rFonts w:hint="eastAsia" w:ascii="宋体" w:hAnsi="宋体" w:cs="Courier New"/>
          <w:sz w:val="24"/>
          <w:szCs w:val="24"/>
        </w:rPr>
        <w:t xml:space="preserve">签订、履行而</w:t>
      </w:r>
      <w:r>
        <w:rPr>
          <w:rFonts w:ascii="宋体" w:hAnsi="宋体" w:cs="Courier New"/>
          <w:sz w:val="24"/>
          <w:szCs w:val="24"/>
        </w:rPr>
        <w:t xml:space="preserve">发生的一切争议，应通过</w:t>
      </w:r>
      <w:r>
        <w:rPr>
          <w:rFonts w:hint="eastAsia" w:ascii="宋体" w:hAnsi="宋体" w:cs="Courier New"/>
          <w:sz w:val="24"/>
          <w:szCs w:val="24"/>
        </w:rPr>
        <w:t xml:space="preserve">友好</w:t>
      </w:r>
      <w:r>
        <w:rPr>
          <w:rFonts w:ascii="宋体" w:hAnsi="宋体" w:cs="Courier New"/>
          <w:sz w:val="24"/>
          <w:szCs w:val="24"/>
        </w:rPr>
        <w:t xml:space="preserve">协商解决。如协商不成</w:t>
      </w:r>
      <w:r>
        <w:rPr>
          <w:rFonts w:hint="eastAsia" w:ascii="宋体" w:hAnsi="宋体" w:cs="Courier New"/>
          <w:sz w:val="24"/>
          <w:szCs w:val="24"/>
        </w:rPr>
        <w:t xml:space="preserve">由甲方住所地人民</w:t>
      </w:r>
      <w:r>
        <w:rPr>
          <w:rFonts w:ascii="宋体" w:hAnsi="宋体" w:cs="Courier New"/>
          <w:sz w:val="24"/>
          <w:szCs w:val="24"/>
        </w:rPr>
        <w:t xml:space="preserve">法院</w:t>
      </w:r>
      <w:r>
        <w:rPr>
          <w:rFonts w:hint="eastAsia" w:ascii="宋体" w:hAnsi="宋体" w:cs="Courier New"/>
          <w:sz w:val="24"/>
          <w:szCs w:val="24"/>
        </w:rPr>
        <w:t xml:space="preserve">管辖。</w:t>
      </w:r>
      <w:r/>
    </w:p>
    <w:p>
      <w:pPr>
        <w:pStyle w:val="74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、合同生效及其它</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74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74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740"/>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740"/>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740"/>
        <w:spacing w:before="120" w:after="120" w:line="0" w:lineRule="atLeast"/>
        <w:rPr>
          <w:rFonts w:ascii="宋体" w:hAnsi="宋体" w:cs="Courier New"/>
          <w:sz w:val="24"/>
          <w:szCs w:val="24"/>
        </w:rPr>
      </w:pPr>
      <w:r>
        <w:rPr>
          <w:rFonts w:ascii="宋体" w:hAnsi="宋体" w:cs="Courier New"/>
          <w:sz w:val="24"/>
          <w:szCs w:val="24"/>
        </w:rPr>
        <w:t xml:space="preserve">  法</w:t>
      </w:r>
      <w:r>
        <w:rPr>
          <w:rFonts w:ascii="宋体" w:hAnsi="宋体" w:cs="Courier New"/>
          <w:sz w:val="24"/>
          <w:szCs w:val="24"/>
        </w:rPr>
        <w:t xml:space="preserve">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740"/>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40"/>
        <w:jc w:val="center"/>
        <w:spacing w:before="120" w:after="120" w:line="0" w:lineRule="atLeast"/>
        <w:rPr>
          <w:rFonts w:hint="eastAsia" w:ascii="宋体" w:hAnsi="宋体" w:cs="Courier New"/>
          <w:sz w:val="24"/>
          <w:szCs w:val="24"/>
        </w:rPr>
      </w:pPr>
      <w:r>
        <w:rPr>
          <w:rFonts w:hint="eastAsia" w:ascii="宋体" w:hAnsi="Courier New" w:cs="Courier New"/>
          <w:szCs w:val="21"/>
        </w:rPr>
        <w:t xml:space="preserve">                 </w:t>
      </w:r>
      <w:r>
        <w:rPr>
          <w:rFonts w:hint="eastAsia" w:ascii="宋体" w:hAnsi="宋体" w:cs="Courier New"/>
          <w:sz w:val="24"/>
          <w:szCs w:val="24"/>
        </w:rPr>
        <w:t xml:space="preserve">   </w:t>
      </w:r>
      <w:r/>
    </w:p>
    <w:p>
      <w:pPr>
        <w:pStyle w:val="740"/>
        <w:jc w:val="center"/>
        <w:spacing w:before="120" w:after="120" w:line="0" w:lineRule="atLeast"/>
        <w:rPr>
          <w:rFonts w:hint="eastAsia" w:ascii="宋体" w:hAnsi="宋体" w:cs="Courier New"/>
          <w:sz w:val="24"/>
          <w:szCs w:val="24"/>
        </w:rPr>
      </w:pPr>
      <w:r>
        <w:rPr>
          <w:rFonts w:hint="eastAsia" w:ascii="宋体" w:hAnsi="宋体" w:cs="Courier New"/>
          <w:sz w:val="24"/>
          <w:szCs w:val="24"/>
        </w:rPr>
      </w:r>
      <w:r/>
    </w:p>
    <w:p>
      <w:pPr>
        <w:pStyle w:val="740"/>
        <w:jc w:val="center"/>
        <w:spacing w:before="120" w:after="120" w:line="0" w:lineRule="atLeast"/>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t xml:space="preserve">签订日期：      年  </w:t>
      </w:r>
      <w:r>
        <w:rPr>
          <w:rFonts w:hint="eastAsia" w:ascii="宋体" w:hAnsi="宋体" w:cs="Courier New"/>
          <w:sz w:val="24"/>
          <w:szCs w:val="24"/>
        </w:rPr>
        <w:t xml:space="preserve">  </w:t>
      </w:r>
      <w:r>
        <w:rPr>
          <w:rFonts w:ascii="宋体" w:hAnsi="宋体" w:cs="Courier New"/>
          <w:sz w:val="24"/>
          <w:szCs w:val="24"/>
        </w:rPr>
        <w:t xml:space="preserve">月  </w:t>
      </w:r>
      <w:r>
        <w:rPr>
          <w:rFonts w:hint="eastAsia" w:ascii="宋体" w:hAnsi="宋体" w:cs="Courier New"/>
          <w:sz w:val="24"/>
          <w:szCs w:val="24"/>
        </w:rPr>
        <w:t xml:space="preserve"> </w:t>
      </w:r>
      <w:r>
        <w:rPr>
          <w:rFonts w:ascii="宋体" w:hAnsi="宋体" w:cs="Courier New"/>
          <w:sz w:val="24"/>
          <w:szCs w:val="24"/>
        </w:rPr>
        <w:t xml:space="preserve">日</w:t>
      </w:r>
      <w:bookmarkEnd w:id="82"/>
      <w:r/>
      <w:bookmarkEnd w:id="83"/>
      <w:r/>
      <w:bookmarkEnd w:id="84"/>
      <w:r/>
      <w:bookmarkStart w:id="91" w:name="_Hlt16619369"/>
      <w:r/>
      <w:bookmarkEnd w:id="91"/>
      <w:r>
        <w:rPr>
          <w:rFonts w:ascii="宋体" w:hAnsi="宋体" w:cs="Courier New"/>
          <w:sz w:val="24"/>
          <w:szCs w:val="24"/>
        </w:rPr>
      </w:r>
      <w:r/>
    </w:p>
    <w:p>
      <w:pPr>
        <w:pStyle w:val="776"/>
      </w:pPr>
      <w:r/>
      <w:r/>
    </w:p>
    <w:p>
      <w:pPr>
        <w:pStyle w:val="740"/>
      </w:pPr>
      <w:r/>
      <w:r/>
    </w:p>
    <w:p>
      <w:pPr>
        <w:pStyle w:val="740"/>
      </w:pPr>
      <w:r/>
      <w:r/>
    </w:p>
    <w:p>
      <w:pPr>
        <w:pStyle w:val="740"/>
      </w:pPr>
      <w:r/>
      <w:r/>
    </w:p>
    <w:p>
      <w:pPr>
        <w:pStyle w:val="740"/>
      </w:pPr>
      <w:r/>
      <w:r/>
    </w:p>
    <w:p>
      <w:pPr>
        <w:pStyle w:val="776"/>
        <w:ind w:left="0"/>
        <w:jc w:val="left"/>
        <w:rPr>
          <w:rFonts w:hint="eastAsia"/>
          <w:b/>
          <w:bCs/>
        </w:rPr>
      </w:pPr>
      <w:r>
        <w:rPr>
          <w:rFonts w:hint="eastAsia"/>
          <w:b/>
          <w:bCs/>
        </w:rPr>
        <w:t xml:space="preserve">合同附件：</w:t>
      </w:r>
      <w:r/>
    </w:p>
    <w:p>
      <w:pPr>
        <w:pStyle w:val="776"/>
        <w:ind w:left="0"/>
        <w:jc w:val="left"/>
        <w:rPr>
          <w:rFonts w:hint="eastAsia"/>
          <w:b/>
          <w:bCs/>
        </w:rPr>
      </w:pPr>
      <w:r>
        <w:rPr>
          <w:rFonts w:hint="eastAsia"/>
          <w:b/>
          <w:bCs/>
        </w:rPr>
        <w:t xml:space="preserve">                                   验收方案</w:t>
      </w:r>
      <w:r/>
    </w:p>
    <w:p>
      <w:pPr>
        <w:pStyle w:val="740"/>
        <w:rPr>
          <w:rFonts w:ascii="宋体" w:hAnsi="宋体" w:cs="Courier New"/>
          <w:sz w:val="24"/>
          <w:szCs w:val="24"/>
        </w:rPr>
      </w:pPr>
      <w:r>
        <w:rPr>
          <w:rFonts w:hint="eastAsia" w:ascii="宋体" w:hAnsi="宋体" w:cs="Courier New"/>
          <w:sz w:val="24"/>
          <w:szCs w:val="24"/>
        </w:rPr>
        <w:t xml:space="preserve">项目验收方案</w:t>
      </w:r>
      <w:r>
        <w:rPr>
          <w:rFonts w:ascii="宋体" w:hAnsi="宋体" w:cs="Courier New"/>
          <w:sz w:val="24"/>
          <w:szCs w:val="24"/>
        </w:rPr>
      </w:r>
      <w:r/>
    </w:p>
    <w:p>
      <w:pPr>
        <w:pStyle w:val="740"/>
        <w:rPr>
          <w:rFonts w:hint="eastAsia"/>
        </w:rPr>
      </w:pPr>
      <w:r>
        <w:rPr>
          <w:rFonts w:hint="eastAsia"/>
        </w:rPr>
        <w:t xml:space="preserve">验收单位：苏州市吴江区第九人民医院 （具体人员另行安排）</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甲方依法组织履约验收工作。</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甲方在组织履约验收前，将根据项目特点制定验收方案，明确履约验收的时间、方式、程序</w:t>
      </w:r>
      <w:r>
        <w:rPr>
          <w:rFonts w:hint="eastAsia" w:ascii="宋体" w:hAnsi="宋体" w:cs="Courier New"/>
          <w:sz w:val="24"/>
          <w:szCs w:val="24"/>
        </w:rPr>
        <w:t xml:space="preserve">等内容，并可根据项目特点对服务期内的服务实施情况进行分期考核，综合考核情况和服务效果进行验收。乙方应根据验收方案内容做好相应配合工作。</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对于实际使用人和甲方分离的项目，甲方邀请实际使用人参与验收。</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如有必要，甲方邀请参加本项目的其他供应商或第三方专业机构及专家参与验收，相关意见将作为验收书的参考资料。</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w:t>
      </w:r>
      <w:r>
        <w:rPr>
          <w:rFonts w:hint="eastAsia" w:ascii="宋体" w:hAnsi="宋体" w:cs="Courier New"/>
          <w:sz w:val="24"/>
          <w:szCs w:val="24"/>
        </w:rPr>
        <w:t xml:space="preserve">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0"/>
        <w:numPr>
          <w:ilvl w:val="0"/>
          <w:numId w:val="2"/>
        </w:numPr>
        <w:spacing w:before="120" w:after="120"/>
        <w:rPr>
          <w:rFonts w:hint="eastAsia" w:ascii="宋体" w:hAnsi="宋体" w:cs="Courier New"/>
          <w:sz w:val="24"/>
          <w:szCs w:val="24"/>
        </w:rPr>
      </w:pPr>
      <w:r>
        <w:rPr>
          <w:rFonts w:hint="eastAsia" w:ascii="宋体" w:hAnsi="宋体"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w:t>
      </w:r>
      <w:r/>
    </w:p>
    <w:p>
      <w:pPr>
        <w:pStyle w:val="740"/>
        <w:rPr>
          <w:rFonts w:ascii="宋体" w:hAnsi="宋体" w:cs="Courier New"/>
          <w:sz w:val="24"/>
          <w:szCs w:val="24"/>
        </w:rPr>
      </w:pPr>
      <w:r>
        <w:rPr>
          <w:rFonts w:ascii="宋体" w:hAnsi="宋体" w:cs="Courier New"/>
          <w:sz w:val="24"/>
          <w:szCs w:val="24"/>
        </w:rPr>
      </w:r>
      <w:r/>
    </w:p>
    <w:p>
      <w:pPr>
        <w:pStyle w:val="740"/>
        <w:rPr>
          <w:rFonts w:hint="eastAsia" w:ascii="宋体" w:hAnsi="宋体" w:cs="Courier New"/>
          <w:sz w:val="24"/>
          <w:szCs w:val="24"/>
        </w:rPr>
      </w:pPr>
      <w:r>
        <w:rPr>
          <w:rFonts w:hint="eastAsia" w:ascii="宋体" w:hAnsi="宋体" w:cs="Courier New"/>
          <w:sz w:val="24"/>
          <w:szCs w:val="24"/>
        </w:rPr>
      </w:r>
      <w:r/>
    </w:p>
    <w:p>
      <w:pPr>
        <w:pStyle w:val="740"/>
        <w:rPr>
          <w:rFonts w:hint="eastAsia"/>
          <w:b/>
          <w:bCs/>
        </w:rPr>
      </w:pPr>
      <w:r>
        <w:rPr>
          <w:rFonts w:hint="eastAsia"/>
          <w:b/>
          <w:bCs/>
        </w:rPr>
      </w:r>
      <w:r/>
    </w:p>
    <w:p>
      <w:pPr>
        <w:pStyle w:val="740"/>
        <w:ind w:left="425"/>
        <w:spacing w:before="120" w:after="120"/>
        <w:rPr>
          <w:rFonts w:hint="eastAsia" w:ascii="宋体" w:hAnsi="宋体" w:cs="Courier New"/>
          <w:sz w:val="24"/>
          <w:szCs w:val="24"/>
        </w:rPr>
      </w:pPr>
      <w:r>
        <w:rPr>
          <w:rFonts w:hint="eastAsia" w:ascii="宋体" w:hAnsi="宋体" w:cs="Courier New"/>
          <w:sz w:val="24"/>
          <w:szCs w:val="24"/>
        </w:rPr>
        <w:br w:type="column"/>
      </w:r>
      <w:r/>
    </w:p>
    <w:p>
      <w:pPr>
        <w:pStyle w:val="740"/>
        <w:rPr>
          <w:rFonts w:hint="eastAsia"/>
        </w:rPr>
      </w:pPr>
      <w:r>
        <w:rPr>
          <w:rFonts w:hint="eastAsia"/>
        </w:rPr>
      </w:r>
      <w:r/>
    </w:p>
    <w:p>
      <w:pPr>
        <w:pStyle w:val="740"/>
        <w:jc w:val="center"/>
        <w:keepNext/>
        <w:rPr>
          <w:rFonts w:hint="eastAsia" w:ascii="黑体" w:eastAsia="黑体"/>
          <w:bCs/>
          <w:sz w:val="44"/>
          <w:szCs w:val="28"/>
        </w:rPr>
        <w:outlineLvl w:val="0"/>
      </w:pPr>
      <w:r/>
      <w:bookmarkStart w:id="92" w:name="_Toc190700451"/>
      <w:r>
        <w:rPr>
          <w:rFonts w:hint="eastAsia" w:ascii="黑体" w:eastAsia="黑体"/>
          <w:bCs/>
          <w:sz w:val="44"/>
          <w:szCs w:val="28"/>
        </w:rPr>
        <w:t xml:space="preserve">第</w:t>
      </w:r>
      <w:bookmarkEnd w:id="85"/>
      <w:r>
        <w:rPr>
          <w:rFonts w:hint="eastAsia" w:ascii="黑体" w:eastAsia="黑体"/>
          <w:bCs/>
          <w:sz w:val="44"/>
          <w:szCs w:val="28"/>
        </w:rPr>
        <w:t xml:space="preserve">四章 采购需求</w:t>
      </w:r>
      <w:bookmarkEnd w:id="86"/>
      <w:r/>
      <w:bookmarkEnd w:id="87"/>
      <w:r/>
      <w:bookmarkEnd w:id="88"/>
      <w:r/>
      <w:bookmarkEnd w:id="92"/>
      <w:r>
        <w:rPr>
          <w:rFonts w:hint="eastAsia" w:ascii="黑体" w:eastAsia="黑体"/>
          <w:bCs/>
          <w:sz w:val="44"/>
          <w:szCs w:val="28"/>
        </w:rPr>
      </w:r>
      <w:r/>
    </w:p>
    <w:p>
      <w:pPr>
        <w:pStyle w:val="740"/>
        <w:ind w:firstLine="602"/>
        <w:rPr>
          <w:rFonts w:hint="eastAsia"/>
          <w:b/>
          <w:i/>
          <w:sz w:val="30"/>
          <w:szCs w:val="32"/>
          <w:u w:val="single"/>
        </w:rPr>
      </w:pPr>
      <w:r/>
      <w:bookmarkStart w:id="93" w:name="_Toc49090575"/>
      <w:r/>
      <w:bookmarkStart w:id="94" w:name="_Toc26554093"/>
      <w:r>
        <w:rPr>
          <w:rFonts w:hint="eastAsia"/>
          <w:b/>
          <w:i/>
          <w:sz w:val="30"/>
          <w:szCs w:val="32"/>
          <w:u w:val="single"/>
        </w:rPr>
      </w:r>
      <w:r/>
    </w:p>
    <w:p>
      <w:pPr>
        <w:pStyle w:val="740"/>
        <w:spacing w:before="150" w:line="200" w:lineRule="auto"/>
        <w:tabs>
          <w:tab w:val="left" w:pos="312" w:leader="none"/>
        </w:tabs>
        <w:rPr>
          <w:rFonts w:hint="eastAsia" w:ascii="宋体" w:hAnsi="宋体" w:cs="宋体"/>
          <w:sz w:val="28"/>
          <w:szCs w:val="28"/>
        </w:rPr>
      </w:pPr>
      <w:r/>
      <w:bookmarkStart w:id="95" w:name="_Toc120614281"/>
      <w:r>
        <w:rPr>
          <w:rFonts w:hint="eastAsia" w:ascii="宋体" w:hAnsi="宋体" w:cs="宋体"/>
          <w:sz w:val="28"/>
          <w:szCs w:val="28"/>
        </w:rPr>
        <w:t xml:space="preserve">（一）参数要求：</w:t>
      </w:r>
      <w:r/>
    </w:p>
    <w:p>
      <w:pPr>
        <w:pStyle w:val="740"/>
        <w:spacing w:before="150" w:line="200" w:lineRule="auto"/>
        <w:tabs>
          <w:tab w:val="left" w:pos="312" w:leader="none"/>
        </w:tabs>
        <w:rPr>
          <w:rFonts w:hint="eastAsia" w:ascii="宋体" w:hAnsi="宋体" w:cs="宋体"/>
          <w:sz w:val="28"/>
          <w:szCs w:val="28"/>
        </w:rPr>
      </w:pPr>
      <w:r/>
      <w:bookmarkStart w:id="96" w:name="_Hlk215561948"/>
      <w:r>
        <w:rPr>
          <w:rFonts w:hint="eastAsia" w:ascii="宋体" w:hAnsi="宋体" w:cs="宋体"/>
          <w:sz w:val="28"/>
          <w:szCs w:val="28"/>
        </w:rPr>
        <w:t xml:space="preserve">1、台式电脑</w:t>
      </w:r>
      <w:r>
        <w:rPr>
          <w:rFonts w:hint="eastAsia" w:ascii="宋体" w:hAnsi="宋体" w:cs="宋体"/>
          <w:sz w:val="28"/>
          <w:szCs w:val="28"/>
        </w:rPr>
        <w:t xml:space="preserve">（200台）</w:t>
      </w:r>
      <w:r>
        <w:rPr>
          <w:rFonts w:hint="eastAsia" w:ascii="宋体" w:hAnsi="宋体" w:cs="宋体"/>
          <w:sz w:val="28"/>
          <w:szCs w:val="28"/>
        </w:rPr>
      </w:r>
      <w:r/>
    </w:p>
    <w:tbl>
      <w:tblPr>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709"/>
        <w:gridCol w:w="992"/>
        <w:gridCol w:w="1418"/>
        <w:gridCol w:w="4961"/>
      </w:tblGrid>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指标分类</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一级指标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二级指标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技术要求</w:t>
            </w:r>
            <w:r/>
          </w:p>
        </w:tc>
      </w:tr>
      <w:tr>
        <w:trPr>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*CPU信息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70"/>
              <w:rPr>
                <w:rFonts w:hint="eastAsia" w:ascii="等线" w:hAnsi="等线" w:cs="宋体"/>
                <w:sz w:val="20"/>
                <w:szCs w:val="20"/>
              </w:rPr>
            </w:pPr>
            <w:r>
              <w:rPr>
                <w:rFonts w:hint="eastAsia" w:ascii="等线" w:hAnsi="等线" w:cs="宋体"/>
                <w:sz w:val="20"/>
                <w:szCs w:val="20"/>
              </w:rPr>
              <w:t xml:space="preserve">CPU物理</w:t>
            </w:r>
            <w:r>
              <w:rPr>
                <w:rFonts w:hint="eastAsia" w:ascii="等线" w:hAnsi="等线"/>
                <w:sz w:val="20"/>
                <w:szCs w:val="20"/>
              </w:rPr>
              <w:t xml:space="preserve">核心数≥</w:t>
            </w:r>
            <w:r>
              <w:rPr>
                <w:rFonts w:ascii="等线" w:hAnsi="等线"/>
                <w:sz w:val="20"/>
                <w:szCs w:val="20"/>
              </w:rPr>
              <w:t xml:space="preserve">1</w:t>
            </w:r>
            <w:r>
              <w:rPr>
                <w:rFonts w:hint="eastAsia" w:ascii="等线" w:hAnsi="等线"/>
                <w:sz w:val="20"/>
                <w:szCs w:val="20"/>
              </w:rPr>
              <w:t xml:space="preserve">0</w:t>
            </w:r>
            <w:r>
              <w:rPr>
                <w:rFonts w:ascii="等线" w:hAnsi="等线"/>
                <w:sz w:val="20"/>
                <w:szCs w:val="20"/>
              </w:rPr>
              <w:t xml:space="preserve">核</w:t>
            </w:r>
            <w:r>
              <w:rPr>
                <w:rFonts w:hint="eastAsia" w:ascii="等线" w:hAnsi="等线"/>
                <w:sz w:val="20"/>
                <w:szCs w:val="20"/>
              </w:rPr>
              <w:t xml:space="preserve">，</w:t>
            </w:r>
            <w:r>
              <w:rPr>
                <w:rFonts w:hint="eastAsia" w:ascii="等线" w:hAnsi="等线" w:cs="宋体"/>
                <w:sz w:val="20"/>
                <w:szCs w:val="20"/>
              </w:rPr>
              <w:t xml:space="preserve">支持超线程技术，</w:t>
            </w:r>
            <w:r>
              <w:rPr>
                <w:rFonts w:hint="eastAsia" w:ascii="等线" w:hAnsi="等线"/>
                <w:sz w:val="20"/>
                <w:szCs w:val="20"/>
              </w:rPr>
              <w:t xml:space="preserve">线程数量≥16，性能核基本频率≥</w:t>
            </w:r>
            <w:r>
              <w:rPr>
                <w:rFonts w:ascii="等线" w:hAnsi="等线"/>
                <w:sz w:val="20"/>
                <w:szCs w:val="20"/>
              </w:rPr>
              <w:t xml:space="preserve">2.</w:t>
            </w:r>
            <w:r>
              <w:rPr>
                <w:rFonts w:hint="eastAsia" w:ascii="等线" w:hAnsi="等线"/>
                <w:sz w:val="20"/>
                <w:szCs w:val="20"/>
              </w:rPr>
              <w:t xml:space="preserve">5</w:t>
            </w:r>
            <w:r>
              <w:rPr>
                <w:rFonts w:ascii="等线" w:hAnsi="等线"/>
                <w:sz w:val="20"/>
                <w:szCs w:val="20"/>
              </w:rPr>
              <w:t xml:space="preserve">G</w:t>
            </w:r>
            <w:r>
              <w:rPr>
                <w:rFonts w:hint="eastAsia" w:ascii="等线" w:hAnsi="等线"/>
                <w:sz w:val="20"/>
                <w:szCs w:val="20"/>
              </w:rPr>
              <w:t xml:space="preserve">hz，</w:t>
            </w:r>
            <w:r>
              <w:rPr>
                <w:rFonts w:hint="eastAsia" w:ascii="等线" w:hAnsi="等线" w:cs="宋体"/>
                <w:sz w:val="20"/>
                <w:szCs w:val="20"/>
              </w:rPr>
              <w:t xml:space="preserve">每颗CPU三级</w:t>
            </w:r>
            <w:r>
              <w:rPr>
                <w:rFonts w:hint="eastAsia" w:ascii="等线" w:hAnsi="等线"/>
                <w:sz w:val="20"/>
                <w:szCs w:val="20"/>
              </w:rPr>
              <w:t xml:space="preserve">缓存≥20</w:t>
            </w:r>
            <w:r>
              <w:rPr>
                <w:rFonts w:ascii="等线" w:hAnsi="等线"/>
                <w:sz w:val="20"/>
                <w:szCs w:val="20"/>
              </w:rPr>
              <w:t xml:space="preserve">M</w:t>
            </w:r>
            <w:r>
              <w:rPr>
                <w:rFonts w:hint="eastAsia" w:ascii="等线" w:hAnsi="等线" w:cs="宋体"/>
                <w:sz w:val="20"/>
                <w:szCs w:val="20"/>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*内存配置容量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≥16GB</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DDR4及以上系列内存</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*内存条配置数量（板载内存不涉及）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主板集成模块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集成资源扩展模块、计算处理模块、音频扩展模块等，主板的互联拓扑可通过处理器或交换电路实现</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支持X86 CPU，支持DDR4及以上系列内存</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至少提供1个PCI-E、1个PCI-E*1 槽位，</w:t>
            </w:r>
            <w:r>
              <w:rPr>
                <w:rFonts w:hint="eastAsia" w:ascii="等线" w:hAnsi="等线"/>
                <w:sz w:val="20"/>
                <w:szCs w:val="20"/>
              </w:rPr>
              <w:t xml:space="preserve">本项为主板内置数量要求，不含扩展卡进行插槽扩展</w:t>
            </w:r>
            <w:r>
              <w:rPr>
                <w:rFonts w:hint="eastAsia" w:ascii="等线" w:hAnsi="等线" w:cs="宋体"/>
                <w:sz w:val="20"/>
                <w:szCs w:val="20"/>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特殊孔位及接口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a）预留满足USB3.0数据传输规范的接口，工作电压5V，最大过电流应不小于3A；</w:t>
            </w:r>
            <w:r/>
          </w:p>
          <w:p>
            <w:pPr>
              <w:pStyle w:val="740"/>
              <w:rPr>
                <w:rFonts w:hint="eastAsia" w:ascii="等线" w:hAnsi="等线" w:cs="宋体"/>
                <w:sz w:val="20"/>
                <w:szCs w:val="20"/>
              </w:rPr>
            </w:pPr>
            <w:r>
              <w:rPr>
                <w:rFonts w:hint="eastAsia" w:ascii="等线" w:hAnsi="等线" w:cs="宋体"/>
                <w:sz w:val="20"/>
                <w:szCs w:val="20"/>
              </w:rPr>
              <w:t xml:space="preserve">b)预留多功能导入装置板卡安装孔位，采用内置方式与主机一体化集成，容量不小于145mm×125mm×16.5mm（长×宽×高）</w:t>
            </w:r>
            <w:r/>
          </w:p>
        </w:tc>
      </w:tr>
      <w:tr>
        <w:trPr>
          <w:cantSplit/>
          <w:trHeight w:val="120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*主板其他内置接口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不少于板</w:t>
            </w:r>
            <w:r>
              <w:rPr>
                <w:rFonts w:hint="eastAsia" w:ascii="等线" w:hAnsi="等线" w:cs="宋体"/>
                <w:sz w:val="20"/>
                <w:szCs w:val="20"/>
              </w:rPr>
              <w:t xml:space="preserve">载1个M.2 接口，1个DP，1个HDMI,1个RJ45接口。</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*单内存插槽最大可支持容量（板载内存不涉及）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≥16GB</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≥32GB</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≥1T</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机械硬盘总容量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机械硬盘转速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机械硬盘形态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UFS/SATA/PCIe/NVMe等类型接口协议</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*固态存储形态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采用插卡或板载等形态，可选用符合M.2或2.5寸SATA或mSATA等标准的插卡形态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存储设备扩展盘位</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存储设备其他参数要求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a）固态盘应符合 SJ/T 11654 相关规定</w:t>
            </w:r>
            <w:r/>
          </w:p>
        </w:tc>
      </w:tr>
      <w:tr>
        <w:trPr>
          <w:cantSplit/>
          <w:trHeight w:val="30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集显</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独立显卡显存位宽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35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*显示屏屏占比</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≥1920x1080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显示屏像素密度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≥85像素/英寸</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显示屏可视角度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水平≥170°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*显示屏尺寸</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≥23.8英寸</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*显示屏屏幕比例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16:9</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*显示器外观颜色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*显示屏防蓝光</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Style w:val="887"/>
                <w:rFonts w:ascii="等线" w:hAnsi="等线"/>
                <w:color w:val="000000"/>
              </w:rPr>
            </w:pPr>
            <w:r>
              <w:rPr>
                <w:rStyle w:val="887"/>
                <w:rFonts w:ascii="等线" w:hAnsi="等线"/>
                <w:color w:val="000000"/>
              </w:rPr>
              <w:t xml:space="preserve">支持防蓝光模式，蓝光加权辐射亮度比应≤0.0012W/(·cd·sr)（瓦每坎特拉每球面度）</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*显示屏低频闪</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Style w:val="887"/>
                <w:rFonts w:ascii="等线" w:hAnsi="等线"/>
                <w:color w:val="000000"/>
              </w:rPr>
              <w:t xml:space="preserve">显示屏应支持低频闪</w:t>
            </w:r>
            <w:r>
              <w:rPr>
                <w:rStyle w:val="888"/>
                <w:rFonts w:ascii="等线" w:hAnsi="等线"/>
                <w:color w:val="000000"/>
              </w:rPr>
              <w:t xml:space="preserve">≤-35dB</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*显示屏防炫目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显示屏镜面反射率≤10%</w:t>
            </w:r>
            <w:r/>
          </w:p>
        </w:tc>
      </w:tr>
      <w:tr>
        <w:trPr>
          <w:cantSplit/>
          <w:trHeight w:val="34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传声器数量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光驱数量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键盘按键数目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61键/86键/101键/104键等</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摄像头像素</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w:t>
            </w:r>
            <w:r>
              <w:rPr>
                <w:rFonts w:hint="eastAsia" w:ascii="等线" w:hAnsi="等线" w:cs="宋体"/>
                <w:sz w:val="20"/>
                <w:szCs w:val="20"/>
              </w:rPr>
              <w:t xml:space="preserve">像头分辨率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扬声器频率范围</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扬声器总谐波失真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扬声器最大声压级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键盘连接方式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有线</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键盘键程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2.3mm~4.0mm</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键盘按键压力</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按键压力应在0.54N±0.14N</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有线键盘连接线</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≥1.5米</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 </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键盘其他要求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键盘外观结构、连接方式、主要功能、安全、电磁兼容性、可靠性应符合GB/T14081的相关规定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鼠标连接方式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有线</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有线鼠标连接线</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≥1.5米</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鼠标DPI分辨率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800~1600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鼠标其他要求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其它参数应符合GB/T26245的相关规定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内置光驱</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支持内置光驱</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外部接口规</w:t>
            </w:r>
            <w:r>
              <w:rPr>
                <w:rFonts w:hint="eastAsia" w:ascii="等线" w:hAnsi="等线" w:cs="宋体"/>
                <w:sz w:val="20"/>
                <w:szCs w:val="20"/>
              </w:rPr>
              <w:t xml:space="preserve">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不少6个USB接口</w:t>
            </w:r>
            <w:r/>
          </w:p>
        </w:tc>
      </w:tr>
      <w:tr>
        <w:trPr>
          <w:cantSplit/>
          <w:trHeight w:val="84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USB母座接口要求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ascii="等线" w:hAnsi="等线" w:cs="宋体"/>
                <w:sz w:val="20"/>
                <w:szCs w:val="20"/>
              </w:rPr>
            </w:pPr>
            <w:r>
              <w:rPr>
                <w:rFonts w:hint="eastAsia" w:ascii="等线" w:hAnsi="等线" w:cs="宋体"/>
                <w:sz w:val="20"/>
                <w:szCs w:val="20"/>
              </w:rPr>
              <w:t xml:space="preserve">/</w:t>
            </w:r>
            <w:r>
              <w:rPr>
                <w:rFonts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音频接口数量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存储卡接口数量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168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整机基础规格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整机外观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a)产品表面不应有凹痕、划伤、裂缝、变形和污染等。表面涂层均匀，不应起泡、龟裂、脱落和磨损，金属零部件无锈蚀及其它机械损伤；</w:t>
            </w:r>
            <w:r/>
          </w:p>
          <w:p>
            <w:pPr>
              <w:pStyle w:val="740"/>
              <w:rPr>
                <w:rFonts w:hint="eastAsia" w:ascii="等线" w:hAnsi="等线" w:cs="宋体"/>
                <w:sz w:val="20"/>
                <w:szCs w:val="20"/>
              </w:rPr>
            </w:pPr>
            <w:r>
              <w:rPr>
                <w:rFonts w:hint="eastAsia" w:ascii="等线" w:hAnsi="等线" w:cs="宋体"/>
                <w:sz w:val="20"/>
                <w:szCs w:val="20"/>
              </w:rPr>
              <w:t xml:space="preserve">b)产品表面说明功能的文字、符号、标志，应清晰、端正、牢固</w:t>
            </w:r>
            <w:r/>
          </w:p>
        </w:tc>
      </w:tr>
      <w:tr>
        <w:trPr>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状态指示灯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在产品显著位置提供状态指示功能，通过指示灯可查看机器运行状态或存储状态</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整机结构</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a)机箱应符合GB/T4208、GB/T26246的相关规定；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b)产品内部结构应符合通用部件的安装需求；</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c)所有输入输出接口应符合相关国家或行业标准；</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d)产品零部件应紧固无松动，可插拔部件应可靠连接，开关、按钮和其它控制部件应灵活可靠，布局应方便使用；</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e)所有I/O连接器及需插接线缆的部位应预留采购人操作空间，方便插拔解锁与插拔线缆；</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f)可插拔板卡插槽部位应预留安装、拆卸或更换板卡空间；</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g)拆装可能接触到的金属剪口或金属尖角部位应做防划伤处理，以保证安全；</w:t>
            </w:r>
            <w:r/>
          </w:p>
        </w:tc>
      </w:tr>
      <w:tr>
        <w:trPr>
          <w:cantSplit/>
          <w:trHeight w:val="1203"/>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h)整机内部走线应规整，固线结构和位置要合理可靠并做防割线处理，需便于理线和插拔操作，走线应不影响系统各主要部件组装和拆卸；</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i)如需通过孔走线，过线孔应做防割线处理；</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j)各插头位置和插拔方向应合理，应做到插拔无障碍设计，具备防呆设计，有效避免误操作；</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k)各主要部件拆装无障碍，使用常规工具拆装，无特殊拆装工具需求；</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l)各主要部件拆装步骤要少，各自拆装需避免相互干扰；</w:t>
            </w:r>
            <w:r/>
          </w:p>
        </w:tc>
      </w:tr>
      <w:tr>
        <w:trPr>
          <w:cantSplit/>
          <w:trHeight w:val="195"/>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m)对于整机或零部件外表面为高亮面的，应粘贴保护膜，保护膜需粘贴牢固，运输、组装等过程不易脱落，撕下无残留；</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n)其它要求应符合GB/T9813.1的相关规定</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机箱防护要求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机箱应符合GB/T4208中IP20防护要求</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整机噪音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产品工作在空闲状态下，产品的声功率级不超过4.5Bel</w:t>
            </w:r>
            <w:r/>
          </w:p>
        </w:tc>
      </w:tr>
      <w:tr>
        <w:trPr>
          <w:trHeight w:val="240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整机散热</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在环境温度25℃及处理器满载情况下，产品表面温度应符合如下要求：</w:t>
            </w:r>
            <w:r/>
          </w:p>
          <w:p>
            <w:pPr>
              <w:pStyle w:val="740"/>
              <w:rPr>
                <w:rFonts w:hint="eastAsia" w:ascii="等线" w:hAnsi="等线" w:cs="宋体"/>
                <w:sz w:val="20"/>
                <w:szCs w:val="20"/>
              </w:rPr>
            </w:pPr>
            <w:r>
              <w:rPr>
                <w:rFonts w:hint="eastAsia" w:ascii="等线" w:hAnsi="等线" w:cs="宋体"/>
                <w:sz w:val="20"/>
                <w:szCs w:val="20"/>
              </w:rPr>
              <w:t xml:space="preserve">a)出风口在机箱后面板情况下，出风口温度不高于55℃；</w:t>
            </w:r>
            <w:r/>
          </w:p>
          <w:p>
            <w:pPr>
              <w:pStyle w:val="740"/>
              <w:rPr>
                <w:rFonts w:hint="eastAsia" w:ascii="等线" w:hAnsi="等线" w:cs="宋体"/>
                <w:sz w:val="20"/>
                <w:szCs w:val="20"/>
              </w:rPr>
            </w:pPr>
            <w:r>
              <w:rPr>
                <w:rFonts w:hint="eastAsia" w:ascii="等线" w:hAnsi="等线" w:cs="宋体"/>
                <w:sz w:val="20"/>
                <w:szCs w:val="20"/>
              </w:rPr>
              <w:t xml:space="preserve">b)可触及面温度不高于45℃；</w:t>
            </w:r>
            <w:r/>
          </w:p>
          <w:p>
            <w:pPr>
              <w:pStyle w:val="740"/>
              <w:rPr>
                <w:rFonts w:hint="eastAsia" w:ascii="等线" w:hAnsi="等线" w:cs="宋体"/>
                <w:sz w:val="20"/>
                <w:szCs w:val="20"/>
              </w:rPr>
            </w:pPr>
            <w:r>
              <w:rPr>
                <w:rFonts w:hint="eastAsia" w:ascii="等线" w:hAnsi="等线" w:cs="宋体"/>
                <w:sz w:val="20"/>
                <w:szCs w:val="20"/>
              </w:rPr>
              <w:t xml:space="preserve">c)显示器表面温度：显示屏不高于38℃,显示屏上下灯带位置温度（如涉及）不高于40℃，出风口温度不高于45℃</w:t>
            </w:r>
            <w:r/>
          </w:p>
        </w:tc>
      </w:tr>
      <w:tr>
        <w:trPr>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整机能效限定值</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产品能效限定值应达到GB28380-2012标准中能效等级2级及以上</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机身材质</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金属</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机身颜色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机箱尺寸容量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宋体" w:hAnsi="宋体" w:cs="宋体"/>
                <w:sz w:val="20"/>
                <w:szCs w:val="20"/>
              </w:rPr>
            </w:pPr>
            <w:r>
              <w:rPr>
                <w:rFonts w:hint="eastAsia" w:ascii="宋体" w:hAnsi="宋体" w:cs="宋体"/>
                <w:sz w:val="20"/>
                <w:szCs w:val="20"/>
              </w:rPr>
              <w:t xml:space="preserve">机箱体积应≥15L，但不大于25L</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*CPU物理核数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≥10</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*CPU主频</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≥2.5GHz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*CPU末级缓存容</w:t>
            </w:r>
            <w:r>
              <w:rPr>
                <w:rFonts w:hint="eastAsia" w:ascii="等线" w:hAnsi="等线" w:cs="宋体"/>
                <w:sz w:val="20"/>
                <w:szCs w:val="20"/>
              </w:rPr>
              <w:t xml:space="preserve">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≥20MB</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≥3200MT/s</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*内存读写速率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≥3200MT/s</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≥1920x1080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≥300MHz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w:t>
            </w:r>
            <w:r>
              <w:rPr>
                <w:rFonts w:hint="eastAsia"/>
              </w:rPr>
              <w:t xml:space="preserve">显存等效频率</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≥1000MT/s</w:t>
            </w:r>
            <w:r/>
          </w:p>
        </w:tc>
      </w:tr>
      <w:tr>
        <w:trPr>
          <w:cantSplit/>
          <w:trHeight w:val="57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*显卡可支持多屏同时显示数量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显卡应支持</w:t>
            </w:r>
            <w:r>
              <w:rPr>
                <w:rFonts w:ascii="等线" w:hAnsi="等线" w:cs="宋体"/>
                <w:sz w:val="20"/>
                <w:szCs w:val="20"/>
              </w:rPr>
              <w:t xml:space="preserve">2</w:t>
            </w:r>
            <w:r>
              <w:rPr>
                <w:rFonts w:hint="eastAsia" w:ascii="等线" w:hAnsi="等线" w:cs="宋体"/>
                <w:sz w:val="20"/>
                <w:szCs w:val="20"/>
              </w:rPr>
              <w:t xml:space="preserve">块屏幕同时显示，分辨率应不低于1920×1080</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*显示屏刷新率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≥75Hz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*显示屏位深</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≥8位</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显示屏色域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≥99%sRGB</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*显示屏色准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△E≤4</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显示屏响应时间</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w:t>
            </w:r>
            <w:r>
              <w:rPr>
                <w:rFonts w:hint="eastAsia" w:ascii="等线" w:hAnsi="等线" w:cs="宋体"/>
                <w:sz w:val="20"/>
                <w:szCs w:val="20"/>
              </w:rPr>
              <w:t xml:space="preserve">≤6ms</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*显示屏亮度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≥250尼特</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*显示屏亮度一致性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≥70%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显示屏对比度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w:t>
            </w:r>
            <w:r>
              <w:rPr>
                <w:rFonts w:hint="eastAsia" w:ascii="等线" w:hAnsi="等线" w:cs="宋体"/>
                <w:sz w:val="20"/>
                <w:szCs w:val="20"/>
              </w:rPr>
              <w:t xml:space="preserve">≥1000：1</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*显示屏其他参数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提供IPS面板液晶显示器</w:t>
            </w:r>
            <w:r>
              <w:rPr>
                <w:rFonts w:hint="eastAsia" w:ascii="等线" w:hAnsi="等线" w:cs="宋体"/>
                <w:sz w:val="20"/>
                <w:szCs w:val="20"/>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最高速率应不低1000Mbps，应支持10Mbps、100Mbps、1000Mb</w:t>
            </w:r>
            <w:r>
              <w:rPr>
                <w:rFonts w:hint="eastAsia" w:ascii="等线" w:hAnsi="等线" w:cs="宋体"/>
                <w:sz w:val="20"/>
                <w:szCs w:val="20"/>
              </w:rPr>
              <w:t xml:space="preserve">ps速率自适应</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支持无线网络通信技术协议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无线网卡频宽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57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*内存扩展接口(板载内存不涉及)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≥2个</w:t>
            </w:r>
            <w:r/>
          </w:p>
        </w:tc>
      </w:tr>
      <w:tr>
        <w:trPr>
          <w:cantSplit/>
          <w:trHeight w:val="6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存储扩展接口(板载存储不涉及)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主板支持存储扩展接口类型：UFS3.0、SATA3.0、SAS3.0、M.2等类型接口</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主板USB瞬间过流保护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支持有瞬间过流保护功能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主板防静电保护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支持防静电保护功能</w:t>
            </w:r>
            <w:r/>
          </w:p>
        </w:tc>
      </w:tr>
      <w:tr>
        <w:trPr>
          <w:cantSplit/>
          <w:trHeight w:val="214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I/O接口功能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提供基于标准USB接口外设连接功能、基于音频输入</w:t>
            </w:r>
            <w:r>
              <w:rPr>
                <w:rFonts w:hint="eastAsia" w:ascii="等线" w:hAnsi="等线" w:cs="宋体"/>
                <w:sz w:val="20"/>
                <w:szCs w:val="20"/>
              </w:rPr>
              <w:t xml:space="preserve">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trHeight w:val="52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显卡外接显示接口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37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显示器提供VGA、HDMI接口</w:t>
            </w:r>
            <w:r/>
          </w:p>
        </w:tc>
      </w:tr>
      <w:tr>
        <w:trPr>
          <w:cantSplit/>
          <w:trHeight w:val="54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显示器支架</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显示器应提供显示器支架，显示器应提供显示器角度</w:t>
            </w:r>
            <w:r>
              <w:rPr>
                <w:rFonts w:hint="eastAsia" w:ascii="等线" w:hAnsi="等线" w:cs="新宋体"/>
                <w:sz w:val="20"/>
                <w:szCs w:val="20"/>
              </w:rPr>
              <w:t xml:space="preserve">调整等功能</w:t>
            </w:r>
            <w:r>
              <w:rPr>
                <w:rFonts w:hint="eastAsia" w:ascii="等线" w:hAnsi="等线" w:cs="宋体"/>
                <w:sz w:val="20"/>
                <w:szCs w:val="20"/>
              </w:rPr>
            </w:r>
            <w:r/>
          </w:p>
        </w:tc>
      </w:tr>
      <w:tr>
        <w:trPr>
          <w:cantSplit/>
          <w:trHeight w:val="61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显示器参数调节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a)提供OSD选单按钮用于调节色彩、模式等；</w:t>
            </w:r>
            <w:r/>
          </w:p>
          <w:p>
            <w:pPr>
              <w:pStyle w:val="740"/>
              <w:rPr>
                <w:rFonts w:hint="eastAsia" w:ascii="等线" w:hAnsi="等线" w:cs="宋体"/>
                <w:sz w:val="20"/>
                <w:szCs w:val="20"/>
              </w:rPr>
            </w:pPr>
            <w:r>
              <w:rPr>
                <w:rFonts w:hint="eastAsia" w:ascii="等线" w:hAnsi="等线" w:cs="宋体"/>
                <w:sz w:val="20"/>
                <w:szCs w:val="20"/>
              </w:rPr>
              <w:t xml:space="preserve">b)支持色温、亮度、对比度调节</w:t>
            </w:r>
            <w:r/>
          </w:p>
        </w:tc>
      </w:tr>
      <w:tr>
        <w:trPr>
          <w:cantSplit/>
          <w:trHeight w:val="39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摄像头物理隐私保护开关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传声器降噪</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键盘背光</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光驱功能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8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通过SATA固态存储/PCIe固态存储/UFS固态存储/SATA硬磁盘等存储部件提供存储功能</w:t>
            </w:r>
            <w:r/>
          </w:p>
        </w:tc>
      </w:tr>
      <w:tr>
        <w:trPr>
          <w:cantSplit/>
          <w:trHeight w:val="104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内置控制器固态存储加密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固态存储通过内置控制器硬件支持加密，不依赖处理器，保障数据安全性，但不得</w:t>
            </w:r>
            <w:r>
              <w:rPr>
                <w:rFonts w:hint="eastAsia" w:ascii="等线" w:hAnsi="等线" w:cs="宋体"/>
                <w:sz w:val="20"/>
                <w:szCs w:val="20"/>
              </w:rPr>
              <w:t xml:space="preserve">影响存储性能。a)支持加密功能，且加密功能开启不影响SSD读写性能；b)支持固件加密、安全启动和安全升级；c)支持数据的安全擦除</w:t>
            </w:r>
            <w:r/>
          </w:p>
        </w:tc>
      </w:tr>
      <w:tr>
        <w:trPr>
          <w:cantSplit/>
          <w:trHeight w:val="62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a)支持网络连接、网络开启/关闭功能；b)支持访问网络和数据交换功能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无线网卡频段</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物理开关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支持网络设备物理开关</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数据传输</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支持数据传输能力，并提供数据流量和异常日志记录功能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蓝牙协议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若支持蓝牙模块，蓝牙协议不低于</w:t>
            </w:r>
            <w:r>
              <w:rPr>
                <w:rFonts w:hint="eastAsia" w:ascii="等线" w:hAnsi="等线" w:cs="宋体"/>
                <w:sz w:val="20"/>
                <w:szCs w:val="20"/>
              </w:rPr>
              <w:t xml:space="preserve">5.0版本</w:t>
            </w:r>
            <w:r/>
          </w:p>
        </w:tc>
      </w:tr>
      <w:tr>
        <w:trPr>
          <w:cantSplit/>
          <w:trHeight w:val="41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支持RJ45接口</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无线网卡标准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网络设备拆装</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网络设备支持物理拆装，包括无线网卡和蓝牙模块等</w:t>
            </w:r>
            <w:r/>
          </w:p>
        </w:tc>
      </w:tr>
      <w:tr>
        <w:trPr>
          <w:cantSplit/>
          <w:trHeight w:val="8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外部接口功能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音频接口类型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支持3.5mm孔径3段式或4段式接口</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支持HDMI、DP </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HDMI、DP、Type-C显示接口要求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若提供HDMI或DP或Type-C作为显示接口，应支持音频和视频同步输出</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其他接口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a)支持串行接口，可实现GB/T6107的功能；</w:t>
            </w:r>
            <w:r/>
          </w:p>
          <w:p>
            <w:pPr>
              <w:pStyle w:val="740"/>
              <w:rPr>
                <w:rFonts w:hint="eastAsia" w:ascii="等线" w:hAnsi="等线" w:cs="宋体"/>
                <w:sz w:val="20"/>
                <w:szCs w:val="20"/>
              </w:rPr>
            </w:pPr>
            <w:r>
              <w:rPr>
                <w:rFonts w:hint="eastAsia" w:ascii="等线" w:hAnsi="等线" w:cs="宋体"/>
                <w:sz w:val="20"/>
                <w:szCs w:val="20"/>
              </w:rPr>
              <w:t xml:space="preserve">b)支持并行接口，可实现GB/T18235.1的功能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存储卡接口类型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46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电源功能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电源线适配能力</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电源适配器电线组件应符合GB/T15934的要求。</w:t>
            </w:r>
            <w:r/>
          </w:p>
        </w:tc>
      </w:tr>
      <w:tr>
        <w:trPr>
          <w:cantSplit/>
          <w:trHeight w:val="55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中文信息处理要求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符合GB18030的相关规定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支持操作系统备份及还原功能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固件备份还原能力</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支持备份及还原固件的功能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w:t>
            </w:r>
            <w:r>
              <w:rPr>
                <w:rFonts w:hint="eastAsia" w:ascii="等线" w:hAnsi="等线" w:cs="宋体"/>
                <w:sz w:val="20"/>
                <w:szCs w:val="20"/>
              </w:rPr>
              <w:t xml:space="preserve">持通过网络、闪存盘等方式对操作系统、驱动进行升级</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固件升级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支持通过网络、闪存盘等方式对固件进行升级</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支持BIOS关闭以太网及USB接口</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固件查看信息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支持查看固件版本、内存信息、主板信息、处理器信息和系统时间信息等功能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固件设置启动顺序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支持设置启动顺序功能，并按照设置的启动顺序启动</w:t>
            </w:r>
            <w:r/>
          </w:p>
        </w:tc>
      </w:tr>
      <w:tr>
        <w:trPr>
          <w:cantSplit/>
          <w:trHeight w:val="42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固件设置口令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支持设置口令、修改口令、验证口令功能</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固件设置网络引导</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支持网络引导启动和关闭功能</w:t>
            </w:r>
            <w:r/>
          </w:p>
        </w:tc>
      </w:tr>
      <w:tr>
        <w:trPr>
          <w:cantSplit/>
          <w:trHeight w:val="40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生物识别功能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指纹识别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指纹识别功能符合GB/T37742的相关规定</w:t>
            </w:r>
            <w:r/>
          </w:p>
        </w:tc>
      </w:tr>
      <w:tr>
        <w:trPr>
          <w:cantSplit/>
          <w:trHeight w:val="37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人脸识别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人脸识别功能符合GB/T37036.3的相关规定</w:t>
            </w:r>
            <w:r/>
          </w:p>
        </w:tc>
      </w:tr>
      <w:tr>
        <w:trPr>
          <w:cantSplit/>
          <w:trHeight w:val="42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静脉识别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指静脉识别功能符合GB/T33135的相关规定</w:t>
            </w:r>
            <w:r/>
          </w:p>
        </w:tc>
      </w:tr>
      <w:tr>
        <w:trPr>
          <w:cantSplit/>
          <w:trHeight w:val="6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硬件加速功能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NPU/GPU等AI加速模块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支持NPU/GPU等AI加速模块</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支持视频编解码加速模块</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影像处理加速模块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支持影像处理加速模块</w:t>
            </w:r>
            <w:r/>
          </w:p>
        </w:tc>
      </w:tr>
      <w:tr>
        <w:trPr>
          <w:cantSplit/>
          <w:trHeight w:val="42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TBW≥160TB（条件：1T硬盘容量）</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显示屏屏幕失效点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符合GB/T9813.2的要求</w:t>
            </w:r>
            <w:r/>
          </w:p>
        </w:tc>
      </w:tr>
      <w:tr>
        <w:trPr>
          <w:cantSplit/>
          <w:trHeight w:val="41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≥1000万次</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鼠标按键寿命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≥500万次</w:t>
            </w:r>
            <w:r/>
          </w:p>
        </w:tc>
      </w:tr>
      <w:tr>
        <w:trPr>
          <w:cantSplit/>
          <w:trHeight w:val="66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键盘鼠标线材寿命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键盘鼠标所用线材经±60°弯折不低于3000次，功能、外观完好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风扇寿命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≥4万小时</w:t>
            </w:r>
            <w:r/>
          </w:p>
        </w:tc>
      </w:tr>
      <w:tr>
        <w:trPr>
          <w:cantSplit/>
          <w:trHeight w:val="60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整机可靠性要求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符合GB/T9254.2的规定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环境条件要求的气候环境适应性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55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0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w:t>
            </w:r>
            <w:r>
              <w:rPr>
                <w:rFonts w:hint="eastAsia" w:ascii="等线" w:hAnsi="等线" w:cs="宋体"/>
                <w:sz w:val="20"/>
                <w:szCs w:val="20"/>
              </w:rPr>
              <w:t xml:space="preserve">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*MTBF测试</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MTBF(m1)≥100万小时</w:t>
            </w:r>
            <w:r/>
          </w:p>
        </w:tc>
      </w:tr>
      <w:tr>
        <w:trPr>
          <w:cantSplit/>
          <w:trHeight w:val="1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常用软件兼容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支持流式软件、版式软件、浏览器、邮件采购人端、解压软件、多媒体、图形图像处理等常用软件</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数据库兼容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兼容3个及以上厂商的数据库产品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中间件兼容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兼容3个及以上厂商中间件产品</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平台软件兼容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兼容3个及以上厂商云计算及大数据平台</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包装及运输要求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包装及运输要求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符合GB/T9813.1和商品包装政府采购需求标准的相关规定</w:t>
            </w:r>
            <w:r/>
          </w:p>
        </w:tc>
      </w:tr>
      <w:tr>
        <w:trPr>
          <w:cantSplit/>
          <w:trHeight w:val="36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配置检查工具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供应商提供自检测试工具</w:t>
            </w:r>
            <w:r/>
          </w:p>
        </w:tc>
      </w:tr>
      <w:tr>
        <w:trPr>
          <w:cantSplit/>
          <w:trHeight w:val="264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*服务响应</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项目全面验收合格之日起，免费质保3年,（含原厂质保，有特殊要求的按实际要求）。供应商须提供24小时维保热线，24*365天随时接受采购人的服务请求；接到采购人服务请求后，30分钟电话响应，4小时内赶到故障现场进行维护修理。其中电脑原厂7x24小时400/800电话免费 支持，工作日现场上门服务。</w:t>
            </w:r>
            <w:r/>
          </w:p>
        </w:tc>
      </w:tr>
      <w:tr>
        <w:trPr>
          <w:cantSplit/>
          <w:trHeight w:val="144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*服务周期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a)设备停产后应继续提供质量保障服务（含备品备件），服务终止时间与最</w:t>
            </w:r>
            <w:r>
              <w:rPr>
                <w:rFonts w:hint="eastAsia" w:ascii="等线" w:hAnsi="等线" w:cs="宋体"/>
                <w:sz w:val="20"/>
                <w:szCs w:val="20"/>
              </w:rPr>
              <w:t xml:space="preserve">后一批设备交付时间间隔不低于6年；</w:t>
            </w:r>
            <w:r/>
          </w:p>
          <w:p>
            <w:pPr>
              <w:pStyle w:val="740"/>
              <w:rPr>
                <w:rFonts w:hint="eastAsia" w:ascii="等线" w:hAnsi="等线" w:cs="宋体"/>
                <w:sz w:val="20"/>
                <w:szCs w:val="20"/>
              </w:rPr>
            </w:pPr>
            <w:r>
              <w:rPr>
                <w:rFonts w:hint="eastAsia" w:ascii="等线" w:hAnsi="等线" w:cs="宋体"/>
                <w:sz w:val="20"/>
                <w:szCs w:val="20"/>
              </w:rPr>
              <w:t xml:space="preserve">b)产品停止服务时间应提前1年告知；</w:t>
            </w:r>
            <w:r/>
          </w:p>
          <w:p>
            <w:pPr>
              <w:pStyle w:val="740"/>
              <w:rPr>
                <w:rFonts w:hint="eastAsia" w:ascii="等线" w:hAnsi="等线" w:cs="宋体"/>
                <w:sz w:val="20"/>
                <w:szCs w:val="20"/>
              </w:rPr>
            </w:pPr>
            <w:r>
              <w:rPr>
                <w:rFonts w:hint="eastAsia" w:ascii="等线" w:hAnsi="等线" w:cs="宋体"/>
                <w:sz w:val="20"/>
                <w:szCs w:val="20"/>
              </w:rPr>
              <w:t xml:space="preserve">c)应明确产品发布日期</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*预装操作系统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预装正版中文专业版操作系统</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*培训服务</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供应商提供培训材料、产品手册、培训视频等培训相关内容</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*典型问题解决手册</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供应商提供典型问题解决说明文档或视频</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供应商提供上门升级部件/软件与扩容的增值服务</w:t>
            </w:r>
            <w:r/>
          </w:p>
        </w:tc>
      </w:tr>
      <w:tr>
        <w:trPr>
          <w:cantSplit/>
          <w:trHeight w:val="60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*整机质量服务要求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Style w:val="889"/>
                <w:rFonts w:ascii="等线" w:hAnsi="等线"/>
                <w:color w:val="000000"/>
              </w:rPr>
              <w:t xml:space="preserve">免费服务周期（含换件和维修）应不小于3年</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*合格证书要求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供应商提供产品合格证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供应商提供开箱组装/使用指导</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*驱动下载服务要求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供应商提供驱动光盘或下载方式</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供应商提供兼容适配软件下载渠道（光盘、网站）</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供应商提供跨架构平台的应用兼容工具，支持一种或者一种以上不同架构平台的应用</w:t>
            </w:r>
            <w:r/>
          </w:p>
        </w:tc>
      </w:tr>
      <w:tr>
        <w:trPr>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供应链合规性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*产品部件保障</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供应商保障产品主要部件，提供6年的备件服务能力（自购买之日起），或提供可</w:t>
            </w:r>
            <w:r>
              <w:rPr>
                <w:rFonts w:hint="eastAsia" w:ascii="等线" w:hAnsi="等线" w:cs="宋体"/>
                <w:sz w:val="20"/>
                <w:szCs w:val="20"/>
              </w:rPr>
              <w:t xml:space="preserve">兼容原设备的升级换代产品</w:t>
            </w:r>
            <w:r/>
          </w:p>
        </w:tc>
      </w:tr>
      <w:tr>
        <w:trPr>
          <w:cantSplit/>
          <w:trHeight w:val="50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供应链质量</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*抗干扰性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当产品部件出现供应风险时，供应商应通知采购人并提供风险应对方案确保产品的服务保障</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*供应能力证明</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中标后</w:t>
            </w:r>
            <w:r>
              <w:rPr>
                <w:rFonts w:hint="eastAsia" w:ascii="等线" w:hAnsi="等线" w:cs="宋体"/>
                <w:bCs/>
                <w:sz w:val="20"/>
                <w:szCs w:val="20"/>
              </w:rPr>
              <w:t xml:space="preserve">供应商提供供应链稳定承诺书，确</w:t>
            </w:r>
            <w:r>
              <w:rPr>
                <w:rFonts w:hint="eastAsia" w:ascii="等线" w:hAnsi="等线" w:cs="宋体"/>
                <w:sz w:val="20"/>
                <w:szCs w:val="20"/>
              </w:rPr>
              <w:t xml:space="preserve">保产品的部件在产品服务周期内稳定供货</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关键部件安全要求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*关键部件安全要求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符合相关规定</w:t>
            </w:r>
            <w:r/>
          </w:p>
        </w:tc>
      </w:tr>
      <w:tr>
        <w:trPr>
          <w:cantSplit/>
          <w:trHeight w:val="70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整机安全性要求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*密码算法实现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CPU芯片应符合GM/T0008的相关规定，或芯片密码模块应符合GB/T3709</w:t>
            </w:r>
            <w:r>
              <w:rPr>
                <w:rFonts w:hint="eastAsia" w:ascii="等线" w:hAnsi="等线" w:cs="宋体"/>
                <w:sz w:val="20"/>
                <w:szCs w:val="20"/>
              </w:rPr>
              <w:t xml:space="preserve">2或GM/T0028的相关规定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USB端口管控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支持USB端口管控</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安全物理锁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支持安全物理锁</w:t>
            </w:r>
            <w:r/>
          </w:p>
        </w:tc>
      </w:tr>
      <w:tr>
        <w:trPr>
          <w:cantSplit/>
          <w:trHeight w:val="168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*信息安全基本要求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a)产品应符合GB/T39276的5.2的规定；</w:t>
            </w:r>
            <w:r/>
          </w:p>
          <w:p>
            <w:pPr>
              <w:pStyle w:val="740"/>
              <w:rPr>
                <w:rFonts w:hint="eastAsia" w:ascii="等线" w:hAnsi="等线" w:cs="宋体"/>
                <w:sz w:val="20"/>
                <w:szCs w:val="20"/>
              </w:rPr>
            </w:pPr>
            <w:r>
              <w:rPr>
                <w:rFonts w:hint="eastAsia" w:ascii="等线" w:hAnsi="等线" w:cs="宋体"/>
                <w:sz w:val="20"/>
                <w:szCs w:val="20"/>
              </w:rPr>
              <w:t xml:space="preserve">b)生产厂商应建立漏洞跟踪表，保证产品版本涉及到的漏洞(如驱动程序等)可查看；</w:t>
            </w:r>
            <w:r/>
          </w:p>
          <w:p>
            <w:pPr>
              <w:pStyle w:val="740"/>
              <w:rPr>
                <w:rFonts w:hint="eastAsia" w:ascii="等线" w:hAnsi="等线" w:cs="宋体"/>
                <w:sz w:val="20"/>
                <w:szCs w:val="20"/>
              </w:rPr>
            </w:pPr>
            <w:r>
              <w:rPr>
                <w:rFonts w:hint="eastAsia" w:ascii="等线" w:hAnsi="等线" w:cs="宋体"/>
                <w:sz w:val="20"/>
                <w:szCs w:val="20"/>
              </w:rPr>
              <w:t xml:space="preserve">c)产品不得包含已知的恶意代码或漏洞，不存在未声明的指令、功能、接口</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*固件安全启动</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支持固件安全启动功能，固件启动过程中只有通过启动校验才能正常启动</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*限用物</w:t>
            </w:r>
            <w:r>
              <w:rPr>
                <w:rFonts w:hint="eastAsia" w:ascii="等线" w:hAnsi="等线" w:cs="宋体"/>
                <w:sz w:val="20"/>
                <w:szCs w:val="20"/>
              </w:rPr>
              <w:t xml:space="preserve">质的限量要求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符合GB/T26572中规定</w:t>
            </w:r>
            <w:r/>
          </w:p>
        </w:tc>
      </w:tr>
    </w:tbl>
    <w:p>
      <w:pPr>
        <w:pStyle w:val="740"/>
      </w:pPr>
      <w:r/>
      <w:r/>
    </w:p>
    <w:p>
      <w:pPr>
        <w:pStyle w:val="740"/>
      </w:pPr>
      <w:r/>
      <w:r/>
    </w:p>
    <w:p>
      <w:pPr>
        <w:pStyle w:val="740"/>
      </w:pPr>
      <w:r>
        <w:rPr>
          <w:rFonts w:hint="eastAsia"/>
        </w:rPr>
        <w:t xml:space="preserve">2、工作站</w:t>
      </w:r>
      <w:r>
        <w:rPr>
          <w:rFonts w:hint="eastAsia"/>
        </w:rPr>
        <w:t xml:space="preserve">（40台）</w:t>
      </w:r>
      <w:r/>
    </w:p>
    <w:p>
      <w:pPr>
        <w:pStyle w:val="740"/>
      </w:pPr>
      <w:r/>
      <w:r/>
    </w:p>
    <w:tbl>
      <w:tblPr>
        <w:tblW w:w="8662"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709"/>
        <w:gridCol w:w="992"/>
        <w:gridCol w:w="1418"/>
        <w:gridCol w:w="4961"/>
      </w:tblGrid>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b/>
                <w:bCs/>
                <w:sz w:val="20"/>
                <w:szCs w:val="20"/>
              </w:rPr>
            </w:pPr>
            <w:r/>
            <w:bookmarkStart w:id="97" w:name="_Hlk215819152"/>
            <w:r>
              <w:rPr>
                <w:rFonts w:hint="eastAsia" w:ascii="等线" w:hAnsi="等线" w:cs="宋体"/>
                <w:b/>
                <w:bCs/>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指标分类</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一级指标</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二级指标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jc w:val="center"/>
              <w:rPr>
                <w:rFonts w:hint="eastAsia" w:ascii="等线" w:hAnsi="等线" w:cs="宋体"/>
                <w:b/>
                <w:bCs/>
                <w:sz w:val="20"/>
                <w:szCs w:val="20"/>
              </w:rPr>
            </w:pPr>
            <w:r>
              <w:rPr>
                <w:rFonts w:hint="eastAsia" w:ascii="等线" w:hAnsi="等线" w:cs="宋体"/>
                <w:b/>
                <w:bCs/>
                <w:sz w:val="20"/>
                <w:szCs w:val="20"/>
              </w:rPr>
              <w:t xml:space="preserve">技术要求</w:t>
            </w:r>
            <w:r/>
          </w:p>
        </w:tc>
      </w:tr>
      <w:tr>
        <w:trPr>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*CPU信息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70"/>
              <w:rPr>
                <w:rFonts w:hint="eastAsia" w:ascii="等线" w:hAnsi="等线" w:cs="宋体"/>
                <w:sz w:val="20"/>
                <w:szCs w:val="20"/>
              </w:rPr>
            </w:pPr>
            <w:r>
              <w:rPr>
                <w:rFonts w:hint="eastAsia" w:ascii="等线" w:hAnsi="等线" w:cs="宋体"/>
                <w:sz w:val="20"/>
                <w:szCs w:val="20"/>
              </w:rPr>
              <w:t xml:space="preserve">1颗，每颗CPU物理</w:t>
            </w:r>
            <w:r>
              <w:rPr>
                <w:rFonts w:hint="eastAsia" w:ascii="等线" w:hAnsi="等线"/>
                <w:sz w:val="20"/>
                <w:szCs w:val="20"/>
              </w:rPr>
              <w:t xml:space="preserve">核心数≥20</w:t>
            </w:r>
            <w:r>
              <w:rPr>
                <w:rFonts w:ascii="等线" w:hAnsi="等线"/>
                <w:sz w:val="20"/>
                <w:szCs w:val="20"/>
              </w:rPr>
              <w:t xml:space="preserve">核</w:t>
            </w:r>
            <w:r>
              <w:rPr>
                <w:rFonts w:hint="eastAsia" w:ascii="等线" w:hAnsi="等线"/>
                <w:sz w:val="20"/>
                <w:szCs w:val="20"/>
              </w:rPr>
              <w:t xml:space="preserve">，</w:t>
            </w:r>
            <w:r>
              <w:rPr>
                <w:rFonts w:hint="eastAsia" w:ascii="等线" w:hAnsi="等线" w:cs="宋体"/>
                <w:sz w:val="20"/>
                <w:szCs w:val="20"/>
              </w:rPr>
              <w:t xml:space="preserve">支持超线程技术，</w:t>
            </w:r>
            <w:r>
              <w:rPr>
                <w:rFonts w:hint="eastAsia" w:ascii="等线" w:hAnsi="等线"/>
                <w:sz w:val="20"/>
                <w:szCs w:val="20"/>
              </w:rPr>
              <w:t xml:space="preserve">线程数量≥27，性能核基本频率≥</w:t>
            </w:r>
            <w:r>
              <w:rPr>
                <w:rFonts w:ascii="等线" w:hAnsi="等线"/>
                <w:sz w:val="20"/>
                <w:szCs w:val="20"/>
              </w:rPr>
              <w:t xml:space="preserve">2.</w:t>
            </w:r>
            <w:r>
              <w:rPr>
                <w:rFonts w:hint="eastAsia" w:ascii="等线" w:hAnsi="等线"/>
                <w:sz w:val="20"/>
                <w:szCs w:val="20"/>
              </w:rPr>
              <w:t xml:space="preserve">1</w:t>
            </w:r>
            <w:r>
              <w:rPr>
                <w:rFonts w:ascii="等线" w:hAnsi="等线"/>
                <w:sz w:val="20"/>
                <w:szCs w:val="20"/>
              </w:rPr>
              <w:t xml:space="preserve">G</w:t>
            </w:r>
            <w:r>
              <w:rPr>
                <w:rFonts w:hint="eastAsia" w:ascii="等线" w:hAnsi="等线"/>
                <w:sz w:val="20"/>
                <w:szCs w:val="20"/>
              </w:rPr>
              <w:t xml:space="preserve">hz，</w:t>
            </w:r>
            <w:r>
              <w:rPr>
                <w:rFonts w:hint="eastAsia" w:ascii="等线" w:hAnsi="等线" w:cs="宋体"/>
                <w:sz w:val="20"/>
                <w:szCs w:val="20"/>
              </w:rPr>
              <w:t xml:space="preserve">每颗CPU三级</w:t>
            </w:r>
            <w:r>
              <w:rPr>
                <w:rFonts w:hint="eastAsia" w:ascii="等线" w:hAnsi="等线"/>
                <w:sz w:val="20"/>
                <w:szCs w:val="20"/>
              </w:rPr>
              <w:t xml:space="preserve">缓存≥33</w:t>
            </w:r>
            <w:r>
              <w:rPr>
                <w:rFonts w:ascii="等线" w:hAnsi="等线"/>
                <w:sz w:val="20"/>
                <w:szCs w:val="20"/>
              </w:rPr>
              <w:t xml:space="preserve">M</w:t>
            </w:r>
            <w:r>
              <w:rPr>
                <w:rFonts w:hint="eastAsia" w:ascii="等线" w:hAnsi="等线" w:cs="宋体"/>
                <w:sz w:val="20"/>
                <w:szCs w:val="20"/>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*内存配置容量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≥32GB</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DDR4及以上系列内存</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*内存条配置数量（板载内存不涉及）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*主板集成模块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集成资源扩</w:t>
            </w:r>
            <w:r>
              <w:rPr>
                <w:rFonts w:hint="eastAsia" w:ascii="等线" w:hAnsi="等线" w:cs="宋体"/>
                <w:sz w:val="20"/>
                <w:szCs w:val="20"/>
              </w:rPr>
              <w:t xml:space="preserve">展模块、计算处理模块、音频扩展模块等，主板的互联拓扑可通过处理器或交换电路实现</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支持X86 CPU，支持DDR4及以上系列内存</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至少提供1个PCI-E、1个PCI-E*1 槽位，</w:t>
            </w:r>
            <w:r>
              <w:rPr>
                <w:rFonts w:hint="eastAsia" w:ascii="等线" w:hAnsi="等线"/>
                <w:sz w:val="20"/>
                <w:szCs w:val="20"/>
              </w:rPr>
              <w:t xml:space="preserve">本项为主板内置数量要求，不含扩展卡进行插槽扩展</w:t>
            </w:r>
            <w:r>
              <w:rPr>
                <w:rFonts w:hint="eastAsia" w:ascii="等线" w:hAnsi="等线" w:cs="宋体"/>
                <w:sz w:val="20"/>
                <w:szCs w:val="20"/>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特殊孔位及接口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a）预留满足USB3.0数据传输规范的接口，工作电压5V，最大过电流应不小于3A；</w:t>
            </w:r>
            <w:r/>
          </w:p>
          <w:p>
            <w:pPr>
              <w:pStyle w:val="740"/>
              <w:rPr>
                <w:rFonts w:hint="eastAsia" w:ascii="等线" w:hAnsi="等线" w:cs="宋体"/>
                <w:sz w:val="20"/>
                <w:szCs w:val="20"/>
              </w:rPr>
            </w:pPr>
            <w:r>
              <w:rPr>
                <w:rFonts w:hint="eastAsia" w:ascii="等线" w:hAnsi="等线" w:cs="宋体"/>
                <w:sz w:val="20"/>
                <w:szCs w:val="20"/>
              </w:rPr>
              <w:t xml:space="preserve">b)预留多功能导入装置板卡安装孔位，采用内置方式与主机一体化集成，容量不小于145mm×125mm×16.5mm（长×宽×高）</w:t>
            </w:r>
            <w:r/>
          </w:p>
        </w:tc>
      </w:tr>
      <w:tr>
        <w:trPr>
          <w:cantSplit/>
          <w:trHeight w:val="120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*主板其他内置接口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1个DP，1个HDMI，1个RJ45接口。</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*单内存插槽最大可支持容量（板载内存不涉及）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≥16GB</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≥32GB</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≥1T</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机械硬盘总容量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机械硬盘转速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机械硬盘形态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UFS/SATA/PCIe/NVMe等类型接口协议</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*固态存储形态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采用插卡或板载等形态，可选用符合M.2或2.5寸SATA或mSATA等标准的插卡形态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存储设备扩展盘位</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*存储设备其他参数要求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a）固态盘应符合 SJ/T 11654 相关规定</w:t>
            </w:r>
            <w:r/>
          </w:p>
        </w:tc>
      </w:tr>
      <w:tr>
        <w:trPr>
          <w:cantSplit/>
          <w:trHeight w:val="30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集显</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独立显卡显存位宽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独立显卡显存容量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独立显卡接口协议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35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*显示屏屏占比</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≥1920x1080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显示屏像素密度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≥85像素/英寸</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显示屏可视角度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水平≥170°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*显示屏尺寸</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≥23.8英寸</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*显示屏屏幕比例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16:9</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*显示器外观颜色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*显示屏防蓝光</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Style w:val="887"/>
                <w:rFonts w:ascii="等线" w:hAnsi="等线"/>
                <w:color w:val="000000"/>
              </w:rPr>
            </w:pPr>
            <w:r>
              <w:rPr>
                <w:rStyle w:val="887"/>
                <w:rFonts w:ascii="等线" w:hAnsi="等线"/>
                <w:color w:val="000000"/>
              </w:rPr>
              <w:t xml:space="preserve">支持防蓝光模式，蓝光加权辐射亮度比应≤0.0012W/(·cd·sr)（瓦每坎特拉每球面度）</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*显示屏低频闪</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Style w:val="887"/>
                <w:rFonts w:ascii="等线" w:hAnsi="等线"/>
                <w:color w:val="000000"/>
              </w:rPr>
              <w:t xml:space="preserve">显示屏应支持低频闪</w:t>
            </w:r>
            <w:r>
              <w:rPr>
                <w:rStyle w:val="888"/>
                <w:rFonts w:ascii="等线" w:hAnsi="等线"/>
                <w:color w:val="000000"/>
              </w:rPr>
              <w:t xml:space="preserve">≤-35dB</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*显示屏防炫目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显示屏镜面反射率≤10%</w:t>
            </w:r>
            <w:r/>
          </w:p>
        </w:tc>
      </w:tr>
      <w:tr>
        <w:trPr>
          <w:cantSplit/>
          <w:trHeight w:val="34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传声器数量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≥1个</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光驱数量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键盘按键数目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61键/86键/101键/104键等</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摄像头像素</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扬声器频率范围</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扬声器总谐波失真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扬声器最大声压级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键盘连接方式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有线</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键盘键程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2.3mm~4.0mm</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键盘按键压力</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按键压力应在0.54N±0.14N</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有线键盘连接线</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≥1.5米</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 </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键盘其他要求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键盘外观结构、连接方式、主要功能、安全、电磁兼容性、可靠性应符合GB/T14081的相关规定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鼠标连接方式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有线</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有线鼠标连接线</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≥1.5米</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59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鼠标DPI分辨率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800~1600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鼠标其他要求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其它参数应符合GB/T26245的相关规定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内置光驱</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支持内置光驱</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w:t>
            </w:r>
            <w:r>
              <w:rPr>
                <w:rFonts w:hint="eastAsia" w:ascii="等线" w:hAnsi="等线"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*外部接口规格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不少于6个USB接口</w:t>
            </w:r>
            <w:r/>
          </w:p>
        </w:tc>
      </w:tr>
      <w:tr>
        <w:trPr>
          <w:cantSplit/>
          <w:trHeight w:val="84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USB母座接口要求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69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音频接口数量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存储卡接口数量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168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整机基础规格</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整机外观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a)产品表面不应有凹痕、划伤、裂缝、变形和污染等。表面涂层均匀，不应起泡、龟裂、脱落和磨损，金属零部件无锈蚀及其它机械损伤；</w:t>
            </w:r>
            <w:r/>
          </w:p>
          <w:p>
            <w:pPr>
              <w:pStyle w:val="740"/>
              <w:rPr>
                <w:rFonts w:hint="eastAsia" w:ascii="等线" w:hAnsi="等线" w:cs="宋体"/>
                <w:sz w:val="20"/>
                <w:szCs w:val="20"/>
              </w:rPr>
            </w:pPr>
            <w:r>
              <w:rPr>
                <w:rFonts w:hint="eastAsia" w:ascii="等线" w:hAnsi="等线" w:cs="宋体"/>
                <w:sz w:val="20"/>
                <w:szCs w:val="20"/>
              </w:rPr>
              <w:t xml:space="preserve">b)产品表面说明功能的文字、符号、标志，应清晰、端正、牢固</w:t>
            </w:r>
            <w:r/>
          </w:p>
        </w:tc>
      </w:tr>
      <w:tr>
        <w:trPr>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72</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状态指示灯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在产品显著位置提供状态指示功能，通过指示灯可查看机器运行状态或存储状态</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73</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整机结构</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a)机箱应符合GB/T4208、GB/T26246的相关规定；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b)产品内部结构应符合通用部件的安装需求；</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c)所有输入输出接口应符合相关国家或行业标准；</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d)产品零部件应紧固无松动，可插拔部件应可靠连接，开关、按钮和其它控制部件应灵活可靠，布局应方便使用；</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e)所有I/O连接器及需插接线缆的部位应预留采购人操作空间，方便插拔解锁与插拔线缆；</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f)可插拔板卡插槽部位应预留安装、拆卸或更换板卡空间；</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g)拆装可能接触到的金属剪口或金属尖角部位应做防划伤处理，以保证安全；</w:t>
            </w:r>
            <w:r/>
          </w:p>
        </w:tc>
      </w:tr>
      <w:tr>
        <w:trPr>
          <w:cantSplit/>
          <w:trHeight w:val="1203"/>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h)整机内部走线应规整，固线结构和位置要合理可靠并做防割线处理，需便于理线和插拔操作，走线应不影响系统各主要部件组装和拆卸；</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i)如需通过孔走线，过线孔应做防割线处理；</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j)各插头位置和插拔方向应合理，应做到插拔无障碍设计，具备防呆设计，有效避免误操作；</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k)各主要部件拆装无障碍，使用常规工具拆装，无特殊拆装工具需求；</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l)各主要部件拆装步骤要少，各自拆装需避免相互干扰；</w:t>
            </w:r>
            <w:r/>
          </w:p>
        </w:tc>
      </w:tr>
      <w:tr>
        <w:trPr>
          <w:cantSplit/>
          <w:trHeight w:val="195"/>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m)对于整机或零部件外表面为高亮面的，应粘贴保护膜，保护膜需粘贴牢固，运输、组装等过程不易脱落，撕下无残留；</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n)其它要求应符合GB/T9813.1的相关规定</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机箱防护要求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机箱应符合GB/T4208中IP20防护要求</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整机噪音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产品工作在空闲状态下，产品的声功率级不超过4.5Bel</w:t>
            </w:r>
            <w:r/>
          </w:p>
        </w:tc>
      </w:tr>
      <w:tr>
        <w:trPr>
          <w:trHeight w:val="240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整机散热</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在环境温度25℃及处理器满载情况下，产品表面温度应符合如下要求：</w:t>
            </w:r>
            <w:r/>
          </w:p>
          <w:p>
            <w:pPr>
              <w:pStyle w:val="740"/>
              <w:rPr>
                <w:rFonts w:hint="eastAsia" w:ascii="等线" w:hAnsi="等线" w:cs="宋体"/>
                <w:sz w:val="20"/>
                <w:szCs w:val="20"/>
              </w:rPr>
            </w:pPr>
            <w:r>
              <w:rPr>
                <w:rFonts w:hint="eastAsia" w:ascii="等线" w:hAnsi="等线" w:cs="宋体"/>
                <w:sz w:val="20"/>
                <w:szCs w:val="20"/>
              </w:rPr>
              <w:t xml:space="preserve">a)出风口在</w:t>
            </w:r>
            <w:r>
              <w:rPr>
                <w:rFonts w:hint="eastAsia" w:ascii="等线" w:hAnsi="等线" w:cs="宋体"/>
                <w:sz w:val="20"/>
                <w:szCs w:val="20"/>
              </w:rPr>
              <w:t xml:space="preserve">机箱后面板情况下，出风口温度不高于55℃；</w:t>
            </w:r>
            <w:r/>
          </w:p>
          <w:p>
            <w:pPr>
              <w:pStyle w:val="740"/>
              <w:rPr>
                <w:rFonts w:hint="eastAsia" w:ascii="等线" w:hAnsi="等线" w:cs="宋体"/>
                <w:sz w:val="20"/>
                <w:szCs w:val="20"/>
              </w:rPr>
            </w:pPr>
            <w:r>
              <w:rPr>
                <w:rFonts w:hint="eastAsia" w:ascii="等线" w:hAnsi="等线" w:cs="宋体"/>
                <w:sz w:val="20"/>
                <w:szCs w:val="20"/>
              </w:rPr>
              <w:t xml:space="preserve">b)可触及面温度不高于45℃；</w:t>
            </w:r>
            <w:r/>
          </w:p>
          <w:p>
            <w:pPr>
              <w:pStyle w:val="740"/>
              <w:rPr>
                <w:rFonts w:hint="eastAsia" w:ascii="等线" w:hAnsi="等线" w:cs="宋体"/>
                <w:sz w:val="20"/>
                <w:szCs w:val="20"/>
              </w:rPr>
            </w:pPr>
            <w:r>
              <w:rPr>
                <w:rFonts w:hint="eastAsia" w:ascii="等线" w:hAnsi="等线" w:cs="宋体"/>
                <w:sz w:val="20"/>
                <w:szCs w:val="20"/>
              </w:rPr>
              <w:t xml:space="preserve">c)显示器表面温度：显示屏不高于38℃,显示屏上下灯带位置温度（如涉及）不高于40℃，出风口温度不高于45℃</w:t>
            </w:r>
            <w:r/>
          </w:p>
        </w:tc>
      </w:tr>
      <w:tr>
        <w:trPr>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整机能效限定值</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产品能效限定值应达到GB28380-2012标准中能效等级2级及以上</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机身材质</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金属</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79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机身颜色</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黑色</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rPr>
                <w:rFonts w:hint="eastAsia" w:ascii="等线" w:hAnsi="等线" w:cs="宋体"/>
                <w:sz w:val="20"/>
                <w:szCs w:val="20"/>
              </w:rPr>
              <w:t xml:space="preserve">*</w:t>
            </w:r>
            <w:r/>
            <w:r>
              <w:rPr>
                <w:rFonts w:hint="eastAsia" w:ascii="等线" w:hAnsi="等线" w:cs="宋体"/>
                <w:sz w:val="20"/>
                <w:szCs w:val="20"/>
              </w:rPr>
              <w:t xml:space="preserve">机箱尺寸容量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宋体" w:hAnsi="宋体" w:cs="宋体"/>
                <w:sz w:val="20"/>
                <w:szCs w:val="20"/>
              </w:rPr>
            </w:pPr>
            <w:r>
              <w:rPr>
                <w:rFonts w:hint="eastAsia" w:ascii="宋体" w:hAnsi="宋体" w:cs="宋体"/>
                <w:sz w:val="20"/>
                <w:szCs w:val="20"/>
              </w:rPr>
              <w:t xml:space="preserve">机箱体积应≥17L </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*CPU物理核数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≥20</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*CPU主</w:t>
            </w:r>
            <w:r>
              <w:rPr>
                <w:rFonts w:hint="eastAsia" w:ascii="等线" w:hAnsi="等线" w:cs="宋体"/>
                <w:sz w:val="20"/>
                <w:szCs w:val="20"/>
              </w:rPr>
              <w:t xml:space="preserve">频</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≥2.1GHz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*CPU末级缓存容量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≥33MB</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rPr>
                <w:rFonts w:ascii="等线" w:hAnsi="等线" w:cs="宋体"/>
                <w:sz w:val="20"/>
                <w:szCs w:val="20"/>
              </w:rPr>
              <w:t xml:space="preserve">3200MT/s</w:t>
            </w:r>
            <w:r>
              <w:rPr>
                <w:rFonts w:hint="eastAsia" w:ascii="等线" w:hAnsi="等线"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*内存读写速率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rPr>
                <w:rFonts w:ascii="等线" w:hAnsi="等线" w:cs="宋体"/>
                <w:sz w:val="20"/>
                <w:szCs w:val="20"/>
              </w:rPr>
              <w:t xml:space="preserve">3200MT/s</w:t>
            </w:r>
            <w:r>
              <w:rPr>
                <w:rFonts w:hint="eastAsia" w:ascii="等线" w:hAnsi="等线" w:cs="宋体"/>
                <w:sz w:val="20"/>
                <w:szCs w:val="20"/>
              </w:rPr>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*显示分辨率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≥1920x1080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≥300MHz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w:t>
            </w:r>
            <w:r>
              <w:rPr>
                <w:rFonts w:hint="eastAsia"/>
              </w:rPr>
              <w:t xml:space="preserve">显存等效频率</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≥1000MT/s</w:t>
            </w:r>
            <w:r/>
          </w:p>
        </w:tc>
      </w:tr>
      <w:tr>
        <w:trPr>
          <w:cantSplit/>
          <w:trHeight w:val="57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89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*显卡可支持多屏同时显示数量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显卡应支持</w:t>
            </w:r>
            <w:r>
              <w:rPr>
                <w:rFonts w:ascii="等线" w:hAnsi="等线" w:cs="宋体"/>
                <w:sz w:val="20"/>
                <w:szCs w:val="20"/>
              </w:rPr>
              <w:t xml:space="preserve">2</w:t>
            </w:r>
            <w:r>
              <w:rPr>
                <w:rFonts w:hint="eastAsia" w:ascii="等线" w:hAnsi="等线" w:cs="宋体"/>
                <w:sz w:val="20"/>
                <w:szCs w:val="20"/>
              </w:rPr>
              <w:t xml:space="preserve">块屏幕同时显示，分辨率应不低于1920×1080</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*显示屏刷新率</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≥75Hz</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*显示屏位深</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≥8位</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显示屏色域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≥99%sRGB</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*显示屏色准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△E≤4</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显示屏响应时间</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w:t>
            </w:r>
            <w:r>
              <w:rPr>
                <w:rFonts w:hint="eastAsia" w:ascii="等线" w:hAnsi="等线" w:cs="宋体"/>
                <w:sz w:val="20"/>
                <w:szCs w:val="20"/>
              </w:rPr>
              <w:t xml:space="preserve">≤6ms</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*显示屏亮度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≥250尼特</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*显示屏亮度一致性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≥70%</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显示屏对比度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w:t>
            </w:r>
            <w:r>
              <w:rPr>
                <w:rFonts w:hint="eastAsia" w:ascii="等线" w:hAnsi="等线" w:cs="宋体"/>
                <w:sz w:val="20"/>
                <w:szCs w:val="20"/>
              </w:rPr>
              <w:t xml:space="preserve">≥1000：1</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*显示屏其他参数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其它参数应符合 SJ/T 11292 的相关规定</w:t>
            </w:r>
            <w:r>
              <w:rPr>
                <w:rFonts w:hint="eastAsia" w:ascii="等线" w:hAnsi="等线" w:cs="宋体"/>
                <w:sz w:val="20"/>
                <w:szCs w:val="20"/>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网络设备性能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有线网卡速率</w:t>
            </w: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最高速率应不低1000Mbps，应支持10Mbps、100Mbps、1000Mbps速率自适应</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支持无线网络通信技术协议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无线网卡频宽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57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*内存扩展接口(板载内存不涉及)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≥4个</w:t>
            </w:r>
            <w:r/>
          </w:p>
        </w:tc>
      </w:tr>
      <w:tr>
        <w:trPr>
          <w:cantSplit/>
          <w:trHeight w:val="6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存储扩展接口(板载存储不涉及)</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主板支持存储扩展接口类型：UFS3.0、SATA3.0、SAS3.0、M.2等类型接口</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主板USB瞬间过流保护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支持有瞬间过流保护功能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主板防静电保护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支持防静电保护功能</w:t>
            </w:r>
            <w:r/>
          </w:p>
        </w:tc>
      </w:tr>
      <w:tr>
        <w:trPr>
          <w:cantSplit/>
          <w:trHeight w:val="214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*I/O接口功能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trHeight w:val="52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显卡外接显示接口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显卡至少支持VGA、HDMI中1种显示接口，并与显示器接口相匹配</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108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独立显卡数量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37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pPr>
            <w:r>
              <w:rPr>
                <w:rFonts w:hint="eastAsia" w:ascii="等线" w:hAnsi="等线" w:cs="宋体"/>
                <w:sz w:val="20"/>
                <w:szCs w:val="20"/>
              </w:rPr>
              <w:t xml:space="preserve">109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w:t>
            </w:r>
            <w:r>
              <w:rPr>
                <w:rFonts w:hint="eastAsia" w:ascii="等线" w:hAnsi="等线" w:cs="宋体"/>
                <w:sz w:val="20"/>
                <w:szCs w:val="20"/>
              </w:rPr>
              <w:t xml:space="preserve">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显示器提供VGA、HDMI接口</w:t>
            </w:r>
            <w:r/>
          </w:p>
        </w:tc>
      </w:tr>
      <w:tr>
        <w:trPr>
          <w:cantSplit/>
          <w:trHeight w:val="54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显示器支架</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显示器应提供显示器支架，显示器应提供显示器角度调整等功能</w:t>
            </w:r>
            <w:r>
              <w:rPr>
                <w:rFonts w:hint="eastAsia" w:ascii="等线" w:hAnsi="等线" w:cs="宋体"/>
                <w:sz w:val="20"/>
                <w:szCs w:val="20"/>
              </w:rPr>
            </w:r>
            <w:r/>
          </w:p>
        </w:tc>
      </w:tr>
      <w:tr>
        <w:trPr>
          <w:cantSplit/>
          <w:trHeight w:val="61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显示器参数调节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a)提供OSD选单按钮用于调节色彩、模式等；</w:t>
            </w:r>
            <w:r/>
          </w:p>
          <w:p>
            <w:pPr>
              <w:pStyle w:val="740"/>
              <w:rPr>
                <w:rFonts w:hint="eastAsia" w:ascii="等线" w:hAnsi="等线" w:cs="宋体"/>
                <w:sz w:val="20"/>
                <w:szCs w:val="20"/>
              </w:rPr>
            </w:pPr>
            <w:r>
              <w:rPr>
                <w:rFonts w:hint="eastAsia" w:ascii="等线" w:hAnsi="等线" w:cs="宋体"/>
                <w:sz w:val="20"/>
                <w:szCs w:val="20"/>
              </w:rPr>
              <w:t xml:space="preserve">b)支持色温、亮度、对比度调节</w:t>
            </w:r>
            <w:r/>
          </w:p>
        </w:tc>
      </w:tr>
      <w:tr>
        <w:trPr>
          <w:cantSplit/>
          <w:trHeight w:val="39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摄像头物理隐私保护开关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传声器降噪</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键盘背光</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9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光驱功能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8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通过SATA固态存储/PCIe固态存储/UFS固态存储/SATA硬磁盘等存储部件提供存储功能</w:t>
            </w:r>
            <w:r/>
          </w:p>
        </w:tc>
      </w:tr>
      <w:tr>
        <w:trPr>
          <w:cantSplit/>
          <w:trHeight w:val="104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内置控制器固态存储加密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p>
        </w:tc>
      </w:tr>
      <w:tr>
        <w:trPr>
          <w:cantSplit/>
          <w:trHeight w:val="62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a)支持网络连接、网络开启/关闭功能；b)支持访问网络和数据交换功能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无线网卡频段</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物理开关</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支持网络设备物理开关</w:t>
            </w:r>
            <w:r>
              <w:rPr>
                <w:rFonts w:hint="eastAsia" w:ascii="等线" w:hAnsi="等线" w:cs="宋体"/>
                <w:sz w:val="20"/>
                <w:szCs w:val="20"/>
              </w:rPr>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数据传输</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支持数据传输能力，并提供数据流量和异常日志记录功能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蓝牙协议</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若支持蓝牙模块，蓝牙协议不低于5.0版本</w:t>
            </w:r>
            <w:r/>
          </w:p>
        </w:tc>
      </w:tr>
      <w:tr>
        <w:trPr>
          <w:cantSplit/>
          <w:trHeight w:val="41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有线网卡接口类型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支持RJ45接口</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无线网卡标准</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新宋体"/>
                <w:sz w:val="20"/>
                <w:szCs w:val="20"/>
              </w:rPr>
              <w:t xml:space="preserve">/</w:t>
            </w:r>
            <w:r>
              <w:rPr>
                <w:rFonts w:hint="eastAsia" w:ascii="等线" w:hAnsi="等线" w:cs="宋体"/>
                <w:sz w:val="20"/>
                <w:szCs w:val="20"/>
              </w:rPr>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网络设备拆装</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网络设备支持物理拆装，包括无线网卡和蓝牙模块等</w:t>
            </w:r>
            <w:r/>
          </w:p>
        </w:tc>
      </w:tr>
      <w:tr>
        <w:trPr>
          <w:cantSplit/>
          <w:trHeight w:val="8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外部接口功能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音频接口类型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支持3.5mm孔径3段式或4段式接口</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至少支持VGA、HDMI、DVI、DP、Type-C中1种显示接口</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HDMI、DP、Type-C显示接口要求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若提供HDMI或DP或Type-C作为显示接口，应支持音频和视频同步输出</w:t>
            </w:r>
            <w:r/>
          </w:p>
        </w:tc>
      </w:tr>
      <w:tr>
        <w:trPr>
          <w:cantSplit/>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129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其他接口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a)支持串行接口，可实现GB/T6107的功能；</w:t>
            </w:r>
            <w:r/>
          </w:p>
          <w:p>
            <w:pPr>
              <w:pStyle w:val="740"/>
              <w:rPr>
                <w:rFonts w:hint="eastAsia" w:ascii="等线" w:hAnsi="等线" w:cs="宋体"/>
                <w:sz w:val="20"/>
                <w:szCs w:val="20"/>
              </w:rPr>
            </w:pPr>
            <w:r>
              <w:rPr>
                <w:rFonts w:hint="eastAsia" w:ascii="等线" w:hAnsi="等线" w:cs="宋体"/>
                <w:sz w:val="20"/>
                <w:szCs w:val="20"/>
              </w:rPr>
              <w:t xml:space="preserve">b)支持并行接口，可实现GB/T18235.1的功能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存储卡接口类型</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46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电源功能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*电源 </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提供≥750W电源</w:t>
            </w:r>
            <w:r/>
          </w:p>
        </w:tc>
      </w:tr>
      <w:tr>
        <w:trPr>
          <w:cantSplit/>
          <w:trHeight w:val="55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中文信息处理要求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符合GB18030的相关规定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w:t>
            </w:r>
            <w:r>
              <w:rPr>
                <w:rFonts w:hint="eastAsia" w:ascii="等线" w:hAnsi="等线" w:cs="宋体"/>
                <w:sz w:val="20"/>
                <w:szCs w:val="20"/>
              </w:rPr>
              <w:t xml:space="preserve">统备份及还原功能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支持操作系统备份及还原功能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固件备份还原能力</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支持备份及还原固件的功能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支持通过网络、闪存盘等方式对操作系统、驱动进行升级</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固件升级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支持通过网络、闪存盘等方式对固件进行升级</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支持BIOS关闭以太网及USB接口</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固件查看信息</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支持查看固件版本、内存信息、主板信息、处理器信息和系统时间信息等功能</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139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固件设置启动顺序</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支持设置启动顺序功能，并按照设置的启动顺序启动</w:t>
            </w:r>
            <w:r/>
          </w:p>
        </w:tc>
      </w:tr>
      <w:tr>
        <w:trPr>
          <w:cantSplit/>
          <w:trHeight w:val="42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固件设置口令</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支持设置口令、修改口令、验证口令功能</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固件设置网络引导</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支持网络引导启动和关闭功能</w:t>
            </w:r>
            <w:r/>
          </w:p>
        </w:tc>
      </w:tr>
      <w:tr>
        <w:trPr>
          <w:cantSplit/>
          <w:trHeight w:val="40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生物识别功能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指纹识别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指纹识别功能符合GB/T37742的相关规定</w:t>
            </w:r>
            <w:r/>
          </w:p>
        </w:tc>
      </w:tr>
      <w:tr>
        <w:trPr>
          <w:cantSplit/>
          <w:trHeight w:val="37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人脸识别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人脸识别功能符合GB/T37036.3的相关规定</w:t>
            </w:r>
            <w:r/>
          </w:p>
        </w:tc>
      </w:tr>
      <w:tr>
        <w:trPr>
          <w:cantSplit/>
          <w:trHeight w:val="42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静脉识别</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指静脉识别功能符合GB/T33135的相关规定</w:t>
            </w:r>
            <w:r/>
          </w:p>
        </w:tc>
      </w:tr>
      <w:tr>
        <w:trPr>
          <w:cantSplit/>
          <w:trHeight w:val="6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硬件加速功能</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NPU/GPU等AI加速模块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支持NP</w:t>
            </w:r>
            <w:r>
              <w:rPr>
                <w:rFonts w:hint="eastAsia" w:ascii="等线" w:hAnsi="等线" w:cs="宋体"/>
                <w:sz w:val="20"/>
                <w:szCs w:val="20"/>
              </w:rPr>
              <w:t xml:space="preserve">U/GPU等AI加速模块</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支持视频编解码加速模块</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影像处理加速模块</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支持影像处理加速模块</w:t>
            </w:r>
            <w:r/>
          </w:p>
        </w:tc>
      </w:tr>
      <w:tr>
        <w:trPr>
          <w:cantSplit/>
          <w:trHeight w:val="42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存储设备可靠性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*固态存储寿命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TBW≥160TB（条件：1T硬盘容量）</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149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机械硬盘寿命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显示设备可靠性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显示屏屏幕失效点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符合GB/T9813.2的要求</w:t>
            </w:r>
            <w:r/>
          </w:p>
        </w:tc>
      </w:tr>
      <w:tr>
        <w:trPr>
          <w:cantSplit/>
          <w:trHeight w:val="41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外设可靠性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键盘按键寿命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≥1000万次</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鼠标按键寿命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≥500万次</w:t>
            </w:r>
            <w:r/>
          </w:p>
        </w:tc>
      </w:tr>
      <w:tr>
        <w:trPr>
          <w:cantSplit/>
          <w:trHeight w:val="66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键盘鼠标线材寿命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键盘鼠标所用线材经±60°弯折不低于3000次，功能、外观完好</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风扇寿命</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≥4万小时</w:t>
            </w:r>
            <w:r/>
          </w:p>
        </w:tc>
      </w:tr>
      <w:tr>
        <w:trPr>
          <w:cantSplit/>
          <w:trHeight w:val="60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整机可靠性要求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符合GB/T9254.2的规定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环境条件要求的气候环境适应性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559"/>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159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w:t>
            </w:r>
            <w:r>
              <w:rPr>
                <w:rFonts w:hint="eastAsia" w:ascii="等线" w:hAnsi="等线" w:cs="宋体"/>
                <w:sz w:val="20"/>
                <w:szCs w:val="20"/>
              </w:rPr>
              <w:t xml:space="preserve">要求的碰撞适应性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符合GB/T9813.1中规定</w:t>
            </w:r>
            <w:r/>
          </w:p>
        </w:tc>
      </w:tr>
      <w:tr>
        <w:trPr>
          <w:cantSplit/>
          <w:trHeight w:val="403"/>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可靠性要求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*MTBF测试</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MTBF(m1)≥100万小时</w:t>
            </w:r>
            <w:r/>
          </w:p>
        </w:tc>
      </w:tr>
      <w:tr>
        <w:trPr>
          <w:cantSplit/>
          <w:trHeight w:val="13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常用软件兼容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支持流式软件、版式软件、浏览器、邮件采购人端、解压软件、多媒体、图形图像处理等常用软件</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数据库兼容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兼容3个及以上厂商的数据库产品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中间件兼容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兼容3个及以上厂商中间件产品</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平台软件兼容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兼容3个及以上厂商云计算及大数据平台</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包装及运输要求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包装及运输要求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符合GB/T9813.1和商品包装政府采购需求标准的相关规定</w:t>
            </w:r>
            <w:r/>
          </w:p>
        </w:tc>
      </w:tr>
      <w:tr>
        <w:trPr>
          <w:cantSplit/>
          <w:trHeight w:val="36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配置检查工具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供应商提供自检测试工具</w:t>
            </w:r>
            <w:r/>
          </w:p>
        </w:tc>
      </w:tr>
      <w:tr>
        <w:trPr>
          <w:cantSplit/>
          <w:trHeight w:val="2647"/>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*服务响应</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项目全面验收合格之日起，免费质保3年,（含原厂质保，有特殊要求的按实际要求）。供应商须提供24小时维保热线，24*365天随时接受采购人的服务请求；接到采购人服务请求后，30分钟电话响应，4小时内赶到故障现场进行维护修理。其中电脑原厂7x24小</w:t>
            </w:r>
            <w:r>
              <w:rPr>
                <w:rFonts w:hint="eastAsia" w:ascii="等线" w:hAnsi="等线" w:cs="宋体"/>
                <w:sz w:val="20"/>
                <w:szCs w:val="20"/>
              </w:rPr>
              <w:t xml:space="preserve">时400/800电话免费 支持，工作日现场上门服务。</w:t>
            </w:r>
            <w:r/>
          </w:p>
        </w:tc>
      </w:tr>
      <w:tr>
        <w:trPr>
          <w:cantSplit/>
          <w:trHeight w:val="144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169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*服务周期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a)设备停产后应继续提供质量保障服务（含备品备件），服务终止时间与最后一批设备交付时间间隔不低于6年；</w:t>
            </w:r>
            <w:r/>
          </w:p>
          <w:p>
            <w:pPr>
              <w:pStyle w:val="740"/>
              <w:rPr>
                <w:rFonts w:hint="eastAsia" w:ascii="等线" w:hAnsi="等线" w:cs="宋体"/>
                <w:sz w:val="20"/>
                <w:szCs w:val="20"/>
              </w:rPr>
            </w:pPr>
            <w:r>
              <w:rPr>
                <w:rFonts w:hint="eastAsia" w:ascii="等线" w:hAnsi="等线" w:cs="宋体"/>
                <w:sz w:val="20"/>
                <w:szCs w:val="20"/>
              </w:rPr>
              <w:t xml:space="preserve">b)产品停止服务时间应提前1年告知；</w:t>
            </w:r>
            <w:r/>
          </w:p>
          <w:p>
            <w:pPr>
              <w:pStyle w:val="740"/>
              <w:rPr>
                <w:rFonts w:hint="eastAsia" w:ascii="等线" w:hAnsi="等线" w:cs="宋体"/>
                <w:sz w:val="20"/>
                <w:szCs w:val="20"/>
              </w:rPr>
            </w:pPr>
            <w:r>
              <w:rPr>
                <w:rFonts w:hint="eastAsia" w:ascii="等线" w:hAnsi="等线" w:cs="宋体"/>
                <w:sz w:val="20"/>
                <w:szCs w:val="20"/>
              </w:rPr>
              <w:t xml:space="preserve">c)应明确产品发布日期</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*预装操作系统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预装正版中文专业版操作系统</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*培训服务</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供应商提供培训材料、产品手册、培训视频等培训相关内容</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*典型问题解决手册</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供应商提供典型问题解决说明文档或视频</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供应商提供上门升级部件/软件与扩容的增值服务</w:t>
            </w:r>
            <w:r/>
          </w:p>
        </w:tc>
      </w:tr>
      <w:tr>
        <w:trPr>
          <w:cantSplit/>
          <w:trHeight w:val="608"/>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*整机质量服务要求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Style w:val="889"/>
                <w:rFonts w:ascii="等线" w:hAnsi="等线"/>
                <w:color w:val="000000"/>
              </w:rPr>
              <w:t xml:space="preserve">免费服务周期（含换件和维修）应不小于3年</w:t>
            </w:r>
            <w:r>
              <w:rPr>
                <w:rFonts w:hint="eastAsia" w:ascii="等线" w:hAnsi="等线" w:cs="宋体"/>
                <w:sz w:val="20"/>
                <w:szCs w:val="2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*合格证书要求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供应商提供产品合格证</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供应商提供开箱组装/使用指导</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*驱动下载服务要求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供应商提供驱动光盘或下载方式</w:t>
            </w:r>
            <w:r/>
          </w:p>
        </w:tc>
      </w:tr>
      <w:tr>
        <w:trPr>
          <w:cantSplit/>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供应商提供兼容适配软件下载渠道（光盘、网站）</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179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服务要求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供应商提供</w:t>
            </w:r>
            <w:r>
              <w:rPr>
                <w:rFonts w:hint="eastAsia" w:ascii="等线" w:hAnsi="等线" w:cs="宋体"/>
                <w:sz w:val="20"/>
                <w:szCs w:val="20"/>
              </w:rPr>
              <w:t xml:space="preserve">跨架构平台的应用兼容工具，支持一种或者一种以上不同架构平台的应用</w:t>
            </w:r>
            <w:r/>
          </w:p>
        </w:tc>
      </w:tr>
      <w:tr>
        <w:trPr>
          <w:trHeight w:val="96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供应链合规性</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*产品部件保障</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供应商保障产品主要部件，提供6年的备件服务能力（自购买之日起），或提供可兼容原设备的升级换代产品</w:t>
            </w:r>
            <w:r/>
          </w:p>
        </w:tc>
      </w:tr>
      <w:tr>
        <w:trPr>
          <w:cantSplit/>
          <w:trHeight w:val="50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供应链质量</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*抗干扰性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当产品部件出现供应风险时，供应商应通知采购人并提供风险应对方案确保产品的服务保障</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供应保障要求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*供应能力证明</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宋体" w:hAnsi="宋体" w:cs="宋体"/>
              </w:rPr>
              <w:t xml:space="preserve">中标后</w:t>
            </w:r>
            <w:r>
              <w:rPr>
                <w:rFonts w:hint="eastAsia" w:ascii="等线" w:hAnsi="等线" w:cs="宋体"/>
                <w:bCs/>
                <w:sz w:val="20"/>
                <w:szCs w:val="20"/>
              </w:rPr>
              <w:t xml:space="preserve">供应商提供供应链稳定承诺书，确</w:t>
            </w:r>
            <w:r>
              <w:rPr>
                <w:rFonts w:hint="eastAsia" w:ascii="等线" w:hAnsi="等线" w:cs="宋体"/>
                <w:sz w:val="20"/>
                <w:szCs w:val="20"/>
              </w:rPr>
              <w:t xml:space="preserve">保产品的部件在产品服务周期内稳定供货</w:t>
            </w:r>
            <w:r/>
          </w:p>
        </w:tc>
      </w:tr>
      <w:tr>
        <w:trPr>
          <w:trHeight w:val="48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关键部件安全要求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*关键部件安全要求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符合相关规定</w:t>
            </w:r>
            <w:r/>
          </w:p>
        </w:tc>
      </w:tr>
      <w:tr>
        <w:trPr>
          <w:cantSplit/>
          <w:trHeight w:val="701"/>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整机安全性要求</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*密码算法实现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CPU芯片应符合GM/T0008的相关规定，或芯片密码模块应符合GB/T37092或GM/T0028的相关规定</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USB端口管控</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支持USB端口管控</w:t>
            </w:r>
            <w:r/>
          </w:p>
        </w:tc>
      </w:tr>
      <w:tr>
        <w:trPr>
          <w:cantSplit/>
          <w:trHeight w:val="556"/>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安全物理锁</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支持安全物理锁</w:t>
            </w:r>
            <w:r/>
          </w:p>
        </w:tc>
      </w:tr>
      <w:tr>
        <w:trPr>
          <w:cantSplit/>
          <w:trHeight w:val="1684"/>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*信息安全基本要求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a)产品应符合GB/T39276的5.2的规定；</w:t>
            </w:r>
            <w:r/>
          </w:p>
          <w:p>
            <w:pPr>
              <w:pStyle w:val="740"/>
              <w:rPr>
                <w:rFonts w:hint="eastAsia" w:ascii="等线" w:hAnsi="等线" w:cs="宋体"/>
                <w:sz w:val="20"/>
                <w:szCs w:val="20"/>
              </w:rPr>
            </w:pPr>
            <w:r>
              <w:rPr>
                <w:rFonts w:hint="eastAsia" w:ascii="等线" w:hAnsi="等线" w:cs="宋体"/>
                <w:sz w:val="20"/>
                <w:szCs w:val="20"/>
              </w:rPr>
              <w:t xml:space="preserve">b)生产厂商应建立漏洞跟踪表，保证产品版本涉及到的漏洞(如驱动程序等)可查看；</w:t>
            </w:r>
            <w:r/>
          </w:p>
          <w:p>
            <w:pPr>
              <w:pStyle w:val="740"/>
              <w:rPr>
                <w:rFonts w:hint="eastAsia" w:ascii="等线" w:hAnsi="等线" w:cs="宋体"/>
                <w:sz w:val="20"/>
                <w:szCs w:val="20"/>
              </w:rPr>
            </w:pPr>
            <w:r>
              <w:rPr>
                <w:rFonts w:hint="eastAsia" w:ascii="等线" w:hAnsi="等线" w:cs="宋体"/>
                <w:sz w:val="20"/>
                <w:szCs w:val="20"/>
              </w:rPr>
              <w:t xml:space="preserve">c)产品不得包含已知的恶意代码或漏洞，不存在</w:t>
            </w:r>
            <w:r>
              <w:rPr>
                <w:rFonts w:hint="eastAsia" w:ascii="等线" w:hAnsi="等线" w:cs="宋体"/>
                <w:sz w:val="20"/>
                <w:szCs w:val="20"/>
              </w:rPr>
              <w:t xml:space="preserve">未声明的指令、功能、接口</w:t>
            </w:r>
            <w:r/>
          </w:p>
        </w:tc>
      </w:tr>
      <w:tr>
        <w:trPr>
          <w:cantSplit/>
          <w:trHeight w:val="722"/>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*固件安全启动</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支持固件安全启动功能，固件启动过程中只有通过启动校验才能正常启动</w:t>
            </w:r>
            <w:r/>
          </w:p>
        </w:tc>
      </w:tr>
      <w:tr>
        <w:trPr>
          <w:cantSplit/>
          <w:trHeight w:val="270"/>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189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安全要求</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40"/>
              <w:jc w:val="center"/>
              <w:rPr>
                <w:rFonts w:hint="eastAsia" w:ascii="等线" w:hAnsi="等线" w:cs="宋体"/>
                <w:sz w:val="20"/>
                <w:szCs w:val="20"/>
              </w:rPr>
            </w:pPr>
            <w:r>
              <w:rPr>
                <w:rFonts w:hint="eastAsia" w:ascii="等线" w:hAnsi="等线" w:cs="宋体"/>
                <w:sz w:val="20"/>
                <w:szCs w:val="20"/>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0"/>
              <w:rPr>
                <w:rFonts w:hint="eastAsia" w:ascii="等线" w:hAnsi="等线" w:cs="宋体"/>
                <w:sz w:val="20"/>
                <w:szCs w:val="20"/>
              </w:rPr>
            </w:pPr>
            <w:r>
              <w:rPr>
                <w:rFonts w:hint="eastAsia" w:ascii="等线" w:hAnsi="等线" w:cs="宋体"/>
                <w:sz w:val="20"/>
                <w:szCs w:val="20"/>
              </w:rPr>
              <w:t xml:space="preserve">符合GB/T26572中规定</w:t>
            </w:r>
            <w:r/>
          </w:p>
        </w:tc>
      </w:tr>
    </w:tbl>
    <w:p>
      <w:pPr>
        <w:pStyle w:val="740"/>
      </w:pPr>
      <w:r/>
      <w:bookmarkEnd w:id="97"/>
      <w:r/>
      <w:r/>
    </w:p>
    <w:p>
      <w:pPr>
        <w:pStyle w:val="740"/>
      </w:pPr>
      <w:r/>
      <w:r/>
    </w:p>
    <w:p>
      <w:pPr>
        <w:pStyle w:val="740"/>
      </w:pPr>
      <w:r/>
      <w:r/>
    </w:p>
    <w:p>
      <w:pPr>
        <w:pStyle w:val="740"/>
      </w:pPr>
      <w:r>
        <w:rPr>
          <w:rFonts w:hint="eastAsia"/>
        </w:rPr>
        <w:t xml:space="preserve">3、一体机</w:t>
      </w:r>
      <w:r>
        <w:rPr>
          <w:rFonts w:hint="eastAsia"/>
        </w:rPr>
        <w:t xml:space="preserve">（50台）</w:t>
      </w:r>
      <w:r/>
    </w:p>
    <w:tbl>
      <w:tblPr>
        <w:tblW w:w="9332" w:type="dxa"/>
        <w:tblInd w:w="-10" w:type="dxa"/>
        <w:tblLayout w:type="fixed"/>
        <w:tblCellMar>
          <w:left w:w="108" w:type="dxa"/>
          <w:top w:w="0" w:type="dxa"/>
          <w:right w:w="108" w:type="dxa"/>
          <w:bottom w:w="0" w:type="dxa"/>
        </w:tblCellMar>
        <w:tblLook w:val="04A0" w:firstRow="1" w:lastRow="0" w:firstColumn="1" w:lastColumn="0" w:noHBand="0" w:noVBand="1"/>
      </w:tblPr>
      <w:tblGrid>
        <w:gridCol w:w="845"/>
        <w:gridCol w:w="701"/>
        <w:gridCol w:w="844"/>
        <w:gridCol w:w="1519"/>
        <w:gridCol w:w="5423"/>
      </w:tblGrid>
      <w:tr>
        <w:trPr>
          <w:trHeight w:val="20"/>
        </w:trPr>
        <w:tc>
          <w:tcPr>
            <w:tcBorders>
              <w:top w:val="single" w:color="000000" w:sz="8" w:space="0"/>
              <w:left w:val="single" w:color="000000" w:sz="8" w:space="0"/>
              <w:bottom w:val="single" w:color="000000" w:sz="8" w:space="0"/>
              <w:right w:val="single" w:color="000000" w:sz="8" w:space="0"/>
            </w:tcBorders>
            <w:tcW w:w="845" w:type="dxa"/>
            <w:vAlign w:val="center"/>
            <w:textDirection w:val="tbRlV"/>
            <w:noWrap w:val="false"/>
          </w:tcPr>
          <w:p>
            <w:pPr>
              <w:pStyle w:val="740"/>
              <w:jc w:val="center"/>
              <w:rPr>
                <w:rFonts w:hint="eastAsia" w:ascii="宋体" w:hAnsi="宋体" w:cs="宋体"/>
                <w:b/>
                <w:bCs/>
              </w:rPr>
            </w:pPr>
            <w:r/>
            <w:bookmarkStart w:id="98" w:name="_Hlk215819892"/>
            <w:r>
              <w:rPr>
                <w:rFonts w:hint="eastAsia" w:ascii="宋体" w:hAnsi="宋体" w:cs="宋体"/>
                <w:b/>
                <w:bCs/>
              </w:rPr>
              <w:t xml:space="preserve">序号</w:t>
            </w:r>
            <w:r/>
          </w:p>
        </w:tc>
        <w:tc>
          <w:tcPr>
            <w:tcBorders>
              <w:top w:val="single" w:color="000000" w:sz="8"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指标分类</w:t>
            </w:r>
            <w:r/>
          </w:p>
        </w:tc>
        <w:tc>
          <w:tcPr>
            <w:tcBorders>
              <w:top w:val="single" w:color="000000" w:sz="8"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一级指标1</w:t>
            </w:r>
            <w:r/>
          </w:p>
        </w:tc>
        <w:tc>
          <w:tcPr>
            <w:tcBorders>
              <w:top w:val="single" w:color="000000" w:sz="8"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二级指标1</w:t>
            </w:r>
            <w:r/>
          </w:p>
        </w:tc>
        <w:tc>
          <w:tcPr>
            <w:tcBorders>
              <w:top w:val="single" w:color="000000" w:sz="8"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指标要求</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CPU规格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*CPU信息</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内核数≥10，线程数≥16，性能核主频≥</w:t>
            </w:r>
            <w:r>
              <w:rPr>
                <w:rFonts w:ascii="宋体" w:hAnsi="宋体" w:cs="宋体"/>
              </w:rPr>
              <w:t xml:space="preserve">2.4</w:t>
            </w:r>
            <w:r>
              <w:rPr>
                <w:rFonts w:hint="eastAsia" w:ascii="宋体" w:hAnsi="宋体" w:cs="宋体"/>
              </w:rPr>
              <w:t xml:space="preserve">GHz，末级缓存≥</w:t>
            </w:r>
            <w:r>
              <w:rPr>
                <w:rFonts w:ascii="宋体" w:hAnsi="宋体" w:cs="宋体"/>
              </w:rPr>
              <w:t xml:space="preserve">24</w:t>
            </w:r>
            <w:r>
              <w:rPr>
                <w:rFonts w:hint="eastAsia" w:ascii="宋体" w:hAnsi="宋体" w:cs="宋体"/>
              </w:rPr>
              <w:t xml:space="preserve">MB， </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内存规格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*内存配置容量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≥16GB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等线" w:hAnsi="等线" w:cs="宋体"/>
                <w:sz w:val="20"/>
                <w:szCs w:val="20"/>
              </w:rPr>
              <w:t xml:space="preserve">DDR5系列内存</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*内存条配置数量（板载内存不涉及）</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主板规格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*主板集成模块</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集成资源扩展模块、计算处理模块、音频扩展模块等，主板的互联拓扑可通过处理器或交换电路实现</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*主板支持的CPU和内存情况</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支持X</w:t>
            </w:r>
            <w:r>
              <w:rPr>
                <w:rFonts w:ascii="宋体" w:hAnsi="宋体" w:cs="宋体"/>
              </w:rPr>
              <w:t xml:space="preserve">86</w:t>
            </w:r>
            <w:r>
              <w:rPr>
                <w:rFonts w:hint="eastAsia" w:ascii="宋体" w:hAnsi="宋体" w:cs="宋体"/>
              </w:rPr>
              <w:t xml:space="preserve">CPU和DDR5系列内存扩展</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主板内置PCIe插槽数量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支持PCIe插槽数量不少于1个,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特殊孔位及接口</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a）预留满足USB3.0数据传输规范的接口，工作电压5V，最大过电流应不小于3A；b)预留多功能导入装置板卡安装孔位，采用内置</w:t>
            </w:r>
            <w:r>
              <w:rPr>
                <w:rFonts w:hint="eastAsia" w:ascii="宋体" w:hAnsi="宋体" w:cs="宋体"/>
              </w:rPr>
              <w:t xml:space="preserve">方式与主机一体化集成，容量不小于145mm×125mm×16.5mm（长×宽×高）</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*单内存插槽最大可支持容量（板载内存不涉及）</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≥16GB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*内存插槽满配时提供的最高内存总容量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≥32GB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存储设备规格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*固态盘数量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≥1T</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机械硬盘总容量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机械硬盘转速</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机械硬盘接口协议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机械硬盘形态</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固态存储接口协议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UFS/SATA/PCIe/NVMe等类型接口协议</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固态存储形态</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采用插卡或板载等形态，可选用符合M.2或2.5寸SATA或mSATA等标准的插卡形态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存储设备扩展盘位</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存储设备其他参数要求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a)固态盘应符合SJ/T11654相关规定；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独立显卡显存位宽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独立显卡显存容</w:t>
            </w:r>
            <w:r>
              <w:rPr>
                <w:rFonts w:hint="eastAsia" w:ascii="宋体" w:hAnsi="宋体" w:cs="宋体"/>
              </w:rPr>
              <w:t xml:space="preserve">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独立显卡接口协议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显示设备规格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显示屏屏占比</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▲≥92%</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*显示屏分辨率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≥1920x1080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显示屏像素密度</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≥85像素/英寸</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显示屏可视角度</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水平≥170°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*显示屏尺寸</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≥23.8英寸</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*显示屏屏幕比例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ind w:right="840"/>
              <w:rPr>
                <w:rFonts w:hint="eastAsia" w:ascii="宋体" w:hAnsi="宋体" w:cs="宋体"/>
              </w:rPr>
            </w:pPr>
            <w:r>
              <w:rPr>
                <w:rFonts w:hint="eastAsia" w:ascii="宋体" w:hAnsi="宋体" w:cs="宋体"/>
              </w:rPr>
              <w:t xml:space="preserve">16:9</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*显示器边框颜色</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*显示屏防蓝光</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支持防蓝光模式，蓝光加权辐射亮度比应≤0.0012W/(cdsr)（瓦每坎特拉每球面度）</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*显示屏低频闪</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显示屏应支持低频闪≤-35dB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*显示屏防炫目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显示屏镜面反射率≤10%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传声器数量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光驱数量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键盘按键数目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61键/86键/101键/104键等</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摄像头像素</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≥500万</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w:t>
            </w: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摄像头分辨率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≥2500*1900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扬声器功率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≥1瓦/个</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ascii="宋体" w:hAnsi="宋体"/>
              </w:rPr>
              <w:t xml:space="preserve">　</w:t>
            </w: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扬声器频率范围</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不低于（100Hz-8kHz）范围</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扬声器总谐波失真</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谐波失真在100Hz-7kHz频率范围内不高于10%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扬声器最大声压级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最大声压级在粉红噪声播放场景下，工作距离处声压级不低于70dB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键盘键程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2.3mm~4.0mm</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键盘按键压力</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按键压力应在0.54N±0.14N</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有线键盘连接线</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键盘颜色</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键盘其他要求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键盘外观结构、连接方式、主要功能、安全、电磁兼容性、可靠性应符合GB/T14081的相关规定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鼠标连接方式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有线</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有线鼠标连接线</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鼠标DPI分辨率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800~1600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鼠标颜色</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鼠标其他要求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其它参数应符合GB/T26245的相关规定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内置光驱</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*无线网卡及天线数量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单无线网卡天线数量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外部接口规格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*USB接口数量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≥3个USB接口（至少1个USB3.2 G2接口, 1个USB3.2 G2 TYPE-C）</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视频接口数量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音频接口数量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存储卡接口数量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整机基础规格</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整机外观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整机结构</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a)机箱应符合GB/T4208、GB/T26246的相关规定；</w:t>
            </w:r>
            <w:r/>
          </w:p>
          <w:p>
            <w:pPr>
              <w:pStyle w:val="740"/>
              <w:rPr>
                <w:rFonts w:hint="eastAsia" w:ascii="宋体" w:hAnsi="宋体" w:cs="宋体"/>
              </w:rPr>
            </w:pPr>
            <w:r>
              <w:rPr>
                <w:rFonts w:hint="eastAsia" w:ascii="宋体" w:hAnsi="宋体" w:cs="宋体"/>
              </w:rPr>
              <w:t xml:space="preserve">b)产品内部结构应符合通用部件的安装需求；</w:t>
            </w:r>
            <w:r/>
          </w:p>
          <w:p>
            <w:pPr>
              <w:pStyle w:val="740"/>
              <w:rPr>
                <w:rFonts w:hint="eastAsia" w:ascii="宋体" w:hAnsi="宋体" w:cs="宋体"/>
              </w:rPr>
            </w:pPr>
            <w:r>
              <w:rPr>
                <w:rFonts w:hint="eastAsia" w:ascii="宋体" w:hAnsi="宋体" w:cs="宋体"/>
              </w:rPr>
              <w:t xml:space="preserve">c)所有输入输出接口应符合相关国家或行业标准；</w:t>
            </w:r>
            <w:r/>
          </w:p>
          <w:p>
            <w:pPr>
              <w:pStyle w:val="740"/>
              <w:rPr>
                <w:rFonts w:hint="eastAsia" w:ascii="宋体" w:hAnsi="宋体" w:cs="宋体"/>
              </w:rPr>
            </w:pPr>
            <w:r>
              <w:rPr>
                <w:rFonts w:hint="eastAsia" w:ascii="宋体" w:hAnsi="宋体" w:cs="宋体"/>
              </w:rPr>
              <w:t xml:space="preserve">d)产品零部件应紧固无松动，可插拔部件应可靠连接，开关、按钮和其它控制部件应灵活可靠，布局应方便使用；</w:t>
            </w:r>
            <w:r/>
          </w:p>
          <w:p>
            <w:pPr>
              <w:pStyle w:val="740"/>
              <w:rPr>
                <w:rFonts w:hint="eastAsia" w:ascii="宋体" w:hAnsi="宋体" w:cs="宋体"/>
              </w:rPr>
            </w:pPr>
            <w:r>
              <w:rPr>
                <w:rFonts w:hint="eastAsia" w:ascii="宋体" w:hAnsi="宋体" w:cs="宋体"/>
              </w:rPr>
              <w:t xml:space="preserve">e)所有I/O连接器及需插接线缆的部位应预留采购人操作空间，方便插拔解锁与插拔线缆；</w:t>
            </w:r>
            <w:r/>
          </w:p>
          <w:p>
            <w:pPr>
              <w:pStyle w:val="740"/>
              <w:rPr>
                <w:rFonts w:hint="eastAsia" w:ascii="宋体" w:hAnsi="宋体" w:cs="宋体"/>
              </w:rPr>
            </w:pPr>
            <w:r>
              <w:rPr>
                <w:rFonts w:hint="eastAsia" w:ascii="宋体" w:hAnsi="宋体" w:cs="宋体"/>
              </w:rPr>
              <w:t xml:space="preserve">f)可插拔板卡插槽部位应预留安装、拆卸或更换板卡</w:t>
            </w:r>
            <w:r>
              <w:rPr>
                <w:rFonts w:hint="eastAsia" w:ascii="宋体" w:hAnsi="宋体" w:cs="宋体"/>
              </w:rPr>
              <w:t xml:space="preserve">空间；</w:t>
            </w:r>
            <w:r/>
          </w:p>
          <w:p>
            <w:pPr>
              <w:pStyle w:val="740"/>
              <w:rPr>
                <w:rFonts w:hint="eastAsia" w:ascii="宋体" w:hAnsi="宋体" w:cs="宋体"/>
              </w:rPr>
            </w:pPr>
            <w:r>
              <w:rPr>
                <w:rFonts w:hint="eastAsia" w:ascii="宋体" w:hAnsi="宋体" w:cs="宋体"/>
              </w:rPr>
              <w:t xml:space="preserve">g)拆装可能接触到的金属剪口或金属尖角部位应做防划伤处理，以保证安全；</w:t>
            </w:r>
            <w:r/>
          </w:p>
          <w:p>
            <w:pPr>
              <w:pStyle w:val="740"/>
              <w:rPr>
                <w:rFonts w:hint="eastAsia" w:ascii="宋体" w:hAnsi="宋体" w:cs="宋体"/>
              </w:rPr>
            </w:pPr>
            <w:r>
              <w:rPr>
                <w:rFonts w:hint="eastAsia" w:ascii="宋体" w:hAnsi="宋体" w:cs="宋体"/>
              </w:rPr>
              <w:t xml:space="preserve">h)整机内部走线应规整，固线结构和位置要合理可靠并做防割线处理，需便于理线和插拔操作，走线应不影响系统各主要部件组装和拆卸；</w:t>
            </w:r>
            <w:r/>
          </w:p>
          <w:p>
            <w:pPr>
              <w:pStyle w:val="740"/>
              <w:rPr>
                <w:rFonts w:hint="eastAsia" w:ascii="宋体" w:hAnsi="宋体" w:cs="宋体"/>
              </w:rPr>
            </w:pPr>
            <w:r>
              <w:rPr>
                <w:rFonts w:hint="eastAsia" w:ascii="宋体" w:hAnsi="宋体" w:cs="宋体"/>
              </w:rPr>
              <w:t xml:space="preserve">i)如需通过孔走线，过线孔应做防割线处理；</w:t>
            </w:r>
            <w:r/>
          </w:p>
          <w:p>
            <w:pPr>
              <w:pStyle w:val="740"/>
              <w:rPr>
                <w:rFonts w:hint="eastAsia" w:ascii="宋体" w:hAnsi="宋体" w:cs="宋体"/>
              </w:rPr>
            </w:pPr>
            <w:r>
              <w:rPr>
                <w:rFonts w:hint="eastAsia" w:ascii="宋体" w:hAnsi="宋体" w:cs="宋体"/>
              </w:rPr>
              <w:t xml:space="preserve">j)各插头位置和插拔方向应合理，应做到插拔无障碍设计，具备防呆设计，有效避免误操作；</w:t>
            </w:r>
            <w:r/>
          </w:p>
          <w:p>
            <w:pPr>
              <w:pStyle w:val="740"/>
              <w:rPr>
                <w:rFonts w:hint="eastAsia" w:ascii="宋体" w:hAnsi="宋体" w:cs="宋体"/>
              </w:rPr>
            </w:pPr>
            <w:r>
              <w:rPr>
                <w:rFonts w:hint="eastAsia" w:ascii="宋体" w:hAnsi="宋体" w:cs="宋体"/>
              </w:rPr>
              <w:t xml:space="preserve">k)各主要部件拆装无障碍，使用常规工具拆装，无特殊拆装工具需求；</w:t>
            </w:r>
            <w:r/>
          </w:p>
          <w:p>
            <w:pPr>
              <w:pStyle w:val="740"/>
              <w:rPr>
                <w:rFonts w:hint="eastAsia" w:ascii="宋体" w:hAnsi="宋体" w:cs="宋体"/>
              </w:rPr>
            </w:pPr>
            <w:r>
              <w:rPr>
                <w:rFonts w:hint="eastAsia" w:ascii="宋体" w:hAnsi="宋体" w:cs="宋体"/>
              </w:rPr>
              <w:t xml:space="preserve">l)各主要部件拆装步骤要少，各自拆装需避免相互干扰；</w:t>
            </w:r>
            <w:r/>
          </w:p>
          <w:p>
            <w:pPr>
              <w:pStyle w:val="740"/>
              <w:rPr>
                <w:rFonts w:hint="eastAsia" w:ascii="宋体" w:hAnsi="宋体" w:cs="宋体"/>
              </w:rPr>
            </w:pPr>
            <w:r>
              <w:rPr>
                <w:rFonts w:hint="eastAsia" w:ascii="宋体" w:hAnsi="宋体" w:cs="宋体"/>
              </w:rPr>
              <w:t xml:space="preserve">m)对于整机或零部件外表面为高亮面的，应粘贴保护膜，保护膜需粘贴牢固，运输、组装等过程不易脱落，撕下无残留；</w:t>
            </w:r>
            <w:r/>
          </w:p>
          <w:p>
            <w:pPr>
              <w:pStyle w:val="740"/>
              <w:rPr>
                <w:rFonts w:hint="eastAsia" w:ascii="宋体" w:hAnsi="宋体" w:cs="宋体"/>
              </w:rPr>
            </w:pPr>
            <w:r>
              <w:rPr>
                <w:rFonts w:hint="eastAsia" w:ascii="宋体" w:hAnsi="宋体" w:cs="宋体"/>
              </w:rPr>
              <w:t xml:space="preserve">n)其它要求应符合GB/T9813.1的相关规定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机箱防护要求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机箱应符合GB/T4208中IP20防护要求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整机噪音</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99" w:name="RANGE!F470"/>
            <w:r>
              <w:rPr>
                <w:rFonts w:hint="eastAsia" w:ascii="宋体" w:hAnsi="宋体" w:cs="宋体"/>
              </w:rPr>
              <w:t xml:space="preserve">▲产品工作在空闲状态下，产品的声压级应不超过22dB(A)</w:t>
            </w:r>
            <w:bookmarkEnd w:id="99"/>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整机散热</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在环境温度25℃及处理器满载情况下，产品表面温度应符合如下要求：</w:t>
            </w:r>
            <w:r/>
          </w:p>
          <w:p>
            <w:pPr>
              <w:pStyle w:val="740"/>
              <w:rPr>
                <w:rFonts w:hint="eastAsia" w:ascii="宋体" w:hAnsi="宋体" w:cs="宋体"/>
              </w:rPr>
            </w:pPr>
            <w:r>
              <w:rPr>
                <w:rFonts w:hint="eastAsia" w:ascii="宋体" w:hAnsi="宋体" w:cs="宋体"/>
              </w:rPr>
              <w:t xml:space="preserve">a)出风口在机箱后面板情况下，出风口温度不高于55℃;</w:t>
            </w:r>
            <w:r/>
          </w:p>
          <w:p>
            <w:pPr>
              <w:pStyle w:val="740"/>
              <w:rPr>
                <w:rFonts w:hint="eastAsia" w:ascii="宋体" w:hAnsi="宋体" w:cs="宋体"/>
              </w:rPr>
            </w:pPr>
            <w:r>
              <w:rPr>
                <w:rFonts w:hint="eastAsia" w:ascii="宋体" w:hAnsi="宋体" w:cs="宋体"/>
              </w:rPr>
              <w:t xml:space="preserve">b)可触及面温度不高于45℃;</w:t>
            </w:r>
            <w:r/>
          </w:p>
          <w:p>
            <w:pPr>
              <w:pStyle w:val="740"/>
              <w:rPr>
                <w:rFonts w:hint="eastAsia" w:ascii="宋体" w:hAnsi="宋体" w:cs="宋体"/>
              </w:rPr>
            </w:pPr>
            <w:r>
              <w:rPr>
                <w:rFonts w:hint="eastAsia" w:ascii="宋体" w:hAnsi="宋体" w:cs="宋体"/>
              </w:rPr>
              <w:t xml:space="preserve">c)显示器表面温度：显示屏不高于38℃,显示屏上下灯带</w:t>
            </w:r>
            <w:r>
              <w:rPr>
                <w:rFonts w:hint="eastAsia" w:ascii="宋体" w:hAnsi="宋体" w:cs="宋体"/>
              </w:rPr>
              <w:t xml:space="preserve">位置温度（如涉及）不高于40℃,出风口温度不高于45℃</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整机能效限定值</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产品能效限定值应达到GB28380-2012标准中能效等级2级及以上</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机身材质</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塑料/金属等</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机身颜色</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灰色/黑色等商务色系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机箱尺寸容量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CPU性能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*CPU物理核数</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*CPU主频</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≥2.4GHz</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*CPU末级缓存容量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≥24MB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*CPU支持的内存最高速率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48</w:t>
            </w:r>
            <w:r>
              <w:rPr>
                <w:rFonts w:hint="eastAsia" w:ascii="宋体" w:hAnsi="宋体" w:cs="宋体"/>
              </w:rPr>
              <w:t xml:space="preserve">00MT/s</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内存性能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*内存读写速率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48</w:t>
            </w:r>
            <w:r>
              <w:rPr>
                <w:rFonts w:hint="eastAsia" w:ascii="宋体" w:hAnsi="宋体" w:cs="宋体"/>
              </w:rPr>
              <w:t xml:space="preserve">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*显示分辨率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≥1920x1080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*显卡显示芯片核心频率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≥300MHz</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*显存等效频率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*显卡可支持多屏同时显示数量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显卡应支持2块屏幕同时显示，分辨率应不低于1920×1080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显示设备性能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显示屏刷新率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0Hz</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*显示屏位深</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≥8位</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显示屏色域</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00" w:name="OLE_LINK20"/>
            <w:r>
              <w:rPr>
                <w:rFonts w:hint="eastAsia" w:ascii="宋体" w:hAnsi="宋体" w:cs="宋体"/>
              </w:rPr>
              <w:t xml:space="preserve">▲</w:t>
            </w:r>
            <w:bookmarkEnd w:id="100"/>
            <w:r>
              <w:rPr>
                <w:rFonts w:hint="eastAsia" w:ascii="宋体" w:hAnsi="宋体" w:cs="宋体"/>
              </w:rPr>
              <w:t xml:space="preserve">≥99%</w:t>
            </w:r>
            <w:r>
              <w:rPr>
                <w:rFonts w:hint="eastAsia" w:ascii="宋体" w:hAnsi="宋体" w:cs="宋体"/>
              </w:rPr>
              <w:t xml:space="preserve">sRGB</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*显示屏色准</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△E≤4</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*显示屏响应时间</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≤14ms</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*显示屏亮度</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≥250尼特</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*显示屏亮度一致性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≥70%</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显示屏对比度</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▲≥1000：1</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*显示屏其他参数</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采用防眩光低蓝光，微边框设计；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有线网卡速率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最高速率应不低于1000Mbps，应支持10Mbps、100Mbps、1000Mbps速率自适应</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支持无线网络通信技术协议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支持WAPI或WiFi5.0及以上协议</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无线网卡频宽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≥20MHz</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主板功能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内存扩展接口(板载内存不涉及)</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存储扩展接口(板载存储不涉及)</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供应商给出主板支持存储扩展接口类型，如UFS3.0、SATA3.0、SAS3.0、M.2等类型接口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主板USB瞬间过流保护</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支持有瞬间过流保护功能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主板防静电保护</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支持防静电保护功能</w:t>
            </w:r>
            <w:r/>
          </w:p>
        </w:tc>
      </w:tr>
      <w:tr>
        <w:trPr>
          <w:cantSplit/>
          <w:trHeight w:val="20"/>
        </w:trPr>
        <w:tc>
          <w:tcPr>
            <w:tcBorders>
              <w:top w:val="none" w:color="000000" w:sz="4" w:space="0"/>
              <w:left w:val="single" w:color="000000" w:sz="8" w:space="0"/>
              <w:right w:val="single" w:color="000000" w:sz="8" w:space="0"/>
            </w:tcBorders>
            <w:tcW w:w="845" w:type="dxa"/>
            <w:vAlign w:val="center"/>
            <w:vMerge w:val="restart"/>
            <w:textDirection w:val="lrTb"/>
            <w:noWrap w:val="false"/>
          </w:tcPr>
          <w:p>
            <w:pPr>
              <w:pStyle w:val="740"/>
              <w:jc w:val="right"/>
              <w:rPr>
                <w:rFonts w:hint="eastAsia" w:ascii="宋体" w:hAnsi="宋体" w:cs="宋体"/>
              </w:rPr>
            </w:pPr>
            <w:r>
              <w:rPr>
                <w:rFonts w:hint="eastAsia" w:ascii="宋体" w:hAnsi="宋体" w:cs="宋体"/>
              </w:rPr>
              <w:t xml:space="preserve">102</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top w:val="none" w:color="000000" w:sz="4" w:space="0"/>
              <w:left w:val="single" w:color="000000" w:sz="8" w:space="0"/>
              <w:bottom w:val="single" w:color="000000" w:sz="8" w:space="0"/>
              <w:right w:val="single" w:color="000000" w:sz="8" w:space="0"/>
            </w:tcBorders>
            <w:tcW w:w="701"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none" w:color="000000" w:sz="4"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I/O接口功能</w:t>
            </w:r>
            <w:r/>
          </w:p>
        </w:tc>
        <w:tc>
          <w:tcPr>
            <w:tcBorders>
              <w:top w:val="none" w:color="000000" w:sz="4" w:space="0"/>
              <w:left w:val="none" w:color="000000" w:sz="4" w:space="0"/>
              <w:right w:val="single" w:color="000000" w:sz="8" w:space="0"/>
            </w:tcBorders>
            <w:tcW w:w="5423" w:type="dxa"/>
            <w:vAlign w:val="center"/>
            <w:vMerge w:val="restart"/>
            <w:textDirection w:val="lrTb"/>
            <w:noWrap w:val="false"/>
          </w:tcPr>
          <w:p>
            <w:pPr>
              <w:pStyle w:val="740"/>
              <w:rPr>
                <w:rFonts w:hint="eastAsia" w:ascii="宋体" w:hAnsi="宋体" w:cs="宋体"/>
              </w:rPr>
            </w:pPr>
            <w:r>
              <w:rPr>
                <w:rFonts w:ascii="宋体" w:hAnsi="宋体" w:cs="宋体"/>
              </w:rPr>
              <w:t xml:space="preserve">内置或通过扩展坞支持数据传输接口、视</w:t>
            </w:r>
            <w:r>
              <w:rPr>
                <w:rFonts w:ascii="宋体" w:hAnsi="宋体" w:cs="宋体"/>
              </w:rPr>
              <w:t xml:space="preserve">频接口、音频接口、网络接口、电源接口等各类标准接口，应具备接入键盘、鼠标、写字板等外设的能力</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single" w:color="000000" w:sz="8" w:space="0"/>
              <w:bottom w:val="single" w:color="000000" w:sz="8" w:space="0"/>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　</w:t>
            </w:r>
            <w:r/>
          </w:p>
        </w:tc>
        <w:tc>
          <w:tcPr>
            <w:tcBorders>
              <w:left w:val="none" w:color="000000" w:sz="4" w:space="0"/>
              <w:bottom w:val="single" w:color="000000" w:sz="8" w:space="0"/>
              <w:right w:val="single" w:color="000000" w:sz="8" w:space="0"/>
            </w:tcBorders>
            <w:tcW w:w="5423"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显卡外接显示接口</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支持HDMI </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独立显卡数量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显示设备功能</w:t>
            </w:r>
            <w:r/>
          </w:p>
        </w:tc>
        <w:tc>
          <w:tcPr>
            <w:tcBorders>
              <w:top w:val="none" w:color="000000" w:sz="4" w:space="0"/>
              <w:left w:val="none" w:color="000000" w:sz="4" w:space="0"/>
              <w:right w:val="single" w:color="000000" w:sz="8" w:space="0"/>
            </w:tcBorders>
            <w:tcW w:w="1519" w:type="dxa"/>
            <w:vAlign w:val="center"/>
            <w:vMerge w:val="restart"/>
            <w:textDirection w:val="lrTb"/>
            <w:noWrap w:val="false"/>
          </w:tcPr>
          <w:p>
            <w:pPr>
              <w:pStyle w:val="740"/>
              <w:rPr>
                <w:rFonts w:hint="eastAsia" w:ascii="宋体" w:hAnsi="宋体" w:cs="宋体"/>
              </w:rPr>
            </w:pPr>
            <w:r>
              <w:rPr>
                <w:rFonts w:hint="eastAsia" w:ascii="宋体" w:hAnsi="宋体" w:cs="宋体"/>
              </w:rPr>
            </w:r>
            <w:r/>
          </w:p>
          <w:p>
            <w:pPr>
              <w:pStyle w:val="740"/>
              <w:rPr>
                <w:rFonts w:hint="eastAsia" w:ascii="宋体" w:hAnsi="宋体" w:cs="宋体"/>
              </w:rPr>
            </w:pPr>
            <w:r>
              <w:rPr>
                <w:rFonts w:hint="eastAsia" w:ascii="宋体" w:hAnsi="宋体" w:cs="宋体"/>
              </w:rPr>
              <w:t xml:space="preserve">显示器支架</w:t>
            </w:r>
            <w:r/>
          </w:p>
        </w:tc>
        <w:tc>
          <w:tcPr>
            <w:tcBorders>
              <w:top w:val="none" w:color="000000" w:sz="4" w:space="0"/>
              <w:left w:val="none" w:color="000000" w:sz="4" w:space="0"/>
              <w:right w:val="single" w:color="000000" w:sz="8" w:space="0"/>
            </w:tcBorders>
            <w:tcW w:w="5423"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显示器应提供支持屏幕旋转、升降支架</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1519"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5423"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显示器参数调节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a)提供OSD选单按钮用于调节色彩、模式等；b)支持色温、亮度、对比度调节</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摄像头物理隐私保护开关</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支持物理隐私保护开关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传声器降噪</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支持降噪功能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键盘背光</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支持键盘背光</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光驱功能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存储功能</w:t>
            </w:r>
            <w:r/>
          </w:p>
        </w:tc>
        <w:tc>
          <w:tcPr>
            <w:tcBorders>
              <w:top w:val="none" w:color="000000" w:sz="4" w:space="0"/>
              <w:left w:val="none" w:color="000000" w:sz="4" w:space="0"/>
              <w:right w:val="single" w:color="000000" w:sz="8" w:space="0"/>
            </w:tcBorders>
            <w:tcW w:w="1519"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存储功能</w:t>
            </w:r>
            <w:r/>
          </w:p>
        </w:tc>
        <w:tc>
          <w:tcPr>
            <w:tcBorders>
              <w:top w:val="none" w:color="000000" w:sz="4" w:space="0"/>
              <w:left w:val="none" w:color="000000" w:sz="4" w:space="0"/>
              <w:right w:val="single" w:color="000000" w:sz="8" w:space="0"/>
            </w:tcBorders>
            <w:tcW w:w="5423"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支持信息存储功能，包括支持易失</w:t>
            </w:r>
            <w:r/>
          </w:p>
          <w:p>
            <w:pPr>
              <w:pStyle w:val="740"/>
              <w:rPr>
                <w:rFonts w:hint="eastAsia" w:ascii="宋体" w:hAnsi="宋体" w:cs="宋体"/>
              </w:rPr>
            </w:pPr>
            <w:r>
              <w:rPr>
                <w:rFonts w:hint="eastAsia" w:ascii="宋体" w:hAnsi="宋体" w:cs="宋体"/>
              </w:rPr>
              <w:t xml:space="preserve">性存储功能和非易失性存储功能。</w:t>
            </w:r>
            <w:r/>
          </w:p>
          <w:p>
            <w:pPr>
              <w:pStyle w:val="740"/>
              <w:rPr>
                <w:rFonts w:hint="eastAsia" w:ascii="宋体" w:hAnsi="宋体" w:cs="宋体"/>
              </w:rPr>
            </w:pPr>
            <w:r>
              <w:rPr>
                <w:rFonts w:hint="eastAsia" w:ascii="宋体" w:hAnsi="宋体" w:cs="宋体"/>
              </w:rPr>
              <w:t xml:space="preserve">为提升存储性能和降低存储功耗</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1519"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5423"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网络设备功能</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网络功能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a)支持网络连接、网络开启/关闭功能；b)支持访问网络和数据交换功能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rPr>
            </w:pPr>
            <w:r>
              <w:rPr>
                <w:rFonts w:hint="eastAsia" w:ascii="宋体" w:hAnsi="宋体" w:cs="宋体"/>
              </w:rPr>
              <w:t xml:space="preserve">功能要求</w:t>
            </w:r>
            <w:r>
              <w:rPr>
                <w:rFonts w:hint="eastAsia" w:ascii="宋体" w:hAnsi="宋体"/>
              </w:rPr>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无线网卡频段</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支持双频段</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物理开关</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支持网络设备物理开关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数据传输</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支持数据传输能力，并提供数据流量和异常日志记录功能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蓝牙协议</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若支持蓝牙模块，蓝牙协议不低于5.0版本</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有线网卡接口类型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支持RJ45接口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无线网卡标准</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若配备无线网卡，产品应符合GB15629.11所有部分</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网络设备拆装</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网络设备支持物理拆装，包括无线网卡和蓝牙模块等</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外部接口功能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音频接口类型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不少于 1 个，宜支持 3.5mm 孔径的 3 段式或 4 段式接口。若支持 4 段式接口，宜支持线序的自动识别及切换功能</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视频接口类型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提供HDMI显示接口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HDMI、DP、Type-C显示接口要求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需提供HDMI，应支持音频和视频同步输出</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其他接口</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PS/2 接口等</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存储卡接口类型</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支持SD、TF等存储卡接口</w:t>
            </w:r>
            <w:r/>
          </w:p>
        </w:tc>
      </w:tr>
      <w:tr>
        <w:trPr>
          <w:cantSplit/>
          <w:trHeight w:val="20"/>
        </w:trPr>
        <w:tc>
          <w:tcPr>
            <w:tcBorders>
              <w:top w:val="none" w:color="000000" w:sz="4" w:space="0"/>
              <w:left w:val="single" w:color="000000" w:sz="8" w:space="0"/>
              <w:right w:val="single" w:color="000000" w:sz="8" w:space="0"/>
            </w:tcBorders>
            <w:tcW w:w="845" w:type="dxa"/>
            <w:vAlign w:val="center"/>
            <w:vMerge w:val="restart"/>
            <w:textDirection w:val="lrTb"/>
            <w:noWrap w:val="false"/>
          </w:tcPr>
          <w:p>
            <w:pPr>
              <w:pStyle w:val="740"/>
              <w:jc w:val="right"/>
              <w:rPr>
                <w:rFonts w:hint="eastAsia" w:ascii="宋体" w:hAnsi="宋体" w:cs="宋体"/>
              </w:rPr>
            </w:pPr>
            <w:r>
              <w:rPr>
                <w:rFonts w:hint="eastAsia" w:ascii="宋体" w:hAnsi="宋体" w:cs="宋体"/>
              </w:rPr>
              <w:t xml:space="preserve">127</w:t>
            </w:r>
            <w:r/>
          </w:p>
        </w:tc>
        <w:tc>
          <w:tcPr>
            <w:tcBorders>
              <w:top w:val="none" w:color="000000" w:sz="4" w:space="0"/>
              <w:left w:val="none" w:color="000000" w:sz="4" w:space="0"/>
              <w:right w:val="single" w:color="000000" w:sz="8" w:space="0"/>
            </w:tcBorders>
            <w:tcW w:w="701"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single" w:color="000000" w:sz="8"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电源适配器性能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电源适配器电源效率</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在20%/50%/100%负载下效率均应不低于</w:t>
            </w:r>
            <w:r>
              <w:rPr>
                <w:rFonts w:hint="eastAsia" w:ascii="宋体" w:hAnsi="宋体" w:cs="宋体"/>
              </w:rPr>
              <w:t xml:space="preserve">89</w:t>
            </w:r>
            <w:r>
              <w:rPr>
                <w:rFonts w:ascii="宋体" w:hAnsi="宋体" w:cs="宋体"/>
              </w:rPr>
              <w:t xml:space="preserve">%</w:t>
            </w:r>
            <w:r>
              <w:rPr>
                <w:rFonts w:hint="eastAsia" w:ascii="宋体" w:hAnsi="宋体" w:cs="宋体"/>
              </w:rPr>
            </w:r>
            <w:r/>
          </w:p>
        </w:tc>
      </w:tr>
      <w:tr>
        <w:trPr>
          <w:cantSplit/>
          <w:trHeight w:val="383"/>
        </w:trPr>
        <w:tc>
          <w:tcPr>
            <w:tcBorders>
              <w:left w:val="single" w:color="000000" w:sz="8" w:space="0"/>
              <w:right w:val="single" w:color="000000" w:sz="8" w:space="0"/>
            </w:tcBorders>
            <w:tcW w:w="845" w:type="dxa"/>
            <w:vAlign w:val="center"/>
            <w:vMerge w:val="continue"/>
            <w:textDirection w:val="lrTb"/>
            <w:noWrap w:val="false"/>
          </w:tcPr>
          <w:p>
            <w:pPr>
              <w:pStyle w:val="740"/>
              <w:jc w:val="right"/>
              <w:rPr>
                <w:rFonts w:hint="eastAsia" w:ascii="宋体" w:hAnsi="宋体" w:cs="宋体"/>
              </w:rPr>
            </w:pPr>
            <w:r>
              <w:rPr>
                <w:rFonts w:hint="eastAsia" w:ascii="宋体" w:hAnsi="宋体" w:cs="宋体"/>
              </w:rPr>
            </w:r>
            <w:r/>
          </w:p>
        </w:tc>
        <w:tc>
          <w:tcPr>
            <w:tcBorders>
              <w:left w:val="none" w:color="000000" w:sz="4" w:space="0"/>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single" w:color="000000" w:sz="8" w:space="0"/>
              <w:left w:val="none" w:color="000000" w:sz="4"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ascii="宋体" w:hAnsi="宋体" w:cs="宋体"/>
              </w:rPr>
              <w:t xml:space="preserve">电源</w:t>
            </w:r>
            <w:r>
              <w:rPr>
                <w:rFonts w:hint="eastAsia" w:ascii="宋体" w:hAnsi="宋体" w:cs="宋体"/>
              </w:rPr>
              <w:t xml:space="preserve">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电源功率</w:t>
            </w:r>
            <w:r/>
          </w:p>
        </w:tc>
        <w:tc>
          <w:tcPr>
            <w:tcBorders>
              <w:top w:val="single" w:color="000000" w:sz="8"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▲综合考虑节能要求,主机需具备≤120W节能能</w:t>
            </w:r>
            <w:r>
              <w:rPr>
                <w:rFonts w:hint="eastAsia" w:ascii="宋体" w:hAnsi="宋体" w:cs="宋体"/>
              </w:rPr>
              <w:t xml:space="preserve">效电源。</w:t>
            </w:r>
            <w:r/>
          </w:p>
        </w:tc>
      </w:tr>
      <w:tr>
        <w:trPr>
          <w:cantSplit/>
          <w:trHeight w:val="383"/>
        </w:trPr>
        <w:tc>
          <w:tcPr>
            <w:tcBorders>
              <w:left w:val="single" w:color="000000" w:sz="8" w:space="0"/>
              <w:bottom w:val="single" w:color="000000" w:sz="8" w:space="0"/>
              <w:right w:val="single" w:color="000000" w:sz="8" w:space="0"/>
            </w:tcBorders>
            <w:tcW w:w="845" w:type="dxa"/>
            <w:vAlign w:val="center"/>
            <w:vMerge w:val="continue"/>
            <w:textDirection w:val="lrTb"/>
            <w:noWrap w:val="false"/>
          </w:tcPr>
          <w:p>
            <w:pPr>
              <w:pStyle w:val="740"/>
              <w:jc w:val="right"/>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none" w:color="000000" w:sz="4"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ascii="宋体" w:hAnsi="宋体" w:cs="宋体"/>
              </w:rPr>
              <w:t xml:space="preserve">电源线适配能力</w:t>
            </w:r>
            <w:r>
              <w:rPr>
                <w:rFonts w:hint="eastAsia" w:ascii="宋体" w:hAnsi="宋体" w:cs="宋体"/>
              </w:rPr>
            </w:r>
            <w:r/>
          </w:p>
        </w:tc>
        <w:tc>
          <w:tcPr>
            <w:tcBorders>
              <w:top w:val="single" w:color="000000" w:sz="8"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符合 GB 15934-2008</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操作系统及软件功能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中文信息处理要求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符合GB18030的相关规定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操作系统备份及还原功能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支持操作系统备份及还原功能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固件备份还原能力</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支持备份及还原固件的功能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操作系统及驱动升级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支持通过网络、闪存盘等方式对操作系统、驱动进行升级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固件升级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支持通过网络、闪存盘等方式对固件进行升级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BIOS支持关闭通讯接口</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支持BIOS关闭以太网及USB接口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固件查看信息</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支持查看固件版本、内存信息、主板信息、处理器信息和系统时间信息等功能</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固件设置启动顺序</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支持设置启动顺序功能，并按照设置的启动顺序启动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固件设置口令</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支持设置口令、修改口令、验证口令功能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固件设置网络引导</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支持网络引导启动和关闭功能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生物识别功能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指纹识别</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指纹识别功能符合GB/T37742的相关规定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人脸识别</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人脸识别功能符合G</w:t>
            </w:r>
            <w:r>
              <w:rPr>
                <w:rFonts w:hint="eastAsia" w:ascii="宋体" w:hAnsi="宋体" w:cs="宋体"/>
              </w:rPr>
              <w:t xml:space="preserve">B/T37036.3的相关规定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静脉识别</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指静脉识别功能符合GB/T33135的相关规定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硬件加速功能</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NPU/GPU等AI加速模块</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支持NPU/GPU等AI加速模块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视频编解码加速模块</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支持视频编解码加速模块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影像处理加速模块</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支持影像处理加速模块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存储设备可靠性</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ind w:right="720"/>
              <w:rPr>
                <w:rFonts w:hint="eastAsia" w:ascii="宋体" w:hAnsi="宋体" w:cs="宋体"/>
              </w:rPr>
            </w:pPr>
            <w:r>
              <w:rPr>
                <w:rFonts w:hint="eastAsia" w:ascii="宋体" w:hAnsi="宋体" w:cs="宋体"/>
              </w:rPr>
              <w:t xml:space="preserve">TBW≥80TB（条件：1T硬盘容量）</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显示设备可靠性</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显示屏屏幕失效点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符合GB/T9813.2的要求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外设可靠性</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鼠标按键寿命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≥500万次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键盘鼠标线材寿命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键盘鼠标所用线材经±60°弯折不低于3000次，功能、外观完好</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风扇寿命</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≥4万小时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整机可靠性要求</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电磁兼容性要求的抗扰度</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符合GB/T9254.2的规定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环境条件要求的气候环境适应性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w:t>
            </w:r>
            <w:r>
              <w:rPr>
                <w:rFonts w:hint="eastAsia" w:ascii="宋体" w:hAnsi="宋体" w:cs="宋体"/>
              </w:rPr>
              <w:t xml:space="preserve">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环境条件要求的振动适应性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环境条件要求的冲击适应性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环境条件要求的碰撞适应性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环境条件要求的运输包装件跌落适应性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*MTBF测试</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MTBF(m1)≥100万小时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常用软件兼容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支持流式软件、版式软件、浏览器、邮件采购人端、解压软件、多媒体、图形图像处理等常用软件</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数据库兼容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兼容3个及以上厂商的数据库产品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中间件兼容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兼容3个及以上厂商中间件产品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平台软件兼容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兼容3个及以上厂商云计算及大数据平台</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包装及运输要求</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包装及运输要求</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标志、包装、运输和贮存</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符合GB/T9813.1和商品包装政府采购需求标准的相关规定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top w:val="none" w:color="000000" w:sz="4" w:space="0"/>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服务要求</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配置检查工具</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供应商提供自检测试工具</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*服务响应</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项目全面验收合格之日起，免费质保3年,（含原厂质保，有特</w:t>
            </w:r>
            <w:r>
              <w:rPr>
                <w:rFonts w:hint="eastAsia" w:ascii="宋体" w:hAnsi="宋体" w:cs="宋体"/>
              </w:rPr>
              <w:t xml:space="preserve">殊要求的按实际要求）。供应商须提供24小时维保热线，24*365天随时接受采购人的服务请求；接到采购人服务请求后，30分钟电话响应，4小时内赶到故障现场进行维护修理。其中电脑原厂7x24小时400/800电话免费 支持，工作日现场上门服务。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*服务周期</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支持产品延保≥3 年提供每年延保服务报价提供备件服务能力≥6 年（自购买之日起）</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*预装操作系统</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预装正版中文专业版操作系统</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*培训服务</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供应商提供培训材料、产品手册、培训视频等培训相关内容</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*典型问题解决手册</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供应商提供典型问题解决说明文档或视频</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*厂家升级软件与扩容服务</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供应商提供上门升级部件/软件与扩容的增值服务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*整机质量服务要求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整机提供3年免费原厂质保，3年免费上门服务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*合格证书要求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供应商提供产品合格证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*开箱组装/使用指导要求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供应商提供开箱组装/使用指导</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*驱动下载服务要求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供应商提供驱动光盘或下载方式</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*兼容适配软件下载服</w:t>
            </w:r>
            <w:r>
              <w:rPr>
                <w:rFonts w:hint="eastAsia" w:ascii="宋体" w:hAnsi="宋体" w:cs="宋体"/>
              </w:rPr>
              <w:t xml:space="preserve">务要求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供应商提供兼容适配软件下载渠道（光盘、网站）</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跨架构平台应用兼容</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供应商提供跨架构平台的应用兼容工具，支持一种或者一种以上不同架构平台的应用</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176</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供应保障要求</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供应链合规性</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*产品部件保障</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保障产品主要部件，应提供 6 年的备件服务能力（自购买之日起），或提供可兼容原设备的升级换代产品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177</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供应保障要求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供应链质量</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bookmarkStart w:id="101" w:name="OLE_LINK18"/>
            <w:r>
              <w:rPr>
                <w:rFonts w:hint="eastAsia" w:ascii="宋体" w:hAnsi="宋体" w:cs="宋体"/>
              </w:rPr>
              <w:t xml:space="preserve">*</w:t>
            </w:r>
            <w:bookmarkEnd w:id="101"/>
            <w:r>
              <w:rPr>
                <w:rFonts w:hint="eastAsia" w:ascii="宋体" w:hAnsi="宋体" w:cs="宋体"/>
              </w:rPr>
              <w:t xml:space="preserve">抗干扰性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当产品部件出现供应风险时，供应商应通知采购人并提供风险应对方案确保产品的服务保障</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178</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供应保障要求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*供应能力证明</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中标后供应商提供供应链稳定承诺书，确保产品的部件在产品服务周期内稳定供货</w:t>
            </w:r>
            <w:r/>
          </w:p>
        </w:tc>
      </w:tr>
      <w:tr>
        <w:trPr>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179</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none" w:color="000000" w:sz="4"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关键部件安全要求</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*关键部件安全要求3</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w:t>
            </w:r>
            <w:r>
              <w:rPr>
                <w:rFonts w:hint="eastAsia" w:ascii="宋体" w:hAnsi="宋体" w:cs="宋体"/>
              </w:rPr>
              <w:t xml:space="preserve">相关规定</w:t>
            </w:r>
            <w:r>
              <w:rPr>
                <w:rFonts w:hint="eastAsia" w:ascii="宋体" w:hAnsi="宋体" w:cs="宋体"/>
              </w:rPr>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180</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整机安全性要求</w:t>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*密码算法实现</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CPU芯片应符合GM/T0008的相关规定，或芯片密码模块应符合GB/T37092或GM/T0028的相关规定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181</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USB端口管控</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支持USB端口管控</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182</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安全物理锁</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支持安全物理锁</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183</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*信息安全基本要求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a)产品应符合GB/T392</w:t>
            </w:r>
            <w:r>
              <w:rPr>
                <w:rFonts w:hint="eastAsia" w:ascii="宋体" w:hAnsi="宋体" w:cs="宋体"/>
              </w:rPr>
              <w:t xml:space="preserve">76的5.2的规定；</w:t>
            </w:r>
            <w:r/>
          </w:p>
          <w:p>
            <w:pPr>
              <w:pStyle w:val="740"/>
              <w:rPr>
                <w:rFonts w:hint="eastAsia" w:ascii="宋体" w:hAnsi="宋体" w:cs="宋体"/>
              </w:rPr>
            </w:pPr>
            <w:r>
              <w:rPr>
                <w:rFonts w:hint="eastAsia" w:ascii="宋体" w:hAnsi="宋体" w:cs="宋体"/>
              </w:rPr>
              <w:t xml:space="preserve">b)生产厂商应建立漏洞跟踪表，保证产品版本涉及到的漏洞(如驱动程序等)可查看；</w:t>
            </w:r>
            <w:r/>
          </w:p>
          <w:p>
            <w:pPr>
              <w:pStyle w:val="740"/>
              <w:rPr>
                <w:rFonts w:hint="eastAsia" w:ascii="宋体" w:hAnsi="宋体" w:cs="宋体"/>
              </w:rPr>
            </w:pPr>
            <w:r>
              <w:rPr>
                <w:rFonts w:hint="eastAsia" w:ascii="宋体" w:hAnsi="宋体" w:cs="宋体"/>
              </w:rPr>
              <w:t xml:space="preserve">c)产品不得包含已知的恶意代码或漏洞，不存在未声明的指令、功能、接口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184</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*固件安全启动</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支持固件安全启动功能，固件启动过程中只有通过启动校验才能正常启动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185</w:t>
            </w:r>
            <w:r/>
          </w:p>
        </w:tc>
        <w:tc>
          <w:tcPr>
            <w:tcBorders>
              <w:top w:val="none" w:color="000000" w:sz="4" w:space="0"/>
              <w:left w:val="none" w:color="000000" w:sz="4"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top w:val="none" w:color="000000" w:sz="4" w:space="0"/>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*限用物质的限量要求</w:t>
            </w:r>
            <w:r/>
          </w:p>
        </w:tc>
        <w:tc>
          <w:tcPr>
            <w:tcBorders>
              <w:top w:val="none" w:color="000000" w:sz="4" w:space="0"/>
              <w:left w:val="none" w:color="000000" w:sz="4"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符合GB/T26572中规定</w:t>
            </w:r>
            <w:r/>
          </w:p>
        </w:tc>
      </w:tr>
    </w:tbl>
    <w:p>
      <w:pPr>
        <w:pStyle w:val="740"/>
      </w:pPr>
      <w:r/>
      <w:bookmarkEnd w:id="98"/>
      <w:r/>
      <w:r/>
    </w:p>
    <w:p>
      <w:pPr>
        <w:pStyle w:val="740"/>
      </w:pPr>
      <w:r/>
      <w:r/>
    </w:p>
    <w:p>
      <w:pPr>
        <w:pStyle w:val="740"/>
      </w:pPr>
      <w:r/>
      <w:bookmarkEnd w:id="96"/>
      <w:r>
        <w:rPr>
          <w:rFonts w:hint="eastAsia"/>
        </w:rPr>
        <w:t xml:space="preserve">4、笔记本</w:t>
      </w:r>
      <w:r>
        <w:rPr>
          <w:rFonts w:hint="eastAsia"/>
        </w:rPr>
        <w:t xml:space="preserve">（10台）</w:t>
      </w:r>
      <w:r/>
    </w:p>
    <w:p>
      <w:pPr>
        <w:pStyle w:val="740"/>
      </w:pPr>
      <w:r/>
      <w:r/>
    </w:p>
    <w:tbl>
      <w:tblPr>
        <w:tblW w:w="9332" w:type="dxa"/>
        <w:tblInd w:w="-10" w:type="dxa"/>
        <w:tblLayout w:type="fixed"/>
        <w:tblCellMar>
          <w:left w:w="108" w:type="dxa"/>
          <w:top w:w="0" w:type="dxa"/>
          <w:right w:w="108" w:type="dxa"/>
          <w:bottom w:w="0" w:type="dxa"/>
        </w:tblCellMar>
        <w:tblLook w:val="04A0" w:firstRow="1" w:lastRow="0" w:firstColumn="1" w:lastColumn="0" w:noHBand="0" w:noVBand="1"/>
      </w:tblPr>
      <w:tblGrid>
        <w:gridCol w:w="845"/>
        <w:gridCol w:w="701"/>
        <w:gridCol w:w="844"/>
        <w:gridCol w:w="1519"/>
        <w:gridCol w:w="5423"/>
      </w:tblGrid>
      <w:tr>
        <w:trPr>
          <w:trHeight w:val="20"/>
        </w:trPr>
        <w:tc>
          <w:tcPr>
            <w:tcBorders>
              <w:top w:val="single" w:color="000000" w:sz="8" w:space="0"/>
              <w:left w:val="single" w:color="000000" w:sz="8" w:space="0"/>
              <w:bottom w:val="single" w:color="000000" w:sz="8" w:space="0"/>
              <w:right w:val="single" w:color="000000" w:sz="8" w:space="0"/>
            </w:tcBorders>
            <w:tcW w:w="845" w:type="dxa"/>
            <w:vAlign w:val="center"/>
            <w:textDirection w:val="tbRlV"/>
            <w:noWrap w:val="false"/>
          </w:tcPr>
          <w:p>
            <w:pPr>
              <w:pStyle w:val="740"/>
              <w:jc w:val="center"/>
              <w:rPr>
                <w:rFonts w:hint="eastAsia" w:ascii="宋体" w:hAnsi="宋体" w:cs="宋体"/>
                <w:b/>
                <w:bCs/>
              </w:rPr>
            </w:pPr>
            <w:r/>
            <w:bookmarkStart w:id="102" w:name="_Hlk215561420"/>
            <w:r>
              <w:rPr>
                <w:rFonts w:hint="eastAsia" w:ascii="宋体" w:hAnsi="宋体" w:cs="宋体"/>
                <w:b/>
                <w:bCs/>
              </w:rPr>
              <w:t xml:space="preserve">序号</w:t>
            </w:r>
            <w:r/>
          </w:p>
        </w:tc>
        <w:tc>
          <w:tcPr>
            <w:tcBorders>
              <w:top w:val="single" w:color="000000" w:sz="8" w:space="0"/>
              <w:bottom w:val="single" w:color="000000" w:sz="8" w:space="0"/>
              <w:right w:val="single" w:color="000000" w:sz="8" w:space="0"/>
            </w:tcBorders>
            <w:tcW w:w="701"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指标分类</w:t>
            </w:r>
            <w:r/>
          </w:p>
        </w:tc>
        <w:tc>
          <w:tcPr>
            <w:tcBorders>
              <w:top w:val="single" w:color="000000" w:sz="8" w:space="0"/>
              <w:bottom w:val="single" w:color="000000" w:sz="8" w:space="0"/>
              <w:right w:val="single" w:color="000000" w:sz="8" w:space="0"/>
            </w:tcBorders>
            <w:tcW w:w="844"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一级指标1</w:t>
            </w:r>
            <w:r/>
          </w:p>
        </w:tc>
        <w:tc>
          <w:tcPr>
            <w:tcBorders>
              <w:top w:val="single" w:color="000000" w:sz="8"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二级指标1</w:t>
            </w:r>
            <w:r/>
          </w:p>
        </w:tc>
        <w:tc>
          <w:tcPr>
            <w:tcBorders>
              <w:top w:val="single" w:color="000000" w:sz="8"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b/>
                <w:bCs/>
              </w:rPr>
            </w:pPr>
            <w:r>
              <w:rPr>
                <w:rFonts w:hint="eastAsia" w:ascii="宋体" w:hAnsi="宋体" w:cs="宋体"/>
                <w:b/>
                <w:bCs/>
              </w:rPr>
              <w:t xml:space="preserve">指标要求</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CPU规格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*CPU信息</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CPU物理核心数≥14核，支持超线程技术，线程数量≥16，性能核基本频率≥2.0Ghz，每颗CPU三级缓存≥24M</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内存规格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*内存配置容量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03" w:name="OLE_LINK7"/>
            <w:r/>
            <w:bookmarkStart w:id="104" w:name="OLE_LINK6"/>
            <w:r>
              <w:rPr>
                <w:rFonts w:hint="eastAsia" w:ascii="宋体" w:hAnsi="宋体" w:cs="宋体"/>
              </w:rPr>
              <w:t xml:space="preserve">≥</w:t>
            </w:r>
            <w:bookmarkEnd w:id="103"/>
            <w:r/>
            <w:bookmarkEnd w:id="104"/>
            <w:r>
              <w:rPr>
                <w:rFonts w:hint="eastAsia" w:ascii="宋体" w:hAnsi="宋体" w:cs="宋体"/>
              </w:rPr>
              <w:t xml:space="preserve">16GB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支持DDR4或</w:t>
            </w:r>
            <w:r>
              <w:rPr>
                <w:rFonts w:ascii="宋体" w:hAnsi="宋体" w:cs="宋体"/>
              </w:rPr>
              <w:t xml:space="preserve">LPDDR</w:t>
            </w:r>
            <w:r>
              <w:rPr>
                <w:rFonts w:hint="eastAsia" w:ascii="宋体" w:hAnsi="宋体" w:cs="宋体"/>
              </w:rPr>
              <w:t xml:space="preserve">4</w:t>
            </w:r>
            <w:r>
              <w:rPr>
                <w:rFonts w:ascii="宋体" w:hAnsi="宋体" w:cs="宋体"/>
              </w:rPr>
              <w:t xml:space="preserve">X</w:t>
            </w:r>
            <w:r>
              <w:rPr>
                <w:rFonts w:hint="eastAsia" w:ascii="宋体" w:hAnsi="宋体" w:cs="宋体"/>
              </w:rPr>
              <w:t xml:space="preserve">及以上内存类型</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*内存条配置数量（板载内存不涉及）</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主板规格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*主板集成模块</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集成资源扩展模块、计算处理模块、音频扩展模块等，主板的互联拓扑可通过处理器或交换电路实现</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*主板支持的CPU和内存情况</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支持X</w:t>
            </w:r>
            <w:r>
              <w:rPr>
                <w:rFonts w:ascii="宋体" w:hAnsi="宋体" w:cs="宋体"/>
              </w:rPr>
              <w:t xml:space="preserve">86</w:t>
            </w:r>
            <w:r>
              <w:rPr>
                <w:rFonts w:hint="eastAsia" w:ascii="宋体" w:hAnsi="宋体" w:cs="宋体"/>
              </w:rPr>
              <w:t xml:space="preserve"> CPU和DDR4或</w:t>
            </w:r>
            <w:r>
              <w:rPr>
                <w:rFonts w:ascii="宋体" w:hAnsi="宋体" w:cs="宋体"/>
              </w:rPr>
              <w:t xml:space="preserve">LPDDR</w:t>
            </w:r>
            <w:r>
              <w:rPr>
                <w:rFonts w:hint="eastAsia" w:ascii="宋体" w:hAnsi="宋体" w:cs="宋体"/>
              </w:rPr>
              <w:t xml:space="preserve">4</w:t>
            </w:r>
            <w:r>
              <w:rPr>
                <w:rFonts w:ascii="宋体" w:hAnsi="宋体" w:cs="宋体"/>
              </w:rPr>
              <w:t xml:space="preserve">X</w:t>
            </w:r>
            <w:r>
              <w:rPr>
                <w:rFonts w:hint="eastAsia" w:ascii="宋体" w:hAnsi="宋体" w:cs="宋体"/>
              </w:rPr>
              <w:t xml:space="preserve">及以上内存</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w:t>
            </w:r>
            <w:r>
              <w:rPr>
                <w:rFonts w:hint="eastAsia" w:ascii="宋体" w:hAnsi="宋体" w:cs="宋体"/>
              </w:rPr>
              <w:t xml:space="preserve">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特殊孔位及接口</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主板支持安装多功能导入装置板卡，或预留响应孔位及接口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*单内存插槽最大可支持容量（板载内存不涉及）</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≥16GB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*内存插槽满配时提供的最高内存总容量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≥32GB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存储设备规格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*固态盘数量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≥1T</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机械硬盘总容量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机械硬盘转速</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机械硬盘接口协议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支持SATA3.0及以上或SAS3.0及以上接口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机械硬盘形态</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固态存储接口协议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PCIe/NVMe类型接口协议</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固态存储形态</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采用插卡或板载等形态，可选用符合M.2或2.5寸SATA或mSATA等标准的插卡形态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存储设备扩展盘位</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存储设备其他参数要求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固态盘应符合SJ/T11654相关规定；</w:t>
            </w:r>
            <w:r/>
          </w:p>
          <w:p>
            <w:pPr>
              <w:pStyle w:val="740"/>
              <w:rPr>
                <w:rFonts w:hint="eastAsia" w:ascii="宋体" w:hAnsi="宋体" w:cs="宋体"/>
              </w:rPr>
            </w:pP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集成显卡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独立显卡显存位宽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w:t>
            </w:r>
            <w:r>
              <w:rPr>
                <w:rFonts w:hint="eastAsia" w:ascii="宋体" w:hAnsi="宋体" w:cs="宋体"/>
              </w:rPr>
              <w:t xml:space="preserve">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独立显卡显存容量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独立显卡接口协议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显示设备规格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*显示屏屏占比</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≥90%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*显示屏分辨率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≥1920x1200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显示屏像素密度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≥160像素/英寸</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29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显示屏可视角度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水平≥180°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*显示屏尺寸</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14英寸</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*显示屏屏幕比例</w:t>
            </w:r>
            <w:r/>
          </w:p>
        </w:tc>
        <w:tc>
          <w:tcPr>
            <w:tcBorders>
              <w:bottom w:val="single" w:color="000000" w:sz="8" w:space="0"/>
              <w:right w:val="single" w:color="000000" w:sz="8" w:space="0"/>
            </w:tcBorders>
            <w:tcW w:w="5423" w:type="dxa"/>
            <w:vAlign w:val="center"/>
            <w:textDirection w:val="lrTb"/>
            <w:noWrap w:val="false"/>
          </w:tcPr>
          <w:p>
            <w:pPr>
              <w:pStyle w:val="740"/>
              <w:ind w:right="840"/>
              <w:rPr>
                <w:rFonts w:hint="eastAsia" w:ascii="宋体" w:hAnsi="宋体" w:cs="宋体"/>
              </w:rPr>
            </w:pPr>
            <w:r>
              <w:rPr>
                <w:rFonts w:hint="eastAsia" w:ascii="宋体" w:hAnsi="宋体" w:cs="宋体"/>
              </w:rPr>
              <w:t xml:space="preserve">16:10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*显示屏防蓝光</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支持防蓝光模式，蓝光加权辐射亮度比应≤0.0012W/(cdsr)（瓦每坎特拉每球面度）</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*显示屏低频闪</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显示屏应支持低频闪≤-35dB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*显示屏防炫目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显示屏镜面反射率≤10%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传声器数量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扬声器数量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39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光驱数量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键盘按键数目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62键/84键/105键等</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摄像头像素</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≥100万</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摄像头分辨率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rPr>
                <w:rFonts w:hint="eastAsia" w:ascii="宋体" w:hAnsi="宋体" w:cs="宋体"/>
              </w:rPr>
              <w:t xml:space="preserve">280*720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内置扬声器功率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≥2瓦/个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ascii="宋体" w:hAnsi="宋体"/>
              </w:rPr>
              <w:t xml:space="preserve">　</w:t>
            </w: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内置扬声器频率范围</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不低于100Hz-20KHz </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内置扬声器总谐波失真</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总谐波失真在100Hz-20kHz频率范围内不高于5%</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内置扬声器最大声压级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最大声压级在粉红噪声播放场景下，工作距离处声压级不低于70dB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键盘键程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0.9mm</w:t>
            </w:r>
            <w:bookmarkStart w:id="105" w:name="OLE_LINK8"/>
            <w:r/>
            <w:bookmarkStart w:id="106" w:name="OLE_LINK9"/>
            <w:r>
              <w:rPr>
                <w:rFonts w:hint="eastAsia" w:ascii="宋体" w:hAnsi="宋体" w:cs="宋体"/>
              </w:rPr>
              <w:t xml:space="preserve">~</w:t>
            </w:r>
            <w:bookmarkEnd w:id="105"/>
            <w:r/>
            <w:bookmarkEnd w:id="106"/>
            <w:r>
              <w:rPr>
                <w:rFonts w:hint="eastAsia" w:ascii="宋体" w:hAnsi="宋体" w:cs="宋体"/>
              </w:rPr>
              <w:t xml:space="preserve">2.3mm</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49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键盘按键压力</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按键压力应在0.3N~0.8N之间</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键盘颜色</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键盘其他要求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键盘外观结构、连接方式、主要功能、安全、电磁兼容性、可靠性应符合GB/T14081的相关规定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鼠标连接方式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无线</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有线鼠标连接线</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鼠标DPI分辨率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800~1600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鼠标颜色</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鼠标其他要求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其它参数应符合GB/T26245的相关规定 </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07" w:name="OLE_LINK12"/>
            <w:r/>
            <w:bookmarkStart w:id="108" w:name="OLE_LINK13"/>
            <w:r>
              <w:rPr>
                <w:rFonts w:hint="eastAsia" w:ascii="宋体" w:hAnsi="宋体" w:cs="宋体"/>
              </w:rPr>
              <w:t xml:space="preserve">产品规格</w:t>
            </w:r>
            <w:bookmarkEnd w:id="107"/>
            <w:r/>
            <w:bookmarkEnd w:id="108"/>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触控板尺寸</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≥70mmX50mm</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触控板材质</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采用麦拉片或玻璃等材质</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59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光驱规格</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无</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无线网卡及天线数量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单无线网卡天线数量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外部接口规格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*USB接口数量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USB3.2接口数量应不少于</w:t>
            </w:r>
            <w:r>
              <w:rPr>
                <w:rFonts w:hint="eastAsia" w:ascii="宋体" w:hAnsi="宋体" w:cs="宋体"/>
              </w:rPr>
              <w:t xml:space="preserve">3</w:t>
            </w:r>
            <w:r>
              <w:rPr>
                <w:rFonts w:hint="eastAsia" w:ascii="宋体" w:hAnsi="宋体" w:cs="宋体"/>
              </w:rPr>
              <w:t xml:space="preserve">个，至少包含1个原生USB3.2 TYPE-C</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09" w:name="OLE_LINK14"/>
            <w:r>
              <w:rPr>
                <w:rFonts w:hint="eastAsia" w:ascii="宋体" w:hAnsi="宋体" w:cs="宋体"/>
              </w:rPr>
              <w:t xml:space="preserve">产品规格</w:t>
            </w:r>
            <w:bookmarkEnd w:id="109"/>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视频接口数量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10" w:name="OLE_LINK15"/>
            <w:r>
              <w:rPr>
                <w:rFonts w:hint="eastAsia" w:ascii="宋体" w:hAnsi="宋体" w:cs="宋体"/>
              </w:rPr>
              <w:t xml:space="preserve">≥1</w:t>
            </w:r>
            <w:bookmarkEnd w:id="110"/>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输入充电口数量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音频接口数量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11" w:name="OLE_LINK22"/>
            <w:r/>
            <w:bookmarkStart w:id="112" w:name="OLE_LINK16"/>
            <w:r>
              <w:rPr>
                <w:rFonts w:hint="eastAsia" w:ascii="宋体" w:hAnsi="宋体" w:cs="宋体"/>
              </w:rPr>
              <w:t xml:space="preserve">≥</w:t>
            </w:r>
            <w:bookmarkEnd w:id="111"/>
            <w:r/>
            <w:bookmarkEnd w:id="112"/>
            <w:r>
              <w:rPr>
                <w:rFonts w:hint="eastAsia" w:ascii="宋体" w:hAnsi="宋体" w:cs="宋体"/>
              </w:rPr>
              <w:t xml:space="preserve">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13" w:name="OLE_LINK25"/>
            <w:r/>
            <w:bookmarkStart w:id="114" w:name="OLE_LINK26"/>
            <w:r>
              <w:rPr>
                <w:rFonts w:hint="eastAsia" w:ascii="宋体" w:hAnsi="宋体" w:cs="宋体"/>
              </w:rPr>
              <w:t xml:space="preserve">产品规格</w:t>
            </w:r>
            <w:bookmarkEnd w:id="113"/>
            <w:r/>
            <w:bookmarkEnd w:id="114"/>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存储卡接口数量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电池额定能量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15" w:name="OLE_LINK24"/>
            <w:r/>
            <w:bookmarkStart w:id="116" w:name="OLE_LINK23"/>
            <w:r>
              <w:rPr>
                <w:rFonts w:hint="eastAsia" w:ascii="宋体" w:hAnsi="宋体" w:cs="宋体"/>
              </w:rPr>
              <w:t xml:space="preserve">≥</w:t>
            </w:r>
            <w:bookmarkEnd w:id="115"/>
            <w:r/>
            <w:bookmarkEnd w:id="116"/>
            <w:r>
              <w:rPr>
                <w:rFonts w:hint="eastAsia" w:ascii="宋体" w:hAnsi="宋体" w:cs="宋体"/>
              </w:rPr>
              <w:t xml:space="preserve">60Wh</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69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电池充放电次数</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≥800次（常温下800次充放电后电池容量应不低于原始容量的80%）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快速充电功能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支持快速充电功能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电池安全要求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符合GB31241的规定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电池电芯材质</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供应商给出电池电芯材料信息</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整机基础规格</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整机外观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整机结构</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a)机</w:t>
            </w:r>
            <w:r>
              <w:rPr>
                <w:rFonts w:hint="eastAsia" w:ascii="宋体" w:hAnsi="宋体" w:cs="宋体"/>
              </w:rPr>
              <w:t xml:space="preserve">箱应符合GB/T4208、GB/T26246的相关规定；</w:t>
            </w:r>
            <w:r/>
          </w:p>
          <w:p>
            <w:pPr>
              <w:pStyle w:val="740"/>
              <w:rPr>
                <w:rFonts w:hint="eastAsia" w:ascii="宋体" w:hAnsi="宋体" w:cs="宋体"/>
              </w:rPr>
            </w:pPr>
            <w:r>
              <w:rPr>
                <w:rFonts w:hint="eastAsia" w:ascii="宋体" w:hAnsi="宋体" w:cs="宋体"/>
              </w:rPr>
              <w:t xml:space="preserve">b)产品内部结构应符合通用部件的安装需求；</w:t>
            </w:r>
            <w:r/>
          </w:p>
          <w:p>
            <w:pPr>
              <w:pStyle w:val="740"/>
              <w:rPr>
                <w:rFonts w:hint="eastAsia" w:ascii="宋体" w:hAnsi="宋体" w:cs="宋体"/>
              </w:rPr>
            </w:pPr>
            <w:r>
              <w:rPr>
                <w:rFonts w:hint="eastAsia" w:ascii="宋体" w:hAnsi="宋体" w:cs="宋体"/>
              </w:rPr>
              <w:t xml:space="preserve">c)所有输入输出接口应符合相关国家或行业标准；</w:t>
            </w:r>
            <w:r/>
          </w:p>
          <w:p>
            <w:pPr>
              <w:pStyle w:val="740"/>
              <w:rPr>
                <w:rFonts w:hint="eastAsia" w:ascii="宋体" w:hAnsi="宋体" w:cs="宋体"/>
              </w:rPr>
            </w:pPr>
            <w:r>
              <w:rPr>
                <w:rFonts w:hint="eastAsia" w:ascii="宋体" w:hAnsi="宋体" w:cs="宋体"/>
              </w:rPr>
              <w:t xml:space="preserve">d)产品零部件应紧固无松动，可插拔部件应可靠连接，开关、按钮和其它控制部件应灵活可靠，布局应方便使用；</w:t>
            </w:r>
            <w:r/>
          </w:p>
          <w:p>
            <w:pPr>
              <w:pStyle w:val="740"/>
              <w:rPr>
                <w:rFonts w:hint="eastAsia" w:ascii="宋体" w:hAnsi="宋体" w:cs="宋体"/>
              </w:rPr>
            </w:pPr>
            <w:r>
              <w:rPr>
                <w:rFonts w:hint="eastAsia" w:ascii="宋体" w:hAnsi="宋体" w:cs="宋体"/>
              </w:rPr>
              <w:t xml:space="preserve">e)所有I/O连接器及需插接线缆的部位应预留采购人操作空间，方便插拔解锁与插拔线缆；</w:t>
            </w:r>
            <w:r/>
          </w:p>
          <w:p>
            <w:pPr>
              <w:pStyle w:val="740"/>
              <w:rPr>
                <w:rFonts w:hint="eastAsia" w:ascii="宋体" w:hAnsi="宋体" w:cs="宋体"/>
              </w:rPr>
            </w:pPr>
            <w:r>
              <w:rPr>
                <w:rFonts w:hint="eastAsia" w:ascii="宋体" w:hAnsi="宋体" w:cs="宋体"/>
              </w:rPr>
              <w:t xml:space="preserve">f)可插拔板卡插槽部位应预留安装、拆卸或更换板卡空间；</w:t>
            </w:r>
            <w:r/>
          </w:p>
          <w:p>
            <w:pPr>
              <w:pStyle w:val="740"/>
              <w:rPr>
                <w:rFonts w:hint="eastAsia" w:ascii="宋体" w:hAnsi="宋体" w:cs="宋体"/>
              </w:rPr>
            </w:pPr>
            <w:r>
              <w:rPr>
                <w:rFonts w:hint="eastAsia" w:ascii="宋体" w:hAnsi="宋体" w:cs="宋体"/>
              </w:rPr>
              <w:t xml:space="preserve">g)拆装可能接触到的金属剪口或金属尖角部位应做防划伤处理，以保证安全；</w:t>
            </w:r>
            <w:r/>
          </w:p>
          <w:p>
            <w:pPr>
              <w:pStyle w:val="740"/>
              <w:rPr>
                <w:rFonts w:hint="eastAsia" w:ascii="宋体" w:hAnsi="宋体" w:cs="宋体"/>
              </w:rPr>
            </w:pPr>
            <w:r>
              <w:rPr>
                <w:rFonts w:hint="eastAsia" w:ascii="宋体" w:hAnsi="宋体" w:cs="宋体"/>
              </w:rPr>
              <w:t xml:space="preserve">h)整机内部走线应规整，固线结构和位置要合理可靠并做防割线处理，需便于理线和插拔操作，走线应不影响系统各主要部件组装和拆卸；</w:t>
            </w:r>
            <w:r/>
          </w:p>
          <w:p>
            <w:pPr>
              <w:pStyle w:val="740"/>
              <w:rPr>
                <w:rFonts w:hint="eastAsia" w:ascii="宋体" w:hAnsi="宋体" w:cs="宋体"/>
              </w:rPr>
            </w:pPr>
            <w:r>
              <w:rPr>
                <w:rFonts w:hint="eastAsia" w:ascii="宋体" w:hAnsi="宋体" w:cs="宋体"/>
              </w:rPr>
              <w:t xml:space="preserve">i)如需通过孔走线，过线孔应做防割线处理；</w:t>
            </w:r>
            <w:r/>
          </w:p>
          <w:p>
            <w:pPr>
              <w:pStyle w:val="740"/>
              <w:rPr>
                <w:rFonts w:hint="eastAsia" w:ascii="宋体" w:hAnsi="宋体" w:cs="宋体"/>
              </w:rPr>
            </w:pPr>
            <w:r>
              <w:rPr>
                <w:rFonts w:hint="eastAsia" w:ascii="宋体" w:hAnsi="宋体" w:cs="宋体"/>
              </w:rPr>
              <w:t xml:space="preserve">j)各插头位置和插拔方向应合理，应做到插拔无障碍设计，具备防呆设计，有效避免误操作；</w:t>
            </w:r>
            <w:r/>
          </w:p>
          <w:p>
            <w:pPr>
              <w:pStyle w:val="740"/>
              <w:rPr>
                <w:rFonts w:hint="eastAsia" w:ascii="宋体" w:hAnsi="宋体" w:cs="宋体"/>
              </w:rPr>
            </w:pPr>
            <w:r>
              <w:rPr>
                <w:rFonts w:hint="eastAsia" w:ascii="宋体" w:hAnsi="宋体" w:cs="宋体"/>
              </w:rPr>
              <w:t xml:space="preserve">k)各主要部件拆装无障碍，使用常规工具拆装，无特殊拆装工具需求；</w:t>
            </w:r>
            <w:r/>
          </w:p>
          <w:p>
            <w:pPr>
              <w:pStyle w:val="740"/>
              <w:rPr>
                <w:rFonts w:hint="eastAsia" w:ascii="宋体" w:hAnsi="宋体" w:cs="宋体"/>
              </w:rPr>
            </w:pPr>
            <w:r>
              <w:rPr>
                <w:rFonts w:hint="eastAsia" w:ascii="宋体" w:hAnsi="宋体" w:cs="宋体"/>
              </w:rPr>
              <w:t xml:space="preserve">l)各主要部件拆装步骤要少，各自拆装需避免相互干扰；</w:t>
            </w:r>
            <w:r/>
          </w:p>
          <w:p>
            <w:pPr>
              <w:pStyle w:val="740"/>
              <w:rPr>
                <w:rFonts w:hint="eastAsia" w:ascii="宋体" w:hAnsi="宋体" w:cs="宋体"/>
              </w:rPr>
            </w:pPr>
            <w:r>
              <w:rPr>
                <w:rFonts w:hint="eastAsia" w:ascii="宋体" w:hAnsi="宋体" w:cs="宋体"/>
              </w:rPr>
              <w:t xml:space="preserve">m)对于整机或零部件外表面为高亮面的，应粘贴保护膜，保护膜需粘贴牢固，运输、组装等过程不易脱落，撕下无残留；</w:t>
            </w:r>
            <w:r/>
          </w:p>
          <w:p>
            <w:pPr>
              <w:pStyle w:val="740"/>
              <w:rPr>
                <w:rFonts w:hint="eastAsia" w:ascii="宋体" w:hAnsi="宋体" w:cs="宋体"/>
              </w:rPr>
            </w:pPr>
            <w:r>
              <w:rPr>
                <w:rFonts w:hint="eastAsia" w:ascii="宋体" w:hAnsi="宋体" w:cs="宋体"/>
              </w:rPr>
              <w:t xml:space="preserve">n)显示屏的开合机械寿命应能承受至少15000次的显示屏开合，显示屏机</w:t>
            </w:r>
            <w:r>
              <w:rPr>
                <w:rFonts w:hint="eastAsia" w:ascii="宋体" w:hAnsi="宋体" w:cs="宋体"/>
              </w:rPr>
              <w:t xml:space="preserve">械转轴的扭力应保持初始状态下扭力的75%以上；</w:t>
            </w:r>
            <w:r/>
          </w:p>
          <w:p>
            <w:pPr>
              <w:pStyle w:val="740"/>
              <w:rPr>
                <w:rFonts w:hint="eastAsia" w:ascii="宋体" w:hAnsi="宋体" w:cs="宋体"/>
              </w:rPr>
            </w:pPr>
            <w:r>
              <w:rPr>
                <w:rFonts w:hint="eastAsia" w:ascii="宋体" w:hAnsi="宋体" w:cs="宋体"/>
              </w:rPr>
              <w:t xml:space="preserve">o)其它要求应符合GB/T9813.2的相关规定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整机噪音</w:t>
            </w:r>
            <w:r/>
          </w:p>
        </w:tc>
        <w:tc>
          <w:tcPr>
            <w:tcBorders>
              <w:bottom w:val="single" w:color="000000" w:sz="8" w:space="0"/>
              <w:right w:val="single" w:color="000000" w:sz="8" w:space="0"/>
            </w:tcBorders>
            <w:tcW w:w="5423" w:type="dxa"/>
            <w:vAlign w:val="center"/>
            <w:textDirection w:val="lrTb"/>
            <w:noWrap w:val="false"/>
          </w:tcPr>
          <w:p>
            <w:pPr>
              <w:pStyle w:val="867"/>
            </w:pPr>
            <w:r>
              <w:rPr>
                <w:rFonts w:hint="eastAsia"/>
              </w:rPr>
              <w:t xml:space="preserve">25摄氏度环温条件：</w:t>
            </w:r>
            <w:r/>
          </w:p>
          <w:p>
            <w:pPr>
              <w:pStyle w:val="867"/>
            </w:pPr>
            <w:r>
              <w:rPr>
                <w:rFonts w:hint="eastAsia"/>
              </w:rPr>
              <w:t xml:space="preserve">空闲小于等于38dBA</w:t>
            </w:r>
            <w:r/>
          </w:p>
          <w:p>
            <w:pPr>
              <w:pStyle w:val="867"/>
            </w:pPr>
            <w:r>
              <w:rPr>
                <w:rFonts w:hint="eastAsia"/>
              </w:rPr>
              <w:t xml:space="preserve">满载小于等于45dBA</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整机散热</w:t>
            </w:r>
            <w:r/>
          </w:p>
        </w:tc>
        <w:tc>
          <w:tcPr>
            <w:tcBorders>
              <w:bottom w:val="single" w:color="000000" w:sz="8" w:space="0"/>
              <w:right w:val="single" w:color="000000" w:sz="8" w:space="0"/>
            </w:tcBorders>
            <w:tcW w:w="5423" w:type="dxa"/>
            <w:vAlign w:val="center"/>
            <w:textDirection w:val="lrTb"/>
            <w:noWrap w:val="false"/>
          </w:tcPr>
          <w:p>
            <w:pPr>
              <w:pStyle w:val="740"/>
            </w:pPr>
            <w:r>
              <w:rPr>
                <w:rFonts w:hint="eastAsia" w:ascii="宋体" w:hAnsi="宋体" w:cs="宋体"/>
              </w:rPr>
              <w:t xml:space="preserve">产品在环境温度25℃及处理器满载情况下，可触及面温度范围内应不高于45℃。</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整机能效限定值</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产品能效限定值应达到GB28380-2012标准中能效等级 2级</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机身材质</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A/D双面需提供合金金属</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79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17" w:name="OLE_LINK34"/>
            <w:r/>
            <w:bookmarkStart w:id="118" w:name="OLE_LINK33"/>
            <w:r>
              <w:rPr>
                <w:rFonts w:hint="eastAsia" w:ascii="宋体" w:hAnsi="宋体" w:cs="宋体"/>
              </w:rPr>
              <w:t xml:space="preserve">产品规格</w:t>
            </w:r>
            <w:bookmarkEnd w:id="117"/>
            <w:r/>
            <w:bookmarkEnd w:id="118"/>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机身颜色</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黑色</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r>
            <w:r>
              <w:rPr>
                <w:rFonts w:hint="eastAsia" w:ascii="等线" w:hAnsi="等线" w:cs="宋体"/>
                <w:sz w:val="20"/>
                <w:szCs w:val="20"/>
              </w:rPr>
              <w:t xml:space="preserve">*</w:t>
            </w:r>
            <w:r/>
            <w:r>
              <w:rPr>
                <w:rFonts w:hint="eastAsia" w:ascii="宋体" w:hAnsi="宋体" w:cs="宋体"/>
              </w:rPr>
              <w:t xml:space="preserve">整机厚度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机身厚度≤17mm</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产品规格</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r>
            <w:r>
              <w:rPr>
                <w:rFonts w:hint="eastAsia" w:ascii="等线" w:hAnsi="等线" w:cs="宋体"/>
                <w:sz w:val="20"/>
                <w:szCs w:val="20"/>
              </w:rPr>
              <w:t xml:space="preserve">*</w:t>
            </w:r>
            <w:r/>
            <w:r>
              <w:rPr>
                <w:rFonts w:hint="eastAsia" w:ascii="宋体" w:hAnsi="宋体" w:cs="宋体"/>
              </w:rPr>
              <w:t xml:space="preserve">整机重量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机器重量≤1.5kg</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CPU性能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*CPU物理核数</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4</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*CPU主频</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≥2.0GHz</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*CPU末级缓存容量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≥24MB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*CPU支持的内存最高速率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≥3200MT/s</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内存性能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*内存读写速率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≥3200MT/s</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显卡性能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*显示分辨率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≥1920x1080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bookmarkStart w:id="119" w:name="OLE_LINK35"/>
            <w:r/>
            <w:bookmarkStart w:id="120" w:name="OLE_LINK36"/>
            <w:r>
              <w:rPr>
                <w:rFonts w:hint="eastAsia" w:ascii="宋体" w:hAnsi="宋体" w:cs="宋体"/>
              </w:rPr>
              <w:t xml:space="preserve">*显卡显示芯片核心频率</w:t>
            </w:r>
            <w:bookmarkEnd w:id="119"/>
            <w:r/>
            <w:bookmarkEnd w:id="120"/>
            <w:r>
              <w:rPr>
                <w:rFonts w:hint="eastAsia" w:ascii="宋体" w:hAnsi="宋体" w:cs="宋体"/>
              </w:rPr>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≥300MHz</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8</w:t>
            </w:r>
            <w:r>
              <w:rPr>
                <w:rFonts w:hint="eastAsia" w:ascii="宋体" w:hAnsi="宋体" w:cs="宋体"/>
              </w:rPr>
              <w:t xml:space="preserve">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*显存等效频率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≥3200MT/s</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*显卡可支持多屏同时显示数量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显卡应支持2块屏幕同时显示，分辨率应不低于1920×1080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显示设备性能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*显示屏刷新率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0Hz</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*显示屏位深</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≥8位</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*显示屏色域</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≥100%sRGB</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*显示屏色准</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△E</w:t>
            </w:r>
            <w:bookmarkStart w:id="121" w:name="OLE_LINK32"/>
            <w:r>
              <w:rPr>
                <w:rFonts w:hint="eastAsia" w:ascii="宋体" w:hAnsi="宋体" w:cs="宋体"/>
              </w:rPr>
              <w:t xml:space="preserve">≤</w:t>
            </w:r>
            <w:bookmarkEnd w:id="121"/>
            <w:r>
              <w:rPr>
                <w:rFonts w:hint="eastAsia" w:ascii="宋体" w:hAnsi="宋体" w:cs="宋体"/>
              </w:rPr>
              <w:t xml:space="preserve">4</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*显示屏响应时间</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≤30ms</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*显示屏亮度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≥300尼特</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*显示屏亮度一致性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≥70%</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显示屏对比度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▲≥1000：1</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99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*显示屏其他参数</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其他参数应符合SJ/T 11292的相关规定，产品具备开盖开机功能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网络设备性能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有线网卡速率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最高速率应不低于1000Mbps，应支持10Mbps、100Mbps、1000Mbps速率自适应</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支持无线网络通信技术协议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支持wifi6</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22" w:name="OLE_LINK38"/>
            <w:r/>
            <w:bookmarkStart w:id="123" w:name="OLE_LINK37"/>
            <w:r>
              <w:rPr>
                <w:rFonts w:hint="eastAsia" w:ascii="宋体" w:hAnsi="宋体" w:cs="宋体"/>
              </w:rPr>
              <w:t xml:space="preserve">性能要求</w:t>
            </w:r>
            <w:bookmarkEnd w:id="122"/>
            <w:r/>
            <w:bookmarkEnd w:id="123"/>
            <w:r>
              <w:rPr>
                <w:rFonts w:hint="eastAsia" w:ascii="宋体" w:hAnsi="宋体" w:cs="宋体"/>
              </w:rPr>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无线网卡频宽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≥20MHz</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性能要求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电源适配器电源效率</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在20%/50%/100%负载下效率均应不低于92%</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主板功能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内存扩展接口(板载内存不涉及)</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bookmarkStart w:id="124" w:name="OLE_LINK46"/>
            <w:r/>
            <w:bookmarkStart w:id="125" w:name="OLE_LINK45"/>
            <w:r>
              <w:rPr>
                <w:rFonts w:hint="eastAsia" w:ascii="宋体" w:hAnsi="宋体" w:cs="宋体"/>
              </w:rPr>
              <w:t xml:space="preserve">≥</w:t>
            </w:r>
            <w:bookmarkEnd w:id="124"/>
            <w:r/>
            <w:bookmarkEnd w:id="125"/>
            <w:r>
              <w:rPr>
                <w:rFonts w:hint="eastAsia" w:ascii="宋体" w:hAnsi="宋体" w:cs="宋体"/>
              </w:rPr>
              <w:t xml:space="preserve">1个</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存储扩展接口(板载存储不涉及)</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主板支持存储扩展M.2类型接口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主板USB瞬间过流保护</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支持有瞬间过流保护功能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主板防静电保护</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支持防静电保护功能</w:t>
            </w:r>
            <w:r/>
          </w:p>
        </w:tc>
      </w:tr>
      <w:tr>
        <w:trPr>
          <w:cantSplit/>
          <w:trHeight w:val="20"/>
        </w:trPr>
        <w:tc>
          <w:tcPr>
            <w:tcBorders>
              <w:left w:val="single" w:color="000000" w:sz="8" w:space="0"/>
              <w:right w:val="single" w:color="000000" w:sz="8" w:space="0"/>
            </w:tcBorders>
            <w:tcW w:w="845" w:type="dxa"/>
            <w:vAlign w:val="center"/>
            <w:vMerge w:val="restart"/>
            <w:textDirection w:val="lrTb"/>
            <w:noWrap w:val="false"/>
          </w:tcPr>
          <w:p>
            <w:pPr>
              <w:pStyle w:val="740"/>
              <w:jc w:val="right"/>
              <w:rPr>
                <w:rFonts w:hint="eastAsia" w:ascii="宋体" w:hAnsi="宋体" w:cs="宋体"/>
              </w:rPr>
            </w:pPr>
            <w:r>
              <w:rPr>
                <w:rFonts w:hint="eastAsia" w:ascii="宋体" w:hAnsi="宋体" w:cs="宋体"/>
              </w:rPr>
              <w:t xml:space="preserve">108</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left w:val="single" w:color="000000" w:sz="8" w:space="0"/>
              <w:bottom w:val="single" w:color="000000" w:sz="8" w:space="0"/>
              <w:right w:val="single" w:color="000000" w:sz="8" w:space="0"/>
            </w:tcBorders>
            <w:tcW w:w="701"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I/O接口功能</w:t>
            </w:r>
            <w:r/>
          </w:p>
        </w:tc>
        <w:tc>
          <w:tcPr>
            <w:tcBorders>
              <w:right w:val="single" w:color="000000" w:sz="8" w:space="0"/>
            </w:tcBorders>
            <w:tcW w:w="5423"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提供</w:t>
            </w:r>
            <w:r>
              <w:rPr>
                <w:rFonts w:ascii="宋体" w:hAnsi="宋体" w:cs="宋体"/>
              </w:rPr>
              <w:t xml:space="preserve">基于标准</w:t>
            </w:r>
            <w:r>
              <w:rPr>
                <w:rFonts w:hint="eastAsia" w:ascii="宋体" w:hAnsi="宋体" w:cs="宋体"/>
              </w:rPr>
              <w:t xml:space="preserve">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trHeight w:val="20"/>
        </w:trPr>
        <w:tc>
          <w:tcPr>
            <w:tcBorders>
              <w:left w:val="single" w:color="000000" w:sz="8" w:space="0"/>
              <w:bottom w:val="single" w:color="000000" w:sz="8" w:space="0"/>
              <w:right w:val="single" w:color="000000" w:sz="8" w:space="0"/>
            </w:tcBorders>
            <w:tcW w:w="845"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left w:val="single" w:color="000000" w:sz="8" w:space="0"/>
              <w:bottom w:val="single" w:color="000000" w:sz="8" w:space="0"/>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　</w:t>
            </w:r>
            <w:r/>
          </w:p>
        </w:tc>
        <w:tc>
          <w:tcPr>
            <w:tcBorders>
              <w:bottom w:val="single" w:color="000000" w:sz="8" w:space="0"/>
              <w:right w:val="single" w:color="000000" w:sz="8" w:space="0"/>
            </w:tcBorders>
            <w:tcW w:w="5423"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109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26" w:name="OLE_LINK40"/>
            <w:r/>
            <w:bookmarkStart w:id="127" w:name="OLE_LINK39"/>
            <w:r>
              <w:rPr>
                <w:rFonts w:hint="eastAsia" w:ascii="宋体" w:hAnsi="宋体" w:cs="宋体"/>
              </w:rPr>
              <w:t xml:space="preserve">功能要求</w:t>
            </w:r>
            <w:bookmarkEnd w:id="126"/>
            <w:r/>
            <w:bookmarkEnd w:id="127"/>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显卡功能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显卡外接显示接口</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显卡至少支持HDMI、Type-C中1种显示接口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支持显示屏，同时应支持外接显示器。显示屏和外接显示器应支持多屏同时显示，显示模式应支持复制模式和扩展模式</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摄像头物理隐私保护开关</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支持物理隐私保护开关</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28" w:name="OLE_LINK41"/>
            <w:r/>
            <w:bookmarkStart w:id="129" w:name="OLE_LINK42"/>
            <w:r>
              <w:rPr>
                <w:rFonts w:hint="eastAsia" w:ascii="宋体" w:hAnsi="宋体" w:cs="宋体"/>
              </w:rPr>
              <w:t xml:space="preserve">功能要求</w:t>
            </w:r>
            <w:bookmarkEnd w:id="128"/>
            <w:r/>
            <w:bookmarkEnd w:id="129"/>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传声器降噪</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支持降噪功能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音频处理功能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支持音频效果处理功能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键盘背光</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支持键盘背光</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光驱功能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存储功能</w:t>
            </w:r>
            <w:r/>
          </w:p>
        </w:tc>
        <w:tc>
          <w:tcPr>
            <w:tcBorders>
              <w:right w:val="single" w:color="000000" w:sz="8" w:space="0"/>
            </w:tcBorders>
            <w:tcW w:w="1519"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存储功能</w:t>
            </w:r>
            <w:r/>
          </w:p>
        </w:tc>
        <w:tc>
          <w:tcPr>
            <w:tcBorders>
              <w:right w:val="single" w:color="000000" w:sz="8" w:space="0"/>
            </w:tcBorders>
            <w:tcW w:w="5423"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支持信息存储功能，包括支持易失</w:t>
            </w:r>
            <w:r/>
          </w:p>
          <w:p>
            <w:pPr>
              <w:pStyle w:val="740"/>
              <w:rPr>
                <w:rFonts w:hint="eastAsia" w:ascii="宋体" w:hAnsi="宋体" w:cs="宋体"/>
              </w:rPr>
            </w:pPr>
            <w:r>
              <w:rPr>
                <w:rFonts w:hint="eastAsia" w:ascii="宋体" w:hAnsi="宋体" w:cs="宋体"/>
              </w:rPr>
              <w:t xml:space="preserve">性存储功能和非易失性存储功能。</w:t>
            </w:r>
            <w:r/>
          </w:p>
          <w:p>
            <w:pPr>
              <w:pStyle w:val="740"/>
              <w:rPr>
                <w:rFonts w:hint="eastAsia" w:ascii="宋体" w:hAnsi="宋体" w:cs="宋体"/>
              </w:rPr>
            </w:pPr>
            <w:r>
              <w:rPr>
                <w:rFonts w:hint="eastAsia" w:ascii="宋体" w:hAnsi="宋体" w:cs="宋体"/>
              </w:rPr>
              <w:t xml:space="preserve">为提升存储性能和降低存储功耗</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5423"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网络设备功能</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网络功能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a)支持网络连接、网络开启/关闭功能；b)支持访问网络和数据交换功能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119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rPr>
            </w:pPr>
            <w:r>
              <w:rPr>
                <w:rFonts w:hint="eastAsia" w:ascii="宋体" w:hAnsi="宋体" w:cs="宋体"/>
              </w:rPr>
              <w:t xml:space="preserve">功能要求</w:t>
            </w:r>
            <w:r>
              <w:rPr>
                <w:rFonts w:hint="eastAsia" w:ascii="宋体" w:hAnsi="宋体"/>
              </w:rPr>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无线网卡频段</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支持双频段</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物理开关</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支持网络设备物理开关</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数据传输</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支持数据传输能力，并提供数据流量和异常日志记录功能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蓝牙协议</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若支持蓝牙模块，蓝牙协议不低于5.0版本</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有线网卡接口类型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支持RJ45接口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无线网卡标准</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若配备无线网卡，产品应符合GB15629.11所有部分</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网络设备拆装</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网络设备支持物理拆装，包括无线网卡和蓝牙模块等</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外部接口功能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音频接口类型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不少于 1 个，宜支持 3.5mm 孔径的 3 段式或 4 段式接口。若支持 4 段式接口，宜支持线</w:t>
            </w:r>
            <w:r>
              <w:rPr>
                <w:rFonts w:ascii="宋体" w:hAnsi="宋体" w:cs="宋体"/>
              </w:rPr>
              <w:t xml:space="preserve">序的自动识别及切换功能</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视频接口类型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至少支持HDMIType-C中1种显示接口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HDMI、DP、Type-C显示接口要求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若提供HDMI或DP或Type-C作为显示接口，应支持音频和视频同步输出</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129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bookmarkStart w:id="130" w:name="OLE_LINK44"/>
            <w:r/>
            <w:bookmarkStart w:id="131" w:name="OLE_LINK43"/>
            <w:r>
              <w:rPr>
                <w:rFonts w:hint="eastAsia" w:ascii="宋体" w:hAnsi="宋体" w:cs="宋体"/>
              </w:rPr>
              <w:t xml:space="preserve">功能要求</w:t>
            </w:r>
            <w:bookmarkEnd w:id="130"/>
            <w:r/>
            <w:bookmarkEnd w:id="131"/>
            <w:r>
              <w:rPr>
                <w:rFonts w:hint="eastAsia" w:ascii="宋体" w:hAnsi="宋体" w:cs="宋体"/>
              </w:rPr>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其他接口</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PS/2 接口等</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输入充电</w:t>
            </w:r>
            <w:r/>
          </w:p>
          <w:p>
            <w:pPr>
              <w:pStyle w:val="740"/>
              <w:rPr>
                <w:rFonts w:hint="eastAsia" w:ascii="宋体" w:hAnsi="宋体" w:cs="宋体"/>
              </w:rPr>
            </w:pPr>
            <w:r>
              <w:rPr>
                <w:rFonts w:hint="eastAsia" w:ascii="宋体" w:hAnsi="宋体" w:cs="宋体"/>
              </w:rPr>
              <w:t xml:space="preserve">接口类型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Type-C接口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存储卡接口类型</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支持SD、TF等存储卡接口</w:t>
            </w:r>
            <w:r/>
          </w:p>
        </w:tc>
      </w:tr>
      <w:tr>
        <w:trPr>
          <w:cantSplit/>
          <w:trHeight w:val="675"/>
        </w:trPr>
        <w:tc>
          <w:tcPr>
            <w:tcBorders>
              <w:left w:val="single" w:color="000000" w:sz="8" w:space="0"/>
              <w:right w:val="single" w:color="000000" w:sz="8" w:space="0"/>
            </w:tcBorders>
            <w:tcW w:w="845" w:type="dxa"/>
            <w:vAlign w:val="center"/>
            <w:vMerge w:val="restart"/>
            <w:textDirection w:val="lrTb"/>
            <w:noWrap w:val="false"/>
          </w:tcPr>
          <w:p>
            <w:pPr>
              <w:pStyle w:val="740"/>
              <w:jc w:val="right"/>
              <w:rPr>
                <w:rFonts w:hint="eastAsia" w:ascii="宋体" w:hAnsi="宋体" w:cs="宋体"/>
              </w:rPr>
            </w:pPr>
            <w:r>
              <w:rPr>
                <w:rFonts w:hint="eastAsia" w:ascii="宋体" w:hAnsi="宋体" w:cs="宋体"/>
              </w:rPr>
              <w:t xml:space="preserve">132</w:t>
            </w:r>
            <w:r/>
          </w:p>
        </w:tc>
        <w:tc>
          <w:tcPr>
            <w:tcBorders>
              <w:right w:val="single" w:color="000000" w:sz="8" w:space="0"/>
            </w:tcBorders>
            <w:tcW w:w="701"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top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ascii="宋体" w:hAnsi="宋体" w:cs="宋体"/>
              </w:rPr>
              <w:t xml:space="preserve">电源</w:t>
            </w:r>
            <w:r>
              <w:rPr>
                <w:rFonts w:hint="eastAsia" w:ascii="宋体" w:hAnsi="宋体" w:cs="宋体"/>
              </w:rPr>
              <w:t xml:space="preserve">功能</w:t>
            </w:r>
            <w:r/>
          </w:p>
        </w:tc>
        <w:tc>
          <w:tcPr>
            <w:tcBorders>
              <w:top w:val="single" w:color="000000" w:sz="8"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电池快充</w:t>
            </w:r>
            <w:r/>
          </w:p>
        </w:tc>
        <w:tc>
          <w:tcPr>
            <w:tcBorders>
              <w:top w:val="single" w:color="000000" w:sz="8"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支持快速充电功能，USB PD</w:t>
            </w:r>
            <w:r/>
          </w:p>
        </w:tc>
      </w:tr>
      <w:tr>
        <w:trPr>
          <w:cantSplit/>
          <w:trHeight w:val="383"/>
        </w:trPr>
        <w:tc>
          <w:tcPr>
            <w:tcBorders>
              <w:left w:val="single" w:color="000000" w:sz="8" w:space="0"/>
              <w:bottom w:val="single" w:color="000000" w:sz="8" w:space="0"/>
              <w:right w:val="single" w:color="000000" w:sz="8" w:space="0"/>
            </w:tcBorders>
            <w:tcW w:w="845" w:type="dxa"/>
            <w:vAlign w:val="center"/>
            <w:vMerge w:val="continue"/>
            <w:textDirection w:val="lrTb"/>
            <w:noWrap w:val="false"/>
          </w:tcPr>
          <w:p>
            <w:pPr>
              <w:pStyle w:val="740"/>
              <w:jc w:val="right"/>
              <w:rPr>
                <w:rFonts w:hint="eastAsia" w:ascii="宋体" w:hAnsi="宋体" w:cs="宋体"/>
              </w:rPr>
            </w:pPr>
            <w:r>
              <w:rPr>
                <w:rFonts w:hint="eastAsia" w:ascii="宋体" w:hAnsi="宋体" w:cs="宋体"/>
              </w:rPr>
            </w:r>
            <w:r/>
          </w:p>
        </w:tc>
        <w:tc>
          <w:tcPr>
            <w:tcBorders>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top w:val="single" w:color="000000" w:sz="8" w:space="0"/>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ascii="宋体" w:hAnsi="宋体" w:cs="宋体"/>
              </w:rPr>
              <w:t xml:space="preserve">电源线适配能力</w:t>
            </w:r>
            <w:r>
              <w:rPr>
                <w:rFonts w:hint="eastAsia" w:ascii="宋体" w:hAnsi="宋体" w:cs="宋体"/>
              </w:rPr>
            </w:r>
            <w:r/>
          </w:p>
        </w:tc>
        <w:tc>
          <w:tcPr>
            <w:tcBorders>
              <w:top w:val="single" w:color="000000" w:sz="8"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符合 GB 15934-2008</w:t>
            </w:r>
            <w:r>
              <w:rPr>
                <w:rFonts w:hint="eastAsia" w:ascii="宋体" w:hAnsi="宋体" w:cs="宋体"/>
              </w:rPr>
              <w:t xml:space="preserve">，</w:t>
            </w:r>
            <w:r>
              <w:rPr>
                <w:rFonts w:ascii="宋体" w:hAnsi="宋体" w:cs="宋体"/>
              </w:rPr>
              <w:t xml:space="preserve">对于可插线插头</w:t>
            </w:r>
            <w:r>
              <w:rPr>
                <w:rFonts w:hint="eastAsia" w:ascii="宋体" w:hAnsi="宋体" w:cs="宋体"/>
              </w:rPr>
              <w:t xml:space="preserve">GB15934不做要求</w:t>
            </w:r>
            <w:r/>
          </w:p>
        </w:tc>
      </w:tr>
      <w:tr>
        <w:trPr>
          <w:cantSplit/>
          <w:trHeight w:val="383"/>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133</w:t>
            </w:r>
            <w:r/>
          </w:p>
        </w:tc>
        <w:tc>
          <w:tcPr>
            <w:tcBorders>
              <w:bottom w:val="single" w:color="000000" w:sz="8" w:space="0"/>
              <w:right w:val="single" w:color="000000" w:sz="8" w:space="0"/>
            </w:tcBorders>
            <w:tcW w:w="701"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等线" w:hAnsi="等线"/>
                <w:sz w:val="24"/>
              </w:rPr>
              <w:t xml:space="preserve">▲</w:t>
            </w:r>
            <w:r>
              <w:rPr>
                <w:rFonts w:ascii="宋体" w:hAnsi="宋体" w:cs="宋体"/>
              </w:rPr>
              <w:t xml:space="preserve">满载待机性能</w:t>
            </w:r>
            <w:r>
              <w:rPr>
                <w:rFonts w:hint="eastAsia" w:ascii="宋体" w:hAnsi="宋体" w:cs="宋体"/>
              </w:rPr>
              <w:t xml:space="preserve">(LTP)</w:t>
            </w:r>
            <w:r/>
          </w:p>
        </w:tc>
        <w:tc>
          <w:tcPr>
            <w:tcBorders>
              <w:top w:val="single" w:color="000000" w:sz="8" w:space="0"/>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续航时间</w:t>
            </w:r>
            <w:r>
              <w:rPr>
                <w:rFonts w:hint="eastAsia" w:ascii="宋体" w:hAnsi="宋体" w:cs="宋体"/>
              </w:rPr>
              <w:t xml:space="preserve">≥6小时</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操作系统及软件功能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中文信息处理要求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符合GB18030的相关规定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操作系统备份及还原功能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支持操作系统备份及还原功能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固件备份还原能力</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支持备份及还原固件的功能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操作系统及驱动升级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支持通过网络、闪存盘等方式对操作系统、驱动进行升级</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固件升级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支持通过网络、闪存盘等方式</w:t>
            </w:r>
            <w:r>
              <w:rPr>
                <w:rFonts w:hint="eastAsia" w:ascii="宋体" w:hAnsi="宋体" w:cs="宋体"/>
              </w:rPr>
              <w:t xml:space="preserve">对固件进行升级</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139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BIOS支持关闭通讯接口</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支持BIOS关闭以太网及USB接口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固件查看信息</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支持查看固件版本、内存信息、主板信息、处理器信息和系统时间信息等功能</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固件设置启动顺序</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支持设置启动顺序功能，并按照设置的启动顺序启动</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固件设置口令</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支持设置口令、修改口令、验证口令功能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固件设置网络引导</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支持网络引导启动和关闭功能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生物识别功能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指纹识别</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指纹识别功能符合GB/T37742的相关规定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人脸识别</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人脸识别功能符合GB/T37036.3的相关规定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静脉识别</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指静脉识别功能符合GB/T33135的相关规定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硬件加速功能</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NPU/GPU等AI加速模块</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支持NPU/GPU等AI加速模块</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视频编解码加速模块</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支持视频编解码加速模块</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149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功能要求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影像处理加速模块</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支持影像处理加速模块</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存储设备可靠性</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固态存储寿命</w:t>
            </w:r>
            <w:r/>
          </w:p>
        </w:tc>
        <w:tc>
          <w:tcPr>
            <w:tcBorders>
              <w:bottom w:val="single" w:color="000000" w:sz="8" w:space="0"/>
              <w:right w:val="single" w:color="000000" w:sz="8" w:space="0"/>
            </w:tcBorders>
            <w:tcW w:w="5423" w:type="dxa"/>
            <w:vAlign w:val="center"/>
            <w:textDirection w:val="lrTb"/>
            <w:noWrap w:val="false"/>
          </w:tcPr>
          <w:p>
            <w:pPr>
              <w:pStyle w:val="740"/>
              <w:ind w:right="720"/>
              <w:rPr>
                <w:rFonts w:hint="eastAsia" w:ascii="宋体" w:hAnsi="宋体" w:cs="宋体"/>
              </w:rPr>
            </w:pPr>
            <w:r>
              <w:rPr>
                <w:rFonts w:hint="eastAsia" w:ascii="宋体" w:hAnsi="宋体" w:cs="宋体"/>
              </w:rPr>
              <w:t xml:space="preserve">TBW≥160TB(1T)</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机械硬</w:t>
            </w:r>
            <w:r>
              <w:rPr>
                <w:rFonts w:hint="eastAsia" w:ascii="宋体" w:hAnsi="宋体" w:cs="宋体"/>
              </w:rPr>
              <w:t xml:space="preserve">盘寿命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显示设备可靠性</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显示屏屏幕失效点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符合GB/T9813.2的要求</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外设可靠性</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键盘按键寿命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≥1000万次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鼠标按键寿命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≥500万次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键盘鼠标线材寿命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键盘鼠标所用线材经±60°弯折不低于3000次，功能、外观完好</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风扇寿命</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≥4万小时</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整机可靠性要求</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电磁兼容性要求的抗扰度</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符合GB/T9254.2的规定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环境条件要求的气候环境适应性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符合GB/T9813.2中规定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159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环境条件要求的振动适应性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符合GB/T9813.2中规定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环境条件要求的冲击适应性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符合GB/T9813.2中规定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环境条件要求的碰撞适应性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符合GB/T9813.2中规定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环境条件要求的运输包装件跌落适应性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符合GB/T9813.2中规定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可靠性要求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*MTBF测试</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MTBF(m1)≥100万小时</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常用软件兼容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支持流式软件、版式软件</w:t>
            </w:r>
            <w:r>
              <w:rPr>
                <w:rFonts w:hint="eastAsia" w:ascii="宋体" w:hAnsi="宋体" w:cs="宋体"/>
              </w:rPr>
              <w:t xml:space="preserve">、浏览器、邮件采购人端、解压软件、多媒体、图形图像处理等常用软件</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数据库兼容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兼容3个及以上厂商的数据库产品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中间件兼容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兼容3个及以上厂商中间件产品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兼容要求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平台软件兼容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兼容3个及以上厂商云计算及大数据平台</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包装及运输要求</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包装及运输要求</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标志、包装、运输和贮存</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符合GB/T9813.2和商品包装政府采购需求标准的相关规定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169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服务要求</w:t>
            </w:r>
            <w:r/>
          </w:p>
          <w:p>
            <w:pPr>
              <w:pStyle w:val="740"/>
              <w:rPr>
                <w:rFonts w:hint="eastAsia" w:ascii="宋体" w:hAnsi="宋体" w:cs="宋体"/>
              </w:rPr>
            </w:pPr>
            <w:r>
              <w:rPr>
                <w:rFonts w:ascii="宋体" w:hAnsi="宋体"/>
              </w:rPr>
              <w:t xml:space="preserve">　</w:t>
            </w: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配置检查工具</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供应商提供自检测试工具</w:t>
            </w:r>
            <w:r/>
          </w:p>
        </w:tc>
      </w:tr>
      <w:tr>
        <w:trPr>
          <w:cantSplit/>
          <w:trHeight w:val="2277"/>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*服务响应</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项目全面验收合格之日起，免费质保3年,（含原厂质保，有特殊要求的按实际要求）。供应商须提供24小时维保热线，24*365天随时接受采购人的服务请求；接到采购人服务请求后，30分钟电话响应，4小时内赶到故障现场进行维护修理。其中电脑原厂7x24小时400/800电话免费支持，工作日现场上门服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*服务周期</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ascii="宋体" w:hAnsi="宋体" w:cs="宋体"/>
              </w:rPr>
              <w:t xml:space="preserve">支持产品延保≥3 年</w:t>
            </w:r>
            <w:r>
              <w:rPr>
                <w:rFonts w:hint="eastAsia" w:ascii="宋体" w:hAnsi="宋体" w:cs="宋体"/>
              </w:rPr>
            </w:r>
            <w:r/>
          </w:p>
          <w:p>
            <w:pPr>
              <w:pStyle w:val="740"/>
              <w:rPr>
                <w:rFonts w:hint="eastAsia" w:ascii="宋体" w:hAnsi="宋体" w:cs="宋体"/>
              </w:rPr>
            </w:pPr>
            <w:r>
              <w:rPr>
                <w:rFonts w:ascii="宋体" w:hAnsi="宋体" w:cs="宋体"/>
              </w:rPr>
              <w:t xml:space="preserve">提供每年延保服务报价</w:t>
            </w:r>
            <w:r>
              <w:rPr>
                <w:rFonts w:hint="eastAsia" w:ascii="宋体" w:hAnsi="宋体" w:cs="宋体"/>
              </w:rPr>
            </w:r>
            <w:r/>
          </w:p>
          <w:p>
            <w:pPr>
              <w:pStyle w:val="740"/>
              <w:rPr>
                <w:rFonts w:hint="eastAsia" w:ascii="宋体" w:hAnsi="宋体" w:cs="宋体"/>
              </w:rPr>
            </w:pPr>
            <w:r>
              <w:rPr>
                <w:rFonts w:ascii="宋体" w:hAnsi="宋体" w:cs="宋体"/>
              </w:rPr>
              <w:t xml:space="preserve">提供备件服务能力≥6 年（自购买之日起）</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*预装操作系统</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预装正版中文专业版操作系统</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*培训服务</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w:t>
            </w:r>
            <w:r>
              <w:rPr>
                <w:rFonts w:hint="eastAsia" w:ascii="宋体" w:hAnsi="宋体" w:cs="宋体"/>
              </w:rPr>
              <w:t xml:space="preserve">商提供培训材料、产品手册、培训视频等培训相关内容</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*典型问题解决手册</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供应商提供典型问题解决说明文档或视频</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*厂家升级软件与扩容服务</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供应商提供上门升级部件/软件与扩容的增值服务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*整机质量服务要求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整机提供3年免费原厂质保，3年免费上门服务</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*合格证书要求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供应商提供产品合格证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开箱组装/使用指导要求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供应商提供开箱组装/使用指导</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179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驱动下载服务要求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供应商提供驱动光盘或下载方式</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兼容适配软件下载服务要求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供应商提供兼容适配软件下载渠道（光盘、网站）</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服务要求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rPr>
            </w:pPr>
            <w:r>
              <w:rPr>
                <w:rFonts w:hint="eastAsia" w:ascii="宋体" w:hAnsi="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跨架构平台应用兼容</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供应商提供跨架构平台的应用兼容工具，支持一种或者一种以上不同架构平台的应用</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182</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供应保障要求</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供应链合规性</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*产品部件保障</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保障产品主要部件，应提供 6 年的备件服务能力（自购买之日起），或提供可兼容原设备的升级换代产品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183</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供应保障要求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rPr>
                <w:rFonts w:hint="eastAsia" w:ascii="宋体" w:hAnsi="宋体" w:cs="宋体"/>
              </w:rPr>
            </w:pPr>
            <w:r>
              <w:rPr>
                <w:rFonts w:hint="eastAsia" w:ascii="宋体" w:hAnsi="宋体" w:cs="宋体"/>
              </w:rPr>
              <w:t xml:space="preserve">供应链质量</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抗干扰性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当产品部件出现供应风险时，供应商应通知采购人并提供风险应对方案确保产品的服务保障</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184</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供应保</w:t>
            </w:r>
            <w:r>
              <w:rPr>
                <w:rFonts w:hint="eastAsia" w:ascii="宋体" w:hAnsi="宋体" w:cs="宋体"/>
              </w:rPr>
              <w:t xml:space="preserve">障要求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*供应能力证明</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中标后供应商提供供应链稳定承诺书，确保产品的部件在产品服务周期内稳定供货</w:t>
            </w:r>
            <w:r/>
          </w:p>
        </w:tc>
      </w:tr>
      <w:tr>
        <w:trPr>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185</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bottom w:val="single" w:color="000000" w:sz="8" w:space="0"/>
              <w:right w:val="single" w:color="000000" w:sz="8" w:space="0"/>
            </w:tcBorders>
            <w:tcW w:w="844" w:type="dxa"/>
            <w:vAlign w:val="center"/>
            <w:textDirection w:val="lrTb"/>
            <w:noWrap w:val="false"/>
          </w:tcPr>
          <w:p>
            <w:pPr>
              <w:pStyle w:val="740"/>
              <w:rPr>
                <w:rFonts w:hint="eastAsia" w:ascii="宋体" w:hAnsi="宋体" w:cs="宋体"/>
              </w:rPr>
            </w:pPr>
            <w:r>
              <w:rPr>
                <w:rFonts w:hint="eastAsia" w:ascii="宋体" w:hAnsi="宋体" w:cs="宋体"/>
              </w:rPr>
              <w:t xml:space="preserve">关键部件安全要求</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*关键部件安全要求3</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w:t>
            </w:r>
            <w:r>
              <w:rPr>
                <w:rFonts w:hint="eastAsia" w:ascii="宋体" w:hAnsi="宋体" w:cs="宋体"/>
              </w:rPr>
              <w:t xml:space="preserve">相关规定</w:t>
            </w:r>
            <w:r>
              <w:rPr>
                <w:rFonts w:hint="eastAsia" w:ascii="宋体" w:hAnsi="宋体" w:cs="宋体"/>
              </w:rPr>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186</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restart"/>
            <w:textDirection w:val="lrTb"/>
            <w:noWrap w:val="false"/>
          </w:tcPr>
          <w:p>
            <w:pPr>
              <w:pStyle w:val="740"/>
              <w:jc w:val="center"/>
              <w:rPr>
                <w:rFonts w:hint="eastAsia" w:ascii="宋体" w:hAnsi="宋体" w:cs="宋体"/>
              </w:rPr>
            </w:pPr>
            <w:r>
              <w:rPr>
                <w:rFonts w:hint="eastAsia" w:ascii="宋体" w:hAnsi="宋体" w:cs="宋体"/>
              </w:rPr>
              <w:t xml:space="preserve">整机安全性要求</w:t>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*密码算法实现</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CPU芯片应符合GM/T0008的相关规定，或芯片密码模块应符合GB/T37092或GM/T0028的相关规定</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187</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USB端口管控</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支持USB端口管控</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188</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安全物理锁</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支持安全物理锁</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189</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*信息安全基本要求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a)产品应符合GB/T39276的5.2的规定；</w:t>
            </w:r>
            <w:r/>
          </w:p>
          <w:p>
            <w:pPr>
              <w:pStyle w:val="740"/>
              <w:rPr>
                <w:rFonts w:hint="eastAsia" w:ascii="宋体" w:hAnsi="宋体" w:cs="宋体"/>
              </w:rPr>
            </w:pPr>
            <w:r>
              <w:rPr>
                <w:rFonts w:hint="eastAsia" w:ascii="宋体" w:hAnsi="宋体" w:cs="宋体"/>
              </w:rPr>
              <w:t xml:space="preserve">b)生产厂商应建立漏洞跟踪表，保证产品版本涉及到的漏洞(如驱动程序等)可查看；</w:t>
            </w:r>
            <w:r/>
          </w:p>
          <w:p>
            <w:pPr>
              <w:pStyle w:val="740"/>
              <w:rPr>
                <w:rFonts w:hint="eastAsia" w:ascii="宋体" w:hAnsi="宋体" w:cs="宋体"/>
              </w:rPr>
            </w:pPr>
            <w:r>
              <w:rPr>
                <w:rFonts w:hint="eastAsia" w:ascii="宋体" w:hAnsi="宋体" w:cs="宋体"/>
              </w:rPr>
              <w:t xml:space="preserve">c)产品不得包含已知的恶意代码或漏洞，不存在未声明的指令、功能、接口</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190</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*固件安全启动</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支持固件安全启动功能，固件启动过程中只有通过启动校验才能正常启动</w:t>
            </w:r>
            <w:r/>
          </w:p>
        </w:tc>
      </w:tr>
      <w:tr>
        <w:trPr>
          <w:cantSplit/>
          <w:trHeight w:val="20"/>
        </w:trPr>
        <w:tc>
          <w:tcPr>
            <w:tcBorders>
              <w:left w:val="single" w:color="000000" w:sz="8" w:space="0"/>
              <w:bottom w:val="single" w:color="000000" w:sz="8" w:space="0"/>
              <w:right w:val="single" w:color="000000" w:sz="8" w:space="0"/>
            </w:tcBorders>
            <w:tcW w:w="845" w:type="dxa"/>
            <w:vAlign w:val="center"/>
            <w:textDirection w:val="lrTb"/>
            <w:noWrap w:val="false"/>
          </w:tcPr>
          <w:p>
            <w:pPr>
              <w:pStyle w:val="740"/>
              <w:jc w:val="right"/>
              <w:rPr>
                <w:rFonts w:hint="eastAsia" w:ascii="宋体" w:hAnsi="宋体" w:cs="宋体"/>
              </w:rPr>
            </w:pPr>
            <w:r>
              <w:rPr>
                <w:rFonts w:hint="eastAsia" w:ascii="宋体" w:hAnsi="宋体" w:cs="宋体"/>
              </w:rPr>
              <w:t xml:space="preserve">191</w:t>
            </w:r>
            <w:r/>
          </w:p>
        </w:tc>
        <w:tc>
          <w:tcPr>
            <w:tcBorders>
              <w:bottom w:val="single" w:color="000000" w:sz="8" w:space="0"/>
              <w:right w:val="single" w:color="000000" w:sz="8" w:space="0"/>
            </w:tcBorders>
            <w:tcW w:w="701" w:type="dxa"/>
            <w:vAlign w:val="center"/>
            <w:textDirection w:val="lrTb"/>
            <w:noWrap w:val="false"/>
          </w:tcPr>
          <w:p>
            <w:pPr>
              <w:pStyle w:val="740"/>
              <w:rPr>
                <w:rFonts w:hint="eastAsia" w:ascii="宋体" w:hAnsi="宋体" w:cs="宋体"/>
              </w:rPr>
            </w:pPr>
            <w:r>
              <w:rPr>
                <w:rFonts w:hint="eastAsia" w:ascii="宋体" w:hAnsi="宋体" w:cs="宋体"/>
              </w:rPr>
              <w:t xml:space="preserve">安全要求</w:t>
            </w:r>
            <w:r/>
          </w:p>
        </w:tc>
        <w:tc>
          <w:tcPr>
            <w:tcBorders>
              <w:left w:val="single" w:color="000000" w:sz="8" w:space="0"/>
              <w:bottom w:val="single" w:color="000000" w:sz="8" w:space="0"/>
              <w:right w:val="single" w:color="000000" w:sz="8" w:space="0"/>
            </w:tcBorders>
            <w:tcW w:w="844" w:type="dxa"/>
            <w:vAlign w:val="center"/>
            <w:vMerge w:val="continue"/>
            <w:textDirection w:val="lrTb"/>
            <w:noWrap w:val="false"/>
          </w:tcPr>
          <w:p>
            <w:pPr>
              <w:pStyle w:val="740"/>
              <w:rPr>
                <w:rFonts w:hint="eastAsia" w:ascii="宋体" w:hAnsi="宋体" w:cs="宋体"/>
              </w:rPr>
            </w:pPr>
            <w:r>
              <w:rPr>
                <w:rFonts w:hint="eastAsia" w:ascii="宋体" w:hAnsi="宋体" w:cs="宋体"/>
              </w:rPr>
            </w:r>
            <w:r/>
          </w:p>
        </w:tc>
        <w:tc>
          <w:tcPr>
            <w:tcBorders>
              <w:bottom w:val="single" w:color="000000" w:sz="8" w:space="0"/>
              <w:right w:val="single" w:color="000000" w:sz="8" w:space="0"/>
            </w:tcBorders>
            <w:tcW w:w="1519" w:type="dxa"/>
            <w:vAlign w:val="center"/>
            <w:textDirection w:val="lrTb"/>
            <w:noWrap w:val="false"/>
          </w:tcPr>
          <w:p>
            <w:pPr>
              <w:pStyle w:val="740"/>
              <w:rPr>
                <w:rFonts w:hint="eastAsia" w:ascii="宋体" w:hAnsi="宋体" w:cs="宋体"/>
              </w:rPr>
            </w:pPr>
            <w:r>
              <w:rPr>
                <w:rFonts w:hint="eastAsia" w:ascii="宋体" w:hAnsi="宋体" w:cs="宋体"/>
              </w:rPr>
              <w:t xml:space="preserve">*限用物质的限量要求</w:t>
            </w:r>
            <w:r/>
          </w:p>
        </w:tc>
        <w:tc>
          <w:tcPr>
            <w:tcBorders>
              <w:bottom w:val="single" w:color="000000" w:sz="8" w:space="0"/>
              <w:right w:val="single" w:color="000000" w:sz="8" w:space="0"/>
            </w:tcBorders>
            <w:tcW w:w="5423" w:type="dxa"/>
            <w:vAlign w:val="center"/>
            <w:textDirection w:val="lrTb"/>
            <w:noWrap w:val="false"/>
          </w:tcPr>
          <w:p>
            <w:pPr>
              <w:pStyle w:val="740"/>
              <w:rPr>
                <w:rFonts w:hint="eastAsia" w:ascii="宋体" w:hAnsi="宋体" w:cs="宋体"/>
              </w:rPr>
            </w:pPr>
            <w:r>
              <w:rPr>
                <w:rFonts w:hint="eastAsia" w:ascii="宋体" w:hAnsi="宋体" w:cs="宋体"/>
              </w:rPr>
              <w:t xml:space="preserve">符合GB/T26572中规定</w:t>
            </w:r>
            <w:r/>
          </w:p>
        </w:tc>
      </w:tr>
    </w:tbl>
    <w:p>
      <w:pPr>
        <w:pStyle w:val="740"/>
      </w:pPr>
      <w:r/>
      <w:bookmarkEnd w:id="102"/>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★上述参数要求中所有打“*”的为实质性条款。</w:t>
      </w:r>
      <w:r/>
    </w:p>
    <w:p>
      <w:pPr>
        <w:pStyle w:val="740"/>
        <w:ind w:firstLine="480"/>
        <w:jc w:val="left"/>
        <w:spacing w:line="360" w:lineRule="auto"/>
        <w:rPr>
          <w:rFonts w:ascii="宋体" w:hAnsi="宋体" w:cs="宋体"/>
          <w:sz w:val="24"/>
          <w:szCs w:val="24"/>
        </w:rPr>
      </w:pPr>
      <w:r>
        <w:rPr>
          <w:rFonts w:hint="eastAsia" w:ascii="宋体" w:hAnsi="宋体" w:cs="宋体"/>
          <w:sz w:val="24"/>
          <w:szCs w:val="24"/>
        </w:rPr>
        <w:t xml:space="preserve">★注：1、本项目核心产品：台式电脑</w:t>
      </w:r>
      <w:r>
        <w:rPr>
          <w:rFonts w:ascii="宋体" w:hAnsi="宋体" w:cs="宋体"/>
          <w:sz w:val="24"/>
          <w:szCs w:val="24"/>
        </w:rPr>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核心产品评审说明：多家投标人提供的</w:t>
      </w:r>
      <w:r>
        <w:rPr>
          <w:rFonts w:hint="eastAsia" w:ascii="宋体" w:hAnsi="宋体" w:cs="宋体"/>
          <w:sz w:val="24"/>
          <w:szCs w:val="24"/>
        </w:rPr>
        <w:t xml:space="preserve">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2、本次采购货物中的所有产品</w:t>
      </w:r>
      <w:r>
        <w:rPr>
          <w:rFonts w:hint="eastAsia" w:ascii="宋体" w:hAnsi="宋体" w:cs="宋体"/>
          <w:sz w:val="24"/>
          <w:szCs w:val="24"/>
        </w:rPr>
        <w:t xml:space="preserve">（主机及显示器）</w:t>
      </w:r>
      <w:r>
        <w:rPr>
          <w:rFonts w:hint="eastAsia" w:ascii="宋体" w:hAnsi="宋体" w:cs="宋体"/>
          <w:sz w:val="24"/>
          <w:szCs w:val="24"/>
        </w:rPr>
        <w:t xml:space="preserve">均是《节能产品政府采购品目清单》中规定的政府强制采购产品的，投标单位须在投标文件中提供产品有效期内的认证证书扫描件等相关证明材料。</w:t>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（二）产品要求与维保：</w:t>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                                         </w:t>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1）产品硬件配置必须按配置要求在原厂出厂时全部自带。所有设备外包装箱不得自行拆封，包装箱上。所有标签等不得涂改或撕毁，原厂原包装送货，不接受另外改装、购买服务等，以防止影响原厂商的售后服务，到货后所有配置按照招标要求逐一核对，确保功能齐全，否则采购单位有权拒绝验收。</w:t>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2）项目全面验收合格之日起，免费质保3年,（含原厂质保，有特殊要求的按实际要求）。供应商须提供24小时维保热线，24*365天随时接受采购人的服务请求；接到采购人服务请求后，30分钟电话响应，4小时内赶到故障现场进行维护修理。其中电脑原厂7x24小</w:t>
      </w:r>
      <w:r>
        <w:rPr>
          <w:rFonts w:hint="eastAsia" w:ascii="宋体" w:hAnsi="宋体" w:cs="宋体"/>
          <w:sz w:val="24"/>
          <w:szCs w:val="24"/>
        </w:rPr>
        <w:t xml:space="preserve">时400/800电话免费支持，工作日现场上门服务。</w:t>
      </w:r>
      <w:r/>
    </w:p>
    <w:p>
      <w:pPr>
        <w:pStyle w:val="740"/>
        <w:ind w:firstLine="480"/>
        <w:jc w:val="left"/>
        <w:spacing w:line="360" w:lineRule="auto"/>
        <w:rPr>
          <w:rFonts w:ascii="宋体" w:hAnsi="宋体" w:cs="宋体"/>
          <w:sz w:val="24"/>
          <w:szCs w:val="24"/>
        </w:rPr>
      </w:pPr>
      <w:r>
        <w:rPr>
          <w:rFonts w:ascii="宋体" w:hAnsi="宋体" w:cs="宋体"/>
          <w:sz w:val="24"/>
          <w:szCs w:val="24"/>
        </w:rPr>
      </w:r>
      <w:r/>
    </w:p>
    <w:p>
      <w:pPr>
        <w:pStyle w:val="740"/>
        <w:ind w:firstLine="480"/>
        <w:jc w:val="left"/>
        <w:spacing w:line="360" w:lineRule="auto"/>
        <w:rPr>
          <w:rFonts w:ascii="宋体" w:hAnsi="宋体" w:cs="宋体"/>
          <w:sz w:val="24"/>
          <w:szCs w:val="24"/>
        </w:rPr>
      </w:pPr>
      <w:r>
        <w:rPr>
          <w:rFonts w:hint="eastAsia" w:ascii="宋体" w:hAnsi="宋体" w:cs="宋体"/>
          <w:sz w:val="24"/>
          <w:szCs w:val="24"/>
        </w:rPr>
        <w:t xml:space="preserve">采购标的对应中小企业划分标准所属行业：制造业</w:t>
      </w:r>
      <w:r>
        <w:rPr>
          <w:rFonts w:ascii="宋体" w:hAnsi="宋体" w:cs="宋体"/>
          <w:sz w:val="24"/>
          <w:szCs w:val="24"/>
        </w:rPr>
      </w:r>
      <w:r/>
    </w:p>
    <w:p>
      <w:pPr>
        <w:pStyle w:val="740"/>
        <w:ind w:firstLine="480"/>
        <w:jc w:val="left"/>
        <w:spacing w:line="360" w:lineRule="auto"/>
        <w:rPr>
          <w:rFonts w:ascii="宋体" w:hAnsi="宋体" w:cs="宋体"/>
          <w:sz w:val="24"/>
          <w:szCs w:val="24"/>
        </w:rPr>
      </w:pPr>
      <w:r>
        <w:rPr>
          <w:rFonts w:ascii="宋体" w:hAnsi="宋体" w:cs="宋体"/>
          <w:sz w:val="24"/>
          <w:szCs w:val="24"/>
        </w:rPr>
      </w:r>
      <w:r/>
    </w:p>
    <w:p>
      <w:pPr>
        <w:pStyle w:val="740"/>
        <w:ind w:firstLine="480"/>
        <w:jc w:val="left"/>
        <w:spacing w:line="360" w:lineRule="auto"/>
        <w:rPr>
          <w:rFonts w:ascii="宋体" w:hAnsi="宋体" w:cs="宋体"/>
          <w:sz w:val="24"/>
          <w:szCs w:val="24"/>
        </w:rPr>
      </w:pPr>
      <w:r>
        <w:rPr>
          <w:rFonts w:ascii="宋体" w:hAnsi="宋体" w:cs="宋体"/>
          <w:sz w:val="24"/>
          <w:szCs w:val="24"/>
        </w:rPr>
      </w:r>
      <w:r/>
    </w:p>
    <w:p>
      <w:pPr>
        <w:pStyle w:val="740"/>
        <w:ind w:firstLine="480"/>
        <w:jc w:val="left"/>
        <w:spacing w:line="360" w:lineRule="auto"/>
        <w:rPr>
          <w:rFonts w:ascii="宋体" w:hAnsi="宋体" w:cs="宋体"/>
          <w:sz w:val="24"/>
          <w:szCs w:val="24"/>
        </w:rPr>
      </w:pPr>
      <w:r>
        <w:rPr>
          <w:rFonts w:ascii="宋体" w:hAnsi="宋体" w:cs="宋体"/>
          <w:sz w:val="24"/>
          <w:szCs w:val="24"/>
        </w:rPr>
      </w:r>
      <w:r/>
    </w:p>
    <w:p>
      <w:pPr>
        <w:pStyle w:val="740"/>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740"/>
        <w:rPr>
          <w:rFonts w:ascii="宋体" w:hAnsi="宋体" w:cs="宋体"/>
          <w:szCs w:val="21"/>
          <w:lang w:bidi="ar"/>
        </w:rPr>
      </w:pPr>
      <w:r>
        <w:rPr>
          <w:rFonts w:ascii="宋体" w:hAnsi="宋体" w:cs="宋体"/>
          <w:szCs w:val="21"/>
          <w:lang w:bidi="ar"/>
        </w:rPr>
      </w:r>
      <w:r/>
    </w:p>
    <w:p>
      <w:pPr>
        <w:pStyle w:val="740"/>
        <w:jc w:val="center"/>
        <w:keepNext/>
        <w:rPr>
          <w:rFonts w:hint="eastAsia" w:ascii="黑体" w:eastAsia="黑体"/>
          <w:bCs/>
          <w:sz w:val="44"/>
          <w:szCs w:val="28"/>
        </w:rPr>
        <w:outlineLvl w:val="0"/>
      </w:pPr>
      <w:r/>
      <w:bookmarkStart w:id="132" w:name="_Toc190700452"/>
      <w:r>
        <w:rPr>
          <w:rFonts w:hint="eastAsia" w:ascii="黑体" w:eastAsia="黑体"/>
          <w:bCs/>
          <w:sz w:val="44"/>
          <w:szCs w:val="28"/>
        </w:rPr>
        <w:t xml:space="preserve">第五章  </w:t>
      </w:r>
      <w:r>
        <w:rPr>
          <w:rFonts w:hint="eastAsia" w:ascii="黑体" w:eastAsia="黑体"/>
          <w:b/>
          <w:bCs/>
          <w:sz w:val="44"/>
          <w:szCs w:val="28"/>
        </w:rPr>
        <w:t xml:space="preserve">评标方法与评标标准</w:t>
      </w:r>
      <w:bookmarkEnd w:id="132"/>
      <w:r>
        <w:rPr>
          <w:rFonts w:hint="eastAsia" w:ascii="黑体" w:eastAsia="黑体"/>
          <w:bCs/>
          <w:sz w:val="44"/>
          <w:szCs w:val="28"/>
        </w:rPr>
      </w:r>
      <w:r/>
    </w:p>
    <w:p>
      <w:pPr>
        <w:pStyle w:val="740"/>
        <w:rPr>
          <w:rFonts w:hint="eastAsia"/>
          <w:szCs w:val="21"/>
        </w:rPr>
      </w:pPr>
      <w:r>
        <w:rPr>
          <w:rFonts w:hint="eastAsia"/>
          <w:szCs w:val="21"/>
        </w:rPr>
      </w:r>
      <w:r/>
    </w:p>
    <w:p>
      <w:pPr>
        <w:pStyle w:val="740"/>
        <w:ind w:firstLine="439"/>
        <w:jc w:val="left"/>
        <w:spacing w:before="120" w:after="120" w:line="360" w:lineRule="auto"/>
        <w:rPr>
          <w:rFonts w:hint="eastAsia" w:ascii="Arial" w:hAnsi="Arial" w:cs="Arial"/>
          <w:sz w:val="24"/>
          <w:szCs w:val="24"/>
        </w:rPr>
      </w:pPr>
      <w:r>
        <w:rPr>
          <w:rFonts w:ascii="Arial" w:hAnsi="Arial" w:cs="Arial"/>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rPr>
        <w:t xml:space="preserve">。本项目选取1名中标候选人。</w:t>
      </w:r>
      <w:r/>
    </w:p>
    <w:p>
      <w:pPr>
        <w:pStyle w:val="74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1、小微型企业价格扣除</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（1）本项目对小型和微型企业产品给予</w:t>
      </w:r>
      <w:r>
        <w:rPr>
          <w:rFonts w:ascii="宋体" w:hAnsi="宋体"/>
          <w:sz w:val="24"/>
          <w:szCs w:val="24"/>
        </w:rPr>
        <w:t xml:space="preserve">2</w:t>
      </w:r>
      <w:r>
        <w:rPr>
          <w:rFonts w:hint="eastAsia" w:ascii="宋体" w:hAnsi="宋体"/>
          <w:sz w:val="24"/>
          <w:szCs w:val="24"/>
        </w:rPr>
        <w:t xml:space="preserve">0%的扣除价格，用扣除后的价格参与评审。</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（2）供应商需按照采购文件的要求提供相应的《小微企业声明函》。</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2、残疾人福利单位价格扣除</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ascii="宋体" w:hAnsi="宋体"/>
          <w:sz w:val="24"/>
          <w:szCs w:val="24"/>
        </w:rPr>
        <w:t xml:space="preserve">2</w:t>
      </w:r>
      <w:r>
        <w:rPr>
          <w:rFonts w:hint="eastAsia" w:ascii="宋体" w:hAnsi="宋体"/>
          <w:sz w:val="24"/>
          <w:szCs w:val="24"/>
        </w:rPr>
        <w:t xml:space="preserve">0%的价格扣除，用扣除后的价格参与评审。</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3、监狱和戒毒企业价格扣除</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1）本项目对监狱和戒毒企业（简称监狱企业）视同小型、微型企业，给予</w:t>
      </w:r>
      <w:r>
        <w:rPr>
          <w:rFonts w:ascii="宋体" w:hAnsi="宋体"/>
          <w:sz w:val="24"/>
          <w:szCs w:val="24"/>
        </w:rPr>
        <w:t xml:space="preserve">2</w:t>
      </w:r>
      <w:r>
        <w:rPr>
          <w:rFonts w:hint="eastAsia" w:ascii="宋体" w:hAnsi="宋体"/>
          <w:sz w:val="24"/>
          <w:szCs w:val="24"/>
        </w:rPr>
        <w:t xml:space="preserve">0%的价格扣除，用扣除后的价格参与评审。</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pStyle w:val="740"/>
        <w:ind w:firstLine="439"/>
        <w:jc w:val="left"/>
        <w:spacing w:before="120" w:after="120" w:line="360" w:lineRule="auto"/>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740"/>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p>
      <w:pPr>
        <w:pStyle w:val="740"/>
        <w:ind w:firstLine="480"/>
        <w:jc w:val="left"/>
        <w:spacing w:before="120" w:after="120" w:line="0" w:lineRule="atLeast"/>
        <w:rPr>
          <w:rFonts w:hint="eastAsia" w:ascii="Arial" w:hAnsi="Arial"/>
          <w:sz w:val="24"/>
          <w:szCs w:val="24"/>
        </w:rPr>
      </w:pPr>
      <w:r>
        <w:rPr>
          <w:rFonts w:hint="eastAsia" w:ascii="Arial" w:hAnsi="Arial"/>
          <w:sz w:val="24"/>
          <w:szCs w:val="24"/>
        </w:rPr>
        <w:t xml:space="preserve">各标段总分值均为100分，评审因素及各比重如下：价格分值占总分值的比重为50%（权重），技术与方案及其它占50%（权重）。</w:t>
      </w:r>
      <w:r/>
    </w:p>
    <w:p>
      <w:pPr>
        <w:pStyle w:val="740"/>
        <w:ind w:firstLine="480"/>
        <w:jc w:val="left"/>
        <w:spacing w:before="120" w:after="120" w:line="360" w:lineRule="auto"/>
        <w:rPr>
          <w:rFonts w:hint="eastAsia" w:ascii="Arial" w:hAnsi="Arial"/>
          <w:sz w:val="24"/>
          <w:szCs w:val="24"/>
        </w:rPr>
      </w:pPr>
      <w:r>
        <w:rPr>
          <w:rFonts w:hint="eastAsia" w:ascii="Arial" w:hAnsi="Arial"/>
          <w:sz w:val="24"/>
          <w:szCs w:val="24"/>
        </w:rPr>
        <w:t xml:space="preserve">（一）价格分（</w:t>
      </w:r>
      <w:r>
        <w:rPr>
          <w:rFonts w:ascii="Arial" w:hAnsi="Arial"/>
          <w:sz w:val="24"/>
          <w:szCs w:val="24"/>
        </w:rPr>
        <w:t xml:space="preserve">50</w:t>
      </w:r>
      <w:r>
        <w:rPr>
          <w:rFonts w:hint="eastAsia" w:ascii="Arial" w:hAnsi="Arial"/>
          <w:sz w:val="24"/>
          <w:szCs w:val="24"/>
        </w:rPr>
        <w:t xml:space="preserve">分）</w:t>
      </w:r>
      <w:r/>
    </w:p>
    <w:p>
      <w:pPr>
        <w:pStyle w:val="740"/>
        <w:ind w:firstLine="480"/>
        <w:jc w:val="left"/>
        <w:spacing w:before="120" w:after="120" w:line="360" w:lineRule="auto"/>
        <w:rPr>
          <w:rFonts w:hint="eastAsia" w:ascii="Arial" w:hAnsi="Arial"/>
          <w:sz w:val="24"/>
          <w:szCs w:val="24"/>
        </w:rPr>
      </w:pPr>
      <w:r>
        <w:rPr>
          <w:rFonts w:hint="eastAsia" w:ascii="Arial" w:hAnsi="Arial"/>
          <w:sz w:val="24"/>
          <w:szCs w:val="24"/>
        </w:rPr>
        <w:t xml:space="preserve">1.投标总报价低于或等于财政预算价格的，为有效投标报价。超财政预算的投标报价为无效投标报价。无效投标报价的投标文件不进行评审，也不得中标。</w:t>
      </w:r>
      <w:r/>
    </w:p>
    <w:p>
      <w:pPr>
        <w:pStyle w:val="740"/>
        <w:ind w:firstLine="480"/>
        <w:jc w:val="left"/>
        <w:spacing w:before="120" w:after="120" w:line="360" w:lineRule="auto"/>
        <w:rPr>
          <w:rFonts w:hint="eastAsia" w:ascii="Arial" w:hAnsi="Arial"/>
          <w:sz w:val="24"/>
          <w:szCs w:val="24"/>
        </w:rPr>
      </w:pPr>
      <w:r>
        <w:rPr>
          <w:rFonts w:hint="eastAsia" w:ascii="Arial" w:hAnsi="Arial"/>
          <w:sz w:val="24"/>
          <w:szCs w:val="24"/>
        </w:rPr>
        <w:t xml:space="preserve">2.价格分采用低价优先法计算，即满足招标文件要求且投标价格最低的投标报价为评标基准价，其价格分为满分</w:t>
      </w:r>
      <w:r>
        <w:rPr>
          <w:rFonts w:ascii="Arial" w:hAnsi="Arial"/>
          <w:sz w:val="24"/>
          <w:szCs w:val="24"/>
        </w:rPr>
        <w:t xml:space="preserve">50</w:t>
      </w:r>
      <w:r>
        <w:rPr>
          <w:rFonts w:hint="eastAsia" w:ascii="Arial" w:hAnsi="Arial"/>
          <w:sz w:val="24"/>
          <w:szCs w:val="24"/>
        </w:rPr>
        <w:t xml:space="preserve">分。其他投标人的价格分按照下列公式计算（计算结果四舍五入保留两位小数）。</w:t>
      </w:r>
      <w:r/>
    </w:p>
    <w:p>
      <w:pPr>
        <w:pStyle w:val="740"/>
        <w:ind w:firstLine="480"/>
        <w:jc w:val="left"/>
        <w:spacing w:before="120" w:after="120" w:line="360" w:lineRule="auto"/>
        <w:rPr>
          <w:rFonts w:hint="eastAsia" w:ascii="Arial" w:hAnsi="Arial"/>
          <w:sz w:val="24"/>
          <w:szCs w:val="24"/>
        </w:rPr>
      </w:pPr>
      <w:r>
        <w:rPr>
          <w:rFonts w:hint="eastAsia" w:ascii="Arial" w:hAnsi="Arial"/>
          <w:sz w:val="24"/>
          <w:szCs w:val="24"/>
        </w:rPr>
        <w:t xml:space="preserve">投标报价得分=（评标基准价/投标报价）*价格权重*100，小数点后保留两位。</w:t>
      </w:r>
      <w:r/>
    </w:p>
    <w:p>
      <w:pPr>
        <w:pStyle w:val="740"/>
        <w:numPr>
          <w:ilvl w:val="0"/>
          <w:numId w:val="3"/>
        </w:numPr>
        <w:ind w:firstLine="480"/>
        <w:jc w:val="left"/>
        <w:spacing w:before="120" w:after="120" w:line="360" w:lineRule="auto"/>
        <w:rPr>
          <w:rFonts w:ascii="Arial" w:hAnsi="Arial"/>
          <w:sz w:val="24"/>
          <w:szCs w:val="24"/>
        </w:rPr>
      </w:pPr>
      <w:r>
        <w:rPr>
          <w:rFonts w:hint="eastAsia" w:ascii="Arial" w:hAnsi="Arial"/>
          <w:sz w:val="24"/>
          <w:szCs w:val="24"/>
        </w:rPr>
        <w:t xml:space="preserve">技术服务</w:t>
      </w:r>
      <w:r>
        <w:rPr>
          <w:rFonts w:hint="eastAsia" w:ascii="Arial" w:hAnsi="Arial"/>
          <w:sz w:val="24"/>
          <w:szCs w:val="24"/>
        </w:rPr>
        <w:t xml:space="preserve">部分（</w:t>
      </w:r>
      <w:r>
        <w:rPr>
          <w:rFonts w:ascii="Arial" w:hAnsi="Arial"/>
          <w:sz w:val="24"/>
          <w:szCs w:val="24"/>
        </w:rPr>
        <w:t xml:space="preserve">50</w:t>
      </w:r>
      <w:r>
        <w:rPr>
          <w:rFonts w:hint="eastAsia" w:ascii="Arial" w:hAnsi="Arial"/>
          <w:sz w:val="24"/>
          <w:szCs w:val="24"/>
        </w:rPr>
        <w:t xml:space="preserve">分）</w:t>
      </w:r>
      <w:r>
        <w:rPr>
          <w:rFonts w:ascii="Arial" w:hAnsi="Arial"/>
          <w:sz w:val="24"/>
          <w:szCs w:val="24"/>
        </w:rPr>
      </w:r>
      <w:r/>
    </w:p>
    <w:tbl>
      <w:tblPr>
        <w:tblW w:w="969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27"/>
        <w:gridCol w:w="6365"/>
        <w:gridCol w:w="765"/>
      </w:tblGrid>
      <w:tr>
        <w:trPr>
          <w:trHeight w:val="664"/>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序号</w:t>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评审因素</w:t>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评分标准</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分值</w:t>
            </w:r>
            <w:r/>
          </w:p>
        </w:tc>
      </w:tr>
      <w:tr>
        <w:trPr>
          <w:trHeight w:val="90"/>
        </w:trPr>
        <w:tc>
          <w:tcPr>
            <w:tcW w:w="734" w:type="dxa"/>
            <w:vAlign w:val="center"/>
            <w:textDirection w:val="lrTb"/>
            <w:noWrap w:val="false"/>
          </w:tcPr>
          <w:p>
            <w:pPr>
              <w:pStyle w:val="774"/>
              <w:rPr>
                <w:rFonts w:hint="eastAsia" w:ascii="宋体" w:hAnsi="宋体" w:eastAsia="宋体" w:cs="宋体"/>
              </w:rPr>
            </w:pPr>
            <w:r>
              <w:rPr>
                <w:rFonts w:ascii="宋体" w:hAnsi="宋体" w:eastAsia="宋体" w:cs="宋体"/>
              </w:rPr>
              <w:t xml:space="preserve">1</w:t>
            </w:r>
            <w:r>
              <w:rPr>
                <w:rFonts w:hint="eastAsia" w:ascii="宋体" w:hAnsi="宋体" w:eastAsia="宋体" w:cs="宋体"/>
              </w:rPr>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产品技术质量</w:t>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评标委员会根据各投标人在此次项目投入的设备涉及到的各项参数、性能等情况，审查其对本项目需求的满足度，技术要求按投标单位提供的技术响应偏离表进行评分，满分24分。带“▲”为</w:t>
            </w:r>
            <w:r>
              <w:rPr>
                <w:rFonts w:hint="eastAsia" w:ascii="宋体" w:hAnsi="宋体" w:eastAsia="宋体" w:cs="宋体"/>
              </w:rPr>
              <w:t xml:space="preserve">评审</w:t>
            </w:r>
            <w:r>
              <w:rPr>
                <w:rFonts w:hint="eastAsia" w:ascii="宋体" w:hAnsi="宋体" w:eastAsia="宋体" w:cs="宋体"/>
              </w:rPr>
              <w:t xml:space="preserve">指标，需要提供所投标产品的包括</w:t>
            </w:r>
            <w:r>
              <w:rPr>
                <w:rFonts w:hint="eastAsia" w:ascii="宋体" w:hAnsi="宋体" w:eastAsia="宋体" w:cs="宋体"/>
              </w:rPr>
              <w:fldChar w:fldCharType="begin"/>
            </w:r>
            <w:r>
              <w:rPr>
                <w:rFonts w:hint="eastAsia" w:ascii="宋体" w:hAnsi="宋体" w:eastAsia="宋体" w:cs="宋体"/>
              </w:rPr>
              <w:instrText xml:space="preserve"> = 1 \* GB3 </w:instrText>
            </w:r>
            <w:r>
              <w:rPr>
                <w:rFonts w:hint="eastAsia" w:ascii="宋体" w:hAnsi="宋体" w:eastAsia="宋体" w:cs="宋体"/>
              </w:rPr>
              <w:fldChar w:fldCharType="separate"/>
            </w:r>
            <w:r>
              <w:rPr>
                <w:rFonts w:hint="eastAsia" w:ascii="宋体" w:hAnsi="宋体" w:eastAsia="宋体" w:cs="宋体"/>
              </w:rPr>
              <w:t xml:space="preserve">①</w:t>
            </w:r>
            <w:r>
              <w:rPr>
                <w:rFonts w:hint="eastAsia" w:ascii="宋体" w:hAnsi="宋体" w:eastAsia="宋体" w:cs="宋体"/>
              </w:rPr>
              <w:fldChar w:fldCharType="end"/>
            </w:r>
            <w:r>
              <w:rPr>
                <w:rFonts w:hint="eastAsia" w:ascii="宋体" w:hAnsi="宋体" w:eastAsia="宋体" w:cs="宋体"/>
              </w:rPr>
              <w:t xml:space="preserve">制造商产品彩页</w:t>
            </w:r>
            <w:r>
              <w:rPr>
                <w:rFonts w:hint="eastAsia" w:ascii="宋体" w:hAnsi="宋体" w:eastAsia="宋体" w:cs="宋体"/>
              </w:rPr>
              <w:fldChar w:fldCharType="begin"/>
            </w:r>
            <w:r>
              <w:rPr>
                <w:rFonts w:hint="eastAsia" w:ascii="宋体" w:hAnsi="宋体" w:eastAsia="宋体" w:cs="宋体"/>
              </w:rPr>
              <w:instrText xml:space="preserve"> = 2 \* GB3 </w:instrText>
            </w:r>
            <w:r>
              <w:rPr>
                <w:rFonts w:hint="eastAsia" w:ascii="宋体" w:hAnsi="宋体" w:eastAsia="宋体" w:cs="宋体"/>
              </w:rPr>
              <w:fldChar w:fldCharType="separate"/>
            </w:r>
            <w:r>
              <w:rPr>
                <w:rFonts w:hint="eastAsia" w:ascii="宋体" w:hAnsi="宋体" w:eastAsia="宋体" w:cs="宋体"/>
              </w:rPr>
              <w:t xml:space="preserve">②</w:t>
            </w:r>
            <w:r>
              <w:rPr>
                <w:rFonts w:hint="eastAsia" w:ascii="宋体" w:hAnsi="宋体" w:eastAsia="宋体" w:cs="宋体"/>
              </w:rPr>
              <w:fldChar w:fldCharType="end"/>
            </w:r>
            <w:r>
              <w:rPr>
                <w:rFonts w:hint="eastAsia" w:ascii="宋体" w:hAnsi="宋体" w:eastAsia="宋体" w:cs="宋体"/>
              </w:rPr>
              <w:t xml:space="preserve">制造商产品官网截图,以上两点至少提供一项并加盖投标商公章供评委佐证，每一项不满足扣2分，扣完为止。</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24</w:t>
            </w:r>
            <w:r/>
          </w:p>
        </w:tc>
      </w:tr>
      <w:tr>
        <w:trPr>
          <w:trHeight w:val="841"/>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2</w:t>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三年硬盘维修不返还服务</w:t>
            </w:r>
            <w:r>
              <w:rPr>
                <w:rFonts w:hint="eastAsia" w:ascii="宋体" w:hAnsi="宋体" w:eastAsia="宋体" w:cs="宋体"/>
              </w:rPr>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为保障医院数据安全，台式电脑的制造厂商需提供三年硬盘维修不返还服务（免费）的得3分，（需提供承诺书，并加盖投标单位公章，未提供不得分。）</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3</w:t>
            </w:r>
            <w:r/>
          </w:p>
        </w:tc>
      </w:tr>
      <w:tr>
        <w:trPr>
          <w:trHeight w:val="841"/>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3</w:t>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类似业绩</w:t>
            </w:r>
            <w:r>
              <w:rPr>
                <w:rFonts w:hint="eastAsia" w:ascii="宋体" w:hAnsi="宋体" w:eastAsia="宋体" w:cs="宋体"/>
              </w:rPr>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2022年1月1日起至今（以合同签订之日起为准）响应单位具有类似本项目业绩的，每提供一个得1分，最高得3分。</w:t>
            </w:r>
            <w:r/>
          </w:p>
          <w:p>
            <w:pPr>
              <w:pStyle w:val="774"/>
              <w:rPr>
                <w:rFonts w:hint="eastAsia" w:ascii="宋体" w:hAnsi="宋体" w:eastAsia="宋体" w:cs="宋体"/>
              </w:rPr>
            </w:pPr>
            <w:r>
              <w:rPr>
                <w:rFonts w:hint="eastAsia" w:ascii="宋体" w:hAnsi="宋体" w:eastAsia="宋体" w:cs="宋体"/>
              </w:rPr>
              <w:t xml:space="preserve">（注：响应文件中需提供合同复印件、业绩任一期发票并加盖单位公章，不提供相关证明不得分。）</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3</w:t>
            </w:r>
            <w:r/>
          </w:p>
        </w:tc>
      </w:tr>
      <w:tr>
        <w:trPr>
          <w:trHeight w:val="841"/>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4</w:t>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产品延保</w:t>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在3年免费质保期的基础上，每增加一年得1分，本项最高2分。 (</w:t>
            </w:r>
            <w:r>
              <w:rPr>
                <w:rFonts w:hint="eastAsia"/>
              </w:rPr>
              <w:t xml:space="preserve"> </w:t>
            </w:r>
            <w:r>
              <w:rPr>
                <w:rFonts w:hint="eastAsia" w:ascii="宋体" w:hAnsi="宋体" w:eastAsia="宋体" w:cs="宋体"/>
              </w:rPr>
              <w:t xml:space="preserve">需提供承诺书，并加盖投标单位公章，未提供不得分。)</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2</w:t>
            </w:r>
            <w:r/>
          </w:p>
        </w:tc>
      </w:tr>
      <w:tr>
        <w:trPr>
          <w:trHeight w:val="559"/>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5</w:t>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项目实施方案</w:t>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投标人提供完善的项目服务方案，方案包括①项目实施方案（包括实施前准备、进度计划、实施流程、特殊工种保障措施、本项目技术人员保障措施、设备连接方案等）、②质量保障措施、③安全防护措施和内部管理，方案完整、符合本项目实际需求的，每项得2分，未提供不得分；每项内容里有一处内容不合理或不完整的得1分，出现二处及以上的此项不得分。本项最高分6分。注：以上内容“不合理”、“不完整”是指：存在不适用项目实际情况、套用其他无关内容、内容不完整、与本项目履约无关、逻辑存在漏洞以及不满足采购文件要求的其他情况。</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6</w:t>
            </w:r>
            <w:r/>
          </w:p>
        </w:tc>
      </w:tr>
      <w:tr>
        <w:trPr>
          <w:trHeight w:val="559"/>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售后服务及应急保障方案</w:t>
              <w:tab/>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投标人提供完善的售后服务及应急保障方案，方案包括①服务体系和服务内容、②售后质量保证范围、③故障解决及维修响应时间、④培训方案（培</w:t>
            </w:r>
            <w:r>
              <w:rPr>
                <w:rFonts w:hint="eastAsia" w:ascii="宋体" w:hAnsi="宋体" w:eastAsia="宋体" w:cs="宋体"/>
              </w:rPr>
              <w:t xml:space="preserve">训大纲、培训方法、时间安排等），方案完整、符合本项目实际需求的，每项得2分，未提供不得分；每项内容里有一处内容不合理或不完整的得1分，出现二处及以上的此项不得分。本项最高分8分。注：以上内容“不合理”、“不完整”是指：存在不适用项目实际情况、套用其他无关内容、内容不完整、与本项目履约无关、逻辑存在漏洞以及不满足采购文件要求的其他情况。</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8</w:t>
            </w:r>
            <w:r/>
          </w:p>
        </w:tc>
      </w:tr>
      <w:tr>
        <w:trPr>
          <w:trHeight w:val="559"/>
        </w:trPr>
        <w:tc>
          <w:tcPr>
            <w:tcW w:w="734" w:type="dxa"/>
            <w:vAlign w:val="center"/>
            <w:textDirection w:val="lrTb"/>
            <w:noWrap w:val="false"/>
          </w:tcPr>
          <w:p>
            <w:pPr>
              <w:pStyle w:val="774"/>
              <w:rPr>
                <w:rFonts w:hint="eastAsia" w:ascii="宋体" w:hAnsi="宋体" w:eastAsia="宋体" w:cs="宋体"/>
              </w:rPr>
            </w:pPr>
            <w:r>
              <w:rPr>
                <w:rFonts w:hint="eastAsia" w:ascii="宋体" w:hAnsi="宋体" w:eastAsia="宋体" w:cs="宋体"/>
              </w:rPr>
            </w:r>
            <w:r/>
          </w:p>
        </w:tc>
        <w:tc>
          <w:tcPr>
            <w:tcW w:w="1827"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售后服务</w:t>
            </w:r>
            <w:r/>
          </w:p>
        </w:tc>
        <w:tc>
          <w:tcPr>
            <w:tcW w:w="63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投标单位承诺提供当日下午4点前报修，承诺8小时内修复的得4分，下一自然日24点前修复的得2分（提供承诺函并加盖投标单位公章，未提供不得分。）</w:t>
            </w:r>
            <w:r/>
          </w:p>
        </w:tc>
        <w:tc>
          <w:tcPr>
            <w:tcW w:w="765" w:type="dxa"/>
            <w:vAlign w:val="center"/>
            <w:textDirection w:val="lrTb"/>
            <w:noWrap w:val="false"/>
          </w:tcPr>
          <w:p>
            <w:pPr>
              <w:pStyle w:val="774"/>
              <w:rPr>
                <w:rFonts w:hint="eastAsia" w:ascii="宋体" w:hAnsi="宋体" w:eastAsia="宋体" w:cs="宋体"/>
              </w:rPr>
            </w:pPr>
            <w:r>
              <w:rPr>
                <w:rFonts w:hint="eastAsia" w:ascii="宋体" w:hAnsi="宋体" w:eastAsia="宋体" w:cs="宋体"/>
              </w:rPr>
              <w:t xml:space="preserve">4</w:t>
            </w:r>
            <w:r/>
          </w:p>
        </w:tc>
      </w:tr>
    </w:tbl>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ascii="Arial" w:hAnsi="Arial"/>
          <w:sz w:val="24"/>
          <w:szCs w:val="24"/>
        </w:rPr>
      </w:pPr>
      <w:r>
        <w:rPr>
          <w:rFonts w:ascii="Arial" w:hAnsi="Arial"/>
          <w:sz w:val="24"/>
          <w:szCs w:val="24"/>
        </w:rPr>
      </w:r>
      <w:r/>
    </w:p>
    <w:p>
      <w:pPr>
        <w:pStyle w:val="740"/>
        <w:jc w:val="left"/>
        <w:spacing w:before="120" w:after="120" w:line="360" w:lineRule="auto"/>
        <w:rPr>
          <w:rFonts w:hint="eastAsia" w:ascii="Arial" w:hAnsi="Arial"/>
          <w:sz w:val="24"/>
          <w:szCs w:val="24"/>
        </w:rPr>
      </w:pPr>
      <w:r>
        <w:rPr>
          <w:rFonts w:hint="eastAsia" w:ascii="Arial" w:hAnsi="Arial"/>
          <w:sz w:val="24"/>
          <w:szCs w:val="24"/>
        </w:rPr>
      </w:r>
      <w:r/>
    </w:p>
    <w:p>
      <w:pPr>
        <w:pStyle w:val="776"/>
        <w:ind w:left="0"/>
      </w:pPr>
      <w:r/>
      <w:r/>
    </w:p>
    <w:p>
      <w:pPr>
        <w:pStyle w:val="867"/>
      </w:pPr>
      <w:r/>
      <w:r/>
    </w:p>
    <w:p>
      <w:pPr>
        <w:pStyle w:val="740"/>
        <w:jc w:val="center"/>
        <w:keepNext/>
        <w:rPr>
          <w:rFonts w:hint="eastAsia" w:ascii="黑体" w:eastAsia="黑体"/>
          <w:bCs/>
          <w:sz w:val="44"/>
          <w:szCs w:val="28"/>
        </w:rPr>
        <w:outlineLvl w:val="0"/>
      </w:pPr>
      <w:r/>
      <w:bookmarkStart w:id="133" w:name="_Toc190700453"/>
      <w:r>
        <w:rPr>
          <w:rFonts w:hint="eastAsia" w:ascii="黑体" w:eastAsia="黑体"/>
          <w:bCs/>
          <w:sz w:val="44"/>
          <w:szCs w:val="28"/>
        </w:rPr>
        <w:t xml:space="preserve">第六章  投标</w:t>
      </w:r>
      <w:bookmarkEnd w:id="93"/>
      <w:r/>
      <w:bookmarkEnd w:id="94"/>
      <w:r/>
      <w:bookmarkEnd w:id="95"/>
      <w:r>
        <w:rPr>
          <w:rFonts w:hint="eastAsia" w:ascii="黑体" w:eastAsia="黑体"/>
          <w:bCs/>
          <w:sz w:val="44"/>
          <w:szCs w:val="28"/>
        </w:rPr>
        <w:t xml:space="preserve">文件格式</w:t>
      </w:r>
      <w:bookmarkEnd w:id="133"/>
      <w:r>
        <w:rPr>
          <w:rFonts w:hint="eastAsia" w:ascii="黑体" w:eastAsia="黑体"/>
          <w:bCs/>
          <w:sz w:val="44"/>
          <w:szCs w:val="28"/>
        </w:rPr>
        <w:t xml:space="preserve"> </w:t>
      </w:r>
      <w:r/>
    </w:p>
    <w:p>
      <w:pPr>
        <w:pStyle w:val="740"/>
        <w:jc w:val="center"/>
        <w:rPr>
          <w:rFonts w:hint="eastAsia" w:ascii="宋体" w:hAnsi="宋体"/>
          <w:b/>
          <w:sz w:val="72"/>
          <w:szCs w:val="21"/>
        </w:rPr>
      </w:pPr>
      <w:r/>
      <w:bookmarkStart w:id="134" w:name="_Hlt26671244"/>
      <w:r/>
      <w:bookmarkEnd w:id="134"/>
      <w:r/>
      <w:bookmarkStart w:id="135" w:name="_Hlt26955039"/>
      <w:r/>
      <w:bookmarkEnd w:id="135"/>
      <w:r/>
      <w:bookmarkStart w:id="136" w:name="_Toc26554094"/>
      <w:r/>
      <w:bookmarkStart w:id="137" w:name="_Toc120614282"/>
      <w:r/>
      <w:bookmarkStart w:id="138" w:name="_Toc49090576"/>
      <w:r>
        <w:rPr>
          <w:rFonts w:hint="eastAsia" w:ascii="宋体" w:hAnsi="宋体"/>
          <w:b/>
          <w:sz w:val="72"/>
          <w:szCs w:val="21"/>
        </w:rPr>
      </w:r>
      <w:r/>
    </w:p>
    <w:p>
      <w:pPr>
        <w:pStyle w:val="740"/>
        <w:jc w:val="center"/>
        <w:rPr>
          <w:rFonts w:hint="eastAsia" w:ascii="宋体" w:hAnsi="宋体"/>
          <w:b/>
          <w:sz w:val="72"/>
          <w:szCs w:val="21"/>
        </w:rPr>
      </w:pPr>
      <w:r>
        <w:rPr>
          <w:rFonts w:hint="eastAsia" w:ascii="宋体" w:hAnsi="宋体"/>
          <w:b/>
          <w:sz w:val="72"/>
          <w:szCs w:val="21"/>
        </w:rPr>
        <w:t xml:space="preserve">投  标  文  件</w:t>
      </w:r>
      <w:r/>
    </w:p>
    <w:p>
      <w:pPr>
        <w:pStyle w:val="740"/>
        <w:jc w:val="center"/>
        <w:rPr>
          <w:rFonts w:hint="eastAsia" w:ascii="宋体" w:hAnsi="宋体"/>
          <w:b/>
          <w:sz w:val="72"/>
          <w:szCs w:val="21"/>
        </w:rPr>
      </w:pPr>
      <w:r>
        <w:rPr>
          <w:rFonts w:hint="eastAsia" w:ascii="宋体" w:hAnsi="宋体"/>
          <w:b/>
          <w:sz w:val="72"/>
          <w:szCs w:val="21"/>
        </w:rPr>
      </w:r>
      <w:r/>
    </w:p>
    <w:p>
      <w:pPr>
        <w:pStyle w:val="740"/>
        <w:jc w:val="center"/>
        <w:rPr>
          <w:rFonts w:hint="eastAsia" w:ascii="宋体" w:hAnsi="宋体"/>
          <w:b/>
          <w:sz w:val="72"/>
          <w:szCs w:val="21"/>
        </w:rPr>
      </w:pPr>
      <w:r>
        <w:rPr>
          <w:rFonts w:hint="eastAsia" w:ascii="宋体" w:hAnsi="宋体"/>
          <w:b/>
          <w:sz w:val="72"/>
          <w:szCs w:val="21"/>
        </w:rPr>
      </w:r>
      <w:r/>
    </w:p>
    <w:p>
      <w:pPr>
        <w:pStyle w:val="740"/>
        <w:jc w:val="center"/>
        <w:rPr>
          <w:rFonts w:hint="eastAsia" w:ascii="宋体" w:hAnsi="宋体"/>
          <w:b/>
          <w:sz w:val="36"/>
          <w:szCs w:val="21"/>
        </w:rPr>
      </w:pPr>
      <w:r>
        <w:rPr>
          <w:rFonts w:hint="eastAsia" w:ascii="宋体" w:hAnsi="宋体"/>
          <w:b/>
          <w:sz w:val="36"/>
          <w:szCs w:val="21"/>
        </w:rPr>
      </w:r>
      <w:r/>
    </w:p>
    <w:p>
      <w:pPr>
        <w:pStyle w:val="740"/>
        <w:jc w:val="center"/>
        <w:rPr>
          <w:rFonts w:hint="eastAsia" w:ascii="宋体" w:hAnsi="宋体"/>
          <w:b/>
          <w:sz w:val="36"/>
          <w:szCs w:val="21"/>
        </w:rPr>
      </w:pPr>
      <w:r>
        <w:rPr>
          <w:rFonts w:hint="eastAsia" w:ascii="宋体" w:hAnsi="宋体"/>
          <w:b/>
          <w:sz w:val="36"/>
          <w:szCs w:val="21"/>
        </w:rPr>
      </w:r>
      <w:r/>
    </w:p>
    <w:p>
      <w:pPr>
        <w:pStyle w:val="740"/>
        <w:jc w:val="center"/>
        <w:rPr>
          <w:rFonts w:hint="eastAsia" w:ascii="宋体" w:hAnsi="宋体"/>
          <w:b/>
          <w:sz w:val="36"/>
          <w:szCs w:val="21"/>
        </w:rPr>
      </w:pPr>
      <w:r>
        <w:rPr>
          <w:rFonts w:hint="eastAsia" w:ascii="宋体" w:hAnsi="宋体"/>
          <w:b/>
          <w:sz w:val="36"/>
          <w:szCs w:val="21"/>
        </w:rPr>
      </w:r>
      <w:r/>
    </w:p>
    <w:p>
      <w:pPr>
        <w:pStyle w:val="74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4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740"/>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74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740"/>
        <w:jc w:val="center"/>
        <w:spacing w:line="440" w:lineRule="exact"/>
        <w:rPr>
          <w:rFonts w:hint="eastAsia" w:ascii="宋体" w:hAnsi="宋体"/>
          <w:b/>
          <w:bCs/>
          <w:sz w:val="32"/>
          <w:szCs w:val="32"/>
        </w:rPr>
      </w:pPr>
      <w:r>
        <w:rPr>
          <w:rFonts w:hint="eastAsia" w:ascii="宋体" w:hAnsi="宋体"/>
          <w:b/>
          <w:bCs/>
          <w:sz w:val="32"/>
          <w:szCs w:val="32"/>
        </w:rPr>
      </w:r>
      <w:r/>
    </w:p>
    <w:p>
      <w:pPr>
        <w:pStyle w:val="740"/>
        <w:spacing w:line="440" w:lineRule="exact"/>
        <w:rPr>
          <w:rFonts w:ascii="宋体" w:hAnsi="宋体"/>
          <w:szCs w:val="21"/>
        </w:rPr>
      </w:pPr>
      <w:r>
        <w:rPr>
          <w:rFonts w:ascii="宋体" w:hAnsi="宋体"/>
          <w:szCs w:val="21"/>
        </w:rPr>
      </w:r>
      <w:r/>
    </w:p>
    <w:p>
      <w:pPr>
        <w:pStyle w:val="740"/>
        <w:rPr>
          <w:rFonts w:ascii="黑体" w:hAnsi="黑体" w:eastAsia="黑体"/>
          <w:iCs/>
          <w:sz w:val="32"/>
          <w:szCs w:val="32"/>
        </w:rPr>
      </w:pPr>
      <w:r>
        <w:rPr>
          <w:rFonts w:ascii="宋体" w:hAnsi="宋体"/>
          <w:b/>
          <w:sz w:val="36"/>
          <w:szCs w:val="21"/>
          <w:u w:val="single"/>
        </w:rPr>
        <w:br w:type="page" w:clear="all"/>
      </w:r>
      <w:bookmarkEnd w:id="89"/>
      <w:r/>
      <w:bookmarkEnd w:id="90"/>
      <w:r/>
      <w:bookmarkEnd w:id="136"/>
      <w:r/>
      <w:bookmarkEnd w:id="137"/>
      <w:r/>
      <w:bookmarkEnd w:id="138"/>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740"/>
        <w:ind w:firstLine="480"/>
        <w:spacing w:line="440" w:lineRule="exact"/>
        <w:rPr>
          <w:rFonts w:ascii="宋体" w:hAnsi="宋体"/>
          <w:sz w:val="24"/>
        </w:rPr>
      </w:pPr>
      <w:r>
        <w:rPr>
          <w:rFonts w:ascii="宋体" w:hAnsi="宋体"/>
          <w:sz w:val="24"/>
        </w:rPr>
      </w:r>
      <w:r/>
    </w:p>
    <w:p>
      <w:pPr>
        <w:pStyle w:val="74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w:t>
      </w:r>
      <w:r>
        <w:rPr>
          <w:rFonts w:ascii="黑体" w:hAnsi="黑体" w:eastAsia="黑体"/>
          <w:iCs/>
          <w:sz w:val="32"/>
          <w:szCs w:val="32"/>
        </w:rPr>
      </w:r>
      <w:r/>
    </w:p>
    <w:p>
      <w:pPr>
        <w:pStyle w:val="740"/>
        <w:ind w:firstLine="480"/>
        <w:rPr>
          <w:rFonts w:ascii="宋体" w:hAnsi="宋体"/>
          <w:bCs/>
          <w:sz w:val="24"/>
        </w:rPr>
      </w:pPr>
      <w:r>
        <w:rPr>
          <w:rFonts w:hint="eastAsia" w:ascii="宋体" w:hAnsi="宋体"/>
          <w:bCs/>
          <w:sz w:val="24"/>
        </w:rPr>
        <w:t xml:space="preserve">提供2024年度经审计的财务报告或投标截止前六个月内银行金融机构出具的资信证明。</w:t>
      </w:r>
      <w:r>
        <w:rPr>
          <w:rFonts w:ascii="宋体" w:hAnsi="宋体"/>
          <w:bCs/>
          <w:sz w:val="24"/>
        </w:rPr>
      </w:r>
      <w:r/>
    </w:p>
    <w:p>
      <w:pPr>
        <w:pStyle w:val="740"/>
        <w:rPr>
          <w:rFonts w:ascii="黑体" w:hAnsi="黑体" w:eastAsia="黑体"/>
          <w:i/>
          <w:sz w:val="32"/>
          <w:szCs w:val="32"/>
          <w:u w:val="single"/>
        </w:rPr>
      </w:pPr>
      <w:r>
        <w:rPr>
          <w:rFonts w:ascii="黑体" w:hAnsi="黑体" w:eastAsia="黑体"/>
          <w:i/>
          <w:sz w:val="32"/>
          <w:szCs w:val="32"/>
          <w:u w:val="single"/>
        </w:rPr>
      </w:r>
      <w:r/>
    </w:p>
    <w:p>
      <w:pPr>
        <w:pStyle w:val="74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w:t>
      </w:r>
      <w:r>
        <w:rPr>
          <w:rFonts w:hint="eastAsia" w:ascii="黑体" w:hAnsi="黑体" w:eastAsia="黑体"/>
          <w:iCs/>
          <w:sz w:val="32"/>
          <w:szCs w:val="32"/>
        </w:rPr>
        <w:t xml:space="preserve">相关材料</w:t>
      </w:r>
      <w:r>
        <w:rPr>
          <w:rFonts w:ascii="黑体" w:hAnsi="黑体" w:eastAsia="黑体"/>
          <w:iCs/>
          <w:sz w:val="32"/>
          <w:szCs w:val="32"/>
        </w:rPr>
      </w:r>
      <w:r/>
    </w:p>
    <w:p>
      <w:pPr>
        <w:pStyle w:val="740"/>
        <w:ind w:firstLine="480"/>
        <w:rPr>
          <w:rFonts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bCs/>
          <w:sz w:val="24"/>
        </w:rPr>
      </w:r>
      <w:r/>
    </w:p>
    <w:p>
      <w:pPr>
        <w:pStyle w:val="740"/>
        <w:rPr>
          <w:rFonts w:ascii="黑体" w:hAnsi="黑体" w:eastAsia="黑体"/>
          <w:i/>
          <w:sz w:val="32"/>
          <w:szCs w:val="32"/>
          <w:u w:val="single"/>
        </w:rPr>
      </w:pPr>
      <w:r>
        <w:rPr>
          <w:rFonts w:ascii="黑体" w:hAnsi="黑体" w:eastAsia="黑体"/>
          <w:i/>
          <w:sz w:val="32"/>
          <w:szCs w:val="32"/>
          <w:u w:val="single"/>
        </w:rPr>
      </w:r>
      <w:r/>
    </w:p>
    <w:p>
      <w:pPr>
        <w:pStyle w:val="74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ascii="黑体" w:hAnsi="黑体" w:eastAsia="黑体"/>
          <w:iCs/>
          <w:sz w:val="32"/>
          <w:szCs w:val="32"/>
        </w:rPr>
      </w:r>
      <w:r/>
    </w:p>
    <w:p>
      <w:pPr>
        <w:pStyle w:val="740"/>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40"/>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40"/>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40"/>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740"/>
        <w:rPr>
          <w:szCs w:val="21"/>
        </w:rPr>
      </w:pPr>
      <w:r>
        <w:rPr>
          <w:szCs w:val="21"/>
        </w:rPr>
      </w:r>
      <w:r/>
    </w:p>
    <w:p>
      <w:pPr>
        <w:pStyle w:val="74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Cs/>
          <w:sz w:val="32"/>
          <w:szCs w:val="32"/>
        </w:rPr>
      </w:r>
      <w:r/>
    </w:p>
    <w:p>
      <w:pPr>
        <w:pStyle w:val="740"/>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740"/>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40"/>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rPr>
          <w:rFonts w:ascii="黑体" w:hAnsi="黑体" w:eastAsia="黑体"/>
          <w:iCs/>
          <w:sz w:val="32"/>
          <w:szCs w:val="32"/>
        </w:rPr>
      </w:r>
      <w:r/>
    </w:p>
    <w:p>
      <w:pPr>
        <w:pStyle w:val="740"/>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rPr>
          <w:rFonts w:ascii="宋体" w:hAnsi="宋体"/>
          <w:bCs/>
          <w:sz w:val="24"/>
          <w:szCs w:val="21"/>
        </w:rPr>
      </w:r>
      <w:r/>
    </w:p>
    <w:p>
      <w:pPr>
        <w:pStyle w:val="740"/>
        <w:spacing w:line="460" w:lineRule="exact"/>
        <w:rPr>
          <w:rFonts w:ascii="宋体" w:hAnsi="宋体"/>
          <w:bCs/>
          <w:sz w:val="24"/>
          <w:szCs w:val="21"/>
        </w:rPr>
      </w:pPr>
      <w:r/>
      <w:bookmarkStart w:id="139" w:name="_Toc120614284"/>
      <w:r>
        <w:rPr>
          <w:rFonts w:ascii="宋体" w:hAnsi="宋体"/>
          <w:bCs/>
          <w:sz w:val="24"/>
          <w:szCs w:val="21"/>
        </w:rPr>
      </w:r>
      <w:r/>
    </w:p>
    <w:p>
      <w:pPr>
        <w:pStyle w:val="740"/>
        <w:jc w:val="center"/>
        <w:rPr>
          <w:rFonts w:ascii="黑体" w:hAnsi="黑体" w:eastAsia="黑体"/>
          <w:iCs/>
          <w:sz w:val="32"/>
          <w:szCs w:val="32"/>
        </w:rPr>
      </w:pPr>
      <w:r>
        <w:rPr>
          <w:rFonts w:hint="eastAsia" w:ascii="宋体" w:hAnsi="宋体"/>
          <w:b/>
          <w:iCs/>
          <w:sz w:val="24"/>
        </w:rPr>
        <w:t xml:space="preserve">★</w:t>
      </w:r>
      <w:r>
        <w:rPr>
          <w:rFonts w:hint="eastAsia" w:ascii="黑体" w:hAnsi="黑体" w:eastAsia="黑体"/>
          <w:iCs/>
          <w:sz w:val="32"/>
          <w:szCs w:val="32"/>
        </w:rPr>
        <w:t xml:space="preserve">七、法人授权书</w:t>
      </w:r>
      <w:r>
        <w:rPr>
          <w:rFonts w:ascii="黑体" w:hAnsi="黑体" w:eastAsia="黑体"/>
          <w:iCs/>
          <w:sz w:val="32"/>
          <w:szCs w:val="32"/>
        </w:rPr>
      </w:r>
      <w:r/>
    </w:p>
    <w:p>
      <w:pPr>
        <w:pStyle w:val="740"/>
        <w:ind w:firstLine="480"/>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w:t>
      </w:r>
      <w:r>
        <w:rPr>
          <w:rFonts w:hint="eastAsia"/>
          <w:sz w:val="24"/>
          <w:szCs w:val="24"/>
        </w:rPr>
        <w:t xml:space="preserve">合法代理人，以本单位名义全权处理一切与该项目采购有关的事务。</w:t>
      </w:r>
      <w:r>
        <w:rPr>
          <w:sz w:val="24"/>
          <w:szCs w:val="24"/>
        </w:rPr>
      </w:r>
      <w:r/>
    </w:p>
    <w:p>
      <w:pPr>
        <w:pStyle w:val="740"/>
        <w:ind w:firstLine="480"/>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40"/>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740"/>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740"/>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740"/>
        <w:ind w:firstLine="480"/>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740"/>
        <w:ind w:firstLine="480"/>
        <w:tabs>
          <w:tab w:val="left" w:pos="360" w:leader="none"/>
        </w:tabs>
        <w:rPr>
          <w:sz w:val="24"/>
          <w:szCs w:val="24"/>
        </w:rPr>
      </w:pPr>
      <w:r>
        <w:rPr>
          <w:rFonts w:hint="eastAsia"/>
          <w:sz w:val="24"/>
          <w:szCs w:val="24"/>
        </w:rPr>
        <w:t xml:space="preserve">      日期：</w:t>
      </w:r>
      <w:bookmarkStart w:id="140" w:name="_Hlt26955070"/>
      <w:r/>
      <w:bookmarkEnd w:id="140"/>
      <w:r/>
      <w:bookmarkStart w:id="141" w:name="_格式3__银行出具的资信证明"/>
      <w:r/>
      <w:bookmarkEnd w:id="141"/>
      <w:r/>
      <w:bookmarkStart w:id="142" w:name="_Hlt26671380"/>
      <w:r/>
      <w:bookmarkEnd w:id="142"/>
      <w:r>
        <w:rPr>
          <w:rFonts w:hint="eastAsia"/>
          <w:sz w:val="24"/>
          <w:szCs w:val="24"/>
          <w:u w:val="single"/>
        </w:rPr>
        <w:t xml:space="preserve">                                         </w:t>
      </w:r>
      <w:r>
        <w:rPr>
          <w:sz w:val="24"/>
          <w:szCs w:val="24"/>
        </w:rPr>
      </w:r>
      <w:r/>
    </w:p>
    <w:p>
      <w:pPr>
        <w:pStyle w:val="740"/>
        <w:ind w:firstLine="420"/>
        <w:rPr>
          <w:i/>
          <w:sz w:val="24"/>
          <w:szCs w:val="24"/>
          <w:u w:val="single"/>
        </w:rPr>
      </w:pPr>
      <w:r>
        <w:rPr>
          <w:i/>
          <w:sz w:val="24"/>
          <w:szCs w:val="24"/>
          <w:u w:val="single"/>
        </w:rPr>
      </w:r>
      <w:r/>
    </w:p>
    <w:p>
      <w:pPr>
        <w:pStyle w:val="740"/>
        <w:rPr>
          <w:szCs w:val="21"/>
        </w:rPr>
      </w:pPr>
      <w:r>
        <w:rPr>
          <w:szCs w:val="21"/>
        </w:rPr>
      </w:r>
      <w:r/>
    </w:p>
    <w:p>
      <w:pPr>
        <w:pStyle w:val="740"/>
        <w:spacing w:line="460" w:lineRule="exact"/>
        <w:rPr>
          <w:rFonts w:ascii="宋体" w:hAnsi="宋体"/>
          <w:bCs/>
          <w:sz w:val="24"/>
          <w:szCs w:val="21"/>
        </w:rPr>
      </w:pPr>
      <w:r>
        <w:rPr>
          <w:rFonts w:ascii="宋体" w:hAnsi="宋体"/>
          <w:bCs/>
          <w:sz w:val="24"/>
          <w:szCs w:val="21"/>
        </w:rPr>
      </w:r>
      <w:r/>
    </w:p>
    <w:p>
      <w:pPr>
        <w:pStyle w:val="740"/>
        <w:jc w:val="center"/>
        <w:spacing w:line="460" w:lineRule="exact"/>
        <w:rPr>
          <w:rFonts w:ascii="黑体" w:hAnsi="黑体" w:eastAsia="黑体"/>
          <w:iCs/>
          <w:sz w:val="32"/>
          <w:szCs w:val="32"/>
        </w:rPr>
      </w:pPr>
      <w:r>
        <w:rPr>
          <w:rFonts w:ascii="宋体" w:hAnsi="宋体" w:eastAsia="幼圆" w:cs="Arial"/>
          <w:b/>
          <w:sz w:val="24"/>
          <w:szCs w:val="44"/>
        </w:rPr>
        <w:br w:type="page" w:clear="all"/>
      </w:r>
      <w:r>
        <w:rPr>
          <w:rFonts w:hint="eastAsia"/>
        </w:rPr>
        <w:t xml:space="preserve">★</w:t>
      </w:r>
      <w:r>
        <w:rPr>
          <w:rFonts w:hint="eastAsia" w:ascii="黑体" w:hAnsi="黑体" w:eastAsia="黑体"/>
          <w:iCs/>
          <w:sz w:val="32"/>
          <w:szCs w:val="32"/>
        </w:rPr>
        <w:t xml:space="preserve">八、投标函</w:t>
      </w:r>
      <w:r>
        <w:rPr>
          <w:rFonts w:ascii="黑体" w:hAnsi="黑体" w:eastAsia="黑体"/>
          <w:iCs/>
          <w:sz w:val="32"/>
          <w:szCs w:val="32"/>
        </w:rPr>
      </w:r>
      <w:r/>
    </w:p>
    <w:p>
      <w:pPr>
        <w:pStyle w:val="740"/>
        <w:jc w:val="left"/>
        <w:spacing w:line="420" w:lineRule="exact"/>
        <w:rPr>
          <w:rFonts w:ascii="宋体" w:hAnsi="宋体"/>
          <w:sz w:val="24"/>
          <w:szCs w:val="21"/>
        </w:rPr>
      </w:pPr>
      <w:r>
        <w:rPr>
          <w:rFonts w:hint="eastAsia" w:ascii="宋体" w:hAnsi="宋体"/>
          <w:sz w:val="24"/>
          <w:szCs w:val="21"/>
        </w:rPr>
        <w:t xml:space="preserve">致：苏州市公共资源交易中心吴江分中心</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40"/>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40"/>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40"/>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40"/>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0"/>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r>
      <w:r/>
    </w:p>
    <w:p>
      <w:pPr>
        <w:pStyle w:val="740"/>
        <w:ind w:firstLine="240"/>
        <w:jc w:val="center"/>
        <w:spacing w:line="560" w:lineRule="exact"/>
        <w:rPr>
          <w:rFonts w:ascii="宋体" w:hAnsi="宋体"/>
          <w:bCs/>
          <w:sz w:val="24"/>
          <w:szCs w:val="21"/>
        </w:rPr>
      </w:pPr>
      <w:r>
        <w:rPr>
          <w:rFonts w:ascii="宋体" w:hAnsi="宋体"/>
          <w:bCs/>
          <w:sz w:val="24"/>
          <w:szCs w:val="21"/>
        </w:rPr>
      </w:r>
      <w:r/>
    </w:p>
    <w:p>
      <w:pPr>
        <w:pStyle w:val="740"/>
        <w:ind w:firstLine="240"/>
        <w:jc w:val="center"/>
        <w:spacing w:line="560" w:lineRule="exact"/>
        <w:rPr>
          <w:rFonts w:ascii="宋体" w:hAnsi="宋体"/>
          <w:bCs/>
          <w:sz w:val="24"/>
          <w:szCs w:val="21"/>
        </w:rPr>
      </w:pPr>
      <w:r>
        <w:rPr>
          <w:rFonts w:ascii="宋体" w:hAnsi="宋体"/>
          <w:bCs/>
          <w:sz w:val="24"/>
          <w:szCs w:val="21"/>
        </w:rPr>
      </w:r>
      <w:r/>
    </w:p>
    <w:p>
      <w:pPr>
        <w:pStyle w:val="740"/>
        <w:ind w:firstLine="240"/>
        <w:jc w:val="center"/>
        <w:spacing w:line="560" w:lineRule="exact"/>
        <w:rPr>
          <w:rFonts w:ascii="宋体" w:hAnsi="宋体"/>
          <w:bCs/>
          <w:sz w:val="24"/>
          <w:szCs w:val="21"/>
        </w:rPr>
      </w:pPr>
      <w:r>
        <w:rPr>
          <w:rFonts w:ascii="宋体" w:hAnsi="宋体"/>
          <w:bCs/>
          <w:sz w:val="24"/>
          <w:szCs w:val="21"/>
        </w:rPr>
      </w:r>
      <w:r/>
    </w:p>
    <w:p>
      <w:pPr>
        <w:pStyle w:val="740"/>
        <w:ind w:firstLine="240"/>
        <w:jc w:val="center"/>
        <w:spacing w:line="560" w:lineRule="exact"/>
        <w:rPr>
          <w:rFonts w:ascii="宋体" w:hAnsi="宋体"/>
          <w:bCs/>
          <w:sz w:val="24"/>
          <w:szCs w:val="21"/>
        </w:rPr>
      </w:pPr>
      <w:r>
        <w:rPr>
          <w:rFonts w:ascii="宋体" w:hAnsi="宋体"/>
          <w:bCs/>
          <w:sz w:val="24"/>
          <w:szCs w:val="21"/>
        </w:rPr>
      </w:r>
      <w:r/>
    </w:p>
    <w:p>
      <w:pPr>
        <w:pStyle w:val="740"/>
        <w:ind w:firstLine="240"/>
        <w:jc w:val="center"/>
        <w:spacing w:line="560" w:lineRule="exact"/>
        <w:rPr>
          <w:rFonts w:ascii="宋体" w:hAnsi="宋体"/>
          <w:bCs/>
          <w:sz w:val="24"/>
          <w:szCs w:val="21"/>
        </w:rPr>
      </w:pPr>
      <w:r>
        <w:rPr>
          <w:rFonts w:ascii="宋体" w:hAnsi="宋体"/>
          <w:bCs/>
          <w:sz w:val="24"/>
          <w:szCs w:val="21"/>
        </w:rPr>
      </w:r>
      <w:r/>
    </w:p>
    <w:p>
      <w:pPr>
        <w:pStyle w:val="74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4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九、小微企业声明函（货物）（分包号：**）</w:t>
      </w:r>
      <w:r>
        <w:rPr>
          <w:rFonts w:ascii="黑体" w:hAnsi="黑体" w:eastAsia="黑体"/>
          <w:b/>
          <w:sz w:val="32"/>
          <w:szCs w:val="32"/>
        </w:rPr>
      </w:r>
      <w:r/>
    </w:p>
    <w:p>
      <w:pPr>
        <w:pStyle w:val="740"/>
        <w:ind w:firstLine="480"/>
        <w:spacing w:line="560" w:lineRule="exact"/>
        <w:rPr>
          <w:rFonts w:ascii="宋体" w:hAnsi="宋体"/>
          <w:sz w:val="24"/>
          <w:szCs w:val="24"/>
        </w:rPr>
      </w:pPr>
      <w:r>
        <w:rPr>
          <w:rFonts w:hint="eastAsia" w:ascii="宋体" w:hAnsi="宋体"/>
          <w:sz w:val="24"/>
          <w:szCs w:val="24"/>
        </w:rPr>
        <w:t xml:space="preserve">本公司（联合体）</w:t>
      </w:r>
      <w:r>
        <w:rPr>
          <w:rFonts w:ascii="宋体" w:hAnsi="宋体"/>
          <w:sz w:val="24"/>
          <w:szCs w:val="24"/>
        </w:rPr>
        <w:t xml:space="preserve"> 郑重声明， 根据《政府采购促进中小企业发展管理办法》（财库﹝ 2020﹞ 46 号） 的规定， 本公司（联合体） 参加（单位名称） 的（项目名称） 采购活动， 提供的货物全部由符合政策要求的中小企业制造。 相关企业（含联合体中的中小企业、 签订分包意向协议</w:t>
      </w:r>
      <w:r>
        <w:rPr>
          <w:rFonts w:ascii="宋体" w:hAnsi="宋体"/>
          <w:sz w:val="24"/>
          <w:szCs w:val="24"/>
        </w:rPr>
        <w:t xml:space="preserve">的中小企业）的具体情况如下：</w:t>
      </w:r>
      <w:r/>
    </w:p>
    <w:p>
      <w:pPr>
        <w:pStyle w:val="740"/>
        <w:ind w:firstLine="480"/>
        <w:jc w:val="left"/>
        <w:spacing w:line="560" w:lineRule="exact"/>
        <w:rPr>
          <w:rFonts w:ascii="宋体" w:hAnsi="宋体"/>
          <w:sz w:val="24"/>
          <w:szCs w:val="24"/>
        </w:rPr>
      </w:pPr>
      <w:r>
        <w:rPr>
          <w:rFonts w:ascii="宋体" w:hAnsi="宋体"/>
          <w:sz w:val="24"/>
          <w:szCs w:val="24"/>
        </w:rPr>
        <w:t xml:space="preserve">1. （标的名称） ， 属于（采购文件中明确的所属行业）行业； 制造商为（ 企业名称）， 从业人员</w:t>
      </w:r>
      <w:r>
        <w:rPr>
          <w:rFonts w:ascii="宋体" w:hAnsi="宋体"/>
          <w:sz w:val="24"/>
          <w:szCs w:val="24"/>
          <w:u w:val="single"/>
        </w:rPr>
        <w:t xml:space="preserve">   </w:t>
      </w:r>
      <w:r>
        <w:rPr>
          <w:rFonts w:ascii="宋体" w:hAnsi="宋体"/>
          <w:sz w:val="24"/>
          <w:szCs w:val="24"/>
        </w:rPr>
        <w:t xml:space="preserve">人， 营业收入为 </w:t>
      </w:r>
      <w:r>
        <w:rPr>
          <w:rFonts w:ascii="宋体" w:hAnsi="宋体"/>
          <w:sz w:val="24"/>
          <w:szCs w:val="24"/>
          <w:u w:val="single"/>
        </w:rPr>
        <w:t xml:space="preserve">   </w:t>
      </w:r>
      <w:r>
        <w:rPr>
          <w:rFonts w:ascii="宋体" w:hAnsi="宋体"/>
          <w:sz w:val="24"/>
          <w:szCs w:val="24"/>
        </w:rPr>
        <w:t xml:space="preserve">万元， 资产总额为 </w:t>
      </w:r>
      <w:r>
        <w:rPr>
          <w:rFonts w:ascii="宋体" w:hAnsi="宋体"/>
          <w:sz w:val="24"/>
          <w:szCs w:val="24"/>
          <w:u w:val="single"/>
        </w:rPr>
        <w:t xml:space="preserve">   </w:t>
      </w:r>
      <w:r>
        <w:rPr>
          <w:rFonts w:ascii="宋体" w:hAnsi="宋体"/>
          <w:sz w:val="24"/>
          <w:szCs w:val="24"/>
        </w:rPr>
        <w:t xml:space="preserve">万元， 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（中型企业、 小型企业、 微型企业）；</w:t>
      </w:r>
      <w:r/>
    </w:p>
    <w:p>
      <w:pPr>
        <w:pStyle w:val="740"/>
        <w:ind w:firstLine="480"/>
        <w:jc w:val="left"/>
        <w:spacing w:line="560" w:lineRule="exact"/>
        <w:rPr>
          <w:rFonts w:ascii="宋体" w:hAnsi="宋体"/>
          <w:sz w:val="24"/>
          <w:szCs w:val="24"/>
        </w:rPr>
      </w:pPr>
      <w:r>
        <w:rPr>
          <w:rFonts w:ascii="宋体" w:hAnsi="宋体"/>
          <w:sz w:val="24"/>
          <w:szCs w:val="24"/>
        </w:rPr>
        <w:t xml:space="preserve">2. （标的名称） ， 属于（采购文件中明确的所属行业）行业； 制造商为（ 企业名称）， 从业人员</w:t>
      </w:r>
      <w:r>
        <w:rPr>
          <w:rFonts w:ascii="宋体" w:hAnsi="宋体"/>
          <w:sz w:val="24"/>
          <w:szCs w:val="24"/>
          <w:u w:val="single"/>
        </w:rPr>
        <w:t xml:space="preserve">   </w:t>
      </w:r>
      <w:r>
        <w:rPr>
          <w:rFonts w:ascii="宋体" w:hAnsi="宋体"/>
          <w:sz w:val="24"/>
          <w:szCs w:val="24"/>
        </w:rPr>
        <w:t xml:space="preserve">人， 营业收入为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 资产总额为</w:t>
      </w:r>
      <w:r>
        <w:rPr>
          <w:rFonts w:ascii="宋体" w:hAnsi="宋体"/>
          <w:sz w:val="24"/>
          <w:szCs w:val="24"/>
          <w:u w:val="single"/>
        </w:rPr>
        <w:t xml:space="preserve">   </w:t>
      </w:r>
      <w:r>
        <w:rPr>
          <w:rFonts w:ascii="宋体" w:hAnsi="宋体"/>
          <w:sz w:val="24"/>
          <w:szCs w:val="24"/>
        </w:rPr>
        <w:t xml:space="preserve">万元， 属于</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（中型企业、 小型企业、 微型企业）；</w:t>
      </w:r>
      <w:r/>
    </w:p>
    <w:p>
      <w:pPr>
        <w:pStyle w:val="740"/>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0"/>
        <w:ind w:firstLine="480"/>
        <w:spacing w:line="560" w:lineRule="exact"/>
        <w:rPr>
          <w:rFonts w:ascii="宋体" w:hAnsi="宋体"/>
          <w:sz w:val="24"/>
          <w:szCs w:val="24"/>
        </w:rPr>
      </w:pPr>
      <w:r>
        <w:rPr>
          <w:rFonts w:hint="eastAsia" w:ascii="宋体" w:hAnsi="宋体"/>
          <w:sz w:val="24"/>
          <w:szCs w:val="24"/>
        </w:rPr>
        <w:t xml:space="preserve">以上企业，</w:t>
      </w:r>
      <w:r>
        <w:rPr>
          <w:rFonts w:ascii="宋体" w:hAnsi="宋体"/>
          <w:sz w:val="24"/>
          <w:szCs w:val="24"/>
        </w:rPr>
        <w:t xml:space="preserve"> 不属于大企业的分支机构， 不存在控股股东为大企业的情形， 也不存在与大企业的负责人为同一人的情形。</w:t>
      </w:r>
      <w:r/>
    </w:p>
    <w:p>
      <w:pPr>
        <w:pStyle w:val="740"/>
        <w:ind w:firstLine="480"/>
        <w:spacing w:line="560" w:lineRule="exact"/>
        <w:rPr>
          <w:rFonts w:ascii="宋体" w:hAnsi="宋体"/>
          <w:sz w:val="24"/>
          <w:szCs w:val="24"/>
        </w:rPr>
      </w:pPr>
      <w:r>
        <w:rPr>
          <w:rFonts w:hint="eastAsia" w:ascii="宋体" w:hAnsi="宋体"/>
          <w:sz w:val="24"/>
          <w:szCs w:val="24"/>
        </w:rPr>
        <w:t xml:space="preserve">本企业对上述声明内容的真实性负责。</w:t>
      </w:r>
      <w:r>
        <w:rPr>
          <w:rFonts w:ascii="宋体" w:hAnsi="宋体"/>
          <w:sz w:val="24"/>
          <w:szCs w:val="24"/>
        </w:rPr>
        <w:t xml:space="preserve"> 如有虚假， 将依法承担相应责任。</w:t>
      </w:r>
      <w:r/>
    </w:p>
    <w:p>
      <w:pPr>
        <w:pStyle w:val="740"/>
        <w:ind w:firstLine="480"/>
        <w:spacing w:line="560" w:lineRule="exact"/>
        <w:rPr>
          <w:rFonts w:ascii="宋体" w:hAnsi="宋体"/>
          <w:sz w:val="24"/>
          <w:szCs w:val="24"/>
        </w:rPr>
      </w:pPr>
      <w:r>
        <w:rPr>
          <w:rFonts w:ascii="宋体" w:hAnsi="宋体"/>
          <w:sz w:val="24"/>
          <w:szCs w:val="24"/>
        </w:rPr>
      </w:r>
      <w:r/>
    </w:p>
    <w:p>
      <w:pPr>
        <w:pStyle w:val="740"/>
        <w:ind w:firstLine="480"/>
        <w:spacing w:line="560" w:lineRule="exact"/>
        <w:rPr>
          <w:rFonts w:ascii="宋体" w:hAnsi="宋体"/>
          <w:sz w:val="24"/>
          <w:szCs w:val="24"/>
        </w:rPr>
      </w:pPr>
      <w:r>
        <w:rPr>
          <w:rFonts w:ascii="宋体" w:hAnsi="宋体"/>
          <w:sz w:val="24"/>
          <w:szCs w:val="24"/>
        </w:rPr>
      </w:r>
      <w:r/>
    </w:p>
    <w:p>
      <w:pPr>
        <w:pStyle w:val="740"/>
        <w:ind w:firstLine="480"/>
        <w:spacing w:line="56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740"/>
        <w:ind w:firstLine="480"/>
        <w:spacing w:line="560" w:lineRule="exact"/>
        <w:rPr>
          <w:rFonts w:ascii="宋体" w:hAnsi="宋体"/>
          <w:sz w:val="24"/>
          <w:szCs w:val="24"/>
        </w:rPr>
      </w:pPr>
      <w:r>
        <w:rPr>
          <w:rFonts w:hint="eastAsia" w:ascii="宋体" w:hAnsi="宋体"/>
          <w:sz w:val="24"/>
          <w:szCs w:val="24"/>
        </w:rPr>
        <w:t xml:space="preserve">日</w:t>
      </w:r>
      <w:r>
        <w:rPr>
          <w:rFonts w:ascii="宋体" w:hAnsi="宋体"/>
          <w:sz w:val="24"/>
          <w:szCs w:val="24"/>
        </w:rPr>
        <w:t xml:space="preserve"> 期：</w:t>
      </w:r>
      <w:r/>
    </w:p>
    <w:p>
      <w:pPr>
        <w:pStyle w:val="740"/>
        <w:ind w:firstLine="480"/>
        <w:spacing w:line="560" w:lineRule="exact"/>
        <w:rPr>
          <w:rFonts w:ascii="宋体" w:hAnsi="宋体"/>
          <w:sz w:val="24"/>
          <w:szCs w:val="24"/>
        </w:rPr>
      </w:pPr>
      <w:r>
        <w:rPr>
          <w:rFonts w:ascii="宋体" w:hAnsi="宋体"/>
          <w:sz w:val="24"/>
          <w:szCs w:val="24"/>
        </w:rPr>
      </w:r>
      <w:r/>
    </w:p>
    <w:p>
      <w:pPr>
        <w:pStyle w:val="740"/>
        <w:ind w:firstLine="240"/>
        <w:jc w:val="left"/>
        <w:spacing w:line="560" w:lineRule="exact"/>
        <w:rPr>
          <w:rFonts w:ascii="宋体" w:hAnsi="宋体"/>
          <w:sz w:val="24"/>
          <w:szCs w:val="24"/>
        </w:rPr>
      </w:pPr>
      <w:r>
        <w:rPr>
          <w:rFonts w:hint="eastAsia" w:ascii="宋体" w:hAnsi="宋体"/>
          <w:sz w:val="24"/>
          <w:szCs w:val="24"/>
        </w:rPr>
        <w:t xml:space="preserve">备注：从业人员、营业收入、资产总额填报上一年度数据，无上一年度数据的新成立企业可不填报，如未对（中型企业、小型企业、微型企业）进行填写，视同非小微企业，不可享受相应优惠。</w:t>
      </w:r>
      <w:r>
        <w:rPr>
          <w:rFonts w:ascii="宋体" w:hAnsi="宋体"/>
          <w:sz w:val="24"/>
          <w:szCs w:val="24"/>
        </w:rPr>
      </w:r>
      <w:r/>
    </w:p>
    <w:p>
      <w:pPr>
        <w:pStyle w:val="740"/>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rPr>
          <w:rFonts w:ascii="黑体" w:hAnsi="黑体" w:eastAsia="黑体"/>
          <w:b/>
          <w:sz w:val="32"/>
          <w:szCs w:val="32"/>
        </w:rPr>
      </w:r>
      <w:r/>
    </w:p>
    <w:p>
      <w:pPr>
        <w:pStyle w:val="740"/>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w:t>
      </w:r>
      <w:r>
        <w:rPr>
          <w:rFonts w:hint="eastAsia" w:ascii="宋体" w:hAnsi="宋体"/>
          <w:sz w:val="24"/>
          <w:szCs w:val="21"/>
        </w:rPr>
        <w:t xml:space="preserve">〕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ascii="宋体" w:hAnsi="宋体"/>
          <w:sz w:val="24"/>
          <w:szCs w:val="21"/>
        </w:rPr>
      </w:r>
      <w:r/>
    </w:p>
    <w:p>
      <w:pPr>
        <w:pStyle w:val="740"/>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40"/>
        <w:ind w:firstLine="480"/>
        <w:spacing w:line="588" w:lineRule="exact"/>
        <w:rPr>
          <w:rFonts w:ascii="宋体" w:hAnsi="宋体"/>
          <w:sz w:val="24"/>
          <w:szCs w:val="21"/>
        </w:rPr>
      </w:pPr>
      <w:r>
        <w:rPr>
          <w:rFonts w:ascii="宋体" w:hAnsi="宋体"/>
          <w:sz w:val="24"/>
          <w:szCs w:val="21"/>
        </w:rPr>
      </w:r>
      <w:r/>
    </w:p>
    <w:p>
      <w:pPr>
        <w:pStyle w:val="740"/>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ascii="宋体" w:hAnsi="宋体"/>
          <w:sz w:val="24"/>
          <w:szCs w:val="21"/>
        </w:rPr>
      </w:r>
      <w:r/>
    </w:p>
    <w:p>
      <w:pPr>
        <w:pStyle w:val="74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0"/>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740"/>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jc w:val="center"/>
        <w:spacing w:line="560" w:lineRule="exact"/>
        <w:rPr>
          <w:rFonts w:ascii="黑体" w:hAnsi="黑体" w:eastAsia="黑体"/>
          <w:b/>
          <w:sz w:val="32"/>
          <w:szCs w:val="32"/>
        </w:rPr>
      </w:pPr>
      <w:r>
        <w:rPr>
          <w:rFonts w:ascii="黑体" w:hAnsi="黑体" w:eastAsia="黑体"/>
          <w:b/>
          <w:sz w:val="32"/>
          <w:szCs w:val="32"/>
        </w:rPr>
      </w:r>
      <w:r/>
    </w:p>
    <w:p>
      <w:pPr>
        <w:pStyle w:val="740"/>
        <w:rPr>
          <w:szCs w:val="21"/>
        </w:rPr>
      </w:pPr>
      <w:r>
        <w:rPr>
          <w:szCs w:val="21"/>
        </w:rPr>
      </w:r>
      <w:r/>
    </w:p>
    <w:p>
      <w:pPr>
        <w:pStyle w:val="740"/>
        <w:jc w:val="center"/>
        <w:rPr>
          <w:rFonts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十一、投标分项报价表（分包号：***）</w:t>
      </w:r>
      <w:r>
        <w:rPr>
          <w:rFonts w:ascii="黑体" w:hAnsi="黑体" w:eastAsia="黑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3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96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14"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784"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980"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727"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372"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124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5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3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产品</w:t>
            </w:r>
            <w:r>
              <w:rPr>
                <w:rFonts w:ascii="宋体" w:hAnsi="宋体"/>
                <w:sz w:val="24"/>
                <w:szCs w:val="24"/>
              </w:rPr>
            </w:r>
            <w:r/>
          </w:p>
          <w:p>
            <w:pPr>
              <w:pStyle w:val="740"/>
              <w:jc w:val="center"/>
              <w:spacing w:line="0" w:lineRule="atLeas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96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品牌</w:t>
            </w:r>
            <w:r>
              <w:rPr>
                <w:rFonts w:ascii="宋体" w:hAnsi="宋体"/>
                <w:sz w:val="24"/>
                <w:szCs w:val="24"/>
              </w:rPr>
            </w:r>
            <w:r/>
          </w:p>
        </w:tc>
        <w:tc>
          <w:tcPr>
            <w:tcW w:w="1414"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规格</w:t>
            </w:r>
            <w:r>
              <w:rPr>
                <w:rFonts w:ascii="宋体" w:hAnsi="宋体"/>
                <w:sz w:val="24"/>
                <w:szCs w:val="24"/>
              </w:rPr>
            </w:r>
            <w:r/>
          </w:p>
          <w:p>
            <w:pPr>
              <w:pStyle w:val="740"/>
              <w:jc w:val="center"/>
              <w:spacing w:line="0" w:lineRule="atLeast"/>
              <w:rPr>
                <w:rFonts w:ascii="宋体" w:hAnsi="宋体"/>
                <w:sz w:val="24"/>
                <w:szCs w:val="24"/>
              </w:rPr>
            </w:pPr>
            <w:r>
              <w:rPr>
                <w:rFonts w:hint="eastAsia" w:ascii="宋体" w:hAnsi="宋体"/>
                <w:sz w:val="24"/>
                <w:szCs w:val="24"/>
              </w:rPr>
              <w:t xml:space="preserve">型号</w:t>
            </w:r>
            <w:r>
              <w:rPr>
                <w:rFonts w:ascii="宋体" w:hAnsi="宋体"/>
                <w:sz w:val="24"/>
                <w:szCs w:val="24"/>
              </w:rPr>
            </w:r>
            <w:r/>
          </w:p>
        </w:tc>
        <w:tc>
          <w:tcPr>
            <w:tcW w:w="784"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产地</w:t>
            </w:r>
            <w:r>
              <w:rPr>
                <w:rFonts w:ascii="宋体" w:hAnsi="宋体"/>
                <w:sz w:val="24"/>
                <w:szCs w:val="24"/>
              </w:rPr>
            </w:r>
            <w:r/>
          </w:p>
        </w:tc>
        <w:tc>
          <w:tcPr>
            <w:tcW w:w="980"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727"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372"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分项单价</w:t>
            </w:r>
            <w:r>
              <w:rPr>
                <w:rFonts w:ascii="宋体" w:hAnsi="宋体"/>
                <w:sz w:val="24"/>
                <w:szCs w:val="24"/>
              </w:rPr>
            </w:r>
            <w:r/>
          </w:p>
        </w:tc>
        <w:tc>
          <w:tcPr>
            <w:tcW w:w="124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分项总价</w:t>
            </w:r>
            <w:r>
              <w:rPr>
                <w:rFonts w:ascii="宋体" w:hAnsi="宋体"/>
                <w:sz w:val="24"/>
                <w:szCs w:val="24"/>
              </w:rPr>
            </w:r>
            <w:r/>
          </w:p>
        </w:tc>
      </w:tr>
      <w:tr>
        <w:trPr>
          <w:cantSplit/>
          <w:trHeight w:val="696"/>
        </w:trPr>
        <w:tc>
          <w:tcPr>
            <w:tcW w:w="55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3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r>
      <w:tr>
        <w:trPr>
          <w:cantSplit/>
          <w:trHeight w:val="724"/>
        </w:trPr>
        <w:tc>
          <w:tcPr>
            <w:tcW w:w="55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03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r>
      <w:tr>
        <w:trPr>
          <w:cantSplit/>
          <w:trHeight w:val="640"/>
        </w:trPr>
        <w:tc>
          <w:tcPr>
            <w:tcW w:w="556" w:type="dxa"/>
            <w:vAlign w:val="center"/>
            <w:textDirection w:val="lrTb"/>
            <w:noWrap w:val="false"/>
          </w:tcPr>
          <w:p>
            <w:pPr>
              <w:pStyle w:val="74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03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r>
      <w:tr>
        <w:trPr>
          <w:cantSplit/>
          <w:trHeight w:val="580"/>
        </w:trPr>
        <w:tc>
          <w:tcPr>
            <w:tcW w:w="556" w:type="dxa"/>
            <w:vAlign w:val="center"/>
            <w:textDirection w:val="lrTb"/>
            <w:noWrap w:val="false"/>
          </w:tcPr>
          <w:p>
            <w:pPr>
              <w:pStyle w:val="740"/>
              <w:jc w:val="center"/>
              <w:spacing w:line="0" w:lineRule="atLeast"/>
              <w:rPr>
                <w:rFonts w:ascii="宋体" w:hAnsi="宋体"/>
                <w:sz w:val="24"/>
                <w:szCs w:val="24"/>
              </w:rPr>
            </w:pPr>
            <w:r>
              <w:rPr>
                <w:rFonts w:ascii="宋体" w:hAnsi="宋体"/>
                <w:sz w:val="24"/>
                <w:szCs w:val="24"/>
              </w:rPr>
              <w:t xml:space="preserve">…</w:t>
            </w:r>
            <w:r/>
          </w:p>
        </w:tc>
        <w:tc>
          <w:tcPr>
            <w:tcW w:w="103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t xml:space="preserve">……</w:t>
            </w:r>
            <w:r/>
          </w:p>
        </w:tc>
        <w:tc>
          <w:tcPr>
            <w:tcW w:w="96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84"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372"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740"/>
              <w:spacing w:line="0" w:lineRule="atLeast"/>
              <w:rPr>
                <w:rFonts w:ascii="宋体" w:hAnsi="宋体"/>
                <w:sz w:val="24"/>
                <w:szCs w:val="24"/>
              </w:rPr>
            </w:pPr>
            <w:r>
              <w:rPr>
                <w:rFonts w:ascii="宋体" w:hAnsi="宋体"/>
                <w:sz w:val="24"/>
                <w:szCs w:val="24"/>
              </w:rPr>
            </w:r>
            <w:r/>
          </w:p>
        </w:tc>
      </w:tr>
      <w:tr>
        <w:trPr>
          <w:cantSplit/>
          <w:trHeight w:val="1030"/>
        </w:trPr>
        <w:tc>
          <w:tcPr>
            <w:gridSpan w:val="8"/>
            <w:tcW w:w="7835"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246" w:type="dxa"/>
            <w:vAlign w:val="top"/>
            <w:textDirection w:val="lrTb"/>
            <w:noWrap w:val="false"/>
          </w:tcPr>
          <w:p>
            <w:pPr>
              <w:pStyle w:val="740"/>
              <w:rPr>
                <w:rFonts w:ascii="宋体" w:hAnsi="宋体"/>
                <w:sz w:val="24"/>
                <w:szCs w:val="24"/>
              </w:rPr>
            </w:pPr>
            <w:r>
              <w:rPr>
                <w:rFonts w:ascii="宋体" w:hAnsi="宋体"/>
                <w:sz w:val="24"/>
                <w:szCs w:val="24"/>
              </w:rPr>
            </w:r>
            <w:r/>
          </w:p>
        </w:tc>
      </w:tr>
    </w:tbl>
    <w:p>
      <w:pPr>
        <w:pStyle w:val="740"/>
        <w:rPr>
          <w:rFonts w:ascii="宋体" w:hAnsi="宋体"/>
          <w:sz w:val="24"/>
          <w:szCs w:val="21"/>
        </w:rPr>
      </w:pPr>
      <w:r>
        <w:rPr>
          <w:rFonts w:hint="eastAsia" w:ascii="宋体" w:hAnsi="宋体"/>
          <w:sz w:val="24"/>
          <w:szCs w:val="24"/>
        </w:rPr>
        <w:t xml:space="preserve">备注：1.投标报价</w:t>
      </w:r>
      <w:r>
        <w:rPr>
          <w:rFonts w:hint="eastAsia" w:ascii="宋体" w:hAnsi="宋体"/>
          <w:sz w:val="24"/>
          <w:szCs w:val="21"/>
        </w:rPr>
        <w:t xml:space="preserve">采用总承包方式，“投标总报价”应包括所投货物（包含与货物相关的服务）费用、安装调试费、测试验收费、培训费、运行维护费用、税金</w:t>
      </w:r>
      <w:r>
        <w:rPr>
          <w:rFonts w:hint="eastAsia" w:ascii="宋体" w:hAnsi="宋体"/>
          <w:sz w:val="24"/>
          <w:szCs w:val="21"/>
        </w:rPr>
        <w:t xml:space="preserve">、国际国内运输保险、报关清关、开证、办理全套免税手续费用及其他有关的为完成本项目发生的所有费用，招标文件中另有规定的除外。2.</w:t>
      </w:r>
      <w:r>
        <w:rPr>
          <w:rFonts w:hint="eastAsia"/>
          <w:szCs w:val="21"/>
        </w:rPr>
        <w:t xml:space="preserve"> “</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rPr>
          <w:rFonts w:ascii="宋体" w:hAnsi="宋体"/>
          <w:sz w:val="24"/>
          <w:szCs w:val="24"/>
        </w:rPr>
      </w:pPr>
      <w:r>
        <w:rPr>
          <w:rFonts w:ascii="宋体" w:hAnsi="宋体"/>
          <w:sz w:val="24"/>
          <w:szCs w:val="24"/>
        </w:rPr>
      </w:r>
      <w:r/>
    </w:p>
    <w:p>
      <w:pPr>
        <w:pStyle w:val="740"/>
        <w:jc w:val="center"/>
        <w:rPr>
          <w:rFonts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十二、技术要求响应及偏离表（分包号：**）</w:t>
      </w:r>
      <w:r>
        <w:rPr>
          <w:rFonts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0"/>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bl>
    <w:p>
      <w:pPr>
        <w:pStyle w:val="740"/>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0"/>
        <w:jc w:val="center"/>
        <w:rPr>
          <w:rFonts w:ascii="黑体" w:hAnsi="Arial" w:eastAsia="黑体"/>
          <w:b/>
          <w:sz w:val="36"/>
          <w:szCs w:val="21"/>
        </w:rPr>
      </w:pPr>
      <w:r>
        <w:rPr>
          <w:rFonts w:ascii="黑体" w:hAnsi="Arial" w:eastAsia="黑体"/>
          <w:b/>
          <w:sz w:val="36"/>
          <w:szCs w:val="21"/>
        </w:rPr>
      </w:r>
      <w:r/>
    </w:p>
    <w:p>
      <w:pPr>
        <w:pStyle w:val="740"/>
        <w:jc w:val="center"/>
        <w:rPr>
          <w:rFonts w:ascii="黑体" w:hAnsi="Arial" w:eastAsia="黑体"/>
          <w:b/>
          <w:sz w:val="36"/>
          <w:szCs w:val="21"/>
        </w:rPr>
      </w:pPr>
      <w:r>
        <w:rPr>
          <w:rFonts w:ascii="黑体" w:hAnsi="Arial" w:eastAsia="黑体"/>
          <w:b/>
          <w:sz w:val="36"/>
          <w:szCs w:val="21"/>
        </w:rPr>
      </w:r>
      <w:r/>
    </w:p>
    <w:p>
      <w:pPr>
        <w:pStyle w:val="740"/>
        <w:jc w:val="center"/>
        <w:rPr>
          <w:rFonts w:ascii="黑体" w:hAnsi="Arial" w:eastAsia="黑体"/>
          <w:b/>
          <w:sz w:val="36"/>
          <w:szCs w:val="21"/>
        </w:rPr>
      </w:pPr>
      <w:r>
        <w:rPr>
          <w:rFonts w:ascii="黑体" w:hAnsi="Arial" w:eastAsia="黑体"/>
          <w:b/>
          <w:sz w:val="36"/>
          <w:szCs w:val="21"/>
        </w:rPr>
      </w:r>
      <w:r/>
    </w:p>
    <w:p>
      <w:pPr>
        <w:pStyle w:val="740"/>
        <w:jc w:val="center"/>
        <w:rPr>
          <w:rFonts w:ascii="黑体" w:hAnsi="Arial" w:eastAsia="黑体"/>
          <w:b/>
          <w:sz w:val="36"/>
          <w:szCs w:val="21"/>
        </w:rPr>
      </w:pPr>
      <w:r>
        <w:rPr>
          <w:rFonts w:ascii="黑体" w:hAnsi="Arial" w:eastAsia="黑体"/>
          <w:b/>
          <w:sz w:val="36"/>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rPr>
          <w:rFonts w:ascii="黑体" w:hAnsi="Arial" w:eastAsia="黑体"/>
          <w:sz w:val="32"/>
          <w:szCs w:val="21"/>
        </w:rPr>
      </w:pPr>
      <w:r>
        <w:rPr>
          <w:rFonts w:ascii="黑体" w:hAnsi="Arial" w:eastAsia="黑体"/>
          <w:sz w:val="32"/>
          <w:szCs w:val="21"/>
        </w:rPr>
      </w:r>
      <w:r/>
    </w:p>
    <w:p>
      <w:pPr>
        <w:pStyle w:val="740"/>
        <w:jc w:val="center"/>
        <w:rPr>
          <w:rFonts w:ascii="黑体" w:hAnsi="黑体" w:eastAsia="黑体"/>
          <w:b/>
          <w:sz w:val="32"/>
          <w:szCs w:val="32"/>
        </w:rPr>
      </w:pPr>
      <w:r/>
      <w:bookmarkEnd w:id="139"/>
      <w:r/>
      <w:bookmarkStart w:id="143" w:name="_Hlt26955054"/>
      <w:r/>
      <w:bookmarkEnd w:id="143"/>
      <w:r>
        <w:rPr>
          <w:rFonts w:hint="eastAsia" w:ascii="宋体" w:hAnsi="宋体"/>
          <w:bCs/>
          <w:iCs/>
          <w:sz w:val="24"/>
        </w:rPr>
        <w:t xml:space="preserve">★</w:t>
      </w:r>
      <w:r>
        <w:rPr>
          <w:rFonts w:hint="eastAsia" w:ascii="黑体" w:hAnsi="黑体" w:eastAsia="黑体"/>
          <w:b/>
          <w:sz w:val="32"/>
          <w:szCs w:val="32"/>
        </w:rPr>
        <w:t xml:space="preserve">十三、商务要求响应及偏离表（分包号：**）</w:t>
      </w:r>
      <w:r>
        <w:rPr>
          <w:rFonts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40"/>
              <w:jc w:val="center"/>
              <w:rPr>
                <w:rFonts w:ascii="宋体" w:hAnsi="宋体"/>
                <w:sz w:val="24"/>
                <w:szCs w:val="24"/>
              </w:rPr>
            </w:pPr>
            <w:r/>
            <w:bookmarkStart w:id="144" w:name="_Hlt26609391"/>
            <w:r/>
            <w:bookmarkEnd w:id="144"/>
            <w:r/>
            <w:bookmarkStart w:id="145" w:name="_Hlt26671343"/>
            <w:r/>
            <w:bookmarkEnd w:id="145"/>
            <w:r/>
            <w:bookmarkStart w:id="146" w:name="_Hlt26580838"/>
            <w:r/>
            <w:bookmarkEnd w:id="146"/>
            <w:r/>
            <w:bookmarkStart w:id="147" w:name="_Hlt26671372"/>
            <w:r/>
            <w:bookmarkEnd w:id="147"/>
            <w:r/>
            <w:bookmarkStart w:id="148" w:name="_Hlt26782999"/>
            <w:r/>
            <w:bookmarkEnd w:id="148"/>
            <w:r/>
            <w:bookmarkStart w:id="149" w:name="_Hlt24879081"/>
            <w:r/>
            <w:bookmarkEnd w:id="149"/>
            <w:r/>
            <w:bookmarkStart w:id="150" w:name="_Hlt26955064"/>
            <w:r/>
            <w:bookmarkEnd w:id="150"/>
            <w:r/>
            <w:bookmarkStart w:id="151" w:name="_Hlt26955056"/>
            <w:r/>
            <w:bookmarkEnd w:id="151"/>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740"/>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0"/>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0"/>
              <w:jc w:val="center"/>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0"/>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0"/>
              <w:jc w:val="center"/>
              <w:rPr>
                <w:rFonts w:ascii="宋体" w:hAnsi="宋体"/>
                <w:sz w:val="24"/>
                <w:szCs w:val="24"/>
              </w:rPr>
            </w:pPr>
            <w:r>
              <w:rPr>
                <w:rFonts w:ascii="宋体" w:hAnsi="宋体"/>
                <w:sz w:val="24"/>
                <w:szCs w:val="24"/>
              </w:rPr>
            </w:r>
            <w:r/>
          </w:p>
        </w:tc>
      </w:tr>
    </w:tbl>
    <w:p>
      <w:pPr>
        <w:pStyle w:val="740"/>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0"/>
        <w:spacing w:line="480" w:lineRule="auto"/>
        <w:rPr>
          <w:rFonts w:ascii="宋体" w:hAnsi="宋体"/>
          <w:sz w:val="24"/>
          <w:szCs w:val="21"/>
        </w:rPr>
      </w:pPr>
      <w:r>
        <w:rPr>
          <w:rFonts w:ascii="宋体" w:hAnsi="宋体"/>
          <w:sz w:val="24"/>
          <w:szCs w:val="21"/>
        </w:rPr>
      </w:r>
      <w:r/>
    </w:p>
    <w:p>
      <w:pPr>
        <w:pStyle w:val="740"/>
        <w:spacing w:line="480" w:lineRule="auto"/>
        <w:rPr>
          <w:rFonts w:ascii="仿宋_GB2312" w:hAnsi="Arial"/>
          <w:sz w:val="30"/>
          <w:szCs w:val="21"/>
        </w:rPr>
      </w:pPr>
      <w:r>
        <w:rPr>
          <w:rFonts w:ascii="仿宋_GB2312" w:hAnsi="Arial"/>
          <w:sz w:val="30"/>
          <w:szCs w:val="21"/>
        </w:rPr>
      </w:r>
      <w:r/>
    </w:p>
    <w:p>
      <w:pPr>
        <w:pStyle w:val="740"/>
        <w:rPr>
          <w:rFonts w:ascii="宋体" w:hAnsi="宋体"/>
          <w:sz w:val="24"/>
          <w:szCs w:val="21"/>
        </w:rPr>
      </w:pPr>
      <w:r/>
      <w:bookmarkStart w:id="152" w:name="_Hlt26671374"/>
      <w:r/>
      <w:bookmarkEnd w:id="152"/>
      <w:r/>
      <w:bookmarkStart w:id="153" w:name="_Hlt26955066"/>
      <w:r/>
      <w:bookmarkEnd w:id="153"/>
      <w:r/>
      <w:bookmarkStart w:id="154" w:name="_Hlt26609389"/>
      <w:r/>
      <w:bookmarkEnd w:id="154"/>
      <w:r/>
      <w:bookmarkStart w:id="155" w:name="_Toc462564146"/>
      <w:r>
        <w:rPr>
          <w:rFonts w:ascii="宋体" w:hAnsi="宋体"/>
          <w:sz w:val="24"/>
          <w:szCs w:val="21"/>
        </w:rPr>
      </w:r>
      <w:r/>
    </w:p>
    <w:p>
      <w:pPr>
        <w:pStyle w:val="740"/>
        <w:jc w:val="center"/>
        <w:rPr>
          <w:rFonts w:ascii="黑体" w:hAnsi="黑体" w:eastAsia="黑体"/>
          <w:b/>
          <w:sz w:val="32"/>
          <w:szCs w:val="32"/>
        </w:rPr>
      </w:pPr>
      <w:r/>
      <w:bookmarkEnd w:id="155"/>
      <w:r/>
      <w:bookmarkStart w:id="156" w:name="_格式2__法定代表人授权书"/>
      <w:r/>
      <w:bookmarkEnd w:id="156"/>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ascii="黑体" w:hAnsi="黑体" w:eastAsia="黑体"/>
          <w:b/>
          <w:sz w:val="32"/>
          <w:szCs w:val="32"/>
        </w:rPr>
      </w:pPr>
      <w:r>
        <w:rPr>
          <w:rFonts w:ascii="黑体" w:hAnsi="黑体" w:eastAsia="黑体"/>
          <w:b/>
          <w:sz w:val="32"/>
          <w:szCs w:val="32"/>
        </w:rPr>
      </w:r>
      <w:r/>
    </w:p>
    <w:p>
      <w:pPr>
        <w:pStyle w:val="740"/>
        <w:jc w:val="center"/>
        <w:rPr>
          <w:rFonts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十四、开标一览表</w:t>
      </w:r>
      <w:r>
        <w:rPr>
          <w:rFonts w:eastAsia="仿宋_GB2312"/>
          <w:iCs/>
          <w:sz w:val="24"/>
          <w:szCs w:val="20"/>
        </w:rPr>
      </w:r>
      <w:r/>
    </w:p>
    <w:p>
      <w:pPr>
        <w:pStyle w:val="740"/>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40"/>
        <w:ind w:firstLine="480"/>
        <w:rPr>
          <w:sz w:val="24"/>
          <w:szCs w:val="24"/>
        </w:rPr>
      </w:pPr>
      <w:r>
        <w:rPr>
          <w:rFonts w:hint="eastAsia" w:ascii="宋体" w:hAnsi="宋体"/>
          <w:sz w:val="24"/>
          <w:szCs w:val="24"/>
        </w:rPr>
        <w:t xml:space="preserve">项目名称：</w:t>
      </w:r>
      <w:r>
        <w:rPr>
          <w:sz w:val="24"/>
          <w:szCs w:val="24"/>
        </w:rPr>
      </w:r>
      <w:r/>
    </w:p>
    <w:p>
      <w:pPr>
        <w:pStyle w:val="74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40"/>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gridSpan w:val="2"/>
            <w:tcW w:w="8886" w:type="dxa"/>
            <w:vAlign w:val="center"/>
            <w:textDirection w:val="lrTb"/>
            <w:noWrap w:val="false"/>
          </w:tcPr>
          <w:p>
            <w:pPr>
              <w:pStyle w:val="740"/>
              <w:jc w:val="left"/>
              <w:spacing w:line="500" w:lineRule="exact"/>
              <w:rPr>
                <w:rFonts w:ascii="宋体" w:hAnsi="宋体"/>
                <w:sz w:val="24"/>
                <w:szCs w:val="21"/>
              </w:rPr>
            </w:pPr>
            <w:r>
              <w:rPr>
                <w:rFonts w:hint="eastAsia" w:ascii="宋体" w:hAnsi="宋体" w:cs="宋体"/>
                <w:sz w:val="24"/>
                <w:szCs w:val="24"/>
              </w:rPr>
              <w:t xml:space="preserve">小写：                      </w:t>
            </w:r>
            <w:r>
              <w:rPr>
                <w:rFonts w:hint="eastAsia" w:ascii="宋体" w:hAnsi="宋体" w:cs="宋体"/>
                <w:sz w:val="24"/>
                <w:szCs w:val="24"/>
              </w:rPr>
              <w:t xml:space="preserve">       （人民币：元）</w:t>
            </w:r>
            <w:r>
              <w:rPr>
                <w:rFonts w:ascii="宋体" w:hAnsi="宋体"/>
                <w:sz w:val="24"/>
                <w:szCs w:val="21"/>
              </w:rPr>
            </w:r>
            <w:r/>
          </w:p>
        </w:tc>
      </w:tr>
      <w:tr>
        <w:trPr>
          <w:cantSplit/>
          <w:trHeight w:val="612"/>
        </w:trPr>
        <w:tc>
          <w:tcPr>
            <w:tcW w:w="2481" w:type="dxa"/>
            <w:vAlign w:val="center"/>
            <w:textDirection w:val="lrTb"/>
            <w:noWrap w:val="false"/>
          </w:tcPr>
          <w:p>
            <w:pPr>
              <w:pStyle w:val="740"/>
              <w:jc w:val="center"/>
              <w:spacing w:line="300" w:lineRule="auto"/>
              <w:rPr>
                <w:rFonts w:ascii="宋体" w:hAnsi="宋体" w:cs="宋体"/>
                <w:sz w:val="24"/>
                <w:szCs w:val="24"/>
              </w:rPr>
            </w:pPr>
            <w:r>
              <w:rPr>
                <w:rFonts w:hint="eastAsia" w:ascii="宋体" w:hAnsi="宋体" w:cs="宋体"/>
                <w:sz w:val="24"/>
                <w:szCs w:val="24"/>
              </w:rPr>
              <w:t xml:space="preserve">核心产品品牌</w:t>
            </w:r>
            <w:r>
              <w:rPr>
                <w:rFonts w:ascii="宋体" w:hAnsi="宋体" w:cs="宋体"/>
                <w:sz w:val="24"/>
                <w:szCs w:val="24"/>
              </w:rPr>
            </w:r>
            <w:r/>
          </w:p>
        </w:tc>
        <w:tc>
          <w:tcPr>
            <w:tcW w:w="6405" w:type="dxa"/>
            <w:vAlign w:val="center"/>
            <w:textDirection w:val="lrTb"/>
            <w:noWrap w:val="false"/>
          </w:tcPr>
          <w:p>
            <w:pPr>
              <w:pStyle w:val="740"/>
              <w:jc w:val="left"/>
              <w:spacing w:line="500" w:lineRule="exact"/>
              <w:rPr>
                <w:rFonts w:ascii="宋体" w:hAnsi="宋体" w:cs="宋体"/>
                <w:sz w:val="24"/>
                <w:szCs w:val="24"/>
              </w:rPr>
            </w:pPr>
            <w:r>
              <w:rPr>
                <w:rFonts w:ascii="宋体" w:hAnsi="宋体" w:cs="宋体"/>
                <w:sz w:val="24"/>
                <w:szCs w:val="24"/>
              </w:rPr>
            </w:r>
            <w:r/>
          </w:p>
        </w:tc>
      </w:tr>
    </w:tbl>
    <w:p>
      <w:pPr>
        <w:pStyle w:val="740"/>
        <w:rPr>
          <w:rFonts w:ascii="宋体" w:hAnsi="宋体"/>
          <w:sz w:val="24"/>
          <w:szCs w:val="24"/>
        </w:rPr>
      </w:pPr>
      <w:r>
        <w:rPr>
          <w:rFonts w:ascii="宋体" w:hAnsi="宋体"/>
          <w:sz w:val="24"/>
          <w:szCs w:val="24"/>
        </w:rPr>
      </w:r>
      <w:r/>
    </w:p>
    <w:p>
      <w:pPr>
        <w:pStyle w:val="740"/>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40"/>
        <w:spacing w:line="460" w:lineRule="exact"/>
        <w:rPr>
          <w:rFonts w:hint="eastAsia" w:ascii="宋体" w:hAnsi="宋体"/>
          <w:bCs/>
          <w:sz w:val="24"/>
          <w:szCs w:val="21"/>
        </w:rPr>
      </w:pPr>
      <w:r>
        <w:rPr>
          <w:rFonts w:hint="eastAsia" w:ascii="宋体" w:hAnsi="宋体"/>
          <w:bCs/>
          <w:sz w:val="24"/>
          <w:szCs w:val="21"/>
        </w:rPr>
      </w:r>
      <w:r/>
    </w:p>
    <w:p>
      <w:pPr>
        <w:pStyle w:val="740"/>
        <w:jc w:val="center"/>
        <w:rPr>
          <w:rFonts w:hint="eastAsia" w:ascii="宋体" w:hAnsi="宋体" w:cs="仿宋"/>
          <w:b/>
          <w:bCs/>
          <w:sz w:val="32"/>
          <w:szCs w:val="32"/>
        </w:rPr>
      </w:pPr>
      <w:r>
        <w:rPr>
          <w:rFonts w:hint="eastAsia" w:ascii="宋体" w:hAnsi="宋体" w:cs="仿宋"/>
          <w:b/>
          <w:bCs/>
          <w:sz w:val="32"/>
          <w:szCs w:val="32"/>
        </w:rPr>
      </w:r>
      <w:r/>
    </w:p>
    <w:p>
      <w:pPr>
        <w:pStyle w:val="740"/>
        <w:rPr>
          <w:rFonts w:hint="eastAsia" w:ascii="宋体" w:hAnsi="宋体" w:cs="仿宋"/>
          <w:b/>
          <w:bCs/>
          <w:sz w:val="32"/>
          <w:szCs w:val="32"/>
        </w:rPr>
      </w:pPr>
      <w:r>
        <w:rPr>
          <w:rFonts w:hint="eastAsia" w:ascii="宋体" w:hAnsi="宋体" w:cs="仿宋"/>
          <w:b/>
          <w:bCs/>
          <w:sz w:val="32"/>
          <w:szCs w:val="32"/>
        </w:rPr>
      </w:r>
      <w:r/>
    </w:p>
    <w:p>
      <w:pPr>
        <w:pStyle w:val="74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4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4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w:t>
      </w:r>
      <w:r>
        <w:rPr>
          <w:rFonts w:hint="eastAsia" w:ascii="宋体" w:hAnsi="宋体"/>
          <w:sz w:val="24"/>
          <w:szCs w:val="24"/>
        </w:rPr>
        <w:t xml:space="preserve">实依据和法律依据。</w:t>
      </w:r>
      <w:r>
        <w:rPr>
          <w:rFonts w:ascii="宋体" w:hAnsi="宋体"/>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4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40"/>
        <w:ind w:firstLine="420"/>
        <w:rPr>
          <w:rFonts w:hint="eastAsia"/>
          <w:sz w:val="24"/>
          <w:szCs w:val="24"/>
        </w:rPr>
      </w:pPr>
      <w:r>
        <w:rPr>
          <w:rFonts w:hint="eastAsia"/>
          <w:sz w:val="24"/>
          <w:szCs w:val="24"/>
        </w:rPr>
      </w:r>
      <w:r/>
    </w:p>
    <w:p>
      <w:pPr>
        <w:pStyle w:val="740"/>
        <w:ind w:firstLine="420"/>
        <w:rPr>
          <w:sz w:val="24"/>
          <w:szCs w:val="24"/>
        </w:rPr>
      </w:pPr>
      <w:r>
        <w:rPr>
          <w:sz w:val="24"/>
          <w:szCs w:val="24"/>
        </w:rPr>
      </w:r>
      <w:r/>
    </w:p>
    <w:p>
      <w:pPr>
        <w:pStyle w:val="740"/>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Symbol">
    <w:panose1 w:val="05050102010706020507"/>
  </w:font>
  <w:font w:name="新宋体">
    <w:panose1 w:val="02010609030101010101"/>
  </w:font>
  <w:font w:name="方正黑体_GBK">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24"/>
        <w:rFonts w:ascii="宋体" w:hAnsi="宋体"/>
      </w:rPr>
      <w:framePr w:wrap="around" w:vAnchor="text" w:hAnchor="margin" w:xAlign="center" w:y="1"/>
    </w:pPr>
    <w:r>
      <w:rPr>
        <w:rFonts w:ascii="宋体" w:hAnsi="宋体"/>
      </w:rPr>
      <w:fldChar w:fldCharType="begin"/>
    </w:r>
    <w:r>
      <w:rPr>
        <w:rStyle w:val="824"/>
        <w:rFonts w:ascii="宋体" w:hAnsi="宋体"/>
      </w:rPr>
      <w:instrText xml:space="preserve">PAGE  </w:instrText>
    </w:r>
    <w:r>
      <w:rPr>
        <w:rFonts w:ascii="宋体" w:hAnsi="宋体"/>
      </w:rPr>
      <w:fldChar w:fldCharType="separate"/>
    </w:r>
    <w:r>
      <w:rPr>
        <w:rStyle w:val="824"/>
        <w:rFonts w:ascii="宋体" w:hAnsi="宋体"/>
      </w:rPr>
      <w:t xml:space="preserve">３０</w:t>
    </w:r>
    <w:r>
      <w:rPr>
        <w:rFonts w:ascii="宋体" w:hAnsi="宋体"/>
      </w:rPr>
      <w:fldChar w:fldCharType="end"/>
    </w:r>
    <w:r>
      <w:rPr>
        <w:rStyle w:val="824"/>
        <w:rFonts w:ascii="宋体" w:hAnsi="宋体"/>
      </w:rPr>
    </w:r>
    <w:r/>
  </w:p>
  <w:p>
    <w:pPr>
      <w:pStyle w:val="79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1</w:t>
    </w:r>
    <w:r>
      <w:fldChar w:fldCharType="end"/>
    </w:r>
    <w:r>
      <w:rPr>
        <w:rStyle w:val="824"/>
      </w:rPr>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67"/>
      <w:isLgl w:val="false"/>
      <w:suff w:val="tab"/>
      <w:lvlText w:val=""/>
      <w:lvlJc w:val="left"/>
      <w:pPr>
        <w:pStyle w:val="740"/>
        <w:ind w:left="360" w:hanging="360"/>
        <w:tabs>
          <w:tab w:val="num" w:pos="360" w:leader="none"/>
        </w:tabs>
      </w:pPr>
      <w:rPr>
        <w:rFonts w:ascii="Wingdings" w:hAnsi="Wingdings"/>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740"/>
    <w:next w:val="740"/>
    <w:link w:val="890"/>
    <w:uiPriority w:val="9"/>
    <w:qFormat/>
    <w:pPr>
      <w:keepLines/>
      <w:keepNext/>
      <w:spacing w:before="480" w:after="200"/>
      <w:outlineLvl w:val="0"/>
    </w:pPr>
    <w:rPr>
      <w:rFonts w:ascii="Arial" w:hAnsi="Arial" w:eastAsia="Arial" w:cs="Arial"/>
      <w:sz w:val="40"/>
      <w:szCs w:val="40"/>
    </w:rPr>
  </w:style>
  <w:style w:type="paragraph" w:styleId="690">
    <w:name w:val="Heading 2"/>
    <w:basedOn w:val="740"/>
    <w:next w:val="740"/>
    <w:link w:val="891"/>
    <w:uiPriority w:val="9"/>
    <w:unhideWhenUsed/>
    <w:qFormat/>
    <w:pPr>
      <w:keepLines/>
      <w:keepNext/>
      <w:spacing w:before="360" w:after="200"/>
      <w:outlineLvl w:val="1"/>
    </w:pPr>
    <w:rPr>
      <w:rFonts w:ascii="Arial" w:hAnsi="Arial" w:eastAsia="Arial" w:cs="Arial"/>
      <w:sz w:val="34"/>
    </w:rPr>
  </w:style>
  <w:style w:type="paragraph" w:styleId="691">
    <w:name w:val="Heading 3"/>
    <w:basedOn w:val="740"/>
    <w:next w:val="740"/>
    <w:link w:val="892"/>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740"/>
    <w:next w:val="740"/>
    <w:link w:val="893"/>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740"/>
    <w:next w:val="740"/>
    <w:link w:val="894"/>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740"/>
    <w:next w:val="740"/>
    <w:link w:val="895"/>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740"/>
    <w:next w:val="740"/>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740"/>
    <w:next w:val="740"/>
    <w:link w:val="897"/>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740"/>
    <w:next w:val="740"/>
    <w:link w:val="898"/>
    <w:uiPriority w:val="9"/>
    <w:unhideWhenUsed/>
    <w:qFormat/>
    <w:pPr>
      <w:keepLines/>
      <w:keepNext/>
      <w:spacing w:before="320" w:after="200"/>
      <w:outlineLvl w:val="8"/>
    </w:pPr>
    <w:rPr>
      <w:rFonts w:ascii="Arial" w:hAnsi="Arial" w:eastAsia="Arial" w:cs="Arial"/>
      <w:i/>
      <w:iCs/>
      <w:sz w:val="21"/>
      <w:szCs w:val="21"/>
    </w:rPr>
  </w:style>
  <w:style w:type="paragraph" w:styleId="698">
    <w:name w:val="List Paragraph"/>
    <w:basedOn w:val="740"/>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740"/>
    <w:next w:val="740"/>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740"/>
    <w:next w:val="740"/>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740"/>
    <w:next w:val="740"/>
    <w:link w:val="705"/>
    <w:uiPriority w:val="29"/>
    <w:qFormat/>
    <w:pPr>
      <w:ind w:left="720" w:right="720"/>
    </w:pPr>
    <w:rPr>
      <w:i/>
    </w:rPr>
  </w:style>
  <w:style w:type="character" w:styleId="705">
    <w:name w:val="Quote Char"/>
    <w:link w:val="704"/>
    <w:uiPriority w:val="29"/>
    <w:rPr>
      <w:i/>
    </w:rPr>
  </w:style>
  <w:style w:type="paragraph" w:styleId="706">
    <w:name w:val="Intense Quote"/>
    <w:basedOn w:val="740"/>
    <w:next w:val="74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740"/>
    <w:link w:val="899"/>
    <w:uiPriority w:val="99"/>
    <w:unhideWhenUsed/>
    <w:pPr>
      <w:spacing w:after="0" w:line="240" w:lineRule="auto"/>
      <w:tabs>
        <w:tab w:val="center" w:pos="7143" w:leader="none"/>
        <w:tab w:val="right" w:pos="14287" w:leader="none"/>
      </w:tabs>
    </w:pPr>
  </w:style>
  <w:style w:type="paragraph" w:styleId="709">
    <w:name w:val="Footer"/>
    <w:basedOn w:val="740"/>
    <w:link w:val="901"/>
    <w:uiPriority w:val="99"/>
    <w:unhideWhenUsed/>
    <w:pPr>
      <w:spacing w:after="0" w:line="240" w:lineRule="auto"/>
      <w:tabs>
        <w:tab w:val="center" w:pos="7143" w:leader="none"/>
        <w:tab w:val="right" w:pos="14287" w:leader="none"/>
      </w:tabs>
    </w:pPr>
  </w:style>
  <w:style w:type="paragraph" w:styleId="710">
    <w:name w:val="Caption"/>
    <w:basedOn w:val="740"/>
    <w:next w:val="740"/>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1">
    <w:name w:val="Hyperlink"/>
    <w:uiPriority w:val="99"/>
    <w:unhideWhenUsed/>
    <w:rPr>
      <w:color w:val="0000ff" w:themeColor="hyperlink"/>
      <w:u w:val="single"/>
    </w:rPr>
  </w:style>
  <w:style w:type="paragraph" w:styleId="732">
    <w:name w:val="footnote text"/>
    <w:basedOn w:val="740"/>
    <w:link w:val="733"/>
    <w:uiPriority w:val="99"/>
    <w:semiHidden/>
    <w:unhideWhenUsed/>
    <w:pPr>
      <w:spacing w:after="40" w:line="240" w:lineRule="auto"/>
    </w:pPr>
    <w:rPr>
      <w:sz w:val="18"/>
    </w:rPr>
  </w:style>
  <w:style w:type="character" w:styleId="733">
    <w:name w:val="Footnote Text Char"/>
    <w:link w:val="732"/>
    <w:uiPriority w:val="99"/>
    <w:rPr>
      <w:sz w:val="18"/>
    </w:rPr>
  </w:style>
  <w:style w:type="character" w:styleId="734">
    <w:name w:val="footnote reference"/>
    <w:uiPriority w:val="99"/>
    <w:unhideWhenUsed/>
    <w:rPr>
      <w:vertAlign w:val="superscript"/>
    </w:rPr>
  </w:style>
  <w:style w:type="paragraph" w:styleId="735">
    <w:name w:val="endnote text"/>
    <w:basedOn w:val="740"/>
    <w:link w:val="736"/>
    <w:uiPriority w:val="99"/>
    <w:semiHidden/>
    <w:unhideWhenUsed/>
    <w:pPr>
      <w:spacing w:after="0" w:line="240" w:lineRule="auto"/>
    </w:pPr>
    <w:rPr>
      <w:sz w:val="20"/>
    </w:rPr>
  </w:style>
  <w:style w:type="character" w:styleId="736">
    <w:name w:val="Endnote Text Char"/>
    <w:link w:val="735"/>
    <w:uiPriority w:val="99"/>
    <w:rPr>
      <w:sz w:val="20"/>
    </w:rPr>
  </w:style>
  <w:style w:type="character" w:styleId="737">
    <w:name w:val="endnote reference"/>
    <w:uiPriority w:val="99"/>
    <w:semiHidden/>
    <w:unhideWhenUsed/>
    <w:rPr>
      <w:vertAlign w:val="superscript"/>
    </w:r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2"/>
      <w:lang w:val="en-US" w:eastAsia="zh-CN" w:bidi="ar-SA"/>
    </w:rPr>
  </w:style>
  <w:style w:type="paragraph" w:styleId="741">
    <w:name w:val="标题 1"/>
    <w:basedOn w:val="740"/>
    <w:next w:val="740"/>
    <w:link w:val="753"/>
    <w:qFormat/>
    <w:pPr>
      <w:jc w:val="center"/>
      <w:keepNext/>
      <w:outlineLvl w:val="0"/>
    </w:pPr>
    <w:rPr>
      <w:rFonts w:ascii="楷体_GB2312" w:hAnsi="Times New Roman" w:eastAsia="楷体_GB2312"/>
      <w:sz w:val="28"/>
      <w:szCs w:val="28"/>
    </w:rPr>
  </w:style>
  <w:style w:type="paragraph" w:styleId="742">
    <w:name w:val="标题 2"/>
    <w:basedOn w:val="740"/>
    <w:next w:val="755"/>
    <w:link w:val="754"/>
    <w:qFormat/>
    <w:pPr>
      <w:jc w:val="center"/>
      <w:keepLines/>
      <w:keepNext/>
      <w:spacing w:before="260" w:after="260" w:line="416" w:lineRule="auto"/>
      <w:outlineLvl w:val="1"/>
    </w:pPr>
    <w:rPr>
      <w:rFonts w:ascii="Arial" w:hAnsi="Arial" w:eastAsia="幼圆"/>
      <w:b/>
      <w:bCs/>
      <w:sz w:val="44"/>
      <w:szCs w:val="44"/>
    </w:rPr>
  </w:style>
  <w:style w:type="paragraph" w:styleId="743">
    <w:name w:val="标题 3"/>
    <w:basedOn w:val="740"/>
    <w:next w:val="740"/>
    <w:link w:val="757"/>
    <w:qFormat/>
    <w:pPr>
      <w:keepLines/>
      <w:keepNext/>
      <w:spacing w:before="260" w:after="260" w:line="416" w:lineRule="auto"/>
      <w:outlineLvl w:val="2"/>
    </w:pPr>
    <w:rPr>
      <w:rFonts w:ascii="Times New Roman" w:hAnsi="Times New Roman"/>
      <w:b/>
      <w:bCs/>
      <w:sz w:val="32"/>
      <w:szCs w:val="32"/>
    </w:rPr>
  </w:style>
  <w:style w:type="paragraph" w:styleId="744">
    <w:name w:val="标题 4"/>
    <w:basedOn w:val="740"/>
    <w:next w:val="755"/>
    <w:link w:val="758"/>
    <w:qFormat/>
    <w:pPr>
      <w:keepLines/>
      <w:keepNext/>
      <w:spacing w:before="280" w:after="290" w:line="376" w:lineRule="auto"/>
      <w:outlineLvl w:val="3"/>
    </w:pPr>
    <w:rPr>
      <w:rFonts w:ascii="Arial" w:hAnsi="Arial" w:eastAsia="黑体"/>
      <w:b/>
      <w:bCs/>
      <w:sz w:val="28"/>
      <w:szCs w:val="28"/>
    </w:rPr>
  </w:style>
  <w:style w:type="paragraph" w:styleId="745">
    <w:name w:val="标题 5"/>
    <w:basedOn w:val="740"/>
    <w:next w:val="755"/>
    <w:link w:val="759"/>
    <w:qFormat/>
    <w:pPr>
      <w:keepNext/>
      <w:outlineLvl w:val="4"/>
    </w:pPr>
    <w:rPr>
      <w:rFonts w:ascii="宋体" w:hAnsi="Times New Roman"/>
      <w:color w:val="000000"/>
      <w:sz w:val="28"/>
      <w:szCs w:val="28"/>
    </w:rPr>
  </w:style>
  <w:style w:type="paragraph" w:styleId="746">
    <w:name w:val="标题 6"/>
    <w:basedOn w:val="740"/>
    <w:next w:val="740"/>
    <w:link w:val="760"/>
    <w:qFormat/>
    <w:pPr>
      <w:numPr>
        <w:ilvl w:val="0"/>
        <w:numId w:val="0"/>
      </w:numPr>
      <w:keepLines/>
      <w:keepNext/>
      <w:spacing w:before="240" w:after="64" w:line="320" w:lineRule="auto"/>
      <w:outlineLvl w:val="5"/>
    </w:pPr>
    <w:rPr>
      <w:rFonts w:ascii="Arial" w:hAnsi="Arial" w:eastAsia="黑体"/>
      <w:b/>
      <w:bCs/>
      <w:sz w:val="24"/>
      <w:szCs w:val="24"/>
    </w:rPr>
  </w:style>
  <w:style w:type="paragraph" w:styleId="747">
    <w:name w:val="标题 7"/>
    <w:basedOn w:val="740"/>
    <w:next w:val="740"/>
    <w:link w:val="761"/>
    <w:qFormat/>
    <w:pPr>
      <w:numPr>
        <w:ilvl w:val="0"/>
        <w:numId w:val="0"/>
      </w:numPr>
      <w:keepLines/>
      <w:keepNext/>
      <w:spacing w:before="240" w:after="64" w:line="320" w:lineRule="auto"/>
      <w:outlineLvl w:val="6"/>
    </w:pPr>
    <w:rPr>
      <w:rFonts w:ascii="Times New Roman" w:hAnsi="Times New Roman"/>
      <w:b/>
      <w:bCs/>
      <w:sz w:val="24"/>
      <w:szCs w:val="24"/>
    </w:rPr>
  </w:style>
  <w:style w:type="paragraph" w:styleId="748">
    <w:name w:val="标题 8"/>
    <w:basedOn w:val="740"/>
    <w:next w:val="740"/>
    <w:link w:val="762"/>
    <w:qFormat/>
    <w:pPr>
      <w:numPr>
        <w:ilvl w:val="0"/>
        <w:numId w:val="0"/>
      </w:numPr>
      <w:keepLines/>
      <w:keepNext/>
      <w:spacing w:before="240" w:after="64" w:line="320" w:lineRule="auto"/>
      <w:outlineLvl w:val="7"/>
    </w:pPr>
    <w:rPr>
      <w:rFonts w:ascii="Arial" w:hAnsi="Arial" w:eastAsia="黑体"/>
      <w:sz w:val="24"/>
      <w:szCs w:val="24"/>
    </w:rPr>
  </w:style>
  <w:style w:type="paragraph" w:styleId="749">
    <w:name w:val="标题 9"/>
    <w:basedOn w:val="740"/>
    <w:next w:val="740"/>
    <w:link w:val="763"/>
    <w:qFormat/>
    <w:pPr>
      <w:numPr>
        <w:ilvl w:val="0"/>
        <w:numId w:val="0"/>
      </w:numPr>
      <w:keepLines/>
      <w:keepNext/>
      <w:spacing w:before="240" w:after="64" w:line="320" w:lineRule="auto"/>
      <w:outlineLvl w:val="8"/>
    </w:pPr>
    <w:rPr>
      <w:rFonts w:ascii="Arial" w:hAnsi="Arial" w:eastAsia="黑体"/>
      <w:sz w:val="20"/>
      <w:szCs w:val="21"/>
    </w:rPr>
  </w:style>
  <w:style w:type="character" w:styleId="750">
    <w:name w:val="默认段落字体"/>
    <w:next w:val="750"/>
    <w:link w:val="740"/>
    <w:uiPriority w:val="1"/>
    <w:unhideWhenUsed/>
  </w:style>
  <w:style w:type="table" w:styleId="751">
    <w:name w:val="普通表格"/>
    <w:next w:val="751"/>
    <w:link w:val="740"/>
    <w:uiPriority w:val="99"/>
    <w:unhideWhenUsed/>
    <w:tblPr/>
  </w:style>
  <w:style w:type="numbering" w:styleId="752">
    <w:name w:val="无列表"/>
    <w:next w:val="752"/>
    <w:link w:val="740"/>
    <w:uiPriority w:val="99"/>
    <w:semiHidden/>
    <w:unhideWhenUsed/>
  </w:style>
  <w:style w:type="character" w:styleId="753">
    <w:name w:val="标题 1 字符"/>
    <w:next w:val="753"/>
    <w:link w:val="741"/>
    <w:qFormat/>
    <w:rPr>
      <w:rFonts w:ascii="楷体_GB2312" w:hAnsi="Times New Roman" w:eastAsia="楷体_GB2312" w:cs="Times New Roman"/>
      <w:sz w:val="28"/>
      <w:szCs w:val="28"/>
    </w:rPr>
  </w:style>
  <w:style w:type="character" w:styleId="754">
    <w:name w:val="标题 2 字符"/>
    <w:next w:val="754"/>
    <w:link w:val="742"/>
    <w:qFormat/>
    <w:rPr>
      <w:rFonts w:ascii="Arial" w:hAnsi="Arial" w:eastAsia="幼圆" w:cs="Arial"/>
      <w:b/>
      <w:bCs/>
      <w:sz w:val="44"/>
      <w:szCs w:val="44"/>
    </w:rPr>
  </w:style>
  <w:style w:type="paragraph" w:styleId="755">
    <w:name w:val="正文缩进"/>
    <w:basedOn w:val="740"/>
    <w:next w:val="755"/>
    <w:link w:val="756"/>
    <w:qFormat/>
    <w:pPr>
      <w:ind w:firstLine="420"/>
    </w:pPr>
    <w:rPr>
      <w:sz w:val="20"/>
      <w:szCs w:val="21"/>
    </w:rPr>
  </w:style>
  <w:style w:type="character" w:styleId="756">
    <w:name w:val="正文缩进 字符"/>
    <w:next w:val="756"/>
    <w:link w:val="755"/>
    <w:qFormat/>
    <w:rPr>
      <w:szCs w:val="21"/>
    </w:rPr>
  </w:style>
  <w:style w:type="character" w:styleId="757">
    <w:name w:val="标题 3 字符"/>
    <w:next w:val="757"/>
    <w:link w:val="743"/>
    <w:qFormat/>
    <w:rPr>
      <w:rFonts w:ascii="Times New Roman" w:hAnsi="Times New Roman" w:eastAsia="宋体" w:cs="Times New Roman"/>
      <w:b/>
      <w:bCs/>
      <w:sz w:val="32"/>
      <w:szCs w:val="32"/>
    </w:rPr>
  </w:style>
  <w:style w:type="character" w:styleId="758">
    <w:name w:val="标题 4 字符"/>
    <w:next w:val="758"/>
    <w:link w:val="744"/>
    <w:qFormat/>
    <w:rPr>
      <w:rFonts w:ascii="Arial" w:hAnsi="Arial" w:eastAsia="黑体" w:cs="Arial"/>
      <w:b/>
      <w:bCs/>
      <w:sz w:val="28"/>
      <w:szCs w:val="28"/>
    </w:rPr>
  </w:style>
  <w:style w:type="character" w:styleId="759">
    <w:name w:val="标题 5 字符"/>
    <w:next w:val="759"/>
    <w:link w:val="745"/>
    <w:qFormat/>
    <w:rPr>
      <w:rFonts w:ascii="宋体" w:hAnsi="Times New Roman" w:eastAsia="宋体" w:cs="Times New Roman"/>
      <w:color w:val="000000"/>
      <w:sz w:val="28"/>
      <w:szCs w:val="28"/>
    </w:rPr>
  </w:style>
  <w:style w:type="character" w:styleId="760">
    <w:name w:val="标题 6 字符"/>
    <w:next w:val="760"/>
    <w:link w:val="746"/>
    <w:qFormat/>
    <w:rPr>
      <w:rFonts w:ascii="Arial" w:hAnsi="Arial" w:eastAsia="黑体" w:cs="Times New Roman"/>
      <w:b/>
      <w:bCs/>
      <w:sz w:val="24"/>
      <w:szCs w:val="24"/>
    </w:rPr>
  </w:style>
  <w:style w:type="character" w:styleId="761">
    <w:name w:val="标题 7 字符"/>
    <w:next w:val="761"/>
    <w:link w:val="747"/>
    <w:qFormat/>
    <w:rPr>
      <w:rFonts w:ascii="Times New Roman" w:hAnsi="Times New Roman" w:eastAsia="宋体" w:cs="Times New Roman"/>
      <w:b/>
      <w:bCs/>
      <w:sz w:val="24"/>
      <w:szCs w:val="24"/>
    </w:rPr>
  </w:style>
  <w:style w:type="character" w:styleId="762">
    <w:name w:val="标题 8 字符"/>
    <w:next w:val="762"/>
    <w:link w:val="748"/>
    <w:qFormat/>
    <w:rPr>
      <w:rFonts w:ascii="Arial" w:hAnsi="Arial" w:eastAsia="黑体" w:cs="Times New Roman"/>
      <w:sz w:val="24"/>
      <w:szCs w:val="24"/>
    </w:rPr>
  </w:style>
  <w:style w:type="character" w:styleId="763">
    <w:name w:val="标题 9 字符"/>
    <w:next w:val="763"/>
    <w:link w:val="749"/>
    <w:qFormat/>
    <w:rPr>
      <w:rFonts w:ascii="Arial" w:hAnsi="Arial" w:eastAsia="黑体" w:cs="Times New Roman"/>
      <w:szCs w:val="21"/>
    </w:rPr>
  </w:style>
  <w:style w:type="paragraph" w:styleId="764">
    <w:name w:val="列表 3"/>
    <w:basedOn w:val="740"/>
    <w:next w:val="764"/>
    <w:link w:val="740"/>
    <w:qFormat/>
    <w:pPr>
      <w:ind w:left="100" w:hanging="200"/>
    </w:pPr>
    <w:rPr>
      <w:rFonts w:ascii="Times New Roman" w:hAnsi="Times New Roman" w:eastAsia="宋体" w:cs="Times New Roman"/>
      <w:szCs w:val="21"/>
    </w:rPr>
  </w:style>
  <w:style w:type="paragraph" w:styleId="765">
    <w:name w:val="toc 7"/>
    <w:basedOn w:val="740"/>
    <w:next w:val="740"/>
    <w:link w:val="740"/>
    <w:semiHidden/>
    <w:qFormat/>
    <w:pPr>
      <w:ind w:left="1260"/>
      <w:jc w:val="left"/>
    </w:pPr>
    <w:rPr>
      <w:rFonts w:ascii="Times New Roman" w:hAnsi="Times New Roman" w:eastAsia="宋体" w:cs="Times New Roman"/>
      <w:szCs w:val="21"/>
    </w:rPr>
  </w:style>
  <w:style w:type="paragraph" w:styleId="766">
    <w:name w:val="题注"/>
    <w:basedOn w:val="740"/>
    <w:next w:val="740"/>
    <w:link w:val="740"/>
    <w:uiPriority w:val="35"/>
    <w:qFormat/>
    <w:pPr>
      <w:spacing w:line="276" w:lineRule="auto"/>
    </w:pPr>
    <w:rPr>
      <w:rFonts w:ascii="Calibri" w:hAnsi="Calibri"/>
      <w:b/>
      <w:bCs/>
      <w:color w:val="4472c4"/>
      <w:sz w:val="18"/>
      <w:szCs w:val="18"/>
    </w:rPr>
  </w:style>
  <w:style w:type="paragraph" w:styleId="767">
    <w:name w:val="列表项目符号"/>
    <w:basedOn w:val="740"/>
    <w:next w:val="767"/>
    <w:link w:val="740"/>
    <w:uiPriority w:val="99"/>
    <w:unhideWhenUsed/>
    <w:pPr>
      <w:numPr>
        <w:ilvl w:val="0"/>
        <w:numId w:val="1"/>
      </w:numPr>
      <w:contextualSpacing/>
      <w:ind w:left="0" w:firstLine="0"/>
      <w:tabs>
        <w:tab w:val="clear" w:pos="360" w:leader="none"/>
      </w:tabs>
    </w:pPr>
    <w:rPr>
      <w:rFonts w:ascii="Calibri" w:hAnsi="Calibri"/>
    </w:rPr>
  </w:style>
  <w:style w:type="paragraph" w:styleId="768">
    <w:name w:val="文档结构图"/>
    <w:basedOn w:val="740"/>
    <w:next w:val="768"/>
    <w:link w:val="769"/>
    <w:semiHidden/>
    <w:qFormat/>
    <w:pPr>
      <w:shd w:val="clear" w:color="auto" w:fill="000080"/>
    </w:pPr>
    <w:rPr>
      <w:rFonts w:ascii="Times New Roman" w:hAnsi="Times New Roman"/>
      <w:sz w:val="20"/>
      <w:szCs w:val="21"/>
    </w:rPr>
  </w:style>
  <w:style w:type="character" w:styleId="769">
    <w:name w:val="文档结构图 字符"/>
    <w:next w:val="769"/>
    <w:link w:val="768"/>
    <w:semiHidden/>
    <w:rPr>
      <w:rFonts w:ascii="Times New Roman" w:hAnsi="Times New Roman" w:eastAsia="宋体" w:cs="Times New Roman"/>
      <w:szCs w:val="21"/>
      <w:shd w:val="clear" w:color="auto" w:fill="000080"/>
    </w:rPr>
  </w:style>
  <w:style w:type="paragraph" w:styleId="770">
    <w:name w:val="批注文字"/>
    <w:basedOn w:val="740"/>
    <w:next w:val="770"/>
    <w:link w:val="771"/>
    <w:uiPriority w:val="99"/>
    <w:unhideWhenUsed/>
    <w:qFormat/>
    <w:pPr>
      <w:jc w:val="left"/>
    </w:pPr>
  </w:style>
  <w:style w:type="character" w:styleId="771">
    <w:name w:val="批注文字 字符"/>
    <w:next w:val="771"/>
    <w:link w:val="770"/>
    <w:uiPriority w:val="99"/>
    <w:qFormat/>
  </w:style>
  <w:style w:type="paragraph" w:styleId="772">
    <w:name w:val="正文文本 3"/>
    <w:basedOn w:val="740"/>
    <w:next w:val="772"/>
    <w:link w:val="773"/>
    <w:qFormat/>
    <w:rPr>
      <w:rFonts w:ascii="仿宋_GB2312" w:hAnsi="Arial" w:eastAsia="仿宋_GB2312"/>
      <w:sz w:val="32"/>
      <w:szCs w:val="32"/>
    </w:rPr>
  </w:style>
  <w:style w:type="character" w:styleId="773">
    <w:name w:val="正文文本 3 字符"/>
    <w:next w:val="773"/>
    <w:link w:val="772"/>
    <w:qFormat/>
    <w:rPr>
      <w:rFonts w:ascii="仿宋_GB2312" w:hAnsi="Arial" w:eastAsia="仿宋_GB2312" w:cs="Times New Roman"/>
      <w:sz w:val="32"/>
      <w:szCs w:val="32"/>
    </w:rPr>
  </w:style>
  <w:style w:type="paragraph" w:styleId="774">
    <w:name w:val="正文文本"/>
    <w:basedOn w:val="740"/>
    <w:next w:val="774"/>
    <w:link w:val="775"/>
    <w:qFormat/>
    <w:rPr>
      <w:rFonts w:ascii="楷体_GB2312" w:hAnsi="Arial" w:eastAsia="楷体_GB2312"/>
      <w:sz w:val="28"/>
      <w:szCs w:val="28"/>
    </w:rPr>
  </w:style>
  <w:style w:type="character" w:styleId="775">
    <w:name w:val="正文文本 字符"/>
    <w:next w:val="775"/>
    <w:link w:val="774"/>
    <w:rPr>
      <w:rFonts w:ascii="楷体_GB2312" w:hAnsi="Arial" w:eastAsia="楷体_GB2312" w:cs="Times New Roman"/>
      <w:sz w:val="28"/>
      <w:szCs w:val="28"/>
    </w:rPr>
  </w:style>
  <w:style w:type="paragraph" w:styleId="776">
    <w:name w:val="正文文本缩进"/>
    <w:basedOn w:val="740"/>
    <w:next w:val="740"/>
    <w:link w:val="777"/>
    <w:uiPriority w:val="99"/>
    <w:unhideWhenUsed/>
    <w:qFormat/>
    <w:pPr>
      <w:ind w:left="420"/>
      <w:spacing w:after="120"/>
    </w:pPr>
  </w:style>
  <w:style w:type="character" w:styleId="777">
    <w:name w:val="正文文本缩进 字符"/>
    <w:next w:val="777"/>
    <w:link w:val="776"/>
    <w:uiPriority w:val="99"/>
    <w:qFormat/>
  </w:style>
  <w:style w:type="paragraph" w:styleId="778">
    <w:name w:val="列表 2"/>
    <w:basedOn w:val="740"/>
    <w:next w:val="778"/>
    <w:link w:val="740"/>
    <w:qFormat/>
    <w:pPr>
      <w:ind w:left="100" w:hanging="200"/>
    </w:pPr>
    <w:rPr>
      <w:rFonts w:ascii="Times New Roman" w:hAnsi="Times New Roman" w:eastAsia="宋体" w:cs="Times New Roman"/>
      <w:szCs w:val="21"/>
    </w:rPr>
  </w:style>
  <w:style w:type="paragraph" w:styleId="779">
    <w:name w:val="toc 5"/>
    <w:basedOn w:val="740"/>
    <w:next w:val="740"/>
    <w:link w:val="740"/>
    <w:semiHidden/>
    <w:qFormat/>
    <w:pPr>
      <w:ind w:left="840"/>
      <w:jc w:val="left"/>
    </w:pPr>
    <w:rPr>
      <w:rFonts w:ascii="Times New Roman" w:hAnsi="Times New Roman" w:eastAsia="宋体" w:cs="Times New Roman"/>
      <w:szCs w:val="21"/>
    </w:rPr>
  </w:style>
  <w:style w:type="paragraph" w:styleId="780">
    <w:name w:val="toc 3"/>
    <w:basedOn w:val="740"/>
    <w:next w:val="740"/>
    <w:link w:val="740"/>
    <w:uiPriority w:val="39"/>
    <w:qFormat/>
    <w:pPr>
      <w:ind w:left="420"/>
      <w:jc w:val="left"/>
    </w:pPr>
    <w:rPr>
      <w:rFonts w:ascii="Times New Roman" w:hAnsi="Times New Roman" w:eastAsia="宋体" w:cs="Times New Roman"/>
      <w:i/>
      <w:iCs/>
      <w:szCs w:val="24"/>
    </w:rPr>
  </w:style>
  <w:style w:type="paragraph" w:styleId="781">
    <w:name w:val="纯文本"/>
    <w:basedOn w:val="740"/>
    <w:next w:val="781"/>
    <w:link w:val="782"/>
    <w:qFormat/>
    <w:rPr>
      <w:rFonts w:ascii="宋体" w:hAnsi="Courier New"/>
      <w:sz w:val="20"/>
      <w:szCs w:val="21"/>
    </w:rPr>
  </w:style>
  <w:style w:type="character" w:styleId="782">
    <w:name w:val="纯文本 字符"/>
    <w:next w:val="782"/>
    <w:link w:val="781"/>
    <w:rPr>
      <w:rFonts w:ascii="宋体" w:hAnsi="Courier New" w:eastAsia="宋体" w:cs="Courier New"/>
      <w:szCs w:val="21"/>
    </w:rPr>
  </w:style>
  <w:style w:type="paragraph" w:styleId="783">
    <w:name w:val="toc 8"/>
    <w:basedOn w:val="740"/>
    <w:next w:val="740"/>
    <w:link w:val="740"/>
    <w:semiHidden/>
    <w:qFormat/>
    <w:pPr>
      <w:ind w:left="1470"/>
      <w:jc w:val="left"/>
    </w:pPr>
    <w:rPr>
      <w:rFonts w:ascii="Times New Roman" w:hAnsi="Times New Roman" w:eastAsia="宋体" w:cs="Times New Roman"/>
      <w:szCs w:val="21"/>
    </w:rPr>
  </w:style>
  <w:style w:type="paragraph" w:styleId="784">
    <w:name w:val="日期"/>
    <w:basedOn w:val="740"/>
    <w:next w:val="740"/>
    <w:link w:val="785"/>
    <w:qFormat/>
    <w:rPr>
      <w:rFonts w:ascii="Times New Roman" w:hAnsi="Times New Roman"/>
      <w:sz w:val="24"/>
      <w:szCs w:val="24"/>
    </w:rPr>
  </w:style>
  <w:style w:type="character" w:styleId="785">
    <w:name w:val="日期 字符"/>
    <w:next w:val="785"/>
    <w:link w:val="784"/>
    <w:qFormat/>
    <w:rPr>
      <w:rFonts w:ascii="Times New Roman" w:hAnsi="Times New Roman" w:eastAsia="宋体" w:cs="Times New Roman"/>
      <w:sz w:val="24"/>
      <w:szCs w:val="24"/>
    </w:rPr>
  </w:style>
  <w:style w:type="paragraph" w:styleId="786">
    <w:name w:val="正文文本缩进 2"/>
    <w:basedOn w:val="740"/>
    <w:next w:val="786"/>
    <w:link w:val="787"/>
    <w:qFormat/>
    <w:pPr>
      <w:ind w:left="630" w:firstLine="645"/>
    </w:pPr>
    <w:rPr>
      <w:rFonts w:ascii="Arial" w:hAnsi="Arial" w:eastAsia="仿宋_GB2312"/>
      <w:sz w:val="32"/>
      <w:szCs w:val="32"/>
    </w:rPr>
  </w:style>
  <w:style w:type="character" w:styleId="787">
    <w:name w:val="正文文本缩进 2 字符"/>
    <w:next w:val="787"/>
    <w:link w:val="786"/>
    <w:qFormat/>
    <w:rPr>
      <w:rFonts w:ascii="Arial" w:hAnsi="Arial" w:eastAsia="仿宋_GB2312" w:cs="Arial"/>
      <w:sz w:val="32"/>
      <w:szCs w:val="32"/>
    </w:rPr>
  </w:style>
  <w:style w:type="paragraph" w:styleId="788">
    <w:name w:val="尾注文本"/>
    <w:basedOn w:val="740"/>
    <w:next w:val="788"/>
    <w:link w:val="789"/>
    <w:uiPriority w:val="99"/>
    <w:unhideWhenUsed/>
    <w:qFormat/>
    <w:rPr>
      <w:rFonts w:ascii="Calibri" w:hAnsi="Calibri"/>
      <w:sz w:val="20"/>
    </w:rPr>
  </w:style>
  <w:style w:type="character" w:styleId="789">
    <w:name w:val="尾注文本 字符"/>
    <w:next w:val="789"/>
    <w:link w:val="788"/>
    <w:uiPriority w:val="99"/>
    <w:semiHidden/>
    <w:qFormat/>
    <w:rPr>
      <w:rFonts w:ascii="Calibri" w:hAnsi="Calibri"/>
      <w:szCs w:val="22"/>
    </w:rPr>
  </w:style>
  <w:style w:type="paragraph" w:styleId="790">
    <w:name w:val="批注框文本"/>
    <w:basedOn w:val="740"/>
    <w:next w:val="790"/>
    <w:link w:val="791"/>
    <w:qFormat/>
    <w:rPr>
      <w:rFonts w:ascii="Times New Roman" w:hAnsi="Times New Roman"/>
      <w:sz w:val="18"/>
      <w:szCs w:val="18"/>
    </w:rPr>
  </w:style>
  <w:style w:type="character" w:styleId="791">
    <w:name w:val="批注框文本 字符"/>
    <w:next w:val="791"/>
    <w:link w:val="790"/>
    <w:qFormat/>
    <w:rPr>
      <w:rFonts w:ascii="Times New Roman" w:hAnsi="Times New Roman" w:eastAsia="宋体" w:cs="Times New Roman"/>
      <w:sz w:val="18"/>
      <w:szCs w:val="18"/>
    </w:rPr>
  </w:style>
  <w:style w:type="paragraph" w:styleId="792">
    <w:name w:val="页脚"/>
    <w:basedOn w:val="740"/>
    <w:next w:val="792"/>
    <w:link w:val="793"/>
    <w:uiPriority w:val="99"/>
    <w:qFormat/>
    <w:pPr>
      <w:jc w:val="left"/>
      <w:tabs>
        <w:tab w:val="center" w:pos="4153" w:leader="none"/>
        <w:tab w:val="right" w:pos="8306" w:leader="none"/>
      </w:tabs>
    </w:pPr>
    <w:rPr>
      <w:rFonts w:ascii="Times New Roman" w:hAnsi="Times New Roman"/>
      <w:sz w:val="18"/>
      <w:szCs w:val="18"/>
    </w:rPr>
  </w:style>
  <w:style w:type="character" w:styleId="793">
    <w:name w:val="页脚 字符"/>
    <w:next w:val="793"/>
    <w:link w:val="792"/>
    <w:uiPriority w:val="99"/>
    <w:qFormat/>
    <w:rPr>
      <w:rFonts w:ascii="Times New Roman" w:hAnsi="Times New Roman" w:eastAsia="宋体" w:cs="Times New Roman"/>
      <w:sz w:val="18"/>
      <w:szCs w:val="18"/>
    </w:rPr>
  </w:style>
  <w:style w:type="paragraph" w:styleId="794">
    <w:name w:val="页眉"/>
    <w:basedOn w:val="740"/>
    <w:next w:val="794"/>
    <w:link w:val="79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95">
    <w:name w:val="页眉 字符"/>
    <w:next w:val="795"/>
    <w:link w:val="794"/>
    <w:uiPriority w:val="99"/>
    <w:qFormat/>
    <w:rPr>
      <w:rFonts w:ascii="Times New Roman" w:hAnsi="Times New Roman" w:eastAsia="宋体" w:cs="Times New Roman"/>
      <w:sz w:val="18"/>
      <w:szCs w:val="18"/>
    </w:rPr>
  </w:style>
  <w:style w:type="paragraph" w:styleId="796">
    <w:name w:val="toc 1"/>
    <w:basedOn w:val="740"/>
    <w:next w:val="740"/>
    <w:link w:val="74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97">
    <w:name w:val="toc 4"/>
    <w:basedOn w:val="740"/>
    <w:next w:val="740"/>
    <w:link w:val="740"/>
    <w:semiHidden/>
    <w:qFormat/>
    <w:pPr>
      <w:ind w:left="630"/>
      <w:jc w:val="left"/>
    </w:pPr>
    <w:rPr>
      <w:rFonts w:ascii="Times New Roman" w:hAnsi="Times New Roman" w:eastAsia="宋体" w:cs="Times New Roman"/>
      <w:szCs w:val="21"/>
    </w:rPr>
  </w:style>
  <w:style w:type="paragraph" w:styleId="798">
    <w:name w:val="副标题"/>
    <w:basedOn w:val="740"/>
    <w:next w:val="740"/>
    <w:link w:val="799"/>
    <w:uiPriority w:val="11"/>
    <w:qFormat/>
    <w:pPr>
      <w:jc w:val="center"/>
    </w:pPr>
    <w:rPr>
      <w:rFonts w:ascii="等线 Light" w:hAnsi="等线 Light" w:eastAsia="等线 Light" w:cs="Times New Roman"/>
      <w:color w:val="595959"/>
      <w:spacing w:val="15"/>
      <w:sz w:val="28"/>
      <w:szCs w:val="28"/>
    </w:rPr>
  </w:style>
  <w:style w:type="character" w:styleId="799">
    <w:name w:val="副标题 字符"/>
    <w:next w:val="799"/>
    <w:link w:val="798"/>
    <w:uiPriority w:val="11"/>
    <w:qFormat/>
    <w:rPr>
      <w:rFonts w:ascii="等线 Light" w:hAnsi="等线 Light" w:eastAsia="等线 Light"/>
      <w:color w:val="595959"/>
      <w:spacing w:val="15"/>
      <w:sz w:val="28"/>
      <w:szCs w:val="28"/>
    </w:rPr>
  </w:style>
  <w:style w:type="paragraph" w:styleId="800">
    <w:name w:val="列表"/>
    <w:basedOn w:val="740"/>
    <w:next w:val="800"/>
    <w:link w:val="740"/>
    <w:qFormat/>
    <w:pPr>
      <w:ind w:left="200" w:hanging="200"/>
    </w:pPr>
    <w:rPr>
      <w:rFonts w:ascii="Times New Roman" w:hAnsi="Times New Roman" w:eastAsia="宋体" w:cs="Times New Roman"/>
      <w:szCs w:val="21"/>
    </w:rPr>
  </w:style>
  <w:style w:type="paragraph" w:styleId="801">
    <w:name w:val="脚注文本"/>
    <w:basedOn w:val="740"/>
    <w:next w:val="801"/>
    <w:link w:val="802"/>
    <w:uiPriority w:val="99"/>
    <w:unhideWhenUsed/>
    <w:qFormat/>
    <w:pPr>
      <w:spacing w:after="40"/>
    </w:pPr>
    <w:rPr>
      <w:rFonts w:ascii="Calibri" w:hAnsi="Calibri"/>
      <w:sz w:val="18"/>
    </w:rPr>
  </w:style>
  <w:style w:type="character" w:styleId="802">
    <w:name w:val="脚注文本 字符"/>
    <w:next w:val="802"/>
    <w:link w:val="801"/>
    <w:uiPriority w:val="99"/>
    <w:semiHidden/>
    <w:qFormat/>
    <w:rPr>
      <w:rFonts w:ascii="Calibri" w:hAnsi="Calibri"/>
      <w:sz w:val="18"/>
      <w:szCs w:val="22"/>
    </w:rPr>
  </w:style>
  <w:style w:type="paragraph" w:styleId="803">
    <w:name w:val="toc 6"/>
    <w:basedOn w:val="740"/>
    <w:next w:val="740"/>
    <w:link w:val="740"/>
    <w:semiHidden/>
    <w:qFormat/>
    <w:pPr>
      <w:ind w:left="1050"/>
      <w:jc w:val="left"/>
    </w:pPr>
    <w:rPr>
      <w:rFonts w:ascii="Times New Roman" w:hAnsi="Times New Roman" w:eastAsia="宋体" w:cs="Times New Roman"/>
      <w:szCs w:val="21"/>
    </w:rPr>
  </w:style>
  <w:style w:type="paragraph" w:styleId="804">
    <w:name w:val="正文文本缩进 3"/>
    <w:basedOn w:val="740"/>
    <w:next w:val="804"/>
    <w:link w:val="805"/>
    <w:qFormat/>
    <w:pPr>
      <w:ind w:left="645" w:firstLine="645"/>
    </w:pPr>
    <w:rPr>
      <w:rFonts w:ascii="Arial" w:hAnsi="Arial" w:eastAsia="仿宋_GB2312"/>
      <w:color w:val="ffff00"/>
      <w:sz w:val="32"/>
      <w:szCs w:val="32"/>
    </w:rPr>
  </w:style>
  <w:style w:type="character" w:styleId="805">
    <w:name w:val="正文文本缩进 3 字符"/>
    <w:next w:val="805"/>
    <w:link w:val="804"/>
    <w:qFormat/>
    <w:rPr>
      <w:rFonts w:ascii="Arial" w:hAnsi="Arial" w:eastAsia="仿宋_GB2312" w:cs="Arial"/>
      <w:color w:val="ffff00"/>
      <w:sz w:val="32"/>
      <w:szCs w:val="32"/>
    </w:rPr>
  </w:style>
  <w:style w:type="paragraph" w:styleId="806">
    <w:name w:val="图表目录"/>
    <w:basedOn w:val="740"/>
    <w:next w:val="740"/>
    <w:link w:val="740"/>
    <w:semiHidden/>
    <w:qFormat/>
    <w:pPr>
      <w:ind w:left="840" w:hanging="420"/>
    </w:pPr>
    <w:rPr>
      <w:rFonts w:ascii="Times New Roman" w:hAnsi="Times New Roman" w:eastAsia="宋体" w:cs="Times New Roman"/>
      <w:szCs w:val="21"/>
    </w:rPr>
  </w:style>
  <w:style w:type="paragraph" w:styleId="807">
    <w:name w:val="toc 2"/>
    <w:basedOn w:val="740"/>
    <w:next w:val="740"/>
    <w:link w:val="740"/>
    <w:uiPriority w:val="39"/>
    <w:qFormat/>
    <w:pPr>
      <w:ind w:left="210"/>
      <w:jc w:val="left"/>
    </w:pPr>
    <w:rPr>
      <w:rFonts w:ascii="Times New Roman" w:hAnsi="Times New Roman" w:eastAsia="宋体" w:cs="Times New Roman"/>
      <w:smallCaps/>
      <w:szCs w:val="24"/>
    </w:rPr>
  </w:style>
  <w:style w:type="paragraph" w:styleId="808">
    <w:name w:val="toc 9"/>
    <w:basedOn w:val="740"/>
    <w:next w:val="740"/>
    <w:link w:val="740"/>
    <w:semiHidden/>
    <w:qFormat/>
    <w:pPr>
      <w:ind w:left="1680"/>
      <w:jc w:val="left"/>
    </w:pPr>
    <w:rPr>
      <w:rFonts w:ascii="Times New Roman" w:hAnsi="Times New Roman" w:eastAsia="宋体" w:cs="Times New Roman"/>
      <w:szCs w:val="21"/>
    </w:rPr>
  </w:style>
  <w:style w:type="paragraph" w:styleId="809">
    <w:name w:val="正文文本 2"/>
    <w:basedOn w:val="740"/>
    <w:next w:val="809"/>
    <w:link w:val="810"/>
    <w:qFormat/>
    <w:pPr>
      <w:jc w:val="center"/>
      <w:widowControl/>
    </w:pPr>
    <w:rPr>
      <w:rFonts w:ascii="楷体_GB2312" w:hAnsi="Times New Roman" w:eastAsia="楷体_GB2312"/>
      <w:sz w:val="28"/>
      <w:szCs w:val="28"/>
    </w:rPr>
  </w:style>
  <w:style w:type="character" w:styleId="810">
    <w:name w:val="正文文本 2 字符"/>
    <w:next w:val="810"/>
    <w:link w:val="809"/>
    <w:qFormat/>
    <w:rPr>
      <w:rFonts w:ascii="楷体_GB2312" w:hAnsi="Times New Roman" w:eastAsia="楷体_GB2312" w:cs="Times New Roman"/>
      <w:sz w:val="28"/>
      <w:szCs w:val="28"/>
    </w:rPr>
  </w:style>
  <w:style w:type="paragraph" w:styleId="811">
    <w:name w:val="普通(网站)"/>
    <w:basedOn w:val="740"/>
    <w:next w:val="811"/>
    <w:link w:val="740"/>
    <w:uiPriority w:val="99"/>
    <w:qFormat/>
    <w:pPr>
      <w:jc w:val="left"/>
      <w:spacing w:before="100" w:beforeAutospacing="1" w:after="100" w:afterAutospacing="1"/>
      <w:widowControl/>
    </w:pPr>
    <w:rPr>
      <w:rFonts w:ascii="宋体" w:hAnsi="宋体" w:eastAsia="宋体" w:cs="宋体"/>
      <w:sz w:val="24"/>
      <w:szCs w:val="24"/>
    </w:rPr>
  </w:style>
  <w:style w:type="paragraph" w:styleId="812">
    <w:name w:val="索引 1"/>
    <w:basedOn w:val="740"/>
    <w:next w:val="740"/>
    <w:link w:val="740"/>
    <w:semiHidden/>
    <w:qFormat/>
    <w:pPr>
      <w:spacing w:line="240" w:lineRule="atLeast"/>
    </w:pPr>
    <w:rPr>
      <w:rFonts w:ascii="Times New Roman" w:hAnsi="Times New Roman" w:eastAsia="宋体" w:cs="Times New Roman"/>
      <w:b/>
      <w:bCs/>
      <w:szCs w:val="21"/>
    </w:rPr>
  </w:style>
  <w:style w:type="paragraph" w:styleId="813">
    <w:name w:val="标题"/>
    <w:basedOn w:val="740"/>
    <w:next w:val="740"/>
    <w:link w:val="814"/>
    <w:uiPriority w:val="10"/>
    <w:qFormat/>
    <w:pPr>
      <w:contextualSpacing/>
      <w:jc w:val="center"/>
      <w:spacing w:after="80"/>
    </w:pPr>
    <w:rPr>
      <w:rFonts w:ascii="等线 Light" w:hAnsi="等线 Light" w:eastAsia="等线 Light" w:cs="Times New Roman"/>
      <w:spacing w:val="-10"/>
      <w:sz w:val="56"/>
      <w:szCs w:val="56"/>
    </w:rPr>
  </w:style>
  <w:style w:type="character" w:styleId="814">
    <w:name w:val="标题 字符"/>
    <w:next w:val="814"/>
    <w:link w:val="813"/>
    <w:uiPriority w:val="10"/>
    <w:qFormat/>
    <w:rPr>
      <w:rFonts w:ascii="等线 Light" w:hAnsi="等线 Light" w:eastAsia="等线 Light"/>
      <w:spacing w:val="-10"/>
      <w:sz w:val="56"/>
      <w:szCs w:val="56"/>
    </w:rPr>
  </w:style>
  <w:style w:type="paragraph" w:styleId="815">
    <w:name w:val="批注主题"/>
    <w:basedOn w:val="770"/>
    <w:next w:val="770"/>
    <w:link w:val="816"/>
    <w:qFormat/>
    <w:rPr>
      <w:rFonts w:ascii="Times New Roman" w:hAnsi="Times New Roman"/>
      <w:b/>
      <w:bCs/>
      <w:sz w:val="20"/>
      <w:szCs w:val="21"/>
    </w:rPr>
  </w:style>
  <w:style w:type="character" w:styleId="816">
    <w:name w:val="批注主题 字符"/>
    <w:next w:val="816"/>
    <w:link w:val="815"/>
    <w:qFormat/>
    <w:rPr>
      <w:rFonts w:ascii="Times New Roman" w:hAnsi="Times New Roman" w:eastAsia="宋体" w:cs="Times New Roman"/>
      <w:b/>
      <w:bCs/>
      <w:szCs w:val="21"/>
    </w:rPr>
  </w:style>
  <w:style w:type="paragraph" w:styleId="817">
    <w:name w:val="正文文本首行缩进"/>
    <w:basedOn w:val="740"/>
    <w:next w:val="817"/>
    <w:link w:val="818"/>
    <w:qFormat/>
    <w:pPr>
      <w:ind w:firstLine="200"/>
      <w:spacing w:line="360" w:lineRule="auto"/>
    </w:pPr>
    <w:rPr>
      <w:rFonts w:ascii="仿宋_GB2312" w:hAnsi="Times New Roman" w:eastAsia="仿宋_GB2312"/>
      <w:sz w:val="30"/>
      <w:szCs w:val="30"/>
    </w:rPr>
  </w:style>
  <w:style w:type="character" w:styleId="818">
    <w:name w:val="正文文本首行缩进 字符"/>
    <w:next w:val="818"/>
    <w:link w:val="817"/>
    <w:rPr>
      <w:rFonts w:ascii="仿宋_GB2312" w:hAnsi="Times New Roman" w:eastAsia="仿宋_GB2312" w:cs="Times New Roman"/>
      <w:sz w:val="30"/>
      <w:szCs w:val="30"/>
    </w:rPr>
  </w:style>
  <w:style w:type="paragraph" w:styleId="819">
    <w:name w:val="正文文本首行缩进 2"/>
    <w:basedOn w:val="776"/>
    <w:next w:val="819"/>
    <w:link w:val="820"/>
    <w:qFormat/>
    <w:pPr>
      <w:ind w:left="0" w:firstLine="420"/>
      <w:spacing w:after="0" w:line="360" w:lineRule="auto"/>
    </w:pPr>
    <w:rPr>
      <w:rFonts w:ascii="宋体" w:hAnsi="宋体"/>
      <w:sz w:val="20"/>
      <w:szCs w:val="20"/>
    </w:rPr>
  </w:style>
  <w:style w:type="character" w:styleId="820">
    <w:name w:val="正文文本首行缩进 2 字符"/>
    <w:next w:val="820"/>
    <w:link w:val="819"/>
    <w:qFormat/>
    <w:rPr>
      <w:rFonts w:ascii="宋体" w:hAnsi="宋体" w:eastAsia="宋体" w:cs="Times New Roman"/>
      <w:szCs w:val="20"/>
    </w:rPr>
  </w:style>
  <w:style w:type="table" w:styleId="821">
    <w:name w:val="网格型"/>
    <w:basedOn w:val="751"/>
    <w:next w:val="821"/>
    <w:link w:val="740"/>
    <w:qFormat/>
    <w:pPr>
      <w:jc w:val="both"/>
      <w:widowControl w:val="off"/>
    </w:pPr>
    <w:rPr>
      <w:rFonts w:ascii="Times New Roman" w:hAnsi="Times New Roman" w:eastAsia="宋体" w:cs="Times New Roman"/>
      <w:sz w:val="20"/>
      <w:szCs w:val="20"/>
    </w:rPr>
    <w:tblPr/>
  </w:style>
  <w:style w:type="character" w:styleId="822">
    <w:name w:val="要点"/>
    <w:next w:val="822"/>
    <w:link w:val="740"/>
    <w:qFormat/>
    <w:rPr>
      <w:b/>
      <w:bCs/>
    </w:rPr>
  </w:style>
  <w:style w:type="character" w:styleId="823">
    <w:name w:val="尾注引用"/>
    <w:next w:val="823"/>
    <w:link w:val="740"/>
    <w:uiPriority w:val="99"/>
    <w:unhideWhenUsed/>
    <w:qFormat/>
    <w:rPr>
      <w:vertAlign w:val="superscript"/>
    </w:rPr>
  </w:style>
  <w:style w:type="character" w:styleId="824">
    <w:name w:val="页码"/>
    <w:next w:val="824"/>
    <w:link w:val="740"/>
    <w:qFormat/>
  </w:style>
  <w:style w:type="character" w:styleId="825">
    <w:name w:val="访问过的超链接"/>
    <w:next w:val="825"/>
    <w:link w:val="740"/>
    <w:qFormat/>
    <w:rPr>
      <w:color w:val="800080"/>
      <w:u w:val="single"/>
    </w:rPr>
  </w:style>
  <w:style w:type="character" w:styleId="826">
    <w:name w:val="超链接"/>
    <w:next w:val="826"/>
    <w:link w:val="740"/>
    <w:uiPriority w:val="99"/>
    <w:qFormat/>
    <w:rPr>
      <w:color w:val="0000ff"/>
      <w:u w:val="single"/>
    </w:rPr>
  </w:style>
  <w:style w:type="character" w:styleId="827">
    <w:name w:val="批注引用"/>
    <w:next w:val="827"/>
    <w:link w:val="740"/>
    <w:qFormat/>
    <w:rPr>
      <w:sz w:val="21"/>
      <w:szCs w:val="21"/>
    </w:rPr>
  </w:style>
  <w:style w:type="character" w:styleId="828">
    <w:name w:val="脚注引用"/>
    <w:next w:val="828"/>
    <w:link w:val="740"/>
    <w:uiPriority w:val="99"/>
    <w:unhideWhenUsed/>
    <w:qFormat/>
    <w:rPr>
      <w:vertAlign w:val="superscript"/>
    </w:rPr>
  </w:style>
  <w:style w:type="paragraph" w:styleId="829">
    <w:name w:val="正文文本缩进1"/>
    <w:next w:val="830"/>
    <w:link w:val="740"/>
    <w:qFormat/>
    <w:pPr>
      <w:ind w:firstLine="425"/>
      <w:jc w:val="both"/>
      <w:spacing w:line="360" w:lineRule="auto"/>
      <w:widowControl w:val="off"/>
    </w:pPr>
    <w:rPr>
      <w:sz w:val="24"/>
      <w:szCs w:val="24"/>
      <w:lang w:val="en-US" w:eastAsia="zh-CN" w:bidi="ar-SA"/>
    </w:rPr>
  </w:style>
  <w:style w:type="paragraph" w:styleId="830">
    <w:name w:val="寄信人地址1"/>
    <w:next w:val="830"/>
    <w:link w:val="740"/>
    <w:qFormat/>
    <w:pPr>
      <w:jc w:val="both"/>
      <w:widowControl w:val="off"/>
    </w:pPr>
    <w:rPr>
      <w:rFonts w:ascii="Arial" w:hAnsi="Arial"/>
      <w:sz w:val="21"/>
      <w:szCs w:val="24"/>
      <w:lang w:val="en-US" w:eastAsia="zh-CN" w:bidi="ar-SA"/>
    </w:rPr>
  </w:style>
  <w:style w:type="paragraph" w:styleId="831">
    <w:name w:val="段"/>
    <w:next w:val="740"/>
    <w:link w:val="740"/>
    <w:uiPriority w:val="99"/>
    <w:qFormat/>
    <w:pPr>
      <w:ind w:firstLine="200"/>
      <w:jc w:val="both"/>
      <w:spacing w:line="360" w:lineRule="auto"/>
    </w:pPr>
    <w:rPr>
      <w:rFonts w:ascii="宋体"/>
      <w:sz w:val="24"/>
      <w:szCs w:val="22"/>
      <w:lang w:val="en-US" w:eastAsia="zh-CN" w:bidi="ar-SA"/>
    </w:rPr>
  </w:style>
  <w:style w:type="character" w:styleId="832">
    <w:name w:val="font5 Char"/>
    <w:next w:val="832"/>
    <w:link w:val="740"/>
    <w:qFormat/>
    <w:rPr>
      <w:rFonts w:ascii="宋体" w:hAnsi="宋体" w:eastAsia="宋体"/>
      <w:sz w:val="28"/>
      <w:szCs w:val="28"/>
      <w:lang w:val="en-US" w:eastAsia="zh-CN" w:bidi="ar-SA"/>
    </w:rPr>
  </w:style>
  <w:style w:type="character" w:styleId="833">
    <w:name w:val="二级目录 Char"/>
    <w:next w:val="833"/>
    <w:link w:val="834"/>
    <w:qFormat/>
    <w:rPr>
      <w:b/>
      <w:sz w:val="30"/>
      <w:szCs w:val="28"/>
      <w:lang w:val="en-US" w:eastAsia="zh-CN" w:bidi="ar-SA"/>
    </w:rPr>
  </w:style>
  <w:style w:type="paragraph" w:styleId="834">
    <w:name w:val="二级目录"/>
    <w:next w:val="740"/>
    <w:link w:val="833"/>
    <w:pPr>
      <w:tabs>
        <w:tab w:val="left" w:pos="907" w:leader="none"/>
        <w:tab w:val="left" w:pos="1145" w:leader="none"/>
      </w:tabs>
      <w:outlineLvl w:val="1"/>
    </w:pPr>
    <w:rPr>
      <w:b/>
      <w:sz w:val="30"/>
      <w:szCs w:val="28"/>
      <w:lang w:val="en-US" w:eastAsia="zh-CN" w:bidi="ar-SA"/>
    </w:rPr>
  </w:style>
  <w:style w:type="character" w:styleId="835">
    <w:name w:val="列出段落 Char,Bullet List Char,numbered Char,FooterText Char,List Paragraph1 Char,Paragraphe de liste1 Char"/>
    <w:next w:val="835"/>
    <w:link w:val="836"/>
    <w:qFormat/>
    <w:rPr>
      <w:rFonts w:ascii="Calibri" w:hAnsi="Calibri"/>
      <w:sz w:val="24"/>
      <w:szCs w:val="24"/>
      <w:lang w:eastAsia="en-US" w:bidi="en-US"/>
    </w:rPr>
  </w:style>
  <w:style w:type="paragraph" w:styleId="836">
    <w:name w:val="列出段落1"/>
    <w:basedOn w:val="740"/>
    <w:next w:val="836"/>
    <w:link w:val="835"/>
    <w:qFormat/>
    <w:pPr>
      <w:contextualSpacing/>
      <w:ind w:left="720"/>
      <w:jc w:val="left"/>
      <w:widowControl/>
    </w:pPr>
    <w:rPr>
      <w:sz w:val="24"/>
      <w:szCs w:val="24"/>
      <w:lang w:eastAsia="en-US" w:bidi="en-US"/>
    </w:rPr>
  </w:style>
  <w:style w:type="paragraph" w:styleId="837">
    <w:name w:val="Body Text(ch)"/>
    <w:basedOn w:val="740"/>
    <w:next w:val="774"/>
    <w:link w:val="740"/>
    <w:qFormat/>
    <w:pPr>
      <w:spacing w:after="120"/>
    </w:pPr>
    <w:rPr>
      <w:rFonts w:ascii="宋体" w:hAnsi="Arial" w:eastAsia="宋体" w:cs="Times New Roman"/>
      <w:bCs/>
      <w:iCs/>
      <w:szCs w:val="24"/>
    </w:rPr>
  </w:style>
  <w:style w:type="paragraph" w:styleId="838">
    <w:name w:val="xl27"/>
    <w:basedOn w:val="740"/>
    <w:next w:val="838"/>
    <w:link w:val="7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xl26"/>
    <w:basedOn w:val="740"/>
    <w:next w:val="839"/>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0">
    <w:name w:val="Char"/>
    <w:basedOn w:val="740"/>
    <w:next w:val="840"/>
    <w:link w:val="740"/>
    <w:qFormat/>
    <w:pPr>
      <w:ind w:firstLine="200"/>
      <w:tabs>
        <w:tab w:val="left" w:pos="360" w:leader="none"/>
      </w:tabs>
    </w:pPr>
    <w:rPr>
      <w:rFonts w:ascii="Times New Roman" w:hAnsi="Times New Roman" w:eastAsia="宋体" w:cs="Times New Roman"/>
      <w:sz w:val="28"/>
      <w:szCs w:val="30"/>
    </w:rPr>
  </w:style>
  <w:style w:type="paragraph" w:styleId="841">
    <w:name w:val=" Char"/>
    <w:basedOn w:val="768"/>
    <w:next w:val="841"/>
    <w:link w:val="740"/>
    <w:rPr>
      <w:rFonts w:ascii="Tahoma" w:hAnsi="Tahoma"/>
      <w:sz w:val="24"/>
      <w:szCs w:val="24"/>
    </w:rPr>
  </w:style>
  <w:style w:type="paragraph" w:styleId="842">
    <w:name w:val="普通正文"/>
    <w:basedOn w:val="740"/>
    <w:next w:val="842"/>
    <w:link w:val="740"/>
    <w:pPr>
      <w:ind w:firstLine="480"/>
      <w:jc w:val="left"/>
      <w:spacing w:before="120" w:after="120" w:line="360" w:lineRule="auto"/>
    </w:pPr>
    <w:rPr>
      <w:rFonts w:ascii="Arial" w:hAnsi="Arial" w:eastAsia="宋体" w:cs="Times New Roman"/>
      <w:sz w:val="24"/>
      <w:szCs w:val="24"/>
    </w:rPr>
  </w:style>
  <w:style w:type="paragraph" w:styleId="843">
    <w:name w:val="table_lines"/>
    <w:basedOn w:val="740"/>
    <w:next w:val="843"/>
    <w:link w:val="740"/>
    <w:qFormat/>
    <w:pPr>
      <w:jc w:val="left"/>
      <w:widowControl/>
    </w:pPr>
    <w:rPr>
      <w:rFonts w:ascii="Times New Roman" w:hAnsi="Times New Roman" w:eastAsia="宋体" w:cs="Times New Roman"/>
      <w:sz w:val="20"/>
      <w:szCs w:val="20"/>
      <w:lang w:val="de-DE" w:eastAsia="de-DE"/>
    </w:rPr>
  </w:style>
  <w:style w:type="paragraph" w:styleId="844">
    <w:name w:val="附录1"/>
    <w:next w:val="844"/>
    <w:link w:val="740"/>
    <w:qFormat/>
    <w:pPr>
      <w:spacing w:before="240" w:line="600" w:lineRule="atLeast"/>
      <w:tabs>
        <w:tab w:val="left" w:pos="907" w:leader="none"/>
      </w:tabs>
    </w:pPr>
    <w:rPr>
      <w:b/>
      <w:i/>
      <w:sz w:val="28"/>
      <w:lang w:val="en-US" w:eastAsia="zh-CN" w:bidi="ar-SA"/>
    </w:rPr>
  </w:style>
  <w:style w:type="paragraph" w:styleId="845">
    <w:name w:val="font7"/>
    <w:basedOn w:val="740"/>
    <w:next w:val="845"/>
    <w:link w:val="740"/>
    <w:qFormat/>
    <w:pPr>
      <w:jc w:val="left"/>
      <w:spacing w:before="100" w:beforeAutospacing="1" w:after="100" w:afterAutospacing="1"/>
      <w:widowControl/>
    </w:pPr>
    <w:rPr>
      <w:rFonts w:hint="eastAsia" w:ascii="宋体" w:hAnsi="宋体" w:eastAsia="宋体" w:cs="Times New Roman"/>
      <w:sz w:val="18"/>
      <w:szCs w:val="18"/>
    </w:rPr>
  </w:style>
  <w:style w:type="paragraph" w:styleId="846">
    <w:name w:val=" Char Char Char Char"/>
    <w:basedOn w:val="768"/>
    <w:next w:val="846"/>
    <w:link w:val="740"/>
    <w:pPr>
      <w:spacing w:line="360" w:lineRule="auto"/>
    </w:pPr>
    <w:rPr>
      <w:rFonts w:ascii="Tahoma" w:hAnsi="Tahoma"/>
      <w:sz w:val="24"/>
      <w:szCs w:val="24"/>
    </w:rPr>
  </w:style>
  <w:style w:type="paragraph" w:styleId="847">
    <w:name w:val="列表段落"/>
    <w:basedOn w:val="740"/>
    <w:next w:val="847"/>
    <w:link w:val="740"/>
    <w:qFormat/>
    <w:pPr>
      <w:contextualSpacing/>
      <w:ind w:left="720"/>
      <w:jc w:val="left"/>
      <w:widowControl/>
    </w:pPr>
    <w:rPr>
      <w:rFonts w:ascii="Calibri" w:hAnsi="Calibri" w:eastAsia="宋体" w:cs="Times New Roman"/>
      <w:sz w:val="24"/>
      <w:szCs w:val="24"/>
      <w:lang w:eastAsia="en-US" w:bidi="en-US"/>
    </w:rPr>
  </w:style>
  <w:style w:type="paragraph" w:styleId="848">
    <w:name w:val="4"/>
    <w:basedOn w:val="740"/>
    <w:next w:val="804"/>
    <w:link w:val="740"/>
    <w:qFormat/>
    <w:pPr>
      <w:ind w:firstLine="420"/>
      <w:spacing w:line="360" w:lineRule="auto"/>
    </w:pPr>
    <w:rPr>
      <w:rFonts w:ascii="Times New Roman" w:hAnsi="Times New Roman" w:eastAsia="宋体" w:cs="Times New Roman"/>
      <w:color w:val="ff0000"/>
      <w:sz w:val="24"/>
      <w:szCs w:val="24"/>
    </w:rPr>
  </w:style>
  <w:style w:type="paragraph" w:styleId="849">
    <w:name w:val="普通 (Web)"/>
    <w:basedOn w:val="740"/>
    <w:next w:val="849"/>
    <w:link w:val="740"/>
    <w:qFormat/>
    <w:pPr>
      <w:jc w:val="left"/>
      <w:spacing w:before="100" w:beforeAutospacing="1" w:after="100" w:afterAutospacing="1"/>
      <w:widowControl/>
    </w:pPr>
    <w:rPr>
      <w:rFonts w:ascii="宋体" w:hAnsi="宋体" w:eastAsia="宋体" w:cs="Times New Roman"/>
      <w:sz w:val="24"/>
      <w:szCs w:val="24"/>
    </w:rPr>
  </w:style>
  <w:style w:type="paragraph" w:styleId="850">
    <w:name w:val=" Char Char Char Char Char Char Char Char Char Char"/>
    <w:basedOn w:val="740"/>
    <w:next w:val="850"/>
    <w:link w:val="740"/>
    <w:pPr>
      <w:spacing w:line="360" w:lineRule="auto"/>
    </w:pPr>
    <w:rPr>
      <w:rFonts w:ascii="Times New Roman" w:hAnsi="Times New Roman" w:eastAsia="宋体" w:cs="Times New Roman"/>
      <w:sz w:val="24"/>
      <w:szCs w:val="20"/>
    </w:rPr>
  </w:style>
  <w:style w:type="paragraph" w:styleId="851">
    <w:name w:val="样式1"/>
    <w:basedOn w:val="740"/>
    <w:next w:val="851"/>
    <w:link w:val="740"/>
    <w:qFormat/>
    <w:pPr>
      <w:numPr>
        <w:ilvl w:val="0"/>
        <w:numId w:val="0"/>
      </w:numPr>
      <w:tabs>
        <w:tab w:val="left" w:pos="709" w:leader="none"/>
      </w:tabs>
    </w:pPr>
    <w:rPr>
      <w:rFonts w:ascii="宋体" w:hAnsi="宋体" w:eastAsia="宋体" w:cs="Times New Roman"/>
      <w:szCs w:val="21"/>
    </w:rPr>
  </w:style>
  <w:style w:type="paragraph" w:styleId="852">
    <w:name w:val="font6"/>
    <w:basedOn w:val="740"/>
    <w:next w:val="852"/>
    <w:link w:val="74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53">
    <w:name w:val="xl25"/>
    <w:basedOn w:val="740"/>
    <w:next w:val="853"/>
    <w:link w:val="74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4">
    <w:name w:val="图标"/>
    <w:basedOn w:val="740"/>
    <w:next w:val="740"/>
    <w:link w:val="74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5">
    <w:name w:val="标题3"/>
    <w:basedOn w:val="740"/>
    <w:next w:val="740"/>
    <w:link w:val="740"/>
    <w:qFormat/>
    <w:pPr>
      <w:ind w:firstLine="624"/>
      <w:spacing w:line="590" w:lineRule="atLeast"/>
    </w:pPr>
    <w:rPr>
      <w:rFonts w:ascii="方正黑体_GBK" w:hAnsi="Times New Roman" w:eastAsia="方正黑体_GBK" w:cs="Times New Roman"/>
      <w:sz w:val="32"/>
      <w:szCs w:val="32"/>
    </w:rPr>
  </w:style>
  <w:style w:type="paragraph" w:styleId="856">
    <w:name w:val="xl24"/>
    <w:basedOn w:val="740"/>
    <w:next w:val="856"/>
    <w:link w:val="7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7">
    <w:name w:val="xl29"/>
    <w:basedOn w:val="740"/>
    <w:next w:val="857"/>
    <w:link w:val="74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58">
    <w:name w:val="Char Char Char Char Char Char Char Char"/>
    <w:basedOn w:val="740"/>
    <w:next w:val="858"/>
    <w:link w:val="740"/>
    <w:qFormat/>
    <w:pPr>
      <w:jc w:val="left"/>
      <w:spacing w:after="160" w:line="240" w:lineRule="exact"/>
      <w:widowControl/>
    </w:pPr>
    <w:rPr>
      <w:rFonts w:ascii="Verdana" w:hAnsi="Verdana" w:eastAsia="宋体" w:cs="Times New Roman"/>
      <w:sz w:val="20"/>
      <w:szCs w:val="20"/>
      <w:lang w:eastAsia="en-US"/>
    </w:rPr>
  </w:style>
  <w:style w:type="paragraph" w:styleId="859">
    <w:name w:val="xl28"/>
    <w:basedOn w:val="740"/>
    <w:next w:val="859"/>
    <w:link w:val="7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0">
    <w:name w:val=" Char Char Char Char Char Char Char Char"/>
    <w:basedOn w:val="740"/>
    <w:next w:val="860"/>
    <w:link w:val="740"/>
    <w:pPr>
      <w:jc w:val="left"/>
      <w:spacing w:after="160" w:line="240" w:lineRule="exact"/>
      <w:widowControl/>
    </w:pPr>
    <w:rPr>
      <w:rFonts w:ascii="Verdana" w:hAnsi="Verdana" w:eastAsia="宋体" w:cs="Times New Roman"/>
      <w:sz w:val="20"/>
      <w:szCs w:val="20"/>
      <w:lang w:eastAsia="en-US"/>
    </w:rPr>
  </w:style>
  <w:style w:type="paragraph" w:styleId="861">
    <w:name w:val="xl30"/>
    <w:basedOn w:val="740"/>
    <w:next w:val="861"/>
    <w:link w:val="740"/>
    <w:qFormat/>
    <w:pPr>
      <w:jc w:val="center"/>
      <w:spacing w:before="100" w:beforeAutospacing="1" w:after="100" w:afterAutospacing="1"/>
      <w:widowControl/>
    </w:pPr>
    <w:rPr>
      <w:rFonts w:ascii="宋体" w:hAnsi="宋体" w:eastAsia="宋体" w:cs="Times New Roman"/>
      <w:b/>
      <w:bCs/>
      <w:sz w:val="36"/>
      <w:szCs w:val="36"/>
    </w:rPr>
  </w:style>
  <w:style w:type="paragraph" w:styleId="862">
    <w:name w:val="Char Char Char Char"/>
    <w:basedOn w:val="768"/>
    <w:next w:val="862"/>
    <w:link w:val="740"/>
    <w:qFormat/>
    <w:pPr>
      <w:spacing w:line="360" w:lineRule="auto"/>
    </w:pPr>
    <w:rPr>
      <w:rFonts w:ascii="Tahoma" w:hAnsi="Tahoma"/>
      <w:sz w:val="24"/>
      <w:szCs w:val="24"/>
    </w:rPr>
  </w:style>
  <w:style w:type="paragraph" w:styleId="863">
    <w:name w:val="table_1stline"/>
    <w:basedOn w:val="740"/>
    <w:next w:val="863"/>
    <w:link w:val="740"/>
    <w:pPr>
      <w:jc w:val="left"/>
      <w:spacing w:before="120"/>
      <w:widowControl/>
    </w:pPr>
    <w:rPr>
      <w:rFonts w:ascii="Times New Roman" w:hAnsi="Times New Roman" w:eastAsia="宋体" w:cs="Times New Roman"/>
      <w:bCs/>
      <w:sz w:val="20"/>
      <w:szCs w:val="20"/>
      <w:lang w:val="de-DE" w:eastAsia="de-DE"/>
    </w:rPr>
  </w:style>
  <w:style w:type="paragraph" w:styleId="864">
    <w:name w:val="font5"/>
    <w:basedOn w:val="740"/>
    <w:next w:val="864"/>
    <w:link w:val="740"/>
    <w:qFormat/>
    <w:pPr>
      <w:jc w:val="left"/>
      <w:spacing w:before="100" w:beforeAutospacing="1" w:after="100" w:afterAutospacing="1"/>
      <w:widowControl/>
    </w:pPr>
    <w:rPr>
      <w:rFonts w:hint="eastAsia" w:ascii="宋体" w:hAnsi="宋体" w:eastAsia="宋体" w:cs="Times New Roman"/>
      <w:sz w:val="28"/>
      <w:szCs w:val="28"/>
    </w:rPr>
  </w:style>
  <w:style w:type="paragraph" w:styleId="865">
    <w:name w:val="标题1"/>
    <w:basedOn w:val="740"/>
    <w:next w:val="740"/>
    <w:link w:val="74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6">
    <w:name w:val="修订"/>
    <w:next w:val="866"/>
    <w:link w:val="740"/>
    <w:uiPriority w:val="99"/>
    <w:rPr>
      <w:sz w:val="21"/>
      <w:szCs w:val="21"/>
      <w:lang w:val="en-US" w:eastAsia="zh-CN" w:bidi="ar-SA"/>
    </w:rPr>
  </w:style>
  <w:style w:type="paragraph" w:styleId="867">
    <w:name w:val="无间隔"/>
    <w:next w:val="867"/>
    <w:link w:val="740"/>
    <w:uiPriority w:val="99"/>
    <w:qFormat/>
    <w:pPr>
      <w:jc w:val="both"/>
      <w:widowControl w:val="off"/>
    </w:pPr>
    <w:rPr>
      <w:sz w:val="21"/>
      <w:szCs w:val="21"/>
      <w:lang w:val="en-US" w:eastAsia="zh-CN" w:bidi="ar-SA"/>
    </w:rPr>
  </w:style>
  <w:style w:type="paragraph" w:styleId="868">
    <w:name w:val="TOC 标题"/>
    <w:basedOn w:val="741"/>
    <w:next w:val="740"/>
    <w:link w:val="740"/>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69">
    <w:name w:val="首行缩进"/>
    <w:basedOn w:val="740"/>
    <w:next w:val="869"/>
    <w:link w:val="740"/>
    <w:qFormat/>
    <w:pPr>
      <w:ind w:firstLine="480"/>
    </w:pPr>
    <w:rPr>
      <w:rFonts w:ascii="Times New Roman" w:hAnsi="Times New Roman" w:eastAsia="楷体_GB2312"/>
      <w:sz w:val="26"/>
      <w:szCs w:val="20"/>
      <w:lang w:val="zh-CN"/>
    </w:rPr>
  </w:style>
  <w:style w:type="paragraph" w:styleId="870">
    <w:name w:val="Plain Text"/>
    <w:basedOn w:val="740"/>
    <w:next w:val="870"/>
    <w:link w:val="740"/>
    <w:qFormat/>
    <w:rPr>
      <w:rFonts w:ascii="宋体" w:hAnsi="Courier New" w:eastAsia="楷体_GB2312"/>
      <w:sz w:val="26"/>
    </w:rPr>
  </w:style>
  <w:style w:type="character" w:styleId="871">
    <w:name w:val="标题 1 字符1"/>
    <w:next w:val="871"/>
    <w:link w:val="740"/>
    <w:qFormat/>
    <w:rPr>
      <w:rFonts w:ascii="楷体_GB2312" w:hAnsi="Times New Roman" w:eastAsia="楷体_GB2312" w:cs="Times New Roman"/>
      <w:sz w:val="28"/>
      <w:szCs w:val="28"/>
    </w:rPr>
  </w:style>
  <w:style w:type="character" w:styleId="872">
    <w:name w:val="font11"/>
    <w:next w:val="872"/>
    <w:link w:val="740"/>
    <w:qFormat/>
    <w:rPr>
      <w:rFonts w:hint="eastAsia" w:ascii="黑体" w:hAnsi="宋体" w:eastAsia="黑体" w:cs="黑体"/>
      <w:color w:val="000000"/>
      <w:sz w:val="24"/>
      <w:szCs w:val="24"/>
      <w:u w:val="none"/>
    </w:rPr>
  </w:style>
  <w:style w:type="character" w:styleId="873">
    <w:name w:val="font21"/>
    <w:next w:val="873"/>
    <w:link w:val="740"/>
    <w:qFormat/>
    <w:rPr>
      <w:rFonts w:ascii="仿宋" w:hAnsi="仿宋" w:eastAsia="仿宋" w:cs="仿宋"/>
      <w:color w:val="000000"/>
      <w:sz w:val="28"/>
      <w:szCs w:val="28"/>
      <w:u w:val="none"/>
    </w:rPr>
  </w:style>
  <w:style w:type="table" w:styleId="874">
    <w:name w:val="Table Normal"/>
    <w:next w:val="874"/>
    <w:link w:val="740"/>
    <w:unhideWhenUsed/>
    <w:qFormat/>
    <w:rPr>
      <w:rFonts w:ascii="Arial" w:hAnsi="Arial" w:eastAsia="等线" w:cs="Arial"/>
      <w:color w:val="000000"/>
      <w:sz w:val="21"/>
      <w:szCs w:val="21"/>
      <w:lang w:val="en-US" w:eastAsia="en-US" w:bidi="ar-SA"/>
    </w:rPr>
    <w:tblPr/>
  </w:style>
  <w:style w:type="paragraph" w:styleId="875">
    <w:name w:val="Table Text"/>
    <w:basedOn w:val="740"/>
    <w:next w:val="875"/>
    <w:link w:val="740"/>
    <w:semiHidden/>
    <w:qFormat/>
    <w:pPr>
      <w:jc w:val="left"/>
      <w:widowControl/>
    </w:pPr>
    <w:rPr>
      <w:rFonts w:ascii="黑体" w:hAnsi="黑体" w:eastAsia="黑体" w:cs="黑体"/>
      <w:color w:val="000000"/>
      <w:sz w:val="18"/>
      <w:szCs w:val="18"/>
      <w:lang w:eastAsia="en-US"/>
    </w:rPr>
  </w:style>
  <w:style w:type="table" w:styleId="876">
    <w:name w:val="Table Normal1"/>
    <w:next w:val="876"/>
    <w:link w:val="740"/>
    <w:unhideWhenUsed/>
    <w:qFormat/>
    <w:rPr>
      <w:rFonts w:ascii="Arial" w:hAnsi="Arial" w:eastAsia="等线" w:cs="Arial"/>
      <w:color w:val="000000"/>
      <w:sz w:val="21"/>
      <w:szCs w:val="21"/>
      <w:lang w:val="en-US" w:eastAsia="en-US" w:bidi="ar-SA"/>
    </w:rPr>
    <w:tblPr/>
  </w:style>
  <w:style w:type="paragraph" w:styleId="877">
    <w:name w:val="正文2"/>
    <w:basedOn w:val="740"/>
    <w:next w:val="740"/>
    <w:link w:val="740"/>
    <w:qFormat/>
    <w:pPr>
      <w:ind w:hanging="2155"/>
      <w:spacing w:line="360" w:lineRule="auto"/>
      <w:shd w:val="clear" w:color="auto" w:fill="ffffff"/>
      <w:widowControl/>
    </w:pPr>
    <w:rPr>
      <w:rFonts w:hint="eastAsia" w:ascii="宋体" w:hAnsi="宋体" w:eastAsia="宋体" w:cs="Times New Roman"/>
      <w:sz w:val="20"/>
      <w:szCs w:val="20"/>
    </w:rPr>
  </w:style>
  <w:style w:type="character" w:styleId="878">
    <w:name w:val="15"/>
    <w:next w:val="878"/>
    <w:link w:val="740"/>
    <w:rPr>
      <w:rFonts w:ascii="Times New Roman" w:hAnsi="Times New Roman" w:cs="Times New Roman"/>
    </w:rPr>
  </w:style>
  <w:style w:type="paragraph" w:styleId="879">
    <w:name w:val="引用"/>
    <w:basedOn w:val="740"/>
    <w:next w:val="740"/>
    <w:link w:val="880"/>
    <w:uiPriority w:val="29"/>
    <w:qFormat/>
    <w:pPr>
      <w:jc w:val="center"/>
      <w:spacing w:before="160"/>
    </w:pPr>
    <w:rPr>
      <w:rFonts w:ascii="等线" w:hAnsi="等线" w:eastAsia="等线" w:cs="Times New Roman"/>
      <w:i/>
      <w:iCs/>
      <w:color w:val="404040"/>
      <w:szCs w:val="24"/>
    </w:rPr>
  </w:style>
  <w:style w:type="character" w:styleId="880">
    <w:name w:val="引用 字符"/>
    <w:next w:val="880"/>
    <w:link w:val="879"/>
    <w:uiPriority w:val="29"/>
    <w:qFormat/>
    <w:rPr>
      <w:rFonts w:ascii="等线" w:hAnsi="等线" w:eastAsia="等线"/>
      <w:i/>
      <w:iCs/>
      <w:color w:val="404040"/>
      <w:sz w:val="21"/>
      <w:szCs w:val="24"/>
    </w:rPr>
  </w:style>
  <w:style w:type="character" w:styleId="881">
    <w:name w:val="明显强调1"/>
    <w:next w:val="881"/>
    <w:link w:val="740"/>
    <w:uiPriority w:val="21"/>
    <w:qFormat/>
    <w:rPr>
      <w:i/>
      <w:iCs/>
      <w:color w:val="2f5496"/>
    </w:rPr>
  </w:style>
  <w:style w:type="paragraph" w:styleId="882">
    <w:name w:val="明显引用"/>
    <w:basedOn w:val="740"/>
    <w:next w:val="740"/>
    <w:link w:val="883"/>
    <w:uiPriority w:val="30"/>
    <w:qFormat/>
    <w:pPr>
      <w:ind w:left="864" w:right="864"/>
      <w:jc w:val="center"/>
      <w:spacing w:before="360" w:after="360"/>
      <w:pBdr>
        <w:top w:val="single" w:color="2F5496" w:sz="4" w:space="10"/>
        <w:bottom w:val="single" w:color="2F5496" w:sz="4" w:space="10"/>
      </w:pBdr>
    </w:pPr>
    <w:rPr>
      <w:rFonts w:ascii="等线" w:hAnsi="等线" w:eastAsia="等线" w:cs="Times New Roman"/>
      <w:i/>
      <w:iCs/>
      <w:color w:val="2f5496"/>
      <w:szCs w:val="24"/>
    </w:rPr>
  </w:style>
  <w:style w:type="character" w:styleId="883">
    <w:name w:val="明显引用 字符"/>
    <w:next w:val="883"/>
    <w:link w:val="882"/>
    <w:uiPriority w:val="30"/>
    <w:qFormat/>
    <w:rPr>
      <w:rFonts w:ascii="等线" w:hAnsi="等线" w:eastAsia="等线"/>
      <w:i/>
      <w:iCs/>
      <w:color w:val="2f5496"/>
      <w:sz w:val="21"/>
      <w:szCs w:val="24"/>
    </w:rPr>
  </w:style>
  <w:style w:type="character" w:styleId="884">
    <w:name w:val="明显参考1"/>
    <w:next w:val="884"/>
    <w:link w:val="740"/>
    <w:uiPriority w:val="32"/>
    <w:qFormat/>
    <w:rPr>
      <w:b/>
      <w:bCs/>
      <w:smallCaps/>
      <w:color w:val="2f5496"/>
      <w:spacing w:val="5"/>
    </w:rPr>
  </w:style>
  <w:style w:type="character" w:styleId="885">
    <w:name w:val="font51"/>
    <w:next w:val="885"/>
    <w:link w:val="740"/>
    <w:qFormat/>
    <w:rPr>
      <w:rFonts w:hint="eastAsia" w:ascii="新宋体" w:hAnsi="新宋体" w:eastAsia="新宋体" w:cs="新宋体"/>
      <w:color w:val="000000"/>
      <w:sz w:val="20"/>
      <w:szCs w:val="20"/>
      <w:u w:val="none"/>
    </w:rPr>
  </w:style>
  <w:style w:type="character" w:styleId="886">
    <w:name w:val="font71"/>
    <w:next w:val="886"/>
    <w:link w:val="740"/>
    <w:qFormat/>
    <w:rPr>
      <w:rFonts w:hint="eastAsia" w:ascii="新宋体" w:hAnsi="新宋体" w:eastAsia="新宋体" w:cs="新宋体"/>
      <w:color w:val="000000"/>
      <w:sz w:val="20"/>
      <w:szCs w:val="20"/>
      <w:u w:val="none"/>
    </w:rPr>
  </w:style>
  <w:style w:type="character" w:styleId="887">
    <w:name w:val="font41"/>
    <w:next w:val="887"/>
    <w:link w:val="740"/>
    <w:qFormat/>
    <w:rPr>
      <w:rFonts w:hint="eastAsia" w:ascii="宋体" w:hAnsi="宋体" w:eastAsia="宋体" w:cs="宋体"/>
      <w:color w:val="000000"/>
      <w:sz w:val="20"/>
      <w:szCs w:val="20"/>
      <w:u w:val="none"/>
    </w:rPr>
  </w:style>
  <w:style w:type="character" w:styleId="888">
    <w:name w:val="font81"/>
    <w:next w:val="888"/>
    <w:link w:val="740"/>
    <w:qFormat/>
    <w:rPr>
      <w:rFonts w:ascii="Calibri" w:hAnsi="Calibri" w:cs="Calibri"/>
      <w:color w:val="000000"/>
      <w:sz w:val="20"/>
      <w:szCs w:val="20"/>
      <w:u w:val="none"/>
    </w:rPr>
  </w:style>
  <w:style w:type="character" w:styleId="889">
    <w:name w:val="font31"/>
    <w:next w:val="889"/>
    <w:link w:val="740"/>
    <w:qFormat/>
    <w:rPr>
      <w:rFonts w:hint="eastAsia" w:ascii="宋体" w:hAnsi="宋体" w:eastAsia="宋体" w:cs="宋体"/>
      <w:color w:val="000000"/>
      <w:sz w:val="20"/>
      <w:szCs w:val="20"/>
      <w:u w:val="none"/>
    </w:rPr>
  </w:style>
  <w:style w:type="character" w:styleId="890">
    <w:name w:val="Heading 1 Char"/>
    <w:next w:val="890"/>
    <w:link w:val="740"/>
    <w:uiPriority w:val="9"/>
    <w:qFormat/>
    <w:rPr>
      <w:rFonts w:ascii="Arial" w:hAnsi="Arial" w:eastAsia="Arial" w:cs="Arial"/>
      <w:sz w:val="40"/>
      <w:szCs w:val="40"/>
    </w:rPr>
  </w:style>
  <w:style w:type="character" w:styleId="891">
    <w:name w:val="Heading 2 Char"/>
    <w:next w:val="891"/>
    <w:link w:val="740"/>
    <w:uiPriority w:val="9"/>
    <w:qFormat/>
    <w:rPr>
      <w:rFonts w:ascii="Arial" w:hAnsi="Arial" w:eastAsia="Arial" w:cs="Arial"/>
      <w:sz w:val="34"/>
    </w:rPr>
  </w:style>
  <w:style w:type="character" w:styleId="892">
    <w:name w:val="Heading 3 Char"/>
    <w:next w:val="892"/>
    <w:link w:val="740"/>
    <w:uiPriority w:val="9"/>
    <w:qFormat/>
    <w:rPr>
      <w:rFonts w:ascii="Arial" w:hAnsi="Arial" w:eastAsia="Arial" w:cs="Arial"/>
      <w:sz w:val="30"/>
      <w:szCs w:val="30"/>
    </w:rPr>
  </w:style>
  <w:style w:type="character" w:styleId="893">
    <w:name w:val="Heading 4 Char"/>
    <w:next w:val="893"/>
    <w:link w:val="740"/>
    <w:uiPriority w:val="9"/>
    <w:qFormat/>
    <w:rPr>
      <w:rFonts w:ascii="Arial" w:hAnsi="Arial" w:eastAsia="Arial" w:cs="Arial"/>
      <w:b/>
      <w:bCs/>
      <w:sz w:val="26"/>
      <w:szCs w:val="26"/>
    </w:rPr>
  </w:style>
  <w:style w:type="character" w:styleId="894">
    <w:name w:val="Heading 5 Char"/>
    <w:next w:val="894"/>
    <w:link w:val="740"/>
    <w:uiPriority w:val="9"/>
    <w:qFormat/>
    <w:rPr>
      <w:rFonts w:ascii="Arial" w:hAnsi="Arial" w:eastAsia="Arial" w:cs="Arial"/>
      <w:b/>
      <w:bCs/>
      <w:sz w:val="24"/>
      <w:szCs w:val="24"/>
    </w:rPr>
  </w:style>
  <w:style w:type="character" w:styleId="895">
    <w:name w:val="Heading 6 Char"/>
    <w:next w:val="895"/>
    <w:link w:val="740"/>
    <w:uiPriority w:val="9"/>
    <w:qFormat/>
    <w:rPr>
      <w:rFonts w:ascii="Arial" w:hAnsi="Arial" w:eastAsia="Arial" w:cs="Arial"/>
      <w:b/>
      <w:bCs/>
      <w:sz w:val="22"/>
      <w:szCs w:val="22"/>
    </w:rPr>
  </w:style>
  <w:style w:type="character" w:styleId="896">
    <w:name w:val="Heading 7 Char"/>
    <w:next w:val="896"/>
    <w:link w:val="740"/>
    <w:uiPriority w:val="9"/>
    <w:qFormat/>
    <w:rPr>
      <w:rFonts w:ascii="Arial" w:hAnsi="Arial" w:eastAsia="Arial" w:cs="Arial"/>
      <w:b/>
      <w:bCs/>
      <w:i/>
      <w:iCs/>
      <w:sz w:val="22"/>
      <w:szCs w:val="22"/>
    </w:rPr>
  </w:style>
  <w:style w:type="character" w:styleId="897">
    <w:name w:val="Heading 8 Char"/>
    <w:next w:val="897"/>
    <w:link w:val="740"/>
    <w:uiPriority w:val="9"/>
    <w:qFormat/>
    <w:rPr>
      <w:rFonts w:ascii="Arial" w:hAnsi="Arial" w:eastAsia="Arial" w:cs="Arial"/>
      <w:i/>
      <w:iCs/>
      <w:sz w:val="22"/>
      <w:szCs w:val="22"/>
    </w:rPr>
  </w:style>
  <w:style w:type="character" w:styleId="898">
    <w:name w:val="Heading 9 Char"/>
    <w:next w:val="898"/>
    <w:link w:val="740"/>
    <w:uiPriority w:val="9"/>
    <w:qFormat/>
    <w:rPr>
      <w:rFonts w:ascii="Arial" w:hAnsi="Arial" w:eastAsia="Arial" w:cs="Arial"/>
      <w:i/>
      <w:iCs/>
      <w:sz w:val="21"/>
      <w:szCs w:val="21"/>
    </w:rPr>
  </w:style>
  <w:style w:type="character" w:styleId="899">
    <w:name w:val="Header Char"/>
    <w:next w:val="899"/>
    <w:link w:val="740"/>
    <w:uiPriority w:val="99"/>
    <w:qFormat/>
  </w:style>
  <w:style w:type="character" w:styleId="900">
    <w:name w:val="Footer Char"/>
    <w:next w:val="900"/>
    <w:link w:val="740"/>
    <w:uiPriority w:val="99"/>
    <w:qFormat/>
  </w:style>
  <w:style w:type="character" w:styleId="901">
    <w:name w:val="Caption Char"/>
    <w:next w:val="901"/>
    <w:link w:val="740"/>
    <w:uiPriority w:val="99"/>
    <w:qFormat/>
  </w:style>
  <w:style w:type="table" w:styleId="902">
    <w:name w:val="Table Grid Light"/>
    <w:next w:val="902"/>
    <w:link w:val="740"/>
    <w:uiPriority w:val="59"/>
    <w:qFormat/>
    <w:rPr>
      <w:rFonts w:ascii="Calibri" w:hAnsi="Calibri"/>
      <w:lang w:val="en-US" w:eastAsia="zh-CN" w:bidi="ar-SA"/>
    </w:rPr>
    <w:tblPr/>
  </w:style>
  <w:style w:type="table" w:styleId="903">
    <w:name w:val="无格式表格 11"/>
    <w:next w:val="903"/>
    <w:link w:val="740"/>
    <w:uiPriority w:val="59"/>
    <w:qFormat/>
    <w:rPr>
      <w:rFonts w:ascii="Calibri" w:hAnsi="Calibri"/>
      <w:lang w:val="en-US" w:eastAsia="zh-CN" w:bidi="ar-SA"/>
    </w:rPr>
    <w:tblPr/>
  </w:style>
  <w:style w:type="table" w:styleId="904">
    <w:name w:val="无格式表格 21"/>
    <w:next w:val="904"/>
    <w:link w:val="740"/>
    <w:uiPriority w:val="59"/>
    <w:qFormat/>
    <w:rPr>
      <w:rFonts w:ascii="Calibri" w:hAnsi="Calibri"/>
      <w:lang w:val="en-US" w:eastAsia="zh-CN" w:bidi="ar-SA"/>
    </w:rPr>
    <w:tblPr/>
  </w:style>
  <w:style w:type="table" w:styleId="905">
    <w:name w:val="无格式表格 31"/>
    <w:next w:val="905"/>
    <w:link w:val="740"/>
    <w:uiPriority w:val="99"/>
    <w:qFormat/>
    <w:rPr>
      <w:rFonts w:ascii="Calibri" w:hAnsi="Calibri"/>
      <w:lang w:val="en-US" w:eastAsia="zh-CN" w:bidi="ar-SA"/>
    </w:rPr>
    <w:tblPr/>
  </w:style>
  <w:style w:type="table" w:styleId="906">
    <w:name w:val="无格式表格 41"/>
    <w:next w:val="906"/>
    <w:link w:val="740"/>
    <w:uiPriority w:val="99"/>
    <w:qFormat/>
    <w:rPr>
      <w:rFonts w:ascii="Calibri" w:hAnsi="Calibri"/>
      <w:lang w:val="en-US" w:eastAsia="zh-CN" w:bidi="ar-SA"/>
    </w:rPr>
    <w:tblPr/>
  </w:style>
  <w:style w:type="table" w:styleId="907">
    <w:name w:val="无格式表格 51"/>
    <w:next w:val="907"/>
    <w:link w:val="740"/>
    <w:uiPriority w:val="99"/>
    <w:rPr>
      <w:rFonts w:ascii="Calibri" w:hAnsi="Calibri"/>
      <w:lang w:val="en-US" w:eastAsia="zh-CN" w:bidi="ar-SA"/>
    </w:rPr>
    <w:tblPr/>
  </w:style>
  <w:style w:type="table" w:styleId="908">
    <w:name w:val="网格表 1 浅色1"/>
    <w:next w:val="908"/>
    <w:link w:val="740"/>
    <w:uiPriority w:val="99"/>
    <w:qFormat/>
    <w:rPr>
      <w:rFonts w:ascii="Calibri" w:hAnsi="Calibri"/>
      <w:lang w:val="en-US" w:eastAsia="zh-CN" w:bidi="ar-SA"/>
    </w:rPr>
    <w:tblPr/>
  </w:style>
  <w:style w:type="table" w:styleId="909">
    <w:name w:val="Grid Table 1 Light - Accent 1"/>
    <w:next w:val="909"/>
    <w:link w:val="740"/>
    <w:uiPriority w:val="99"/>
    <w:qFormat/>
    <w:rPr>
      <w:rFonts w:ascii="Calibri" w:hAnsi="Calibri"/>
      <w:lang w:val="en-US" w:eastAsia="zh-CN" w:bidi="ar-SA"/>
    </w:rPr>
    <w:tblPr/>
  </w:style>
  <w:style w:type="table" w:styleId="910">
    <w:name w:val="Grid Table 1 Light - Accent 2"/>
    <w:next w:val="910"/>
    <w:link w:val="740"/>
    <w:uiPriority w:val="99"/>
    <w:qFormat/>
    <w:rPr>
      <w:rFonts w:ascii="Calibri" w:hAnsi="Calibri"/>
      <w:lang w:val="en-US" w:eastAsia="zh-CN" w:bidi="ar-SA"/>
    </w:rPr>
    <w:tblPr/>
  </w:style>
  <w:style w:type="table" w:styleId="911">
    <w:name w:val="Grid Table 1 Light - Accent 3"/>
    <w:next w:val="911"/>
    <w:link w:val="740"/>
    <w:uiPriority w:val="99"/>
    <w:qFormat/>
    <w:rPr>
      <w:rFonts w:ascii="Calibri" w:hAnsi="Calibri"/>
      <w:lang w:val="en-US" w:eastAsia="zh-CN" w:bidi="ar-SA"/>
    </w:rPr>
    <w:tblPr/>
  </w:style>
  <w:style w:type="table" w:styleId="912">
    <w:name w:val="Grid Table 1 Light - Accent 4"/>
    <w:next w:val="912"/>
    <w:link w:val="740"/>
    <w:uiPriority w:val="99"/>
    <w:qFormat/>
    <w:rPr>
      <w:rFonts w:ascii="Calibri" w:hAnsi="Calibri"/>
      <w:lang w:val="en-US" w:eastAsia="zh-CN" w:bidi="ar-SA"/>
    </w:rPr>
    <w:tblPr/>
  </w:style>
  <w:style w:type="table" w:styleId="913">
    <w:name w:val="Grid Table 1 Light - Accent 5"/>
    <w:next w:val="913"/>
    <w:link w:val="740"/>
    <w:uiPriority w:val="99"/>
    <w:qFormat/>
    <w:rPr>
      <w:rFonts w:ascii="Calibri" w:hAnsi="Calibri"/>
      <w:lang w:val="en-US" w:eastAsia="zh-CN" w:bidi="ar-SA"/>
    </w:rPr>
    <w:tblPr/>
  </w:style>
  <w:style w:type="table" w:styleId="914">
    <w:name w:val="Grid Table 1 Light - Accent 6"/>
    <w:next w:val="914"/>
    <w:link w:val="740"/>
    <w:uiPriority w:val="99"/>
    <w:qFormat/>
    <w:rPr>
      <w:rFonts w:ascii="Calibri" w:hAnsi="Calibri"/>
      <w:lang w:val="en-US" w:eastAsia="zh-CN" w:bidi="ar-SA"/>
    </w:rPr>
    <w:tblPr/>
  </w:style>
  <w:style w:type="table" w:styleId="915">
    <w:name w:val="网格表 21"/>
    <w:next w:val="915"/>
    <w:link w:val="740"/>
    <w:uiPriority w:val="99"/>
    <w:qFormat/>
    <w:rPr>
      <w:rFonts w:ascii="Calibri" w:hAnsi="Calibri"/>
      <w:lang w:val="en-US" w:eastAsia="zh-CN" w:bidi="ar-SA"/>
    </w:rPr>
    <w:tblPr/>
  </w:style>
  <w:style w:type="table" w:styleId="916">
    <w:name w:val="Grid Table 2 - Accent 1"/>
    <w:next w:val="916"/>
    <w:link w:val="740"/>
    <w:uiPriority w:val="99"/>
    <w:qFormat/>
    <w:rPr>
      <w:rFonts w:ascii="Calibri" w:hAnsi="Calibri"/>
      <w:lang w:val="en-US" w:eastAsia="zh-CN" w:bidi="ar-SA"/>
    </w:rPr>
    <w:tblPr/>
  </w:style>
  <w:style w:type="table" w:styleId="917">
    <w:name w:val="Grid Table 2 - Accent 2"/>
    <w:next w:val="917"/>
    <w:link w:val="740"/>
    <w:uiPriority w:val="99"/>
    <w:qFormat/>
    <w:rPr>
      <w:rFonts w:ascii="Calibri" w:hAnsi="Calibri"/>
      <w:lang w:val="en-US" w:eastAsia="zh-CN" w:bidi="ar-SA"/>
    </w:rPr>
    <w:tblPr/>
  </w:style>
  <w:style w:type="table" w:styleId="918">
    <w:name w:val="Grid Table 2 - Accent 3"/>
    <w:next w:val="918"/>
    <w:link w:val="740"/>
    <w:uiPriority w:val="99"/>
    <w:qFormat/>
    <w:rPr>
      <w:rFonts w:ascii="Calibri" w:hAnsi="Calibri"/>
      <w:lang w:val="en-US" w:eastAsia="zh-CN" w:bidi="ar-SA"/>
    </w:rPr>
    <w:tblPr/>
  </w:style>
  <w:style w:type="table" w:styleId="919">
    <w:name w:val="Grid Table 2 - Accent 4"/>
    <w:next w:val="919"/>
    <w:link w:val="740"/>
    <w:uiPriority w:val="99"/>
    <w:qFormat/>
    <w:rPr>
      <w:rFonts w:ascii="Calibri" w:hAnsi="Calibri"/>
      <w:lang w:val="en-US" w:eastAsia="zh-CN" w:bidi="ar-SA"/>
    </w:rPr>
    <w:tblPr/>
  </w:style>
  <w:style w:type="table" w:styleId="920">
    <w:name w:val="Grid Table 2 - Accent 5"/>
    <w:next w:val="920"/>
    <w:link w:val="740"/>
    <w:uiPriority w:val="99"/>
    <w:qFormat/>
    <w:rPr>
      <w:rFonts w:ascii="Calibri" w:hAnsi="Calibri"/>
      <w:lang w:val="en-US" w:eastAsia="zh-CN" w:bidi="ar-SA"/>
    </w:rPr>
    <w:tblPr/>
  </w:style>
  <w:style w:type="table" w:styleId="921">
    <w:name w:val="Grid Table 2 - Accent 6"/>
    <w:next w:val="921"/>
    <w:link w:val="740"/>
    <w:uiPriority w:val="99"/>
    <w:qFormat/>
    <w:rPr>
      <w:rFonts w:ascii="Calibri" w:hAnsi="Calibri"/>
      <w:lang w:val="en-US" w:eastAsia="zh-CN" w:bidi="ar-SA"/>
    </w:rPr>
    <w:tblPr/>
  </w:style>
  <w:style w:type="table" w:styleId="922">
    <w:name w:val="网格表 31"/>
    <w:next w:val="922"/>
    <w:link w:val="740"/>
    <w:uiPriority w:val="99"/>
    <w:qFormat/>
    <w:rPr>
      <w:rFonts w:ascii="Calibri" w:hAnsi="Calibri"/>
      <w:lang w:val="en-US" w:eastAsia="zh-CN" w:bidi="ar-SA"/>
    </w:rPr>
    <w:tblPr/>
  </w:style>
  <w:style w:type="table" w:styleId="923">
    <w:name w:val="Grid Table 3 - Accent 1"/>
    <w:next w:val="923"/>
    <w:link w:val="740"/>
    <w:uiPriority w:val="99"/>
    <w:qFormat/>
    <w:rPr>
      <w:rFonts w:ascii="Calibri" w:hAnsi="Calibri"/>
      <w:lang w:val="en-US" w:eastAsia="zh-CN" w:bidi="ar-SA"/>
    </w:rPr>
    <w:tblPr/>
  </w:style>
  <w:style w:type="table" w:styleId="924">
    <w:name w:val="Grid Table 3 - Accent 2"/>
    <w:next w:val="924"/>
    <w:link w:val="740"/>
    <w:uiPriority w:val="99"/>
    <w:qFormat/>
    <w:rPr>
      <w:rFonts w:ascii="Calibri" w:hAnsi="Calibri"/>
      <w:lang w:val="en-US" w:eastAsia="zh-CN" w:bidi="ar-SA"/>
    </w:rPr>
    <w:tblPr/>
  </w:style>
  <w:style w:type="table" w:styleId="925">
    <w:name w:val="Grid Table 3 - Accent 3"/>
    <w:next w:val="925"/>
    <w:link w:val="740"/>
    <w:uiPriority w:val="99"/>
    <w:qFormat/>
    <w:rPr>
      <w:rFonts w:ascii="Calibri" w:hAnsi="Calibri"/>
      <w:lang w:val="en-US" w:eastAsia="zh-CN" w:bidi="ar-SA"/>
    </w:rPr>
    <w:tblPr/>
  </w:style>
  <w:style w:type="table" w:styleId="926">
    <w:name w:val="Grid Table 3 - Accent 4"/>
    <w:next w:val="926"/>
    <w:link w:val="740"/>
    <w:uiPriority w:val="99"/>
    <w:qFormat/>
    <w:rPr>
      <w:rFonts w:ascii="Calibri" w:hAnsi="Calibri"/>
      <w:lang w:val="en-US" w:eastAsia="zh-CN" w:bidi="ar-SA"/>
    </w:rPr>
    <w:tblPr/>
  </w:style>
  <w:style w:type="table" w:styleId="927">
    <w:name w:val="Grid Table 3 - Accent 5"/>
    <w:next w:val="927"/>
    <w:link w:val="740"/>
    <w:uiPriority w:val="99"/>
    <w:qFormat/>
    <w:rPr>
      <w:rFonts w:ascii="Calibri" w:hAnsi="Calibri"/>
      <w:lang w:val="en-US" w:eastAsia="zh-CN" w:bidi="ar-SA"/>
    </w:rPr>
    <w:tblPr/>
  </w:style>
  <w:style w:type="table" w:styleId="928">
    <w:name w:val="Grid Table 3 - Accent 6"/>
    <w:next w:val="928"/>
    <w:link w:val="740"/>
    <w:uiPriority w:val="99"/>
    <w:qFormat/>
    <w:rPr>
      <w:rFonts w:ascii="Calibri" w:hAnsi="Calibri"/>
      <w:lang w:val="en-US" w:eastAsia="zh-CN" w:bidi="ar-SA"/>
    </w:rPr>
    <w:tblPr/>
  </w:style>
  <w:style w:type="table" w:styleId="929">
    <w:name w:val="网格表 41"/>
    <w:next w:val="929"/>
    <w:link w:val="740"/>
    <w:uiPriority w:val="59"/>
    <w:qFormat/>
    <w:rPr>
      <w:rFonts w:ascii="Calibri" w:hAnsi="Calibri"/>
      <w:lang w:val="en-US" w:eastAsia="zh-CN" w:bidi="ar-SA"/>
    </w:rPr>
    <w:tblPr/>
  </w:style>
  <w:style w:type="table" w:styleId="930">
    <w:name w:val="Grid Table 4 - Accent 1"/>
    <w:next w:val="930"/>
    <w:link w:val="740"/>
    <w:uiPriority w:val="59"/>
    <w:qFormat/>
    <w:rPr>
      <w:rFonts w:ascii="Calibri" w:hAnsi="Calibri"/>
      <w:lang w:val="en-US" w:eastAsia="zh-CN" w:bidi="ar-SA"/>
    </w:rPr>
    <w:tblPr/>
  </w:style>
  <w:style w:type="table" w:styleId="931">
    <w:name w:val="Grid Table 4 - Accent 2"/>
    <w:next w:val="931"/>
    <w:link w:val="740"/>
    <w:uiPriority w:val="59"/>
    <w:qFormat/>
    <w:rPr>
      <w:rFonts w:ascii="Calibri" w:hAnsi="Calibri"/>
      <w:lang w:val="en-US" w:eastAsia="zh-CN" w:bidi="ar-SA"/>
    </w:rPr>
    <w:tblPr/>
  </w:style>
  <w:style w:type="table" w:styleId="932">
    <w:name w:val="Grid Table 4 - Accent 3"/>
    <w:next w:val="932"/>
    <w:link w:val="740"/>
    <w:uiPriority w:val="59"/>
    <w:qFormat/>
    <w:rPr>
      <w:rFonts w:ascii="Calibri" w:hAnsi="Calibri"/>
      <w:lang w:val="en-US" w:eastAsia="zh-CN" w:bidi="ar-SA"/>
    </w:rPr>
    <w:tblPr/>
  </w:style>
  <w:style w:type="table" w:styleId="933">
    <w:name w:val="Grid Table 4 - Accent 4"/>
    <w:next w:val="933"/>
    <w:link w:val="740"/>
    <w:uiPriority w:val="59"/>
    <w:qFormat/>
    <w:rPr>
      <w:rFonts w:ascii="Calibri" w:hAnsi="Calibri"/>
      <w:lang w:val="en-US" w:eastAsia="zh-CN" w:bidi="ar-SA"/>
    </w:rPr>
    <w:tblPr/>
  </w:style>
  <w:style w:type="table" w:styleId="934">
    <w:name w:val="Grid Table 4 - Accent 5"/>
    <w:next w:val="934"/>
    <w:link w:val="740"/>
    <w:uiPriority w:val="59"/>
    <w:qFormat/>
    <w:rPr>
      <w:rFonts w:ascii="Calibri" w:hAnsi="Calibri"/>
      <w:lang w:val="en-US" w:eastAsia="zh-CN" w:bidi="ar-SA"/>
    </w:rPr>
    <w:tblPr/>
  </w:style>
  <w:style w:type="table" w:styleId="935">
    <w:name w:val="Grid Table 4 - Accent 6"/>
    <w:next w:val="935"/>
    <w:link w:val="740"/>
    <w:uiPriority w:val="59"/>
    <w:qFormat/>
    <w:rPr>
      <w:rFonts w:ascii="Calibri" w:hAnsi="Calibri"/>
      <w:lang w:val="en-US" w:eastAsia="zh-CN" w:bidi="ar-SA"/>
    </w:rPr>
    <w:tblPr/>
  </w:style>
  <w:style w:type="table" w:styleId="936">
    <w:name w:val="网格表 5 深色1"/>
    <w:next w:val="936"/>
    <w:link w:val="740"/>
    <w:uiPriority w:val="99"/>
    <w:qFormat/>
    <w:rPr>
      <w:rFonts w:ascii="Calibri" w:hAnsi="Calibri"/>
      <w:lang w:val="en-US" w:eastAsia="zh-CN" w:bidi="ar-SA"/>
    </w:rPr>
    <w:tblPr/>
  </w:style>
  <w:style w:type="table" w:styleId="937">
    <w:name w:val="Grid Table 5 Dark- Accent 1"/>
    <w:next w:val="937"/>
    <w:link w:val="740"/>
    <w:uiPriority w:val="99"/>
    <w:qFormat/>
    <w:rPr>
      <w:rFonts w:ascii="Calibri" w:hAnsi="Calibri"/>
      <w:lang w:val="en-US" w:eastAsia="zh-CN" w:bidi="ar-SA"/>
    </w:rPr>
    <w:tblPr/>
  </w:style>
  <w:style w:type="table" w:styleId="938">
    <w:name w:val="Grid Table 5 Dark - Accent 2"/>
    <w:next w:val="938"/>
    <w:link w:val="740"/>
    <w:uiPriority w:val="99"/>
    <w:qFormat/>
    <w:rPr>
      <w:rFonts w:ascii="Calibri" w:hAnsi="Calibri"/>
      <w:lang w:val="en-US" w:eastAsia="zh-CN" w:bidi="ar-SA"/>
    </w:rPr>
    <w:tblPr/>
  </w:style>
  <w:style w:type="table" w:styleId="939">
    <w:name w:val="Grid Table 5 Dark - Accent 3"/>
    <w:next w:val="939"/>
    <w:link w:val="740"/>
    <w:uiPriority w:val="99"/>
    <w:qFormat/>
    <w:rPr>
      <w:rFonts w:ascii="Calibri" w:hAnsi="Calibri"/>
      <w:lang w:val="en-US" w:eastAsia="zh-CN" w:bidi="ar-SA"/>
    </w:rPr>
    <w:tblPr/>
  </w:style>
  <w:style w:type="table" w:styleId="940">
    <w:name w:val="Grid Table 5 Dark- Accent 4"/>
    <w:next w:val="940"/>
    <w:link w:val="740"/>
    <w:uiPriority w:val="99"/>
    <w:qFormat/>
    <w:rPr>
      <w:rFonts w:ascii="Calibri" w:hAnsi="Calibri"/>
      <w:lang w:val="en-US" w:eastAsia="zh-CN" w:bidi="ar-SA"/>
    </w:rPr>
    <w:tblPr/>
  </w:style>
  <w:style w:type="table" w:styleId="941">
    <w:name w:val="Grid Table 5 Dark - Accent 5"/>
    <w:next w:val="941"/>
    <w:link w:val="740"/>
    <w:uiPriority w:val="99"/>
    <w:qFormat/>
    <w:rPr>
      <w:rFonts w:ascii="Calibri" w:hAnsi="Calibri"/>
      <w:lang w:val="en-US" w:eastAsia="zh-CN" w:bidi="ar-SA"/>
    </w:rPr>
    <w:tblPr/>
  </w:style>
  <w:style w:type="table" w:styleId="942">
    <w:name w:val="Grid Table 5 Dark - Accent 6"/>
    <w:next w:val="942"/>
    <w:link w:val="740"/>
    <w:uiPriority w:val="99"/>
    <w:qFormat/>
    <w:rPr>
      <w:rFonts w:ascii="Calibri" w:hAnsi="Calibri"/>
      <w:lang w:val="en-US" w:eastAsia="zh-CN" w:bidi="ar-SA"/>
    </w:rPr>
    <w:tblPr/>
  </w:style>
  <w:style w:type="table" w:styleId="943">
    <w:name w:val="网格表 6 彩色1"/>
    <w:next w:val="943"/>
    <w:link w:val="740"/>
    <w:uiPriority w:val="99"/>
    <w:qFormat/>
    <w:rPr>
      <w:rFonts w:ascii="Calibri" w:hAnsi="Calibri"/>
      <w:lang w:val="en-US" w:eastAsia="zh-CN" w:bidi="ar-SA"/>
    </w:rPr>
    <w:tblPr/>
  </w:style>
  <w:style w:type="table" w:styleId="944">
    <w:name w:val="Grid Table 6 Colorful - Accent 1"/>
    <w:next w:val="944"/>
    <w:link w:val="740"/>
    <w:uiPriority w:val="99"/>
    <w:qFormat/>
    <w:rPr>
      <w:rFonts w:ascii="Calibri" w:hAnsi="Calibri"/>
      <w:lang w:val="en-US" w:eastAsia="zh-CN" w:bidi="ar-SA"/>
    </w:rPr>
    <w:tblPr/>
  </w:style>
  <w:style w:type="table" w:styleId="945">
    <w:name w:val="Grid Table 6 Colorful - Accent 2"/>
    <w:next w:val="945"/>
    <w:link w:val="740"/>
    <w:uiPriority w:val="99"/>
    <w:qFormat/>
    <w:rPr>
      <w:rFonts w:ascii="Calibri" w:hAnsi="Calibri"/>
      <w:lang w:val="en-US" w:eastAsia="zh-CN" w:bidi="ar-SA"/>
    </w:rPr>
    <w:tblPr/>
  </w:style>
  <w:style w:type="table" w:styleId="946">
    <w:name w:val="Grid Table 6 Colorful - Accent 3"/>
    <w:next w:val="946"/>
    <w:link w:val="740"/>
    <w:uiPriority w:val="99"/>
    <w:qFormat/>
    <w:rPr>
      <w:rFonts w:ascii="Calibri" w:hAnsi="Calibri"/>
      <w:lang w:val="en-US" w:eastAsia="zh-CN" w:bidi="ar-SA"/>
    </w:rPr>
    <w:tblPr/>
  </w:style>
  <w:style w:type="table" w:styleId="947">
    <w:name w:val="Grid Table 6 Colorful - Accent 4"/>
    <w:next w:val="947"/>
    <w:link w:val="740"/>
    <w:uiPriority w:val="99"/>
    <w:qFormat/>
    <w:rPr>
      <w:rFonts w:ascii="Calibri" w:hAnsi="Calibri"/>
      <w:lang w:val="en-US" w:eastAsia="zh-CN" w:bidi="ar-SA"/>
    </w:rPr>
    <w:tblPr/>
  </w:style>
  <w:style w:type="table" w:styleId="948">
    <w:name w:val="Grid Table 6 Colorful - Accent 5"/>
    <w:next w:val="948"/>
    <w:link w:val="740"/>
    <w:uiPriority w:val="99"/>
    <w:qFormat/>
    <w:rPr>
      <w:rFonts w:ascii="Calibri" w:hAnsi="Calibri"/>
      <w:lang w:val="en-US" w:eastAsia="zh-CN" w:bidi="ar-SA"/>
    </w:rPr>
    <w:tblPr/>
  </w:style>
  <w:style w:type="table" w:styleId="949">
    <w:name w:val="Grid Table 6 Colorful - Accent 6"/>
    <w:next w:val="949"/>
    <w:link w:val="740"/>
    <w:uiPriority w:val="99"/>
    <w:qFormat/>
    <w:rPr>
      <w:rFonts w:ascii="Calibri" w:hAnsi="Calibri"/>
      <w:lang w:val="en-US" w:eastAsia="zh-CN" w:bidi="ar-SA"/>
    </w:rPr>
    <w:tblPr/>
  </w:style>
  <w:style w:type="table" w:styleId="950">
    <w:name w:val="网格表 7 彩色1"/>
    <w:next w:val="950"/>
    <w:link w:val="740"/>
    <w:uiPriority w:val="99"/>
    <w:qFormat/>
    <w:rPr>
      <w:rFonts w:ascii="Calibri" w:hAnsi="Calibri"/>
      <w:lang w:val="en-US" w:eastAsia="zh-CN" w:bidi="ar-SA"/>
    </w:rPr>
    <w:tblPr/>
  </w:style>
  <w:style w:type="table" w:styleId="951">
    <w:name w:val="Grid Table 7 Colorful - Accent 1"/>
    <w:next w:val="951"/>
    <w:link w:val="740"/>
    <w:uiPriority w:val="99"/>
    <w:qFormat/>
    <w:rPr>
      <w:rFonts w:ascii="Calibri" w:hAnsi="Calibri"/>
      <w:lang w:val="en-US" w:eastAsia="zh-CN" w:bidi="ar-SA"/>
    </w:rPr>
    <w:tblPr/>
  </w:style>
  <w:style w:type="table" w:styleId="952">
    <w:name w:val="Grid Table 7 Colorful - Accent 2"/>
    <w:next w:val="952"/>
    <w:link w:val="740"/>
    <w:uiPriority w:val="99"/>
    <w:qFormat/>
    <w:rPr>
      <w:rFonts w:ascii="Calibri" w:hAnsi="Calibri"/>
      <w:lang w:val="en-US" w:eastAsia="zh-CN" w:bidi="ar-SA"/>
    </w:rPr>
    <w:tblPr/>
  </w:style>
  <w:style w:type="table" w:styleId="953">
    <w:name w:val="Grid Table 7 Colorful - Accent 3"/>
    <w:next w:val="953"/>
    <w:link w:val="740"/>
    <w:uiPriority w:val="99"/>
    <w:qFormat/>
    <w:rPr>
      <w:rFonts w:ascii="Calibri" w:hAnsi="Calibri"/>
      <w:lang w:val="en-US" w:eastAsia="zh-CN" w:bidi="ar-SA"/>
    </w:rPr>
    <w:tblPr/>
  </w:style>
  <w:style w:type="table" w:styleId="954">
    <w:name w:val="Grid Table 7 Colorful - Accent 4"/>
    <w:next w:val="954"/>
    <w:link w:val="740"/>
    <w:uiPriority w:val="99"/>
    <w:qFormat/>
    <w:rPr>
      <w:rFonts w:ascii="Calibri" w:hAnsi="Calibri"/>
      <w:lang w:val="en-US" w:eastAsia="zh-CN" w:bidi="ar-SA"/>
    </w:rPr>
    <w:tblPr/>
  </w:style>
  <w:style w:type="table" w:styleId="955">
    <w:name w:val="Grid Table 7 Colorful - Accent 5"/>
    <w:next w:val="955"/>
    <w:link w:val="740"/>
    <w:uiPriority w:val="99"/>
    <w:qFormat/>
    <w:rPr>
      <w:rFonts w:ascii="Calibri" w:hAnsi="Calibri"/>
      <w:lang w:val="en-US" w:eastAsia="zh-CN" w:bidi="ar-SA"/>
    </w:rPr>
    <w:tblPr/>
  </w:style>
  <w:style w:type="table" w:styleId="956">
    <w:name w:val="Grid Table 7 Colorful - Accent 6"/>
    <w:next w:val="956"/>
    <w:link w:val="740"/>
    <w:uiPriority w:val="99"/>
    <w:qFormat/>
    <w:rPr>
      <w:rFonts w:ascii="Calibri" w:hAnsi="Calibri"/>
      <w:lang w:val="en-US" w:eastAsia="zh-CN" w:bidi="ar-SA"/>
    </w:rPr>
    <w:tblPr/>
  </w:style>
  <w:style w:type="table" w:styleId="957">
    <w:name w:val="清单表 1 浅色1"/>
    <w:next w:val="957"/>
    <w:link w:val="740"/>
    <w:uiPriority w:val="99"/>
    <w:rPr>
      <w:rFonts w:ascii="Calibri" w:hAnsi="Calibri"/>
      <w:lang w:val="en-US" w:eastAsia="zh-CN" w:bidi="ar-SA"/>
    </w:rPr>
    <w:tblPr/>
  </w:style>
  <w:style w:type="table" w:styleId="958">
    <w:name w:val="List Table 1 Light - Accent 1"/>
    <w:next w:val="958"/>
    <w:link w:val="740"/>
    <w:uiPriority w:val="99"/>
    <w:qFormat/>
    <w:rPr>
      <w:rFonts w:ascii="Calibri" w:hAnsi="Calibri"/>
      <w:lang w:val="en-US" w:eastAsia="zh-CN" w:bidi="ar-SA"/>
    </w:rPr>
    <w:tblPr/>
  </w:style>
  <w:style w:type="table" w:styleId="959">
    <w:name w:val="List Table 1 Light - Accent 2"/>
    <w:next w:val="959"/>
    <w:link w:val="740"/>
    <w:uiPriority w:val="99"/>
    <w:qFormat/>
    <w:rPr>
      <w:rFonts w:ascii="Calibri" w:hAnsi="Calibri"/>
      <w:lang w:val="en-US" w:eastAsia="zh-CN" w:bidi="ar-SA"/>
    </w:rPr>
    <w:tblPr/>
  </w:style>
  <w:style w:type="table" w:styleId="960">
    <w:name w:val="List Table 1 Light - Accent 3"/>
    <w:next w:val="960"/>
    <w:link w:val="740"/>
    <w:uiPriority w:val="99"/>
    <w:qFormat/>
    <w:rPr>
      <w:rFonts w:ascii="Calibri" w:hAnsi="Calibri"/>
      <w:lang w:val="en-US" w:eastAsia="zh-CN" w:bidi="ar-SA"/>
    </w:rPr>
    <w:tblPr/>
  </w:style>
  <w:style w:type="table" w:styleId="961">
    <w:name w:val="List Table 1 Light - Accent 4"/>
    <w:next w:val="961"/>
    <w:link w:val="740"/>
    <w:uiPriority w:val="99"/>
    <w:qFormat/>
    <w:rPr>
      <w:rFonts w:ascii="Calibri" w:hAnsi="Calibri"/>
      <w:lang w:val="en-US" w:eastAsia="zh-CN" w:bidi="ar-SA"/>
    </w:rPr>
    <w:tblPr/>
  </w:style>
  <w:style w:type="table" w:styleId="962">
    <w:name w:val="List Table 1 Light - Accent 5"/>
    <w:next w:val="962"/>
    <w:link w:val="740"/>
    <w:uiPriority w:val="99"/>
    <w:qFormat/>
    <w:rPr>
      <w:rFonts w:ascii="Calibri" w:hAnsi="Calibri"/>
      <w:lang w:val="en-US" w:eastAsia="zh-CN" w:bidi="ar-SA"/>
    </w:rPr>
    <w:tblPr/>
  </w:style>
  <w:style w:type="table" w:styleId="963">
    <w:name w:val="List Table 1 Light - Accent 6"/>
    <w:next w:val="963"/>
    <w:link w:val="740"/>
    <w:uiPriority w:val="99"/>
    <w:qFormat/>
    <w:rPr>
      <w:rFonts w:ascii="Calibri" w:hAnsi="Calibri"/>
      <w:lang w:val="en-US" w:eastAsia="zh-CN" w:bidi="ar-SA"/>
    </w:rPr>
    <w:tblPr/>
  </w:style>
  <w:style w:type="table" w:styleId="964">
    <w:name w:val="清单表 21"/>
    <w:next w:val="964"/>
    <w:link w:val="740"/>
    <w:uiPriority w:val="99"/>
    <w:qFormat/>
    <w:rPr>
      <w:rFonts w:ascii="Calibri" w:hAnsi="Calibri"/>
      <w:lang w:val="en-US" w:eastAsia="zh-CN" w:bidi="ar-SA"/>
    </w:rPr>
    <w:tblPr/>
  </w:style>
  <w:style w:type="table" w:styleId="965">
    <w:name w:val="List Table 2 - Accent 1"/>
    <w:next w:val="965"/>
    <w:link w:val="740"/>
    <w:uiPriority w:val="99"/>
    <w:qFormat/>
    <w:rPr>
      <w:rFonts w:ascii="Calibri" w:hAnsi="Calibri"/>
      <w:lang w:val="en-US" w:eastAsia="zh-CN" w:bidi="ar-SA"/>
    </w:rPr>
    <w:tblPr/>
  </w:style>
  <w:style w:type="table" w:styleId="966">
    <w:name w:val="List Table 2 - Accent 2"/>
    <w:next w:val="966"/>
    <w:link w:val="740"/>
    <w:uiPriority w:val="99"/>
    <w:qFormat/>
    <w:rPr>
      <w:rFonts w:ascii="Calibri" w:hAnsi="Calibri"/>
      <w:lang w:val="en-US" w:eastAsia="zh-CN" w:bidi="ar-SA"/>
    </w:rPr>
    <w:tblPr/>
  </w:style>
  <w:style w:type="table" w:styleId="967">
    <w:name w:val="List Table 2 - Accent 3"/>
    <w:next w:val="967"/>
    <w:link w:val="740"/>
    <w:uiPriority w:val="99"/>
    <w:rPr>
      <w:rFonts w:ascii="Calibri" w:hAnsi="Calibri"/>
      <w:lang w:val="en-US" w:eastAsia="zh-CN" w:bidi="ar-SA"/>
    </w:rPr>
    <w:tblPr/>
  </w:style>
  <w:style w:type="table" w:styleId="968">
    <w:name w:val="List Table 2 - Accent 4"/>
    <w:next w:val="968"/>
    <w:link w:val="740"/>
    <w:uiPriority w:val="99"/>
    <w:qFormat/>
    <w:rPr>
      <w:rFonts w:ascii="Calibri" w:hAnsi="Calibri"/>
      <w:lang w:val="en-US" w:eastAsia="zh-CN" w:bidi="ar-SA"/>
    </w:rPr>
    <w:tblPr/>
  </w:style>
  <w:style w:type="table" w:styleId="969">
    <w:name w:val="List Table 2 - Accent 5"/>
    <w:next w:val="969"/>
    <w:link w:val="740"/>
    <w:uiPriority w:val="99"/>
    <w:qFormat/>
    <w:rPr>
      <w:rFonts w:ascii="Calibri" w:hAnsi="Calibri"/>
      <w:lang w:val="en-US" w:eastAsia="zh-CN" w:bidi="ar-SA"/>
    </w:rPr>
    <w:tblPr/>
  </w:style>
  <w:style w:type="table" w:styleId="970">
    <w:name w:val="List Table 2 - Accent 6"/>
    <w:next w:val="970"/>
    <w:link w:val="740"/>
    <w:uiPriority w:val="99"/>
    <w:qFormat/>
    <w:rPr>
      <w:rFonts w:ascii="Calibri" w:hAnsi="Calibri"/>
      <w:lang w:val="en-US" w:eastAsia="zh-CN" w:bidi="ar-SA"/>
    </w:rPr>
    <w:tblPr/>
  </w:style>
  <w:style w:type="table" w:styleId="971">
    <w:name w:val="清单表 31"/>
    <w:next w:val="971"/>
    <w:link w:val="740"/>
    <w:uiPriority w:val="99"/>
    <w:qFormat/>
    <w:rPr>
      <w:rFonts w:ascii="Calibri" w:hAnsi="Calibri"/>
      <w:lang w:val="en-US" w:eastAsia="zh-CN" w:bidi="ar-SA"/>
    </w:rPr>
    <w:tblPr/>
  </w:style>
  <w:style w:type="table" w:styleId="972">
    <w:name w:val="List Table 3 - Accent 1"/>
    <w:next w:val="972"/>
    <w:link w:val="740"/>
    <w:uiPriority w:val="99"/>
    <w:qFormat/>
    <w:rPr>
      <w:rFonts w:ascii="Calibri" w:hAnsi="Calibri"/>
      <w:lang w:val="en-US" w:eastAsia="zh-CN" w:bidi="ar-SA"/>
    </w:rPr>
    <w:tblPr/>
  </w:style>
  <w:style w:type="table" w:styleId="973">
    <w:name w:val="List Table 3 - Accent 2"/>
    <w:next w:val="973"/>
    <w:link w:val="740"/>
    <w:uiPriority w:val="99"/>
    <w:qFormat/>
    <w:rPr>
      <w:rFonts w:ascii="Calibri" w:hAnsi="Calibri"/>
      <w:lang w:val="en-US" w:eastAsia="zh-CN" w:bidi="ar-SA"/>
    </w:rPr>
    <w:tblPr/>
  </w:style>
  <w:style w:type="table" w:styleId="974">
    <w:name w:val="List Table 3 - Accent 3"/>
    <w:next w:val="974"/>
    <w:link w:val="740"/>
    <w:uiPriority w:val="99"/>
    <w:qFormat/>
    <w:rPr>
      <w:rFonts w:ascii="Calibri" w:hAnsi="Calibri"/>
      <w:lang w:val="en-US" w:eastAsia="zh-CN" w:bidi="ar-SA"/>
    </w:rPr>
    <w:tblPr/>
  </w:style>
  <w:style w:type="table" w:styleId="975">
    <w:name w:val="List Table 3 - Accent 4"/>
    <w:next w:val="975"/>
    <w:link w:val="740"/>
    <w:uiPriority w:val="99"/>
    <w:qFormat/>
    <w:rPr>
      <w:rFonts w:ascii="Calibri" w:hAnsi="Calibri"/>
      <w:lang w:val="en-US" w:eastAsia="zh-CN" w:bidi="ar-SA"/>
    </w:rPr>
    <w:tblPr/>
  </w:style>
  <w:style w:type="table" w:styleId="976">
    <w:name w:val="List Table 3 - Accent 5"/>
    <w:next w:val="976"/>
    <w:link w:val="740"/>
    <w:uiPriority w:val="99"/>
    <w:qFormat/>
    <w:rPr>
      <w:rFonts w:ascii="Calibri" w:hAnsi="Calibri"/>
      <w:lang w:val="en-US" w:eastAsia="zh-CN" w:bidi="ar-SA"/>
    </w:rPr>
    <w:tblPr/>
  </w:style>
  <w:style w:type="table" w:styleId="977">
    <w:name w:val="List Table 3 - Accent 6"/>
    <w:next w:val="977"/>
    <w:link w:val="740"/>
    <w:uiPriority w:val="99"/>
    <w:qFormat/>
    <w:rPr>
      <w:rFonts w:ascii="Calibri" w:hAnsi="Calibri"/>
      <w:lang w:val="en-US" w:eastAsia="zh-CN" w:bidi="ar-SA"/>
    </w:rPr>
    <w:tblPr/>
  </w:style>
  <w:style w:type="table" w:styleId="978">
    <w:name w:val="清单表 41"/>
    <w:next w:val="978"/>
    <w:link w:val="740"/>
    <w:uiPriority w:val="99"/>
    <w:qFormat/>
    <w:rPr>
      <w:rFonts w:ascii="Calibri" w:hAnsi="Calibri"/>
      <w:lang w:val="en-US" w:eastAsia="zh-CN" w:bidi="ar-SA"/>
    </w:rPr>
    <w:tblPr/>
  </w:style>
  <w:style w:type="table" w:styleId="979">
    <w:name w:val="List Table 4 - Accent 1"/>
    <w:next w:val="979"/>
    <w:link w:val="740"/>
    <w:uiPriority w:val="99"/>
    <w:qFormat/>
    <w:rPr>
      <w:rFonts w:ascii="Calibri" w:hAnsi="Calibri"/>
      <w:lang w:val="en-US" w:eastAsia="zh-CN" w:bidi="ar-SA"/>
    </w:rPr>
    <w:tblPr/>
  </w:style>
  <w:style w:type="table" w:styleId="980">
    <w:name w:val="List Table 4 - Accent 2"/>
    <w:next w:val="980"/>
    <w:link w:val="740"/>
    <w:uiPriority w:val="99"/>
    <w:qFormat/>
    <w:rPr>
      <w:rFonts w:ascii="Calibri" w:hAnsi="Calibri"/>
      <w:lang w:val="en-US" w:eastAsia="zh-CN" w:bidi="ar-SA"/>
    </w:rPr>
    <w:tblPr/>
  </w:style>
  <w:style w:type="table" w:styleId="981">
    <w:name w:val="List Table 4 - Accent 3"/>
    <w:next w:val="981"/>
    <w:link w:val="740"/>
    <w:uiPriority w:val="99"/>
    <w:qFormat/>
    <w:rPr>
      <w:rFonts w:ascii="Calibri" w:hAnsi="Calibri"/>
      <w:lang w:val="en-US" w:eastAsia="zh-CN" w:bidi="ar-SA"/>
    </w:rPr>
    <w:tblPr/>
  </w:style>
  <w:style w:type="table" w:styleId="982">
    <w:name w:val="List Table 4 - Accent 4"/>
    <w:next w:val="982"/>
    <w:link w:val="740"/>
    <w:uiPriority w:val="99"/>
    <w:qFormat/>
    <w:rPr>
      <w:rFonts w:ascii="Calibri" w:hAnsi="Calibri"/>
      <w:lang w:val="en-US" w:eastAsia="zh-CN" w:bidi="ar-SA"/>
    </w:rPr>
    <w:tblPr/>
  </w:style>
  <w:style w:type="table" w:styleId="983">
    <w:name w:val="List Table 4 - Accent 5"/>
    <w:next w:val="983"/>
    <w:link w:val="740"/>
    <w:uiPriority w:val="99"/>
    <w:qFormat/>
    <w:rPr>
      <w:rFonts w:ascii="Calibri" w:hAnsi="Calibri"/>
      <w:lang w:val="en-US" w:eastAsia="zh-CN" w:bidi="ar-SA"/>
    </w:rPr>
    <w:tblPr/>
  </w:style>
  <w:style w:type="table" w:styleId="984">
    <w:name w:val="List Table 4 - Accent 6"/>
    <w:next w:val="984"/>
    <w:link w:val="740"/>
    <w:uiPriority w:val="99"/>
    <w:qFormat/>
    <w:rPr>
      <w:rFonts w:ascii="Calibri" w:hAnsi="Calibri"/>
      <w:lang w:val="en-US" w:eastAsia="zh-CN" w:bidi="ar-SA"/>
    </w:rPr>
    <w:tblPr/>
  </w:style>
  <w:style w:type="table" w:styleId="985">
    <w:name w:val="清单表 5 深色1"/>
    <w:next w:val="985"/>
    <w:link w:val="740"/>
    <w:uiPriority w:val="99"/>
    <w:qFormat/>
    <w:rPr>
      <w:rFonts w:ascii="Calibri" w:hAnsi="Calibri"/>
      <w:lang w:val="en-US" w:eastAsia="zh-CN" w:bidi="ar-SA"/>
    </w:rPr>
    <w:tblPr/>
  </w:style>
  <w:style w:type="table" w:styleId="986">
    <w:name w:val="List Table 5 Dark - Accent 1"/>
    <w:next w:val="986"/>
    <w:link w:val="740"/>
    <w:uiPriority w:val="99"/>
    <w:qFormat/>
    <w:rPr>
      <w:rFonts w:ascii="Calibri" w:hAnsi="Calibri"/>
      <w:lang w:val="en-US" w:eastAsia="zh-CN" w:bidi="ar-SA"/>
    </w:rPr>
    <w:tblPr/>
  </w:style>
  <w:style w:type="table" w:styleId="987">
    <w:name w:val="List Table 5 Dark - Accent 2"/>
    <w:next w:val="987"/>
    <w:link w:val="740"/>
    <w:uiPriority w:val="99"/>
    <w:qFormat/>
    <w:rPr>
      <w:rFonts w:ascii="Calibri" w:hAnsi="Calibri"/>
      <w:lang w:val="en-US" w:eastAsia="zh-CN" w:bidi="ar-SA"/>
    </w:rPr>
    <w:tblPr/>
  </w:style>
  <w:style w:type="table" w:styleId="988">
    <w:name w:val="List Table 5 Dark - Accent 3"/>
    <w:next w:val="988"/>
    <w:link w:val="740"/>
    <w:uiPriority w:val="99"/>
    <w:qFormat/>
    <w:rPr>
      <w:rFonts w:ascii="Calibri" w:hAnsi="Calibri"/>
      <w:lang w:val="en-US" w:eastAsia="zh-CN" w:bidi="ar-SA"/>
    </w:rPr>
    <w:tblPr/>
  </w:style>
  <w:style w:type="table" w:styleId="989">
    <w:name w:val="List Table 5 Dark - Accent 4"/>
    <w:next w:val="989"/>
    <w:link w:val="740"/>
    <w:uiPriority w:val="99"/>
    <w:qFormat/>
    <w:rPr>
      <w:rFonts w:ascii="Calibri" w:hAnsi="Calibri"/>
      <w:lang w:val="en-US" w:eastAsia="zh-CN" w:bidi="ar-SA"/>
    </w:rPr>
    <w:tblPr/>
  </w:style>
  <w:style w:type="table" w:styleId="990">
    <w:name w:val="List Table 5 Dark - Accent 5"/>
    <w:next w:val="990"/>
    <w:link w:val="740"/>
    <w:uiPriority w:val="99"/>
    <w:qFormat/>
    <w:rPr>
      <w:rFonts w:ascii="Calibri" w:hAnsi="Calibri"/>
      <w:lang w:val="en-US" w:eastAsia="zh-CN" w:bidi="ar-SA"/>
    </w:rPr>
    <w:tblPr/>
  </w:style>
  <w:style w:type="table" w:styleId="991">
    <w:name w:val="List Table 5 Dark - Accent 6"/>
    <w:next w:val="991"/>
    <w:link w:val="740"/>
    <w:uiPriority w:val="99"/>
    <w:qFormat/>
    <w:rPr>
      <w:rFonts w:ascii="Calibri" w:hAnsi="Calibri"/>
      <w:lang w:val="en-US" w:eastAsia="zh-CN" w:bidi="ar-SA"/>
    </w:rPr>
    <w:tblPr/>
  </w:style>
  <w:style w:type="table" w:styleId="992">
    <w:name w:val="清单表 6 彩色1"/>
    <w:next w:val="992"/>
    <w:link w:val="740"/>
    <w:uiPriority w:val="99"/>
    <w:qFormat/>
    <w:rPr>
      <w:rFonts w:ascii="Calibri" w:hAnsi="Calibri"/>
      <w:lang w:val="en-US" w:eastAsia="zh-CN" w:bidi="ar-SA"/>
    </w:rPr>
    <w:tblPr/>
  </w:style>
  <w:style w:type="table" w:styleId="993">
    <w:name w:val="List Table 6 Colorful - Accent 1"/>
    <w:next w:val="993"/>
    <w:link w:val="740"/>
    <w:uiPriority w:val="99"/>
    <w:qFormat/>
    <w:rPr>
      <w:rFonts w:ascii="Calibri" w:hAnsi="Calibri"/>
      <w:lang w:val="en-US" w:eastAsia="zh-CN" w:bidi="ar-SA"/>
    </w:rPr>
    <w:tblPr/>
  </w:style>
  <w:style w:type="table" w:styleId="994">
    <w:name w:val="List Table 6 Colorful - Accent 2"/>
    <w:next w:val="994"/>
    <w:link w:val="740"/>
    <w:uiPriority w:val="99"/>
    <w:qFormat/>
    <w:rPr>
      <w:rFonts w:ascii="Calibri" w:hAnsi="Calibri"/>
      <w:lang w:val="en-US" w:eastAsia="zh-CN" w:bidi="ar-SA"/>
    </w:rPr>
    <w:tblPr/>
  </w:style>
  <w:style w:type="table" w:styleId="995">
    <w:name w:val="List Table 6 Colorful - Accent 3"/>
    <w:next w:val="995"/>
    <w:link w:val="740"/>
    <w:uiPriority w:val="99"/>
    <w:qFormat/>
    <w:rPr>
      <w:rFonts w:ascii="Calibri" w:hAnsi="Calibri"/>
      <w:lang w:val="en-US" w:eastAsia="zh-CN" w:bidi="ar-SA"/>
    </w:rPr>
    <w:tblPr/>
  </w:style>
  <w:style w:type="table" w:styleId="996">
    <w:name w:val="List Table 6 Colorful - Accent 4"/>
    <w:next w:val="996"/>
    <w:link w:val="740"/>
    <w:uiPriority w:val="99"/>
    <w:qFormat/>
    <w:rPr>
      <w:rFonts w:ascii="Calibri" w:hAnsi="Calibri"/>
      <w:lang w:val="en-US" w:eastAsia="zh-CN" w:bidi="ar-SA"/>
    </w:rPr>
    <w:tblPr/>
  </w:style>
  <w:style w:type="table" w:styleId="997">
    <w:name w:val="List Table 6 Colorful - Accent 5"/>
    <w:next w:val="997"/>
    <w:link w:val="740"/>
    <w:uiPriority w:val="99"/>
    <w:qFormat/>
    <w:rPr>
      <w:rFonts w:ascii="Calibri" w:hAnsi="Calibri"/>
      <w:lang w:val="en-US" w:eastAsia="zh-CN" w:bidi="ar-SA"/>
    </w:rPr>
    <w:tblPr/>
  </w:style>
  <w:style w:type="table" w:styleId="998">
    <w:name w:val="List Table 6 Colorful - Accent 6"/>
    <w:next w:val="998"/>
    <w:link w:val="740"/>
    <w:uiPriority w:val="99"/>
    <w:qFormat/>
    <w:rPr>
      <w:rFonts w:ascii="Calibri" w:hAnsi="Calibri"/>
      <w:lang w:val="en-US" w:eastAsia="zh-CN" w:bidi="ar-SA"/>
    </w:rPr>
    <w:tblPr/>
  </w:style>
  <w:style w:type="table" w:styleId="999">
    <w:name w:val="清单表 7 彩色1"/>
    <w:next w:val="999"/>
    <w:link w:val="740"/>
    <w:uiPriority w:val="99"/>
    <w:qFormat/>
    <w:rPr>
      <w:rFonts w:ascii="Calibri" w:hAnsi="Calibri"/>
      <w:lang w:val="en-US" w:eastAsia="zh-CN" w:bidi="ar-SA"/>
    </w:rPr>
    <w:tblPr/>
  </w:style>
  <w:style w:type="table" w:styleId="1000">
    <w:name w:val="List Table 7 Colorful - Accent 1"/>
    <w:next w:val="1000"/>
    <w:link w:val="740"/>
    <w:uiPriority w:val="99"/>
    <w:qFormat/>
    <w:rPr>
      <w:rFonts w:ascii="Calibri" w:hAnsi="Calibri"/>
      <w:lang w:val="en-US" w:eastAsia="zh-CN" w:bidi="ar-SA"/>
    </w:rPr>
    <w:tblPr/>
  </w:style>
  <w:style w:type="table" w:styleId="1001">
    <w:name w:val="List Table 7 Colorful - Accent 2"/>
    <w:next w:val="1001"/>
    <w:link w:val="740"/>
    <w:uiPriority w:val="99"/>
    <w:qFormat/>
    <w:rPr>
      <w:rFonts w:ascii="Calibri" w:hAnsi="Calibri"/>
      <w:lang w:val="en-US" w:eastAsia="zh-CN" w:bidi="ar-SA"/>
    </w:rPr>
    <w:tblPr/>
  </w:style>
  <w:style w:type="table" w:styleId="1002">
    <w:name w:val="List Table 7 Colorful - Accent 3"/>
    <w:next w:val="1002"/>
    <w:link w:val="740"/>
    <w:uiPriority w:val="99"/>
    <w:qFormat/>
    <w:rPr>
      <w:rFonts w:ascii="Calibri" w:hAnsi="Calibri"/>
      <w:lang w:val="en-US" w:eastAsia="zh-CN" w:bidi="ar-SA"/>
    </w:rPr>
    <w:tblPr/>
  </w:style>
  <w:style w:type="table" w:styleId="1003">
    <w:name w:val="List Table 7 Colorful - Accent 4"/>
    <w:next w:val="1003"/>
    <w:link w:val="740"/>
    <w:uiPriority w:val="99"/>
    <w:qFormat/>
    <w:rPr>
      <w:rFonts w:ascii="Calibri" w:hAnsi="Calibri"/>
      <w:lang w:val="en-US" w:eastAsia="zh-CN" w:bidi="ar-SA"/>
    </w:rPr>
    <w:tblPr/>
  </w:style>
  <w:style w:type="table" w:styleId="1004">
    <w:name w:val="List Table 7 Colorful - Accent 5"/>
    <w:next w:val="1004"/>
    <w:link w:val="740"/>
    <w:uiPriority w:val="99"/>
    <w:qFormat/>
    <w:rPr>
      <w:rFonts w:ascii="Calibri" w:hAnsi="Calibri"/>
      <w:lang w:val="en-US" w:eastAsia="zh-CN" w:bidi="ar-SA"/>
    </w:rPr>
    <w:tblPr/>
  </w:style>
  <w:style w:type="table" w:styleId="1005">
    <w:name w:val="List Table 7 Colorful - Accent 6"/>
    <w:next w:val="1005"/>
    <w:link w:val="740"/>
    <w:uiPriority w:val="99"/>
    <w:qFormat/>
    <w:rPr>
      <w:rFonts w:ascii="Calibri" w:hAnsi="Calibri"/>
      <w:lang w:val="en-US" w:eastAsia="zh-CN" w:bidi="ar-SA"/>
    </w:rPr>
    <w:tblPr/>
  </w:style>
  <w:style w:type="table" w:styleId="1006">
    <w:name w:val="Lined - Accent"/>
    <w:next w:val="1006"/>
    <w:link w:val="740"/>
    <w:uiPriority w:val="99"/>
    <w:qFormat/>
    <w:rPr>
      <w:rFonts w:ascii="Calibri" w:hAnsi="Calibri"/>
      <w:color w:val="404040"/>
      <w:lang w:val="en-US" w:eastAsia="zh-CN" w:bidi="ar-SA"/>
    </w:rPr>
    <w:tblPr/>
  </w:style>
  <w:style w:type="table" w:styleId="1007">
    <w:name w:val="Lined - Accent 1"/>
    <w:next w:val="1007"/>
    <w:link w:val="740"/>
    <w:uiPriority w:val="99"/>
    <w:qFormat/>
    <w:rPr>
      <w:rFonts w:ascii="Calibri" w:hAnsi="Calibri"/>
      <w:color w:val="404040"/>
      <w:lang w:val="en-US" w:eastAsia="zh-CN" w:bidi="ar-SA"/>
    </w:rPr>
    <w:tblPr/>
  </w:style>
  <w:style w:type="table" w:styleId="1008">
    <w:name w:val="Lined - Accent 2"/>
    <w:next w:val="1008"/>
    <w:link w:val="740"/>
    <w:uiPriority w:val="99"/>
    <w:qFormat/>
    <w:rPr>
      <w:rFonts w:ascii="Calibri" w:hAnsi="Calibri"/>
      <w:color w:val="404040"/>
      <w:lang w:val="en-US" w:eastAsia="zh-CN" w:bidi="ar-SA"/>
    </w:rPr>
    <w:tblPr/>
  </w:style>
  <w:style w:type="table" w:styleId="1009">
    <w:name w:val="Lined - Accent 3"/>
    <w:next w:val="1009"/>
    <w:link w:val="740"/>
    <w:uiPriority w:val="99"/>
    <w:qFormat/>
    <w:rPr>
      <w:rFonts w:ascii="Calibri" w:hAnsi="Calibri"/>
      <w:color w:val="404040"/>
      <w:lang w:val="en-US" w:eastAsia="zh-CN" w:bidi="ar-SA"/>
    </w:rPr>
    <w:tblPr/>
  </w:style>
  <w:style w:type="table" w:styleId="1010">
    <w:name w:val="Lined - Accent 4"/>
    <w:next w:val="1010"/>
    <w:link w:val="740"/>
    <w:uiPriority w:val="99"/>
    <w:qFormat/>
    <w:rPr>
      <w:rFonts w:ascii="Calibri" w:hAnsi="Calibri"/>
      <w:color w:val="404040"/>
      <w:lang w:val="en-US" w:eastAsia="zh-CN" w:bidi="ar-SA"/>
    </w:rPr>
    <w:tblPr/>
  </w:style>
  <w:style w:type="table" w:styleId="1011">
    <w:name w:val="Lined - Accent 5"/>
    <w:next w:val="1011"/>
    <w:link w:val="740"/>
    <w:uiPriority w:val="99"/>
    <w:qFormat/>
    <w:rPr>
      <w:rFonts w:ascii="Calibri" w:hAnsi="Calibri"/>
      <w:color w:val="404040"/>
      <w:lang w:val="en-US" w:eastAsia="zh-CN" w:bidi="ar-SA"/>
    </w:rPr>
    <w:tblPr/>
  </w:style>
  <w:style w:type="table" w:styleId="1012">
    <w:name w:val="Lined - Accent 6"/>
    <w:next w:val="1012"/>
    <w:link w:val="740"/>
    <w:uiPriority w:val="99"/>
    <w:qFormat/>
    <w:rPr>
      <w:rFonts w:ascii="Calibri" w:hAnsi="Calibri"/>
      <w:color w:val="404040"/>
      <w:lang w:val="en-US" w:eastAsia="zh-CN" w:bidi="ar-SA"/>
    </w:rPr>
    <w:tblPr/>
  </w:style>
  <w:style w:type="table" w:styleId="1013">
    <w:name w:val="Bordered &amp; Lined - Accent"/>
    <w:next w:val="1013"/>
    <w:link w:val="740"/>
    <w:uiPriority w:val="99"/>
    <w:qFormat/>
    <w:rPr>
      <w:rFonts w:ascii="Calibri" w:hAnsi="Calibri"/>
      <w:color w:val="404040"/>
      <w:lang w:val="en-US" w:eastAsia="zh-CN" w:bidi="ar-SA"/>
    </w:rPr>
    <w:tblPr/>
  </w:style>
  <w:style w:type="table" w:styleId="1014">
    <w:name w:val="Bordered &amp; Lined - Accent 1"/>
    <w:next w:val="1014"/>
    <w:link w:val="740"/>
    <w:uiPriority w:val="99"/>
    <w:qFormat/>
    <w:rPr>
      <w:rFonts w:ascii="Calibri" w:hAnsi="Calibri"/>
      <w:color w:val="404040"/>
      <w:lang w:val="en-US" w:eastAsia="zh-CN" w:bidi="ar-SA"/>
    </w:rPr>
    <w:tblPr/>
  </w:style>
  <w:style w:type="table" w:styleId="1015">
    <w:name w:val="Bordered &amp; Lined - Accent 2"/>
    <w:next w:val="1015"/>
    <w:link w:val="740"/>
    <w:uiPriority w:val="99"/>
    <w:qFormat/>
    <w:rPr>
      <w:rFonts w:ascii="Calibri" w:hAnsi="Calibri"/>
      <w:color w:val="404040"/>
      <w:lang w:val="en-US" w:eastAsia="zh-CN" w:bidi="ar-SA"/>
    </w:rPr>
    <w:tblPr/>
  </w:style>
  <w:style w:type="table" w:styleId="1016">
    <w:name w:val="Bordered &amp; Lined - Accent 3"/>
    <w:next w:val="1016"/>
    <w:link w:val="740"/>
    <w:uiPriority w:val="99"/>
    <w:qFormat/>
    <w:rPr>
      <w:rFonts w:ascii="Calibri" w:hAnsi="Calibri"/>
      <w:color w:val="404040"/>
      <w:lang w:val="en-US" w:eastAsia="zh-CN" w:bidi="ar-SA"/>
    </w:rPr>
    <w:tblPr/>
  </w:style>
  <w:style w:type="table" w:styleId="1017">
    <w:name w:val="Bordered &amp; Lined - Accent 4"/>
    <w:next w:val="1017"/>
    <w:link w:val="740"/>
    <w:uiPriority w:val="99"/>
    <w:qFormat/>
    <w:rPr>
      <w:rFonts w:ascii="Calibri" w:hAnsi="Calibri"/>
      <w:color w:val="404040"/>
      <w:lang w:val="en-US" w:eastAsia="zh-CN" w:bidi="ar-SA"/>
    </w:rPr>
    <w:tblPr/>
  </w:style>
  <w:style w:type="table" w:styleId="1018">
    <w:name w:val="Bordered &amp; Lined - Accent 5"/>
    <w:next w:val="1018"/>
    <w:link w:val="740"/>
    <w:uiPriority w:val="99"/>
    <w:qFormat/>
    <w:rPr>
      <w:rFonts w:ascii="Calibri" w:hAnsi="Calibri"/>
      <w:color w:val="404040"/>
      <w:lang w:val="en-US" w:eastAsia="zh-CN" w:bidi="ar-SA"/>
    </w:rPr>
    <w:tblPr/>
  </w:style>
  <w:style w:type="table" w:styleId="1019">
    <w:name w:val="Bordered &amp; Lined - Accent 6"/>
    <w:next w:val="1019"/>
    <w:link w:val="740"/>
    <w:uiPriority w:val="99"/>
    <w:qFormat/>
    <w:rPr>
      <w:rFonts w:ascii="Calibri" w:hAnsi="Calibri"/>
      <w:color w:val="404040"/>
      <w:lang w:val="en-US" w:eastAsia="zh-CN" w:bidi="ar-SA"/>
    </w:rPr>
    <w:tblPr/>
  </w:style>
  <w:style w:type="table" w:styleId="1020">
    <w:name w:val="Bordered"/>
    <w:next w:val="1020"/>
    <w:link w:val="740"/>
    <w:uiPriority w:val="99"/>
    <w:qFormat/>
    <w:rPr>
      <w:rFonts w:ascii="Calibri" w:hAnsi="Calibri"/>
      <w:lang w:val="en-US" w:eastAsia="zh-CN" w:bidi="ar-SA"/>
    </w:rPr>
    <w:tblPr/>
  </w:style>
  <w:style w:type="table" w:styleId="1021">
    <w:name w:val="Bordered - Accent 1"/>
    <w:next w:val="1021"/>
    <w:link w:val="740"/>
    <w:uiPriority w:val="99"/>
    <w:qFormat/>
    <w:rPr>
      <w:rFonts w:ascii="Calibri" w:hAnsi="Calibri"/>
      <w:lang w:val="en-US" w:eastAsia="zh-CN" w:bidi="ar-SA"/>
    </w:rPr>
    <w:tblPr/>
  </w:style>
  <w:style w:type="table" w:styleId="1022">
    <w:name w:val="Bordered - Accent 2"/>
    <w:next w:val="1022"/>
    <w:link w:val="740"/>
    <w:uiPriority w:val="99"/>
    <w:qFormat/>
    <w:rPr>
      <w:rFonts w:ascii="Calibri" w:hAnsi="Calibri"/>
      <w:lang w:val="en-US" w:eastAsia="zh-CN" w:bidi="ar-SA"/>
    </w:rPr>
    <w:tblPr/>
  </w:style>
  <w:style w:type="table" w:styleId="1023">
    <w:name w:val="Bordered - Accent 3"/>
    <w:next w:val="1023"/>
    <w:link w:val="740"/>
    <w:uiPriority w:val="99"/>
    <w:qFormat/>
    <w:rPr>
      <w:rFonts w:ascii="Calibri" w:hAnsi="Calibri"/>
      <w:lang w:val="en-US" w:eastAsia="zh-CN" w:bidi="ar-SA"/>
    </w:rPr>
    <w:tblPr/>
  </w:style>
  <w:style w:type="table" w:styleId="1024">
    <w:name w:val="Bordered - Accent 4"/>
    <w:next w:val="1024"/>
    <w:link w:val="740"/>
    <w:uiPriority w:val="99"/>
    <w:qFormat/>
    <w:rPr>
      <w:rFonts w:ascii="Calibri" w:hAnsi="Calibri"/>
      <w:lang w:val="en-US" w:eastAsia="zh-CN" w:bidi="ar-SA"/>
    </w:rPr>
    <w:tblPr/>
  </w:style>
  <w:style w:type="table" w:styleId="1025">
    <w:name w:val="Bordered - Accent 5"/>
    <w:next w:val="1025"/>
    <w:link w:val="740"/>
    <w:uiPriority w:val="99"/>
    <w:qFormat/>
    <w:rPr>
      <w:rFonts w:ascii="Calibri" w:hAnsi="Calibri"/>
      <w:lang w:val="en-US" w:eastAsia="zh-CN" w:bidi="ar-SA"/>
    </w:rPr>
    <w:tblPr/>
  </w:style>
  <w:style w:type="table" w:styleId="1026">
    <w:name w:val="Bordered - Accent 6"/>
    <w:next w:val="1026"/>
    <w:link w:val="740"/>
    <w:uiPriority w:val="99"/>
    <w:qFormat/>
    <w:rPr>
      <w:rFonts w:ascii="Calibri" w:hAnsi="Calibri"/>
      <w:lang w:val="en-US" w:eastAsia="zh-CN" w:bidi="ar-SA"/>
    </w:rPr>
    <w:tblPr/>
  </w:style>
  <w:style w:type="paragraph" w:styleId="1027">
    <w:name w:val="TOC 标题1"/>
    <w:basedOn w:val="741"/>
    <w:next w:val="740"/>
    <w:link w:val="740"/>
    <w:uiPriority w:val="39"/>
    <w:qFormat/>
    <w:pPr>
      <w:jc w:val="left"/>
      <w:keepLines/>
      <w:spacing w:before="240" w:line="259" w:lineRule="auto"/>
      <w:widowControl/>
      <w:outlineLvl w:val="9"/>
    </w:pPr>
    <w:rPr>
      <w:rFonts w:ascii="等线 Light" w:hAnsi="等线 Light" w:eastAsia="等线 Light"/>
      <w:color w:val="2f5496"/>
      <w:sz w:val="32"/>
      <w:szCs w:val="32"/>
    </w:rPr>
  </w:style>
  <w:style w:type="character" w:styleId="1028">
    <w:name w:val="正文文本 字符1"/>
    <w:next w:val="1028"/>
    <w:link w:val="740"/>
    <w:qFormat/>
    <w:rPr>
      <w:rFonts w:ascii="Arial" w:hAnsi="Arial" w:eastAsia="Arial" w:cs="Arial"/>
      <w:color w:val="000000"/>
      <w:sz w:val="21"/>
      <w:szCs w:val="21"/>
      <w:lang w:eastAsia="en-US"/>
    </w:rPr>
  </w:style>
  <w:style w:type="character" w:styleId="1029">
    <w:name w:val="正文文本缩进 字符1"/>
    <w:next w:val="1029"/>
    <w:link w:val="740"/>
    <w:uiPriority w:val="99"/>
    <w:rPr>
      <w:rFonts w:ascii="Arial" w:hAnsi="Arial" w:eastAsia="等线" w:cs="Arial"/>
      <w:color w:val="000000"/>
      <w:sz w:val="21"/>
      <w:szCs w:val="21"/>
      <w:lang w:eastAsia="en-US"/>
    </w:rPr>
  </w:style>
  <w:style w:type="paragraph" w:styleId="1030">
    <w:name w:val="Char Char Char Char Char Char Char Char Char Char"/>
    <w:basedOn w:val="740"/>
    <w:next w:val="1030"/>
    <w:link w:val="740"/>
    <w:qFormat/>
    <w:pPr>
      <w:spacing w:line="360" w:lineRule="auto"/>
    </w:pPr>
    <w:rPr>
      <w:sz w:val="24"/>
      <w:szCs w:val="20"/>
    </w:rPr>
  </w:style>
  <w:style w:type="paragraph" w:styleId="1031">
    <w:name w:val="修订1"/>
    <w:next w:val="1031"/>
    <w:link w:val="740"/>
    <w:uiPriority w:val="99"/>
    <w:semiHidden/>
    <w:qFormat/>
    <w:rPr>
      <w:sz w:val="21"/>
      <w:szCs w:val="21"/>
      <w:lang w:val="en-US" w:eastAsia="zh-CN" w:bidi="ar-SA"/>
    </w:rPr>
  </w:style>
  <w:style w:type="paragraph" w:styleId="1032">
    <w:name w:val="修订2"/>
    <w:next w:val="1032"/>
    <w:link w:val="740"/>
    <w:uiPriority w:val="99"/>
    <w:unhideWhenUsed/>
    <w:rPr>
      <w:rFonts w:ascii="Arial" w:hAnsi="Arial" w:eastAsia="等线" w:cs="Arial"/>
      <w:color w:val="000000"/>
      <w:sz w:val="21"/>
      <w:szCs w:val="21"/>
      <w:lang w:val="en-US" w:eastAsia="en-US" w:bidi="ar-SA"/>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沈宇明</cp:lastModifiedBy>
  <cp:revision>10</cp:revision>
  <dcterms:created xsi:type="dcterms:W3CDTF">2025-12-15T07:42:00Z</dcterms:created>
  <dcterms:modified xsi:type="dcterms:W3CDTF">2026-01-06T01:35:31Z</dcterms:modified>
  <cp:version>1048576</cp:version>
</cp:coreProperties>
</file>