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2.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docProps/custom.xml" ContentType="application/vnd.openxmlformats-officedocument.custom-properties+xml"/>
  <Override PartName="/word/header9.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rFonts w:ascii="宋体" w:hAnsi="宋体" w:cs="宋体"/>
          <w:b/>
          <w:color w:val="000000" w:themeColor="text1"/>
          <w:sz w:val="84"/>
          <w:highlight w:val="none"/>
        </w:rPr>
      </w:pPr>
      <w:r>
        <w:rPr>
          <w:rFonts w:ascii="宋体" w:hAnsi="宋体" w:cs="宋体"/>
          <w:b/>
          <w:color w:val="000000" w:themeColor="text1"/>
          <w:sz w:val="84"/>
          <w:highlight w:val="none"/>
        </w:rPr>
      </w:r>
      <w:r/>
    </w:p>
    <w:p>
      <w:pPr>
        <w:pStyle w:val="925"/>
        <w:rPr>
          <w:color w:val="000000" w:themeColor="text1"/>
          <w:highlight w:val="none"/>
        </w:rPr>
      </w:pPr>
      <w:r>
        <w:rPr>
          <w:color w:val="000000" w:themeColor="text1"/>
          <w:highlight w:val="none"/>
        </w:rPr>
      </w:r>
      <w:r/>
    </w:p>
    <w:p>
      <w:pPr>
        <w:jc w:val="center"/>
        <w:rPr>
          <w:rFonts w:ascii="宋体" w:hAnsi="宋体" w:cs="宋体"/>
          <w:b/>
          <w:color w:val="000000" w:themeColor="text1"/>
          <w:sz w:val="84"/>
          <w:highlight w:val="none"/>
        </w:rPr>
      </w:pPr>
      <w:r>
        <w:rPr>
          <w:rFonts w:hint="eastAsia" w:ascii="宋体" w:hAnsi="宋体" w:cs="宋体"/>
          <w:b/>
          <w:color w:val="000000" w:themeColor="text1"/>
          <w:sz w:val="84"/>
          <w:highlight w:val="none"/>
        </w:rPr>
        <w:t xml:space="preserve">苏 州 市 政 府 采 购</w:t>
      </w:r>
      <w:r/>
    </w:p>
    <w:p>
      <w:pPr>
        <w:jc w:val="center"/>
        <w:rPr>
          <w:rFonts w:ascii="宋体" w:hAnsi="宋体" w:cs="宋体"/>
          <w:b/>
          <w:bCs/>
          <w:color w:val="000000" w:themeColor="text1"/>
          <w:sz w:val="84"/>
          <w:szCs w:val="84"/>
          <w:highlight w:val="none"/>
        </w:rPr>
      </w:pPr>
      <w:r>
        <w:rPr>
          <w:rFonts w:hint="eastAsia" w:ascii="宋体" w:hAnsi="宋体" w:cs="宋体"/>
          <w:b/>
          <w:color w:val="000000" w:themeColor="text1"/>
          <w:sz w:val="84"/>
          <w:highlight w:val="none"/>
        </w:rPr>
        <w:t xml:space="preserve">招标文件</w:t>
      </w:r>
      <w:r/>
    </w:p>
    <w:p>
      <w:pPr>
        <w:jc w:val="center"/>
        <w:rPr>
          <w:rFonts w:ascii="宋体" w:hAnsi="宋体" w:cs="宋体"/>
          <w:b/>
          <w:bCs/>
          <w:color w:val="000000" w:themeColor="text1"/>
          <w:sz w:val="84"/>
          <w:szCs w:val="84"/>
          <w:highlight w:val="none"/>
        </w:rPr>
      </w:pPr>
      <w:r>
        <w:rPr>
          <w:rFonts w:ascii="宋体" w:hAnsi="宋体" w:cs="宋体"/>
          <w:b/>
          <w:bCs/>
          <w:color w:val="000000" w:themeColor="text1"/>
          <w:sz w:val="84"/>
          <w:szCs w:val="84"/>
          <w:highlight w:val="none"/>
        </w:rPr>
      </w:r>
      <w:r/>
    </w:p>
    <w:p>
      <w:pPr>
        <w:rPr>
          <w:rFonts w:ascii="宋体" w:hAnsi="宋体" w:cs="宋体"/>
          <w:color w:val="000000" w:themeColor="text1"/>
          <w:highlight w:val="none"/>
        </w:rPr>
      </w:pPr>
      <w:r>
        <w:rPr>
          <w:rFonts w:ascii="宋体" w:hAnsi="宋体" w:cs="宋体"/>
          <w:color w:val="000000" w:themeColor="text1"/>
          <w:highlight w:val="none"/>
        </w:rPr>
      </w:r>
      <w:r/>
    </w:p>
    <w:p>
      <w:pPr>
        <w:ind w:firstLine="1276"/>
        <w:jc w:val="left"/>
        <w:spacing w:line="360" w:lineRule="auto"/>
        <w:rPr>
          <w:rFonts w:ascii="宋体" w:hAnsi="宋体"/>
          <w:color w:val="000000" w:themeColor="text1"/>
          <w:sz w:val="32"/>
          <w:szCs w:val="32"/>
          <w:highlight w:val="none"/>
        </w:rPr>
      </w:pPr>
      <w:r>
        <w:rPr>
          <w:rFonts w:hint="eastAsia" w:ascii="宋体" w:hAnsi="宋体" w:cs="宋体"/>
          <w:color w:val="000000" w:themeColor="text1"/>
          <w:sz w:val="32"/>
          <w:szCs w:val="32"/>
          <w:highlight w:val="none"/>
        </w:rPr>
        <w:t xml:space="preserve">招标编号：</w:t>
      </w:r>
      <w:r>
        <w:rPr>
          <w:rFonts w:hint="eastAsia" w:ascii="宋体" w:hAnsi="宋体"/>
          <w:color w:val="000000" w:themeColor="text1"/>
          <w:sz w:val="32"/>
          <w:szCs w:val="32"/>
          <w:highlight w:val="none"/>
        </w:rPr>
        <w:t xml:space="preserve">JSZC-320500-SZSD-G2025-0046</w:t>
      </w:r>
      <w:r/>
    </w:p>
    <w:p>
      <w:pPr>
        <w:ind w:firstLine="1276"/>
        <w:jc w:val="left"/>
        <w:spacing w:line="360" w:lineRule="auto"/>
        <w:rPr>
          <w:rFonts w:ascii="宋体" w:hAnsi="宋体"/>
          <w:color w:val="000000" w:themeColor="text1"/>
          <w:sz w:val="32"/>
          <w:szCs w:val="32"/>
          <w:highlight w:val="none"/>
        </w:rPr>
      </w:pPr>
      <w:r>
        <w:rPr>
          <w:rFonts w:hint="eastAsia" w:ascii="宋体" w:hAnsi="宋体" w:cs="宋体"/>
          <w:color w:val="000000" w:themeColor="text1"/>
          <w:sz w:val="32"/>
          <w:szCs w:val="32"/>
          <w:highlight w:val="none"/>
        </w:rPr>
        <w:t xml:space="preserve">采购单位：</w:t>
      </w:r>
      <w:r>
        <w:rPr>
          <w:rFonts w:hint="eastAsia" w:ascii="宋体" w:hAnsi="宋体"/>
          <w:color w:val="000000" w:themeColor="text1"/>
          <w:sz w:val="32"/>
          <w:szCs w:val="32"/>
          <w:highlight w:val="none"/>
        </w:rPr>
        <w:t xml:space="preserve">苏州市公安局</w:t>
      </w:r>
      <w:r/>
    </w:p>
    <w:p>
      <w:pPr>
        <w:ind w:firstLine="1276"/>
        <w:jc w:val="left"/>
        <w:spacing w:line="360" w:lineRule="auto"/>
        <w:rPr>
          <w:rFonts w:ascii="宋体" w:hAnsi="宋体"/>
          <w:color w:val="000000" w:themeColor="text1"/>
          <w:sz w:val="32"/>
          <w:szCs w:val="32"/>
          <w:highlight w:val="none"/>
        </w:rPr>
      </w:pPr>
      <w:r>
        <w:rPr>
          <w:rFonts w:hint="eastAsia" w:ascii="宋体" w:hAnsi="宋体" w:cs="宋体"/>
          <w:color w:val="000000" w:themeColor="text1"/>
          <w:sz w:val="32"/>
          <w:szCs w:val="32"/>
          <w:highlight w:val="none"/>
        </w:rPr>
        <w:t xml:space="preserve">项目名称：</w:t>
      </w:r>
      <w:r>
        <w:rPr>
          <w:rFonts w:hint="eastAsia" w:ascii="宋体" w:hAnsi="宋体"/>
          <w:color w:val="000000" w:themeColor="text1"/>
          <w:sz w:val="32"/>
          <w:szCs w:val="32"/>
          <w:highlight w:val="none"/>
        </w:rPr>
        <w:t xml:space="preserve">2024年中央政法转移支付资金子项目</w:t>
      </w:r>
      <w:r/>
    </w:p>
    <w:p>
      <w:pPr>
        <w:ind w:firstLine="2835"/>
        <w:jc w:val="left"/>
        <w:spacing w:line="360" w:lineRule="auto"/>
        <w:rPr>
          <w:rFonts w:ascii="宋体" w:hAnsi="宋体"/>
          <w:color w:val="000000" w:themeColor="text1"/>
          <w:sz w:val="32"/>
          <w:szCs w:val="32"/>
          <w:highlight w:val="none"/>
        </w:rPr>
      </w:pPr>
      <w:r>
        <w:rPr>
          <w:rFonts w:hint="eastAsia" w:ascii="宋体" w:hAnsi="宋体"/>
          <w:color w:val="000000" w:themeColor="text1"/>
          <w:sz w:val="32"/>
          <w:szCs w:val="32"/>
          <w:highlight w:val="none"/>
          <w:lang w:eastAsia="zh-CN"/>
        </w:rPr>
        <w:t xml:space="preserve">（</w:t>
      </w:r>
      <w:r>
        <w:rPr>
          <w:rFonts w:hint="eastAsia" w:ascii="宋体" w:hAnsi="宋体"/>
          <w:color w:val="000000" w:themeColor="text1"/>
          <w:sz w:val="32"/>
          <w:szCs w:val="32"/>
          <w:highlight w:val="none"/>
        </w:rPr>
        <w:t xml:space="preserve">健康一体机等一批医疗设备</w:t>
      </w:r>
      <w:r>
        <w:rPr>
          <w:rFonts w:hint="eastAsia" w:ascii="宋体" w:hAnsi="宋体"/>
          <w:color w:val="000000" w:themeColor="text1"/>
          <w:sz w:val="32"/>
          <w:szCs w:val="32"/>
          <w:highlight w:val="none"/>
          <w:lang w:eastAsia="zh-CN"/>
        </w:rPr>
        <w:t xml:space="preserve">）</w:t>
      </w:r>
      <w:r/>
    </w:p>
    <w:p>
      <w:pPr>
        <w:ind w:firstLine="1276"/>
        <w:spacing w:line="360" w:lineRule="auto"/>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 xml:space="preserve">项目类别：</w:t>
      </w:r>
      <w:r>
        <w:rPr>
          <w:rFonts w:hint="eastAsia" w:ascii="宋体" w:hAnsi="宋体"/>
          <w:color w:val="000000" w:themeColor="text1"/>
          <w:sz w:val="32"/>
          <w:szCs w:val="32"/>
          <w:highlight w:val="none"/>
        </w:rPr>
        <w:t xml:space="preserve">货物类</w:t>
      </w:r>
      <w:r/>
    </w:p>
    <w:p>
      <w:pPr>
        <w:jc w:val="center"/>
        <w:rPr>
          <w:rFonts w:ascii="宋体" w:hAnsi="宋体" w:cs="宋体"/>
          <w:color w:val="000000" w:themeColor="text1"/>
          <w:sz w:val="32"/>
          <w:highlight w:val="none"/>
        </w:rPr>
      </w:pPr>
      <w:r>
        <w:rPr>
          <w:rFonts w:ascii="宋体" w:hAnsi="宋体" w:cs="宋体"/>
          <w:color w:val="000000" w:themeColor="text1"/>
          <w:sz w:val="32"/>
          <w:highlight w:val="none"/>
        </w:rPr>
      </w:r>
      <w:r/>
    </w:p>
    <w:p>
      <w:pPr>
        <w:pStyle w:val="1120"/>
        <w:ind w:firstLine="420"/>
        <w:rPr>
          <w:rFonts w:ascii="宋体" w:hAnsi="宋体" w:cs="宋体"/>
          <w:color w:val="000000" w:themeColor="text1"/>
          <w:highlight w:val="none"/>
        </w:rPr>
      </w:pPr>
      <w:r>
        <w:rPr>
          <w:rFonts w:ascii="宋体" w:hAnsi="宋体" w:cs="宋体"/>
          <w:color w:val="000000" w:themeColor="text1"/>
          <w:highlight w:val="none"/>
        </w:rPr>
      </w:r>
      <w:r/>
    </w:p>
    <w:p>
      <w:pPr>
        <w:jc w:val="center"/>
        <w:rPr>
          <w:rFonts w:ascii="宋体" w:hAnsi="宋体" w:cs="宋体"/>
          <w:color w:val="000000" w:themeColor="text1"/>
          <w:sz w:val="32"/>
          <w:highlight w:val="none"/>
        </w:rPr>
      </w:pPr>
      <w:r>
        <w:rPr>
          <w:rFonts w:hint="eastAsia" w:ascii="宋体" w:hAnsi="宋体" w:cs="宋体"/>
          <w:color w:val="000000" w:themeColor="text1"/>
          <w:sz w:val="32"/>
          <w:highlight w:val="none"/>
        </w:rPr>
        <mc:AlternateContent>
          <mc:Choice Requires="wpg">
            <w:drawing>
              <wp:inline xmlns:wp="http://schemas.openxmlformats.org/drawingml/2006/wordprocessingDrawing" distT="0" distB="0" distL="0" distR="0">
                <wp:extent cx="2793365" cy="1384935"/>
                <wp:effectExtent l="0" t="0" r="0" b="0"/>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r/>
                      </pic:nvPicPr>
                      <pic:blipFill>
                        <a:blip r:embed="rId27"/>
                        <a:stretch/>
                      </pic:blipFill>
                      <pic:spPr bwMode="auto">
                        <a:xfrm>
                          <a:off x="0" y="0"/>
                          <a:ext cx="2793467" cy="138504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19.9pt;height:109.0pt;mso-wrap-distance-left:0.0pt;mso-wrap-distance-top:0.0pt;mso-wrap-distance-right:0.0pt;mso-wrap-distance-bottom:0.0pt;" stroked="f">
                <v:path textboxrect="0,0,0,0"/>
                <v:imagedata r:id="rId27" o:title=""/>
              </v:shape>
            </w:pict>
          </mc:Fallback>
        </mc:AlternateContent>
      </w:r>
      <w:r/>
    </w:p>
    <w:p>
      <w:pPr>
        <w:rPr>
          <w:rFonts w:ascii="宋体" w:hAnsi="宋体" w:cs="宋体"/>
          <w:color w:val="000000" w:themeColor="text1"/>
          <w:sz w:val="32"/>
          <w:highlight w:val="none"/>
        </w:rPr>
      </w:pPr>
      <w:r>
        <w:rPr>
          <w:rFonts w:ascii="宋体" w:hAnsi="宋体" w:cs="宋体"/>
          <w:color w:val="000000" w:themeColor="text1"/>
          <w:sz w:val="32"/>
          <w:highlight w:val="none"/>
        </w:rPr>
      </w:r>
      <w:r/>
    </w:p>
    <w:p>
      <w:pPr>
        <w:rPr>
          <w:rFonts w:ascii="宋体" w:hAnsi="宋体" w:cs="宋体"/>
          <w:color w:val="000000" w:themeColor="text1"/>
          <w:sz w:val="36"/>
          <w:szCs w:val="36"/>
          <w:highlight w:val="none"/>
        </w:rPr>
      </w:pPr>
      <w:r>
        <w:rPr>
          <w:rFonts w:ascii="宋体" w:hAnsi="宋体" w:cs="宋体"/>
          <w:color w:val="000000" w:themeColor="text1"/>
          <w:sz w:val="36"/>
          <w:szCs w:val="36"/>
          <w:highlight w:val="none"/>
        </w:rPr>
      </w:r>
      <w:r/>
    </w:p>
    <w:p>
      <w:pPr>
        <w:rPr>
          <w:rFonts w:ascii="宋体" w:hAnsi="宋体" w:cs="宋体"/>
          <w:color w:val="000000" w:themeColor="text1"/>
          <w:sz w:val="36"/>
          <w:szCs w:val="36"/>
          <w:highlight w:val="none"/>
        </w:rPr>
      </w:pPr>
      <w:r>
        <w:rPr>
          <w:rFonts w:ascii="宋体" w:hAnsi="宋体" w:cs="宋体"/>
          <w:color w:val="000000" w:themeColor="text1"/>
          <w:sz w:val="36"/>
          <w:szCs w:val="36"/>
          <w:highlight w:val="none"/>
        </w:rPr>
      </w:r>
      <w:r/>
    </w:p>
    <w:p>
      <w:pPr>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 xml:space="preserve">苏州时代招投标有限公司</w:t>
      </w:r>
      <w:r/>
    </w:p>
    <w:p>
      <w:pPr>
        <w:jc w:val="center"/>
        <w:rPr>
          <w:rFonts w:ascii="宋体" w:hAnsi="宋体" w:cs="宋体"/>
          <w:color w:val="000000" w:themeColor="text1"/>
          <w:sz w:val="32"/>
          <w:szCs w:val="32"/>
          <w:highlight w:val="none"/>
        </w:rPr>
      </w:pPr>
      <w:r>
        <w:rPr>
          <w:rFonts w:hint="eastAsia" w:ascii="宋体" w:hAnsi="宋体" w:cs="宋体"/>
          <w:color w:val="000000" w:themeColor="text1"/>
          <w:sz w:val="32"/>
          <w:szCs w:val="32"/>
          <w:highlight w:val="none"/>
        </w:rPr>
        <w:t xml:space="preserve">二〇二五年十月</w:t>
      </w:r>
      <w:r/>
    </w:p>
    <w:p>
      <w:pPr>
        <w:jc w:val="center"/>
        <w:rPr>
          <w:rFonts w:ascii="宋体" w:hAnsi="宋体" w:cs="宋体"/>
          <w:color w:val="000000" w:themeColor="text1"/>
          <w:sz w:val="44"/>
          <w:szCs w:val="44"/>
          <w:highlight w:val="none"/>
        </w:rPr>
        <w:sectPr>
          <w:headerReference w:type="default" r:id="rId9"/>
          <w:headerReference w:type="even" r:id="rId10"/>
          <w:headerReference w:type="first" r:id="rId11"/>
          <w:footerReference w:type="default" r:id="rId21"/>
          <w:footnotePr/>
          <w:endnotePr/>
          <w:type w:val="nextPage"/>
          <w:pgSz w:w="11906" w:h="16838" w:orient="portrait"/>
          <w:pgMar w:top="1440" w:right="1633" w:bottom="1276" w:left="1633" w:header="851" w:footer="992" w:gutter="0"/>
          <w:pgNumType w:start="1"/>
          <w:cols w:num="1" w:sep="0" w:space="1701" w:equalWidth="1"/>
          <w:docGrid w:linePitch="360"/>
        </w:sectPr>
      </w:pPr>
      <w:r>
        <w:rPr>
          <w:rFonts w:ascii="宋体" w:hAnsi="宋体" w:cs="宋体"/>
          <w:color w:val="000000" w:themeColor="text1"/>
          <w:sz w:val="44"/>
          <w:szCs w:val="44"/>
          <w:highlight w:val="none"/>
        </w:rPr>
      </w:r>
      <w:r/>
    </w:p>
    <w:p>
      <w:pPr>
        <w:jc w:val="center"/>
        <w:rPr>
          <w:rFonts w:ascii="宋体" w:hAnsi="宋体" w:cs="宋体"/>
          <w:color w:val="000000" w:themeColor="text1"/>
          <w:sz w:val="44"/>
          <w:szCs w:val="44"/>
          <w:highlight w:val="none"/>
        </w:rPr>
      </w:pPr>
      <w:r>
        <w:rPr>
          <w:rFonts w:ascii="宋体" w:hAnsi="宋体" w:cs="宋体"/>
          <w:color w:val="000000" w:themeColor="text1"/>
          <w:sz w:val="44"/>
          <w:szCs w:val="44"/>
          <w:highlight w:val="none"/>
        </w:rPr>
      </w:r>
      <w:r/>
    </w:p>
    <w:p>
      <w:pPr>
        <w:jc w:val="center"/>
        <w:rPr>
          <w:rFonts w:ascii="宋体" w:hAnsi="宋体" w:cs="宋体"/>
          <w:color w:val="000000" w:themeColor="text1"/>
          <w:sz w:val="44"/>
          <w:szCs w:val="44"/>
          <w:highlight w:val="none"/>
        </w:rPr>
      </w:pPr>
      <w:r>
        <w:rPr>
          <w:rFonts w:hint="eastAsia" w:ascii="宋体" w:hAnsi="宋体" w:cs="宋体"/>
          <w:color w:val="000000" w:themeColor="text1"/>
          <w:sz w:val="44"/>
          <w:szCs w:val="44"/>
          <w:highlight w:val="none"/>
        </w:rPr>
        <w:t xml:space="preserve">总目录</w:t>
      </w:r>
      <w:r/>
    </w:p>
    <w:p>
      <w:pPr>
        <w:pStyle w:val="1121"/>
        <w:ind w:firstLine="0"/>
        <w:jc w:val="center"/>
        <w:rPr>
          <w:rFonts w:ascii="宋体" w:hAnsi="宋体" w:eastAsia="宋体" w:cs="宋体"/>
          <w:color w:val="000000" w:themeColor="text1"/>
          <w:sz w:val="30"/>
          <w:highlight w:val="none"/>
        </w:rPr>
      </w:pPr>
      <w:r>
        <w:rPr>
          <w:rFonts w:ascii="宋体" w:hAnsi="宋体" w:eastAsia="宋体" w:cs="宋体"/>
          <w:color w:val="000000" w:themeColor="text1"/>
          <w:sz w:val="30"/>
          <w:highlight w:val="none"/>
        </w:rPr>
      </w:r>
      <w:r/>
    </w:p>
    <w:p>
      <w:pPr>
        <w:ind w:firstLine="560"/>
        <w:spacing w:line="48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前附表 …………………………………………………………… 2 </w:t>
      </w:r>
      <w:r/>
    </w:p>
    <w:p>
      <w:pPr>
        <w:ind w:firstLine="560"/>
        <w:spacing w:line="48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第一章 投标邀请函……………………………………………… 4</w:t>
      </w:r>
      <w:r/>
    </w:p>
    <w:p>
      <w:pPr>
        <w:ind w:firstLine="560"/>
        <w:spacing w:line="480" w:lineRule="auto"/>
        <w:rPr>
          <w:rFonts w:hint="eastAsia" w:ascii="宋体" w:hAnsi="宋体" w:eastAsia="宋体"/>
          <w:color w:val="000000" w:themeColor="text1"/>
          <w:sz w:val="28"/>
          <w:szCs w:val="28"/>
          <w:highlight w:val="none"/>
          <w:lang w:eastAsia="zh-CN"/>
        </w:rPr>
      </w:pPr>
      <w:r>
        <w:rPr>
          <w:rFonts w:hint="eastAsia" w:ascii="宋体" w:hAnsi="宋体"/>
          <w:color w:val="000000" w:themeColor="text1"/>
          <w:sz w:val="28"/>
          <w:szCs w:val="28"/>
          <w:highlight w:val="none"/>
        </w:rPr>
        <w:t xml:space="preserve">第二章 投标人须知……………………………………………… </w:t>
      </w:r>
      <w:r>
        <w:rPr>
          <w:rFonts w:hint="eastAsia" w:ascii="宋体" w:hAnsi="宋体"/>
          <w:color w:val="000000" w:themeColor="text1"/>
          <w:sz w:val="28"/>
          <w:szCs w:val="28"/>
          <w:highlight w:val="none"/>
          <w:lang w:val="en-US" w:eastAsia="zh-CN"/>
        </w:rPr>
        <w:t xml:space="preserve">9</w:t>
      </w:r>
      <w:r/>
    </w:p>
    <w:p>
      <w:pPr>
        <w:ind w:firstLine="560"/>
        <w:spacing w:line="480" w:lineRule="auto"/>
        <w:rPr>
          <w:rFonts w:hint="eastAsia" w:ascii="宋体" w:hAnsi="宋体" w:eastAsia="宋体"/>
          <w:color w:val="000000" w:themeColor="text1"/>
          <w:sz w:val="28"/>
          <w:szCs w:val="28"/>
          <w:highlight w:val="none"/>
          <w:lang w:eastAsia="zh-CN"/>
        </w:rPr>
      </w:pPr>
      <w:r>
        <w:rPr>
          <w:rFonts w:hint="eastAsia" w:ascii="宋体" w:hAnsi="宋体"/>
          <w:color w:val="000000" w:themeColor="text1"/>
          <w:sz w:val="28"/>
          <w:szCs w:val="28"/>
          <w:highlight w:val="none"/>
        </w:rPr>
        <w:t xml:space="preserve">第三章 投标文件格式……………………………………………2</w:t>
      </w:r>
      <w:r>
        <w:rPr>
          <w:rFonts w:hint="eastAsia" w:ascii="宋体" w:hAnsi="宋体"/>
          <w:color w:val="000000" w:themeColor="text1"/>
          <w:sz w:val="28"/>
          <w:szCs w:val="28"/>
          <w:highlight w:val="none"/>
          <w:lang w:val="en-US" w:eastAsia="zh-CN"/>
        </w:rPr>
        <w:t xml:space="preserve">4</w:t>
      </w:r>
      <w:r/>
    </w:p>
    <w:p>
      <w:pPr>
        <w:ind w:firstLine="560"/>
        <w:spacing w:line="480" w:lineRule="auto"/>
        <w:rPr>
          <w:rFonts w:hint="eastAsia" w:ascii="宋体" w:hAnsi="宋体" w:eastAsia="宋体"/>
          <w:color w:val="000000" w:themeColor="text1"/>
          <w:sz w:val="28"/>
          <w:szCs w:val="28"/>
          <w:highlight w:val="none"/>
          <w:lang w:eastAsia="zh-CN"/>
        </w:rPr>
      </w:pPr>
      <w:r>
        <w:rPr>
          <w:rFonts w:hint="eastAsia" w:ascii="宋体" w:hAnsi="宋体"/>
          <w:color w:val="000000" w:themeColor="text1"/>
          <w:sz w:val="28"/>
          <w:szCs w:val="28"/>
          <w:highlight w:val="none"/>
        </w:rPr>
        <w:t xml:space="preserve">第四章 招标书……………………………………………………3</w:t>
      </w:r>
      <w:r>
        <w:rPr>
          <w:rFonts w:hint="eastAsia" w:ascii="宋体" w:hAnsi="宋体"/>
          <w:color w:val="000000" w:themeColor="text1"/>
          <w:sz w:val="28"/>
          <w:szCs w:val="28"/>
          <w:highlight w:val="none"/>
          <w:lang w:val="en-US" w:eastAsia="zh-CN"/>
        </w:rPr>
        <w:t xml:space="preserve">9</w:t>
      </w:r>
      <w:r/>
    </w:p>
    <w:p>
      <w:pPr>
        <w:ind w:firstLine="560"/>
        <w:spacing w:line="48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第五章 合同主要条款……………………………………………51</w:t>
      </w:r>
      <w:r/>
    </w:p>
    <w:p>
      <w:pPr>
        <w:ind w:firstLine="560"/>
        <w:spacing w:line="480" w:lineRule="auto"/>
        <w:rPr>
          <w:rFonts w:hint="eastAsia" w:ascii="宋体" w:hAnsi="宋体" w:eastAsia="宋体"/>
          <w:color w:val="000000" w:themeColor="text1"/>
          <w:sz w:val="28"/>
          <w:szCs w:val="28"/>
          <w:highlight w:val="none"/>
          <w:lang w:eastAsia="zh-CN"/>
        </w:rPr>
      </w:pPr>
      <w:r>
        <w:rPr>
          <w:rFonts w:hint="eastAsia" w:ascii="宋体" w:hAnsi="宋体"/>
          <w:color w:val="000000" w:themeColor="text1"/>
          <w:sz w:val="28"/>
          <w:szCs w:val="28"/>
          <w:highlight w:val="none"/>
        </w:rPr>
        <w:t xml:space="preserve">第六章 评标方法、评分标准……………………………………6</w:t>
      </w:r>
      <w:r>
        <w:rPr>
          <w:rFonts w:hint="eastAsia" w:ascii="宋体" w:hAnsi="宋体"/>
          <w:color w:val="000000" w:themeColor="text1"/>
          <w:sz w:val="28"/>
          <w:szCs w:val="28"/>
          <w:highlight w:val="none"/>
          <w:lang w:val="en-US" w:eastAsia="zh-CN"/>
        </w:rPr>
        <w:t xml:space="preserve">4</w:t>
      </w:r>
      <w:r/>
    </w:p>
    <w:p>
      <w:pPr>
        <w:spacing w:line="480" w:lineRule="auto"/>
        <w:rPr>
          <w:rFonts w:ascii="宋体" w:hAnsi="宋体" w:cs="宋体"/>
          <w:color w:val="000000" w:themeColor="text1"/>
          <w:spacing w:val="20"/>
          <w:sz w:val="36"/>
          <w:highlight w:val="none"/>
        </w:rPr>
        <w:sectPr>
          <w:headerReference w:type="default" r:id="rId12"/>
          <w:headerReference w:type="even" r:id="rId13"/>
          <w:headerReference w:type="first" r:id="rId14"/>
          <w:footerReference w:type="default" r:id="rId22"/>
          <w:footnotePr/>
          <w:endnotePr/>
          <w:type w:val="nextPage"/>
          <w:pgSz w:w="11906" w:h="16838" w:orient="portrait"/>
          <w:pgMar w:top="1440" w:right="1486" w:bottom="1440" w:left="1800" w:header="851" w:footer="992" w:gutter="0"/>
          <w:pgNumType w:start="1"/>
          <w:cols w:num="1" w:sep="0" w:space="1701" w:equalWidth="1"/>
          <w:docGrid w:linePitch="360"/>
        </w:sectPr>
      </w:pPr>
      <w:r>
        <w:rPr>
          <w:rFonts w:ascii="宋体" w:hAnsi="宋体" w:cs="宋体"/>
          <w:color w:val="000000" w:themeColor="text1"/>
          <w:spacing w:val="20"/>
          <w:sz w:val="36"/>
          <w:highlight w:val="none"/>
        </w:rPr>
      </w:r>
      <w:r/>
    </w:p>
    <w:p>
      <w:pPr>
        <w:jc w:val="center"/>
        <w:rPr>
          <w:rFonts w:ascii="宋体" w:hAnsi="宋体" w:cs="宋体"/>
          <w:color w:val="000000" w:themeColor="text1"/>
          <w:spacing w:val="20"/>
          <w:sz w:val="36"/>
          <w:highlight w:val="none"/>
        </w:rPr>
      </w:pPr>
      <w:r>
        <w:rPr>
          <w:rFonts w:hint="eastAsia" w:ascii="宋体" w:hAnsi="宋体" w:cs="宋体"/>
          <w:color w:val="000000" w:themeColor="text1"/>
          <w:spacing w:val="20"/>
          <w:sz w:val="36"/>
          <w:highlight w:val="none"/>
        </w:rPr>
        <w:t xml:space="preserve">前附表</w:t>
      </w:r>
      <w:r/>
    </w:p>
    <w:p>
      <w:pPr>
        <w:ind w:right="88" w:firstLine="480"/>
        <w:spacing w:line="30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下述关于要采购的项目具体资料是对招标文件第一部分投标人须知的具体补充和修改，如果有矛盾的话，应以本附表为准。</w:t>
      </w:r>
      <w:r/>
    </w:p>
    <w:tbl>
      <w:tblPr>
        <w:tblStyle w:val="897"/>
        <w:tblW w:w="8685" w:type="dxa"/>
        <w:tblInd w:w="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5"/>
        <w:gridCol w:w="1950"/>
        <w:gridCol w:w="5790"/>
      </w:tblGrid>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条款号</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项   目</w:t>
            </w:r>
            <w:r/>
          </w:p>
        </w:tc>
        <w:tc>
          <w:tcPr>
            <w:tcW w:w="579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内               容</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项目编号</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JSZC-320500-SZSD-G2025-0046</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项目名称</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2024年中央政法转移支付资金子项目</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lang w:eastAsia="zh-CN"/>
              </w:rPr>
              <w:t xml:space="preserve">（</w:t>
            </w:r>
            <w:r>
              <w:rPr>
                <w:rFonts w:hint="eastAsia" w:ascii="宋体" w:hAnsi="宋体" w:cs="宋体"/>
                <w:color w:val="000000" w:themeColor="text1"/>
                <w:sz w:val="24"/>
                <w:szCs w:val="24"/>
                <w:highlight w:val="none"/>
              </w:rPr>
              <w:t xml:space="preserve">健康一体机等一批医疗设备</w:t>
            </w:r>
            <w:r>
              <w:rPr>
                <w:rFonts w:hint="eastAsia" w:ascii="宋体" w:hAnsi="宋体" w:cs="宋体"/>
                <w:color w:val="000000" w:themeColor="text1"/>
                <w:sz w:val="24"/>
                <w:szCs w:val="24"/>
                <w:highlight w:val="none"/>
                <w:lang w:eastAsia="zh-CN"/>
              </w:rPr>
              <w:t xml:space="preserve">）</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招标代理机构名称及地址</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名称：苏州时代招投标有限公司</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地址：苏州市虎丘区滨河路1388号3B 501室</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邮编：215011</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电话/传真：0512-65201419/65208591</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联系人：叶素萍、褚磊、陈婷、徐蕾、曾颖</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采购单位</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苏州市公安局</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联系人：陈菲          联系电话：0512-65111701</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标书组成</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详见招标文件第二章。</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6</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投标保证金</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本项目免收投标保证金。</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7</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投标有效期</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开标后九十日</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8</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投标文件份数</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Arial"/>
                <w:color w:val="000000" w:themeColor="text1"/>
                <w:sz w:val="24"/>
                <w:szCs w:val="24"/>
                <w:highlight w:val="none"/>
              </w:rPr>
              <w:t xml:space="preserve">本项目采用电子投标文件，投标人按照招标文件要求制作上传电子投标文件，无需提供纸质投标文件</w:t>
            </w:r>
            <w:r>
              <w:rPr>
                <w:rFonts w:hint="eastAsia" w:ascii="宋体" w:hAnsi="宋体" w:cs="宋体"/>
                <w:color w:val="000000" w:themeColor="text1"/>
                <w:sz w:val="24"/>
                <w:szCs w:val="24"/>
                <w:highlight w:val="none"/>
              </w:rPr>
              <w:t xml:space="preserve">。</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9</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获取招标文件</w:t>
            </w:r>
            <w:r/>
          </w:p>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时间</w:t>
            </w:r>
            <w:r/>
          </w:p>
        </w:tc>
        <w:tc>
          <w:tcPr>
            <w:tcW w:w="5790" w:type="dxa"/>
            <w:vAlign w:val="center"/>
            <w:textDirection w:val="lrTb"/>
            <w:noWrap/>
          </w:tcPr>
          <w:p>
            <w:pPr>
              <w:pStyle w:val="1122"/>
              <w:ind w:left="0"/>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2025年10月22日至2025年10月30日</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w:t>
            </w:r>
            <w:r/>
          </w:p>
        </w:tc>
        <w:tc>
          <w:tcPr>
            <w:tcW w:w="1950" w:type="dxa"/>
            <w:vAlign w:val="center"/>
            <w:textDirection w:val="lrTb"/>
            <w:noWrap/>
          </w:tcPr>
          <w:p>
            <w:pPr>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投标文件网上</w:t>
            </w:r>
            <w:r/>
          </w:p>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提交截止时间</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2025年11月24日13</w:t>
            </w:r>
            <w:r>
              <w:rPr>
                <w:rFonts w:hint="eastAsia" w:ascii="宋体" w:hAnsi="宋体" w:cs="宋体"/>
                <w:color w:val="000000" w:themeColor="text1"/>
                <w:sz w:val="24"/>
                <w:szCs w:val="24"/>
                <w:highlight w:val="none"/>
                <w:lang w:eastAsia="zh-CN"/>
              </w:rPr>
              <w:t xml:space="preserve">:</w:t>
            </w:r>
            <w:r>
              <w:rPr>
                <w:rFonts w:hint="eastAsia" w:ascii="宋体" w:hAnsi="宋体" w:cs="宋体"/>
                <w:color w:val="000000" w:themeColor="text1"/>
                <w:sz w:val="24"/>
                <w:szCs w:val="24"/>
                <w:highlight w:val="none"/>
              </w:rPr>
              <w:t xml:space="preserve">30</w:t>
            </w:r>
            <w:r>
              <w:rPr>
                <w:rFonts w:hint="eastAsia" w:ascii="宋体" w:hAnsi="宋体"/>
                <w:color w:val="000000" w:themeColor="text1"/>
                <w:sz w:val="24"/>
                <w:szCs w:val="24"/>
                <w:highlight w:val="none"/>
              </w:rPr>
              <w:t xml:space="preserve">（北京时间）</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b/>
                <w:bCs/>
                <w:color w:val="000000" w:themeColor="text1"/>
                <w:sz w:val="24"/>
                <w:szCs w:val="24"/>
                <w:highlight w:val="none"/>
              </w:rPr>
              <w:t xml:space="preserve">投标文件必须在截止时间前完成提交（上传），逾期提交（上传）的投标文件恕不接受。</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11</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开标时间及</w:t>
            </w:r>
            <w:r/>
          </w:p>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开标地点</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r>
            <w:r>
              <w:rPr>
                <w:rFonts w:hint="eastAsia" w:ascii="宋体" w:hAnsi="宋体" w:cs="宋体"/>
                <w:color w:val="000000" w:themeColor="text1"/>
                <w:sz w:val="24"/>
                <w:szCs w:val="24"/>
                <w:highlight w:val="none"/>
              </w:rPr>
              <w:t xml:space="preserve">2025年11月24日13</w:t>
            </w:r>
            <w:r>
              <w:rPr>
                <w:rFonts w:hint="eastAsia" w:ascii="宋体" w:hAnsi="宋体" w:cs="宋体"/>
                <w:color w:val="000000" w:themeColor="text1"/>
                <w:sz w:val="24"/>
                <w:szCs w:val="24"/>
                <w:highlight w:val="none"/>
                <w:lang w:eastAsia="zh-CN"/>
              </w:rPr>
              <w:t xml:space="preserve">:</w:t>
            </w:r>
            <w:r>
              <w:rPr>
                <w:rFonts w:hint="eastAsia" w:ascii="宋体" w:hAnsi="宋体" w:cs="宋体"/>
                <w:color w:val="000000" w:themeColor="text1"/>
                <w:sz w:val="24"/>
                <w:szCs w:val="24"/>
                <w:highlight w:val="none"/>
              </w:rPr>
              <w:t xml:space="preserve">30</w:t>
            </w:r>
            <w:r>
              <w:rPr>
                <w:rFonts w:hint="eastAsia" w:ascii="宋体" w:hAnsi="宋体"/>
                <w:color w:val="000000" w:themeColor="text1"/>
                <w:sz w:val="24"/>
                <w:szCs w:val="24"/>
                <w:highlight w:val="none"/>
              </w:rPr>
              <w:t xml:space="preserve">（北京时间）</w:t>
            </w:r>
            <w:r/>
          </w:p>
          <w:p>
            <w:pPr>
              <w:jc w:val="left"/>
              <w:spacing w:line="38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“苏采云”系统（网址：</w:t>
            </w:r>
            <w:r>
              <w:rPr>
                <w:rFonts w:ascii="宋体" w:hAnsi="宋体"/>
                <w:color w:val="000000" w:themeColor="text1"/>
                <w:sz w:val="24"/>
                <w:szCs w:val="24"/>
                <w:highlight w:val="none"/>
              </w:rPr>
              <w:t xml:space="preserve">http</w:t>
            </w:r>
            <w:r>
              <w:rPr>
                <w:rFonts w:hint="eastAsia" w:ascii="宋体" w:hAnsi="宋体"/>
                <w:color w:val="000000" w:themeColor="text1"/>
                <w:sz w:val="24"/>
                <w:szCs w:val="24"/>
                <w:highlight w:val="none"/>
                <w:lang w:eastAsia="zh-CN"/>
              </w:rPr>
              <w:t xml:space="preserve">:</w:t>
            </w:r>
            <w:r>
              <w:rPr>
                <w:rFonts w:ascii="宋体" w:hAnsi="宋体"/>
                <w:color w:val="000000" w:themeColor="text1"/>
                <w:sz w:val="24"/>
                <w:szCs w:val="24"/>
                <w:highlight w:val="none"/>
              </w:rPr>
              <w:t xml:space="preserve">//jszfcg.jsczt.cn/</w:t>
            </w:r>
            <w:r>
              <w:rPr>
                <w:rFonts w:hint="eastAsia" w:ascii="宋体" w:hAnsi="宋体"/>
                <w:color w:val="000000" w:themeColor="text1"/>
                <w:sz w:val="24"/>
                <w:szCs w:val="24"/>
                <w:highlight w:val="none"/>
              </w:rPr>
              <w:t xml:space="preserve">）</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b/>
                <w:color w:val="000000" w:themeColor="text1"/>
                <w:sz w:val="24"/>
                <w:szCs w:val="24"/>
                <w:highlight w:val="none"/>
              </w:rPr>
              <w:t xml:space="preserve">本项目为线上不见面开标项目，开标阶段供应商在【供应商解密】环节必须使用 CA证书解密电子投标文件，如在系统规定的解密时间（投标文件提交截止时间后30分钟）内未能完成解密的视为放弃投标。</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12</w:t>
            </w:r>
            <w:r/>
          </w:p>
        </w:tc>
        <w:tc>
          <w:tcPr>
            <w:tcW w:w="1950" w:type="dxa"/>
            <w:vAlign w:val="center"/>
            <w:textDirection w:val="lrTb"/>
            <w:noWrap/>
          </w:tcPr>
          <w:p>
            <w:pPr>
              <w:jc w:val="center"/>
              <w:spacing w:line="38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评标时间及</w:t>
            </w:r>
            <w:r/>
          </w:p>
          <w:p>
            <w:pPr>
              <w:jc w:val="center"/>
              <w:spacing w:line="380" w:lineRule="exact"/>
              <w:rPr>
                <w:rFonts w:ascii="宋体" w:hAnsi="宋体" w:cs="宋体"/>
                <w:color w:val="000000" w:themeColor="text1"/>
                <w:sz w:val="24"/>
                <w:szCs w:val="24"/>
                <w:highlight w:val="none"/>
              </w:rPr>
            </w:pPr>
            <w:r>
              <w:rPr>
                <w:rFonts w:hint="eastAsia" w:ascii="宋体" w:hAnsi="宋体"/>
                <w:color w:val="000000" w:themeColor="text1"/>
                <w:sz w:val="24"/>
                <w:szCs w:val="24"/>
                <w:highlight w:val="none"/>
              </w:rPr>
              <w:t xml:space="preserve">评标地点</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r>
            <w:r>
              <w:rPr>
                <w:rFonts w:hint="eastAsia" w:ascii="宋体" w:hAnsi="宋体" w:cs="宋体"/>
                <w:color w:val="000000" w:themeColor="text1"/>
                <w:sz w:val="24"/>
                <w:szCs w:val="24"/>
                <w:highlight w:val="none"/>
              </w:rPr>
              <w:t xml:space="preserve">2025年11月24日13</w:t>
            </w:r>
            <w:r>
              <w:rPr>
                <w:rFonts w:hint="eastAsia" w:ascii="宋体" w:hAnsi="宋体" w:cs="宋体"/>
                <w:color w:val="000000" w:themeColor="text1"/>
                <w:sz w:val="24"/>
                <w:szCs w:val="24"/>
                <w:highlight w:val="none"/>
                <w:lang w:eastAsia="zh-CN"/>
              </w:rPr>
              <w:t xml:space="preserve">:</w:t>
            </w:r>
            <w:r>
              <w:rPr>
                <w:rFonts w:hint="eastAsia" w:ascii="宋体" w:hAnsi="宋体" w:cs="宋体"/>
                <w:color w:val="000000" w:themeColor="text1"/>
                <w:sz w:val="24"/>
                <w:szCs w:val="24"/>
                <w:highlight w:val="none"/>
              </w:rPr>
              <w:t xml:space="preserve">30</w:t>
            </w:r>
            <w:r>
              <w:rPr>
                <w:rFonts w:hint="eastAsia" w:ascii="宋体" w:hAnsi="宋体"/>
                <w:color w:val="000000" w:themeColor="text1"/>
                <w:sz w:val="24"/>
                <w:szCs w:val="24"/>
                <w:highlight w:val="none"/>
              </w:rPr>
              <w:t xml:space="preserve">（北京时间）</w:t>
            </w:r>
            <w:r/>
          </w:p>
          <w:p>
            <w:pPr>
              <w:jc w:val="left"/>
              <w:spacing w:line="380" w:lineRule="exact"/>
              <w:rPr>
                <w:rFonts w:ascii="宋体" w:hAnsi="宋体"/>
                <w:b/>
                <w:color w:val="000000" w:themeColor="text1"/>
                <w:sz w:val="24"/>
                <w:szCs w:val="24"/>
                <w:highlight w:val="none"/>
              </w:rPr>
            </w:pPr>
            <w:r>
              <w:rPr>
                <w:rFonts w:hint="eastAsia" w:ascii="宋体" w:hAnsi="宋体" w:cs="宋体"/>
                <w:color w:val="000000" w:themeColor="text1"/>
                <w:sz w:val="24"/>
                <w:szCs w:val="24"/>
                <w:highlight w:val="none"/>
              </w:rPr>
              <w:t xml:space="preserve">苏州市姑苏区平泷路251号城市生活广场西楼五楼 </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投标报价本位币</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人民币</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14</w:t>
            </w:r>
            <w:r/>
          </w:p>
        </w:tc>
        <w:tc>
          <w:tcPr>
            <w:tcW w:w="1950" w:type="dxa"/>
            <w:vAlign w:val="center"/>
            <w:textDirection w:val="lrTb"/>
            <w:noWrap/>
          </w:tcPr>
          <w:p>
            <w:pPr>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履约保证金</w:t>
            </w:r>
            <w:r/>
          </w:p>
        </w:tc>
        <w:tc>
          <w:tcPr>
            <w:tcW w:w="5790" w:type="dxa"/>
            <w:vAlign w:val="center"/>
            <w:textDirection w:val="lrTb"/>
            <w:noWrap/>
          </w:tcPr>
          <w:p>
            <w:pPr>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无</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15</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中标服务费</w:t>
            </w:r>
            <w:r/>
          </w:p>
        </w:tc>
        <w:tc>
          <w:tcPr>
            <w:tcW w:w="5790" w:type="dxa"/>
            <w:vAlign w:val="center"/>
            <w:textDirection w:val="lrTb"/>
            <w:noWrap/>
          </w:tcPr>
          <w:p>
            <w:pPr>
              <w:spacing w:line="3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代理服务费收费标准：</w:t>
            </w:r>
            <w:r/>
          </w:p>
          <w:p>
            <w:pPr>
              <w:ind w:firstLine="480"/>
              <w:spacing w:line="3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r/>
          </w:p>
          <w:p>
            <w:pPr>
              <w:spacing w:line="3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说明：代理服务费以采购预算金额为基数依据，按以上规定的标准和差额定率累进法进行计算收取。例：如预算金额为150万元，则代理服务费＝100万元以下部分×1.5%＋（150万元－100万元以下部分）×1.1%。</w:t>
            </w:r>
            <w:r/>
          </w:p>
          <w:p>
            <w:pPr>
              <w:ind w:firstLine="480"/>
              <w:spacing w:line="3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本项目代理服务费（人民币）：￥8812.50。由中标人支付，在领取中标通知书时向招标代理机构一次性付清。</w:t>
            </w:r>
            <w:r/>
          </w:p>
          <w:p>
            <w:pPr>
              <w:spacing w:line="3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服务费交纳账户：苏州时代招投标有限公司</w:t>
            </w:r>
            <w:r/>
          </w:p>
          <w:p>
            <w:pPr>
              <w:ind w:firstLine="960"/>
              <w:spacing w:line="36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开户行：中信银行苏州南门支行</w:t>
            </w:r>
            <w:r/>
          </w:p>
          <w:p>
            <w:pPr>
              <w:ind w:firstLine="960"/>
              <w:spacing w:line="360" w:lineRule="exact"/>
              <w:tabs>
                <w:tab w:val="left" w:pos="8930" w:leader="none"/>
                <w:tab w:val="left" w:pos="9306"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账  号：7323010182600103353</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15</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导致废标因素</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出现下列情形之一的，为废标：</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（一）符合专业条件的投标人或者对招标文件作实质响应的投标人不足三家的；</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（二）出现影响采购公正的违法、违规行为的；</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（三）投标人的报价均超过了采购预算，采购人不能支付的；</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（四）因重大变故，采购任务取消的。</w:t>
            </w:r>
            <w:r/>
          </w:p>
        </w:tc>
      </w:tr>
      <w:tr>
        <w:trPr>
          <w:trHeight w:val="476"/>
        </w:trPr>
        <w:tc>
          <w:tcPr>
            <w:tcW w:w="945"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16</w:t>
            </w:r>
            <w:r/>
          </w:p>
        </w:tc>
        <w:tc>
          <w:tcPr>
            <w:tcW w:w="1950" w:type="dxa"/>
            <w:vAlign w:val="center"/>
            <w:textDirection w:val="lrTb"/>
            <w:noWrap/>
          </w:tcPr>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导致无效标</w:t>
            </w:r>
            <w:r/>
          </w:p>
          <w:p>
            <w:pPr>
              <w:pStyle w:val="1122"/>
              <w:ind w:left="0"/>
              <w:jc w:val="center"/>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因素</w:t>
            </w:r>
            <w:r/>
          </w:p>
        </w:tc>
        <w:tc>
          <w:tcPr>
            <w:tcW w:w="5790" w:type="dxa"/>
            <w:vAlign w:val="center"/>
            <w:textDirection w:val="lrTb"/>
            <w:noWrap/>
          </w:tcPr>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投标文件属下列情况之一的，在资格性、符合性检查时按照无效投标处理：</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（一）未按照采购文件规定要求签署、盖章的；</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（二）不具备采购文件中规定资格要求的；</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（三）投标书技术部分和资格证明文件中出现总报价的；</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（四）投标文件含有采购人不能接受的附加条件的；</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（五）机器码检查中，出现不同投标人投标文件机器码一致情形的；</w:t>
            </w:r>
            <w:r/>
          </w:p>
          <w:p>
            <w:pPr>
              <w:pStyle w:val="1122"/>
              <w:ind w:left="0"/>
              <w:jc w:val="left"/>
              <w:spacing w:line="380" w:lineRule="exact"/>
              <w:rPr>
                <w:rFonts w:ascii="宋体" w:hAnsi="宋体" w:cs="宋体"/>
                <w:color w:val="000000" w:themeColor="text1"/>
                <w:sz w:val="24"/>
                <w:szCs w:val="24"/>
                <w:highlight w:val="none"/>
              </w:rPr>
            </w:pPr>
            <w:r>
              <w:rPr>
                <w:rFonts w:hint="eastAsia" w:ascii="宋体" w:hAnsi="宋体"/>
                <w:color w:val="000000" w:themeColor="text1"/>
                <w:sz w:val="24"/>
                <w:szCs w:val="24"/>
                <w:highlight w:val="none"/>
              </w:rPr>
              <w:t xml:space="preserve">（六）法律、法规和采购文件规定的其他无效情形</w:t>
            </w:r>
            <w:r>
              <w:rPr>
                <w:rFonts w:hint="eastAsia" w:ascii="宋体" w:hAnsi="宋体" w:cs="宋体"/>
                <w:color w:val="000000" w:themeColor="text1"/>
                <w:sz w:val="24"/>
                <w:szCs w:val="24"/>
                <w:highlight w:val="none"/>
              </w:rPr>
              <w:t xml:space="preserve">。</w:t>
            </w:r>
            <w:r/>
          </w:p>
        </w:tc>
      </w:tr>
    </w:tbl>
    <w:p>
      <w:pPr>
        <w:jc w:val="center"/>
        <w:spacing w:before="240" w:after="60"/>
        <w:rPr>
          <w:rFonts w:ascii="宋体" w:hAnsi="宋体" w:cs="宋体"/>
          <w:b/>
          <w:bCs/>
          <w:color w:val="000000" w:themeColor="text1"/>
          <w:sz w:val="44"/>
          <w:szCs w:val="44"/>
          <w:highlight w:val="none"/>
        </w:rPr>
        <w:outlineLvl w:val="0"/>
      </w:pPr>
      <w:r>
        <w:rPr>
          <w:rFonts w:hint="eastAsia" w:ascii="宋体" w:hAnsi="宋体" w:cs="宋体"/>
          <w:bCs/>
          <w:color w:val="000000" w:themeColor="text1"/>
          <w:sz w:val="44"/>
          <w:szCs w:val="32"/>
          <w:highlight w:val="none"/>
        </w:rPr>
        <w:t xml:space="preserve">第一章 投标邀请函</w:t>
      </w:r>
      <w:r/>
    </w:p>
    <w:tbl>
      <w:tblPr>
        <w:tblStyle w:val="897"/>
        <w:tblW w:w="8444" w:type="dxa"/>
        <w:tblInd w:w="1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44"/>
      </w:tblGrid>
      <w:tr>
        <w:trPr>
          <w:trHeight w:val="1756"/>
        </w:trPr>
        <w:tc>
          <w:tcPr>
            <w:tcW w:w="8444" w:type="dxa"/>
            <w:textDirection w:val="lrTb"/>
            <w:noWrap/>
          </w:tcPr>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项目概况</w:t>
            </w:r>
            <w:r/>
          </w:p>
          <w:p>
            <w:pPr>
              <w:pStyle w:val="1119"/>
              <w:ind w:firstLine="480"/>
              <w:jc w:val="both"/>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u w:val="single"/>
              </w:rPr>
              <w:t xml:space="preserve">2024年中央政法转移支付资金子项目（健康一体机等一批医疗设备）</w:t>
            </w:r>
            <w:r>
              <w:rPr>
                <w:rFonts w:hint="eastAsia" w:ascii="宋体" w:hAnsi="宋体" w:cs="宋体"/>
                <w:color w:val="000000" w:themeColor="text1"/>
                <w:sz w:val="24"/>
                <w:szCs w:val="24"/>
                <w:highlight w:val="none"/>
              </w:rPr>
              <w:t xml:space="preserve">招标项目</w:t>
            </w:r>
            <w:r>
              <w:rPr>
                <w:rFonts w:hint="eastAsia" w:ascii="宋体" w:hAnsi="宋体" w:cs="宋体"/>
                <w:color w:val="000000" w:themeColor="text1"/>
                <w:sz w:val="24"/>
                <w:szCs w:val="24"/>
                <w:highlight w:val="none"/>
                <w:u w:val="single"/>
              </w:rPr>
              <w:t xml:space="preserve">JSZC-320500-SZSD-G2025-0046</w:t>
            </w:r>
            <w:r>
              <w:rPr>
                <w:rFonts w:hint="eastAsia" w:ascii="宋体" w:hAnsi="宋体" w:cs="宋体"/>
                <w:color w:val="000000" w:themeColor="text1"/>
                <w:sz w:val="24"/>
                <w:szCs w:val="24"/>
                <w:highlight w:val="none"/>
              </w:rPr>
              <w:t xml:space="preserve">的潜在投标人应在“苏采云”系统获取招标文件，并于</w:t>
            </w:r>
            <w:r>
              <w:rPr>
                <w:rFonts w:hint="eastAsia" w:ascii="宋体" w:hAnsi="宋体" w:cs="宋体"/>
                <w:color w:val="000000" w:themeColor="text1"/>
                <w:sz w:val="24"/>
                <w:szCs w:val="24"/>
                <w:highlight w:val="none"/>
              </w:rPr>
              <w:t xml:space="preserve">2025年11月24日</w:t>
            </w:r>
            <w:r>
              <w:rPr>
                <w:rFonts w:hint="eastAsia" w:ascii="宋体" w:hAnsi="宋体" w:cs="宋体"/>
                <w:color w:val="000000" w:themeColor="text1"/>
                <w:sz w:val="24"/>
                <w:szCs w:val="24"/>
                <w:highlight w:val="none"/>
              </w:rPr>
              <w:t xml:space="preserve">13点30分（北京时间）前递交投标文件。</w:t>
            </w:r>
            <w:r/>
          </w:p>
        </w:tc>
      </w:tr>
    </w:tbl>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一、项目基本情况</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1、项目编号：JSZC-320500-SZSD-G2025-0046</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2、项目名称：2024年中央政法转移支付资金子项目（健康一体机等一批医疗设备）</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3、预算金额：伍拾捌万柒仟伍佰元整（¥587500.00）</w:t>
      </w:r>
      <w:r/>
    </w:p>
    <w:p>
      <w:pPr>
        <w:ind w:firstLine="84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最高限价：伍拾捌万柒仟伍佰元整（¥587500.00）</w:t>
      </w:r>
      <w:r/>
    </w:p>
    <w:p>
      <w:pPr>
        <w:ind w:firstLine="480"/>
        <w:jc w:val="left"/>
        <w:spacing w:line="360" w:lineRule="auto"/>
        <w:rPr>
          <w:rFonts w:ascii="宋体" w:hAnsi="宋体" w:cs="宋体"/>
          <w:bCs/>
          <w:color w:val="000000" w:themeColor="text1"/>
          <w:sz w:val="24"/>
          <w:szCs w:val="24"/>
          <w:highlight w:val="none"/>
        </w:rPr>
      </w:pPr>
      <w:r>
        <w:rPr>
          <w:rFonts w:hint="eastAsia" w:ascii="宋体" w:hAnsi="宋体" w:cs="宋体"/>
          <w:color w:val="000000" w:themeColor="text1"/>
          <w:sz w:val="24"/>
          <w:szCs w:val="24"/>
          <w:highlight w:val="none"/>
        </w:rPr>
        <w:t xml:space="preserve">4、采购需求：</w:t>
      </w:r>
      <w:r/>
    </w:p>
    <w:tbl>
      <w:tblPr>
        <w:tblStyle w:val="897"/>
        <w:tblW w:w="4829" w:type="pct"/>
        <w:tblInd w:w="2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3"/>
        <w:gridCol w:w="1953"/>
        <w:gridCol w:w="900"/>
        <w:gridCol w:w="876"/>
        <w:gridCol w:w="1880"/>
        <w:gridCol w:w="1972"/>
      </w:tblGrid>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序号</w:t>
            </w:r>
            <w:r/>
          </w:p>
        </w:tc>
        <w:tc>
          <w:tcPr>
            <w:tcW w:w="1144"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设备名称</w:t>
            </w:r>
            <w:r/>
          </w:p>
        </w:tc>
        <w:tc>
          <w:tcPr>
            <w:tcW w:w="527"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数量</w:t>
            </w:r>
            <w:r/>
          </w:p>
        </w:tc>
        <w:tc>
          <w:tcPr>
            <w:tcW w:w="513"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单位</w:t>
            </w:r>
            <w:r/>
          </w:p>
        </w:tc>
        <w:tc>
          <w:tcPr>
            <w:tcBorders>
              <w:right w:val="single" w:color="auto" w:sz="4" w:space="0"/>
            </w:tcBorders>
            <w:tcW w:w="1101"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最高单价限价</w:t>
            </w:r>
            <w:r/>
          </w:p>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（元）</w:t>
            </w:r>
            <w:r/>
          </w:p>
        </w:tc>
        <w:tc>
          <w:tcPr>
            <w:tcBorders>
              <w:left w:val="single" w:color="auto" w:sz="4" w:space="0"/>
            </w:tcBorders>
            <w:tcW w:w="1154"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小计（元）</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w:t>
            </w:r>
            <w:r/>
          </w:p>
        </w:tc>
        <w:tc>
          <w:tcPr>
            <w:tcW w:w="1144" w:type="pct"/>
            <w:vAlign w:val="center"/>
            <w:textDirection w:val="lrTb"/>
            <w:noWrap/>
          </w:tcPr>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健康一体机</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5</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100000.00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500000.00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w:t>
            </w:r>
            <w:r/>
          </w:p>
        </w:tc>
        <w:tc>
          <w:tcPr>
            <w:gridSpan w:val="5"/>
            <w:tcW w:w="4440" w:type="pct"/>
            <w:vAlign w:val="center"/>
            <w:textDirection w:val="lrTb"/>
            <w:noWrap/>
          </w:tcPr>
          <w:p>
            <w:pPr>
              <w:pStyle w:val="1141"/>
              <w:jc w:val="left"/>
              <w:spacing w:line="240" w:lineRule="auto"/>
              <w:rPr>
                <w:rFonts w:hint="default" w:ascii="宋体" w:hAnsi="宋体"/>
                <w:color w:val="000000" w:themeColor="text1"/>
                <w:highlight w:val="none"/>
              </w:rPr>
            </w:pPr>
            <w:r>
              <w:rPr>
                <w:rFonts w:ascii="宋体" w:hAnsi="宋体"/>
                <w:color w:val="000000" w:themeColor="text1"/>
                <w:highlight w:val="none"/>
              </w:rPr>
              <w:t xml:space="preserve">方舱医疗设备</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2.1</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心电图机</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15000.00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15000.00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2.2</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红外治疗仪</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13000.00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13000.00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2.3</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磁振热治疗仪</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33000.00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33000.00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2.4</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深层肌肉刺激仪</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22000.00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22000.00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2.5</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急救箱</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个</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4500.00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4500.00</w:t>
            </w:r>
            <w:r/>
          </w:p>
        </w:tc>
      </w:tr>
    </w:tbl>
    <w:p>
      <w:pPr>
        <w:jc w:val="left"/>
        <w:spacing w:line="360" w:lineRule="auto"/>
        <w:rPr>
          <w:rFonts w:ascii="宋体" w:hAnsi="宋体" w:cs="宋体"/>
          <w:b/>
          <w:bCs/>
          <w:color w:val="000000" w:themeColor="text1"/>
          <w:sz w:val="24"/>
          <w:szCs w:val="24"/>
          <w:highlight w:val="none"/>
        </w:rPr>
      </w:pPr>
      <w:r>
        <w:rPr>
          <w:rFonts w:hint="eastAsia" w:ascii="宋体" w:hAnsi="宋体" w:cs="宋体"/>
          <w:b/>
          <w:bCs/>
          <w:color w:val="000000" w:themeColor="text1"/>
          <w:sz w:val="24"/>
          <w:szCs w:val="24"/>
          <w:highlight w:val="none"/>
        </w:rPr>
        <w:t xml:space="preserve">注：</w:t>
      </w:r>
      <w:r>
        <w:rPr>
          <w:rFonts w:hint="eastAsia" w:ascii="宋体" w:hAnsi="宋体"/>
          <w:b/>
          <w:bCs/>
          <w:color w:val="000000" w:themeColor="text1"/>
          <w:sz w:val="24"/>
          <w:szCs w:val="24"/>
          <w:highlight w:val="none"/>
        </w:rPr>
        <w:t xml:space="preserve">投标报价不得超过本次采购预算及各分项最高单价限价，否则作无效报价处理。</w:t>
      </w:r>
      <w:r/>
    </w:p>
    <w:p>
      <w:pPr>
        <w:numPr>
          <w:ilvl w:val="0"/>
          <w:numId w:val="2"/>
        </w:num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合同履行期限：</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5.1交货时间：合同签订后20日内，完成本项目全部采购内容的交付；30日内完成设备安装及调试工作。</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5.2售后服务期限：本项目免费质量保证期要求不低于3年；免费质量保证期自货物供货、安装、调试正常且经采购使用部门确认验收合格之日起计算。</w:t>
      </w:r>
      <w:r/>
    </w:p>
    <w:p>
      <w:pPr>
        <w:ind w:firstLine="480"/>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6、交货地点：采购单位指定地点</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二、供应商的资格要求：</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1、满足《中华人民共和国政府采购法》第二十二条规定，投标人应当具备下列条件：</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1.1具有独立承担民事责任的能力；</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1.2具有良好的商业信誉和健全的财务会计制度；</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1.3具有履行合同所必需的设备和专业技术能力；</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1.4有依法缴纳税收和社会保障基金的良好记录；</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1.5参加政府采购活动前三年内，在经营活动中没有重大违法记录；</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1.6法律、行政法规规定的其他条件。</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2、落实政府采购政策需满足的资格要求：本项目非专门面向中小企业采购。本项目所属行业为工业。</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3、本项目的特定资格要求：</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3.1投标单位若为医疗器械生产企业的，须提供有效的第二类《医疗器械生产许可证》；投标单位若为医疗器械经营企业的，须提供有效的《医疗器械经营许可证》及生产企业的第二类《医疗器械生产许可证》；</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3.2</w:t>
      </w:r>
      <w:r>
        <w:rPr>
          <w:rFonts w:ascii="宋体" w:hAnsi="宋体" w:cs="宋体"/>
          <w:color w:val="000000" w:themeColor="text1"/>
          <w:sz w:val="24"/>
          <w:szCs w:val="24"/>
          <w:highlight w:val="none"/>
        </w:rPr>
        <w:t xml:space="preserve">未被“信用中国”网站（www.creditchina.gov.cn）列入失信被执行人、重大税收违法案件当事人名单、政府采购严重失信行为记录名单。</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3.3</w:t>
      </w:r>
      <w:r>
        <w:rPr>
          <w:rFonts w:hint="eastAsia" w:ascii="宋体" w:hAnsi="宋体" w:cs="宋体"/>
          <w:color w:val="000000" w:themeColor="text1"/>
          <w:sz w:val="24"/>
          <w:highlight w:val="none"/>
        </w:rPr>
        <w:t xml:space="preserve">单位负责人为同一人或者存在直接控股、管理关系的不同供应商（包含法定代表人为同一个人的两个及两个以上法人，母公司、全资子公司及其控股公司），不得参加同一合同项下的政府采购活动。</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4、联合体及转包、分包：本项目不接受联合体，不得转包、分包本项目。</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三、获取招标文件：</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1、时间：</w:t>
      </w:r>
      <w:bookmarkStart w:id="59" w:name="_GoBack"/>
      <w:r>
        <w:rPr>
          <w:rFonts w:hint="eastAsia" w:ascii="宋体" w:hAnsi="宋体" w:cs="宋体"/>
          <w:color w:val="000000" w:themeColor="text1"/>
          <w:sz w:val="24"/>
          <w:szCs w:val="24"/>
          <w:highlight w:val="none"/>
        </w:rPr>
        <w:t xml:space="preserve">自招标文件公告发布之日起5个工作日</w:t>
      </w:r>
      <w:bookmarkEnd w:id="59"/>
      <w:r>
        <w:rPr>
          <w:rFonts w:hint="eastAsia" w:ascii="宋体" w:hAnsi="宋体" w:cs="宋体"/>
          <w:color w:val="000000" w:themeColor="text1"/>
          <w:sz w:val="24"/>
          <w:szCs w:val="24"/>
          <w:highlight w:val="none"/>
        </w:rPr>
        <w:t xml:space="preserve">（北京时间，法定节假日除外）。</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2、地点：苏采云系统 </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3、方式：苏采云系统报名后自行下载 </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4、售价：0.00元</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四、提交投标文件截止时间、开标时间和地点</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1、提交投标文件截止时间：2025年11月24日13</w:t>
      </w:r>
      <w:r>
        <w:rPr>
          <w:rFonts w:hint="eastAsia" w:ascii="宋体" w:hAnsi="宋体" w:cs="宋体"/>
          <w:color w:val="000000" w:themeColor="text1"/>
          <w:sz w:val="24"/>
          <w:szCs w:val="24"/>
          <w:highlight w:val="none"/>
          <w:lang w:eastAsia="zh-CN"/>
        </w:rPr>
        <w:t xml:space="preserve">:</w:t>
      </w:r>
      <w:r>
        <w:rPr>
          <w:rFonts w:hint="eastAsia" w:ascii="宋体" w:hAnsi="宋体" w:cs="宋体"/>
          <w:color w:val="000000" w:themeColor="text1"/>
          <w:sz w:val="24"/>
          <w:szCs w:val="24"/>
          <w:highlight w:val="none"/>
        </w:rPr>
        <w:t xml:space="preserve">30（北京时间）</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2、开标时间：2025年11月24日13</w:t>
      </w:r>
      <w:r>
        <w:rPr>
          <w:rFonts w:hint="eastAsia" w:ascii="宋体" w:hAnsi="宋体" w:cs="宋体"/>
          <w:color w:val="000000" w:themeColor="text1"/>
          <w:sz w:val="24"/>
          <w:szCs w:val="24"/>
          <w:highlight w:val="none"/>
          <w:lang w:eastAsia="zh-CN"/>
        </w:rPr>
        <w:t xml:space="preserve">:</w:t>
      </w:r>
      <w:r>
        <w:rPr>
          <w:rFonts w:hint="eastAsia" w:ascii="宋体" w:hAnsi="宋体" w:cs="宋体"/>
          <w:color w:val="000000" w:themeColor="text1"/>
          <w:sz w:val="24"/>
          <w:szCs w:val="24"/>
          <w:highlight w:val="none"/>
        </w:rPr>
        <w:t xml:space="preserve">30（北京时间）</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3、开标地点：“苏采云”系统（网址：http：//jszfcg.jsczt.cn/）</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五、公告期限：自本公告发布之日起5个工作日。</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六、其他补充事宜</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1、本次采购的有关信息将在苏州市政府采购网、江苏政府采购网、</w:t>
      </w:r>
      <w:r>
        <w:rPr>
          <w:rFonts w:hint="eastAsia" w:ascii="宋体" w:hAnsi="宋体" w:cs="宋体"/>
          <w:color w:val="000000" w:themeColor="text1"/>
          <w:sz w:val="24"/>
          <w:highlight w:val="none"/>
        </w:rPr>
        <w:t xml:space="preserve">中国政府采购网</w:t>
      </w:r>
      <w:r>
        <w:rPr>
          <w:rFonts w:hint="eastAsia" w:ascii="宋体" w:hAnsi="宋体" w:cs="宋体"/>
          <w:color w:val="000000" w:themeColor="text1"/>
          <w:sz w:val="24"/>
          <w:szCs w:val="24"/>
          <w:highlight w:val="none"/>
        </w:rPr>
        <w:t xml:space="preserve">上发布；有关该采购项目的澄清、修正及中标等信息亦在以上网站发布，敬请留意。</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2、政府采购监督电话：0512-68616651。</w:t>
      </w:r>
      <w:r/>
    </w:p>
    <w:p>
      <w:pPr>
        <w:ind w:firstLine="480"/>
        <w:jc w:val="left"/>
        <w:spacing w:line="360" w:lineRule="auto"/>
        <w:rPr>
          <w:rFonts w:ascii="宋体" w:hAnsi="宋体" w:cs="宋体"/>
          <w:color w:val="000000" w:themeColor="text1"/>
          <w:sz w:val="24"/>
          <w:szCs w:val="24"/>
          <w:highlight w:val="none"/>
          <w:lang w:val="zh-TW"/>
        </w:rPr>
      </w:pPr>
      <w:r>
        <w:rPr>
          <w:rFonts w:hint="eastAsia" w:ascii="宋体" w:hAnsi="宋体" w:cs="宋体"/>
          <w:color w:val="000000" w:themeColor="text1"/>
          <w:sz w:val="24"/>
          <w:szCs w:val="24"/>
          <w:highlight w:val="none"/>
        </w:rPr>
        <w:t xml:space="preserve">3、</w:t>
      </w:r>
      <w:r>
        <w:rPr>
          <w:rFonts w:hint="eastAsia" w:ascii="宋体" w:hAnsi="宋体" w:cs="宋体"/>
          <w:color w:val="000000" w:themeColor="text1"/>
          <w:sz w:val="24"/>
          <w:szCs w:val="24"/>
          <w:highlight w:val="none"/>
          <w:lang w:val="zh-TW" w:eastAsia="zh-TW"/>
        </w:rPr>
        <w:t xml:space="preserve">供应商在</w:t>
      </w:r>
      <w:r>
        <w:rPr>
          <w:rFonts w:hint="eastAsia" w:ascii="宋体" w:hAnsi="宋体" w:cs="宋体"/>
          <w:color w:val="000000" w:themeColor="text1"/>
          <w:sz w:val="24"/>
          <w:szCs w:val="24"/>
          <w:highlight w:val="none"/>
          <w:lang w:val="zh-TW"/>
        </w:rPr>
        <w:t xml:space="preserve">报名、下载、制作采购文件</w:t>
      </w:r>
      <w:r>
        <w:rPr>
          <w:rFonts w:hint="eastAsia" w:ascii="宋体" w:hAnsi="宋体" w:cs="宋体"/>
          <w:color w:val="000000" w:themeColor="text1"/>
          <w:sz w:val="24"/>
          <w:szCs w:val="24"/>
          <w:highlight w:val="none"/>
          <w:lang w:val="zh-TW" w:eastAsia="zh-TW"/>
        </w:rPr>
        <w:t xml:space="preserve">过程中如有</w:t>
      </w:r>
      <w:r>
        <w:rPr>
          <w:rFonts w:hint="eastAsia" w:ascii="宋体" w:hAnsi="宋体" w:cs="宋体"/>
          <w:color w:val="000000" w:themeColor="text1"/>
          <w:sz w:val="24"/>
          <w:szCs w:val="24"/>
          <w:highlight w:val="none"/>
          <w:lang w:val="zh-TW"/>
        </w:rPr>
        <w:t xml:space="preserve">软件操作方面</w:t>
      </w:r>
      <w:r>
        <w:rPr>
          <w:rFonts w:hint="eastAsia" w:ascii="宋体" w:hAnsi="宋体" w:cs="宋体"/>
          <w:color w:val="000000" w:themeColor="text1"/>
          <w:sz w:val="24"/>
          <w:szCs w:val="24"/>
          <w:highlight w:val="none"/>
          <w:lang w:val="zh-TW" w:eastAsia="zh-TW"/>
        </w:rPr>
        <w:t xml:space="preserve">疑问，请拨打</w:t>
      </w:r>
      <w:r>
        <w:rPr>
          <w:rFonts w:hint="eastAsia" w:ascii="宋体" w:hAnsi="宋体" w:cs="宋体"/>
          <w:color w:val="000000" w:themeColor="text1"/>
          <w:sz w:val="24"/>
          <w:szCs w:val="24"/>
          <w:highlight w:val="none"/>
          <w:lang w:val="zh-TW"/>
        </w:rPr>
        <w:t xml:space="preserve">（1）注册咨询：18261002950；（2）CA技术咨询电话：400-608-6099；（3）签章使用问题：025-83633811、025-83633812、15380932027、15371015030；（4）系统使用指导与咨询：联系电话：18261002950；QQ：3048755361、1315179389、895706745。智能客服：登录苏采云系统后，联系系统右下方智能客服图标进行咨询。</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4、报名方式（网上报名）</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4.1申领CA证书：供应商</w:t>
      </w:r>
      <w:r>
        <w:rPr>
          <w:rFonts w:hint="eastAsia" w:ascii="宋体" w:hAnsi="宋体" w:cs="宋体"/>
          <w:color w:val="000000" w:themeColor="text1"/>
          <w:sz w:val="24"/>
          <w:szCs w:val="24"/>
          <w:highlight w:val="none"/>
        </w:rPr>
        <w:t xml:space="preserve">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苏州市姑苏区平泷路251号政务服务中心4楼公共交易中心窗口，咨询电话：0512-69820834。</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4.2登录报名：供应商插入CA证书登录“苏采云”系统后选择具体项目，点击“我要参与”并签章提交《投标供应商确认函》，提交《投标供应商确认函》的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5、制作、提交电子投标文件：</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5.1本项目采用电子招投标方式，供应商在“苏采云”系统中操作成功参与项目后，必须在“已参与项目”界面中下载电子招标文件（后缀名为“.kedt”）并导入政府采购客户端工具后方可进行投标文件制作和提交（具体详见《苏采云系统供应商操作手册》，网址链接</w:t>
      </w:r>
      <w:r>
        <w:rPr>
          <w:color w:val="000000" w:themeColor="text1"/>
          <w:highlight w:val="none"/>
        </w:rPr>
        <w:fldChar w:fldCharType="begin"/>
      </w:r>
      <w:r>
        <w:rPr>
          <w:color w:val="000000" w:themeColor="text1"/>
          <w:highlight w:val="none"/>
        </w:rPr>
        <w:instrText xml:space="preserve"> HYPERLINK "https://czju.suzhou.gov.cn/zfcg/html/content/20231220161910031.shtml" </w:instrText>
      </w:r>
      <w:r>
        <w:rPr>
          <w:color w:val="000000" w:themeColor="text1"/>
          <w:highlight w:val="none"/>
        </w:rPr>
        <w:fldChar w:fldCharType="separate"/>
      </w:r>
      <w:r>
        <w:rPr>
          <w:rFonts w:hint="eastAsia" w:ascii="宋体" w:hAnsi="宋体" w:cs="宋体"/>
          <w:color w:val="000000" w:themeColor="text1"/>
          <w:sz w:val="24"/>
          <w:szCs w:val="24"/>
          <w:highlight w:val="none"/>
        </w:rPr>
        <w:t xml:space="preserve">https：//czju.suzhou.gov.cn/zfcg/html/content/20231220161910031.shtml</w:t>
      </w:r>
      <w:r>
        <w:rPr>
          <w:rFonts w:hint="eastAsia" w:ascii="宋体" w:hAnsi="宋体" w:cs="宋体"/>
          <w:color w:val="000000" w:themeColor="text1"/>
          <w:sz w:val="24"/>
          <w:szCs w:val="24"/>
          <w:highlight w:val="none"/>
        </w:rPr>
        <w:fldChar w:fldCharType="end"/>
      </w:r>
      <w:r>
        <w:rPr>
          <w:rFonts w:hint="eastAsia" w:ascii="宋体" w:hAnsi="宋体" w:cs="宋体"/>
          <w:color w:val="000000" w:themeColor="text1"/>
          <w:sz w:val="24"/>
          <w:szCs w:val="24"/>
          <w:highlight w:val="none"/>
        </w:rPr>
        <w:t xml:space="preserve">）。</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5.2补充通知（如有）：成功获取招标文件的供应商应及时关注政府采购信息发布媒体上发布的更正（补充）公告，同时在“苏采云”系统中下载更正（补充）资料，如有遗漏（包括但不限于文件未下载或下载不完整），可能无法解密投标（响应）文件，由此所造成的响应失败或损失由供应商自行负责。</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5.3本项目采用电子投标形式，请供应商按照《苏采云系统供应商操作手册》、招标文件要求进行制作、上传电子投标文件；电子投标文件制作完成后请于投标文件提交截止时间前成功上传至“苏采云”系统，否则视为放弃参加该采购项目；供应商应充分考虑网络环境、网络带宽等风险因素，如因供应商自身原因造成的电子投标文件上传不成功由供应商自行承担全部责任。</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6、开标方式：线上不见面开标，供应商登录“苏采云”系统在平台首页点击“开标大厅”，进入江苏省政府采购一体化不见面开标（采购）大厅，在今日项目列表，点击项目，进入不见面开标系统。开标阶段供应商在【供应商解密】环节必须使用CA证书解密电子投标文件，如在系统规定的解密时间内</w:t>
      </w:r>
      <w:r>
        <w:rPr>
          <w:rFonts w:hint="eastAsia" w:ascii="宋体" w:hAnsi="宋体"/>
          <w:b/>
          <w:color w:val="000000" w:themeColor="text1"/>
          <w:sz w:val="24"/>
          <w:szCs w:val="24"/>
          <w:highlight w:val="none"/>
        </w:rPr>
        <w:t xml:space="preserve">（投标文件提交截止时间后30分钟）</w:t>
      </w:r>
      <w:r>
        <w:rPr>
          <w:rFonts w:hint="eastAsia" w:ascii="宋体" w:hAnsi="宋体" w:cs="宋体"/>
          <w:color w:val="000000" w:themeColor="text1"/>
          <w:sz w:val="24"/>
          <w:szCs w:val="24"/>
          <w:highlight w:val="none"/>
        </w:rPr>
        <w:t xml:space="preserve">未能完成解密的视为放弃投标。请供应商确保电脑、系统及其他设备（视频输入输出设备等）无误，且开标直至项目结束始终保持系统在线状态。</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七、对本次招标提出询问，请按以下方式联系：</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1、采购人信息</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名 称：苏州市公安局</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地 址：苏州市人民路3998号</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联系方式：陈菲/0512-65111701</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2、采购代理机构信息</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名 称：苏州时代招投标有限公司</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地 址：苏州市虎丘区滨河路1388号3B 501室</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联系方式：褚磊/0512-65201419</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3、项目联系方式</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项目联系人：叶素萍、褚磊、陈婷、徐蕾、曾颖</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电 话：0512-65201419</w:t>
      </w:r>
      <w:r/>
    </w:p>
    <w:p>
      <w:pPr>
        <w:ind w:firstLine="480"/>
        <w:jc w:val="center"/>
        <w:spacing w:line="360" w:lineRule="auto"/>
        <w:rPr>
          <w:rFonts w:ascii="宋体" w:hAnsi="宋体" w:cs="宋体"/>
          <w:bCs/>
          <w:color w:val="000000" w:themeColor="text1"/>
          <w:sz w:val="44"/>
          <w:szCs w:val="32"/>
          <w:highlight w:val="none"/>
        </w:rPr>
      </w:pPr>
      <w:r>
        <w:rPr>
          <w:rFonts w:ascii="宋体" w:hAnsi="宋体" w:cs="宋体"/>
          <w:bCs/>
          <w:color w:val="000000" w:themeColor="text1"/>
          <w:sz w:val="44"/>
          <w:szCs w:val="32"/>
          <w:highlight w:val="none"/>
        </w:rPr>
      </w:r>
      <w:r/>
    </w:p>
    <w:p>
      <w:pPr>
        <w:rPr>
          <w:rFonts w:ascii="宋体" w:hAnsi="宋体" w:cs="宋体"/>
          <w:bCs/>
          <w:color w:val="000000" w:themeColor="text1"/>
          <w:sz w:val="44"/>
          <w:szCs w:val="32"/>
          <w:highlight w:val="none"/>
        </w:rPr>
      </w:pPr>
      <w:r>
        <w:rPr>
          <w:rFonts w:hint="eastAsia" w:ascii="宋体" w:hAnsi="宋体" w:cs="宋体"/>
          <w:bCs/>
          <w:color w:val="000000" w:themeColor="text1"/>
          <w:sz w:val="44"/>
          <w:szCs w:val="32"/>
          <w:highlight w:val="none"/>
        </w:rPr>
        <w:br w:type="page" w:clear="all"/>
      </w:r>
      <w:r/>
    </w:p>
    <w:p>
      <w:pPr>
        <w:ind w:firstLine="480"/>
        <w:jc w:val="center"/>
        <w:spacing w:line="360" w:lineRule="auto"/>
        <w:rPr>
          <w:rFonts w:ascii="宋体" w:hAnsi="宋体" w:cs="宋体"/>
          <w:color w:val="000000" w:themeColor="text1"/>
          <w:sz w:val="44"/>
          <w:szCs w:val="44"/>
          <w:highlight w:val="none"/>
        </w:rPr>
      </w:pPr>
      <w:r>
        <w:rPr>
          <w:rFonts w:hint="eastAsia" w:ascii="宋体" w:hAnsi="宋体" w:cs="宋体"/>
          <w:bCs/>
          <w:color w:val="000000" w:themeColor="text1"/>
          <w:sz w:val="44"/>
          <w:szCs w:val="32"/>
          <w:highlight w:val="none"/>
        </w:rPr>
        <w:t xml:space="preserve">第二章 投标人须知</w:t>
      </w:r>
      <w:r/>
    </w:p>
    <w:p>
      <w:pPr>
        <w:spacing w:line="360" w:lineRule="auto"/>
        <w:rPr>
          <w:rFonts w:ascii="宋体" w:hAnsi="宋体" w:cs="宋体"/>
          <w:color w:val="000000" w:themeColor="text1"/>
          <w:sz w:val="24"/>
          <w:szCs w:val="24"/>
          <w:highlight w:val="none"/>
        </w:rPr>
      </w:pPr>
      <w:r>
        <w:rPr>
          <w:rFonts w:hint="eastAsia" w:ascii="宋体" w:hAnsi="宋体" w:cs="宋体"/>
          <w:bCs/>
          <w:color w:val="000000" w:themeColor="text1"/>
          <w:sz w:val="24"/>
          <w:szCs w:val="24"/>
          <w:highlight w:val="none"/>
        </w:rPr>
        <w:t xml:space="preserve">一、</w:t>
      </w:r>
      <w:r>
        <w:rPr>
          <w:rFonts w:hint="eastAsia" w:ascii="宋体" w:hAnsi="宋体" w:cs="宋体"/>
          <w:color w:val="000000" w:themeColor="text1"/>
          <w:sz w:val="24"/>
          <w:szCs w:val="24"/>
          <w:highlight w:val="none"/>
        </w:rPr>
        <w:t xml:space="preserve">说明和释义</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1．说明</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1.1本招标文件仅适用于</w:t>
      </w:r>
      <w:r>
        <w:rPr>
          <w:rFonts w:hint="eastAsia" w:ascii="宋体" w:hAnsi="宋体" w:cs="宋体"/>
          <w:color w:val="000000" w:themeColor="text1"/>
          <w:sz w:val="24"/>
          <w:szCs w:val="24"/>
          <w:highlight w:val="none"/>
          <w:u w:val="single"/>
        </w:rPr>
        <w:t xml:space="preserve">苏州时代招投标有限公司</w:t>
      </w:r>
      <w:r>
        <w:rPr>
          <w:rFonts w:hint="eastAsia" w:ascii="宋体" w:hAnsi="宋体" w:cs="宋体"/>
          <w:color w:val="000000" w:themeColor="text1"/>
          <w:sz w:val="24"/>
          <w:szCs w:val="24"/>
          <w:highlight w:val="none"/>
        </w:rPr>
        <w:t xml:space="preserve">组织的采购活动。</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1.2本次采购活动及因本次采购产生的合同受中国法律制约和保护。</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1.3本招标文件的解释权属于</w:t>
      </w:r>
      <w:r>
        <w:rPr>
          <w:rFonts w:hint="eastAsia" w:ascii="宋体" w:hAnsi="宋体" w:cs="宋体"/>
          <w:color w:val="000000" w:themeColor="text1"/>
          <w:sz w:val="24"/>
          <w:szCs w:val="24"/>
          <w:highlight w:val="none"/>
          <w:u w:val="single"/>
        </w:rPr>
        <w:t xml:space="preserve">苏州时代招投标有限公司</w:t>
      </w:r>
      <w:r>
        <w:rPr>
          <w:rFonts w:hint="eastAsia" w:ascii="宋体" w:hAnsi="宋体" w:cs="宋体"/>
          <w:color w:val="000000" w:themeColor="text1"/>
          <w:sz w:val="24"/>
          <w:szCs w:val="24"/>
          <w:highlight w:val="none"/>
        </w:rPr>
        <w:t xml:space="preserve">。</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2．词语释义</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2.1采购人：指依法进行政府采购的国家机关、事业单位、团体组织。</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2.2采购代理机构：指依法接受采购人委托，从事政府采购代理业务的社会中介机构。</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2.3投标人（供应商）：经认定有资格响应采购，参加投标竞争的法人、其他组织或者自然人。</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2.4响应：投标人根据采购人或采购代理机构发布的招标文件，编制投标文件并按规定投标行为。</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2.5合同：采供双方根据招标文件和中标的投标文件及中标通知书规定的内容签署的以书面形式所达成的协议，包括所有的附件、附录和构成协议的所有文件。</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2.6甲方（采购人）：</w:t>
      </w:r>
      <w:r>
        <w:rPr>
          <w:rFonts w:hint="eastAsia" w:ascii="宋体" w:hAnsi="宋体"/>
          <w:color w:val="000000" w:themeColor="text1"/>
          <w:sz w:val="24"/>
          <w:highlight w:val="none"/>
        </w:rPr>
        <w:t xml:space="preserve">指招标文件中载明的，依法进行政府采购的国家机关、事业单位、团体组织</w:t>
      </w:r>
      <w:r>
        <w:rPr>
          <w:rFonts w:hint="eastAsia" w:ascii="宋体" w:hAnsi="宋体" w:cs="宋体"/>
          <w:color w:val="000000" w:themeColor="text1"/>
          <w:sz w:val="24"/>
          <w:szCs w:val="24"/>
          <w:highlight w:val="none"/>
        </w:rPr>
        <w:t xml:space="preserve">。</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2.7乙方（中标供应商）：合同中规定的向采购人提供货物和服务的法人或其他组织和自然人。</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2.8货物：系指乙方按招标文件规定，应向甲方提供的一切设备、备品、备件、工具、手册及其他有关技术资料和材料。</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2.9服务：系指本次招标文件规定乙方应承担的与提供货物和服务有关的辅助服务，比如运输、保险、安装、调试、提供技术援助、培训、配合措施、维修响应及合同中规定乙方应承担的其他义务。</w:t>
      </w:r>
      <w:r/>
    </w:p>
    <w:p>
      <w:pPr>
        <w:ind w:left="307" w:hanging="307"/>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2.10知识产权：指专利权、商标权、著作权等无形财产专有权的统称。</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2.11天：日历日；时间：除特别说明，均指北京时间。</w:t>
      </w:r>
      <w:r/>
    </w:p>
    <w:p>
      <w:pPr>
        <w:ind w:left="307" w:hanging="307"/>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2.12地点：合同中明确约定的乙方提交的货物和履行服务最终地点。</w:t>
      </w:r>
      <w:r/>
    </w:p>
    <w:p>
      <w:pPr>
        <w:ind w:left="307" w:hanging="307"/>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2.13合同价款：根据合同规定，乙方在正确地履行合同义务后甲方应支付乙方的价款。</w:t>
      </w:r>
      <w:r/>
    </w:p>
    <w:p>
      <w:pPr>
        <w:ind w:left="307" w:hanging="307"/>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2.14不可抗力：不能预见、不能避免并且不能克服的客观情况。</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2.15实质性响应：满足有关本次采购标的、数量、质量、价款或者报酬、履行期限、履行地点和方式、违约责任和解决争议方法等要求。</w:t>
      </w:r>
      <w:r/>
    </w:p>
    <w:p>
      <w:pPr>
        <w:ind w:left="307" w:hanging="307"/>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2.16书面形式：指书面文字、合同书、信件等可有形地表现所载内容的形式。</w:t>
      </w:r>
      <w:r/>
    </w:p>
    <w:p>
      <w:pPr>
        <w:ind w:left="307" w:hanging="307"/>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2.17进口产品：指通过中国海关报关验放进入中国境内且产自关境外的产品。</w:t>
      </w:r>
      <w:r/>
    </w:p>
    <w:p>
      <w:pPr>
        <w:ind w:left="307" w:hanging="307"/>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二、投标人</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3.合格投标人的资格条件</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3.1满足《中华人民共和国政府采购法》第二十二条规定，投标人应当具备下列条件：</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3.1.1具有独立承担民事责任的能力。</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3.1.2具有良好的商业信誉和健全的财务会计制度。</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3.1.3具有履行合同所必需的设备和专业技术能力。</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3.1.4有依法缴纳税收和社会保障资金的良好记录。</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3.1.5参加政府采购活动前三年内，在经营活动中没有重大违法记录。</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3.1.6法律、行政法规规定的其他条件。</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3.2落实政府采购政策需满足的资格要求：本项目非专门面向中小企业采购。本项目所属行业为工业。</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3.3本项目的特定资格要求：</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3.3.1投标单位若为医疗器械生产企业的，须提供有效的第二类《医疗器械生产许可证》；投标单位若为医疗器械经营企业的，须提供有效的《医疗器械经营许可证》及生产企业的第二类《医疗器械生产许可证》。</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3.3.2</w:t>
      </w:r>
      <w:r>
        <w:rPr>
          <w:rFonts w:ascii="宋体" w:hAnsi="宋体" w:cs="宋体"/>
          <w:color w:val="000000" w:themeColor="text1"/>
          <w:sz w:val="24"/>
          <w:szCs w:val="24"/>
          <w:highlight w:val="none"/>
        </w:rPr>
        <w:t xml:space="preserve">未被“信用中国”网站（www.creditchina.gov.cn）列入失信被执行人、重大税收违法案件当事人名单、政府采购严重失信行为记录名单。</w:t>
      </w:r>
      <w:r/>
    </w:p>
    <w:p>
      <w:pPr>
        <w:jc w:val="left"/>
        <w:spacing w:line="360" w:lineRule="auto"/>
        <w:rPr>
          <w:color w:val="000000" w:themeColor="text1"/>
          <w:highlight w:val="none"/>
        </w:rPr>
      </w:pPr>
      <w:r>
        <w:rPr>
          <w:rFonts w:hint="eastAsia" w:ascii="宋体" w:hAnsi="宋体" w:cs="宋体"/>
          <w:color w:val="000000" w:themeColor="text1"/>
          <w:sz w:val="24"/>
          <w:szCs w:val="24"/>
          <w:highlight w:val="none"/>
        </w:rPr>
        <w:t xml:space="preserve">3.3.3</w:t>
      </w:r>
      <w:r>
        <w:rPr>
          <w:rFonts w:hint="eastAsia" w:ascii="宋体" w:hAnsi="宋体" w:cs="宋体"/>
          <w:color w:val="000000" w:themeColor="text1"/>
          <w:sz w:val="24"/>
          <w:highlight w:val="none"/>
        </w:rPr>
        <w:t xml:space="preserve">单位负责人为同一人或者存在直接控股、管理关系的不同供应商（包含法定代表人为同一个人的两个及两个以上法人，母公司、全资子公司及其控股公司），不得参加同一合同项下的政府采购活动。</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4.投标人代表</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4.1指全权代表投标人参加投标活动并签署投标文件的人，如果投标人代表不是法定代表人，须持有《法人授权委托书》（详见统一格式）。</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5.投标费用</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5.1无论投标过程的做法和结果如何，投标人自行承担所有与参加投标有关的全部费用。</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6.联合、进口投标及转包、分包</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6.1本项目不接受联合体投标。</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6.2本项目不接受转包、分包。</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6.3本项目不接受进口产品。</w:t>
      </w:r>
      <w:r/>
    </w:p>
    <w:p>
      <w:pPr>
        <w:ind w:left="307" w:hanging="307"/>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三、招标文件的说明</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7.招标文件</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7.1招标文件由招标文件目录所列内容组成，投标人获取招标文件后，应仔细检查招标文件的所有内容。投标人同时应认真审阅招标文件中所有的事项、格式、条款和规范要求等，若投标人的投标文件没有按招标文件要求提交全部资料，或投标文件没有对招标文件作出实质性响应，其风险由投标人自行承担，并根据有关条款规定，该投标有可能被拒绝。</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7.2招标文件及其补充通知（包括更正公告）不是直接从指定的政府采购信息发布媒体上下载获得的，采购人或采购代理机构对招标文件及其补遗的真实性、完整性不承担任何责任。</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8.采购文件的澄清、修改</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8.1采购人或采购代理机构无论出于自己的考虑，还是出于对投标人提问的澄清，均可对已发出的招标文件用补充通知（包括更正公告）的方式进行澄清或者修改，但不得改变采购标的和资格条件，并通过苏州市政府采购网对外进行发布。澄清或者修改的内容为招标文件的组成部分。</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8.2澄清或者修改的内容可能影响投标文件编制的，采购人或者采购代理机构应当在投标截止时间至少15日前，并通过苏州市政府采购网对外进行发布；不足15日的，采购人或者采购代理机构应当顺延提交投标文件的截止时间。</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8.3采购代理机构对采购文件的澄清或者修改，将以补充通知的形式在网上发布公告；供应商应及时关注政府采购信息发布媒体上发布的更正（补充）公告，同时在“苏采云”系统中下载更正（补充）资料，如有遗漏（包括但不限于文件未下载或下载不完整），可能无法解密投标文件，由此所造成的投标失败或损失由供应商自行负责。补充通知（包括更正公告）将作为招标文件的组成部分，对所有投标人有约束力。</w:t>
      </w:r>
      <w:r/>
    </w:p>
    <w:p>
      <w:pPr>
        <w:pStyle w:val="900"/>
        <w:ind w:left="0" w:firstLine="0"/>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8.4招标文件的澄清、修改、补充等内容均以苏州市政府采购网上发布的内容为准。</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9.勘察现场</w:t>
      </w:r>
      <w:r>
        <w:rPr>
          <w:rFonts w:hint="eastAsia" w:ascii="宋体" w:hAnsi="宋体" w:cs="宋体"/>
          <w:bCs/>
          <w:color w:val="000000" w:themeColor="text1"/>
          <w:sz w:val="24"/>
          <w:highlight w:val="none"/>
        </w:rPr>
        <w:t xml:space="preserve">（不涉及此条的忽略）</w:t>
      </w:r>
      <w:r>
        <w:rPr>
          <w:rFonts w:hint="eastAsia" w:ascii="宋体" w:hAnsi="宋体" w:cs="宋体"/>
          <w:color w:val="000000" w:themeColor="text1"/>
          <w:sz w:val="24"/>
          <w:szCs w:val="24"/>
          <w:highlight w:val="none"/>
        </w:rPr>
        <w:t xml:space="preserve">：</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9.1根据自身投标需要，投标人可对有关现场和周围环境进行勘察，以获取编制投标文件和签署合同所需的信息。勘察现场所发生的费用由投标人自己承担。</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9.2采购人或采购代理机构向投标人提供的有关现场的资料和数据，是采购人或采购代理机构现有的并认为能使投标人可利用的资料。采购人或采购代理机构对投标人由此而做出的推论、理解和结论概不负责。</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9.3经采购人允许，投标人可为勘察目的进入采购人的项目现场，但投标人不得因此使采购人承担有关的责任和蒙受损失。投标人应承担勘察现场的责任和风险。</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9.4投标人应在现场勘察时，熟悉现场及周围交通道路等情况，以获得一切可能影响其投标的直接资料。投标人中标后，不得以不完全了解现场情况为理由而向采购人或采购代理机构提出任何索赔的要求，对此采购人或采购代理机构不承担任何责任并将不作任何答复与考虑。</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10.投标质疑</w:t>
      </w:r>
      <w:r/>
    </w:p>
    <w:p>
      <w:pPr>
        <w:spacing w:line="360" w:lineRule="auto"/>
        <w:rPr>
          <w:rFonts w:ascii="宋体" w:hAnsi="宋体" w:cs="宋体"/>
          <w:bCs/>
          <w:color w:val="000000" w:themeColor="text1"/>
          <w:sz w:val="24"/>
          <w:szCs w:val="24"/>
          <w:highlight w:val="none"/>
        </w:rPr>
      </w:pPr>
      <w:r>
        <w:rPr>
          <w:rFonts w:hint="eastAsia" w:ascii="宋体" w:hAnsi="宋体" w:cs="宋体"/>
          <w:color w:val="000000" w:themeColor="text1"/>
          <w:sz w:val="24"/>
          <w:szCs w:val="24"/>
          <w:highlight w:val="none"/>
        </w:rPr>
        <w:t xml:space="preserve">10.1供应商认为招标文件、采购过程、中标结果使自己的权益受到损害的，可以在知道或者应知其权益受到损害之日起7个工作日内，以书面形式向采购人、采购代理机构提出质</w:t>
      </w:r>
      <w:r>
        <w:rPr>
          <w:rFonts w:hint="eastAsia" w:ascii="宋体" w:hAnsi="宋体" w:cs="宋体"/>
          <w:bCs/>
          <w:color w:val="000000" w:themeColor="text1"/>
          <w:sz w:val="24"/>
          <w:szCs w:val="24"/>
          <w:highlight w:val="none"/>
        </w:rPr>
        <w:t xml:space="preserve">疑。招标代理机构应当在收到投标人书面质疑后七个工作日内作出答复。</w:t>
      </w:r>
      <w:r/>
    </w:p>
    <w:p>
      <w:pPr>
        <w:spacing w:line="360" w:lineRule="auto"/>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 xml:space="preserve">10.2根据《政府采购质疑和投诉办法》财政部第94号令第十一条规定，提出质疑的供应商应当是参与所质疑项目采购活动的供应商。因此凡是对采购文件提出质疑的供应商，必须依法获取采购文件，并请将符合资格条件的证明材料及网上报名的报名页面材料（需明确获取文件具体时间）与质疑函一起递交，否则不予受理。</w:t>
      </w:r>
      <w:r/>
    </w:p>
    <w:p>
      <w:pPr>
        <w:spacing w:line="360" w:lineRule="auto"/>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 xml:space="preserve">10.3本次招标文件要求供应商在法定质疑期内一次性提出针对同一采购程序环节的质疑。</w:t>
      </w:r>
      <w:r/>
    </w:p>
    <w:p>
      <w:pPr>
        <w:spacing w:line="360" w:lineRule="auto"/>
        <w:rPr>
          <w:rFonts w:ascii="宋体" w:hAnsi="宋体" w:cs="宋体"/>
          <w:color w:val="000000" w:themeColor="text1"/>
          <w:sz w:val="24"/>
          <w:szCs w:val="24"/>
          <w:highlight w:val="none"/>
        </w:rPr>
      </w:pPr>
      <w:r>
        <w:rPr>
          <w:rFonts w:hint="eastAsia" w:ascii="宋体" w:hAnsi="宋体" w:cs="宋体"/>
          <w:bCs/>
          <w:color w:val="000000" w:themeColor="text1"/>
          <w:sz w:val="24"/>
          <w:szCs w:val="24"/>
          <w:highlight w:val="none"/>
        </w:rPr>
        <w:t xml:space="preserve">10.4</w:t>
      </w:r>
      <w:r>
        <w:rPr>
          <w:rFonts w:hint="eastAsia" w:ascii="宋体" w:hAnsi="宋体" w:cs="宋体"/>
          <w:color w:val="000000" w:themeColor="text1"/>
          <w:sz w:val="24"/>
          <w:szCs w:val="24"/>
          <w:highlight w:val="none"/>
        </w:rPr>
        <w:t xml:space="preserve">供应商提出质疑应当提交质疑函和必要的证明材料。质疑函应当包括下列内容：</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10.4.1供应商的姓名或者名称（提供营业执照副本复印件，以营业执照副本复印件为准）、地址、邮编、联系人及联系电话；</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10.4.2质疑项目的名称、编号；</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10.4.3具体、明确的质疑事项和与质疑事项相关的请求；</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10.4.4事实依据；</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10.4.5必要的法律依据；</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10.4.6提出质疑的日期。</w:t>
      </w:r>
      <w:r/>
    </w:p>
    <w:p>
      <w:pPr>
        <w:ind w:firstLine="480"/>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供应商为自然人的，应当由本人签字；供应商为法人或者其他组织的，应当由法定代表人、主要负责人，或者其授权代表签字或者盖章，并加盖公章。供应商委托代理人进行质疑的，其授权委托书上应当载明代理人的姓名或者名称、代理事项、具体权限、期限和相关事项。</w:t>
      </w:r>
      <w:r/>
    </w:p>
    <w:p>
      <w:pPr>
        <w:pStyle w:val="1121"/>
        <w:ind w:firstLine="480"/>
        <w:spacing w:line="360" w:lineRule="auto"/>
        <w:rPr>
          <w:rFonts w:ascii="宋体" w:hAnsi="宋体" w:eastAsia="宋体" w:cs="宋体"/>
          <w:color w:val="000000" w:themeColor="text1"/>
          <w:szCs w:val="24"/>
          <w:highlight w:val="none"/>
        </w:rPr>
      </w:pPr>
      <w:r>
        <w:rPr>
          <w:rFonts w:hint="eastAsia" w:ascii="宋体" w:hAnsi="宋体" w:eastAsia="宋体" w:cs="宋体"/>
          <w:color w:val="000000" w:themeColor="text1"/>
          <w:szCs w:val="24"/>
          <w:highlight w:val="none"/>
        </w:rPr>
        <w:t xml:space="preserve">供应商提交的质疑函必须按照《政府采购供应商质疑函范本》要求的格式和内容进行填写，质疑函范本下载网址详见链接：https：//czju.suzhou.gov.cn/zfcg/html/content/20180305093615738.shtml。</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10.5接收质疑函的方式：书面形式（当场送达或邮寄方式）</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10.5.1质疑联系人：褚磊；</w:t>
      </w:r>
      <w:r/>
    </w:p>
    <w:p>
      <w:pPr>
        <w:pStyle w:val="1124"/>
        <w:ind w:left="0"/>
        <w:spacing w:after="0" w:line="360" w:lineRule="auto"/>
        <w:rPr>
          <w:color w:val="000000" w:themeColor="text1"/>
          <w:highlight w:val="none"/>
        </w:rPr>
      </w:pPr>
      <w:r>
        <w:rPr>
          <w:rFonts w:hint="eastAsia" w:ascii="宋体" w:hAnsi="宋体" w:cs="宋体"/>
          <w:color w:val="000000" w:themeColor="text1"/>
          <w:sz w:val="24"/>
          <w:szCs w:val="24"/>
          <w:highlight w:val="none"/>
        </w:rPr>
        <w:t xml:space="preserve">10.5.2质疑联系电话：0512-65201419</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10.5.3现场递交/邮寄收取地址：苏州市虎丘区滨河路1388号3B 501室。</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四、投标文件说明</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11.提示与要求</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11.1投标人应仔细阅读招标文件的所有内容，应当按照招标文件的要求编制投标文件，并保证所提供的全部资料的真实性，以使其投标对招标文件作出实质性响应，否则，其投标可能被拒绝。</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11.2无论是否提交并递交投标文件，投标人都应将招标文件及以后的所有通知、文件等视为保密文件。</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12.投标文件计量单位和使用文字</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12.1投标文件中所使用的计量单位，除招标文件中有特殊要求外，应采用中华人民共和国法定计量单位。</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12.2投标文件应使用中文编制，投标文件中必须使用其他文字的，必须附有中文译本。对于未附有中文译本和中文译本不准确的投标文件，由此引起的对投标人不利后果的，招标人概不负责。</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13.投标文件的组成（部分格式见第三章）</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13.1封面；</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13.2开标一览表；</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13.3公开分项报价。</w:t>
      </w:r>
      <w:r/>
    </w:p>
    <w:p>
      <w:pPr>
        <w:spacing w:line="360" w:lineRule="auto"/>
        <w:rPr>
          <w:rFonts w:ascii="宋体" w:hAnsi="宋体" w:cs="宋体"/>
          <w:b/>
          <w:bCs/>
          <w:color w:val="000000" w:themeColor="text1"/>
          <w:sz w:val="24"/>
          <w:szCs w:val="24"/>
          <w:highlight w:val="none"/>
        </w:rPr>
      </w:pPr>
      <w:r>
        <w:rPr>
          <w:rFonts w:hint="eastAsia" w:ascii="宋体" w:hAnsi="宋体" w:cs="宋体"/>
          <w:b/>
          <w:bCs/>
          <w:color w:val="000000" w:themeColor="text1"/>
          <w:sz w:val="24"/>
          <w:szCs w:val="24"/>
          <w:highlight w:val="none"/>
        </w:rPr>
        <w:t xml:space="preserve">13.4资格审查文件</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13.4.1关于资格文件的声明函（格式见第三章）；</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13.4.2投标人法定代表人身份证复印件；</w:t>
      </w:r>
      <w:r/>
    </w:p>
    <w:p>
      <w:pPr>
        <w:spacing w:line="360" w:lineRule="auto"/>
        <w:tabs>
          <w:tab w:val="left" w:pos="851" w:leader="none"/>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13.4.3法定代表人授权委托书（如有授权，格式见第三章）；</w:t>
      </w:r>
      <w:r/>
    </w:p>
    <w:p>
      <w:pPr>
        <w:spacing w:line="360" w:lineRule="auto"/>
        <w:tabs>
          <w:tab w:val="left" w:pos="851" w:leader="none"/>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13.4.4投标人授权代理人身份证复印件（如有授权）；</w:t>
      </w:r>
      <w:r/>
    </w:p>
    <w:p>
      <w:pPr>
        <w:spacing w:line="360" w:lineRule="auto"/>
        <w:tabs>
          <w:tab w:val="left" w:pos="851" w:leader="none"/>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13.4.5合格投标人资格证明材料：</w:t>
      </w:r>
      <w:r/>
    </w:p>
    <w:p>
      <w:pPr>
        <w:spacing w:line="360" w:lineRule="auto"/>
        <w:tabs>
          <w:tab w:val="left" w:pos="851" w:leader="none"/>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13.4.5.1具有独立承担民事责任的能力证明（包括法人或者其他组织的营业执照等证明文件，自然人的身份证明）；</w:t>
      </w:r>
      <w:r/>
    </w:p>
    <w:p>
      <w:pPr>
        <w:spacing w:line="360" w:lineRule="auto"/>
        <w:tabs>
          <w:tab w:val="left" w:pos="851" w:leader="none"/>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13.4.5.2具有良好的商业信誉和健全的财务会计制度证明（法人应提供最近一期经会计师事务所审计的财务报告，其他组织、自然人及成立未满一年的法人应提供银行出具的资信证明）；</w:t>
      </w:r>
      <w:r/>
    </w:p>
    <w:p>
      <w:pPr>
        <w:spacing w:line="360" w:lineRule="auto"/>
        <w:tabs>
          <w:tab w:val="left" w:pos="851" w:leader="none"/>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13.4.5.3依法缴纳税收和社会保障资金的良好记录证明（提供投标文件截止时间前一年内至少一个月依法缴纳税收及缴纳社会保障资金的证明材料，如相关主管部门证明或银行代扣证明；投标人如依法享受缓缴、免缴税收、社会保障资金的应提供相关主管部门出具的证明材料）；</w:t>
      </w:r>
      <w:r/>
    </w:p>
    <w:p>
      <w:pPr>
        <w:spacing w:line="360" w:lineRule="auto"/>
        <w:tabs>
          <w:tab w:val="left" w:pos="851" w:leader="none"/>
          <w:tab w:val="left" w:pos="9000" w:leader="none"/>
        </w:tabs>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13.4.5.4具备履行合同所必需的设备和专业技术能力的证明材料或承诺；</w:t>
      </w:r>
      <w:r/>
    </w:p>
    <w:p>
      <w:pPr>
        <w:spacing w:line="360" w:lineRule="auto"/>
        <w:tabs>
          <w:tab w:val="left" w:pos="851" w:leader="none"/>
          <w:tab w:val="left" w:pos="9000" w:leader="none"/>
        </w:tabs>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13.4.5.5参加政府采购活动前三年内，在经营活动中没有重大违法记录的书面声明函；</w:t>
      </w:r>
      <w:r/>
    </w:p>
    <w:p>
      <w:pPr>
        <w:spacing w:line="360" w:lineRule="auto"/>
        <w:rPr>
          <w:color w:val="000000" w:themeColor="text1"/>
          <w:sz w:val="24"/>
          <w:szCs w:val="24"/>
          <w:highlight w:val="none"/>
        </w:rPr>
      </w:pPr>
      <w:r>
        <w:rPr>
          <w:rFonts w:hint="eastAsia" w:ascii="宋体" w:hAnsi="宋体" w:cs="宋体"/>
          <w:color w:val="000000" w:themeColor="text1"/>
          <w:sz w:val="24"/>
          <w:szCs w:val="24"/>
          <w:highlight w:val="none"/>
        </w:rPr>
        <w:t xml:space="preserve">13.4.5.6投标单位若为医疗器械生产企业的，须提供有效的第二类《医疗器械生产许可证》；投标单位若为医疗器械经营企业的，须提供有效的《医疗器械经营许可证》及生产企业的第二类《医疗器械生产许可证》；</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13.4.5.7未被“信用中国”网站（www.creditchina.gov.cn）列入失信被执行人、重大税收违法案件当事人名单、政府采购严重失信行为记录名单；</w:t>
      </w:r>
      <w:r/>
    </w:p>
    <w:p>
      <w:pPr>
        <w:pStyle w:val="1124"/>
        <w:ind w:left="0"/>
        <w:spacing w:after="0" w:line="360" w:lineRule="auto"/>
        <w:rPr>
          <w:color w:val="000000" w:themeColor="text1"/>
          <w:highlight w:val="none"/>
        </w:rPr>
      </w:pPr>
      <w:r>
        <w:rPr>
          <w:rFonts w:hint="eastAsia" w:ascii="宋体" w:hAnsi="宋体" w:cs="宋体"/>
          <w:color w:val="000000" w:themeColor="text1"/>
          <w:sz w:val="24"/>
          <w:highlight w:val="none"/>
        </w:rPr>
        <w:t xml:space="preserve">13.4.5.8其他有关资格证明文件。</w:t>
      </w:r>
      <w:r/>
    </w:p>
    <w:p>
      <w:pPr>
        <w:pStyle w:val="1124"/>
        <w:ind w:left="0"/>
        <w:spacing w:after="0" w:line="360" w:lineRule="auto"/>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 xml:space="preserve">13.5符合性审查文件</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13.5.1投标函（格式见第三章）；</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13.5.2投标货物和服务数量、品牌规格、性能说明表（不得出现价格，格式见第三章）；</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13.5.3技术参数响应及偏离表（格式见第三章）；</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13.5.4商务条款响应及偏离表（格式见第三章）；</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13.5.5采购需求中对应要求提供的承诺书、证明材料等；</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13.5.6对属于《节能产品政府采购品目清单》政府强制采购产品的，需提供该产品有效期内的认证等相关证明材料（如有）；</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13.5.7其他有关符合性证明的文件。</w:t>
      </w:r>
      <w:r/>
    </w:p>
    <w:p>
      <w:pPr>
        <w:pStyle w:val="1124"/>
        <w:ind w:left="0"/>
        <w:spacing w:after="0" w:line="360" w:lineRule="auto"/>
        <w:rPr>
          <w:rFonts w:ascii="宋体" w:hAnsi="宋体" w:cs="宋体"/>
          <w:b/>
          <w:bCs/>
          <w:color w:val="000000" w:themeColor="text1"/>
          <w:sz w:val="24"/>
          <w:szCs w:val="24"/>
          <w:highlight w:val="none"/>
        </w:rPr>
      </w:pPr>
      <w:r>
        <w:rPr>
          <w:rFonts w:hint="eastAsia" w:ascii="宋体" w:hAnsi="宋体" w:cs="宋体"/>
          <w:b/>
          <w:bCs/>
          <w:color w:val="000000" w:themeColor="text1"/>
          <w:sz w:val="24"/>
          <w:szCs w:val="24"/>
          <w:highlight w:val="none"/>
        </w:rPr>
        <w:t xml:space="preserve">13.6综合评审文件</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13.6.1技术方案；</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13.6.2</w:t>
      </w:r>
      <w:r>
        <w:rPr>
          <w:rFonts w:hint="eastAsia" w:ascii="宋体" w:hAnsi="宋体"/>
          <w:bCs/>
          <w:color w:val="000000" w:themeColor="text1"/>
          <w:sz w:val="24"/>
          <w:highlight w:val="none"/>
        </w:rPr>
        <w:t xml:space="preserve">投标单位综合履约能力</w:t>
      </w:r>
      <w:r>
        <w:rPr>
          <w:rFonts w:hint="eastAsia" w:ascii="宋体" w:hAnsi="宋体" w:cs="宋体"/>
          <w:color w:val="000000" w:themeColor="text1"/>
          <w:sz w:val="24"/>
          <w:szCs w:val="24"/>
          <w:highlight w:val="none"/>
        </w:rPr>
        <w:t xml:space="preserve">；</w:t>
      </w:r>
      <w:r/>
    </w:p>
    <w:p>
      <w:pPr>
        <w:pStyle w:val="925"/>
        <w:ind w:firstLine="0"/>
        <w:spacing w:line="360" w:lineRule="auto"/>
        <w:rPr>
          <w:color w:val="000000" w:themeColor="text1"/>
          <w:highlight w:val="none"/>
        </w:rPr>
      </w:pPr>
      <w:r>
        <w:rPr>
          <w:rFonts w:hint="eastAsia" w:cs="宋体"/>
          <w:color w:val="000000" w:themeColor="text1"/>
          <w:sz w:val="24"/>
          <w:szCs w:val="24"/>
          <w:highlight w:val="none"/>
        </w:rPr>
        <w:t xml:space="preserve">13.6.3</w:t>
      </w:r>
      <w:r>
        <w:rPr>
          <w:rFonts w:hint="eastAsia" w:cs="宋体"/>
          <w:color w:val="000000" w:themeColor="text1"/>
          <w:sz w:val="24"/>
          <w:highlight w:val="none"/>
        </w:rPr>
        <w:t xml:space="preserve">所投项目、招标文件及评审条款中要求的相关证书及证明材料等。</w:t>
      </w:r>
      <w:r/>
    </w:p>
    <w:p>
      <w:pPr>
        <w:spacing w:line="360" w:lineRule="auto"/>
        <w:rPr>
          <w:rFonts w:ascii="宋体" w:hAnsi="宋体" w:cs="宋体"/>
          <w:b/>
          <w:bCs/>
          <w:color w:val="000000" w:themeColor="text1"/>
          <w:sz w:val="24"/>
          <w:highlight w:val="none"/>
        </w:rPr>
      </w:pPr>
      <w:r>
        <w:rPr>
          <w:rFonts w:hint="eastAsia" w:ascii="宋体" w:hAnsi="宋体" w:cs="宋体"/>
          <w:b/>
          <w:bCs/>
          <w:color w:val="000000" w:themeColor="text1"/>
          <w:sz w:val="24"/>
          <w:highlight w:val="none"/>
        </w:rPr>
        <w:t xml:space="preserve">13.7企业报价折扣证明：</w:t>
      </w:r>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13.7.1《中小企业声明函》或《残疾人福利性单位声明函》或省级以上监狱管理局、戒毒管理局（含新疆生产建设兵团）出具的属于监狱企业的证明文件（如有）。</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13.8其他可以证明投标人资质、服务质量的证书、文件等相关资料。</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注：（1）以上资格审查要求提供的材料，是作为对供应商资格审查、质疑身份认定的依据，投标人必须提供并加盖电子公章。否则，投标文件将被认定为不符合资格审查要求。</w:t>
      </w:r>
      <w:r/>
    </w:p>
    <w:p>
      <w:pPr>
        <w:pStyle w:val="1124"/>
        <w:ind w:left="0" w:firstLine="48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（2）以上符合性审查须提供的资料，投标人必须提供并加盖电子公章。否则，投标文件将被认定为未实质性响应。</w:t>
      </w:r>
      <w:r/>
    </w:p>
    <w:p>
      <w:pPr>
        <w:pStyle w:val="1124"/>
        <w:ind w:left="0" w:firstLine="48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（3）以上13.4-13.8中不得出现投标总报价。投标人所提交的资料的完整与否，将直接影响投标人的评分。</w:t>
      </w:r>
      <w:r/>
    </w:p>
    <w:p>
      <w:pPr>
        <w:pStyle w:val="1124"/>
        <w:ind w:left="0" w:firstLine="48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（4）制作电子投标文件时必须与投标文件制作软件目录一一对应，将相关资料上传至相应模块。</w:t>
      </w:r>
      <w:r/>
    </w:p>
    <w:p>
      <w:pPr>
        <w:pStyle w:val="1124"/>
        <w:ind w:left="0" w:firstLine="48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（5）开评标过程中如有问题采购代理机构工作人员会及时通过《投标供应商确认函》留存的手机号与供应商联系。请供应商确保该手机号通讯畅通，否则导致的不利后果由供应商自行承担。</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14.投标文件编制要求</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14.1投标文件按统一格式、顺序编写。</w:t>
      </w:r>
      <w:r/>
    </w:p>
    <w:p>
      <w:pPr>
        <w:spacing w:line="360" w:lineRule="auto"/>
        <w:rPr>
          <w:rFonts w:ascii="宋体" w:hAnsi="宋体" w:cs="宋体"/>
          <w:color w:val="000000" w:themeColor="text1"/>
          <w:sz w:val="24"/>
          <w:highlight w:val="none"/>
        </w:rPr>
      </w:pPr>
      <w:r>
        <w:rPr>
          <w:rFonts w:hint="eastAsia" w:ascii="宋体" w:hAnsi="宋体"/>
          <w:color w:val="000000" w:themeColor="text1"/>
          <w:sz w:val="24"/>
          <w:highlight w:val="none"/>
        </w:rPr>
        <w:t xml:space="preserve">14.2《开标一览表》为在开标仪式上唱标的内容，要求按格式填写，统一规范，不</w:t>
      </w:r>
      <w:r>
        <w:rPr>
          <w:rFonts w:hint="eastAsia" w:ascii="宋体" w:hAnsi="宋体" w:cs="宋体"/>
          <w:color w:val="000000" w:themeColor="text1"/>
          <w:sz w:val="24"/>
          <w:highlight w:val="none"/>
        </w:rPr>
        <w:t xml:space="preserve">得自行增减内容。</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15.投标报价（编制）要求的说明</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15.1除非合同中另有规定，投标人对《开标一览表》中的报价</w:t>
      </w:r>
      <w:r>
        <w:rPr>
          <w:rFonts w:hint="eastAsia" w:ascii="宋体" w:hAnsi="宋体" w:cs="宋体"/>
          <w:color w:val="000000" w:themeColor="text1"/>
          <w:sz w:val="24"/>
          <w:szCs w:val="24"/>
          <w:highlight w:val="none"/>
        </w:rPr>
        <w:t xml:space="preserve">包括响应产品、安装辅材及其备品备件和专用工具费用、包装、运至最终目的地的运输、保险、现场安装调试、检测验收、技术支持与培训、质保和售后服务及相关劳务支出等履行本合同所发生的全部费用以及中标单位的企业利润、税金和政策性文件规定及合同包含的所有风险、责任等各项应有费用</w:t>
      </w:r>
      <w:r>
        <w:rPr>
          <w:rFonts w:hint="eastAsia" w:ascii="宋体" w:hAnsi="宋体" w:cs="宋体"/>
          <w:color w:val="000000" w:themeColor="text1"/>
          <w:sz w:val="24"/>
          <w:highlight w:val="none"/>
        </w:rPr>
        <w:t xml:space="preserve">。</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15.2投标人应按投标报价表中的全部服务内容填写，并由其法定代表人或授权代理人签署。</w:t>
      </w:r>
      <w:r/>
    </w:p>
    <w:p>
      <w:pPr>
        <w:pStyle w:val="1124"/>
        <w:ind w:left="0"/>
        <w:spacing w:after="0" w:line="360" w:lineRule="auto"/>
        <w:tabs>
          <w:tab w:val="left" w:pos="2940" w:leader="none"/>
        </w:tabs>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15.3投标人应对招标文件内所要采购的全部内容进行报价，只投其中部分内容者，其标书将被拒绝；</w:t>
      </w:r>
      <w:r>
        <w:rPr>
          <w:rFonts w:hint="eastAsia" w:ascii="宋体" w:hAnsi="宋体" w:cs="宋体"/>
          <w:color w:val="000000" w:themeColor="text1"/>
          <w:sz w:val="24"/>
          <w:szCs w:val="24"/>
          <w:highlight w:val="none"/>
        </w:rPr>
        <w:t xml:space="preserve">但如果招标文件要求分标段投标的，则投标人可以按招标文件要求有选择地只投其中一个或几个标段，也可以投全部标段，但各标段应分别计算填写单价和总价。</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15.4一项投标内容只允许一个报价，招标人不接受任何有选择性的投标报价。</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15.5投</w:t>
      </w:r>
      <w:r>
        <w:rPr>
          <w:rFonts w:hint="eastAsia" w:ascii="宋体" w:hAnsi="宋体" w:cs="宋体"/>
          <w:color w:val="000000" w:themeColor="text1"/>
          <w:sz w:val="24"/>
          <w:szCs w:val="24"/>
          <w:highlight w:val="none"/>
        </w:rPr>
        <w:t xml:space="preserve">标文件报价中的单价和总价全部采用人民币表示，除非合同的特殊条款另有规定</w:t>
      </w:r>
      <w:r>
        <w:rPr>
          <w:rFonts w:hint="eastAsia" w:ascii="宋体" w:hAnsi="宋体" w:cs="宋体"/>
          <w:color w:val="000000" w:themeColor="text1"/>
          <w:sz w:val="24"/>
          <w:highlight w:val="none"/>
        </w:rPr>
        <w:t xml:space="preserve">。</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15.6</w:t>
      </w:r>
      <w:r>
        <w:rPr>
          <w:rFonts w:hint="eastAsia" w:ascii="宋体" w:hAnsi="宋体" w:cs="宋体"/>
          <w:color w:val="000000" w:themeColor="text1"/>
          <w:sz w:val="24"/>
          <w:szCs w:val="24"/>
          <w:highlight w:val="none"/>
        </w:rPr>
        <w:t xml:space="preserve">最低的投标报价或最高的折扣比例是中标的重要条件，但不是中标的唯一条件</w:t>
      </w:r>
      <w:r>
        <w:rPr>
          <w:rFonts w:hint="eastAsia" w:ascii="宋体" w:hAnsi="宋体" w:cs="宋体"/>
          <w:color w:val="000000" w:themeColor="text1"/>
          <w:sz w:val="24"/>
          <w:highlight w:val="none"/>
        </w:rPr>
        <w:t xml:space="preserve">。</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16.投标保证金：本项目不收取投标保证金。</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17.投标文件的有效期</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17.1自提交投标文件截止之日起90天内，投标文件中承诺的投标有效期应当不少于招标文件中载明的投标有效期。</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17.2在特殊情况下，采购人、采购代理机构可与投标人协商延长投标书的有效期。这种要求和答复都应以书面形式进行。同意延长有效期的投标人不能修改投标文件</w:t>
      </w:r>
      <w:r>
        <w:rPr>
          <w:rFonts w:hint="eastAsia" w:ascii="宋体" w:hAnsi="宋体" w:cs="宋体"/>
          <w:color w:val="000000" w:themeColor="text1"/>
          <w:sz w:val="24"/>
          <w:szCs w:val="24"/>
          <w:highlight w:val="none"/>
        </w:rPr>
        <w:t xml:space="preserve">，拒绝接受延期要求的投标人的投标将被拒绝</w:t>
      </w:r>
      <w:r>
        <w:rPr>
          <w:rFonts w:hint="eastAsia" w:ascii="宋体" w:hAnsi="宋体" w:cs="宋体"/>
          <w:color w:val="000000" w:themeColor="text1"/>
          <w:sz w:val="24"/>
          <w:highlight w:val="none"/>
        </w:rPr>
        <w:t xml:space="preserve">。</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18.投标文件的制作、签署、上传</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18.1本项目采用电子招投标形式，请供应商按照《苏采云系统供应商操作手册》进行制作、上传电子投标文件。</w:t>
      </w:r>
      <w:r/>
    </w:p>
    <w:p>
      <w:pPr>
        <w:pStyle w:val="1124"/>
        <w:ind w:left="0"/>
        <w:spacing w:after="0"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18.2制作电子投标文件时，应按照招标文件要求加盖投标人电子公章。</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五、投标文件的提交、补充、修改和撤回</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19.投标文件的提交</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19.1投标人应当在投标截止时间前制作并上传电子投标文件。</w:t>
      </w:r>
      <w:r/>
    </w:p>
    <w:p>
      <w:pPr>
        <w:spacing w:line="360" w:lineRule="auto"/>
        <w:tabs>
          <w:tab w:val="left" w:pos="9000" w:leader="none"/>
        </w:tabs>
        <w:rPr>
          <w:rFonts w:ascii="宋体" w:hAnsi="宋体" w:cs="宋体"/>
          <w:b/>
          <w:bCs/>
          <w:color w:val="000000" w:themeColor="text1"/>
          <w:sz w:val="24"/>
          <w:szCs w:val="24"/>
          <w:highlight w:val="none"/>
        </w:rPr>
      </w:pPr>
      <w:r>
        <w:rPr>
          <w:rFonts w:hint="eastAsia" w:ascii="宋体" w:hAnsi="宋体" w:cs="宋体"/>
          <w:color w:val="000000" w:themeColor="text1"/>
          <w:sz w:val="24"/>
          <w:szCs w:val="24"/>
          <w:highlight w:val="none"/>
        </w:rPr>
        <w:t xml:space="preserve">19.2</w:t>
      </w:r>
      <w:r>
        <w:rPr>
          <w:rFonts w:hint="eastAsia" w:ascii="宋体" w:hAnsi="宋体" w:cs="宋体"/>
          <w:b/>
          <w:bCs/>
          <w:color w:val="000000" w:themeColor="text1"/>
          <w:sz w:val="24"/>
          <w:szCs w:val="24"/>
          <w:highlight w:val="none"/>
        </w:rPr>
        <w:t xml:space="preserve">投标人通过“苏采云”系统不见面开标大厅在线参与开标活动。（具体操作详见《苏采云系统供应商操作手册》，网址链接https：//czju.suzhou.gov.cn/zfcg/html/content/20231220161910031.shtml）</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20.投标截止时间</w:t>
      </w:r>
      <w:r/>
    </w:p>
    <w:p>
      <w:pPr>
        <w:spacing w:line="360" w:lineRule="auto"/>
        <w:tabs>
          <w:tab w:val="left" w:pos="9000" w:leader="none"/>
        </w:tabs>
        <w:rPr>
          <w:rFonts w:ascii="宋体" w:hAnsi="宋体" w:cs="宋体"/>
          <w:color w:val="000000" w:themeColor="text1"/>
          <w:szCs w:val="21"/>
          <w:highlight w:val="none"/>
        </w:rPr>
      </w:pPr>
      <w:r>
        <w:rPr>
          <w:rFonts w:hint="eastAsia" w:ascii="宋体" w:hAnsi="宋体" w:cs="宋体"/>
          <w:color w:val="000000" w:themeColor="text1"/>
          <w:sz w:val="24"/>
          <w:szCs w:val="24"/>
          <w:highlight w:val="none"/>
        </w:rPr>
        <w:t xml:space="preserve">20.1投标人电子投标文件制作完成后请于投标文件网上提交截止时间前成功上传至“苏采云”系统，否则视为放弃参加该采购项目。投标人提交投标文件的时间以系统收到上传的电子投标文件时间为准，投标人应充分考虑网络环境、网络带宽等风险因素，如因投标人自身原因造成的电子投标文件上传不成功由投标人自行承担全部责任。</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20.2采购人和采购代理机构推迟投标截止时间时，将按本须知规定的更正公告的方式对外发布。在这种情况下，采购人、采购代理机构和投标人的权利和义务将受到新的截止期的约束。</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20.3在投标截止时间止成功解密的投标文件少于三份，采购代理机构有权宣布本次招标失败。</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21.投标文件的补充、修改和撤回</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21.1投标人在投标文件网上提交截止时间前，可以对其电子投标文件进行补充、修改，具体操作方法见《苏采云系统供应商操作手册》。在投标文件网上提交截止时间之后，投标人不得对其电子投标文件作任何修改。</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21.2投标人在投标文件网上提交截止时间前，可以撤回其电子投标文件，具体操作方法见《苏采云系统供应商操作手册》。投标人撤回电子投标文件，则认为其不再参与本项目投标活动。在投标截止时间至招标文件中规定的投标有效期满之间的这段时间内，投标人不得撤回其投标。</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六、开标和评标</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22.开标</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22.1开标由采购代理机构在线主持，邀请投标人在线参加。投标人应当按照《苏采云系统供应商操作手册》规定，</w:t>
      </w:r>
      <w:r>
        <w:rPr>
          <w:rFonts w:hint="eastAsia" w:ascii="宋体" w:hAnsi="宋体" w:cs="宋体"/>
          <w:b/>
          <w:bCs/>
          <w:color w:val="000000" w:themeColor="text1"/>
          <w:sz w:val="24"/>
          <w:szCs w:val="24"/>
          <w:highlight w:val="none"/>
        </w:rPr>
        <w:t xml:space="preserve">参加开标活动和在“苏采云”系统规定的时间内对投标文件进行解密。</w:t>
      </w:r>
      <w:r>
        <w:rPr>
          <w:rFonts w:hint="eastAsia" w:ascii="宋体" w:hAnsi="宋体" w:cs="宋体"/>
          <w:color w:val="000000" w:themeColor="text1"/>
          <w:sz w:val="24"/>
          <w:szCs w:val="24"/>
          <w:highlight w:val="none"/>
        </w:rPr>
        <w:t xml:space="preserve">评标委员会成员不得参加开标活动。</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22.2开标时，由采购代理机构通过“苏采云”系统在线宣布投标人名称、投标价格和招标文件规定的需要宣布其他内容。投标人在不见面开标系统中确认投标价格，如投标人未在线参加开标或未在规定时间内确认价格的，视同认可开标结果。</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23.资格审查</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23.1公开招标采购项目开标结束后，采购人或者采购代理机构应当依法对投标人的资格进行审查，未通过资格审查的视为无效投标。</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23.2根据政府采购法及相关法规，以及苏州市财政局《关于印发苏州市市级政府采购信用记录查询和使用工作试行办法的通知》（苏财购〔2017〕11号）文件的规定，采购代理机构将对供应商进行信用查询：</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23.2.1查询时间：投标文件递交截止时间。</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23.2.2查询渠道：采购代理机构会在接收投标文件截止时间后，登录信用中国网站（www.creditchina.gov.cn）和中国政府采购网（www.ccgp.gov.cn/）查询供应商的信用记录，并将查询结果递交评标委员会。</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23.2.3查询证据留存方式：采购人、采购代理机构工作人员等应按照相关管理办法查询相关主体的信用记录，并保存好相关证据材料，信用查询记录及相关证据应当归入采购档案妥善保管。采购代理机构工作人员应登录来源网站页面进行复核并打印，作为证据留存。</w:t>
      </w:r>
      <w:r/>
    </w:p>
    <w:p>
      <w:pPr>
        <w:spacing w:line="360" w:lineRule="auto"/>
        <w:tabs>
          <w:tab w:val="left" w:pos="9000" w:leader="none"/>
        </w:tabs>
        <w:rPr>
          <w:rFonts w:ascii="宋体" w:hAnsi="宋体" w:cs="宋体"/>
          <w:b/>
          <w:bCs/>
          <w:color w:val="000000" w:themeColor="text1"/>
          <w:sz w:val="24"/>
          <w:szCs w:val="24"/>
          <w:highlight w:val="none"/>
        </w:rPr>
      </w:pPr>
      <w:r>
        <w:rPr>
          <w:rFonts w:hint="eastAsia" w:ascii="宋体" w:hAnsi="宋体" w:cs="宋体"/>
          <w:b/>
          <w:bCs/>
          <w:color w:val="000000" w:themeColor="text1"/>
          <w:sz w:val="24"/>
          <w:szCs w:val="24"/>
          <w:highlight w:val="none"/>
        </w:rPr>
        <w:t xml:space="preserve">23.3经查询，投标人被“信用中国”网站、“中国政府采购网”列入失信被执行人或重大税收违法案件当事人名单或政府采购严重失信行为记录名单，或查询“信用中国”网站、“中国政府采购网”后发现投标人存在其他不符合《中华人民共和国政府采购法》第二十二条规定条件的信用记录，其投标无效。</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24.评标委员会</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24.1评标委员会负责具体评标事务，并独立履行下列职责；</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24.1.1审查、评价投标文件是否符合招标文件的商务、技术等实质性要求；</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24.1.2要求投标人对投标文件有关事项作出澄清或者说明；</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24.1.3对投标文件进行比较和评价；</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24.1.4确定中标候选人名单，以及根据采购人委托直接确定中标人；</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24.1.5向采购人、采购代理机构或者有关部门报告评标中发现的违法行为。</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24.2评标委员会成员应当履行下列义务：</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24.2.1遵纪守法，客观、公正、廉洁地履行职责；</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24.2.2按照招标文件规定的评标办法和评标标准进行评标，对评标意见承担个人责任；</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24.2.3对评标过程和结果，以及投标人的商业秘密保密；</w:t>
      </w:r>
      <w:r/>
    </w:p>
    <w:p>
      <w:pPr>
        <w:pStyle w:val="1120"/>
        <w:ind w:firstLine="0"/>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24.2.4根据全体评标成员签字的原始评标记录和评标结果编写评标报告；</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24.2.5配合相关部门的投诉处理工作；</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24.2.6配合采购人、采购代理机构答复投标人提出的质疑。</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25.评标内容的保密</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25.1公开开标后，直到宣布授予中标人合同为止，凡属于审查、澄清、评价和比较投标的所有资料，有关授予合同的信息都不应向投标人或与评标无关的其他人泄露。</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25.2在投标文件的审查、澄清、评价和比较以及授予合同的过程中，投标人对采购人、采购代理机构和评标委员会成员施加影响的任何行为，都将取消其中标资格。</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26.对投标文件初审</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26.1评标委员会应当对符合资格的投标人的投标文件进行符合性审查，以确定其是否满足招标文件的实质性要求。投标文件有下列情况之一者评标委员会有权将其拒绝：</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26.1.1投标人的投标文件未按照本须知规定制作的；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26.1.2未按本须知规定提交资格文件；</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26.1.3与招标文件有重大偏离；</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26.1.4投标人拒绝修正错误；</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26.1.5投标人的报价是选择性的；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26.1.6投标人的报价只投了部分内容；</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26.1.7投标人的投标文件出现了评标委员会认为不应当雷同的情况；</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26.1.8其他被评委会认定无效的情况。</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26.2评标委员会将允许修改投标中不构成重大偏离的微小的、非正规、不一致或不规则的地方，但这些修改不能影响任何投标人的名次相应排列。投标人不得对招标文件进行实质性修改，包括但不限于付款方式、付款条件等条款，否则投标文件将被拒绝。</w:t>
      </w:r>
      <w:r/>
    </w:p>
    <w:p>
      <w:pPr>
        <w:pStyle w:val="1120"/>
        <w:ind w:firstLine="0"/>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lang w:val="en-US"/>
        </w:rPr>
        <w:t xml:space="preserve">26.3投标文件报价出现前后不一致的，除招标文件另有规定外，按照下列规定修正：</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26.3.1投标文件中开标一览表（报价表）内容与投标文件中相应内容不一致的，以开标一览表（报价表）为准；</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26.3.2大写金额和小写金额不一致的，以大写金额为准；</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26.3.3单价金额小数点或者百分比有明显错位的，以开标一览表的总价为准，并修改单价；</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26.3.4总价金额与按单价汇总金额不一致的，以单价金额计算结果为准。</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26.3.5同时出现两种以上不一致的，按照前款规定的顺序修正。修正后的报价按照本须知相关规定经投标人确认后产生约束力，投标人不确认的，其投标无效。</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26.4</w:t>
      </w:r>
      <w:bookmarkStart w:id="0" w:name="OLE_LINK20"/>
      <w:r/>
      <w:bookmarkStart w:id="1" w:name="OLE_LINK11"/>
      <w:r/>
      <w:bookmarkStart w:id="2" w:name="OLE_LINK25"/>
      <w:r>
        <w:rPr>
          <w:rFonts w:hint="eastAsia" w:ascii="宋体" w:hAnsi="宋体" w:cs="宋体"/>
          <w:color w:val="000000" w:themeColor="text1"/>
          <w:sz w:val="24"/>
          <w:szCs w:val="24"/>
          <w:highlight w:val="none"/>
        </w:rPr>
        <w:t xml:space="preserve">异常低价投标审查</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26.4.1评标过程中出现下列情形之一的，</w:t>
      </w:r>
      <w:bookmarkStart w:id="3" w:name="OLE_LINK5"/>
      <w:r>
        <w:rPr>
          <w:rFonts w:hint="eastAsia" w:ascii="宋体" w:hAnsi="宋体" w:cs="宋体"/>
          <w:color w:val="000000" w:themeColor="text1"/>
          <w:sz w:val="24"/>
          <w:szCs w:val="24"/>
          <w:highlight w:val="none"/>
        </w:rPr>
        <w:t xml:space="preserve">评标</w:t>
      </w:r>
      <w:bookmarkEnd w:id="3"/>
      <w:r>
        <w:rPr>
          <w:rFonts w:hint="eastAsia" w:ascii="宋体" w:hAnsi="宋体" w:cs="宋体"/>
          <w:color w:val="000000" w:themeColor="text1"/>
          <w:sz w:val="24"/>
          <w:szCs w:val="24"/>
          <w:highlight w:val="none"/>
        </w:rPr>
        <w:t xml:space="preserve">委员会应当启动异常低价投标审查程序：</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（一）投标报价低于采购项目预算50%的，即投标报价&lt;采购项目预算×50%&gt;；</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（二）投标报价低于采购项目最高限价45%的，即投标报价&lt;采购项目最高限价×45%&gt;；</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（三）评标委员会认定的供应商报价过低、有可能影响产品质量或者不能诚信履约的其他情形。</w:t>
      </w:r>
      <w:r/>
    </w:p>
    <w:p>
      <w:pPr>
        <w:spacing w:line="360" w:lineRule="auto"/>
        <w:tabs>
          <w:tab w:val="left" w:pos="9000" w:leader="none"/>
        </w:tabs>
        <w:rPr>
          <w:rFonts w:ascii="宋体" w:hAnsi="宋体" w:cs="宋体"/>
          <w:color w:val="000000" w:themeColor="text1"/>
          <w:sz w:val="24"/>
          <w:szCs w:val="24"/>
          <w:highlight w:val="none"/>
        </w:rPr>
      </w:pPr>
      <w:r/>
      <w:bookmarkStart w:id="4" w:name="OLE_LINK3"/>
      <w:r/>
      <w:bookmarkStart w:id="5" w:name="OLE_LINK4"/>
      <w:r>
        <w:rPr>
          <w:rFonts w:hint="eastAsia" w:ascii="宋体" w:hAnsi="宋体" w:cs="宋体"/>
          <w:color w:val="000000" w:themeColor="text1"/>
          <w:sz w:val="24"/>
          <w:szCs w:val="24"/>
          <w:highlight w:val="none"/>
        </w:rPr>
        <w:t xml:space="preserve">26.4.2启动异常低价投标审查后，评标委员会应当要求相关供应商在评标现场合理的时间内，提供项目具体成本测算等与报价合理性相关的书面说明及相关证明材料</w:t>
      </w:r>
      <w:bookmarkStart w:id="6" w:name="OLE_LINK9"/>
      <w:r/>
      <w:bookmarkStart w:id="7" w:name="OLE_LINK10"/>
      <w:r>
        <w:rPr>
          <w:rFonts w:hint="eastAsia" w:ascii="宋体" w:hAnsi="宋体" w:cs="宋体"/>
          <w:color w:val="000000" w:themeColor="text1"/>
          <w:sz w:val="24"/>
          <w:szCs w:val="24"/>
          <w:highlight w:val="none"/>
        </w:rPr>
        <w:t xml:space="preserve">，</w:t>
      </w:r>
      <w:bookmarkEnd w:id="6"/>
      <w:r/>
      <w:bookmarkEnd w:id="7"/>
      <w:r>
        <w:rPr>
          <w:rFonts w:hint="eastAsia" w:ascii="宋体" w:hAnsi="宋体" w:cs="宋体"/>
          <w:color w:val="000000" w:themeColor="text1"/>
          <w:sz w:val="24"/>
          <w:szCs w:val="24"/>
          <w:highlight w:val="none"/>
        </w:rPr>
        <w:t xml:space="preserve">对投标价格作出解释，由评标委员会结合同类产品在主要电商平台的价格、该行业当地</w:t>
      </w:r>
      <w:bookmarkStart w:id="8" w:name="OLE_LINK8"/>
      <w:r>
        <w:rPr>
          <w:rFonts w:hint="eastAsia" w:ascii="宋体" w:hAnsi="宋体" w:cs="宋体"/>
          <w:color w:val="000000" w:themeColor="text1"/>
          <w:sz w:val="24"/>
          <w:szCs w:val="24"/>
          <w:highlight w:val="none"/>
        </w:rPr>
        <w:t xml:space="preserve">薪资</w:t>
      </w:r>
      <w:bookmarkEnd w:id="8"/>
      <w:r>
        <w:rPr>
          <w:rFonts w:hint="eastAsia" w:ascii="宋体" w:hAnsi="宋体" w:cs="宋体"/>
          <w:color w:val="000000" w:themeColor="text1"/>
          <w:sz w:val="24"/>
          <w:szCs w:val="24"/>
          <w:highlight w:val="none"/>
        </w:rPr>
        <w:t xml:space="preserve">水平等情况，依据专业经验对供应商报价合理性进行判断。投标供应商不提供书面说明、证明材料，或者提供的书面说明、证明材料不能证明其报价合理性的，评标委员会应当将其作为无效投标处理。审查相关情况应当在评审报告中进行记录。</w:t>
      </w:r>
      <w:bookmarkEnd w:id="0"/>
      <w:r/>
      <w:bookmarkEnd w:id="4"/>
      <w:r/>
      <w:bookmarkEnd w:id="5"/>
      <w:r/>
      <w:bookmarkEnd w:id="1"/>
      <w:r/>
      <w:bookmarkEnd w:id="2"/>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26.5评标委员会成员对需要共同认定的事项存在争议的，应当按照少数服从多数的原则作出结论。持不同意见的评标委员会成员应当在评标报告上签署不同意见及理由，否则视为同意评标报告。</w:t>
      </w:r>
      <w:r/>
    </w:p>
    <w:p>
      <w:pPr>
        <w:spacing w:line="360" w:lineRule="auto"/>
        <w:tabs>
          <w:tab w:val="left" w:pos="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26.6除上述情形外，对投标文件的判定，只依据投标文件本身，不依靠开标后的任何外来证明。</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26.7对不同文字文本投标文件的解释发生异议的，以中文文本为准。</w:t>
      </w:r>
      <w:r/>
    </w:p>
    <w:p>
      <w:pPr>
        <w:spacing w:line="360" w:lineRule="auto"/>
        <w:tabs>
          <w:tab w:val="left" w:pos="9000" w:leader="none"/>
        </w:tabs>
        <w:rPr>
          <w:rFonts w:ascii="宋体" w:hAnsi="宋体" w:cs="宋体"/>
          <w:b/>
          <w:bCs/>
          <w:color w:val="000000" w:themeColor="text1"/>
          <w:sz w:val="24"/>
          <w:szCs w:val="24"/>
          <w:highlight w:val="none"/>
        </w:rPr>
      </w:pPr>
      <w:r>
        <w:rPr>
          <w:rFonts w:hint="eastAsia" w:ascii="宋体" w:hAnsi="宋体" w:cs="宋体"/>
          <w:b/>
          <w:bCs/>
          <w:color w:val="000000" w:themeColor="text1"/>
          <w:sz w:val="24"/>
          <w:szCs w:val="24"/>
          <w:highlight w:val="none"/>
        </w:rPr>
        <w:t xml:space="preserve">27.投标的澄清</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27.1对于投标文件中含义不明确、同类问题表述不一致或者有明显文字和计算错误内容，评标委员会应当以书面形式要求投标人作出必要的澄清、说明或者补正。</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27.2投标人的澄清、说明或者补正应当采用书面形式，并加盖其单位电子公章。投标人的澄清、说明或者补正不得超出投标文件的范围或者改变投标文件的实质性内容。</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b/>
          <w:bCs/>
          <w:color w:val="000000" w:themeColor="text1"/>
          <w:sz w:val="24"/>
          <w:szCs w:val="24"/>
          <w:highlight w:val="none"/>
        </w:rPr>
        <w:t xml:space="preserve">27.3本项目投标人的澄清、说明或者补正采用线上澄清：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此处规定时间的计算以系统中的倒计时间为准，</w:t>
      </w:r>
      <w:r>
        <w:rPr>
          <w:rFonts w:hint="eastAsia" w:ascii="宋体" w:hAnsi="宋体" w:cs="宋体"/>
          <w:color w:val="000000" w:themeColor="text1"/>
          <w:sz w:val="24"/>
          <w:szCs w:val="24"/>
          <w:highlight w:val="none"/>
        </w:rPr>
        <w:t xml:space="preserve">供应商应随时保持系统在线，如因供应商自身原因未在规定时间内提交澄清确认资料的，导致的不利后果由供应商自行承担。</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28.投标无效</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28.1投标人存在下列情况之一的，投标无效：</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28.1.1投标文件未按招标文件要求签署、盖章的；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28.1.2不具备招标文件中规定的资格要求的；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28.1.3报价超过招标文件中规定的预算金额或者最高限价的；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28.1.4投标文件含有采购人不能接受的附加条件的；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28.1.5机器码检查中，出现不同投标人投标文件机器码一致情形的；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28.1.6法律、法规和招标文件规定的其他无效情形。</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28.2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28.3有下列情形之一的，视为投标人串通投标，其投标无效：</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28.3.1不同投标人的投标文件由同一单位或者个人编制；</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28.3.2不同投标人委托同一单位或者个人办理投标事宜；</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28.3.3不同投标人的投标文件载明的项目管理成员或者联系人员为同一人；</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28.3.4不同投标人的投标文件异常一致或者投标报价呈规律性差异；</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28.3.5不同投标人的投标文件相互混装。</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29.废标</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29.1在招标过程中，出现下列情况之一的，应予废标：</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29.1.1符合专业条件的供应商或者对招标文件作实质投标的供应商不足三家的；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29.1.2出现影响采购公正的违法、违规行为的；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29.1.3投标人的报价均超过了采购预算，采购人不能支付的；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28.1.4因重大变故，采购任务取消的；</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29.2废标后，采购人和采购代理机构将把废标的理由通知所有投标人。</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30.投标文件的评价和比较</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30.1采用综合评分法，评标结果按评审后得分由高到低顺序排列。得分相同的，按投标报价由低到高顺序排列。得分且投标报价相同的并列，则由评标委员会组织抽签确定中标人。投标文件满足招标文件全部实质性要求，且按照评审因素的量化指标评审得分最高的投标人为排名第一的中标候选人。</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30.2最低的投标报价或最高的折扣比例是中标的重要条件，但不是唯一条件。</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七、授予合同</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31.中标单位的确认</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31.1评标委员会根据投标人资格审查情况，对投标文件进行评价和比较，按照评标办法和标准进行评标，并确定中标人。</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31.2经评标委员会评审并确定中标人后，采购代理机构将在规定的时间内将中标结果在政府采购管理部门指定媒体上予以公告，公告期为一个工作日。各投标人如对中标公告有异议，应在中标公告期届满起七个工作日内，以书面形式向采购代理机构提出质疑，该质疑须按《政府采购质疑和投诉办法</w:t>
      </w:r>
      <w:r>
        <w:rPr>
          <w:rFonts w:hint="eastAsia" w:ascii="宋体" w:hAnsi="宋体" w:cs="宋体"/>
          <w:color w:val="000000" w:themeColor="text1"/>
          <w:sz w:val="24"/>
          <w:szCs w:val="24"/>
          <w:highlight w:val="none"/>
          <w:lang w:eastAsia="zh-CN"/>
        </w:rPr>
        <w:t xml:space="preserve">》和</w:t>
      </w:r>
      <w:r>
        <w:rPr>
          <w:rFonts w:hint="eastAsia" w:ascii="宋体" w:hAnsi="宋体" w:cs="宋体"/>
          <w:color w:val="000000" w:themeColor="text1"/>
          <w:sz w:val="24"/>
          <w:szCs w:val="24"/>
          <w:highlight w:val="none"/>
        </w:rPr>
        <w:t xml:space="preserve">《江苏省政府采购供应商监督管理暂行办法》的规定提交。采购代理机构将在收到质疑后七个工作日内，对质疑内容作出答复。在此期限后向采购代理机构提出质疑或质疑未经投标人法定代表人或参加投标的代理人签署和加盖公章（原件），采购代理机构有权对该质疑不予答复。</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32.合同授予：采购人、采购代理机构将把合同授予其投标文件在实质性响应招标文件要求和按本须知规定评选出的投标人。确定为中标的投标人必须具有实施本合同的能力和资源。</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33.中标通知书/未中标通知书</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33.1确定出中标人后，在法定时间内向中标人发出中标通知书。</w:t>
      </w:r>
      <w:r>
        <w:rPr>
          <w:rFonts w:hint="eastAsia" w:ascii="宋体" w:hAnsi="宋体" w:cs="宋体"/>
          <w:b/>
          <w:bCs/>
          <w:color w:val="000000" w:themeColor="text1"/>
          <w:sz w:val="24"/>
          <w:szCs w:val="24"/>
          <w:highlight w:val="none"/>
        </w:rPr>
        <w:t xml:space="preserve">请中标人在中标结果公告届满之日起30日内，使用CA证书登录“苏采云”系统及时下载中标通知书。</w:t>
      </w:r>
      <w:r>
        <w:rPr>
          <w:rFonts w:hint="eastAsia" w:ascii="宋体" w:hAnsi="宋体" w:cs="宋体"/>
          <w:color w:val="000000" w:themeColor="text1"/>
          <w:sz w:val="24"/>
          <w:szCs w:val="24"/>
          <w:highlight w:val="none"/>
        </w:rPr>
        <w:t xml:space="preserve">因系统存储空间有限，自中标结果公告届满之日起30日后，“苏采云”系统不再保证提供下载中标通知书服务，因未及时下载而造成的不利后果由中标人自行承担。</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33.2中标通知书将成为合同的组成部分，对采购人和中标人具有同等法律效力。</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33.3中标通知书发出后，采购人不得违法改变中标结果，中标人无正当理由不得放弃中标。</w:t>
      </w:r>
      <w:r/>
    </w:p>
    <w:p>
      <w:pPr>
        <w:pStyle w:val="1124"/>
        <w:ind w:left="0"/>
        <w:rPr>
          <w:color w:val="000000" w:themeColor="text1"/>
          <w:highlight w:val="none"/>
        </w:rPr>
      </w:pPr>
      <w:r>
        <w:rPr>
          <w:rFonts w:hint="eastAsia" w:ascii="宋体" w:hAnsi="宋体" w:cs="宋体"/>
          <w:color w:val="000000" w:themeColor="text1"/>
          <w:sz w:val="24"/>
          <w:szCs w:val="24"/>
          <w:highlight w:val="none"/>
        </w:rPr>
        <w:t xml:space="preserve">33.4未中标通知书将以邮件方式发送。</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33.5采购代理机构对未中标人不承担解释未中标原因的义务。</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34.合同的签订</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34.1按照《关于印发〈苏州市政府采购促进中小企业发展实施意见〉的通知》（苏财购〔2022〕16号）文件精神，采购人与中标人原则上应当在中标通知书发出之日起十五日内，按照招标文件及投标文件确定的事项签订政府采购合同。</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34.2采购人和中标人所签订的合同不得对招标文件确定的事项和中标人投标文件作实质性修改。</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34.3招标文件、中标人的投标文件及招标过程中有关澄清、承诺文件均应作为合同附件，采购人不得向中标人提出任何不合理的要求作为签订合同的条件。</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34.4招标文件、中标人的投标文件及招标过程中有关澄清、承诺文件均应作为合同附件。</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34.5政府采购合同履行中，采购人需追加与合同标的相同货物、工程或者服务的，在不改变合同其他条款的前提下，可以与中标人协商签订补充合同，但所有补充合同的采购金额不得超过原合同采购金额的10%。</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34.6采购人和中标人应当根据合同的约定依法履行合同义务。</w:t>
      </w:r>
      <w:r/>
    </w:p>
    <w:p>
      <w:pPr>
        <w:spacing w:line="360" w:lineRule="auto"/>
        <w:tabs>
          <w:tab w:val="left" w:pos="900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八、其他事项</w:t>
      </w:r>
      <w:r/>
    </w:p>
    <w:p>
      <w:pPr>
        <w:jc w:val="left"/>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35.中标人须按前附表的规定计算并支付中标服务费，该费用应在领取中标通知书时一次性付清，如果未按规定缴纳中标服务费，采购代理机构保留诉讼的权利。</w:t>
      </w:r>
      <w:r/>
    </w:p>
    <w:p>
      <w:pPr>
        <w:jc w:val="left"/>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36.有关监督部门将对招投标全过程进行监督。</w:t>
      </w:r>
      <w:r/>
    </w:p>
    <w:p>
      <w:pPr>
        <w:spacing w:line="360" w:lineRule="auto"/>
        <w:rPr>
          <w:rFonts w:ascii="宋体" w:hAnsi="宋体" w:cs="宋体"/>
          <w:color w:val="000000" w:themeColor="text1"/>
          <w:sz w:val="24"/>
          <w:szCs w:val="24"/>
          <w:highlight w:val="none"/>
        </w:rPr>
      </w:pPr>
      <w:r>
        <w:rPr>
          <w:rFonts w:hint="eastAsia" w:ascii="宋体" w:hAnsi="宋体"/>
          <w:color w:val="000000" w:themeColor="text1"/>
          <w:sz w:val="24"/>
          <w:highlight w:val="none"/>
        </w:rPr>
        <w:t xml:space="preserve">37.未尽事宜按《中华人民共和国政府采购法》及其他有关法律法规规定执行</w:t>
      </w:r>
      <w:r>
        <w:rPr>
          <w:rFonts w:hint="eastAsia" w:ascii="宋体" w:hAnsi="宋体" w:cs="宋体"/>
          <w:color w:val="000000" w:themeColor="text1"/>
          <w:sz w:val="24"/>
          <w:szCs w:val="24"/>
          <w:highlight w:val="none"/>
        </w:rPr>
        <w:t xml:space="preserve">。</w:t>
      </w:r>
      <w:r/>
    </w:p>
    <w:p>
      <w:pPr>
        <w:ind w:firstLine="1200"/>
        <w:spacing w:line="360" w:lineRule="auto"/>
        <w:rPr>
          <w:rFonts w:ascii="宋体" w:hAnsi="宋体" w:cs="宋体"/>
          <w:bCs/>
          <w:color w:val="000000" w:themeColor="text1"/>
          <w:sz w:val="24"/>
          <w:szCs w:val="24"/>
          <w:highlight w:val="none"/>
        </w:rPr>
        <w:sectPr>
          <w:headerReference w:type="default" r:id="rId15"/>
          <w:headerReference w:type="even" r:id="rId16"/>
          <w:headerReference w:type="first" r:id="rId17"/>
          <w:footerReference w:type="default" r:id="rId23"/>
          <w:footnotePr/>
          <w:endnotePr/>
          <w:type w:val="nextPage"/>
          <w:pgSz w:w="11906" w:h="16838" w:orient="portrait"/>
          <w:pgMar w:top="1440" w:right="1486" w:bottom="1440" w:left="1800" w:header="851" w:footer="992" w:gutter="0"/>
          <w:cols w:num="1" w:sep="0" w:space="1701" w:equalWidth="1"/>
          <w:docGrid w:linePitch="360"/>
        </w:sectPr>
        <w:outlineLvl w:val="0"/>
      </w:pPr>
      <w:r>
        <w:rPr>
          <w:rFonts w:ascii="宋体" w:hAnsi="宋体" w:cs="宋体"/>
          <w:bCs/>
          <w:color w:val="000000" w:themeColor="text1"/>
          <w:sz w:val="24"/>
          <w:szCs w:val="24"/>
          <w:highlight w:val="none"/>
        </w:rPr>
      </w:r>
      <w:r/>
    </w:p>
    <w:p>
      <w:pPr>
        <w:ind w:firstLine="2200"/>
        <w:spacing w:line="360" w:lineRule="auto"/>
        <w:rPr>
          <w:rFonts w:ascii="宋体" w:hAnsi="宋体" w:cs="宋体"/>
          <w:b/>
          <w:color w:val="000000" w:themeColor="text1"/>
          <w:sz w:val="44"/>
          <w:szCs w:val="44"/>
          <w:highlight w:val="none"/>
        </w:rPr>
        <w:outlineLvl w:val="0"/>
      </w:pPr>
      <w:r>
        <w:rPr>
          <w:rFonts w:hint="eastAsia" w:ascii="宋体" w:hAnsi="宋体" w:cs="宋体"/>
          <w:bCs/>
          <w:color w:val="000000" w:themeColor="text1"/>
          <w:sz w:val="44"/>
          <w:szCs w:val="32"/>
          <w:highlight w:val="none"/>
        </w:rPr>
        <w:t xml:space="preserve">第三章 投标文件格式</w:t>
      </w:r>
      <w:r/>
    </w:p>
    <w:p>
      <w:pPr>
        <w:spacing w:line="440" w:lineRule="exact"/>
        <w:rPr>
          <w:rFonts w:ascii="宋体" w:hAnsi="宋体" w:cs="宋体"/>
          <w:color w:val="000000" w:themeColor="text1"/>
          <w:szCs w:val="21"/>
          <w:highlight w:val="none"/>
        </w:rPr>
      </w:pPr>
      <w:r>
        <w:rPr>
          <w:rFonts w:ascii="宋体" w:hAnsi="宋体" w:cs="宋体"/>
          <w:color w:val="000000" w:themeColor="text1"/>
          <w:szCs w:val="21"/>
          <w:highlight w:val="none"/>
        </w:rPr>
      </w:r>
      <w:r/>
    </w:p>
    <w:p>
      <w:pPr>
        <w:spacing w:line="44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说明：</w:t>
      </w:r>
      <w:r/>
    </w:p>
    <w:p>
      <w:pPr>
        <w:ind w:firstLine="435"/>
        <w:spacing w:line="44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对本章所有的投标书格式，投标方可根据自身情况进行补充和修改，但补充和修改不得造成与本格式内容有实质性的违背。</w:t>
      </w:r>
      <w:r/>
    </w:p>
    <w:p>
      <w:pPr>
        <w:jc w:val="left"/>
        <w:rPr>
          <w:rFonts w:ascii="宋体" w:hAnsi="宋体" w:cs="宋体"/>
          <w:color w:val="000000" w:themeColor="text1"/>
          <w:sz w:val="24"/>
          <w:highlight w:val="none"/>
        </w:rPr>
      </w:pPr>
      <w:r>
        <w:rPr>
          <w:rFonts w:ascii="宋体" w:hAnsi="宋体" w:cs="宋体"/>
          <w:color w:val="000000" w:themeColor="text1"/>
          <w:sz w:val="24"/>
          <w:highlight w:val="none"/>
        </w:rPr>
      </w:r>
      <w:r/>
    </w:p>
    <w:p>
      <w:pPr>
        <w:jc w:val="left"/>
        <w:rPr>
          <w:rFonts w:ascii="宋体" w:hAnsi="宋体" w:cs="宋体"/>
          <w:color w:val="000000" w:themeColor="text1"/>
          <w:sz w:val="24"/>
          <w:highlight w:val="none"/>
        </w:rPr>
      </w:pPr>
      <w:r>
        <w:rPr>
          <w:rFonts w:ascii="宋体" w:hAnsi="宋体" w:cs="宋体"/>
          <w:color w:val="000000" w:themeColor="text1"/>
          <w:sz w:val="24"/>
          <w:highlight w:val="none"/>
        </w:rPr>
      </w:r>
      <w:r/>
    </w:p>
    <w:p>
      <w:pPr>
        <w:jc w:val="left"/>
        <w:rPr>
          <w:rFonts w:ascii="宋体" w:hAnsi="宋体" w:cs="宋体"/>
          <w:color w:val="000000" w:themeColor="text1"/>
          <w:sz w:val="24"/>
          <w:highlight w:val="none"/>
        </w:rPr>
      </w:pPr>
      <w:r>
        <w:rPr>
          <w:rFonts w:ascii="宋体" w:hAnsi="宋体" w:cs="宋体"/>
          <w:color w:val="000000" w:themeColor="text1"/>
          <w:sz w:val="24"/>
          <w:highlight w:val="none"/>
        </w:rPr>
      </w:r>
      <w:r/>
    </w:p>
    <w:p>
      <w:pPr>
        <w:jc w:val="left"/>
        <w:spacing w:line="360" w:lineRule="auto"/>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 xml:space="preserve">1、（投标方）法定代表人授权委托书</w:t>
      </w:r>
      <w:r/>
    </w:p>
    <w:p>
      <w:pPr>
        <w:jc w:val="left"/>
        <w:rPr>
          <w:rFonts w:ascii="宋体" w:hAnsi="宋体" w:cs="宋体"/>
          <w:color w:val="000000" w:themeColor="text1"/>
          <w:sz w:val="24"/>
          <w:highlight w:val="none"/>
        </w:rPr>
      </w:pPr>
      <w:r>
        <w:rPr>
          <w:rFonts w:ascii="宋体" w:hAnsi="宋体" w:cs="宋体"/>
          <w:color w:val="000000" w:themeColor="text1"/>
          <w:sz w:val="24"/>
          <w:highlight w:val="none"/>
        </w:rPr>
      </w:r>
      <w:r/>
    </w:p>
    <w:p>
      <w:pPr>
        <w:spacing w:line="400" w:lineRule="exact"/>
        <w:rPr>
          <w:rFonts w:ascii="宋体" w:hAnsi="宋体" w:cs="宋体"/>
          <w:color w:val="000000" w:themeColor="text1"/>
          <w:sz w:val="24"/>
          <w:highlight w:val="none"/>
        </w:rPr>
      </w:pPr>
      <w:r>
        <w:rPr>
          <w:rFonts w:ascii="宋体" w:hAnsi="宋体" w:cs="宋体"/>
          <w:color w:val="000000" w:themeColor="text1"/>
          <w:sz w:val="24"/>
          <w:highlight w:val="none"/>
        </w:rPr>
      </w:r>
      <w:r/>
    </w:p>
    <w:p>
      <w:pPr>
        <w:jc w:val="center"/>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授权委托书</w:t>
      </w:r>
      <w:r/>
    </w:p>
    <w:p>
      <w:pPr>
        <w:ind w:firstLine="420"/>
        <w:jc w:val="left"/>
        <w:spacing w:line="360" w:lineRule="auto"/>
        <w:rPr>
          <w:rFonts w:ascii="宋体" w:hAnsi="宋体" w:cs="宋体"/>
          <w:color w:val="000000" w:themeColor="text1"/>
          <w:sz w:val="24"/>
          <w:highlight w:val="none"/>
        </w:rPr>
      </w:pPr>
      <w:r>
        <w:rPr>
          <w:rFonts w:ascii="宋体" w:hAnsi="宋体" w:cs="宋体"/>
          <w:color w:val="000000" w:themeColor="text1"/>
          <w:sz w:val="24"/>
          <w:highlight w:val="none"/>
        </w:rPr>
      </w:r>
      <w:r/>
    </w:p>
    <w:p>
      <w:pPr>
        <w:ind w:firstLine="420"/>
        <w:jc w:val="left"/>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本授权委托书声明：我</w:t>
      </w:r>
      <w:r>
        <w:rPr>
          <w:rFonts w:hint="eastAsia" w:ascii="宋体" w:hAnsi="宋体" w:cs="宋体"/>
          <w:color w:val="000000" w:themeColor="text1"/>
          <w:sz w:val="24"/>
          <w:highlight w:val="none"/>
          <w:u w:val="single"/>
        </w:rPr>
        <w:t xml:space="preserve">  （姓名）</w:t>
      </w:r>
      <w:r>
        <w:rPr>
          <w:rFonts w:hint="eastAsia" w:ascii="宋体" w:hAnsi="宋体" w:cs="宋体"/>
          <w:color w:val="000000" w:themeColor="text1"/>
          <w:sz w:val="24"/>
          <w:highlight w:val="none"/>
        </w:rPr>
        <w:t xml:space="preserve">系</w:t>
      </w:r>
      <w:r>
        <w:rPr>
          <w:rFonts w:hint="eastAsia" w:ascii="宋体" w:hAnsi="宋体" w:cs="宋体"/>
          <w:color w:val="000000" w:themeColor="text1"/>
          <w:sz w:val="24"/>
          <w:highlight w:val="none"/>
          <w:u w:val="single"/>
        </w:rPr>
        <w:t xml:space="preserve">  （投标单位名称）  </w:t>
      </w:r>
      <w:r>
        <w:rPr>
          <w:rFonts w:hint="eastAsia" w:ascii="宋体" w:hAnsi="宋体" w:cs="宋体"/>
          <w:color w:val="000000" w:themeColor="text1"/>
          <w:sz w:val="24"/>
          <w:highlight w:val="none"/>
        </w:rPr>
        <w:t xml:space="preserve">的法定代表人，现授权委托</w:t>
      </w:r>
      <w:r>
        <w:rPr>
          <w:rFonts w:hint="eastAsia" w:ascii="宋体" w:hAnsi="宋体" w:cs="宋体"/>
          <w:color w:val="000000" w:themeColor="text1"/>
          <w:sz w:val="24"/>
          <w:highlight w:val="none"/>
          <w:u w:val="single"/>
        </w:rPr>
        <w:t xml:space="preserve">  （单位名称）  </w:t>
      </w:r>
      <w:r>
        <w:rPr>
          <w:rFonts w:hint="eastAsia" w:ascii="宋体" w:hAnsi="宋体" w:cs="宋体"/>
          <w:color w:val="000000" w:themeColor="text1"/>
          <w:sz w:val="24"/>
          <w:highlight w:val="none"/>
        </w:rPr>
        <w:t xml:space="preserve">的</w:t>
      </w:r>
      <w:r>
        <w:rPr>
          <w:rFonts w:hint="eastAsia" w:ascii="宋体" w:hAnsi="宋体" w:cs="宋体"/>
          <w:color w:val="000000" w:themeColor="text1"/>
          <w:sz w:val="24"/>
          <w:highlight w:val="none"/>
          <w:u w:val="single"/>
        </w:rPr>
        <w:t xml:space="preserve">  （姓名）  </w:t>
      </w:r>
      <w:r>
        <w:rPr>
          <w:rFonts w:hint="eastAsia" w:ascii="宋体" w:hAnsi="宋体" w:cs="宋体"/>
          <w:color w:val="000000" w:themeColor="text1"/>
          <w:sz w:val="24"/>
          <w:highlight w:val="none"/>
        </w:rPr>
        <w:t xml:space="preserve">为我公司被授权人，以本公司的名义参加苏州时代招投标有限公司组织实施的编号为</w:t>
      </w:r>
      <w:r>
        <w:rPr>
          <w:rFonts w:hint="eastAsia" w:ascii="宋体" w:hAnsi="宋体" w:cs="宋体"/>
          <w:color w:val="000000" w:themeColor="text1"/>
          <w:sz w:val="24"/>
          <w:highlight w:val="none"/>
          <w:u w:val="single"/>
        </w:rPr>
        <w:t xml:space="preserve">  （招标编号）  </w:t>
      </w:r>
      <w:r>
        <w:rPr>
          <w:rFonts w:hint="eastAsia" w:ascii="宋体" w:hAnsi="宋体" w:cs="宋体"/>
          <w:color w:val="000000" w:themeColor="text1"/>
          <w:sz w:val="24"/>
          <w:highlight w:val="none"/>
        </w:rPr>
        <w:t xml:space="preserve">号的招标活动。被授权人在开标、评标、合同谈判过程中所签署的一切文件和处理与此有关的一切事务，我均予以承认。</w:t>
      </w:r>
      <w:r/>
    </w:p>
    <w:p>
      <w:pPr>
        <w:ind w:firstLine="420"/>
        <w:jc w:val="left"/>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被授权人在授权委托书有效期内签署的所有文件不因授权委托的撤销而失效，除非有撤销授权委托的书面通知，本授权委托书自投标开始至合同履行完毕止。</w:t>
      </w:r>
      <w:r/>
    </w:p>
    <w:p>
      <w:pPr>
        <w:ind w:firstLine="420"/>
        <w:jc w:val="left"/>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被授权人无转委托权。特此委托。</w:t>
      </w:r>
      <w:r/>
    </w:p>
    <w:p>
      <w:pPr>
        <w:ind w:firstLine="420"/>
        <w:jc w:val="left"/>
        <w:spacing w:line="360" w:lineRule="auto"/>
        <w:rPr>
          <w:rFonts w:ascii="宋体" w:hAnsi="宋体" w:cs="宋体"/>
          <w:color w:val="000000" w:themeColor="text1"/>
          <w:sz w:val="24"/>
          <w:highlight w:val="none"/>
        </w:rPr>
      </w:pPr>
      <w:r>
        <w:rPr>
          <w:rFonts w:ascii="宋体" w:hAnsi="宋体" w:cs="宋体"/>
          <w:color w:val="000000" w:themeColor="text1"/>
          <w:sz w:val="24"/>
          <w:highlight w:val="none"/>
        </w:rPr>
      </w:r>
      <w:r/>
    </w:p>
    <w:p>
      <w:pPr>
        <w:ind w:firstLine="420"/>
        <w:jc w:val="left"/>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投标单位：（盖章）</w:t>
      </w:r>
      <w:r/>
    </w:p>
    <w:p>
      <w:pPr>
        <w:ind w:firstLine="420"/>
        <w:jc w:val="left"/>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法定代表人：（签字或盖章）</w:t>
      </w:r>
      <w:r/>
    </w:p>
    <w:p>
      <w:pPr>
        <w:ind w:firstLine="420"/>
        <w:jc w:val="left"/>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被授权人：（签字）</w:t>
      </w:r>
      <w:r/>
    </w:p>
    <w:p>
      <w:pPr>
        <w:ind w:firstLine="420"/>
        <w:jc w:val="right"/>
        <w:rPr>
          <w:rFonts w:ascii="宋体" w:hAnsi="宋体" w:cs="宋体"/>
          <w:color w:val="000000" w:themeColor="text1"/>
          <w:sz w:val="24"/>
          <w:highlight w:val="none"/>
        </w:rPr>
      </w:pPr>
      <w:r>
        <w:rPr>
          <w:rFonts w:ascii="宋体" w:hAnsi="宋体" w:cs="宋体"/>
          <w:color w:val="000000" w:themeColor="text1"/>
          <w:sz w:val="24"/>
          <w:highlight w:val="none"/>
        </w:rPr>
      </w:r>
      <w:r/>
    </w:p>
    <w:p>
      <w:pPr>
        <w:ind w:firstLine="420"/>
        <w:jc w:val="lef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日期：    年     月     日</w:t>
      </w:r>
      <w:r/>
    </w:p>
    <w:p>
      <w:pPr>
        <w:jc w:val="left"/>
        <w:spacing w:line="360" w:lineRule="auto"/>
        <w:rPr>
          <w:rFonts w:ascii="宋体" w:hAnsi="宋体" w:cs="宋体"/>
          <w:color w:val="000000" w:themeColor="text1"/>
          <w:sz w:val="28"/>
          <w:szCs w:val="28"/>
          <w:highlight w:val="none"/>
        </w:rPr>
      </w:pPr>
      <w:r>
        <w:rPr>
          <w:rFonts w:hint="eastAsia" w:ascii="宋体" w:hAnsi="宋体" w:cs="宋体"/>
          <w:color w:val="000000" w:themeColor="text1"/>
          <w:sz w:val="24"/>
          <w:szCs w:val="20"/>
          <w:highlight w:val="none"/>
        </w:rPr>
        <w:br w:type="page" w:clear="all"/>
      </w:r>
      <w:r>
        <w:rPr>
          <w:rFonts w:hint="eastAsia" w:ascii="宋体" w:hAnsi="宋体" w:cs="宋体"/>
          <w:color w:val="000000" w:themeColor="text1"/>
          <w:sz w:val="28"/>
          <w:szCs w:val="28"/>
          <w:highlight w:val="none"/>
        </w:rPr>
        <w:t xml:space="preserve">2、投标函</w:t>
      </w:r>
      <w:r/>
    </w:p>
    <w:p>
      <w:pPr>
        <w:jc w:val="center"/>
        <w:spacing w:line="360" w:lineRule="auto"/>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 xml:space="preserve">投标函</w:t>
      </w:r>
      <w:r/>
    </w:p>
    <w:p>
      <w:pPr>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u w:val="single"/>
        </w:rPr>
        <w:t xml:space="preserve"> 苏州时代招投标有限公司 </w:t>
      </w:r>
      <w:r>
        <w:rPr>
          <w:rFonts w:hint="eastAsia" w:ascii="宋体" w:hAnsi="宋体" w:cs="宋体"/>
          <w:color w:val="000000" w:themeColor="text1"/>
          <w:sz w:val="24"/>
          <w:highlight w:val="none"/>
        </w:rPr>
        <w:t xml:space="preserve">：</w:t>
      </w:r>
      <w:r/>
    </w:p>
    <w:p>
      <w:pPr>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我们收到贵公司</w:t>
      </w:r>
      <w:r>
        <w:rPr>
          <w:rFonts w:hint="eastAsia" w:ascii="宋体" w:hAnsi="宋体" w:cs="宋体"/>
          <w:color w:val="000000" w:themeColor="text1"/>
          <w:sz w:val="24"/>
          <w:highlight w:val="none"/>
          <w:u w:val="single"/>
        </w:rPr>
        <w:t xml:space="preserve">（招标编号）</w:t>
      </w:r>
      <w:r>
        <w:rPr>
          <w:rFonts w:hint="eastAsia" w:ascii="宋体" w:hAnsi="宋体" w:cs="宋体"/>
          <w:color w:val="000000" w:themeColor="text1"/>
          <w:sz w:val="24"/>
          <w:highlight w:val="none"/>
        </w:rPr>
        <w:t xml:space="preserve">号招标文件，经仔细阅读和研究，我们同意招标文件中各款要求并决定参加投标。</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1、我们愿意按照招标文件的一切要求，</w:t>
      </w:r>
      <w:r>
        <w:rPr>
          <w:rFonts w:hint="eastAsia" w:ascii="宋体" w:hAnsi="宋体" w:cs="宋体"/>
          <w:color w:val="000000" w:themeColor="text1"/>
          <w:sz w:val="24"/>
          <w:highlight w:val="none"/>
          <w:lang w:val="zh-CN"/>
        </w:rPr>
        <w:t xml:space="preserve">提供本项目的所有内容，我方投标的报价包括完成本项工作所需的一切应有费用</w:t>
      </w:r>
      <w:r>
        <w:rPr>
          <w:rFonts w:hint="eastAsia" w:ascii="宋体" w:hAnsi="宋体" w:cs="宋体"/>
          <w:color w:val="000000" w:themeColor="text1"/>
          <w:sz w:val="24"/>
          <w:highlight w:val="none"/>
        </w:rPr>
        <w:t xml:space="preserve">。</w:t>
      </w:r>
      <w:r/>
    </w:p>
    <w:p>
      <w:pPr>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2、如果我们的投标书被接受，我们将严格履行招标文件中规定的每一项要求，</w:t>
      </w:r>
      <w:r>
        <w:rPr>
          <w:rFonts w:hint="eastAsia" w:ascii="宋体" w:hAnsi="宋体" w:cs="宋体"/>
          <w:color w:val="000000" w:themeColor="text1"/>
          <w:sz w:val="24"/>
          <w:highlight w:val="none"/>
          <w:lang w:val="zh-CN"/>
        </w:rPr>
        <w:t xml:space="preserve">严格履行合同的责任和义务，保证按期、按质履行合同，完成合同所规定的全部内容</w:t>
      </w:r>
      <w:r>
        <w:rPr>
          <w:rFonts w:hint="eastAsia" w:ascii="宋体" w:hAnsi="宋体" w:cs="宋体"/>
          <w:color w:val="000000" w:themeColor="text1"/>
          <w:sz w:val="24"/>
          <w:highlight w:val="none"/>
        </w:rPr>
        <w:t xml:space="preserve">。</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3、我们已详细审查并同意招标文件及更正文件（如有）中的规定。我们完全理解并同意放弃对这方面有不明及误解的权力。</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4、我们同意按照招标文件中的规定，本投标书的有效期限为投标截止日起</w:t>
      </w:r>
      <w:r>
        <w:rPr>
          <w:rFonts w:hint="eastAsia" w:ascii="宋体" w:hAnsi="宋体" w:cs="宋体"/>
          <w:color w:val="000000" w:themeColor="text1"/>
          <w:sz w:val="24"/>
          <w:highlight w:val="none"/>
          <w:u w:val="single"/>
        </w:rPr>
        <w:t xml:space="preserve">九十天</w:t>
      </w:r>
      <w:r>
        <w:rPr>
          <w:rFonts w:hint="eastAsia" w:ascii="宋体" w:hAnsi="宋体" w:cs="宋体"/>
          <w:color w:val="000000" w:themeColor="text1"/>
          <w:sz w:val="24"/>
          <w:highlight w:val="none"/>
        </w:rPr>
        <w:t xml:space="preserve">。</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5、我们愿意提供采购人或采购代理机构在招标文件中要求的所有资料。</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6、我们声明：我们在参加本次政府采购活动前3年内在经营活动中没有重大违法记录。</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7、我们愿意遵守招标公告及招标文件中所列的收费标准支付代理服务费。</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8、我们承诺该项投标在开标后的全过程中保持有效，不做任何更改和变动。</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9、我们承诺</w:t>
      </w:r>
      <w:r>
        <w:rPr>
          <w:rFonts w:hint="eastAsia" w:ascii="宋体" w:hAnsi="宋体" w:cs="宋体"/>
          <w:color w:val="000000" w:themeColor="text1"/>
          <w:sz w:val="24"/>
          <w:highlight w:val="none"/>
          <w:lang w:val="zh-CN"/>
        </w:rPr>
        <w:t xml:space="preserve">所提交的投标文件中所有资料均是真实的、准确的。若与真实情况不符，我方愿意承担由此而产生的一切后果</w:t>
      </w:r>
      <w:r>
        <w:rPr>
          <w:rFonts w:hint="eastAsia" w:ascii="宋体" w:hAnsi="宋体" w:cs="宋体"/>
          <w:color w:val="000000" w:themeColor="text1"/>
          <w:sz w:val="24"/>
          <w:highlight w:val="none"/>
        </w:rPr>
        <w:t xml:space="preserve">，若与真实情况不符，本公司愿意承担由此而产生的一切后果。</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10、我们</w:t>
      </w:r>
      <w:r>
        <w:rPr>
          <w:rFonts w:hint="eastAsia" w:ascii="宋体" w:hAnsi="宋体" w:cs="宋体"/>
          <w:color w:val="000000" w:themeColor="text1"/>
          <w:sz w:val="24"/>
          <w:highlight w:val="none"/>
          <w:lang w:val="zh-CN"/>
        </w:rPr>
        <w:t xml:space="preserve">承诺若在机器码检查中被查出存在与其他投标供应商机器码一致情形的，愿意承担由此产生的一切后果，包括但不限于不得参与后续本项目因故废标后重新开展的相关采购活动。</w:t>
      </w:r>
      <w:r/>
    </w:p>
    <w:p>
      <w:pPr>
        <w:ind w:firstLine="4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11、所有有关标书的函电，请按下列地址联系：</w:t>
      </w:r>
      <w:r/>
    </w:p>
    <w:p>
      <w:pPr>
        <w:ind w:firstLine="480"/>
        <w:jc w:val="left"/>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单    位：                                  联 系 人：</w:t>
      </w:r>
      <w:r/>
    </w:p>
    <w:p>
      <w:pPr>
        <w:ind w:firstLine="480"/>
        <w:jc w:val="left"/>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地    址：                                  邮政编码：</w:t>
      </w:r>
      <w:r/>
    </w:p>
    <w:p>
      <w:pPr>
        <w:ind w:firstLine="480"/>
        <w:jc w:val="left"/>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联系电话：                                  传真（或邮箱）：</w:t>
      </w:r>
      <w:r/>
    </w:p>
    <w:p>
      <w:pPr>
        <w:ind w:right="480" w:firstLine="4080"/>
        <w:spacing w:line="400" w:lineRule="exact"/>
        <w:rPr>
          <w:rFonts w:ascii="宋体" w:hAnsi="宋体" w:cs="宋体"/>
          <w:color w:val="000000" w:themeColor="text1"/>
          <w:sz w:val="24"/>
          <w:highlight w:val="none"/>
        </w:rPr>
      </w:pPr>
      <w:r>
        <w:rPr>
          <w:rFonts w:ascii="宋体" w:hAnsi="宋体" w:cs="宋体"/>
          <w:color w:val="000000" w:themeColor="text1"/>
          <w:sz w:val="24"/>
          <w:highlight w:val="none"/>
        </w:rPr>
      </w:r>
      <w:r/>
    </w:p>
    <w:p>
      <w:pPr>
        <w:ind w:right="480" w:firstLine="4080"/>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投标单位：（单位盖章）</w:t>
      </w:r>
      <w:r/>
    </w:p>
    <w:p>
      <w:pPr>
        <w:jc w:val="right"/>
        <w:spacing w:line="40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法定代表人或被授权人：（签字或盖章）</w:t>
      </w:r>
      <w:r/>
    </w:p>
    <w:p>
      <w:pPr>
        <w:jc w:val="right"/>
        <w:spacing w:line="400" w:lineRule="exact"/>
        <w:rPr>
          <w:rFonts w:hint="eastAsia" w:ascii="宋体" w:hAnsi="宋体" w:cs="宋体"/>
          <w:color w:val="000000" w:themeColor="text1"/>
          <w:sz w:val="24"/>
          <w:szCs w:val="24"/>
          <w:highlight w:val="none"/>
        </w:rPr>
      </w:pPr>
      <w:r>
        <w:rPr>
          <w:rFonts w:hint="eastAsia" w:ascii="宋体" w:hAnsi="宋体" w:cs="宋体"/>
          <w:color w:val="000000" w:themeColor="text1"/>
          <w:sz w:val="24"/>
          <w:highlight w:val="none"/>
        </w:rPr>
        <w:t xml:space="preserve">年     月     日</w:t>
      </w:r>
      <w:r>
        <w:rPr>
          <w:rFonts w:ascii="宋体" w:hAnsi="宋体" w:cs="宋体"/>
          <w:color w:val="000000" w:themeColor="text1"/>
          <w:sz w:val="24"/>
          <w:highlight w:val="none"/>
        </w:rPr>
      </w:r>
      <w:r/>
    </w:p>
    <w:p>
      <w:pPr>
        <w:jc w:val="left"/>
        <w:spacing w:line="400" w:lineRule="exact"/>
        <w:rPr>
          <w:rFonts w:ascii="宋体" w:hAnsi="宋体" w:cs="宋体"/>
          <w:color w:val="000000" w:themeColor="text1"/>
          <w:sz w:val="24"/>
          <w:szCs w:val="24"/>
          <w:highlight w:val="none"/>
        </w:rPr>
      </w:pPr>
      <w:r>
        <w:rPr>
          <w:rFonts w:hint="eastAsia" w:ascii="宋体" w:hAnsi="宋体" w:cs="宋体"/>
          <w:color w:val="000000" w:themeColor="text1"/>
          <w:sz w:val="24"/>
          <w:highlight w:val="none"/>
        </w:rPr>
      </w:r>
      <w:r>
        <w:rPr>
          <w:rFonts w:hint="eastAsia" w:ascii="宋体" w:hAnsi="宋体"/>
          <w:color w:val="000000" w:themeColor="text1"/>
          <w:sz w:val="28"/>
          <w:szCs w:val="28"/>
          <w:highlight w:val="none"/>
        </w:rPr>
        <w:t xml:space="preserve">3、报价</w:t>
      </w:r>
      <w:r>
        <w:rPr>
          <w:rFonts w:ascii="宋体" w:hAnsi="宋体" w:cs="宋体"/>
          <w:color w:val="000000" w:themeColor="text1"/>
          <w:sz w:val="24"/>
          <w:highlight w:val="none"/>
        </w:rPr>
      </w:r>
      <w:r/>
    </w:p>
    <w:p>
      <w:pP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3.1开标一览表（</w:t>
      </w:r>
      <w:r>
        <w:rPr>
          <w:rFonts w:hint="eastAsia" w:ascii="宋体" w:hAnsi="宋体" w:cs="宋体"/>
          <w:b/>
          <w:color w:val="000000" w:themeColor="text1"/>
          <w:sz w:val="24"/>
          <w:highlight w:val="none"/>
        </w:rPr>
        <w:t xml:space="preserve">按苏采云投标系统内统一格式填写）</w:t>
      </w:r>
      <w:r/>
    </w:p>
    <w:p>
      <w:pPr>
        <w:jc w:val="cente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jc w:val="cente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开标一览表</w:t>
      </w:r>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lang w:val="zh-CN"/>
        </w:rPr>
        <w:t xml:space="preserve">投标人全称（加盖公章）：</w:t>
      </w:r>
      <w:bookmarkStart w:id="9" w:name="TBR"/>
      <w:r/>
      <w:bookmarkEnd w:id="9"/>
      <w:r/>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lang w:val="zh-CN"/>
        </w:rPr>
        <w:t xml:space="preserve">项目编号：  </w:t>
      </w:r>
      <w:bookmarkStart w:id="10" w:name="XMBH"/>
      <w:r/>
      <w:bookmarkEnd w:id="10"/>
      <w:r/>
      <w:r/>
    </w:p>
    <w:tbl>
      <w:tblPr>
        <w:tblStyle w:val="897"/>
        <w:tblW w:w="8280"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573"/>
        <w:gridCol w:w="5707"/>
      </w:tblGrid>
      <w:tr>
        <w:trPr>
          <w:cantSplit/>
          <w:trHeight w:val="533"/>
        </w:trPr>
        <w:tc>
          <w:tcPr>
            <w:tcW w:w="2573" w:type="dxa"/>
            <w:vAlign w:val="center"/>
            <w:textDirection w:val="lrTb"/>
            <w:noWrap/>
          </w:tcPr>
          <w:p>
            <w:pPr>
              <w:jc w:val="center"/>
              <w:spacing w:line="60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项目名称</w:t>
            </w:r>
            <w:r/>
          </w:p>
        </w:tc>
        <w:tc>
          <w:tcPr>
            <w:tcW w:w="5707" w:type="dxa"/>
            <w:vAlign w:val="center"/>
            <w:textDirection w:val="lrTb"/>
            <w:noWrap/>
          </w:tcPr>
          <w:p>
            <w:pPr>
              <w:jc w:val="center"/>
              <w:spacing w:line="60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投标总报价</w:t>
            </w:r>
            <w:r/>
          </w:p>
        </w:tc>
      </w:tr>
      <w:tr>
        <w:trPr>
          <w:cantSplit/>
          <w:trHeight w:val="653"/>
        </w:trPr>
        <w:tc>
          <w:tcPr>
            <w:tcW w:w="2573" w:type="dxa"/>
            <w:vAlign w:val="center"/>
            <w:textDirection w:val="lrTb"/>
            <w:noWrap/>
          </w:tcPr>
          <w:p>
            <w:pPr>
              <w:jc w:val="center"/>
              <w:spacing w:line="600" w:lineRule="exact"/>
              <w:rPr>
                <w:rFonts w:ascii="宋体" w:hAnsi="宋体"/>
                <w:color w:val="000000" w:themeColor="text1"/>
                <w:sz w:val="24"/>
                <w:szCs w:val="24"/>
                <w:highlight w:val="none"/>
              </w:rPr>
            </w:pPr>
            <w:r/>
            <w:bookmarkStart w:id="11" w:name="XMMC"/>
            <w:r/>
            <w:bookmarkEnd w:id="11"/>
            <w:r/>
            <w:r/>
          </w:p>
        </w:tc>
        <w:tc>
          <w:tcPr>
            <w:tcW w:w="5707" w:type="dxa"/>
            <w:vAlign w:val="center"/>
            <w:textDirection w:val="lrTb"/>
            <w:noWrap/>
          </w:tcPr>
          <w:p>
            <w:pPr>
              <w:spacing w:line="60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  小写：                      （人民币：元）</w:t>
            </w:r>
            <w:r/>
          </w:p>
        </w:tc>
      </w:tr>
      <w:tr>
        <w:trPr>
          <w:cantSplit/>
          <w:trHeight w:val="720"/>
        </w:trPr>
        <w:tc>
          <w:tcPr>
            <w:gridSpan w:val="2"/>
            <w:tcW w:w="8280" w:type="dxa"/>
            <w:vAlign w:val="center"/>
            <w:textDirection w:val="lrTb"/>
            <w:noWrap/>
          </w:tcPr>
          <w:p>
            <w:pPr>
              <w:spacing w:line="60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投标报价大写金额：                                 </w:t>
            </w:r>
            <w:bookmarkStart w:id="12" w:name="JEDX"/>
            <w:r/>
            <w:bookmarkEnd w:id="12"/>
            <w:r>
              <w:rPr>
                <w:rFonts w:hint="eastAsia" w:ascii="宋体" w:hAnsi="宋体"/>
                <w:color w:val="000000" w:themeColor="text1"/>
                <w:sz w:val="24"/>
                <w:szCs w:val="24"/>
                <w:highlight w:val="none"/>
              </w:rPr>
              <w:t xml:space="preserve"> （人民币：元）</w:t>
            </w:r>
            <w:r/>
          </w:p>
        </w:tc>
      </w:tr>
    </w:tbl>
    <w:p>
      <w:pPr>
        <w:spacing w:line="600" w:lineRule="exact"/>
        <w:rPr>
          <w:rFonts w:ascii="宋体" w:hAnsi="宋体"/>
          <w:color w:val="000000" w:themeColor="text1"/>
          <w:szCs w:val="21"/>
          <w:highlight w:val="none"/>
        </w:rPr>
      </w:pPr>
      <w:r>
        <w:rPr>
          <w:rFonts w:ascii="宋体" w:hAnsi="宋体"/>
          <w:color w:val="000000" w:themeColor="text1"/>
          <w:szCs w:val="21"/>
          <w:highlight w:val="none"/>
        </w:rPr>
      </w:r>
      <w:r/>
    </w:p>
    <w:p>
      <w:pPr>
        <w:jc w:val="left"/>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lang w:val="zh-CN"/>
        </w:rPr>
        <w:t xml:space="preserve">  日期：   </w:t>
      </w:r>
      <w:bookmarkStart w:id="13" w:name="NF"/>
      <w:r/>
      <w:bookmarkEnd w:id="13"/>
      <w:r>
        <w:rPr>
          <w:rFonts w:hint="eastAsia" w:ascii="宋体" w:hAnsi="宋体"/>
          <w:color w:val="000000" w:themeColor="text1"/>
          <w:sz w:val="24"/>
          <w:szCs w:val="24"/>
          <w:highlight w:val="none"/>
          <w:lang w:val="zh-CN"/>
        </w:rPr>
        <w:t xml:space="preserve"> 年 </w:t>
      </w:r>
      <w:bookmarkStart w:id="14" w:name="YF"/>
      <w:r/>
      <w:bookmarkEnd w:id="14"/>
      <w:r>
        <w:rPr>
          <w:rFonts w:hint="eastAsia" w:ascii="宋体" w:hAnsi="宋体"/>
          <w:color w:val="000000" w:themeColor="text1"/>
          <w:sz w:val="24"/>
          <w:szCs w:val="24"/>
          <w:highlight w:val="none"/>
          <w:lang w:val="zh-CN"/>
        </w:rPr>
        <w:t xml:space="preserve">  月 </w:t>
      </w:r>
      <w:bookmarkStart w:id="15" w:name="RI"/>
      <w:r/>
      <w:bookmarkEnd w:id="15"/>
      <w:r>
        <w:rPr>
          <w:rFonts w:hint="eastAsia" w:ascii="宋体" w:hAnsi="宋体"/>
          <w:color w:val="000000" w:themeColor="text1"/>
          <w:sz w:val="24"/>
          <w:szCs w:val="24"/>
          <w:highlight w:val="none"/>
          <w:lang w:val="zh-CN"/>
        </w:rPr>
        <w:t xml:space="preserve">  日</w:t>
      </w:r>
      <w:r/>
    </w:p>
    <w:p>
      <w:pPr>
        <w:spacing w:line="360" w:lineRule="auto"/>
        <w:rPr>
          <w:rFonts w:ascii="宋体" w:hAnsi="宋体"/>
          <w:color w:val="000000" w:themeColor="text1"/>
          <w:sz w:val="24"/>
          <w:szCs w:val="24"/>
          <w:highlight w:val="none"/>
          <w:lang w:val="zh-CN"/>
        </w:rPr>
      </w:pPr>
      <w:r>
        <w:rPr>
          <w:rFonts w:ascii="宋体" w:hAnsi="宋体"/>
          <w:color w:val="000000" w:themeColor="text1"/>
          <w:sz w:val="24"/>
          <w:szCs w:val="24"/>
          <w:highlight w:val="none"/>
          <w:lang w:val="zh-CN"/>
        </w:rPr>
      </w:r>
      <w:r/>
    </w:p>
    <w:p>
      <w:pPr>
        <w:spacing w:line="360" w:lineRule="auto"/>
        <w:rPr>
          <w:rFonts w:ascii="宋体" w:hAnsi="宋体"/>
          <w:color w:val="000000" w:themeColor="text1"/>
          <w:sz w:val="24"/>
          <w:szCs w:val="24"/>
          <w:highlight w:val="none"/>
          <w:lang w:val="zh-CN"/>
        </w:rPr>
      </w:pPr>
      <w:r>
        <w:rPr>
          <w:rFonts w:hint="eastAsia" w:ascii="宋体" w:hAnsi="宋体"/>
          <w:color w:val="000000" w:themeColor="text1"/>
          <w:sz w:val="24"/>
          <w:szCs w:val="24"/>
          <w:highlight w:val="none"/>
          <w:lang w:val="zh-CN"/>
        </w:rPr>
        <w:t xml:space="preserve">填写说明：</w:t>
      </w:r>
      <w:r/>
    </w:p>
    <w:p>
      <w:pPr>
        <w:spacing w:line="360" w:lineRule="auto"/>
        <w:rPr>
          <w:rFonts w:ascii="宋体" w:hAnsi="宋体"/>
          <w:color w:val="000000" w:themeColor="text1"/>
          <w:sz w:val="24"/>
          <w:szCs w:val="24"/>
          <w:highlight w:val="none"/>
          <w:lang w:val="zh-CN"/>
        </w:rPr>
      </w:pPr>
      <w:r>
        <w:rPr>
          <w:rFonts w:hint="eastAsia" w:ascii="宋体" w:hAnsi="宋体"/>
          <w:color w:val="000000" w:themeColor="text1"/>
          <w:sz w:val="24"/>
          <w:szCs w:val="24"/>
          <w:highlight w:val="none"/>
          <w:lang w:val="zh-CN"/>
        </w:rPr>
        <w:t xml:space="preserve">1.开标一览表必须加盖投标人公章（复印件无效）。</w:t>
      </w:r>
      <w:r/>
    </w:p>
    <w:p>
      <w:pPr>
        <w:spacing w:line="360" w:lineRule="auto"/>
        <w:rPr>
          <w:rFonts w:ascii="宋体" w:hAnsi="宋体"/>
          <w:b/>
          <w:bCs/>
          <w:color w:val="000000" w:themeColor="text1"/>
          <w:sz w:val="24"/>
          <w:szCs w:val="24"/>
          <w:highlight w:val="none"/>
          <w:lang w:val="zh-CN"/>
        </w:rPr>
      </w:pPr>
      <w:r>
        <w:rPr>
          <w:rFonts w:hint="eastAsia" w:ascii="宋体" w:hAnsi="宋体"/>
          <w:b/>
          <w:bCs/>
          <w:color w:val="000000" w:themeColor="text1"/>
          <w:sz w:val="24"/>
          <w:szCs w:val="24"/>
          <w:highlight w:val="none"/>
          <w:lang w:val="zh-CN"/>
        </w:rPr>
        <w:t xml:space="preserve">2.</w:t>
      </w:r>
      <w:r>
        <w:rPr>
          <w:rFonts w:hint="eastAsia"/>
          <w:b/>
          <w:bCs/>
          <w:color w:val="000000" w:themeColor="text1"/>
          <w:sz w:val="24"/>
          <w:highlight w:val="none"/>
        </w:rPr>
        <w:t xml:space="preserve">投标报价不得超过采购预算及最高单价限价，否则作无效报价处理</w:t>
      </w:r>
      <w:r>
        <w:rPr>
          <w:rFonts w:hint="eastAsia" w:ascii="宋体" w:hAnsi="宋体"/>
          <w:b/>
          <w:bCs/>
          <w:color w:val="000000" w:themeColor="text1"/>
          <w:sz w:val="24"/>
          <w:szCs w:val="24"/>
          <w:highlight w:val="none"/>
          <w:lang w:val="zh-CN"/>
        </w:rPr>
        <w:t xml:space="preserve">。</w:t>
      </w:r>
      <w:r/>
    </w:p>
    <w:p>
      <w:pPr>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240"/>
        <w:jc w:val="left"/>
        <w:spacing w:line="480" w:lineRule="auto"/>
        <w:rPr>
          <w:rFonts w:ascii="宋体" w:hAnsi="宋体"/>
          <w:color w:val="000000" w:themeColor="text1"/>
          <w:sz w:val="24"/>
          <w:highlight w:val="none"/>
        </w:rPr>
      </w:pPr>
      <w:r>
        <w:rPr>
          <w:rFonts w:ascii="宋体" w:hAnsi="宋体"/>
          <w:color w:val="000000" w:themeColor="text1"/>
          <w:sz w:val="24"/>
          <w:highlight w:val="none"/>
        </w:rPr>
      </w:r>
      <w:r/>
    </w:p>
    <w:p>
      <w:pPr>
        <w:pStyle w:val="1121"/>
        <w:ind w:firstLine="0"/>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pStyle w:val="1121"/>
        <w:ind w:firstLine="0"/>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pStyle w:val="1121"/>
        <w:ind w:firstLine="0"/>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pStyle w:val="1121"/>
        <w:ind w:firstLine="0"/>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pStyle w:val="1121"/>
        <w:ind w:firstLine="0"/>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pStyle w:val="1121"/>
        <w:ind w:firstLine="0"/>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pStyle w:val="1121"/>
        <w:ind w:firstLine="0"/>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pStyle w:val="1121"/>
        <w:ind w:firstLine="0"/>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3.2公开分项报价</w:t>
      </w:r>
      <w:r/>
    </w:p>
    <w:p>
      <w:pPr>
        <w:jc w:val="center"/>
        <w:spacing w:line="360" w:lineRule="auto"/>
        <w:rPr>
          <w:rFonts w:ascii="宋体" w:hAnsi="宋体" w:cs="宋体"/>
          <w:bCs/>
          <w:color w:val="000000" w:themeColor="text1"/>
          <w:sz w:val="24"/>
          <w:highlight w:val="none"/>
        </w:rPr>
      </w:pPr>
      <w:r>
        <w:rPr>
          <w:rFonts w:hint="eastAsia" w:ascii="宋体" w:hAnsi="宋体" w:cs="宋体"/>
          <w:bCs/>
          <w:color w:val="000000" w:themeColor="text1"/>
          <w:sz w:val="24"/>
          <w:highlight w:val="none"/>
        </w:rPr>
        <w:t xml:space="preserve">公开分项报价</w:t>
      </w:r>
      <w:r/>
    </w:p>
    <w:p>
      <w:pPr>
        <w:pStyle w:val="905"/>
        <w:jc w:val="right"/>
        <w:rPr>
          <w:rFonts w:cs="Times New Roman"/>
          <w:color w:val="000000" w:themeColor="text1"/>
          <w:sz w:val="24"/>
          <w:szCs w:val="22"/>
          <w:highlight w:val="none"/>
        </w:rPr>
      </w:pPr>
      <w:r>
        <w:rPr>
          <w:rFonts w:hint="eastAsia" w:cs="Times New Roman"/>
          <w:color w:val="000000" w:themeColor="text1"/>
          <w:sz w:val="24"/>
          <w:szCs w:val="22"/>
          <w:highlight w:val="none"/>
        </w:rPr>
        <w:t xml:space="preserve">单位：元（人民币）</w:t>
      </w:r>
      <w:r/>
    </w:p>
    <w:tbl>
      <w:tblPr>
        <w:tblStyle w:val="897"/>
        <w:tblW w:w="4968" w:type="pct"/>
        <w:tblInd w:w="-5" w:type="dxa"/>
        <w:tblLayout w:type="fixed"/>
        <w:tblCellMar>
          <w:left w:w="0" w:type="dxa"/>
          <w:top w:w="0" w:type="dxa"/>
          <w:right w:w="0" w:type="dxa"/>
          <w:bottom w:w="0" w:type="dxa"/>
        </w:tblCellMar>
        <w:tblLook w:val="04A0" w:firstRow="1" w:lastRow="0" w:firstColumn="1" w:lastColumn="0" w:noHBand="0" w:noVBand="1"/>
      </w:tblPr>
      <w:tblGrid>
        <w:gridCol w:w="717"/>
        <w:gridCol w:w="1432"/>
        <w:gridCol w:w="1747"/>
        <w:gridCol w:w="1092"/>
        <w:gridCol w:w="736"/>
        <w:gridCol w:w="767"/>
        <w:gridCol w:w="778"/>
        <w:gridCol w:w="988"/>
      </w:tblGrid>
      <w:tr>
        <w:trPr>
          <w:trHeight w:val="454"/>
        </w:trPr>
        <w:tc>
          <w:tcPr>
            <w:tcBorders>
              <w:top w:val="single" w:color="000000" w:sz="4" w:space="0"/>
              <w:left w:val="single" w:color="000000" w:sz="4" w:space="0"/>
              <w:bottom w:val="single" w:color="000000" w:sz="4" w:space="0"/>
              <w:right w:val="single" w:color="000000" w:sz="4" w:space="0"/>
            </w:tcBorders>
            <w:tcW w:w="717" w:type="dxa"/>
            <w:vAlign w:val="center"/>
            <w:textDirection w:val="lrTb"/>
            <w:noWrap/>
          </w:tcPr>
          <w:p>
            <w:pPr>
              <w:jc w:val="center"/>
              <w:rPr>
                <w:rFonts w:ascii="宋体" w:hAnsi="宋体"/>
                <w:color w:val="000000" w:themeColor="text1"/>
                <w:sz w:val="24"/>
                <w:highlight w:val="none"/>
              </w:rPr>
            </w:pPr>
            <w:r>
              <w:rPr>
                <w:rFonts w:hint="eastAsia" w:ascii="宋体" w:hAnsi="宋体"/>
                <w:color w:val="000000" w:themeColor="text1"/>
                <w:sz w:val="24"/>
                <w:highlight w:val="none"/>
              </w:rPr>
              <w:t xml:space="preserve">序号</w:t>
            </w:r>
            <w:r/>
          </w:p>
        </w:tc>
        <w:tc>
          <w:tcPr>
            <w:tcBorders>
              <w:top w:val="single" w:color="000000" w:sz="4" w:space="0"/>
              <w:left w:val="single" w:color="000000" w:sz="4" w:space="0"/>
              <w:bottom w:val="single" w:color="000000" w:sz="4" w:space="0"/>
              <w:right w:val="single" w:color="000000" w:sz="4" w:space="0"/>
            </w:tcBorders>
            <w:tcW w:w="1430" w:type="dxa"/>
            <w:vAlign w:val="center"/>
            <w:textDirection w:val="lrTb"/>
            <w:noWrap/>
          </w:tcPr>
          <w:p>
            <w:pPr>
              <w:jc w:val="center"/>
              <w:rPr>
                <w:rFonts w:ascii="宋体" w:hAnsi="宋体"/>
                <w:color w:val="000000" w:themeColor="text1"/>
                <w:sz w:val="24"/>
                <w:highlight w:val="none"/>
              </w:rPr>
            </w:pPr>
            <w:r>
              <w:rPr>
                <w:rFonts w:hint="eastAsia" w:ascii="宋体" w:hAnsi="宋体"/>
                <w:color w:val="000000" w:themeColor="text1"/>
                <w:sz w:val="24"/>
                <w:highlight w:val="none"/>
              </w:rPr>
              <w:t xml:space="preserve">标的物名称</w:t>
            </w:r>
            <w:r/>
          </w:p>
        </w:tc>
        <w:tc>
          <w:tcPr>
            <w:tcBorders>
              <w:top w:val="single" w:color="000000" w:sz="4" w:space="0"/>
              <w:left w:val="none" w:color="000000" w:sz="4" w:space="0"/>
              <w:bottom w:val="single" w:color="000000" w:sz="4" w:space="0"/>
              <w:right w:val="single" w:color="000000" w:sz="4" w:space="0"/>
            </w:tcBorders>
            <w:tcW w:w="1745" w:type="dxa"/>
            <w:vAlign w:val="center"/>
            <w:textDirection w:val="lrTb"/>
            <w:noWrap/>
          </w:tcPr>
          <w:p>
            <w:pPr>
              <w:jc w:val="center"/>
              <w:rPr>
                <w:rFonts w:ascii="宋体" w:hAnsi="宋体"/>
                <w:color w:val="000000" w:themeColor="text1"/>
                <w:sz w:val="24"/>
                <w:highlight w:val="none"/>
              </w:rPr>
            </w:pPr>
            <w:r>
              <w:rPr>
                <w:rFonts w:hint="eastAsia" w:ascii="宋体" w:hAnsi="宋体"/>
                <w:color w:val="000000" w:themeColor="text1"/>
                <w:sz w:val="24"/>
                <w:highlight w:val="none"/>
              </w:rPr>
              <w:t xml:space="preserve">品牌、规格型号</w:t>
            </w:r>
            <w:r/>
          </w:p>
        </w:tc>
        <w:tc>
          <w:tcPr>
            <w:tcBorders>
              <w:top w:val="single" w:color="000000" w:sz="4" w:space="0"/>
              <w:left w:val="none" w:color="000000" w:sz="4" w:space="0"/>
              <w:bottom w:val="single" w:color="000000" w:sz="4" w:space="0"/>
              <w:right w:val="single" w:color="000000" w:sz="4" w:space="0"/>
            </w:tcBorders>
            <w:tcW w:w="1091" w:type="dxa"/>
            <w:vAlign w:val="center"/>
            <w:textDirection w:val="lrTb"/>
            <w:noWrap/>
          </w:tcPr>
          <w:p>
            <w:pPr>
              <w:jc w:val="center"/>
              <w:rPr>
                <w:rFonts w:ascii="宋体" w:hAnsi="宋体"/>
                <w:color w:val="000000" w:themeColor="text1"/>
                <w:sz w:val="24"/>
                <w:highlight w:val="none"/>
              </w:rPr>
            </w:pPr>
            <w:r>
              <w:rPr>
                <w:rFonts w:hint="eastAsia" w:ascii="宋体" w:hAnsi="宋体"/>
                <w:color w:val="000000" w:themeColor="text1"/>
                <w:sz w:val="24"/>
                <w:highlight w:val="none"/>
              </w:rPr>
              <w:t xml:space="preserve">生产厂商</w:t>
            </w:r>
            <w:r/>
          </w:p>
        </w:tc>
        <w:tc>
          <w:tcPr>
            <w:tcBorders>
              <w:top w:val="single" w:color="000000" w:sz="4" w:space="0"/>
              <w:left w:val="none" w:color="000000" w:sz="4" w:space="0"/>
              <w:bottom w:val="single" w:color="000000" w:sz="4" w:space="0"/>
              <w:right w:val="single" w:color="auto" w:sz="4" w:space="0"/>
            </w:tcBorders>
            <w:tcW w:w="735" w:type="dxa"/>
            <w:vAlign w:val="center"/>
            <w:textDirection w:val="lrTb"/>
            <w:noWrap/>
          </w:tcPr>
          <w:p>
            <w:pPr>
              <w:jc w:val="center"/>
              <w:rPr>
                <w:rFonts w:ascii="宋体" w:hAnsi="宋体"/>
                <w:color w:val="000000" w:themeColor="text1"/>
                <w:sz w:val="24"/>
                <w:highlight w:val="none"/>
              </w:rPr>
            </w:pPr>
            <w:r>
              <w:rPr>
                <w:rFonts w:hint="eastAsia" w:ascii="宋体" w:hAnsi="宋体"/>
                <w:color w:val="000000" w:themeColor="text1"/>
                <w:sz w:val="24"/>
                <w:highlight w:val="none"/>
              </w:rPr>
              <w:t xml:space="preserve">数量</w:t>
            </w:r>
            <w:r/>
          </w:p>
        </w:tc>
        <w:tc>
          <w:tcPr>
            <w:tcBorders>
              <w:top w:val="single" w:color="000000" w:sz="4" w:space="0"/>
              <w:left w:val="single" w:color="auto" w:sz="4" w:space="0"/>
              <w:bottom w:val="single" w:color="000000" w:sz="4" w:space="0"/>
              <w:right w:val="single" w:color="000000" w:sz="4" w:space="0"/>
            </w:tcBorders>
            <w:tcW w:w="766" w:type="dxa"/>
            <w:vAlign w:val="center"/>
            <w:textDirection w:val="lrTb"/>
            <w:noWrap/>
          </w:tcPr>
          <w:p>
            <w:pPr>
              <w:jc w:val="center"/>
              <w:rPr>
                <w:rFonts w:ascii="宋体" w:hAnsi="宋体"/>
                <w:color w:val="000000" w:themeColor="text1"/>
                <w:sz w:val="24"/>
                <w:highlight w:val="none"/>
              </w:rPr>
            </w:pPr>
            <w:r>
              <w:rPr>
                <w:rFonts w:hint="eastAsia" w:ascii="宋体" w:hAnsi="宋体"/>
                <w:color w:val="000000" w:themeColor="text1"/>
                <w:sz w:val="24"/>
                <w:highlight w:val="none"/>
              </w:rPr>
              <w:t xml:space="preserve">单位</w:t>
            </w:r>
            <w:r/>
          </w:p>
        </w:tc>
        <w:tc>
          <w:tcPr>
            <w:tcBorders>
              <w:top w:val="single" w:color="000000" w:sz="4" w:space="0"/>
              <w:left w:val="none" w:color="000000" w:sz="4" w:space="0"/>
              <w:bottom w:val="single" w:color="000000" w:sz="4" w:space="0"/>
              <w:right w:val="single" w:color="000000" w:sz="4" w:space="0"/>
            </w:tcBorders>
            <w:tcW w:w="777" w:type="dxa"/>
            <w:vAlign w:val="center"/>
            <w:textDirection w:val="lrTb"/>
            <w:noWrap/>
          </w:tcPr>
          <w:p>
            <w:pPr>
              <w:jc w:val="center"/>
              <w:rPr>
                <w:rFonts w:ascii="宋体" w:hAnsi="宋体"/>
                <w:color w:val="000000" w:themeColor="text1"/>
                <w:sz w:val="24"/>
                <w:highlight w:val="none"/>
              </w:rPr>
            </w:pPr>
            <w:r>
              <w:rPr>
                <w:rFonts w:hint="eastAsia" w:ascii="宋体" w:hAnsi="宋体"/>
                <w:color w:val="000000" w:themeColor="text1"/>
                <w:sz w:val="24"/>
                <w:highlight w:val="none"/>
              </w:rPr>
              <w:t xml:space="preserve">单价</w:t>
            </w:r>
            <w:r/>
          </w:p>
        </w:tc>
        <w:tc>
          <w:tcPr>
            <w:tcBorders>
              <w:top w:val="single" w:color="000000" w:sz="4" w:space="0"/>
              <w:left w:val="none" w:color="000000" w:sz="4" w:space="0"/>
              <w:bottom w:val="single" w:color="000000" w:sz="4" w:space="0"/>
              <w:right w:val="single" w:color="000000" w:sz="4" w:space="0"/>
            </w:tcBorders>
            <w:tcW w:w="987" w:type="dxa"/>
            <w:vAlign w:val="center"/>
            <w:textDirection w:val="lrTb"/>
            <w:noWrap/>
          </w:tcPr>
          <w:p>
            <w:pPr>
              <w:jc w:val="center"/>
              <w:rPr>
                <w:rFonts w:ascii="宋体" w:hAnsi="宋体"/>
                <w:color w:val="000000" w:themeColor="text1"/>
                <w:sz w:val="24"/>
                <w:highlight w:val="none"/>
              </w:rPr>
            </w:pPr>
            <w:r>
              <w:rPr>
                <w:rFonts w:hint="eastAsia" w:ascii="宋体" w:hAnsi="宋体"/>
                <w:color w:val="000000" w:themeColor="text1"/>
                <w:sz w:val="24"/>
                <w:highlight w:val="none"/>
              </w:rPr>
              <w:t xml:space="preserve">总价</w:t>
            </w:r>
            <w:r/>
          </w:p>
        </w:tc>
      </w:tr>
      <w:tr>
        <w:trPr>
          <w:trHeight w:val="454"/>
        </w:trPr>
        <w:tc>
          <w:tcPr>
            <w:tcBorders>
              <w:top w:val="single" w:color="000000" w:sz="4" w:space="0"/>
              <w:left w:val="single" w:color="000000" w:sz="4" w:space="0"/>
              <w:bottom w:val="single" w:color="000000" w:sz="4" w:space="0"/>
              <w:right w:val="single" w:color="000000" w:sz="4" w:space="0"/>
            </w:tcBorders>
            <w:tcW w:w="717" w:type="dxa"/>
            <w:textDirection w:val="lrTb"/>
            <w:noWrap/>
          </w:tcPr>
          <w:p>
            <w:pPr>
              <w:jc w:val="cente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1</w:t>
            </w:r>
            <w:r/>
          </w:p>
        </w:tc>
        <w:tc>
          <w:tcPr>
            <w:tcBorders>
              <w:top w:val="single" w:color="000000" w:sz="4" w:space="0"/>
              <w:left w:val="single" w:color="000000" w:sz="4" w:space="0"/>
              <w:bottom w:val="single" w:color="000000" w:sz="4" w:space="0"/>
              <w:right w:val="single" w:color="000000" w:sz="4" w:space="0"/>
            </w:tcBorders>
            <w:tcW w:w="1430"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745"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091"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auto" w:sz="4" w:space="0"/>
            </w:tcBorders>
            <w:tcW w:w="735"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auto" w:sz="4" w:space="0"/>
              <w:bottom w:val="single" w:color="000000" w:sz="4" w:space="0"/>
              <w:right w:val="single" w:color="000000" w:sz="4" w:space="0"/>
            </w:tcBorders>
            <w:tcW w:w="766"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77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98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r>
      <w:tr>
        <w:trPr>
          <w:trHeight w:val="454"/>
        </w:trPr>
        <w:tc>
          <w:tcPr>
            <w:tcBorders>
              <w:top w:val="single" w:color="000000" w:sz="4" w:space="0"/>
              <w:left w:val="single" w:color="000000" w:sz="4" w:space="0"/>
              <w:bottom w:val="single" w:color="000000" w:sz="4" w:space="0"/>
              <w:right w:val="single" w:color="000000" w:sz="4" w:space="0"/>
            </w:tcBorders>
            <w:tcW w:w="717" w:type="dxa"/>
            <w:textDirection w:val="lrTb"/>
            <w:noWrap/>
          </w:tcPr>
          <w:p>
            <w:pPr>
              <w:jc w:val="cente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2</w:t>
            </w:r>
            <w:r/>
          </w:p>
        </w:tc>
        <w:tc>
          <w:tcPr>
            <w:tcBorders>
              <w:top w:val="single" w:color="000000" w:sz="4" w:space="0"/>
              <w:left w:val="single" w:color="000000" w:sz="4" w:space="0"/>
              <w:bottom w:val="single" w:color="000000" w:sz="4" w:space="0"/>
              <w:right w:val="single" w:color="000000" w:sz="4" w:space="0"/>
            </w:tcBorders>
            <w:tcW w:w="1430"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745"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091"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auto" w:sz="4" w:space="0"/>
            </w:tcBorders>
            <w:tcW w:w="735"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auto" w:sz="4" w:space="0"/>
              <w:bottom w:val="single" w:color="000000" w:sz="4" w:space="0"/>
              <w:right w:val="single" w:color="000000" w:sz="4" w:space="0"/>
            </w:tcBorders>
            <w:tcW w:w="766"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77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98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r>
      <w:tr>
        <w:trPr>
          <w:trHeight w:val="454"/>
        </w:trPr>
        <w:tc>
          <w:tcPr>
            <w:tcBorders>
              <w:top w:val="single" w:color="000000" w:sz="4" w:space="0"/>
              <w:left w:val="single" w:color="000000" w:sz="4" w:space="0"/>
              <w:bottom w:val="single" w:color="000000" w:sz="4" w:space="0"/>
              <w:right w:val="single" w:color="000000" w:sz="4" w:space="0"/>
            </w:tcBorders>
            <w:tcW w:w="717" w:type="dxa"/>
            <w:textDirection w:val="lrTb"/>
            <w:noWrap/>
          </w:tcPr>
          <w:p>
            <w:pPr>
              <w:jc w:val="cente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3</w:t>
            </w:r>
            <w:r/>
          </w:p>
        </w:tc>
        <w:tc>
          <w:tcPr>
            <w:tcBorders>
              <w:top w:val="single" w:color="000000" w:sz="4" w:space="0"/>
              <w:left w:val="single" w:color="000000" w:sz="4" w:space="0"/>
              <w:bottom w:val="single" w:color="000000" w:sz="4" w:space="0"/>
              <w:right w:val="single" w:color="000000" w:sz="4" w:space="0"/>
            </w:tcBorders>
            <w:tcW w:w="1430"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745"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091"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auto" w:sz="4" w:space="0"/>
            </w:tcBorders>
            <w:tcW w:w="735"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auto" w:sz="4" w:space="0"/>
              <w:bottom w:val="single" w:color="000000" w:sz="4" w:space="0"/>
              <w:right w:val="single" w:color="000000" w:sz="4" w:space="0"/>
            </w:tcBorders>
            <w:tcW w:w="766"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77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98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r>
      <w:tr>
        <w:trPr>
          <w:trHeight w:val="454"/>
        </w:trPr>
        <w:tc>
          <w:tcPr>
            <w:tcBorders>
              <w:top w:val="single" w:color="000000" w:sz="4" w:space="0"/>
              <w:left w:val="single" w:color="000000" w:sz="4" w:space="0"/>
              <w:bottom w:val="single" w:color="000000" w:sz="4" w:space="0"/>
              <w:right w:val="single" w:color="000000" w:sz="4" w:space="0"/>
            </w:tcBorders>
            <w:tcW w:w="717" w:type="dxa"/>
            <w:textDirection w:val="lrTb"/>
            <w:noWrap/>
          </w:tcPr>
          <w:p>
            <w:pPr>
              <w:jc w:val="cente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4</w:t>
            </w:r>
            <w:r/>
          </w:p>
        </w:tc>
        <w:tc>
          <w:tcPr>
            <w:tcBorders>
              <w:top w:val="single" w:color="000000" w:sz="4" w:space="0"/>
              <w:left w:val="single" w:color="000000" w:sz="4" w:space="0"/>
              <w:bottom w:val="single" w:color="000000" w:sz="4" w:space="0"/>
              <w:right w:val="single" w:color="000000" w:sz="4" w:space="0"/>
            </w:tcBorders>
            <w:tcW w:w="1430"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74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091"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auto" w:sz="4" w:space="0"/>
            </w:tcBorders>
            <w:tcW w:w="73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auto" w:sz="4" w:space="0"/>
              <w:bottom w:val="single" w:color="000000" w:sz="4" w:space="0"/>
              <w:right w:val="single" w:color="000000" w:sz="4" w:space="0"/>
            </w:tcBorders>
            <w:tcW w:w="766"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77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98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r>
      <w:tr>
        <w:trPr>
          <w:trHeight w:val="454"/>
        </w:trPr>
        <w:tc>
          <w:tcPr>
            <w:tcBorders>
              <w:top w:val="single" w:color="000000" w:sz="4" w:space="0"/>
              <w:left w:val="single" w:color="000000" w:sz="4" w:space="0"/>
              <w:bottom w:val="single" w:color="000000" w:sz="4" w:space="0"/>
              <w:right w:val="single" w:color="000000" w:sz="4" w:space="0"/>
            </w:tcBorders>
            <w:tcW w:w="717" w:type="dxa"/>
            <w:textDirection w:val="lrTb"/>
            <w:noWrap/>
          </w:tcPr>
          <w:p>
            <w:pPr>
              <w:jc w:val="cente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w:t>
            </w:r>
            <w:r/>
          </w:p>
        </w:tc>
        <w:tc>
          <w:tcPr>
            <w:tcBorders>
              <w:top w:val="single" w:color="000000" w:sz="4" w:space="0"/>
              <w:left w:val="single" w:color="000000" w:sz="4" w:space="0"/>
              <w:bottom w:val="single" w:color="000000" w:sz="4" w:space="0"/>
              <w:right w:val="single" w:color="000000" w:sz="4" w:space="0"/>
            </w:tcBorders>
            <w:tcW w:w="1430"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74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091"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auto" w:sz="4" w:space="0"/>
            </w:tcBorders>
            <w:tcW w:w="73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auto" w:sz="4" w:space="0"/>
              <w:bottom w:val="single" w:color="000000" w:sz="4" w:space="0"/>
              <w:right w:val="single" w:color="000000" w:sz="4" w:space="0"/>
            </w:tcBorders>
            <w:tcW w:w="766"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77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98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r>
      <w:tr>
        <w:trPr>
          <w:trHeight w:val="454"/>
        </w:trPr>
        <w:tc>
          <w:tcPr>
            <w:tcBorders>
              <w:top w:val="single" w:color="000000" w:sz="4" w:space="0"/>
              <w:left w:val="single" w:color="000000" w:sz="4" w:space="0"/>
              <w:bottom w:val="single" w:color="000000" w:sz="4" w:space="0"/>
              <w:right w:val="single" w:color="000000" w:sz="4" w:space="0"/>
            </w:tcBorders>
            <w:tcW w:w="71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000000" w:sz="4" w:space="0"/>
              <w:bottom w:val="single" w:color="000000" w:sz="4" w:space="0"/>
              <w:right w:val="single" w:color="000000" w:sz="4" w:space="0"/>
            </w:tcBorders>
            <w:tcW w:w="1430"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74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091"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auto" w:sz="4" w:space="0"/>
            </w:tcBorders>
            <w:tcW w:w="73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auto" w:sz="4" w:space="0"/>
              <w:bottom w:val="single" w:color="000000" w:sz="4" w:space="0"/>
              <w:right w:val="single" w:color="000000" w:sz="4" w:space="0"/>
            </w:tcBorders>
            <w:tcW w:w="766"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77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98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r>
      <w:tr>
        <w:trPr>
          <w:trHeight w:val="454"/>
        </w:trPr>
        <w:tc>
          <w:tcPr>
            <w:tcBorders>
              <w:top w:val="single" w:color="000000" w:sz="4" w:space="0"/>
              <w:left w:val="single" w:color="000000" w:sz="4" w:space="0"/>
              <w:bottom w:val="single" w:color="000000" w:sz="4" w:space="0"/>
              <w:right w:val="single" w:color="000000" w:sz="4" w:space="0"/>
            </w:tcBorders>
            <w:tcW w:w="71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000000" w:sz="4" w:space="0"/>
              <w:bottom w:val="single" w:color="000000" w:sz="4" w:space="0"/>
              <w:right w:val="single" w:color="000000" w:sz="4" w:space="0"/>
            </w:tcBorders>
            <w:tcW w:w="1430"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74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091"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auto" w:sz="4" w:space="0"/>
            </w:tcBorders>
            <w:tcW w:w="73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auto" w:sz="4" w:space="0"/>
              <w:bottom w:val="single" w:color="000000" w:sz="4" w:space="0"/>
              <w:right w:val="single" w:color="000000" w:sz="4" w:space="0"/>
            </w:tcBorders>
            <w:tcW w:w="766"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77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98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r>
      <w:tr>
        <w:trPr>
          <w:trHeight w:val="454"/>
        </w:trPr>
        <w:tc>
          <w:tcPr>
            <w:tcBorders>
              <w:top w:val="single" w:color="000000" w:sz="4" w:space="0"/>
              <w:left w:val="single" w:color="000000" w:sz="4" w:space="0"/>
              <w:bottom w:val="single" w:color="000000" w:sz="4" w:space="0"/>
              <w:right w:val="single" w:color="000000" w:sz="4" w:space="0"/>
            </w:tcBorders>
            <w:tcW w:w="71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000000" w:sz="4" w:space="0"/>
              <w:bottom w:val="single" w:color="000000" w:sz="4" w:space="0"/>
              <w:right w:val="single" w:color="000000" w:sz="4" w:space="0"/>
            </w:tcBorders>
            <w:tcW w:w="1430"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74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091"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auto" w:sz="4" w:space="0"/>
            </w:tcBorders>
            <w:tcW w:w="73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auto" w:sz="4" w:space="0"/>
              <w:bottom w:val="single" w:color="000000" w:sz="4" w:space="0"/>
              <w:right w:val="single" w:color="000000" w:sz="4" w:space="0"/>
            </w:tcBorders>
            <w:tcW w:w="766"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77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98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r>
      <w:tr>
        <w:trPr>
          <w:trHeight w:val="454"/>
        </w:trPr>
        <w:tc>
          <w:tcPr>
            <w:tcBorders>
              <w:top w:val="single" w:color="000000" w:sz="4" w:space="0"/>
              <w:left w:val="single" w:color="000000" w:sz="4" w:space="0"/>
              <w:bottom w:val="single" w:color="000000" w:sz="4" w:space="0"/>
              <w:right w:val="single" w:color="000000" w:sz="4" w:space="0"/>
            </w:tcBorders>
            <w:tcW w:w="717"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000000" w:sz="4" w:space="0"/>
              <w:bottom w:val="single" w:color="000000" w:sz="4" w:space="0"/>
              <w:right w:val="single" w:color="000000" w:sz="4" w:space="0"/>
            </w:tcBorders>
            <w:tcW w:w="1430" w:type="dxa"/>
            <w:textDirection w:val="lrTb"/>
            <w:noWrap/>
          </w:tcPr>
          <w:p>
            <w:pPr>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74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1091"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auto" w:sz="4" w:space="0"/>
            </w:tcBorders>
            <w:tcW w:w="735"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single" w:color="auto" w:sz="4" w:space="0"/>
              <w:bottom w:val="single" w:color="000000" w:sz="4" w:space="0"/>
              <w:right w:val="single" w:color="000000" w:sz="4" w:space="0"/>
            </w:tcBorders>
            <w:tcW w:w="766"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77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c>
          <w:tcPr>
            <w:tcBorders>
              <w:top w:val="single" w:color="000000" w:sz="4" w:space="0"/>
              <w:left w:val="none" w:color="000000" w:sz="4" w:space="0"/>
              <w:bottom w:val="single" w:color="000000" w:sz="4" w:space="0"/>
              <w:right w:val="single" w:color="000000" w:sz="4" w:space="0"/>
            </w:tcBorders>
            <w:tcW w:w="987" w:type="dxa"/>
            <w:textDirection w:val="lrTb"/>
            <w:noWrap/>
          </w:tcPr>
          <w:p>
            <w:pPr>
              <w:spacing w:line="360" w:lineRule="auto"/>
              <w:rPr>
                <w:rFonts w:ascii="宋体" w:hAnsi="宋体"/>
                <w:color w:val="000000" w:themeColor="text1"/>
                <w:sz w:val="24"/>
                <w:highlight w:val="none"/>
              </w:rPr>
            </w:pPr>
            <w:r>
              <w:rPr>
                <w:rFonts w:ascii="宋体" w:hAnsi="宋体"/>
                <w:color w:val="000000" w:themeColor="text1"/>
                <w:sz w:val="24"/>
                <w:highlight w:val="none"/>
              </w:rPr>
            </w:r>
            <w:r/>
          </w:p>
        </w:tc>
      </w:tr>
      <w:tr>
        <w:trPr>
          <w:trHeight w:val="454"/>
        </w:trPr>
        <w:tc>
          <w:tcPr>
            <w:gridSpan w:val="2"/>
            <w:tcBorders>
              <w:top w:val="single" w:color="000000" w:sz="4" w:space="0"/>
              <w:left w:val="single" w:color="000000" w:sz="4" w:space="0"/>
              <w:bottom w:val="single" w:color="000000" w:sz="4" w:space="0"/>
              <w:right w:val="single" w:color="000000" w:sz="4" w:space="0"/>
            </w:tcBorders>
            <w:tcW w:w="2147" w:type="dxa"/>
            <w:textDirection w:val="lrTb"/>
            <w:noWrap/>
          </w:tcPr>
          <w:p>
            <w:pPr>
              <w:jc w:val="cente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合计</w:t>
            </w:r>
            <w:r/>
          </w:p>
        </w:tc>
        <w:tc>
          <w:tcPr>
            <w:gridSpan w:val="6"/>
            <w:tcBorders>
              <w:top w:val="single" w:color="000000" w:sz="4" w:space="0"/>
              <w:left w:val="none" w:color="000000" w:sz="4" w:space="0"/>
              <w:bottom w:val="single" w:color="000000" w:sz="4" w:space="0"/>
              <w:right w:val="single" w:color="000000" w:sz="4" w:space="0"/>
            </w:tcBorders>
            <w:tcW w:w="6101" w:type="dxa"/>
            <w:textDirection w:val="lrTb"/>
            <w:noWrap/>
          </w:tcPr>
          <w:p>
            <w:pPr>
              <w:jc w:val="left"/>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大写： （¥：       ）</w:t>
            </w:r>
            <w:r/>
          </w:p>
        </w:tc>
      </w:tr>
    </w:tbl>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注：1）报价表包含投标单位各项成本核算和投入的成本明细；各投标人应根据此表格式按项目分别填写报价详细清单，栏数不够可自加。本投标报价“合计金额”应与“开标一览表”投标总报价总额一致；否则以开标一览表为准。</w:t>
      </w:r>
      <w:r/>
    </w:p>
    <w:p>
      <w:pPr>
        <w:pStyle w:val="898"/>
        <w:spacing w:line="360" w:lineRule="auto"/>
        <w:rPr>
          <w:b/>
          <w:bCs/>
          <w:color w:val="000000" w:themeColor="text1"/>
          <w:highlight w:val="none"/>
        </w:rPr>
      </w:pPr>
      <w:r>
        <w:rPr>
          <w:rFonts w:hint="eastAsia"/>
          <w:b/>
          <w:bCs/>
          <w:color w:val="000000" w:themeColor="text1"/>
          <w:sz w:val="24"/>
          <w:highlight w:val="none"/>
        </w:rPr>
        <w:t xml:space="preserve">2）投标报价不得超过采购预算及最高单价限价，否则作无效报价处理。</w:t>
      </w:r>
      <w:r/>
    </w:p>
    <w:p>
      <w:pPr>
        <w:spacing w:line="360" w:lineRule="auto"/>
        <w:rPr>
          <w:rFonts w:ascii="宋体" w:hAnsi="宋体"/>
          <w:color w:val="000000" w:themeColor="text1"/>
          <w:sz w:val="24"/>
          <w:highlight w:val="none"/>
        </w:rPr>
      </w:pPr>
      <w:r>
        <w:rPr>
          <w:rFonts w:ascii="宋体" w:hAnsi="宋体"/>
          <w:color w:val="000000" w:themeColor="text1"/>
          <w:sz w:val="24"/>
          <w:highlight w:val="none"/>
        </w:rPr>
      </w:r>
      <w:r/>
    </w:p>
    <w:p>
      <w:pPr>
        <w:spacing w:line="360" w:lineRule="auto"/>
        <w:rPr>
          <w:rFonts w:ascii="宋体" w:hAnsi="宋体"/>
          <w:color w:val="000000" w:themeColor="text1"/>
          <w:sz w:val="24"/>
          <w:highlight w:val="none"/>
        </w:rPr>
      </w:pPr>
      <w:r>
        <w:rPr>
          <w:rFonts w:ascii="宋体" w:hAnsi="宋体"/>
          <w:color w:val="000000" w:themeColor="text1"/>
          <w:sz w:val="24"/>
          <w:highlight w:val="none"/>
        </w:rPr>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投标单位：（单位盖章）</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法定代表人或代理人：（签字或盖章）</w:t>
      </w:r>
      <w:r/>
    </w:p>
    <w:p>
      <w:pPr>
        <w:spacing w:line="360" w:lineRule="auto"/>
        <w:rPr>
          <w:rFonts w:ascii="宋体" w:hAnsi="宋体"/>
          <w:color w:val="000000" w:themeColor="text1"/>
          <w:sz w:val="28"/>
          <w:szCs w:val="28"/>
          <w:highlight w:val="none"/>
        </w:rPr>
      </w:pPr>
      <w:r>
        <w:rPr>
          <w:rFonts w:hint="eastAsia" w:ascii="宋体" w:hAnsi="宋体"/>
          <w:color w:val="000000" w:themeColor="text1"/>
          <w:sz w:val="24"/>
          <w:highlight w:val="none"/>
        </w:rPr>
        <w:t xml:space="preserve">日期：     年     月     日</w:t>
      </w:r>
      <w:r/>
    </w:p>
    <w:p>
      <w:pP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clear="all"/>
      </w:r>
      <w:r>
        <w:rPr>
          <w:rFonts w:hint="eastAsia" w:ascii="宋体" w:hAnsi="宋体"/>
          <w:color w:val="000000" w:themeColor="text1"/>
          <w:sz w:val="28"/>
          <w:szCs w:val="28"/>
          <w:highlight w:val="none"/>
        </w:rPr>
        <w:t xml:space="preserve">3.3关于投标报价合理性的澄清说明</w:t>
      </w:r>
      <w:r/>
    </w:p>
    <w:p>
      <w:pPr>
        <w:ind w:firstLine="420"/>
        <w:jc w:val="center"/>
        <w:rPr>
          <w:rFonts w:ascii="宋体" w:hAnsi="宋体"/>
          <w:b/>
          <w:color w:val="000000" w:themeColor="text1"/>
          <w:szCs w:val="21"/>
          <w:highlight w:val="none"/>
        </w:rPr>
      </w:pPr>
      <w:r>
        <w:rPr>
          <w:rFonts w:ascii="宋体" w:hAnsi="宋体"/>
          <w:b/>
          <w:color w:val="000000" w:themeColor="text1"/>
          <w:szCs w:val="21"/>
          <w:highlight w:val="none"/>
        </w:rPr>
      </w:r>
      <w:r/>
    </w:p>
    <w:p>
      <w:pPr>
        <w:jc w:val="center"/>
        <w:spacing w:line="360" w:lineRule="auto"/>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 xml:space="preserve">关于投标报价合理性的澄清说明</w:t>
      </w:r>
      <w:r/>
    </w:p>
    <w:p>
      <w:pPr>
        <w:jc w:val="left"/>
        <w:spacing w:line="360" w:lineRule="auto"/>
        <w:rPr>
          <w:rFonts w:ascii="宋体" w:hAnsi="宋体"/>
          <w:color w:val="000000" w:themeColor="text1"/>
          <w:sz w:val="24"/>
          <w:szCs w:val="24"/>
          <w:highlight w:val="none"/>
          <w:u w:val="single"/>
        </w:rPr>
      </w:pPr>
      <w:r>
        <w:rPr>
          <w:rFonts w:ascii="宋体" w:hAnsi="宋体"/>
          <w:color w:val="000000" w:themeColor="text1"/>
          <w:sz w:val="24"/>
          <w:szCs w:val="24"/>
          <w:highlight w:val="none"/>
          <w:u w:val="single"/>
        </w:rPr>
      </w:r>
      <w:r/>
    </w:p>
    <w:p>
      <w:pPr>
        <w:jc w:val="left"/>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u w:val="single"/>
        </w:rPr>
        <w:t xml:space="preserve">苏州时代招投标有限公司</w:t>
      </w:r>
      <w:r>
        <w:rPr>
          <w:rFonts w:ascii="宋体" w:hAnsi="宋体"/>
          <w:color w:val="000000" w:themeColor="text1"/>
          <w:sz w:val="24"/>
          <w:szCs w:val="24"/>
          <w:highlight w:val="none"/>
        </w:rPr>
        <w:t xml:space="preserve">：</w:t>
      </w:r>
      <w:r/>
    </w:p>
    <w:p>
      <w:pPr>
        <w:pStyle w:val="898"/>
        <w:ind w:firstLine="420"/>
        <w:spacing w:line="360" w:lineRule="auto"/>
        <w:rPr>
          <w:rFonts w:cs="宋体"/>
          <w:color w:val="000000" w:themeColor="text1"/>
          <w:sz w:val="24"/>
          <w:szCs w:val="24"/>
          <w:highlight w:val="none"/>
        </w:rPr>
      </w:pPr>
      <w:r>
        <w:rPr>
          <w:color w:val="000000" w:themeColor="text1"/>
          <w:sz w:val="24"/>
          <w:szCs w:val="24"/>
          <w:highlight w:val="none"/>
        </w:rPr>
        <w:t xml:space="preserve">本公司愿就贵</w:t>
      </w:r>
      <w:r>
        <w:rPr>
          <w:rFonts w:hint="eastAsia"/>
          <w:color w:val="000000" w:themeColor="text1"/>
          <w:sz w:val="24"/>
          <w:szCs w:val="24"/>
          <w:highlight w:val="none"/>
        </w:rPr>
        <w:t xml:space="preserve">公司</w:t>
      </w:r>
      <w:r>
        <w:rPr>
          <w:color w:val="000000" w:themeColor="text1"/>
          <w:sz w:val="24"/>
          <w:szCs w:val="24"/>
          <w:highlight w:val="none"/>
        </w:rPr>
        <w:t xml:space="preserve">组织实施的编号为号（</w:t>
      </w:r>
      <w:r>
        <w:rPr>
          <w:rFonts w:hint="eastAsia"/>
          <w:color w:val="000000" w:themeColor="text1"/>
          <w:sz w:val="24"/>
          <w:szCs w:val="24"/>
          <w:highlight w:val="none"/>
        </w:rPr>
        <w:t xml:space="preserve">项目</w:t>
      </w:r>
      <w:r>
        <w:rPr>
          <w:color w:val="000000" w:themeColor="text1"/>
          <w:sz w:val="24"/>
          <w:szCs w:val="24"/>
          <w:highlight w:val="none"/>
        </w:rPr>
        <w:t xml:space="preserve">编号）的招标活动进行投标</w:t>
      </w:r>
      <w:r>
        <w:rPr>
          <w:rFonts w:hint="eastAsia"/>
          <w:color w:val="000000" w:themeColor="text1"/>
          <w:sz w:val="24"/>
          <w:szCs w:val="24"/>
          <w:highlight w:val="none"/>
        </w:rPr>
        <w:t xml:space="preserve">，对于本公司的投标报价合理性作出说明如下：</w:t>
      </w:r>
      <w:r/>
    </w:p>
    <w:tbl>
      <w:tblPr>
        <w:tblStyle w:val="897"/>
        <w:tblW w:w="8235"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8235"/>
      </w:tblGrid>
      <w:tr>
        <w:trPr>
          <w:trHeight w:val="3940"/>
        </w:trPr>
        <w:tc>
          <w:tcPr>
            <w:tcW w:w="8235" w:type="dxa"/>
            <w:vAlign w:val="center"/>
            <w:textDirection w:val="lrTb"/>
            <w:noWrap/>
          </w:tcPr>
          <w:p>
            <w:pPr>
              <w:spacing w:line="360" w:lineRule="auto"/>
              <w:rPr>
                <w:rFonts w:ascii="宋体" w:hAnsi="宋体"/>
                <w:b/>
                <w:color w:val="000000" w:themeColor="text1"/>
                <w:sz w:val="24"/>
                <w:szCs w:val="24"/>
                <w:highlight w:val="none"/>
                <w:shd w:val="pct10" w:color="auto" w:fill="ffffff"/>
              </w:rPr>
            </w:pPr>
            <w:r>
              <w:rPr>
                <w:rFonts w:hint="eastAsia" w:ascii="宋体" w:hAnsi="宋体"/>
                <w:b/>
                <w:color w:val="000000" w:themeColor="text1"/>
                <w:sz w:val="24"/>
                <w:szCs w:val="24"/>
                <w:highlight w:val="none"/>
              </w:rPr>
              <w:t xml:space="preserve">投标人应当根据实际情况自拟答复并根据评标委员会关于澄清的要求提供相关证明材料作为附件。</w:t>
            </w:r>
            <w:r/>
          </w:p>
        </w:tc>
      </w:tr>
    </w:tbl>
    <w:p>
      <w:pPr>
        <w:spacing w:line="360" w:lineRule="auto"/>
        <w:rPr>
          <w:rFonts w:ascii="宋体" w:hAnsi="宋体"/>
          <w:bCs/>
          <w:color w:val="000000" w:themeColor="text1"/>
          <w:sz w:val="24"/>
          <w:szCs w:val="24"/>
          <w:highlight w:val="none"/>
          <w:lang w:val="zh-CN"/>
        </w:rPr>
      </w:pPr>
      <w:r/>
      <w:bookmarkStart w:id="16" w:name="OLE_LINK26"/>
      <w:r/>
      <w:bookmarkStart w:id="17" w:name="OLE_LINK23"/>
      <w:r/>
      <w:bookmarkStart w:id="18" w:name="OLE_LINK24"/>
      <w:r/>
      <w:bookmarkStart w:id="19" w:name="OLE_LINK21"/>
      <w:r>
        <w:rPr>
          <w:rFonts w:hint="eastAsia" w:ascii="宋体" w:hAnsi="宋体"/>
          <w:bCs/>
          <w:color w:val="000000" w:themeColor="text1"/>
          <w:sz w:val="24"/>
          <w:szCs w:val="24"/>
          <w:highlight w:val="none"/>
          <w:lang w:val="zh-CN"/>
        </w:rPr>
        <w:t xml:space="preserve">备注：根据招标文件第二章“投标人须知”第26.4</w:t>
      </w:r>
      <w:bookmarkStart w:id="20" w:name="OLE_LINK12"/>
      <w:r>
        <w:rPr>
          <w:rFonts w:hint="eastAsia" w:ascii="宋体" w:hAnsi="宋体"/>
          <w:bCs/>
          <w:color w:val="000000" w:themeColor="text1"/>
          <w:sz w:val="24"/>
          <w:szCs w:val="24"/>
          <w:highlight w:val="none"/>
          <w:lang w:val="zh-CN"/>
        </w:rPr>
        <w:t xml:space="preserve">条要求，在评标过程中当出现投标</w:t>
      </w:r>
      <w:r>
        <w:rPr>
          <w:rFonts w:ascii="宋体" w:hAnsi="宋体"/>
          <w:bCs/>
          <w:color w:val="000000" w:themeColor="text1"/>
          <w:sz w:val="24"/>
          <w:szCs w:val="24"/>
          <w:highlight w:val="none"/>
          <w:lang w:val="zh-CN"/>
        </w:rPr>
        <w:t xml:space="preserve">报价低于采购项目预算</w:t>
      </w:r>
      <w:r>
        <w:rPr>
          <w:rFonts w:hint="eastAsia" w:ascii="宋体" w:hAnsi="宋体"/>
          <w:bCs/>
          <w:color w:val="000000" w:themeColor="text1"/>
          <w:sz w:val="24"/>
          <w:szCs w:val="24"/>
          <w:highlight w:val="none"/>
          <w:lang w:val="zh-CN"/>
        </w:rPr>
        <w:t xml:space="preserve">50%或者投标</w:t>
      </w:r>
      <w:r>
        <w:rPr>
          <w:rFonts w:ascii="宋体" w:hAnsi="宋体"/>
          <w:bCs/>
          <w:color w:val="000000" w:themeColor="text1"/>
          <w:sz w:val="24"/>
          <w:szCs w:val="24"/>
          <w:highlight w:val="none"/>
          <w:lang w:val="zh-CN"/>
        </w:rPr>
        <w:t xml:space="preserve">报价</w:t>
      </w:r>
      <w:r>
        <w:rPr>
          <w:rFonts w:hint="eastAsia" w:ascii="宋体" w:hAnsi="宋体"/>
          <w:bCs/>
          <w:color w:val="000000" w:themeColor="text1"/>
          <w:sz w:val="24"/>
          <w:szCs w:val="24"/>
          <w:highlight w:val="none"/>
          <w:lang w:val="zh-CN"/>
        </w:rPr>
        <w:t xml:space="preserve">低于</w:t>
      </w:r>
      <w:r>
        <w:rPr>
          <w:rFonts w:ascii="宋体" w:hAnsi="宋体"/>
          <w:bCs/>
          <w:color w:val="000000" w:themeColor="text1"/>
          <w:sz w:val="24"/>
          <w:szCs w:val="24"/>
          <w:highlight w:val="none"/>
          <w:lang w:val="zh-CN"/>
        </w:rPr>
        <w:t xml:space="preserve">采购项目最高</w:t>
      </w:r>
      <w:r>
        <w:rPr>
          <w:rFonts w:hint="eastAsia" w:ascii="宋体" w:hAnsi="宋体"/>
          <w:bCs/>
          <w:color w:val="000000" w:themeColor="text1"/>
          <w:sz w:val="24"/>
          <w:szCs w:val="24"/>
          <w:highlight w:val="none"/>
          <w:lang w:val="zh-CN"/>
        </w:rPr>
        <w:t xml:space="preserve">限价</w:t>
      </w:r>
      <w:r>
        <w:rPr>
          <w:rFonts w:ascii="宋体" w:hAnsi="宋体"/>
          <w:bCs/>
          <w:color w:val="000000" w:themeColor="text1"/>
          <w:sz w:val="24"/>
          <w:szCs w:val="24"/>
          <w:highlight w:val="none"/>
          <w:lang w:val="zh-CN"/>
        </w:rPr>
        <w:t xml:space="preserve">45%</w:t>
      </w:r>
      <w:bookmarkEnd w:id="20"/>
      <w:r>
        <w:rPr>
          <w:rFonts w:hint="eastAsia" w:ascii="宋体" w:hAnsi="宋体"/>
          <w:bCs/>
          <w:color w:val="000000" w:themeColor="text1"/>
          <w:sz w:val="24"/>
          <w:szCs w:val="24"/>
          <w:highlight w:val="none"/>
          <w:lang w:val="zh-CN"/>
        </w:rPr>
        <w:t xml:space="preserve">或者评标委员会认定的供应商报价过低、有可能影响产品质量或者不能诚信履约的其他情形时，</w:t>
      </w:r>
      <w:bookmarkStart w:id="21" w:name="OLE_LINK18"/>
      <w:r/>
      <w:bookmarkStart w:id="22" w:name="OLE_LINK19"/>
      <w:r>
        <w:rPr>
          <w:rFonts w:hint="eastAsia" w:ascii="宋体" w:hAnsi="宋体"/>
          <w:bCs/>
          <w:color w:val="000000" w:themeColor="text1"/>
          <w:sz w:val="24"/>
          <w:szCs w:val="24"/>
          <w:highlight w:val="none"/>
          <w:lang w:val="zh-CN"/>
        </w:rPr>
        <w:t xml:space="preserve">评标委员会</w:t>
      </w:r>
      <w:bookmarkEnd w:id="21"/>
      <w:r/>
      <w:bookmarkEnd w:id="22"/>
      <w:r>
        <w:rPr>
          <w:rFonts w:hint="eastAsia" w:ascii="宋体" w:hAnsi="宋体"/>
          <w:bCs/>
          <w:color w:val="000000" w:themeColor="text1"/>
          <w:sz w:val="24"/>
          <w:szCs w:val="24"/>
          <w:highlight w:val="none"/>
          <w:lang w:val="zh-CN"/>
        </w:rPr>
        <w:t xml:space="preserve">应当启动异常低价投标审查程序。评标委员会应当要求投标人出具书面说明及必要的证明材料，对投标价格作出解释。书面说明、证明材料主要是项目具体成本测算等与报价合理性相关的说明、材料（例如进货合同及发票、往期类似项目合同报价清单、库存清单、仓库照片等，最终以评标委员会具体要求为准）。投标人不能证明其报价合理性的，评标委员会应当将其作为无效投标处理。</w:t>
      </w:r>
      <w:bookmarkEnd w:id="16"/>
      <w:r/>
      <w:bookmarkEnd w:id="17"/>
      <w:r/>
      <w:bookmarkEnd w:id="18"/>
      <w:r/>
      <w:bookmarkEnd w:id="19"/>
      <w:r/>
      <w:r/>
    </w:p>
    <w:p>
      <w:pPr>
        <w:ind w:firstLine="4830"/>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r>
      <w:r/>
    </w:p>
    <w:p>
      <w:pPr>
        <w:ind w:firstLine="4830"/>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r>
      <w:r/>
    </w:p>
    <w:p>
      <w:pPr>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投标人（盖章）： </w:t>
      </w:r>
      <w:r/>
    </w:p>
    <w:p>
      <w:pPr>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法定代表人或代理人（签字或盖章）：</w:t>
      </w:r>
      <w:r/>
    </w:p>
    <w:p>
      <w:pPr>
        <w:jc w:val="left"/>
        <w:spacing w:line="360" w:lineRule="auto"/>
        <w:rPr>
          <w:rFonts w:ascii="宋体" w:hAnsi="宋体"/>
          <w:b/>
          <w:color w:val="000000" w:themeColor="text1"/>
          <w:sz w:val="24"/>
          <w:szCs w:val="24"/>
          <w:highlight w:val="none"/>
        </w:rPr>
      </w:pPr>
      <w:r>
        <w:rPr>
          <w:rFonts w:ascii="宋体" w:hAnsi="宋体"/>
          <w:color w:val="000000" w:themeColor="text1"/>
          <w:sz w:val="24"/>
          <w:szCs w:val="24"/>
          <w:highlight w:val="none"/>
        </w:rPr>
        <w:t xml:space="preserve">日期</w:t>
      </w:r>
      <w:r>
        <w:rPr>
          <w:rFonts w:hint="eastAsia" w:ascii="宋体" w:hAnsi="宋体"/>
          <w:color w:val="000000" w:themeColor="text1"/>
          <w:sz w:val="24"/>
          <w:szCs w:val="24"/>
          <w:highlight w:val="none"/>
        </w:rPr>
        <w:t xml:space="preserve">：年 月 日</w:t>
      </w:r>
      <w:r/>
    </w:p>
    <w:p>
      <w:pP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4、投标货物和服务数量、品牌规格、性能说明表</w:t>
      </w:r>
      <w:r/>
    </w:p>
    <w:p>
      <w:pPr>
        <w:jc w:val="center"/>
        <w:spacing w:before="100" w:beforeAutospacing="1" w:after="100" w:afterAutospacing="1" w:line="480" w:lineRule="auto"/>
        <w:rPr>
          <w:rFonts w:ascii="宋体" w:hAnsi="宋体"/>
          <w:bCs/>
          <w:color w:val="000000" w:themeColor="text1"/>
          <w:sz w:val="24"/>
          <w:szCs w:val="24"/>
          <w:highlight w:val="none"/>
        </w:rPr>
      </w:pPr>
      <w:r>
        <w:rPr>
          <w:rFonts w:hint="eastAsia" w:ascii="宋体" w:hAnsi="宋体"/>
          <w:bCs/>
          <w:color w:val="000000" w:themeColor="text1"/>
          <w:sz w:val="24"/>
          <w:szCs w:val="24"/>
          <w:highlight w:val="none"/>
        </w:rPr>
        <w:t xml:space="preserve">投标货物和服务数量、品牌规格、性能说明表</w:t>
      </w:r>
      <w:r/>
    </w:p>
    <w:tbl>
      <w:tblPr>
        <w:tblStyle w:val="897"/>
        <w:tblW w:w="8277" w:type="dxa"/>
        <w:jc w:val="center"/>
        <w:tblLayout w:type="fixed"/>
        <w:tblCellMar>
          <w:left w:w="0" w:type="dxa"/>
          <w:top w:w="0" w:type="dxa"/>
          <w:right w:w="0" w:type="dxa"/>
          <w:bottom w:w="0" w:type="dxa"/>
        </w:tblCellMar>
        <w:tblLook w:val="04A0" w:firstRow="1" w:lastRow="0" w:firstColumn="1" w:lastColumn="0" w:noHBand="0" w:noVBand="1"/>
      </w:tblPr>
      <w:tblGrid>
        <w:gridCol w:w="958"/>
        <w:gridCol w:w="1683"/>
        <w:gridCol w:w="1360"/>
        <w:gridCol w:w="1879"/>
        <w:gridCol w:w="1119"/>
        <w:gridCol w:w="1278"/>
      </w:tblGrid>
      <w:tr>
        <w:trPr>
          <w:jc w:val="center"/>
          <w:trHeight w:val="609"/>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序号</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标的物名称</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品牌</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规格尺寸</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单位</w:t>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数量</w:t>
            </w:r>
            <w:r/>
          </w:p>
        </w:tc>
      </w:tr>
      <w:tr>
        <w:trPr>
          <w:jc w:val="center"/>
          <w:trHeight w:val="443"/>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jc w:val="cente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jc w:val="cente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jc w:val="cente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jc w:val="cente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5</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jc w:val="cente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6</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jc w:val="cente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7</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jc w:val="cente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8</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jc w:val="cente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jc w:val="center"/>
        </w:trPr>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58"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w:t>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83"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360"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87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19" w:type="dxa"/>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W w:w="1278" w:type="dxa"/>
            <w:vAlign w:val="center"/>
            <w:textDirection w:val="lrTb"/>
            <w:noWrap/>
          </w:tcPr>
          <w:p>
            <w:pPr>
              <w:jc w:val="center"/>
              <w:spacing w:line="360" w:lineRule="auto"/>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bl>
    <w:p>
      <w:pPr>
        <w:jc w:val="left"/>
        <w:rPr>
          <w:rFonts w:ascii="宋体" w:hAnsi="宋体"/>
          <w:b/>
          <w:color w:val="000000" w:themeColor="text1"/>
          <w:szCs w:val="21"/>
          <w:highlight w:val="none"/>
        </w:rPr>
      </w:pPr>
      <w:r>
        <w:rPr>
          <w:rFonts w:ascii="宋体" w:hAnsi="宋体"/>
          <w:b/>
          <w:color w:val="000000" w:themeColor="text1"/>
          <w:szCs w:val="21"/>
          <w:highlight w:val="none"/>
        </w:rPr>
      </w:r>
      <w:r/>
    </w:p>
    <w:p>
      <w:pPr>
        <w:ind w:firstLine="4830"/>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r>
      <w:r/>
    </w:p>
    <w:p>
      <w:pPr>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投标人（盖章）： </w:t>
      </w:r>
      <w:r/>
    </w:p>
    <w:p>
      <w:pPr>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法定代表人或代理人（签字或盖章）：</w:t>
      </w:r>
      <w:r/>
    </w:p>
    <w:p>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日期</w:t>
      </w:r>
      <w:r>
        <w:rPr>
          <w:rFonts w:hint="eastAsia" w:ascii="宋体" w:hAnsi="宋体"/>
          <w:color w:val="000000" w:themeColor="text1"/>
          <w:sz w:val="24"/>
          <w:szCs w:val="24"/>
          <w:highlight w:val="none"/>
        </w:rPr>
        <w:t xml:space="preserve">：年 月 日</w:t>
      </w:r>
      <w:r/>
    </w:p>
    <w:p>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5、技术参数响应及偏离表</w:t>
      </w:r>
      <w:r/>
    </w:p>
    <w:p>
      <w:pPr>
        <w:jc w:val="center"/>
        <w:spacing w:line="360" w:lineRule="auto"/>
        <w:rPr>
          <w:rFonts w:ascii="宋体" w:hAnsi="宋体"/>
          <w:bCs/>
          <w:color w:val="000000" w:themeColor="text1"/>
          <w:sz w:val="24"/>
          <w:szCs w:val="24"/>
          <w:highlight w:val="none"/>
        </w:rPr>
      </w:pPr>
      <w:r>
        <w:rPr>
          <w:rFonts w:ascii="宋体" w:hAnsi="宋体"/>
          <w:bCs/>
          <w:color w:val="000000" w:themeColor="text1"/>
          <w:sz w:val="24"/>
          <w:szCs w:val="24"/>
          <w:highlight w:val="none"/>
        </w:rPr>
      </w:r>
      <w:r/>
    </w:p>
    <w:p>
      <w:pPr>
        <w:jc w:val="center"/>
        <w:spacing w:line="360" w:lineRule="auto"/>
        <w:rPr>
          <w:rFonts w:ascii="宋体" w:hAnsi="宋体"/>
          <w:bCs/>
          <w:color w:val="000000" w:themeColor="text1"/>
          <w:sz w:val="24"/>
          <w:szCs w:val="24"/>
          <w:highlight w:val="none"/>
        </w:rPr>
      </w:pPr>
      <w:r>
        <w:rPr>
          <w:rFonts w:hint="eastAsia" w:ascii="宋体" w:hAnsi="宋体"/>
          <w:bCs/>
          <w:color w:val="000000" w:themeColor="text1"/>
          <w:sz w:val="24"/>
          <w:szCs w:val="24"/>
          <w:highlight w:val="none"/>
        </w:rPr>
        <w:t xml:space="preserve">技术参数响应及偏离表</w:t>
      </w:r>
      <w:r/>
    </w:p>
    <w:tbl>
      <w:tblPr>
        <w:tblStyle w:val="897"/>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724"/>
        <w:gridCol w:w="1554"/>
        <w:gridCol w:w="1710"/>
        <w:gridCol w:w="1635"/>
        <w:gridCol w:w="1440"/>
        <w:gridCol w:w="1365"/>
      </w:tblGrid>
      <w:tr>
        <w:trPr>
          <w:trHeight w:val="760"/>
        </w:trPr>
        <w:tc>
          <w:tcPr>
            <w:tcW w:w="724"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序号</w:t>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项目</w:t>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招标要求</w:t>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投标内容</w:t>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偏离说明</w:t>
            </w:r>
            <w:r/>
          </w:p>
        </w:tc>
        <w:tc>
          <w:tcPr>
            <w:tcW w:w="1365"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证明材料</w:t>
            </w:r>
            <w:r/>
          </w:p>
        </w:tc>
      </w:tr>
      <w:tr>
        <w:trPr>
          <w:cantSplit/>
          <w:trHeight w:val="495"/>
        </w:trPr>
        <w:tc>
          <w:tcPr>
            <w:tcW w:w="72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365"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365"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365"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365"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365"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365"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365"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365"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55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1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3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4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365"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bl>
    <w:p>
      <w:pPr>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t xml:space="preserve">注：供应商</w:t>
      </w:r>
      <w:r>
        <w:rPr>
          <w:rFonts w:hint="eastAsia" w:ascii="宋体" w:hAnsi="宋体"/>
          <w:color w:val="000000" w:themeColor="text1"/>
          <w:sz w:val="24"/>
          <w:szCs w:val="24"/>
          <w:highlight w:val="none"/>
        </w:rPr>
        <w:t xml:space="preserve">应在本表中对照招标文件要求逐项对应列出响应内容，并在“偏离说明”项下填写以下内容：优于的，填写“正偏离”；符合的，填写“无偏离”；低于的，填写“负偏离”；上述表格内容不够的请自行添加。</w:t>
      </w:r>
      <w:r/>
    </w:p>
    <w:p>
      <w:pPr>
        <w:ind w:firstLine="210"/>
        <w:spacing w:line="360" w:lineRule="auto"/>
        <w:rPr>
          <w:rFonts w:ascii="宋体" w:hAnsi="宋体"/>
          <w:color w:val="000000" w:themeColor="text1"/>
          <w:sz w:val="24"/>
          <w:highlight w:val="none"/>
        </w:rPr>
      </w:pPr>
      <w:r>
        <w:rPr>
          <w:rFonts w:ascii="宋体" w:hAnsi="宋体"/>
          <w:color w:val="000000" w:themeColor="text1"/>
          <w:sz w:val="24"/>
          <w:highlight w:val="none"/>
        </w:rPr>
      </w:r>
      <w:r/>
    </w:p>
    <w:p>
      <w:pPr>
        <w:pStyle w:val="1132"/>
        <w:rPr>
          <w:color w:val="000000" w:themeColor="text1"/>
          <w:highlight w:val="none"/>
        </w:rPr>
      </w:pPr>
      <w:r>
        <w:rPr>
          <w:color w:val="000000" w:themeColor="text1"/>
          <w:highlight w:val="none"/>
        </w:rPr>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投标</w:t>
      </w:r>
      <w:r>
        <w:rPr>
          <w:rFonts w:ascii="宋体" w:hAnsi="宋体"/>
          <w:color w:val="000000" w:themeColor="text1"/>
          <w:sz w:val="24"/>
          <w:highlight w:val="none"/>
        </w:rPr>
        <w:t xml:space="preserve">单位：（单位盖章）</w:t>
      </w:r>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法定代表人或代理人：（签字或盖章）</w:t>
      </w:r>
      <w:r/>
    </w:p>
    <w:p>
      <w:pPr>
        <w:spacing w:line="380" w:lineRule="exact"/>
        <w:rPr>
          <w:rFonts w:ascii="宋体" w:hAnsi="宋体"/>
          <w:color w:val="000000" w:themeColor="text1"/>
          <w:sz w:val="28"/>
          <w:szCs w:val="28"/>
          <w:highlight w:val="none"/>
        </w:rPr>
      </w:pPr>
      <w:r>
        <w:rPr>
          <w:rFonts w:hint="eastAsia" w:ascii="宋体" w:hAnsi="宋体"/>
          <w:color w:val="000000" w:themeColor="text1"/>
          <w:sz w:val="24"/>
          <w:highlight w:val="none"/>
        </w:rPr>
        <w:t xml:space="preserve">日期：    年    月    日</w:t>
      </w:r>
      <w:r/>
    </w:p>
    <w:p>
      <w:pPr>
        <w:ind w:firstLine="210"/>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210"/>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210"/>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210"/>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210"/>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210"/>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210"/>
        <w:spacing w:line="360" w:lineRule="auto"/>
        <w:rPr>
          <w:rFonts w:ascii="宋体" w:hAnsi="宋体"/>
          <w:color w:val="000000" w:themeColor="text1"/>
          <w:sz w:val="24"/>
          <w:highlight w:val="none"/>
        </w:rPr>
      </w:pPr>
      <w:r>
        <w:rPr>
          <w:rFonts w:ascii="宋体" w:hAnsi="宋体"/>
          <w:color w:val="000000" w:themeColor="text1"/>
          <w:sz w:val="24"/>
          <w:highlight w:val="none"/>
        </w:rPr>
      </w:r>
      <w:r/>
    </w:p>
    <w:p>
      <w:pP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6、商务条款响应及偏离表</w:t>
      </w:r>
      <w:r/>
    </w:p>
    <w:p>
      <w:pPr>
        <w:jc w:val="center"/>
        <w:spacing w:line="360" w:lineRule="auto"/>
        <w:rPr>
          <w:rFonts w:ascii="宋体" w:hAnsi="宋体"/>
          <w:bCs/>
          <w:color w:val="000000" w:themeColor="text1"/>
          <w:sz w:val="24"/>
          <w:szCs w:val="24"/>
          <w:highlight w:val="none"/>
        </w:rPr>
      </w:pPr>
      <w:r>
        <w:rPr>
          <w:rFonts w:ascii="宋体" w:hAnsi="宋体"/>
          <w:bCs/>
          <w:color w:val="000000" w:themeColor="text1"/>
          <w:sz w:val="24"/>
          <w:szCs w:val="24"/>
          <w:highlight w:val="none"/>
        </w:rPr>
      </w:r>
      <w:r/>
    </w:p>
    <w:p>
      <w:pPr>
        <w:jc w:val="center"/>
        <w:spacing w:line="360" w:lineRule="auto"/>
        <w:rPr>
          <w:rFonts w:ascii="宋体" w:hAnsi="宋体"/>
          <w:bCs/>
          <w:color w:val="000000" w:themeColor="text1"/>
          <w:sz w:val="24"/>
          <w:szCs w:val="24"/>
          <w:highlight w:val="none"/>
        </w:rPr>
      </w:pPr>
      <w:r>
        <w:rPr>
          <w:rFonts w:hint="eastAsia" w:ascii="宋体" w:hAnsi="宋体"/>
          <w:bCs/>
          <w:color w:val="000000" w:themeColor="text1"/>
          <w:sz w:val="24"/>
          <w:szCs w:val="24"/>
          <w:highlight w:val="none"/>
        </w:rPr>
        <w:t xml:space="preserve">商务条款响应及偏离表</w:t>
      </w:r>
      <w:r/>
    </w:p>
    <w:tbl>
      <w:tblPr>
        <w:tblStyle w:val="897"/>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724"/>
        <w:gridCol w:w="1467"/>
        <w:gridCol w:w="1453"/>
        <w:gridCol w:w="1687"/>
        <w:gridCol w:w="1700"/>
        <w:gridCol w:w="1475"/>
      </w:tblGrid>
      <w:tr>
        <w:trPr>
          <w:trHeight w:val="760"/>
        </w:trPr>
        <w:tc>
          <w:tcPr>
            <w:tcW w:w="724"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序号</w:t>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项目</w:t>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招标要求</w:t>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投标内容</w:t>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偏离说明</w:t>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证明材料</w:t>
            </w:r>
            <w:r/>
          </w:p>
        </w:tc>
      </w:tr>
      <w:tr>
        <w:trPr>
          <w:cantSplit/>
          <w:trHeight w:val="495"/>
        </w:trPr>
        <w:tc>
          <w:tcPr>
            <w:tcW w:w="72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cantSplit/>
          <w:trHeight w:val="495"/>
        </w:trPr>
        <w:tc>
          <w:tcPr>
            <w:tcW w:w="724" w:type="dxa"/>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6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53"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687"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700"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1475" w:type="dxa"/>
            <w:vAlign w:val="center"/>
            <w:textDirection w:val="lrTb"/>
            <w:noWrap/>
          </w:tcPr>
          <w:p>
            <w:pPr>
              <w:jc w:val="center"/>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bl>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注：1</w:t>
      </w:r>
      <w:r>
        <w:rPr>
          <w:rFonts w:hint="eastAsia" w:ascii="宋体" w:hAnsi="宋体"/>
          <w:color w:val="000000" w:themeColor="text1"/>
          <w:sz w:val="24"/>
          <w:szCs w:val="24"/>
          <w:highlight w:val="none"/>
          <w:lang w:eastAsia="zh-CN"/>
        </w:rPr>
        <w:t xml:space="preserve">）</w:t>
      </w:r>
      <w:r>
        <w:rPr>
          <w:rFonts w:hint="eastAsia" w:ascii="宋体" w:hAnsi="宋体"/>
          <w:color w:val="000000" w:themeColor="text1"/>
          <w:sz w:val="24"/>
          <w:szCs w:val="24"/>
          <w:highlight w:val="none"/>
        </w:rPr>
        <w:t xml:space="preserve">投标人应在本表中对照招标文件商务条款要求逐项对应列出响应内容，并在“偏离说明”项下填写以下内容：优于的，填写“正偏离”；符合的，填写“无偏离”；低于的，填写“负偏离”。</w:t>
      </w:r>
      <w:r/>
    </w:p>
    <w:p>
      <w:pPr>
        <w:ind w:firstLine="420"/>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lang w:eastAsia="zh-CN"/>
        </w:rPr>
        <w:t xml:space="preserve">2）</w:t>
      </w:r>
      <w:r>
        <w:rPr>
          <w:rFonts w:hint="eastAsia" w:ascii="宋体" w:hAnsi="宋体"/>
          <w:color w:val="000000" w:themeColor="text1"/>
          <w:sz w:val="24"/>
          <w:szCs w:val="24"/>
          <w:highlight w:val="none"/>
        </w:rPr>
        <w:t xml:space="preserve">以上表格内容不够的请自行添加。</w:t>
      </w:r>
      <w:r/>
    </w:p>
    <w:p>
      <w:pPr>
        <w:pStyle w:val="1132"/>
        <w:rPr>
          <w:color w:val="000000" w:themeColor="text1"/>
          <w:highlight w:val="none"/>
        </w:rPr>
      </w:pPr>
      <w:r>
        <w:rPr>
          <w:color w:val="000000" w:themeColor="text1"/>
          <w:highlight w:val="none"/>
        </w:rPr>
      </w:r>
      <w:r/>
    </w:p>
    <w:p>
      <w:pPr>
        <w:pStyle w:val="1126"/>
        <w:rPr>
          <w:color w:val="000000" w:themeColor="text1"/>
          <w:highlight w:val="none"/>
        </w:rPr>
      </w:pPr>
      <w:r>
        <w:rPr>
          <w:color w:val="000000" w:themeColor="text1"/>
          <w:highlight w:val="none"/>
        </w:rPr>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投标</w:t>
      </w:r>
      <w:r>
        <w:rPr>
          <w:rFonts w:ascii="宋体" w:hAnsi="宋体"/>
          <w:color w:val="000000" w:themeColor="text1"/>
          <w:sz w:val="24"/>
          <w:highlight w:val="none"/>
        </w:rPr>
        <w:t xml:space="preserve">单位：（单位盖章）</w:t>
      </w:r>
      <w:r/>
    </w:p>
    <w:p>
      <w:pPr>
        <w:spacing w:line="360" w:lineRule="auto"/>
        <w:rPr>
          <w:rFonts w:ascii="宋体" w:hAnsi="宋体"/>
          <w:color w:val="000000" w:themeColor="text1"/>
          <w:sz w:val="24"/>
          <w:highlight w:val="none"/>
        </w:rPr>
      </w:pPr>
      <w:r>
        <w:rPr>
          <w:rFonts w:ascii="宋体" w:hAnsi="宋体"/>
          <w:color w:val="000000" w:themeColor="text1"/>
          <w:sz w:val="24"/>
          <w:highlight w:val="none"/>
        </w:rPr>
        <w:t xml:space="preserve">法定代表人或代理人：（签字或盖章）</w:t>
      </w:r>
      <w:r/>
    </w:p>
    <w:p>
      <w:pPr>
        <w:spacing w:line="380" w:lineRule="exact"/>
        <w:rPr>
          <w:rFonts w:ascii="宋体" w:hAnsi="宋体"/>
          <w:color w:val="000000" w:themeColor="text1"/>
          <w:sz w:val="28"/>
          <w:szCs w:val="28"/>
          <w:highlight w:val="none"/>
        </w:rPr>
      </w:pPr>
      <w:r>
        <w:rPr>
          <w:rFonts w:hint="eastAsia" w:ascii="宋体" w:hAnsi="宋体"/>
          <w:color w:val="000000" w:themeColor="text1"/>
          <w:sz w:val="24"/>
          <w:highlight w:val="none"/>
        </w:rPr>
        <w:t xml:space="preserve">日期：    年    月    日</w:t>
      </w:r>
      <w:r/>
    </w:p>
    <w:p>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clear="all"/>
      </w:r>
      <w:r/>
    </w:p>
    <w:p>
      <w:pPr>
        <w:pStyle w:val="1154"/>
        <w:rPr>
          <w:rFonts w:ascii="宋体" w:hAnsi="宋体"/>
          <w:color w:val="000000" w:themeColor="text1"/>
          <w:sz w:val="28"/>
          <w:szCs w:val="28"/>
          <w:highlight w:val="none"/>
          <w:lang w:val="zh-CN"/>
        </w:rPr>
      </w:pPr>
      <w:r>
        <w:rPr>
          <w:rFonts w:hint="eastAsia" w:ascii="宋体" w:hAnsi="宋体"/>
          <w:color w:val="000000" w:themeColor="text1"/>
          <w:sz w:val="28"/>
          <w:szCs w:val="28"/>
          <w:highlight w:val="none"/>
        </w:rPr>
        <w:t xml:space="preserve">7、售后服务承诺书</w:t>
      </w:r>
      <w:r/>
    </w:p>
    <w:p>
      <w:pPr>
        <w:jc w:val="center"/>
        <w:spacing w:line="400" w:lineRule="exact"/>
        <w:rPr>
          <w:rFonts w:ascii="宋体" w:hAnsi="宋体" w:cs="宋体"/>
          <w:b/>
          <w:color w:val="000000" w:themeColor="text1"/>
          <w:sz w:val="24"/>
          <w:szCs w:val="24"/>
          <w:highlight w:val="none"/>
          <w:lang w:val="zh-CN"/>
        </w:rPr>
      </w:pPr>
      <w:r>
        <w:rPr>
          <w:rFonts w:ascii="宋体" w:hAnsi="宋体" w:cs="宋体"/>
          <w:b/>
          <w:color w:val="000000" w:themeColor="text1"/>
          <w:sz w:val="24"/>
          <w:szCs w:val="24"/>
          <w:highlight w:val="none"/>
          <w:lang w:val="zh-CN"/>
        </w:rPr>
      </w:r>
      <w:r/>
    </w:p>
    <w:p>
      <w:pPr>
        <w:jc w:val="center"/>
        <w:spacing w:line="400" w:lineRule="exact"/>
        <w:rPr>
          <w:rFonts w:ascii="宋体" w:hAnsi="宋体" w:cs="宋体"/>
          <w:b/>
          <w:color w:val="000000" w:themeColor="text1"/>
          <w:sz w:val="24"/>
          <w:szCs w:val="24"/>
          <w:highlight w:val="none"/>
          <w:lang w:val="zh-CN"/>
        </w:rPr>
      </w:pPr>
      <w:r>
        <w:rPr>
          <w:rFonts w:hint="eastAsia" w:ascii="宋体" w:hAnsi="宋体" w:cs="宋体"/>
          <w:b/>
          <w:color w:val="000000" w:themeColor="text1"/>
          <w:sz w:val="24"/>
          <w:szCs w:val="24"/>
          <w:highlight w:val="none"/>
          <w:lang w:val="zh-CN"/>
        </w:rPr>
        <w:t xml:space="preserve">售后服务承诺书</w:t>
      </w:r>
      <w:r/>
    </w:p>
    <w:p>
      <w:pPr>
        <w:jc w:val="center"/>
        <w:spacing w:line="400" w:lineRule="exact"/>
        <w:rPr>
          <w:rFonts w:ascii="宋体" w:hAnsi="宋体" w:cs="宋体"/>
          <w:b/>
          <w:color w:val="000000" w:themeColor="text1"/>
          <w:sz w:val="24"/>
          <w:szCs w:val="24"/>
          <w:highlight w:val="none"/>
          <w:lang w:val="zh-CN"/>
        </w:rPr>
      </w:pPr>
      <w:r>
        <w:rPr>
          <w:rFonts w:ascii="宋体" w:hAnsi="宋体" w:cs="宋体"/>
          <w:b/>
          <w:color w:val="000000" w:themeColor="text1"/>
          <w:sz w:val="24"/>
          <w:szCs w:val="24"/>
          <w:highlight w:val="none"/>
          <w:lang w:val="zh-CN"/>
        </w:rPr>
      </w:r>
      <w:r/>
    </w:p>
    <w:tbl>
      <w:tblPr>
        <w:tblStyle w:val="897"/>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85"/>
        <w:gridCol w:w="2948"/>
        <w:gridCol w:w="2350"/>
        <w:gridCol w:w="2167"/>
      </w:tblGrid>
      <w:tr>
        <w:trPr>
          <w:trHeight w:val="850"/>
        </w:trPr>
        <w:tc>
          <w:tcPr>
            <w:tcW w:w="885" w:type="dxa"/>
            <w:vAlign w:val="center"/>
            <w:textDirection w:val="lrTb"/>
            <w:noWrap/>
          </w:tcPr>
          <w:p>
            <w:pPr>
              <w:jc w:val="center"/>
              <w:spacing w:line="400" w:lineRule="exact"/>
              <w:rPr>
                <w:rFonts w:ascii="宋体" w:hAnsi="宋体" w:cs="宋体"/>
                <w:color w:val="000000" w:themeColor="text1"/>
                <w:sz w:val="24"/>
                <w:szCs w:val="24"/>
                <w:highlight w:val="none"/>
                <w:lang w:val="zh-CN"/>
              </w:rPr>
            </w:pPr>
            <w:r>
              <w:rPr>
                <w:rFonts w:hint="eastAsia" w:ascii="宋体" w:hAnsi="宋体" w:cs="宋体"/>
                <w:color w:val="000000" w:themeColor="text1"/>
                <w:sz w:val="24"/>
                <w:szCs w:val="24"/>
                <w:highlight w:val="none"/>
                <w:lang w:val="zh-CN"/>
              </w:rPr>
              <w:t xml:space="preserve">序号</w:t>
            </w:r>
            <w:r/>
          </w:p>
        </w:tc>
        <w:tc>
          <w:tcPr>
            <w:tcW w:w="2948" w:type="dxa"/>
            <w:vAlign w:val="center"/>
            <w:textDirection w:val="lrTb"/>
            <w:noWrap/>
          </w:tcPr>
          <w:p>
            <w:pPr>
              <w:jc w:val="center"/>
              <w:spacing w:line="400" w:lineRule="exact"/>
              <w:rPr>
                <w:rFonts w:ascii="宋体" w:hAnsi="宋体" w:cs="宋体"/>
                <w:color w:val="000000" w:themeColor="text1"/>
                <w:sz w:val="24"/>
                <w:szCs w:val="24"/>
                <w:highlight w:val="none"/>
                <w:lang w:val="zh-CN"/>
              </w:rPr>
            </w:pPr>
            <w:r>
              <w:rPr>
                <w:rFonts w:hint="eastAsia" w:ascii="宋体" w:hAnsi="宋体" w:cs="宋体"/>
                <w:color w:val="000000" w:themeColor="text1"/>
                <w:sz w:val="24"/>
                <w:szCs w:val="24"/>
                <w:highlight w:val="none"/>
                <w:lang w:val="zh-CN"/>
              </w:rPr>
              <w:t xml:space="preserve">售后服务内容</w:t>
            </w:r>
            <w:r/>
          </w:p>
        </w:tc>
        <w:tc>
          <w:tcPr>
            <w:tcW w:w="2350" w:type="dxa"/>
            <w:vAlign w:val="center"/>
            <w:textDirection w:val="lrTb"/>
            <w:noWrap/>
          </w:tcPr>
          <w:p>
            <w:pPr>
              <w:jc w:val="center"/>
              <w:spacing w:line="400" w:lineRule="exact"/>
              <w:rPr>
                <w:rFonts w:ascii="宋体" w:hAnsi="宋体" w:cs="宋体"/>
                <w:color w:val="000000" w:themeColor="text1"/>
                <w:sz w:val="24"/>
                <w:szCs w:val="24"/>
                <w:highlight w:val="none"/>
                <w:lang w:val="zh-CN"/>
              </w:rPr>
            </w:pPr>
            <w:r>
              <w:rPr>
                <w:rFonts w:hint="eastAsia" w:ascii="宋体" w:hAnsi="宋体" w:cs="宋体"/>
                <w:color w:val="000000" w:themeColor="text1"/>
                <w:sz w:val="24"/>
                <w:szCs w:val="24"/>
                <w:highlight w:val="none"/>
                <w:lang w:val="zh-CN"/>
              </w:rPr>
              <w:t xml:space="preserve">期限（时间）</w:t>
            </w:r>
            <w:r/>
          </w:p>
        </w:tc>
        <w:tc>
          <w:tcPr>
            <w:tcW w:w="2167" w:type="dxa"/>
            <w:vAlign w:val="center"/>
            <w:textDirection w:val="lrTb"/>
            <w:noWrap/>
          </w:tcPr>
          <w:p>
            <w:pPr>
              <w:jc w:val="center"/>
              <w:spacing w:line="400" w:lineRule="exact"/>
              <w:rPr>
                <w:rFonts w:ascii="宋体" w:hAnsi="宋体" w:cs="宋体"/>
                <w:color w:val="000000" w:themeColor="text1"/>
                <w:sz w:val="24"/>
                <w:szCs w:val="24"/>
                <w:highlight w:val="none"/>
                <w:lang w:val="zh-CN"/>
              </w:rPr>
            </w:pPr>
            <w:r>
              <w:rPr>
                <w:rFonts w:hint="eastAsia" w:ascii="宋体" w:hAnsi="宋体" w:cs="宋体"/>
                <w:color w:val="000000" w:themeColor="text1"/>
                <w:sz w:val="24"/>
                <w:szCs w:val="24"/>
                <w:highlight w:val="none"/>
                <w:lang w:val="zh-CN"/>
              </w:rPr>
              <w:t xml:space="preserve">备注</w:t>
            </w:r>
            <w:r/>
          </w:p>
        </w:tc>
      </w:tr>
      <w:tr>
        <w:trPr>
          <w:trHeight w:val="850"/>
        </w:trPr>
        <w:tc>
          <w:tcPr>
            <w:tcW w:w="885"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w:t>
            </w:r>
            <w:r/>
          </w:p>
        </w:tc>
        <w:tc>
          <w:tcPr>
            <w:tcW w:w="2948"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免费质保期</w:t>
            </w:r>
            <w:r/>
          </w:p>
        </w:tc>
        <w:tc>
          <w:tcPr>
            <w:tcW w:w="2350"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2167"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trHeight w:val="850"/>
        </w:trPr>
        <w:tc>
          <w:tcPr>
            <w:tcW w:w="885"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w:t>
            </w:r>
            <w:r/>
          </w:p>
        </w:tc>
        <w:tc>
          <w:tcPr>
            <w:tcW w:w="2948" w:type="dxa"/>
            <w:vAlign w:val="center"/>
            <w:textDirection w:val="lrTb"/>
            <w:noWrap/>
          </w:tcPr>
          <w:p>
            <w:pPr>
              <w:jc w:val="center"/>
              <w:spacing w:before="25" w:after="25" w:line="400" w:lineRule="exact"/>
              <w:rPr>
                <w:rFonts w:ascii="宋体" w:hAnsi="宋体" w:cs="宋体"/>
                <w:color w:val="000000" w:themeColor="text1"/>
                <w:sz w:val="24"/>
                <w:szCs w:val="24"/>
                <w:highlight w:val="none"/>
                <w:lang w:val="zh-CN"/>
              </w:rPr>
            </w:pPr>
            <w:r>
              <w:rPr>
                <w:rFonts w:hint="eastAsia" w:ascii="宋体" w:hAnsi="宋体" w:cs="宋体"/>
                <w:color w:val="000000" w:themeColor="text1"/>
                <w:sz w:val="24"/>
                <w:szCs w:val="24"/>
                <w:highlight w:val="none"/>
                <w:lang w:val="zh-CN"/>
              </w:rPr>
              <w:t xml:space="preserve">服务响应</w:t>
            </w:r>
            <w:r/>
          </w:p>
        </w:tc>
        <w:tc>
          <w:tcPr>
            <w:tcW w:w="2350"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2167"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trHeight w:val="850"/>
        </w:trPr>
        <w:tc>
          <w:tcPr>
            <w:tcW w:w="885"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w:t>
            </w:r>
            <w:r/>
          </w:p>
        </w:tc>
        <w:tc>
          <w:tcPr>
            <w:tcW w:w="2948" w:type="dxa"/>
            <w:vAlign w:val="center"/>
            <w:textDirection w:val="lrTb"/>
            <w:noWrap/>
          </w:tcPr>
          <w:p>
            <w:pPr>
              <w:jc w:val="center"/>
              <w:spacing w:before="25" w:after="25" w:line="400" w:lineRule="exact"/>
              <w:rPr>
                <w:rFonts w:ascii="宋体" w:hAnsi="宋体" w:cs="宋体"/>
                <w:color w:val="000000" w:themeColor="text1"/>
                <w:sz w:val="24"/>
                <w:szCs w:val="24"/>
                <w:highlight w:val="none"/>
                <w:lang w:val="zh-CN"/>
              </w:rPr>
            </w:pPr>
            <w:r>
              <w:rPr>
                <w:rFonts w:hint="eastAsia" w:ascii="宋体" w:hAnsi="宋体" w:cs="宋体"/>
                <w:color w:val="000000" w:themeColor="text1"/>
                <w:sz w:val="24"/>
                <w:szCs w:val="24"/>
                <w:highlight w:val="none"/>
                <w:lang w:val="zh-CN"/>
              </w:rPr>
              <w:t xml:space="preserve">到达现场</w:t>
            </w:r>
            <w:r/>
          </w:p>
        </w:tc>
        <w:tc>
          <w:tcPr>
            <w:tcW w:w="2350"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2167"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trHeight w:val="850"/>
        </w:trPr>
        <w:tc>
          <w:tcPr>
            <w:tcW w:w="885"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w:t>
            </w:r>
            <w:r/>
          </w:p>
        </w:tc>
        <w:tc>
          <w:tcPr>
            <w:tcW w:w="2948" w:type="dxa"/>
            <w:vAlign w:val="center"/>
            <w:textDirection w:val="lrTb"/>
            <w:noWrap/>
          </w:tcPr>
          <w:p>
            <w:pPr>
              <w:jc w:val="center"/>
              <w:spacing w:before="25" w:after="25" w:line="400" w:lineRule="exact"/>
              <w:rPr>
                <w:rFonts w:ascii="宋体" w:hAnsi="宋体" w:cs="宋体"/>
                <w:color w:val="000000" w:themeColor="text1"/>
                <w:sz w:val="24"/>
                <w:szCs w:val="24"/>
                <w:highlight w:val="none"/>
                <w:lang w:val="zh-CN"/>
              </w:rPr>
            </w:pPr>
            <w:r>
              <w:rPr>
                <w:rFonts w:hint="eastAsia" w:ascii="宋体" w:hAnsi="宋体" w:cs="宋体"/>
                <w:color w:val="000000" w:themeColor="text1"/>
                <w:sz w:val="24"/>
                <w:szCs w:val="24"/>
                <w:highlight w:val="none"/>
                <w:lang w:val="zh-CN"/>
              </w:rPr>
              <w:t xml:space="preserve">解决问题</w:t>
            </w:r>
            <w:r/>
          </w:p>
        </w:tc>
        <w:tc>
          <w:tcPr>
            <w:tcW w:w="2350"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2167"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r>
        <w:trPr>
          <w:trHeight w:val="850"/>
        </w:trPr>
        <w:tc>
          <w:tcPr>
            <w:tcW w:w="885"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t xml:space="preserve">…</w:t>
            </w:r>
            <w:r/>
          </w:p>
        </w:tc>
        <w:tc>
          <w:tcPr>
            <w:tcW w:w="2948"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2350"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c>
          <w:tcPr>
            <w:tcW w:w="2167" w:type="dxa"/>
            <w:vAlign w:val="center"/>
            <w:textDirection w:val="lrTb"/>
            <w:noWrap/>
          </w:tcPr>
          <w:p>
            <w:pPr>
              <w:jc w:val="center"/>
              <w:spacing w:before="25" w:after="25" w:line="400" w:lineRule="exact"/>
              <w:rPr>
                <w:rFonts w:ascii="宋体" w:hAnsi="宋体" w:cs="宋体"/>
                <w:color w:val="000000" w:themeColor="text1"/>
                <w:sz w:val="24"/>
                <w:szCs w:val="24"/>
                <w:highlight w:val="none"/>
              </w:rPr>
            </w:pPr>
            <w:r>
              <w:rPr>
                <w:rFonts w:ascii="宋体" w:hAnsi="宋体" w:cs="宋体"/>
                <w:color w:val="000000" w:themeColor="text1"/>
                <w:sz w:val="24"/>
                <w:szCs w:val="24"/>
                <w:highlight w:val="none"/>
              </w:rPr>
            </w:r>
            <w:r/>
          </w:p>
        </w:tc>
      </w:tr>
    </w:tbl>
    <w:p>
      <w:pPr>
        <w:spacing w:before="25" w:after="25" w:line="400" w:lineRule="exact"/>
        <w:rPr>
          <w:rFonts w:ascii="宋体" w:hAnsi="宋体" w:cs="宋体"/>
          <w:color w:val="000000" w:themeColor="text1"/>
          <w:sz w:val="24"/>
          <w:szCs w:val="24"/>
          <w:highlight w:val="none"/>
          <w:lang w:val="zh-CN"/>
        </w:rPr>
      </w:pPr>
      <w:r>
        <w:rPr>
          <w:rFonts w:hint="eastAsia" w:ascii="宋体" w:hAnsi="宋体" w:cs="宋体"/>
          <w:color w:val="000000" w:themeColor="text1"/>
          <w:sz w:val="24"/>
          <w:szCs w:val="24"/>
          <w:highlight w:val="none"/>
          <w:lang w:val="zh-CN"/>
        </w:rPr>
        <w:t xml:space="preserve">注：1）针对服务内容有必须说明的事项，请在“备注”栏目内注明；</w:t>
      </w:r>
      <w:r/>
    </w:p>
    <w:p>
      <w:pPr>
        <w:ind w:firstLine="480"/>
        <w:spacing w:before="25" w:after="25" w:line="400" w:lineRule="exact"/>
        <w:rPr>
          <w:rFonts w:ascii="宋体" w:hAnsi="宋体" w:cs="宋体"/>
          <w:color w:val="000000" w:themeColor="text1"/>
          <w:sz w:val="24"/>
          <w:szCs w:val="24"/>
          <w:highlight w:val="none"/>
          <w:lang w:val="zh-CN"/>
        </w:rPr>
      </w:pPr>
      <w:r>
        <w:rPr>
          <w:rFonts w:hint="eastAsia" w:ascii="宋体" w:hAnsi="宋体" w:cs="宋体"/>
          <w:color w:val="000000" w:themeColor="text1"/>
          <w:sz w:val="24"/>
          <w:szCs w:val="24"/>
          <w:highlight w:val="none"/>
        </w:rPr>
        <w:t xml:space="preserve">2</w:t>
      </w:r>
      <w:r>
        <w:rPr>
          <w:rFonts w:hint="eastAsia" w:ascii="宋体" w:hAnsi="宋体" w:cs="宋体"/>
          <w:color w:val="000000" w:themeColor="text1"/>
          <w:sz w:val="24"/>
          <w:szCs w:val="24"/>
          <w:highlight w:val="none"/>
          <w:lang w:val="zh-CN"/>
        </w:rPr>
        <w:t xml:space="preserve">）如有其他售后服务内容，可自行参照填写或自制表格。</w:t>
      </w:r>
      <w:r/>
    </w:p>
    <w:p>
      <w:pPr>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r>
      <w:r/>
    </w:p>
    <w:p>
      <w:pPr>
        <w:jc w:val="left"/>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投标单位：（单位盖章）</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法定代表人或代理人：（签字或盖章）</w:t>
      </w:r>
      <w:r/>
    </w:p>
    <w:p>
      <w:pPr>
        <w:jc w:val="left"/>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日期：    年     月    日</w:t>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8、有关资格证明文件</w:t>
      </w:r>
      <w:r/>
    </w:p>
    <w:p>
      <w:pPr>
        <w:spacing w:line="360" w:lineRule="auto"/>
        <w:rPr>
          <w:rFonts w:ascii="宋体" w:hAnsi="宋体"/>
          <w:color w:val="000000" w:themeColor="text1"/>
          <w:sz w:val="24"/>
          <w:highlight w:val="none"/>
        </w:rPr>
      </w:pPr>
      <w:r>
        <w:rPr>
          <w:rFonts w:ascii="宋体" w:hAnsi="宋体"/>
          <w:color w:val="000000" w:themeColor="text1"/>
          <w:sz w:val="24"/>
          <w:highlight w:val="none"/>
        </w:rPr>
      </w:r>
      <w:r/>
    </w:p>
    <w:p>
      <w:pPr>
        <w:jc w:val="cente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关于资格文件的声明函</w:t>
      </w:r>
      <w:r/>
    </w:p>
    <w:p>
      <w:pPr>
        <w:ind w:firstLine="420"/>
        <w:jc w:val="center"/>
        <w:spacing w:line="360" w:lineRule="auto"/>
        <w:rPr>
          <w:rFonts w:ascii="宋体" w:hAnsi="宋体"/>
          <w:color w:val="000000" w:themeColor="text1"/>
          <w:sz w:val="24"/>
          <w:highlight w:val="none"/>
        </w:rPr>
      </w:pPr>
      <w:r>
        <w:rPr>
          <w:rFonts w:ascii="宋体" w:hAnsi="宋体"/>
          <w:color w:val="000000" w:themeColor="text1"/>
          <w:sz w:val="24"/>
          <w:highlight w:val="none"/>
        </w:rPr>
      </w:r>
      <w:r/>
    </w:p>
    <w:p>
      <w:pPr>
        <w:jc w:val="left"/>
        <w:spacing w:line="360" w:lineRule="auto"/>
        <w:rPr>
          <w:rFonts w:ascii="宋体" w:hAnsi="宋体"/>
          <w:color w:val="000000" w:themeColor="text1"/>
          <w:sz w:val="24"/>
          <w:highlight w:val="none"/>
        </w:rPr>
      </w:pPr>
      <w:r>
        <w:rPr>
          <w:rFonts w:hint="eastAsia" w:ascii="宋体" w:hAnsi="宋体"/>
          <w:color w:val="000000" w:themeColor="text1"/>
          <w:sz w:val="24"/>
          <w:highlight w:val="none"/>
          <w:u w:val="single"/>
        </w:rPr>
        <w:t xml:space="preserve">  苏州时代招投标有限公司  </w:t>
      </w:r>
      <w:r>
        <w:rPr>
          <w:rFonts w:hint="eastAsia" w:ascii="宋体" w:hAnsi="宋体"/>
          <w:color w:val="000000" w:themeColor="text1"/>
          <w:sz w:val="24"/>
          <w:highlight w:val="none"/>
        </w:rPr>
        <w:t xml:space="preserve">：</w:t>
      </w:r>
      <w:r/>
    </w:p>
    <w:p>
      <w:pPr>
        <w:ind w:firstLine="420"/>
        <w:jc w:val="left"/>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本公司愿就由贵公司组织实施的编号为</w:t>
      </w:r>
      <w:r>
        <w:rPr>
          <w:rFonts w:hint="eastAsia" w:ascii="宋体" w:hAnsi="宋体"/>
          <w:color w:val="000000" w:themeColor="text1"/>
          <w:sz w:val="24"/>
          <w:highlight w:val="none"/>
          <w:u w:val="single"/>
        </w:rPr>
        <w:t xml:space="preserve">（招标编号）</w:t>
      </w:r>
      <w:r>
        <w:rPr>
          <w:rFonts w:hint="eastAsia" w:ascii="宋体" w:hAnsi="宋体"/>
          <w:color w:val="000000" w:themeColor="text1"/>
          <w:sz w:val="24"/>
          <w:highlight w:val="none"/>
        </w:rPr>
        <w:t xml:space="preserve">号的招标活动进行投标。本公司所提交的投标文件中所有关于投标资格的文件、证明和陈述均是真实的、准确的。若与真实情况不符，本公司愿意承担由此而产生的一切后果。</w:t>
      </w:r>
      <w:r/>
    </w:p>
    <w:p>
      <w:pPr>
        <w:ind w:firstLine="420"/>
        <w:jc w:val="left"/>
        <w:spacing w:line="360" w:lineRule="auto"/>
        <w:rPr>
          <w:rFonts w:ascii="宋体" w:hAnsi="宋体"/>
          <w:color w:val="000000" w:themeColor="text1"/>
          <w:sz w:val="24"/>
          <w:highlight w:val="none"/>
        </w:rPr>
      </w:pPr>
      <w:r>
        <w:rPr>
          <w:rFonts w:hint="eastAsia" w:ascii="宋体" w:hAnsi="宋体"/>
          <w:color w:val="000000" w:themeColor="text1"/>
          <w:sz w:val="24"/>
          <w:highlight w:val="none"/>
        </w:rPr>
        <w:tab/>
      </w:r>
      <w:r/>
    </w:p>
    <w:p>
      <w:pPr>
        <w:ind w:firstLine="4260"/>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4260"/>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4260"/>
        <w:jc w:val="left"/>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投标单位（盖公章）：</w:t>
      </w:r>
      <w:r/>
    </w:p>
    <w:p>
      <w:pPr>
        <w:ind w:firstLine="420"/>
        <w:jc w:val="left"/>
        <w:spacing w:line="360" w:lineRule="auto"/>
        <w:rPr>
          <w:rFonts w:ascii="宋体" w:hAnsi="宋体"/>
          <w:color w:val="000000" w:themeColor="text1"/>
          <w:sz w:val="24"/>
          <w:highlight w:val="none"/>
        </w:rPr>
      </w:pPr>
      <w:r>
        <w:rPr>
          <w:rFonts w:hint="eastAsia" w:ascii="宋体" w:hAnsi="宋体"/>
          <w:color w:val="000000" w:themeColor="text1"/>
          <w:sz w:val="24"/>
          <w:highlight w:val="none"/>
        </w:rPr>
        <w:tab/>
      </w:r>
      <w:r>
        <w:rPr>
          <w:rFonts w:hint="eastAsia" w:ascii="宋体" w:hAnsi="宋体"/>
          <w:color w:val="000000" w:themeColor="text1"/>
          <w:sz w:val="24"/>
          <w:highlight w:val="none"/>
        </w:rPr>
        <w:tab/>
      </w:r>
      <w:r>
        <w:rPr>
          <w:rFonts w:hint="eastAsia" w:ascii="宋体" w:hAnsi="宋体"/>
          <w:color w:val="000000" w:themeColor="text1"/>
          <w:sz w:val="24"/>
          <w:highlight w:val="none"/>
        </w:rPr>
        <w:tab/>
      </w:r>
      <w:r>
        <w:rPr>
          <w:rFonts w:hint="eastAsia" w:ascii="宋体" w:hAnsi="宋体"/>
          <w:color w:val="000000" w:themeColor="text1"/>
          <w:sz w:val="24"/>
          <w:highlight w:val="none"/>
        </w:rPr>
        <w:tab/>
      </w:r>
      <w:r>
        <w:rPr>
          <w:rFonts w:hint="eastAsia" w:ascii="宋体" w:hAnsi="宋体"/>
          <w:color w:val="000000" w:themeColor="text1"/>
          <w:sz w:val="24"/>
          <w:highlight w:val="none"/>
        </w:rPr>
        <w:t xml:space="preserve">  法定代表人或被授权人（签字或盖章）：</w:t>
      </w:r>
      <w:r/>
    </w:p>
    <w:p>
      <w:pPr>
        <w:ind w:firstLine="425"/>
        <w:jc w:val="cente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                               年 </w:t>
      </w:r>
      <w:r>
        <w:rPr>
          <w:rFonts w:hint="eastAsia" w:ascii="宋体" w:hAnsi="宋体"/>
          <w:color w:val="000000" w:themeColor="text1"/>
          <w:sz w:val="24"/>
          <w:highlight w:val="none"/>
        </w:rPr>
        <w:tab/>
      </w:r>
      <w:r>
        <w:rPr>
          <w:rFonts w:hint="eastAsia" w:ascii="宋体" w:hAnsi="宋体"/>
          <w:color w:val="000000" w:themeColor="text1"/>
          <w:sz w:val="24"/>
          <w:highlight w:val="none"/>
        </w:rPr>
        <w:t xml:space="preserve">   月   </w:t>
      </w:r>
      <w:r>
        <w:rPr>
          <w:rFonts w:hint="eastAsia" w:ascii="宋体" w:hAnsi="宋体"/>
          <w:color w:val="000000" w:themeColor="text1"/>
          <w:sz w:val="24"/>
          <w:highlight w:val="none"/>
        </w:rPr>
        <w:tab/>
      </w:r>
      <w:r>
        <w:rPr>
          <w:rFonts w:hint="eastAsia" w:ascii="宋体" w:hAnsi="宋体"/>
          <w:color w:val="000000" w:themeColor="text1"/>
          <w:sz w:val="24"/>
          <w:highlight w:val="none"/>
        </w:rPr>
        <w:t xml:space="preserve">日</w:t>
      </w:r>
      <w:r/>
    </w:p>
    <w:p>
      <w:pPr>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jc w:val="left"/>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jc w:val="left"/>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br w:type="column"/>
      </w:r>
      <w:r>
        <w:rPr>
          <w:rFonts w:hint="eastAsia" w:ascii="宋体" w:hAnsi="宋体"/>
          <w:color w:val="000000" w:themeColor="text1"/>
          <w:sz w:val="28"/>
          <w:szCs w:val="28"/>
          <w:highlight w:val="none"/>
        </w:rPr>
        <w:t xml:space="preserve">9、中小企业声明函</w:t>
      </w:r>
      <w:r/>
    </w:p>
    <w:p>
      <w:pPr>
        <w:jc w:val="cente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t xml:space="preserve">中小企业声明函</w:t>
      </w:r>
      <w:r/>
    </w:p>
    <w:p>
      <w:pPr>
        <w:pStyle w:val="1130"/>
        <w:ind w:firstLine="640"/>
        <w:spacing w:line="360" w:lineRule="auto"/>
        <w:rPr>
          <w:rFonts w:ascii="宋体" w:hAnsi="宋体"/>
          <w:color w:val="000000" w:themeColor="text1"/>
          <w:sz w:val="24"/>
          <w:highlight w:val="none"/>
        </w:rPr>
      </w:pPr>
      <w:r>
        <w:rPr>
          <w:rFonts w:hint="eastAsia" w:ascii="宋体" w:hAnsi="宋体"/>
          <w:color w:val="000000" w:themeColor="text1"/>
          <w:spacing w:val="-2"/>
          <w:sz w:val="24"/>
          <w:highlight w:val="none"/>
        </w:rPr>
        <w:t xml:space="preserve">本公司</w:t>
      </w:r>
      <w:r>
        <w:rPr>
          <w:rFonts w:hint="eastAsia" w:ascii="宋体" w:hAnsi="宋体"/>
          <w:color w:val="000000" w:themeColor="text1"/>
          <w:sz w:val="24"/>
          <w:highlight w:val="none"/>
        </w:rPr>
        <w:t xml:space="preserve">（联合体</w:t>
      </w:r>
      <w:r>
        <w:rPr>
          <w:rFonts w:hint="eastAsia" w:ascii="宋体" w:hAnsi="宋体"/>
          <w:color w:val="000000" w:themeColor="text1"/>
          <w:spacing w:val="-5"/>
          <w:sz w:val="24"/>
          <w:highlight w:val="none"/>
        </w:rPr>
        <w:t xml:space="preserve">）</w:t>
      </w:r>
      <w:r>
        <w:rPr>
          <w:rFonts w:hint="eastAsia" w:ascii="宋体" w:hAnsi="宋体"/>
          <w:color w:val="000000" w:themeColor="text1"/>
          <w:spacing w:val="-2"/>
          <w:sz w:val="24"/>
          <w:highlight w:val="none"/>
        </w:rPr>
        <w:t xml:space="preserve">郑重声明，根据</w:t>
      </w:r>
      <w:r>
        <w:rPr>
          <w:rFonts w:hint="eastAsia" w:ascii="宋体" w:hAnsi="宋体"/>
          <w:color w:val="000000" w:themeColor="text1"/>
          <w:sz w:val="24"/>
          <w:highlight w:val="none"/>
        </w:rPr>
        <w:t xml:space="preserve">《关于印发</w:t>
      </w:r>
      <w:r>
        <w:rPr>
          <w:rFonts w:hint="eastAsia" w:ascii="宋体" w:hAnsi="宋体"/>
          <w:color w:val="000000" w:themeColor="text1"/>
          <w:sz w:val="24"/>
          <w:highlight w:val="none"/>
          <w:lang w:eastAsia="zh-CN"/>
        </w:rPr>
        <w:t xml:space="preserve">〈</w:t>
      </w:r>
      <w:r>
        <w:rPr>
          <w:rFonts w:hint="eastAsia" w:ascii="宋体" w:hAnsi="宋体"/>
          <w:color w:val="000000" w:themeColor="text1"/>
          <w:sz w:val="24"/>
          <w:highlight w:val="none"/>
        </w:rPr>
        <w:t xml:space="preserve">苏州市政府采购促进中小企业发展实施意见</w:t>
      </w:r>
      <w:r>
        <w:rPr>
          <w:rFonts w:hint="eastAsia" w:ascii="宋体" w:hAnsi="宋体"/>
          <w:color w:val="000000" w:themeColor="text1"/>
          <w:sz w:val="24"/>
          <w:highlight w:val="none"/>
          <w:lang w:eastAsia="zh-CN"/>
        </w:rPr>
        <w:t xml:space="preserve">〉的通知》</w:t>
      </w:r>
      <w:r>
        <w:rPr>
          <w:rFonts w:hint="eastAsia" w:ascii="宋体" w:hAnsi="宋体"/>
          <w:color w:val="000000" w:themeColor="text1"/>
          <w:sz w:val="24"/>
          <w:highlight w:val="none"/>
        </w:rPr>
        <w:t xml:space="preserve">（苏财购</w:t>
      </w:r>
      <w:r>
        <w:rPr>
          <w:rFonts w:hint="eastAsia" w:ascii="宋体" w:hAnsi="宋体"/>
          <w:color w:val="000000" w:themeColor="text1"/>
          <w:sz w:val="24"/>
          <w:highlight w:val="none"/>
          <w:lang w:eastAsia="zh-CN"/>
        </w:rPr>
        <w:t xml:space="preserve">〔2022〕16号</w:t>
      </w:r>
      <w:r>
        <w:rPr>
          <w:rFonts w:hint="eastAsia" w:ascii="宋体" w:hAnsi="宋体"/>
          <w:color w:val="000000" w:themeColor="text1"/>
          <w:sz w:val="24"/>
          <w:highlight w:val="none"/>
        </w:rPr>
        <w:t xml:space="preserve">）的规定，本公司（联合体）</w:t>
      </w:r>
      <w:r>
        <w:rPr>
          <w:rFonts w:hint="eastAsia" w:ascii="宋体" w:hAnsi="宋体"/>
          <w:color w:val="000000" w:themeColor="text1"/>
          <w:spacing w:val="-8"/>
          <w:sz w:val="24"/>
          <w:highlight w:val="none"/>
        </w:rPr>
        <w:t xml:space="preserve">参</w:t>
      </w:r>
      <w:r>
        <w:rPr>
          <w:rFonts w:hint="eastAsia" w:ascii="宋体" w:hAnsi="宋体"/>
          <w:color w:val="000000" w:themeColor="text1"/>
          <w:spacing w:val="-2"/>
          <w:sz w:val="24"/>
          <w:highlight w:val="none"/>
        </w:rPr>
        <w:t xml:space="preserve">加</w:t>
      </w:r>
      <w:r>
        <w:rPr>
          <w:rFonts w:hint="eastAsia" w:ascii="宋体" w:hAnsi="宋体"/>
          <w:color w:val="000000" w:themeColor="text1"/>
          <w:spacing w:val="-2"/>
          <w:sz w:val="24"/>
          <w:highlight w:val="none"/>
          <w:u w:val="single"/>
        </w:rPr>
        <w:t xml:space="preserve">（单位名称）</w:t>
      </w:r>
      <w:r>
        <w:rPr>
          <w:rFonts w:hint="eastAsia" w:ascii="宋体" w:hAnsi="宋体"/>
          <w:color w:val="000000" w:themeColor="text1"/>
          <w:spacing w:val="-2"/>
          <w:sz w:val="24"/>
          <w:highlight w:val="none"/>
        </w:rPr>
        <w:t xml:space="preserve">的</w:t>
      </w:r>
      <w:r>
        <w:rPr>
          <w:rFonts w:hint="eastAsia" w:ascii="宋体" w:hAnsi="宋体"/>
          <w:color w:val="000000" w:themeColor="text1"/>
          <w:spacing w:val="-2"/>
          <w:sz w:val="24"/>
          <w:highlight w:val="none"/>
          <w:u w:val="single"/>
        </w:rPr>
        <w:t xml:space="preserve">（项目名称）</w:t>
      </w:r>
      <w:r>
        <w:rPr>
          <w:rFonts w:hint="eastAsia" w:ascii="宋体" w:hAnsi="宋体"/>
          <w:color w:val="000000" w:themeColor="text1"/>
          <w:spacing w:val="-2"/>
          <w:sz w:val="24"/>
          <w:highlight w:val="none"/>
        </w:rPr>
        <w:t xml:space="preserve">采购活</w:t>
      </w:r>
      <w:r>
        <w:rPr>
          <w:rFonts w:hint="eastAsia" w:ascii="宋体" w:hAnsi="宋体"/>
          <w:color w:val="000000" w:themeColor="text1"/>
          <w:spacing w:val="-1"/>
          <w:sz w:val="24"/>
          <w:highlight w:val="none"/>
        </w:rPr>
        <w:t xml:space="preserve">动，</w:t>
      </w:r>
      <w:r>
        <w:rPr>
          <w:rFonts w:hint="eastAsia" w:ascii="宋体" w:hAnsi="宋体"/>
          <w:color w:val="000000" w:themeColor="text1"/>
          <w:spacing w:val="-2"/>
          <w:sz w:val="24"/>
          <w:highlight w:val="none"/>
        </w:rPr>
        <w:t xml:space="preserve">提供的货物全部由符合政策要求的中小企业制造。相关企业（含联合体中的中小企业、签订分包</w:t>
      </w:r>
      <w:r>
        <w:rPr>
          <w:rFonts w:hint="eastAsia" w:ascii="宋体" w:hAnsi="宋体"/>
          <w:color w:val="000000" w:themeColor="text1"/>
          <w:sz w:val="24"/>
          <w:highlight w:val="none"/>
        </w:rPr>
        <w:t xml:space="preserve">意向协议的中小企业） 的具体情况如下：</w:t>
      </w:r>
      <w:r/>
    </w:p>
    <w:p>
      <w:pPr>
        <w:pStyle w:val="1157"/>
        <w:ind w:firstLine="472"/>
        <w:rPr>
          <w:rFonts w:ascii="宋体" w:hAnsi="宋体"/>
          <w:color w:val="000000" w:themeColor="text1"/>
          <w:spacing w:val="-2"/>
          <w:highlight w:val="none"/>
        </w:rPr>
      </w:pPr>
      <w:r>
        <w:rPr>
          <w:rFonts w:hint="eastAsia" w:ascii="宋体" w:hAnsi="宋体"/>
          <w:color w:val="000000" w:themeColor="text1"/>
          <w:spacing w:val="-2"/>
          <w:highlight w:val="none"/>
        </w:rPr>
        <w:t xml:space="preserve">1、</w:t>
      </w:r>
      <w:r>
        <w:rPr>
          <w:rFonts w:hint="eastAsia" w:ascii="宋体" w:hAnsi="宋体"/>
          <w:color w:val="000000" w:themeColor="text1"/>
          <w:spacing w:val="-2"/>
          <w:highlight w:val="none"/>
          <w:u w:val="single"/>
        </w:rPr>
        <w:t xml:space="preserve">（标的名称）</w:t>
      </w:r>
      <w:r>
        <w:rPr>
          <w:rFonts w:hint="eastAsia" w:ascii="宋体" w:hAnsi="宋体"/>
          <w:color w:val="000000" w:themeColor="text1"/>
          <w:spacing w:val="-2"/>
          <w:highlight w:val="none"/>
        </w:rPr>
        <w:t xml:space="preserve">，属于</w:t>
      </w:r>
      <w:r>
        <w:rPr>
          <w:rFonts w:hint="eastAsia" w:ascii="宋体" w:hAnsi="宋体"/>
          <w:color w:val="000000" w:themeColor="text1"/>
          <w:spacing w:val="-2"/>
          <w:highlight w:val="none"/>
          <w:u w:val="single"/>
        </w:rPr>
        <w:t xml:space="preserve">（采购文件中明确的所属行业）</w:t>
      </w:r>
      <w:r>
        <w:rPr>
          <w:rFonts w:hint="eastAsia" w:ascii="宋体" w:hAnsi="宋体"/>
          <w:color w:val="000000" w:themeColor="text1"/>
          <w:spacing w:val="-2"/>
          <w:highlight w:val="none"/>
        </w:rPr>
        <w:t xml:space="preserve">行业；制造商为</w:t>
      </w:r>
      <w:r>
        <w:rPr>
          <w:rFonts w:hint="eastAsia" w:ascii="宋体" w:hAnsi="宋体"/>
          <w:color w:val="000000" w:themeColor="text1"/>
          <w:spacing w:val="-2"/>
          <w:highlight w:val="none"/>
          <w:u w:val="single"/>
        </w:rPr>
        <w:t xml:space="preserve">（企业名称）</w:t>
      </w:r>
      <w:r>
        <w:rPr>
          <w:rFonts w:hint="eastAsia" w:ascii="宋体" w:hAnsi="宋体"/>
          <w:color w:val="000000" w:themeColor="text1"/>
          <w:spacing w:val="-2"/>
          <w:highlight w:val="none"/>
        </w:rPr>
        <w:t xml:space="preserve">，从业人员人，营业收入为万元，资产总额为万元，属于</w:t>
      </w:r>
      <w:r>
        <w:rPr>
          <w:rFonts w:hint="eastAsia" w:ascii="宋体" w:hAnsi="宋体"/>
          <w:color w:val="000000" w:themeColor="text1"/>
          <w:spacing w:val="-2"/>
          <w:highlight w:val="none"/>
          <w:u w:val="single"/>
        </w:rPr>
        <w:t xml:space="preserve">   （中型企业、小型企业、微型企业）</w:t>
      </w:r>
      <w:r>
        <w:rPr>
          <w:rFonts w:hint="eastAsia" w:ascii="宋体" w:hAnsi="宋体"/>
          <w:color w:val="000000" w:themeColor="text1"/>
          <w:spacing w:val="-2"/>
          <w:highlight w:val="none"/>
        </w:rPr>
        <w:t xml:space="preserve">；</w:t>
      </w:r>
      <w:r/>
    </w:p>
    <w:p>
      <w:pPr>
        <w:pStyle w:val="1157"/>
        <w:ind w:firstLine="472"/>
        <w:rPr>
          <w:rFonts w:ascii="宋体" w:hAnsi="宋体"/>
          <w:color w:val="000000" w:themeColor="text1"/>
          <w:spacing w:val="-2"/>
          <w:highlight w:val="none"/>
        </w:rPr>
      </w:pPr>
      <w:r>
        <w:rPr>
          <w:rFonts w:hint="eastAsia" w:ascii="宋体" w:hAnsi="宋体"/>
          <w:color w:val="000000" w:themeColor="text1"/>
          <w:spacing w:val="-2"/>
          <w:highlight w:val="none"/>
        </w:rPr>
        <w:t xml:space="preserve">2、</w:t>
      </w:r>
      <w:r>
        <w:rPr>
          <w:rFonts w:hint="eastAsia" w:ascii="宋体" w:hAnsi="宋体"/>
          <w:color w:val="000000" w:themeColor="text1"/>
          <w:spacing w:val="-2"/>
          <w:highlight w:val="none"/>
          <w:u w:val="single"/>
        </w:rPr>
        <w:t xml:space="preserve">（标的名称）</w:t>
      </w:r>
      <w:r>
        <w:rPr>
          <w:rFonts w:hint="eastAsia" w:ascii="宋体" w:hAnsi="宋体"/>
          <w:color w:val="000000" w:themeColor="text1"/>
          <w:spacing w:val="-2"/>
          <w:highlight w:val="none"/>
        </w:rPr>
        <w:t xml:space="preserve">，属于</w:t>
      </w:r>
      <w:r>
        <w:rPr>
          <w:rFonts w:hint="eastAsia" w:ascii="宋体" w:hAnsi="宋体"/>
          <w:color w:val="000000" w:themeColor="text1"/>
          <w:spacing w:val="-2"/>
          <w:highlight w:val="none"/>
          <w:u w:val="single"/>
        </w:rPr>
        <w:t xml:space="preserve">（采购文件中明确的所属行业）</w:t>
      </w:r>
      <w:r>
        <w:rPr>
          <w:rFonts w:hint="eastAsia" w:ascii="宋体" w:hAnsi="宋体"/>
          <w:color w:val="000000" w:themeColor="text1"/>
          <w:spacing w:val="-2"/>
          <w:highlight w:val="none"/>
        </w:rPr>
        <w:t xml:space="preserve">行业；制造商为</w:t>
      </w:r>
      <w:r>
        <w:rPr>
          <w:rFonts w:hint="eastAsia" w:ascii="宋体" w:hAnsi="宋体"/>
          <w:color w:val="000000" w:themeColor="text1"/>
          <w:spacing w:val="-2"/>
          <w:highlight w:val="none"/>
          <w:u w:val="single"/>
        </w:rPr>
        <w:t xml:space="preserve">（企业名称）</w:t>
      </w:r>
      <w:r>
        <w:rPr>
          <w:rFonts w:hint="eastAsia" w:ascii="宋体" w:hAnsi="宋体"/>
          <w:color w:val="000000" w:themeColor="text1"/>
          <w:spacing w:val="-2"/>
          <w:highlight w:val="none"/>
        </w:rPr>
        <w:t xml:space="preserve">，从业人员人，营业收入为万元，资产总额为万元，属于</w:t>
      </w:r>
      <w:r>
        <w:rPr>
          <w:rFonts w:hint="eastAsia" w:ascii="宋体" w:hAnsi="宋体"/>
          <w:color w:val="000000" w:themeColor="text1"/>
          <w:spacing w:val="-2"/>
          <w:highlight w:val="none"/>
          <w:u w:val="single"/>
        </w:rPr>
        <w:t xml:space="preserve">     （中型企业、小型企业、微型企业）</w:t>
      </w:r>
      <w:r>
        <w:rPr>
          <w:rFonts w:hint="eastAsia" w:ascii="宋体" w:hAnsi="宋体"/>
          <w:color w:val="000000" w:themeColor="text1"/>
          <w:spacing w:val="-2"/>
          <w:highlight w:val="none"/>
        </w:rPr>
        <w:t xml:space="preserve">；</w:t>
      </w:r>
      <w:r/>
    </w:p>
    <w:p>
      <w:pPr>
        <w:pStyle w:val="1130"/>
        <w:spacing w:line="360" w:lineRule="auto"/>
        <w:rPr>
          <w:rFonts w:ascii="宋体" w:hAnsi="宋体"/>
          <w:color w:val="000000" w:themeColor="text1"/>
          <w:spacing w:val="-2"/>
          <w:sz w:val="24"/>
          <w:highlight w:val="none"/>
        </w:rPr>
      </w:pPr>
      <w:r>
        <w:rPr>
          <w:rFonts w:hint="eastAsia" w:ascii="宋体" w:hAnsi="宋体"/>
          <w:color w:val="000000" w:themeColor="text1"/>
          <w:spacing w:val="-2"/>
          <w:sz w:val="24"/>
          <w:highlight w:val="none"/>
        </w:rPr>
        <w:t xml:space="preserve">……</w:t>
      </w:r>
      <w:r/>
    </w:p>
    <w:p>
      <w:pPr>
        <w:pStyle w:val="1130"/>
        <w:ind w:firstLine="645"/>
        <w:spacing w:line="360" w:lineRule="auto"/>
        <w:rPr>
          <w:rFonts w:ascii="宋体" w:hAnsi="宋体"/>
          <w:color w:val="000000" w:themeColor="text1"/>
          <w:sz w:val="24"/>
          <w:highlight w:val="none"/>
        </w:rPr>
      </w:pPr>
      <w:r>
        <w:rPr>
          <w:rFonts w:hint="eastAsia" w:ascii="宋体" w:hAnsi="宋体"/>
          <w:color w:val="000000" w:themeColor="text1"/>
          <w:spacing w:val="-3"/>
          <w:sz w:val="24"/>
          <w:highlight w:val="none"/>
        </w:rPr>
        <w:t xml:space="preserve">以上企业，不属于大企业的分支机构，不存在控股股东</w:t>
      </w:r>
      <w:r>
        <w:rPr>
          <w:rFonts w:hint="eastAsia" w:ascii="宋体" w:hAnsi="宋体"/>
          <w:color w:val="000000" w:themeColor="text1"/>
          <w:spacing w:val="-5"/>
          <w:sz w:val="24"/>
          <w:highlight w:val="none"/>
        </w:rPr>
        <w:t xml:space="preserve">为大企业的情形，也不存在与大企业的负责人为同一人的情形。</w:t>
      </w:r>
      <w:r/>
    </w:p>
    <w:p>
      <w:pPr>
        <w:pStyle w:val="1130"/>
        <w:ind w:firstLine="645"/>
        <w:spacing w:after="0"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本企业对上述声明内容的真实性负责。如有虚假，将依法承担相应责任</w:t>
      </w:r>
      <w:r>
        <w:rPr>
          <w:rFonts w:ascii="宋体" w:hAnsi="宋体" w:cs="宋体"/>
          <w:color w:val="000000" w:themeColor="text1"/>
          <w:sz w:val="24"/>
          <w:highlight w:val="none"/>
        </w:rPr>
        <w:t xml:space="preserve">。</w:t>
      </w:r>
      <w:r/>
    </w:p>
    <w:p>
      <w:pPr>
        <w:pStyle w:val="1129"/>
        <w:ind w:firstLine="240"/>
        <w:spacing w:after="0" w:line="360" w:lineRule="auto"/>
        <w:rPr>
          <w:color w:val="000000" w:themeColor="text1"/>
          <w:sz w:val="24"/>
          <w:highlight w:val="none"/>
        </w:rPr>
      </w:pPr>
      <w:r>
        <w:rPr>
          <w:color w:val="000000" w:themeColor="text1"/>
          <w:sz w:val="24"/>
          <w:highlight w:val="none"/>
        </w:rPr>
      </w:r>
      <w:r/>
    </w:p>
    <w:p>
      <w:pPr>
        <w:jc w:val="right"/>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投标单位：（盖章）</w:t>
      </w:r>
      <w:r/>
    </w:p>
    <w:p>
      <w:pPr>
        <w:jc w:val="cente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                                                    日    期：</w:t>
      </w:r>
      <w:r/>
    </w:p>
    <w:p>
      <w:pPr>
        <w:jc w:val="left"/>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备注：1.从业人员、营业收入、资产总额填报上一年度数据，无上一年度数据的新成立企业可不填报。</w:t>
      </w:r>
      <w:r/>
    </w:p>
    <w:p>
      <w:pPr>
        <w:ind w:firstLine="720"/>
        <w:jc w:val="left"/>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2.在服务采购项目中，服务由中小企业承接，即提供服务的人员为中小企业依照《中华人民共和国劳动合同法》订立劳动合同的从业人员。服务类项目中供应商若使用退休人员，将不享受相应扶持政策。</w:t>
      </w:r>
      <w:r/>
    </w:p>
    <w:p>
      <w:pPr>
        <w:pStyle w:val="1138"/>
        <w:ind w:firstLine="600"/>
        <w:spacing w:line="240" w:lineRule="auto"/>
        <w:rPr>
          <w:rFonts w:asciiTheme="minorEastAsia" w:hAnsiTheme="minorEastAsia" w:eastAsiaTheme="minorEastAsia" w:cstheme="minorEastAsia"/>
          <w:b/>
          <w:bCs/>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3.《中小企业声明函》中所填的行业应与本采购标的对应的中小企业划分标准所属行业一致，不一致的不可享受相应政策优惠。本采购标的对应的中小企业划分标准所属行业，以招标文件第四章《招标书》规定为准。</w:t>
      </w:r>
      <w:r/>
    </w:p>
    <w:p>
      <w:pPr>
        <w:pStyle w:val="1138"/>
        <w:ind w:firstLine="600"/>
        <w:spacing w:line="240" w:lineRule="auto"/>
        <w:rPr>
          <w:rFonts w:asciiTheme="minorEastAsia" w:hAnsiTheme="minorEastAsia" w:eastAsiaTheme="minorEastAsia" w:cstheme="minorEastAsia"/>
          <w:b/>
          <w:bCs/>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4.如未对（中型企业、小型企业、微型企业）进行勾选，视同非中小微企业，不可享受相应扶持政策。</w:t>
      </w:r>
      <w:r/>
    </w:p>
    <w:p>
      <w:pPr>
        <w:pStyle w:val="1138"/>
        <w:ind w:firstLine="600"/>
        <w:spacing w:line="240" w:lineRule="auto"/>
        <w:rPr>
          <w:rFonts w:asciiTheme="minorEastAsia" w:hAnsiTheme="minorEastAsia" w:eastAsiaTheme="minorEastAsia" w:cstheme="minorEastAsia"/>
          <w:b/>
          <w:bCs/>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5.中标单位为中小企业的，《中小企业声明函》将随中标结果同时公告。</w:t>
      </w:r>
      <w:r/>
    </w:p>
    <w:p>
      <w:pPr>
        <w:spacing w:line="360" w:lineRule="auto"/>
        <w:rPr>
          <w:rFonts w:ascii="宋体" w:hAnsi="宋体"/>
          <w:b/>
          <w:color w:val="000000" w:themeColor="text1"/>
          <w:sz w:val="24"/>
          <w:szCs w:val="24"/>
          <w:highlight w:val="none"/>
        </w:rPr>
      </w:pPr>
      <w:r>
        <w:rPr>
          <w:rFonts w:ascii="宋体" w:hAnsi="宋体"/>
          <w:b/>
          <w:color w:val="000000" w:themeColor="text1"/>
          <w:sz w:val="24"/>
          <w:szCs w:val="24"/>
          <w:highlight w:val="none"/>
        </w:rPr>
      </w:r>
      <w:r/>
    </w:p>
    <w:p>
      <w:pPr>
        <w:spacing w:line="276" w:lineRule="auto"/>
        <w:rPr>
          <w:rFonts w:ascii="宋体" w:hAnsi="宋体"/>
          <w:b/>
          <w:color w:val="000000" w:themeColor="text1"/>
          <w:sz w:val="24"/>
          <w:szCs w:val="24"/>
          <w:highlight w:val="none"/>
        </w:rPr>
      </w:pPr>
      <w:r>
        <w:rPr>
          <w:rFonts w:hint="eastAsia" w:ascii="宋体" w:hAnsi="宋体"/>
          <w:b/>
          <w:color w:val="000000" w:themeColor="text1"/>
          <w:sz w:val="24"/>
          <w:szCs w:val="24"/>
          <w:highlight w:val="none"/>
        </w:rPr>
        <w:t xml:space="preserve">附：中小企业划型标准规定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（一）农、林、牧、渔业。</w:t>
      </w:r>
      <w:r>
        <w:rPr>
          <w:rFonts w:hint="eastAsia" w:ascii="宋体" w:hAnsi="宋体"/>
          <w:color w:val="000000" w:themeColor="text1"/>
          <w:sz w:val="24"/>
          <w:szCs w:val="24"/>
          <w:highlight w:val="none"/>
        </w:rPr>
        <w:t xml:space="preserve">营业收入20000万元以下的为中小微型企业。其中，营业收入500万元及以上的为中型企业，营业收入50万元及以上的为小型企业，营业收入50万元以下的为微型企业。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（二）工业。</w:t>
      </w:r>
      <w:r>
        <w:rPr>
          <w:rFonts w:hint="eastAsia" w:ascii="宋体" w:hAnsi="宋体"/>
          <w:color w:val="000000" w:themeColor="text1"/>
          <w:sz w:val="24"/>
          <w:szCs w:val="24"/>
          <w:highlight w:val="none"/>
        </w:rPr>
        <w:t xml:space="preserve">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（三）建筑业。</w:t>
      </w:r>
      <w:r>
        <w:rPr>
          <w:rFonts w:hint="eastAsia" w:ascii="宋体" w:hAnsi="宋体"/>
          <w:color w:val="000000" w:themeColor="text1"/>
          <w:sz w:val="24"/>
          <w:szCs w:val="24"/>
          <w:highlight w:val="none"/>
        </w:rPr>
        <w:t xml:space="preserve">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（四）批发业。</w:t>
      </w:r>
      <w:r>
        <w:rPr>
          <w:rFonts w:hint="eastAsia" w:ascii="宋体" w:hAnsi="宋体"/>
          <w:color w:val="000000" w:themeColor="text1"/>
          <w:sz w:val="24"/>
          <w:szCs w:val="24"/>
          <w:highlight w:val="none"/>
        </w:rPr>
        <w:t xml:space="preserve">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（五）零售业。</w:t>
      </w:r>
      <w:r>
        <w:rPr>
          <w:rFonts w:hint="eastAsia" w:ascii="宋体" w:hAnsi="宋体"/>
          <w:color w:val="000000" w:themeColor="text1"/>
          <w:sz w:val="24"/>
          <w:szCs w:val="24"/>
          <w:highlight w:val="none"/>
        </w:rPr>
        <w:t xml:space="preserve">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（六）交通运输业。</w:t>
      </w:r>
      <w:r>
        <w:rPr>
          <w:rFonts w:hint="eastAsia" w:ascii="宋体" w:hAnsi="宋体"/>
          <w:color w:val="000000" w:themeColor="text1"/>
          <w:sz w:val="24"/>
          <w:szCs w:val="24"/>
          <w:highlight w:val="none"/>
        </w:rPr>
        <w:t xml:space="preserve">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（七）仓储业。</w:t>
      </w:r>
      <w:r>
        <w:rPr>
          <w:rFonts w:hint="eastAsia" w:ascii="宋体" w:hAnsi="宋体"/>
          <w:color w:val="000000" w:themeColor="text1"/>
          <w:sz w:val="24"/>
          <w:szCs w:val="24"/>
          <w:highlight w:val="none"/>
        </w:rPr>
        <w:t xml:space="preserve">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（八）邮政业。</w:t>
      </w:r>
      <w:r>
        <w:rPr>
          <w:rFonts w:hint="eastAsia" w:ascii="宋体" w:hAnsi="宋体"/>
          <w:color w:val="000000" w:themeColor="text1"/>
          <w:sz w:val="24"/>
          <w:szCs w:val="24"/>
          <w:highlight w:val="none"/>
        </w:rPr>
        <w:t xml:space="preserve">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（九）住宿业。</w:t>
      </w:r>
      <w:r>
        <w:rPr>
          <w:rFonts w:hint="eastAsia" w:ascii="宋体" w:hAnsi="宋体"/>
          <w:color w:val="000000" w:themeColor="text1"/>
          <w:sz w:val="24"/>
          <w:szCs w:val="24"/>
          <w:highlight w:val="none"/>
        </w:rPr>
        <w:t xml:space="preserve">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（十）餐饮业。</w:t>
      </w:r>
      <w:r>
        <w:rPr>
          <w:rFonts w:hint="eastAsia" w:ascii="宋体" w:hAnsi="宋体"/>
          <w:color w:val="000000" w:themeColor="text1"/>
          <w:sz w:val="24"/>
          <w:szCs w:val="24"/>
          <w:highlight w:val="none"/>
        </w:rPr>
        <w:t xml:space="preserve">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（十一）信息传输业。</w:t>
      </w:r>
      <w:r>
        <w:rPr>
          <w:rFonts w:hint="eastAsia" w:ascii="宋体" w:hAnsi="宋体"/>
          <w:color w:val="000000" w:themeColor="text1"/>
          <w:sz w:val="24"/>
          <w:szCs w:val="24"/>
          <w:highlight w:val="none"/>
        </w:rPr>
        <w:t xml:space="preserve">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（十二）软件和信息技术服务业。</w:t>
      </w:r>
      <w:r>
        <w:rPr>
          <w:rFonts w:hint="eastAsia" w:ascii="宋体" w:hAnsi="宋体"/>
          <w:color w:val="000000" w:themeColor="text1"/>
          <w:sz w:val="24"/>
          <w:szCs w:val="24"/>
          <w:highlight w:val="none"/>
        </w:rPr>
        <w:t xml:space="preserve">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（十三）房地产开发经营。</w:t>
      </w:r>
      <w:r>
        <w:rPr>
          <w:rFonts w:hint="eastAsia" w:ascii="宋体" w:hAnsi="宋体"/>
          <w:color w:val="000000" w:themeColor="text1"/>
          <w:sz w:val="24"/>
          <w:szCs w:val="24"/>
          <w:highlight w:val="none"/>
        </w:rPr>
        <w:t xml:space="preserve">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（十四）物业管理。</w:t>
      </w:r>
      <w:r>
        <w:rPr>
          <w:rFonts w:hint="eastAsia" w:ascii="宋体" w:hAnsi="宋体"/>
          <w:color w:val="000000" w:themeColor="text1"/>
          <w:sz w:val="24"/>
          <w:szCs w:val="24"/>
          <w:highlight w:val="none"/>
        </w:rPr>
        <w:t xml:space="preserve">从业人员1000人以下或营业收入5000万元以下的为中小微型企业。其中，从业人员</w:t>
      </w:r>
      <w:r/>
    </w:p>
    <w:p>
      <w:pPr>
        <w:spacing w:line="276"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300人及以上，且营业收入1000万元及以上的为中型企业；从业人员100人及以上，且营业收入500万元及以上的为小型企业；从业人员100人以下或营业收入500万元以下的为微型企业。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（十五）租赁和商务服务业。</w:t>
      </w:r>
      <w:r>
        <w:rPr>
          <w:rFonts w:hint="eastAsia" w:ascii="宋体" w:hAnsi="宋体"/>
          <w:color w:val="000000" w:themeColor="text1"/>
          <w:sz w:val="24"/>
          <w:szCs w:val="24"/>
          <w:highlight w:val="none"/>
        </w:rPr>
        <w:t xml:space="preserve">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p>
    <w:p>
      <w:pPr>
        <w:ind w:firstLine="402"/>
        <w:spacing w:line="276" w:lineRule="auto"/>
        <w:rPr>
          <w:rFonts w:ascii="宋体" w:hAnsi="宋体"/>
          <w:color w:val="000000" w:themeColor="text1"/>
          <w:sz w:val="24"/>
          <w:szCs w:val="24"/>
          <w:highlight w:val="none"/>
        </w:rPr>
      </w:pPr>
      <w:r>
        <w:rPr>
          <w:rFonts w:hint="eastAsia" w:ascii="宋体" w:hAnsi="宋体"/>
          <w:b/>
          <w:color w:val="000000" w:themeColor="text1"/>
          <w:sz w:val="24"/>
          <w:szCs w:val="24"/>
          <w:highlight w:val="none"/>
        </w:rPr>
        <w:t xml:space="preserve">（十六）其他未列明行业。</w:t>
      </w:r>
      <w:r>
        <w:rPr>
          <w:rFonts w:hint="eastAsia" w:ascii="宋体" w:hAnsi="宋体"/>
          <w:color w:val="000000" w:themeColor="text1"/>
          <w:sz w:val="24"/>
          <w:szCs w:val="24"/>
          <w:highlight w:val="none"/>
        </w:rPr>
        <w:t xml:space="preserve">从业人员300人以下的为中小微型企业。其中，从业人员100人及以上的为中型企业；从业人员10人及以上的为小型企业；从业人员10人以下的为微型企业。</w:t>
      </w:r>
      <w:r/>
    </w:p>
    <w:p>
      <w:pPr>
        <w:ind w:left="-42" w:right="357"/>
        <w:spacing w:line="360" w:lineRule="auto"/>
        <w:rPr>
          <w:rFonts w:ascii="宋体" w:hAnsi="宋体"/>
          <w:b/>
          <w:color w:val="000000" w:themeColor="text1"/>
          <w:highlight w:val="none"/>
        </w:rPr>
      </w:pPr>
      <w:r>
        <w:rPr>
          <w:rFonts w:ascii="宋体" w:hAnsi="宋体"/>
          <w:b/>
          <w:color w:val="000000" w:themeColor="text1"/>
          <w:highlight w:val="none"/>
        </w:rPr>
      </w:r>
      <w:r/>
    </w:p>
    <w:p>
      <w:pPr>
        <w:jc w:val="center"/>
        <w:spacing w:line="360" w:lineRule="auto"/>
        <w:rPr>
          <w:rFonts w:ascii="宋体" w:hAnsi="宋体"/>
          <w:bCs/>
          <w:color w:val="000000" w:themeColor="text1"/>
          <w:sz w:val="52"/>
          <w:szCs w:val="52"/>
          <w:highlight w:val="none"/>
        </w:rPr>
      </w:pPr>
      <w:r>
        <w:rPr>
          <w:rFonts w:ascii="宋体" w:hAnsi="宋体"/>
          <w:bCs/>
          <w:color w:val="000000" w:themeColor="text1"/>
          <w:sz w:val="52"/>
          <w:szCs w:val="52"/>
          <w:highlight w:val="none"/>
        </w:rPr>
      </w:r>
      <w:r/>
    </w:p>
    <w:p>
      <w:pPr>
        <w:spacing w:line="360" w:lineRule="auto"/>
        <w:rPr>
          <w:rFonts w:ascii="宋体" w:hAnsi="宋体"/>
          <w:color w:val="000000" w:themeColor="text1"/>
          <w:sz w:val="28"/>
          <w:szCs w:val="28"/>
          <w:highlight w:val="none"/>
        </w:rPr>
      </w:pPr>
      <w:r>
        <w:rPr>
          <w:rFonts w:ascii="宋体" w:hAnsi="宋体"/>
          <w:color w:val="000000" w:themeColor="text1"/>
          <w:sz w:val="28"/>
          <w:szCs w:val="28"/>
          <w:highlight w:val="none"/>
        </w:rPr>
      </w:r>
      <w:r/>
    </w:p>
    <w:p>
      <w:pPr>
        <w:spacing w:line="360" w:lineRule="auto"/>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clear="all"/>
      </w:r>
      <w:r>
        <w:rPr>
          <w:rFonts w:hint="eastAsia" w:ascii="宋体" w:hAnsi="宋体"/>
          <w:color w:val="000000" w:themeColor="text1"/>
          <w:sz w:val="28"/>
          <w:szCs w:val="28"/>
          <w:highlight w:val="none"/>
        </w:rPr>
        <w:t xml:space="preserve">10、残疾人福利性单位声明函</w:t>
      </w:r>
      <w:r/>
    </w:p>
    <w:p>
      <w:pPr>
        <w:jc w:val="cente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残疾人福利性单位声明函</w:t>
      </w:r>
      <w:r/>
    </w:p>
    <w:p>
      <w:pPr>
        <w:ind w:firstLine="480"/>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olor w:val="000000" w:themeColor="text1"/>
          <w:sz w:val="24"/>
          <w:szCs w:val="24"/>
          <w:highlight w:val="none"/>
          <w:u w:val="single"/>
        </w:rPr>
        <w:t xml:space="preserve">苏州时代招投标有限公司</w:t>
      </w:r>
      <w:r>
        <w:rPr>
          <w:rFonts w:hint="eastAsia" w:ascii="宋体" w:hAnsi="宋体"/>
          <w:color w:val="000000" w:themeColor="text1"/>
          <w:sz w:val="24"/>
          <w:szCs w:val="24"/>
          <w:highlight w:val="none"/>
        </w:rPr>
        <w:t xml:space="preserve">单位的</w:t>
      </w:r>
      <w:r>
        <w:rPr>
          <w:rFonts w:hint="eastAsia" w:ascii="宋体" w:hAnsi="宋体"/>
          <w:color w:val="000000" w:themeColor="text1"/>
          <w:sz w:val="24"/>
          <w:szCs w:val="24"/>
          <w:highlight w:val="none"/>
          <w:u w:val="single"/>
        </w:rPr>
        <w:t xml:space="preserve">（采购编号及项目名称）</w:t>
      </w:r>
      <w:r>
        <w:rPr>
          <w:rFonts w:hint="eastAsia" w:ascii="宋体" w:hAnsi="宋体"/>
          <w:color w:val="000000" w:themeColor="text1"/>
          <w:sz w:val="24"/>
          <w:szCs w:val="24"/>
          <w:highlight w:val="none"/>
        </w:rPr>
        <w:t xml:space="preserve">项目采购活动提供本单位制造的货物（由本单位承担工程/提供服务），或者提供其他残疾人福利性单位制造的货物（不包括使用非残疾人福利性单位注册商标的货物）。</w:t>
      </w:r>
      <w:r/>
    </w:p>
    <w:p>
      <w:pPr>
        <w:ind w:firstLine="480"/>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本单位对上述声明的真实性负责。如有虚假，将依法承担相应责任。</w:t>
      </w:r>
      <w:r/>
    </w:p>
    <w:p>
      <w:pPr>
        <w:spacing w:line="360" w:lineRule="auto"/>
        <w:rPr>
          <w:rFonts w:ascii="宋体" w:hAnsi="宋体"/>
          <w:color w:val="000000" w:themeColor="text1"/>
          <w:sz w:val="24"/>
          <w:szCs w:val="24"/>
          <w:highlight w:val="none"/>
        </w:rPr>
      </w:pPr>
      <w:r>
        <w:rPr>
          <w:rFonts w:ascii="宋体" w:hAnsi="宋体"/>
          <w:color w:val="000000" w:themeColor="text1"/>
          <w:sz w:val="24"/>
          <w:szCs w:val="24"/>
          <w:highlight w:val="none"/>
        </w:rPr>
      </w:r>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                                        单位名称（盖章）：</w:t>
      </w:r>
      <w:r/>
    </w:p>
    <w:p>
      <w:pPr>
        <w:jc w:val="center"/>
        <w:spacing w:line="360" w:lineRule="auto"/>
        <w:rPr>
          <w:rFonts w:ascii="宋体" w:hAnsi="宋体" w:cs="宋体"/>
          <w:bCs/>
          <w:color w:val="000000" w:themeColor="text1"/>
          <w:sz w:val="24"/>
          <w:szCs w:val="24"/>
          <w:highlight w:val="none"/>
        </w:rPr>
        <w:outlineLvl w:val="0"/>
      </w:pPr>
      <w:r>
        <w:rPr>
          <w:rFonts w:hint="eastAsia" w:ascii="宋体" w:hAnsi="宋体"/>
          <w:color w:val="000000" w:themeColor="text1"/>
          <w:sz w:val="24"/>
          <w:szCs w:val="24"/>
          <w:highlight w:val="none"/>
        </w:rPr>
        <w:t xml:space="preserve">                                       日  期：</w:t>
      </w:r>
      <w:r/>
    </w:p>
    <w:p>
      <w:pPr>
        <w:pStyle w:val="1132"/>
        <w:ind w:left="0" w:firstLine="0"/>
        <w:spacing w:after="0" w:line="360" w:lineRule="auto"/>
        <w:rPr>
          <w:rFonts w:ascii="宋体" w:hAnsi="宋体"/>
          <w:bCs/>
          <w:color w:val="000000" w:themeColor="text1"/>
          <w:sz w:val="24"/>
          <w:szCs w:val="24"/>
          <w:highlight w:val="none"/>
        </w:rPr>
      </w:pPr>
      <w:r>
        <w:rPr>
          <w:rFonts w:ascii="宋体" w:hAnsi="宋体"/>
          <w:bCs/>
          <w:color w:val="000000" w:themeColor="text1"/>
          <w:sz w:val="24"/>
          <w:szCs w:val="24"/>
          <w:highlight w:val="none"/>
        </w:rPr>
      </w:r>
      <w:r/>
    </w:p>
    <w:p>
      <w:pPr>
        <w:pStyle w:val="1132"/>
        <w:ind w:left="0" w:firstLine="0"/>
        <w:rPr>
          <w:rFonts w:ascii="宋体" w:hAnsi="宋体" w:cs="Arial"/>
          <w:bCs/>
          <w:color w:val="000000" w:themeColor="text1"/>
          <w:sz w:val="24"/>
          <w:szCs w:val="24"/>
          <w:highlight w:val="none"/>
          <w:shd w:val="clear" w:color="auto" w:fill="ffffff"/>
        </w:rPr>
      </w:pPr>
      <w:r>
        <w:rPr>
          <w:rFonts w:hint="eastAsia" w:ascii="宋体" w:hAnsi="宋体"/>
          <w:bCs/>
          <w:color w:val="000000" w:themeColor="text1"/>
          <w:sz w:val="24"/>
          <w:szCs w:val="24"/>
          <w:highlight w:val="none"/>
          <w:lang w:val="zh-CN"/>
        </w:rPr>
        <w:t xml:space="preserve">备注：1.</w:t>
      </w:r>
      <w:r>
        <w:rPr>
          <w:rFonts w:hint="eastAsia" w:ascii="宋体" w:hAnsi="宋体" w:cs="Arial"/>
          <w:bCs/>
          <w:color w:val="000000" w:themeColor="text1"/>
          <w:sz w:val="24"/>
          <w:szCs w:val="24"/>
          <w:highlight w:val="none"/>
          <w:shd w:val="clear" w:color="auto" w:fill="ffffff"/>
        </w:rPr>
        <w:t xml:space="preserve">享受政府采购支持政策的残疾人福利性单位应当同时满足以下条件：</w:t>
      </w:r>
      <w:r/>
    </w:p>
    <w:p>
      <w:pPr>
        <w:pStyle w:val="1132"/>
        <w:ind w:left="0" w:firstLine="400"/>
        <w:rPr>
          <w:rFonts w:ascii="宋体" w:hAnsi="宋体" w:cs="Arial"/>
          <w:bCs/>
          <w:color w:val="000000" w:themeColor="text1"/>
          <w:sz w:val="24"/>
          <w:szCs w:val="24"/>
          <w:highlight w:val="none"/>
          <w:shd w:val="clear" w:color="auto" w:fill="ffffff"/>
        </w:rPr>
      </w:pPr>
      <w:r>
        <w:rPr>
          <w:rFonts w:hint="eastAsia" w:ascii="宋体" w:hAnsi="宋体"/>
          <w:bCs/>
          <w:color w:val="000000" w:themeColor="text1"/>
          <w:sz w:val="24"/>
          <w:szCs w:val="24"/>
          <w:highlight w:val="none"/>
          <w:lang w:val="zh-CN"/>
        </w:rPr>
        <w:fldChar w:fldCharType="begin"/>
      </w:r>
      <w:r>
        <w:rPr>
          <w:rFonts w:hint="eastAsia" w:ascii="宋体" w:hAnsi="宋体"/>
          <w:bCs/>
          <w:color w:val="000000" w:themeColor="text1"/>
          <w:sz w:val="24"/>
          <w:szCs w:val="24"/>
          <w:highlight w:val="none"/>
          <w:lang w:val="zh-CN"/>
        </w:rPr>
        <w:instrText xml:space="preserve"> = 1 \* GB3 </w:instrText>
      </w:r>
      <w:r>
        <w:rPr>
          <w:rFonts w:hint="eastAsia" w:ascii="宋体" w:hAnsi="宋体"/>
          <w:bCs/>
          <w:color w:val="000000" w:themeColor="text1"/>
          <w:sz w:val="24"/>
          <w:szCs w:val="24"/>
          <w:highlight w:val="none"/>
          <w:lang w:val="zh-CN"/>
        </w:rPr>
        <w:fldChar w:fldCharType="separate"/>
      </w:r>
      <w:r>
        <w:rPr>
          <w:rFonts w:hint="eastAsia" w:ascii="宋体" w:hAnsi="宋体"/>
          <w:bCs/>
          <w:color w:val="000000" w:themeColor="text1"/>
          <w:sz w:val="24"/>
          <w:szCs w:val="24"/>
          <w:highlight w:val="none"/>
          <w:lang w:val="zh-CN"/>
        </w:rPr>
        <w:t xml:space="preserve">①</w:t>
      </w:r>
      <w:r>
        <w:rPr>
          <w:rFonts w:hint="eastAsia" w:ascii="宋体" w:hAnsi="宋体"/>
          <w:bCs/>
          <w:color w:val="000000" w:themeColor="text1"/>
          <w:sz w:val="24"/>
          <w:szCs w:val="24"/>
          <w:highlight w:val="none"/>
          <w:lang w:val="zh-CN"/>
        </w:rPr>
        <w:fldChar w:fldCharType="end"/>
      </w:r>
      <w:r>
        <w:rPr>
          <w:rFonts w:hint="eastAsia" w:ascii="宋体" w:hAnsi="宋体"/>
          <w:bCs/>
          <w:color w:val="000000" w:themeColor="text1"/>
          <w:sz w:val="24"/>
          <w:szCs w:val="24"/>
          <w:highlight w:val="none"/>
          <w:lang w:val="zh-CN"/>
        </w:rPr>
        <w:t xml:space="preserve">安置的残疾人占本单位在职职工人数的比例不低于25%（含25%），并且安置的残疾人人数不少于10人（含10人）；</w:t>
      </w:r>
      <w:r/>
    </w:p>
    <w:p>
      <w:pPr>
        <w:pStyle w:val="1132"/>
        <w:ind w:left="0" w:firstLine="400"/>
        <w:rPr>
          <w:rFonts w:ascii="宋体" w:hAnsi="宋体"/>
          <w:bCs/>
          <w:color w:val="000000" w:themeColor="text1"/>
          <w:sz w:val="24"/>
          <w:szCs w:val="24"/>
          <w:highlight w:val="none"/>
        </w:rPr>
      </w:pPr>
      <w:r>
        <w:rPr>
          <w:rFonts w:hint="eastAsia" w:ascii="宋体" w:hAnsi="宋体"/>
          <w:bCs/>
          <w:color w:val="000000" w:themeColor="text1"/>
          <w:sz w:val="24"/>
          <w:szCs w:val="24"/>
          <w:highlight w:val="none"/>
          <w:lang w:val="zh-CN"/>
        </w:rPr>
        <w:fldChar w:fldCharType="begin"/>
      </w:r>
      <w:r>
        <w:rPr>
          <w:rFonts w:hint="eastAsia" w:ascii="宋体" w:hAnsi="宋体"/>
          <w:bCs/>
          <w:color w:val="000000" w:themeColor="text1"/>
          <w:sz w:val="24"/>
          <w:szCs w:val="24"/>
          <w:highlight w:val="none"/>
          <w:lang w:val="zh-CN"/>
        </w:rPr>
        <w:instrText xml:space="preserve"> = 2 \* GB3 </w:instrText>
      </w:r>
      <w:r>
        <w:rPr>
          <w:rFonts w:hint="eastAsia" w:ascii="宋体" w:hAnsi="宋体"/>
          <w:bCs/>
          <w:color w:val="000000" w:themeColor="text1"/>
          <w:sz w:val="24"/>
          <w:szCs w:val="24"/>
          <w:highlight w:val="none"/>
          <w:lang w:val="zh-CN"/>
        </w:rPr>
        <w:fldChar w:fldCharType="separate"/>
      </w:r>
      <w:r>
        <w:rPr>
          <w:rFonts w:hint="eastAsia" w:ascii="宋体" w:hAnsi="宋体"/>
          <w:bCs/>
          <w:color w:val="000000" w:themeColor="text1"/>
          <w:sz w:val="24"/>
          <w:szCs w:val="24"/>
          <w:highlight w:val="none"/>
          <w:lang w:val="zh-CN"/>
        </w:rPr>
        <w:t xml:space="preserve">②</w:t>
      </w:r>
      <w:r>
        <w:rPr>
          <w:rFonts w:hint="eastAsia" w:ascii="宋体" w:hAnsi="宋体"/>
          <w:bCs/>
          <w:color w:val="000000" w:themeColor="text1"/>
          <w:sz w:val="24"/>
          <w:szCs w:val="24"/>
          <w:highlight w:val="none"/>
          <w:lang w:val="zh-CN"/>
        </w:rPr>
        <w:fldChar w:fldCharType="end"/>
      </w:r>
      <w:r>
        <w:rPr>
          <w:rFonts w:hint="eastAsia" w:ascii="宋体" w:hAnsi="宋体"/>
          <w:bCs/>
          <w:color w:val="000000" w:themeColor="text1"/>
          <w:sz w:val="24"/>
          <w:szCs w:val="24"/>
          <w:highlight w:val="none"/>
          <w:lang w:val="zh-CN"/>
        </w:rPr>
        <w:t xml:space="preserve">依法与安置的每位残疾人签订了一年以上（含一年）的劳动合同或服务协议；</w:t>
      </w:r>
      <w:r/>
    </w:p>
    <w:p>
      <w:pPr>
        <w:pStyle w:val="1132"/>
        <w:ind w:left="0" w:firstLine="400"/>
        <w:rPr>
          <w:rFonts w:ascii="宋体" w:hAnsi="宋体"/>
          <w:bCs/>
          <w:color w:val="000000" w:themeColor="text1"/>
          <w:sz w:val="24"/>
          <w:szCs w:val="24"/>
          <w:highlight w:val="none"/>
        </w:rPr>
      </w:pPr>
      <w:r>
        <w:rPr>
          <w:rFonts w:hint="eastAsia" w:ascii="宋体" w:hAnsi="宋体"/>
          <w:bCs/>
          <w:color w:val="000000" w:themeColor="text1"/>
          <w:sz w:val="24"/>
          <w:szCs w:val="24"/>
          <w:highlight w:val="none"/>
          <w:lang w:val="zh-CN"/>
        </w:rPr>
        <w:fldChar w:fldCharType="begin"/>
      </w:r>
      <w:r>
        <w:rPr>
          <w:rFonts w:hint="eastAsia" w:ascii="宋体" w:hAnsi="宋体"/>
          <w:bCs/>
          <w:color w:val="000000" w:themeColor="text1"/>
          <w:sz w:val="24"/>
          <w:szCs w:val="24"/>
          <w:highlight w:val="none"/>
          <w:lang w:val="zh-CN"/>
        </w:rPr>
        <w:instrText xml:space="preserve"> = 3 \* GB3 </w:instrText>
      </w:r>
      <w:r>
        <w:rPr>
          <w:rFonts w:hint="eastAsia" w:ascii="宋体" w:hAnsi="宋体"/>
          <w:bCs/>
          <w:color w:val="000000" w:themeColor="text1"/>
          <w:sz w:val="24"/>
          <w:szCs w:val="24"/>
          <w:highlight w:val="none"/>
          <w:lang w:val="zh-CN"/>
        </w:rPr>
        <w:fldChar w:fldCharType="separate"/>
      </w:r>
      <w:r>
        <w:rPr>
          <w:rFonts w:hint="eastAsia" w:ascii="宋体" w:hAnsi="宋体"/>
          <w:bCs/>
          <w:color w:val="000000" w:themeColor="text1"/>
          <w:sz w:val="24"/>
          <w:szCs w:val="24"/>
          <w:highlight w:val="none"/>
          <w:lang w:val="zh-CN"/>
        </w:rPr>
        <w:t xml:space="preserve">③</w:t>
      </w:r>
      <w:r>
        <w:rPr>
          <w:rFonts w:hint="eastAsia" w:ascii="宋体" w:hAnsi="宋体"/>
          <w:bCs/>
          <w:color w:val="000000" w:themeColor="text1"/>
          <w:sz w:val="24"/>
          <w:szCs w:val="24"/>
          <w:highlight w:val="none"/>
          <w:lang w:val="zh-CN"/>
        </w:rPr>
        <w:fldChar w:fldCharType="end"/>
      </w:r>
      <w:r>
        <w:rPr>
          <w:rFonts w:hint="eastAsia" w:ascii="宋体" w:hAnsi="宋体"/>
          <w:bCs/>
          <w:color w:val="000000" w:themeColor="text1"/>
          <w:sz w:val="24"/>
          <w:szCs w:val="24"/>
          <w:highlight w:val="none"/>
          <w:lang w:val="zh-CN"/>
        </w:rPr>
        <w:t xml:space="preserve">为安置的每位残疾人按月足额缴纳了基本养老保险、基本医疗保险、失业保险、工伤保险和生育保险等社会保险费；</w:t>
      </w:r>
      <w:r/>
    </w:p>
    <w:p>
      <w:pPr>
        <w:pStyle w:val="1132"/>
        <w:ind w:left="0" w:firstLine="400"/>
        <w:rPr>
          <w:rFonts w:ascii="宋体" w:hAnsi="宋体"/>
          <w:bCs/>
          <w:color w:val="000000" w:themeColor="text1"/>
          <w:sz w:val="24"/>
          <w:szCs w:val="24"/>
          <w:highlight w:val="none"/>
        </w:rPr>
      </w:pPr>
      <w:r>
        <w:rPr>
          <w:rFonts w:hint="eastAsia" w:ascii="宋体" w:hAnsi="宋体"/>
          <w:bCs/>
          <w:color w:val="000000" w:themeColor="text1"/>
          <w:sz w:val="24"/>
          <w:szCs w:val="24"/>
          <w:highlight w:val="none"/>
          <w:lang w:val="zh-CN"/>
        </w:rPr>
        <w:fldChar w:fldCharType="begin"/>
      </w:r>
      <w:r>
        <w:rPr>
          <w:rFonts w:hint="eastAsia" w:ascii="宋体" w:hAnsi="宋体"/>
          <w:bCs/>
          <w:color w:val="000000" w:themeColor="text1"/>
          <w:sz w:val="24"/>
          <w:szCs w:val="24"/>
          <w:highlight w:val="none"/>
          <w:lang w:val="zh-CN"/>
        </w:rPr>
        <w:instrText xml:space="preserve"> = 4 \* GB3 </w:instrText>
      </w:r>
      <w:r>
        <w:rPr>
          <w:rFonts w:hint="eastAsia" w:ascii="宋体" w:hAnsi="宋体"/>
          <w:bCs/>
          <w:color w:val="000000" w:themeColor="text1"/>
          <w:sz w:val="24"/>
          <w:szCs w:val="24"/>
          <w:highlight w:val="none"/>
          <w:lang w:val="zh-CN"/>
        </w:rPr>
        <w:fldChar w:fldCharType="separate"/>
      </w:r>
      <w:r>
        <w:rPr>
          <w:rFonts w:hint="eastAsia" w:ascii="宋体" w:hAnsi="宋体"/>
          <w:bCs/>
          <w:color w:val="000000" w:themeColor="text1"/>
          <w:sz w:val="24"/>
          <w:szCs w:val="24"/>
          <w:highlight w:val="none"/>
          <w:lang w:val="zh-CN"/>
        </w:rPr>
        <w:t xml:space="preserve">④</w:t>
      </w:r>
      <w:r>
        <w:rPr>
          <w:rFonts w:hint="eastAsia" w:ascii="宋体" w:hAnsi="宋体"/>
          <w:bCs/>
          <w:color w:val="000000" w:themeColor="text1"/>
          <w:sz w:val="24"/>
          <w:szCs w:val="24"/>
          <w:highlight w:val="none"/>
          <w:lang w:val="zh-CN"/>
        </w:rPr>
        <w:fldChar w:fldCharType="end"/>
      </w:r>
      <w:r>
        <w:rPr>
          <w:rFonts w:hint="eastAsia" w:ascii="宋体" w:hAnsi="宋体"/>
          <w:bCs/>
          <w:color w:val="000000" w:themeColor="text1"/>
          <w:sz w:val="24"/>
          <w:szCs w:val="24"/>
          <w:highlight w:val="none"/>
          <w:lang w:val="zh-CN"/>
        </w:rPr>
        <w:t xml:space="preserve">通过银行等金融机构向安置的每位残疾人，按月支付了不低于单位所在区县适用的经省级人民政府批准的月最低工资标准的工资；</w:t>
      </w:r>
      <w:r/>
    </w:p>
    <w:p>
      <w:pPr>
        <w:pStyle w:val="1132"/>
        <w:ind w:left="0" w:firstLine="400"/>
        <w:rPr>
          <w:rFonts w:ascii="宋体" w:hAnsi="宋体"/>
          <w:bCs/>
          <w:color w:val="000000" w:themeColor="text1"/>
          <w:sz w:val="24"/>
          <w:szCs w:val="24"/>
          <w:highlight w:val="none"/>
        </w:rPr>
      </w:pPr>
      <w:r>
        <w:rPr>
          <w:rFonts w:hint="eastAsia" w:ascii="宋体" w:hAnsi="宋体"/>
          <w:bCs/>
          <w:color w:val="000000" w:themeColor="text1"/>
          <w:sz w:val="24"/>
          <w:szCs w:val="24"/>
          <w:highlight w:val="none"/>
          <w:lang w:val="zh-CN"/>
        </w:rPr>
        <w:fldChar w:fldCharType="begin"/>
      </w:r>
      <w:r>
        <w:rPr>
          <w:rFonts w:hint="eastAsia" w:ascii="宋体" w:hAnsi="宋体"/>
          <w:bCs/>
          <w:color w:val="000000" w:themeColor="text1"/>
          <w:sz w:val="24"/>
          <w:szCs w:val="24"/>
          <w:highlight w:val="none"/>
          <w:lang w:val="zh-CN"/>
        </w:rPr>
        <w:instrText xml:space="preserve"> = 5 \* GB3 </w:instrText>
      </w:r>
      <w:r>
        <w:rPr>
          <w:rFonts w:hint="eastAsia" w:ascii="宋体" w:hAnsi="宋体"/>
          <w:bCs/>
          <w:color w:val="000000" w:themeColor="text1"/>
          <w:sz w:val="24"/>
          <w:szCs w:val="24"/>
          <w:highlight w:val="none"/>
          <w:lang w:val="zh-CN"/>
        </w:rPr>
        <w:fldChar w:fldCharType="separate"/>
      </w:r>
      <w:r>
        <w:rPr>
          <w:rFonts w:hint="eastAsia" w:ascii="宋体" w:hAnsi="宋体"/>
          <w:bCs/>
          <w:color w:val="000000" w:themeColor="text1"/>
          <w:sz w:val="24"/>
          <w:szCs w:val="24"/>
          <w:highlight w:val="none"/>
          <w:lang w:val="zh-CN"/>
        </w:rPr>
        <w:t xml:space="preserve">⑤</w:t>
      </w:r>
      <w:r>
        <w:rPr>
          <w:rFonts w:hint="eastAsia" w:ascii="宋体" w:hAnsi="宋体"/>
          <w:bCs/>
          <w:color w:val="000000" w:themeColor="text1"/>
          <w:sz w:val="24"/>
          <w:szCs w:val="24"/>
          <w:highlight w:val="none"/>
          <w:lang w:val="zh-CN"/>
        </w:rPr>
        <w:fldChar w:fldCharType="end"/>
      </w:r>
      <w:r>
        <w:rPr>
          <w:rFonts w:hint="eastAsia" w:ascii="宋体" w:hAnsi="宋体"/>
          <w:bCs/>
          <w:color w:val="000000" w:themeColor="text1"/>
          <w:sz w:val="24"/>
          <w:szCs w:val="24"/>
          <w:highlight w:val="none"/>
          <w:lang w:val="zh-CN"/>
        </w:rPr>
        <w:t xml:space="preserve">提供本单位制造的货物、承担的工程或者服务（以下简称产品），或者提供其他残疾人福利性单位制造的货物（不包括使用非残疾人福利性单位注册商标的货物）。</w:t>
      </w:r>
      <w:r/>
    </w:p>
    <w:p>
      <w:pPr>
        <w:pStyle w:val="1132"/>
        <w:ind w:left="0" w:firstLine="400"/>
        <w:rPr>
          <w:rFonts w:ascii="宋体" w:hAnsi="宋体"/>
          <w:bCs/>
          <w:color w:val="000000" w:themeColor="text1"/>
          <w:sz w:val="24"/>
          <w:szCs w:val="24"/>
          <w:highlight w:val="none"/>
        </w:rPr>
      </w:pPr>
      <w:r>
        <w:rPr>
          <w:rFonts w:hint="eastAsia" w:ascii="宋体" w:hAnsi="宋体"/>
          <w:bCs/>
          <w:color w:val="000000" w:themeColor="text1"/>
          <w:sz w:val="24"/>
          <w:szCs w:val="24"/>
          <w:highlight w:val="none"/>
          <w:lang w:val="zh-CN"/>
        </w:rPr>
        <w:t xml:space="preserve">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p>
    <w:p>
      <w:pPr>
        <w:pStyle w:val="1132"/>
        <w:ind w:left="0" w:firstLine="402"/>
        <w:rPr>
          <w:rFonts w:ascii="宋体" w:hAnsi="宋体"/>
          <w:bCs/>
          <w:color w:val="000000" w:themeColor="text1"/>
          <w:sz w:val="24"/>
          <w:szCs w:val="24"/>
          <w:highlight w:val="none"/>
        </w:rPr>
      </w:pPr>
      <w:r>
        <w:rPr>
          <w:rFonts w:hint="eastAsia" w:ascii="宋体" w:hAnsi="宋体"/>
          <w:bCs/>
          <w:color w:val="000000" w:themeColor="text1"/>
          <w:sz w:val="24"/>
          <w:szCs w:val="24"/>
          <w:highlight w:val="none"/>
          <w:lang w:val="zh-CN"/>
        </w:rPr>
        <w:t xml:space="preserve">2.中标单位为残疾人福利性单位的，《残疾人福利性单位声明函》将随中标结果同时公告。</w:t>
      </w:r>
      <w:r/>
    </w:p>
    <w:p>
      <w:pPr>
        <w:pStyle w:val="1132"/>
        <w:ind w:left="0" w:firstLine="402"/>
        <w:rPr>
          <w:rFonts w:ascii="宋体" w:hAnsi="宋体"/>
          <w:bCs/>
          <w:color w:val="000000" w:themeColor="text1"/>
          <w:sz w:val="24"/>
          <w:szCs w:val="24"/>
          <w:highlight w:val="none"/>
        </w:rPr>
      </w:pPr>
      <w:r>
        <w:rPr>
          <w:rFonts w:hint="eastAsia" w:ascii="宋体" w:hAnsi="宋体"/>
          <w:bCs/>
          <w:color w:val="000000" w:themeColor="text1"/>
          <w:sz w:val="24"/>
          <w:szCs w:val="24"/>
          <w:highlight w:val="none"/>
          <w:lang w:val="zh-CN"/>
        </w:rPr>
        <w:t xml:space="preserve">3.供应商提供的《残疾人福利性单位声明函》与事实不符的，依照《中华人民共和国政府采购法》第七十七条第一款的规定追究法律责任。</w:t>
      </w:r>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br w:type="page" w:clear="all"/>
      </w:r>
      <w:r>
        <w:rPr>
          <w:rFonts w:hint="eastAsia" w:ascii="宋体" w:hAnsi="宋体"/>
          <w:color w:val="000000" w:themeColor="text1"/>
          <w:sz w:val="28"/>
          <w:szCs w:val="28"/>
          <w:highlight w:val="none"/>
        </w:rPr>
        <w:t xml:space="preserve">11、供应商情况表</w:t>
      </w:r>
      <w:r/>
    </w:p>
    <w:p>
      <w:pPr>
        <w:jc w:val="center"/>
        <w:spacing w:line="360" w:lineRule="auto"/>
        <w:rPr>
          <w:rFonts w:eastAsia="黑体"/>
          <w:b/>
          <w:bCs/>
          <w:color w:val="000000" w:themeColor="text1"/>
          <w:spacing w:val="20"/>
          <w:sz w:val="32"/>
          <w:szCs w:val="32"/>
          <w:highlight w:val="none"/>
        </w:rPr>
      </w:pPr>
      <w:r>
        <w:rPr>
          <w:rFonts w:hint="eastAsia" w:eastAsia="黑体"/>
          <w:b/>
          <w:bCs/>
          <w:color w:val="000000" w:themeColor="text1"/>
          <w:spacing w:val="20"/>
          <w:sz w:val="32"/>
          <w:szCs w:val="32"/>
          <w:highlight w:val="none"/>
        </w:rPr>
        <w:t xml:space="preserve">供应商情况表</w:t>
      </w:r>
      <w:r/>
    </w:p>
    <w:p>
      <w:pPr>
        <w:jc w:val="right"/>
        <w:spacing w:line="360" w:lineRule="auto"/>
        <w:rPr>
          <w:color w:val="000000" w:themeColor="text1"/>
          <w:spacing w:val="20"/>
          <w:sz w:val="24"/>
          <w:highlight w:val="none"/>
        </w:rPr>
      </w:pPr>
      <w:r>
        <w:rPr>
          <w:rFonts w:hint="eastAsia"/>
          <w:color w:val="000000" w:themeColor="text1"/>
          <w:spacing w:val="20"/>
          <w:sz w:val="24"/>
          <w:highlight w:val="none"/>
        </w:rPr>
        <w:t xml:space="preserve">年月日</w:t>
      </w:r>
      <w:r/>
    </w:p>
    <w:tbl>
      <w:tblPr>
        <w:tblStyle w:val="897"/>
        <w:tblW w:w="8487"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76"/>
        <w:gridCol w:w="590"/>
        <w:gridCol w:w="390"/>
        <w:gridCol w:w="696"/>
        <w:gridCol w:w="972"/>
        <w:gridCol w:w="530"/>
        <w:gridCol w:w="831"/>
        <w:gridCol w:w="1275"/>
        <w:gridCol w:w="896"/>
        <w:gridCol w:w="212"/>
        <w:gridCol w:w="1319"/>
      </w:tblGrid>
      <w:tr>
        <w:trPr>
          <w:trHeight w:val="1021"/>
        </w:trPr>
        <w:tc>
          <w:tcPr>
            <w:gridSpan w:val="3"/>
            <w:tcW w:w="1756"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单位名称</w:t>
            </w:r>
            <w:r/>
          </w:p>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（盖章）</w:t>
            </w:r>
            <w:r/>
          </w:p>
        </w:tc>
        <w:tc>
          <w:tcPr>
            <w:gridSpan w:val="2"/>
            <w:tcW w:w="1668"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2"/>
            <w:tcW w:w="1361"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注册号</w:t>
            </w:r>
            <w:r/>
          </w:p>
        </w:tc>
        <w:tc>
          <w:tcPr>
            <w:tcW w:w="1275"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2"/>
            <w:tcW w:w="1108"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电话</w:t>
            </w:r>
            <w:r/>
          </w:p>
        </w:tc>
        <w:tc>
          <w:tcPr>
            <w:tcW w:w="1319"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r>
      <w:tr>
        <w:trPr>
          <w:trHeight w:val="908"/>
        </w:trPr>
        <w:tc>
          <w:tcPr>
            <w:gridSpan w:val="3"/>
            <w:tcW w:w="1756"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企业地址</w:t>
            </w:r>
            <w:r/>
          </w:p>
        </w:tc>
        <w:tc>
          <w:tcPr>
            <w:gridSpan w:val="2"/>
            <w:tcW w:w="1668"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2"/>
            <w:tcW w:w="1361"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注册资金</w:t>
            </w:r>
            <w:r/>
          </w:p>
        </w:tc>
        <w:tc>
          <w:tcPr>
            <w:tcW w:w="1275"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2"/>
            <w:tcW w:w="1108"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传真</w:t>
            </w:r>
            <w:r/>
          </w:p>
        </w:tc>
        <w:tc>
          <w:tcPr>
            <w:tcW w:w="1319"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r>
      <w:tr>
        <w:trPr>
          <w:trHeight w:val="1090"/>
        </w:trPr>
        <w:tc>
          <w:tcPr>
            <w:gridSpan w:val="3"/>
            <w:tcW w:w="1756"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一、单位简历及机构</w:t>
            </w:r>
            <w:r/>
          </w:p>
        </w:tc>
        <w:tc>
          <w:tcPr>
            <w:gridSpan w:val="8"/>
            <w:tcW w:w="6731"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r>
      <w:tr>
        <w:trPr>
          <w:trHeight w:val="1159"/>
        </w:trPr>
        <w:tc>
          <w:tcPr>
            <w:gridSpan w:val="3"/>
            <w:tcW w:w="1756"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二、单位优势及特长</w:t>
            </w:r>
            <w:r/>
          </w:p>
        </w:tc>
        <w:tc>
          <w:tcPr>
            <w:gridSpan w:val="8"/>
            <w:tcW w:w="6731"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r>
      <w:tr>
        <w:trPr>
          <w:cantSplit/>
          <w:trHeight w:val="919"/>
        </w:trPr>
        <w:tc>
          <w:tcPr>
            <w:tcW w:w="776" w:type="dxa"/>
            <w:vAlign w:val="center"/>
            <w:vMerge w:val="restart"/>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三、单</w:t>
            </w:r>
            <w:r/>
          </w:p>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位</w:t>
            </w:r>
            <w:r/>
          </w:p>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概</w:t>
            </w:r>
            <w:r/>
          </w:p>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况</w:t>
            </w:r>
            <w:r/>
          </w:p>
        </w:tc>
        <w:tc>
          <w:tcPr>
            <w:gridSpan w:val="3"/>
            <w:tcW w:w="1676"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职工总数</w:t>
            </w:r>
            <w:r/>
          </w:p>
        </w:tc>
        <w:tc>
          <w:tcPr>
            <w:gridSpan w:val="2"/>
            <w:tcW w:w="1502"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3"/>
            <w:tcW w:w="3002"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其中：中级职称人员</w:t>
            </w:r>
            <w:r/>
          </w:p>
        </w:tc>
        <w:tc>
          <w:tcPr>
            <w:gridSpan w:val="2"/>
            <w:tcW w:w="1531" w:type="dxa"/>
            <w:vAlign w:val="center"/>
            <w:textDirection w:val="lrTb"/>
            <w:noWrap/>
          </w:tcPr>
          <w:p>
            <w:pPr>
              <w:jc w:val="cente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r>
      <w:tr>
        <w:trPr>
          <w:cantSplit/>
          <w:trHeight w:val="931"/>
        </w:trPr>
        <w:tc>
          <w:tcPr>
            <w:tcW w:w="776" w:type="dxa"/>
            <w:vAlign w:val="center"/>
            <w:vMerge w:val="continue"/>
            <w:textDirection w:val="lrTb"/>
            <w:noWrap/>
          </w:tcPr>
          <w:p>
            <w:pPr>
              <w:jc w:val="left"/>
              <w:widowControl/>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10"/>
            <w:tcW w:w="7711" w:type="dxa"/>
            <w:vAlign w:val="center"/>
            <w:textDirection w:val="lrTb"/>
            <w:noWrap/>
          </w:tcPr>
          <w:p>
            <w:pP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资产总计：  万元；资产净值： 万元；股东权益：   万元</w:t>
            </w:r>
            <w:r/>
          </w:p>
        </w:tc>
      </w:tr>
      <w:tr>
        <w:trPr>
          <w:cantSplit/>
          <w:trHeight w:val="930"/>
        </w:trPr>
        <w:tc>
          <w:tcPr>
            <w:tcW w:w="776" w:type="dxa"/>
            <w:vAlign w:val="center"/>
            <w:vMerge w:val="continue"/>
            <w:textDirection w:val="lrTb"/>
            <w:noWrap/>
          </w:tcPr>
          <w:p>
            <w:pPr>
              <w:jc w:val="left"/>
              <w:widowControl/>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10"/>
            <w:tcW w:w="7711" w:type="dxa"/>
            <w:vAlign w:val="center"/>
            <w:textDirection w:val="lrTb"/>
            <w:noWrap/>
          </w:tcPr>
          <w:p>
            <w:pP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营业面积（含厂房面积）：   M</w:t>
            </w:r>
            <w:r>
              <w:rPr>
                <w:rFonts w:hint="eastAsia" w:ascii="宋体" w:hAnsi="宋体" w:cs="宋体"/>
                <w:color w:val="000000" w:themeColor="text1"/>
                <w:spacing w:val="20"/>
                <w:sz w:val="24"/>
                <w:highlight w:val="none"/>
                <w:vertAlign w:val="superscript"/>
              </w:rPr>
              <w:t xml:space="preserve">2</w:t>
            </w:r>
            <w:r>
              <w:rPr>
                <w:rFonts w:hint="eastAsia" w:ascii="宋体" w:hAnsi="宋体" w:cs="宋体"/>
                <w:color w:val="000000" w:themeColor="text1"/>
                <w:spacing w:val="20"/>
                <w:sz w:val="24"/>
                <w:highlight w:val="none"/>
              </w:rPr>
              <w:t xml:space="preserve">，产权：  M</w:t>
            </w:r>
            <w:r>
              <w:rPr>
                <w:rFonts w:hint="eastAsia" w:ascii="宋体" w:hAnsi="宋体" w:cs="宋体"/>
                <w:color w:val="000000" w:themeColor="text1"/>
                <w:spacing w:val="20"/>
                <w:sz w:val="24"/>
                <w:highlight w:val="none"/>
                <w:vertAlign w:val="superscript"/>
              </w:rPr>
              <w:t xml:space="preserve">2</w:t>
            </w:r>
            <w:r>
              <w:rPr>
                <w:rFonts w:hint="eastAsia" w:ascii="宋体" w:hAnsi="宋体" w:cs="宋体"/>
                <w:color w:val="000000" w:themeColor="text1"/>
                <w:spacing w:val="20"/>
                <w:sz w:val="24"/>
                <w:highlight w:val="none"/>
              </w:rPr>
              <w:t xml:space="preserve">，租：   M</w:t>
            </w:r>
            <w:r>
              <w:rPr>
                <w:rFonts w:hint="eastAsia" w:ascii="宋体" w:hAnsi="宋体" w:cs="宋体"/>
                <w:color w:val="000000" w:themeColor="text1"/>
                <w:spacing w:val="20"/>
                <w:sz w:val="24"/>
                <w:highlight w:val="none"/>
                <w:vertAlign w:val="superscript"/>
              </w:rPr>
              <w:t xml:space="preserve">2</w:t>
            </w:r>
            <w:r/>
          </w:p>
        </w:tc>
      </w:tr>
      <w:tr>
        <w:trPr>
          <w:cantSplit/>
          <w:trHeight w:val="736"/>
        </w:trPr>
        <w:tc>
          <w:tcPr>
            <w:tcW w:w="776" w:type="dxa"/>
            <w:vAlign w:val="center"/>
            <w:vMerge w:val="continue"/>
            <w:textDirection w:val="lrTb"/>
            <w:noWrap/>
          </w:tcPr>
          <w:p>
            <w:pPr>
              <w:jc w:val="left"/>
              <w:widowControl/>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10"/>
            <w:tcW w:w="7711" w:type="dxa"/>
            <w:vAlign w:val="center"/>
            <w:textDirection w:val="lrTb"/>
            <w:noWrap/>
          </w:tcPr>
          <w:p>
            <w:pP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销（零）售额：    年     万元；     年：      万元</w:t>
            </w:r>
            <w:r/>
          </w:p>
        </w:tc>
      </w:tr>
      <w:tr>
        <w:trPr>
          <w:cantSplit/>
          <w:trHeight w:val="690"/>
        </w:trPr>
        <w:tc>
          <w:tcPr>
            <w:tcW w:w="776" w:type="dxa"/>
            <w:vAlign w:val="center"/>
            <w:vMerge w:val="continue"/>
            <w:textDirection w:val="lrTb"/>
            <w:noWrap/>
          </w:tcPr>
          <w:p>
            <w:pPr>
              <w:jc w:val="left"/>
              <w:widowControl/>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10"/>
            <w:tcW w:w="7711" w:type="dxa"/>
            <w:vAlign w:val="center"/>
            <w:textDirection w:val="lrTb"/>
            <w:noWrap/>
          </w:tcPr>
          <w:p>
            <w:pP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实现利润：    年        万元；      年：     万元</w:t>
            </w:r>
            <w:r/>
          </w:p>
        </w:tc>
      </w:tr>
      <w:tr>
        <w:trPr>
          <w:cantSplit/>
          <w:trHeight w:val="935"/>
        </w:trPr>
        <w:tc>
          <w:tcPr>
            <w:tcW w:w="776" w:type="dxa"/>
            <w:vAlign w:val="center"/>
            <w:vMerge w:val="continue"/>
            <w:textDirection w:val="lrTb"/>
            <w:noWrap/>
          </w:tcPr>
          <w:p>
            <w:pPr>
              <w:jc w:val="left"/>
              <w:widowControl/>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tcW w:w="590" w:type="dxa"/>
            <w:vAlign w:val="center"/>
            <w:vMerge w:val="restart"/>
            <w:textDirection w:val="lrTb"/>
            <w:noWrap/>
          </w:tcPr>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主</w:t>
            </w:r>
            <w:r/>
          </w:p>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要</w:t>
            </w:r>
            <w:r/>
          </w:p>
          <w:p>
            <w:pPr>
              <w:jc w:val="center"/>
              <w:spacing w:line="360" w:lineRule="auto"/>
              <w:rPr>
                <w:rFonts w:ascii="宋体" w:hAnsi="宋体" w:cs="宋体"/>
                <w:color w:val="000000" w:themeColor="text1"/>
                <w:spacing w:val="20"/>
                <w:sz w:val="24"/>
                <w:highlight w:val="none"/>
              </w:rPr>
            </w:pPr>
            <w:r>
              <w:rPr>
                <w:rFonts w:hint="eastAsia" w:ascii="宋体" w:hAnsi="宋体" w:cs="宋体"/>
                <w:color w:val="000000" w:themeColor="text1"/>
                <w:spacing w:val="20"/>
                <w:sz w:val="24"/>
                <w:highlight w:val="none"/>
              </w:rPr>
              <w:t xml:space="preserve">业务</w:t>
            </w:r>
            <w:r/>
          </w:p>
        </w:tc>
        <w:tc>
          <w:tcPr>
            <w:gridSpan w:val="9"/>
            <w:tcW w:w="7121" w:type="dxa"/>
            <w:vAlign w:val="center"/>
            <w:textDirection w:val="lrTb"/>
            <w:noWrap/>
          </w:tcPr>
          <w:p>
            <w:pP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r>
      <w:tr>
        <w:trPr>
          <w:cantSplit/>
          <w:trHeight w:val="1001"/>
        </w:trPr>
        <w:tc>
          <w:tcPr>
            <w:tcW w:w="776" w:type="dxa"/>
            <w:vAlign w:val="center"/>
            <w:vMerge w:val="continue"/>
            <w:textDirection w:val="lrTb"/>
            <w:noWrap/>
          </w:tcPr>
          <w:p>
            <w:pPr>
              <w:jc w:val="left"/>
              <w:widowControl/>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tcW w:w="590" w:type="dxa"/>
            <w:vAlign w:val="center"/>
            <w:vMerge w:val="continue"/>
            <w:textDirection w:val="lrTb"/>
            <w:noWrap/>
          </w:tcPr>
          <w:p>
            <w:pPr>
              <w:jc w:val="left"/>
              <w:widowControl/>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9"/>
            <w:tcW w:w="7121" w:type="dxa"/>
            <w:vAlign w:val="center"/>
            <w:textDirection w:val="lrTb"/>
            <w:noWrap/>
          </w:tcPr>
          <w:p>
            <w:pP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r>
      <w:tr>
        <w:trPr>
          <w:cantSplit/>
          <w:trHeight w:val="1051"/>
        </w:trPr>
        <w:tc>
          <w:tcPr>
            <w:tcW w:w="776" w:type="dxa"/>
            <w:vAlign w:val="center"/>
            <w:vMerge w:val="continue"/>
            <w:textDirection w:val="lrTb"/>
            <w:noWrap/>
          </w:tcPr>
          <w:p>
            <w:pPr>
              <w:jc w:val="left"/>
              <w:widowControl/>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tcW w:w="590" w:type="dxa"/>
            <w:vAlign w:val="center"/>
            <w:vMerge w:val="continue"/>
            <w:textDirection w:val="lrTb"/>
            <w:noWrap/>
          </w:tcPr>
          <w:p>
            <w:pPr>
              <w:jc w:val="left"/>
              <w:widowControl/>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c>
          <w:tcPr>
            <w:gridSpan w:val="9"/>
            <w:tcW w:w="7121" w:type="dxa"/>
            <w:vAlign w:val="center"/>
            <w:textDirection w:val="lrTb"/>
            <w:noWrap/>
          </w:tcPr>
          <w:p>
            <w:pPr>
              <w:spacing w:line="360" w:lineRule="auto"/>
              <w:rPr>
                <w:rFonts w:ascii="宋体" w:hAnsi="宋体" w:cs="宋体"/>
                <w:color w:val="000000" w:themeColor="text1"/>
                <w:spacing w:val="20"/>
                <w:sz w:val="24"/>
                <w:highlight w:val="none"/>
              </w:rPr>
            </w:pPr>
            <w:r>
              <w:rPr>
                <w:rFonts w:ascii="宋体" w:hAnsi="宋体" w:cs="宋体"/>
                <w:color w:val="000000" w:themeColor="text1"/>
                <w:spacing w:val="20"/>
                <w:sz w:val="24"/>
                <w:highlight w:val="none"/>
              </w:rPr>
            </w:r>
            <w:r/>
          </w:p>
        </w:tc>
      </w:tr>
    </w:tbl>
    <w:p>
      <w:pPr>
        <w:jc w:val="center"/>
        <w:spacing w:line="360" w:lineRule="auto"/>
        <w:rPr>
          <w:rFonts w:ascii="宋体" w:hAnsi="宋体" w:cs="宋体"/>
          <w:bCs/>
          <w:color w:val="000000" w:themeColor="text1"/>
          <w:sz w:val="44"/>
          <w:highlight w:val="none"/>
        </w:rPr>
        <w:outlineLvl w:val="0"/>
      </w:pPr>
      <w:r>
        <w:rPr>
          <w:rFonts w:hint="eastAsia" w:ascii="宋体" w:hAnsi="宋体" w:cs="宋体"/>
          <w:color w:val="000000" w:themeColor="text1"/>
          <w:highlight w:val="none"/>
        </w:rPr>
        <w:br w:type="page" w:clear="all"/>
      </w:r>
      <w:r>
        <w:rPr>
          <w:rFonts w:hint="eastAsia" w:ascii="宋体" w:hAnsi="宋体" w:cs="宋体"/>
          <w:bCs/>
          <w:color w:val="000000" w:themeColor="text1"/>
          <w:sz w:val="44"/>
          <w:highlight w:val="none"/>
        </w:rPr>
        <w:t xml:space="preserve">第四章 招标书</w:t>
      </w:r>
      <w:r/>
    </w:p>
    <w:p>
      <w:pPr>
        <w:ind w:firstLine="480"/>
        <w:spacing w:line="360" w:lineRule="auto"/>
        <w:rPr>
          <w:rFonts w:ascii="宋体" w:hAnsi="宋体" w:cs="宋体"/>
          <w:color w:val="000000" w:themeColor="text1"/>
          <w:sz w:val="24"/>
          <w:highlight w:val="none"/>
        </w:rPr>
      </w:pPr>
      <w:r>
        <w:rPr>
          <w:rFonts w:hint="eastAsia" w:ascii="宋体" w:hAnsi="宋体" w:cs="宋体"/>
          <w:color w:val="000000" w:themeColor="text1"/>
          <w:sz w:val="24"/>
          <w:szCs w:val="24"/>
          <w:highlight w:val="none"/>
        </w:rPr>
        <w:t xml:space="preserve">苏州时代招投标有限公司受苏州市公安局的委托，就其2024年中央政法转移支付资金子项目（健康一体机等一批医疗设备）项目的政府采购进行国内公开招标。欢迎有资格的</w:t>
      </w:r>
      <w:r>
        <w:rPr>
          <w:rFonts w:hint="eastAsia" w:ascii="宋体" w:hAnsi="宋体" w:cs="宋体"/>
          <w:color w:val="000000" w:themeColor="text1"/>
          <w:sz w:val="24"/>
          <w:highlight w:val="none"/>
        </w:rPr>
        <w:t xml:space="preserve">投标人前来参加投标。本次招标具体情况如下：</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一、招标编号：JSZC-320500-SZSD-G2025-0046</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二、招标内容：2024年中央政法转移支付资金子项目（健康一体机等一批医疗设备）</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三、预算金额：伍拾捌万柒仟伍佰元整（¥587500.00）</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最高限价：伍拾捌万柒仟伍佰元整（¥587500.00）</w:t>
      </w:r>
      <w:r/>
    </w:p>
    <w:tbl>
      <w:tblPr>
        <w:tblStyle w:val="897"/>
        <w:tblW w:w="4829" w:type="pct"/>
        <w:tblInd w:w="2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7"/>
        <w:gridCol w:w="1896"/>
        <w:gridCol w:w="864"/>
        <w:gridCol w:w="841"/>
        <w:gridCol w:w="1809"/>
        <w:gridCol w:w="1898"/>
      </w:tblGrid>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序号</w:t>
            </w:r>
            <w:r/>
          </w:p>
        </w:tc>
        <w:tc>
          <w:tcPr>
            <w:tcW w:w="1144"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设备名称</w:t>
            </w:r>
            <w:r/>
          </w:p>
        </w:tc>
        <w:tc>
          <w:tcPr>
            <w:tcW w:w="527"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数量</w:t>
            </w:r>
            <w:r/>
          </w:p>
        </w:tc>
        <w:tc>
          <w:tcPr>
            <w:tcW w:w="513"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单位</w:t>
            </w:r>
            <w:r/>
          </w:p>
        </w:tc>
        <w:tc>
          <w:tcPr>
            <w:tcBorders>
              <w:right w:val="single" w:color="auto" w:sz="4" w:space="0"/>
            </w:tcBorders>
            <w:tcW w:w="1101"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最高单价限价</w:t>
            </w:r>
            <w:r/>
          </w:p>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（元）</w:t>
            </w:r>
            <w:r/>
          </w:p>
        </w:tc>
        <w:tc>
          <w:tcPr>
            <w:tcBorders>
              <w:left w:val="single" w:color="auto" w:sz="4" w:space="0"/>
            </w:tcBorders>
            <w:tcW w:w="1154"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小计（元）</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w:t>
            </w:r>
            <w:r/>
          </w:p>
        </w:tc>
        <w:tc>
          <w:tcPr>
            <w:tcW w:w="1144" w:type="pct"/>
            <w:vAlign w:val="center"/>
            <w:textDirection w:val="lrTb"/>
            <w:noWrap/>
          </w:tcPr>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健康一体机</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5</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100000.00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500000.00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w:t>
            </w:r>
            <w:r/>
          </w:p>
        </w:tc>
        <w:tc>
          <w:tcPr>
            <w:gridSpan w:val="5"/>
            <w:tcW w:w="4440" w:type="pct"/>
            <w:vAlign w:val="center"/>
            <w:textDirection w:val="lrTb"/>
            <w:noWrap/>
          </w:tcPr>
          <w:p>
            <w:pPr>
              <w:pStyle w:val="1141"/>
              <w:jc w:val="left"/>
              <w:spacing w:line="240" w:lineRule="auto"/>
              <w:rPr>
                <w:rFonts w:hint="default" w:ascii="宋体" w:hAnsi="宋体"/>
                <w:color w:val="000000" w:themeColor="text1"/>
                <w:highlight w:val="none"/>
              </w:rPr>
            </w:pPr>
            <w:r>
              <w:rPr>
                <w:rFonts w:ascii="宋体" w:hAnsi="宋体"/>
                <w:color w:val="000000" w:themeColor="text1"/>
                <w:highlight w:val="none"/>
              </w:rPr>
              <w:t xml:space="preserve">方舱医疗设备</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2.1</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心电图机</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15000.00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15000.00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2.2</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红外治疗仪</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13000.00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13000.00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2.3</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磁振热治疗仪</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33000.00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33000.00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2.4</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深层肌肉刺激仪</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22000.00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22000.00</w:t>
            </w:r>
            <w:r/>
          </w:p>
        </w:tc>
      </w:tr>
      <w:tr>
        <w:trPr>
          <w:trHeight w:val="454"/>
        </w:trPr>
        <w:tc>
          <w:tcPr>
            <w:tcW w:w="559"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2.5</w:t>
            </w:r>
            <w:r/>
          </w:p>
        </w:tc>
        <w:tc>
          <w:tcPr>
            <w:tcW w:w="1144"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急救箱</w:t>
            </w:r>
            <w:r/>
          </w:p>
        </w:tc>
        <w:tc>
          <w:tcPr>
            <w:tcW w:w="527"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13"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个</w:t>
            </w:r>
            <w:r/>
          </w:p>
        </w:tc>
        <w:tc>
          <w:tcPr>
            <w:tcBorders>
              <w:right w:val="single" w:color="auto" w:sz="4" w:space="0"/>
            </w:tcBorders>
            <w:tcW w:w="1101"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4500.00</w:t>
            </w:r>
            <w:r/>
          </w:p>
        </w:tc>
        <w:tc>
          <w:tcPr>
            <w:tcBorders>
              <w:left w:val="single" w:color="auto" w:sz="4" w:space="0"/>
            </w:tcBorders>
            <w:tcW w:w="1154"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4500.00</w:t>
            </w:r>
            <w:r/>
          </w:p>
        </w:tc>
      </w:tr>
    </w:tbl>
    <w:p>
      <w:pPr>
        <w:jc w:val="left"/>
        <w:spacing w:line="360" w:lineRule="auto"/>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 xml:space="preserve">   注：</w:t>
      </w:r>
      <w:r>
        <w:rPr>
          <w:rFonts w:hint="eastAsia" w:ascii="宋体" w:hAnsi="宋体"/>
          <w:b/>
          <w:color w:val="000000" w:themeColor="text1"/>
          <w:sz w:val="24"/>
          <w:szCs w:val="24"/>
          <w:highlight w:val="none"/>
        </w:rPr>
        <w:t xml:space="preserve">投标报价不得超过本次采购预算及各分项最高单价限价，否则作无效报价处理。</w:t>
      </w:r>
      <w:r/>
    </w:p>
    <w:p>
      <w:pPr>
        <w:pStyle w:val="1124"/>
        <w:numPr>
          <w:ilvl w:val="0"/>
          <w:numId w:val="3"/>
        </w:numPr>
        <w:ind w:left="0"/>
        <w:spacing w:after="0" w:line="360" w:lineRule="auto"/>
        <w:rPr>
          <w:rFonts w:ascii="宋体" w:hAnsi="宋体" w:cs="宋体"/>
          <w:color w:val="000000" w:themeColor="text1"/>
          <w:sz w:val="24"/>
          <w:szCs w:val="24"/>
          <w:highlight w:val="none"/>
        </w:rPr>
      </w:pPr>
      <w:r>
        <w:rPr>
          <w:rFonts w:hint="eastAsia" w:ascii="宋体" w:hAnsi="宋体"/>
          <w:color w:val="000000" w:themeColor="text1"/>
          <w:sz w:val="24"/>
          <w:highlight w:val="none"/>
        </w:rPr>
        <w:t xml:space="preserve">采购内容：</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（一）项目概述：</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1、健康一体机：人体各项健康指标集成到一台设备上，可以通过身份证、微信扫码等进行自主登记、自主建档、自助体检、自动生成体检报告等。检测者可以按照机器屏幕引导和语音提示自助完成一系列健康检测项目并给予检测者健康指导、膳食指导等。</w:t>
      </w:r>
      <w:r/>
    </w:p>
    <w:p>
      <w:pPr>
        <w:spacing w:line="360" w:lineRule="auto"/>
        <w:rPr>
          <w:rFonts w:ascii="宋体" w:hAnsi="宋体"/>
          <w:dstrike/>
          <w:color w:val="000000" w:themeColor="text1"/>
          <w:sz w:val="24"/>
          <w:highlight w:val="none"/>
        </w:rPr>
      </w:pPr>
      <w:r>
        <w:rPr>
          <w:rFonts w:hint="eastAsia" w:ascii="宋体" w:hAnsi="宋体"/>
          <w:color w:val="000000" w:themeColor="text1"/>
          <w:sz w:val="24"/>
          <w:highlight w:val="none"/>
        </w:rPr>
        <w:t xml:space="preserve">2、方舱医疗设备：</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2.1心电图机：又称自动分析心电图机，以高精度对心电波形数据进行采集测量，对分析结果和心电图进行记录和打印，可以适用USB存储器保存心电图数据。</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2.2红外治疗仪：</w:t>
      </w:r>
      <w:bookmarkStart w:id="23" w:name="OLE_LINK238"/>
      <w:r/>
      <w:bookmarkStart w:id="24" w:name="OLE_LINK237"/>
      <w:r>
        <w:rPr>
          <w:rFonts w:hint="eastAsia" w:ascii="宋体" w:hAnsi="宋体"/>
          <w:color w:val="000000" w:themeColor="text1"/>
          <w:sz w:val="24"/>
          <w:highlight w:val="none"/>
        </w:rPr>
        <w:t xml:space="preserve">适用于消炎、镇痛，对体表创面有止渗液，促进肉芽组织生长、加速愈合作用。</w:t>
      </w:r>
      <w:bookmarkEnd w:id="23"/>
      <w:r/>
      <w:bookmarkEnd w:id="24"/>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2.3磁振热治疗仪：适用于慢性软组织损伤和颈肩腰腿痛辅助治疗。</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2.4深层肌肉刺激仪：用于肌肉功能障碍所致劳损及慢性疼痛、扭伤、拉伤等软组织损伤康复；有效缓解训练后乳酸堆积以及损伤预防。</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2.5急救箱：包含基本的医疗用品、日常外用和内服药品、特殊情况处理工具和其他辅助工具。</w:t>
      </w:r>
      <w:r/>
    </w:p>
    <w:p>
      <w:pPr>
        <w:spacing w:line="360" w:lineRule="auto"/>
        <w:rPr>
          <w:color w:val="000000" w:themeColor="text1"/>
          <w:highlight w:val="none"/>
        </w:rPr>
      </w:pPr>
      <w:r>
        <w:rPr>
          <w:rFonts w:hint="eastAsia" w:ascii="宋体" w:hAnsi="宋体"/>
          <w:color w:val="000000" w:themeColor="text1"/>
          <w:sz w:val="24"/>
          <w:highlight w:val="none"/>
        </w:rPr>
        <w:t xml:space="preserve">（二）采购设备清单及技术要求</w:t>
      </w:r>
      <w:r/>
    </w:p>
    <w:tbl>
      <w:tblPr>
        <w:tblStyle w:val="89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62"/>
        <w:gridCol w:w="728"/>
        <w:gridCol w:w="6700"/>
        <w:gridCol w:w="363"/>
        <w:gridCol w:w="363"/>
      </w:tblGrid>
      <w:tr>
        <w:trPr>
          <w:trHeight w:val="526"/>
        </w:trPr>
        <w:tc>
          <w:tcPr>
            <w:tcW w:w="482"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序号</w:t>
            </w:r>
            <w:r/>
          </w:p>
        </w:tc>
        <w:tc>
          <w:tcPr>
            <w:tcW w:w="787"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设备名称</w:t>
            </w:r>
            <w:r/>
          </w:p>
        </w:tc>
        <w:tc>
          <w:tcPr>
            <w:tcW w:w="2650"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技术参数要求</w:t>
            </w:r>
            <w:r/>
          </w:p>
        </w:tc>
        <w:tc>
          <w:tcPr>
            <w:tcW w:w="526"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数量</w:t>
            </w:r>
            <w:r/>
          </w:p>
        </w:tc>
        <w:tc>
          <w:tcPr>
            <w:tcW w:w="555"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单位</w:t>
            </w:r>
            <w:r/>
          </w:p>
        </w:tc>
      </w:tr>
      <w:tr>
        <w:trPr/>
        <w:tc>
          <w:tcPr>
            <w:tcW w:w="482"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w:t>
            </w:r>
            <w:r/>
          </w:p>
        </w:tc>
        <w:tc>
          <w:tcPr>
            <w:tcW w:w="787"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健康</w:t>
            </w:r>
            <w:r/>
          </w:p>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一体机</w:t>
            </w:r>
            <w:r/>
          </w:p>
        </w:tc>
        <w:tc>
          <w:tcPr>
            <w:tcW w:w="2650"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1、配置：</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1）标准项目：身份识别、血压、脉率、血氧饱和度、体温、身高、体重、BMI、腰臀围、腰臀比、血糖、尿酸、血脂四项（总胆固醇、高密度脂蛋白、甘油三酯、低密度脂蛋白）</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2）支持拓展项目：视力、尿常规、血红蛋白、快速心电检测、十二导心电检测、肺活量、肺功能评估</w:t>
            </w:r>
            <w:r>
              <w:rPr>
                <w:rFonts w:hint="eastAsia" w:asciiTheme="minorEastAsia" w:hAnsiTheme="minorEastAsia" w:eastAsiaTheme="minorEastAsia" w:cstheme="minorEastAsia"/>
                <w:color w:val="000000" w:themeColor="text1"/>
                <w:sz w:val="24"/>
                <w:szCs w:val="24"/>
                <w:highlight w:val="none"/>
                <w:lang w:eastAsia="zh-CN"/>
              </w:rPr>
              <w:t xml:space="preserve">等</w:t>
            </w:r>
            <w:r/>
          </w:p>
          <w:p>
            <w:pPr>
              <w:jc w:val="left"/>
              <w:rPr>
                <w:rFonts w:asciiTheme="minorEastAsia" w:hAnsiTheme="minorEastAsia" w:eastAsiaTheme="minorEastAsia" w:cstheme="minorEastAsia"/>
                <w:strike/>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3）国产化操作平台：触摸屏触控操作。</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2、管理系统软件功能：</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1）自助建档支持通过键盘、身份证、社保卡、人脸识别等多种方式自动形成个人健康档案。</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2）自助体检从登记到集成体检报告，各设备均可由检测者自助或自动完成，用户可以对检测指标进行查看，实现全程自助理念。</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3）软件数据处理模块可以测量的项目检测数据自动上传系统，无需手动输入，数据结果汇总并生成体检报告，方便医护人员查看检测者信息。</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4）每个检查项目需有专业的动画操作说明，通过指导客户达到自助检测的目的。</w:t>
            </w:r>
            <w:r>
              <w:rPr>
                <w:rFonts w:hint="eastAsia" w:asciiTheme="minorEastAsia" w:hAnsiTheme="minorEastAsia" w:eastAsiaTheme="minorEastAsia" w:cstheme="minorEastAsia"/>
                <w:b/>
                <w:bCs/>
                <w:color w:val="000000" w:themeColor="text1"/>
                <w:sz w:val="24"/>
                <w:szCs w:val="24"/>
                <w:highlight w:val="none"/>
              </w:rPr>
              <w:t xml:space="preserve">（需附证明文件）</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5）具有中医体质辨识系统软件：至少同时支持66道题和33道题，根据实际临床需求可自主选择。（需附软件截图）</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6）支持慢病管理功能，支持多种病种管理，具备PC管理端和用户端小程序。</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3、数据传输：设备开机后通过蓝牙/USB连接，每个设备连接情况在系统主界面显示。</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1）报告查看：接入网络后，可实现数据共享，电子报告单等健康服务工作。</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2）结合测量结果，给出健康指南和建议指导。</w:t>
            </w:r>
            <w:r>
              <w:rPr>
                <w:rFonts w:hint="eastAsia" w:asciiTheme="minorEastAsia" w:hAnsiTheme="minorEastAsia" w:eastAsiaTheme="minorEastAsia" w:cstheme="minorEastAsia"/>
                <w:b/>
                <w:bCs/>
                <w:color w:val="000000" w:themeColor="text1"/>
                <w:sz w:val="24"/>
                <w:szCs w:val="24"/>
                <w:highlight w:val="none"/>
              </w:rPr>
              <w:t xml:space="preserve">（需附软件截图）</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3）提供微信端查询功能，体检者可通过公众号自助查询个人体检报告。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4）支持数据对接，提供完整的数据传输接口协议，支持多种联网传输方式。</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4、标准配置检测参数：</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1）脉搏血氧仪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可连接蓝牙，对接APP，实现数据管理；</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2）全自动电子血压计</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测量位置：左右臂均可；</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适应臂周范围：17～42cm；</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测量范围：血压量程：0～299mmHg；    </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脉搏数：40～180次/分；</w:t>
            </w:r>
            <w:r/>
          </w:p>
          <w:p>
            <w:pPr>
              <w:jc w:val="left"/>
              <w:rPr>
                <w:rFonts w:asciiTheme="minorEastAsia" w:hAnsiTheme="minorEastAsia" w:eastAsiaTheme="minorEastAsia" w:cstheme="minorEastAsia"/>
                <w:b/>
                <w:bCs/>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平均测量模式：操作1次可进行2次或3次测量，并显示测量的平均值；测量等待时间可设置为30秒或者60秒；</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b/>
                <w:bCs/>
                <w:color w:val="000000" w:themeColor="text1"/>
                <w:sz w:val="24"/>
                <w:szCs w:val="24"/>
                <w:highlight w:val="none"/>
              </w:rPr>
              <w:t xml:space="preserve">需提供说明书证明）</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手臂伸入检测功能：手臂伸入臂筒时，感知测量开始，启动语音引导；</w:t>
            </w:r>
            <w:r/>
          </w:p>
          <w:p>
            <w:pPr>
              <w:jc w:val="left"/>
              <w:rPr>
                <w:rFonts w:asciiTheme="minorEastAsia" w:hAnsiTheme="minorEastAsia" w:eastAsiaTheme="minorEastAsia" w:cstheme="minorEastAsia"/>
                <w:b/>
                <w:bCs/>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臂筒组件交换功能：臂筒无需借助工具自由拆卸更换，更换臂筒后，可进行自程序，进行压力校正。</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b/>
                <w:bCs/>
                <w:color w:val="000000" w:themeColor="text1"/>
                <w:sz w:val="24"/>
                <w:szCs w:val="24"/>
                <w:highlight w:val="none"/>
              </w:rPr>
              <w:t xml:space="preserve">需提供说明书证明）</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3）红外体温计 </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温度测量范围（包括人体、表面、室温）人体模式：32.0~42.9℃，表面模式：0~100℃，室温模式：5~40℃；可储存99组数据。</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4）电子健康尺</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测量范围：1500mm。</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5）超声波身高体重测量仪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身高测量范围：70cm～200cm，分辨率≤0.1 cm</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HBM称重传感器：提供高度精确的体重检测数据。</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6）血糖、尿酸、总胆固醇监测系统：具有无线传输功能，可对接APP，实现数据管理。</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7）干式生化分析仪（血脂四项）：</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①检测项：TC、HDL-C、LDL-C，TG、GLU、血酮体</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②显示功能：采用液晶显示中文界面设计</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③测试时间：每次测试的时间不超过90秒</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④检测范围：Chol：2.59mmol/L-10.36mmol/L；</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HDL</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0.39mmol/L-2.59mmol/L</w:t>
            </w:r>
            <w:r>
              <w:rPr>
                <w:rFonts w:hint="eastAsia" w:asciiTheme="minorEastAsia" w:hAnsiTheme="minorEastAsia" w:eastAsiaTheme="minorEastAsia" w:cstheme="minorEastAsia"/>
                <w:color w:val="000000" w:themeColor="text1"/>
                <w:sz w:val="24"/>
                <w:szCs w:val="24"/>
                <w:highlight w:val="none"/>
                <w:lang w:eastAsia="zh-CN"/>
              </w:rPr>
              <w:t xml:space="preserve">;</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TRIG</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0.51mmol/L-2.65mmol/L</w:t>
            </w:r>
            <w:r>
              <w:rPr>
                <w:rFonts w:hint="eastAsia" w:asciiTheme="minorEastAsia" w:hAnsiTheme="minorEastAsia" w:eastAsiaTheme="minorEastAsia" w:cstheme="minorEastAsia"/>
                <w:color w:val="000000" w:themeColor="text1"/>
                <w:sz w:val="24"/>
                <w:szCs w:val="24"/>
                <w:highlight w:val="none"/>
                <w:lang w:eastAsia="zh-CN"/>
              </w:rPr>
              <w:t xml:space="preserve">;</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⑤标本：全血</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⑥PC接口：USB、蓝牙</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⑦储存容量：储存最近检测不少于30个人结果。</w:t>
            </w:r>
            <w:r/>
          </w:p>
        </w:tc>
        <w:tc>
          <w:tcPr>
            <w:tcW w:w="526"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5</w:t>
            </w:r>
            <w:r/>
          </w:p>
        </w:tc>
        <w:tc>
          <w:tcPr>
            <w:tcW w:w="555"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r>
      <w:tr>
        <w:trPr/>
        <w:tc>
          <w:tcPr>
            <w:tcW w:w="482"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w:t>
            </w:r>
            <w:r/>
          </w:p>
        </w:tc>
        <w:tc>
          <w:tcPr>
            <w:tcW w:w="787"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心电图机</w:t>
            </w:r>
            <w:r/>
          </w:p>
        </w:tc>
        <w:tc>
          <w:tcPr>
            <w:tcW w:w="2650"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1、导联：12导联同步采集、显示、打印，3道记录。</w:t>
            </w:r>
            <w:r/>
          </w:p>
          <w:p>
            <w:pPr>
              <w:jc w:val="left"/>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w:t>
            </w:r>
            <w:r>
              <w:rPr>
                <w:rFonts w:asciiTheme="minorEastAsia" w:hAnsiTheme="minorEastAsia" w:eastAsiaTheme="minorEastAsia" w:cstheme="minorEastAsia"/>
                <w:b/>
                <w:color w:val="000000" w:themeColor="text1"/>
                <w:sz w:val="24"/>
                <w:szCs w:val="24"/>
                <w:highlight w:val="none"/>
              </w:rPr>
              <w:t xml:space="preserve">2、耐极化电压：</w:t>
            </w:r>
            <w:r>
              <w:rPr>
                <w:rFonts w:hint="eastAsia" w:asciiTheme="minorEastAsia" w:hAnsiTheme="minorEastAsia" w:eastAsiaTheme="minorEastAsia" w:cstheme="minorEastAsia"/>
                <w:b/>
                <w:color w:val="000000" w:themeColor="text1"/>
                <w:sz w:val="24"/>
                <w:szCs w:val="24"/>
                <w:highlight w:val="none"/>
              </w:rPr>
              <w:t xml:space="preserve">不低于</w:t>
            </w:r>
            <w:r>
              <w:rPr>
                <w:rFonts w:asciiTheme="minorEastAsia" w:hAnsiTheme="minorEastAsia" w:eastAsiaTheme="minorEastAsia" w:cstheme="minorEastAsia"/>
                <w:b/>
                <w:color w:val="000000" w:themeColor="text1"/>
                <w:sz w:val="24"/>
                <w:szCs w:val="24"/>
                <w:highlight w:val="none"/>
              </w:rPr>
              <w:t xml:space="preserve">550mV。</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3、记录速度：手动5-50mm/s五档，自动，允差±2%。</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4、频率响应特性 0.05~500</w:t>
            </w:r>
            <w:r>
              <w:rPr>
                <w:rFonts w:hint="eastAsia" w:asciiTheme="minorEastAsia" w:hAnsiTheme="minorEastAsia" w:eastAsiaTheme="minorEastAsia" w:cstheme="minorEastAsia"/>
                <w:color w:val="000000" w:themeColor="text1"/>
                <w:sz w:val="24"/>
                <w:szCs w:val="24"/>
                <w:highlight w:val="none"/>
                <w:lang w:eastAsia="zh-CN"/>
              </w:rPr>
              <w:t xml:space="preserve">Hz</w:t>
            </w:r>
            <w:r>
              <w:rPr>
                <w:rFonts w:hint="eastAsia" w:asciiTheme="minorEastAsia" w:hAnsiTheme="minorEastAsia" w:eastAsiaTheme="minorEastAsia" w:cstheme="minorEastAsia"/>
                <w:color w:val="000000" w:themeColor="text1"/>
                <w:sz w:val="24"/>
                <w:szCs w:val="24"/>
                <w:highlight w:val="none"/>
              </w:rPr>
              <w:t xml:space="preserve">。</w:t>
            </w:r>
            <w:r/>
          </w:p>
          <w:p>
            <w:pPr>
              <w:jc w:val="left"/>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▲5、采样率：不低于1000Hz/通道。</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6、记录道数：1CH、1 CH +1节律、3CH。</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7、记录方式：可进行手动记录、自动记录、存储回顾记录。  </w:t>
            </w:r>
            <w:r/>
          </w:p>
          <w:p>
            <w:pPr>
              <w:jc w:val="left"/>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▲8、12导联自动分析：内置自动分析软件，具备至少4级诊断，具有不少于120种分析结果。</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9、具有分析结果指南功能、注释说明、报告功能。</w:t>
            </w:r>
            <w:r/>
          </w:p>
          <w:p>
            <w:pPr>
              <w:jc w:val="left"/>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▲10、内置存储器：可存储不少于300件心电图及数据。</w:t>
            </w:r>
            <w:r/>
          </w:p>
          <w:p>
            <w:pPr>
              <w:jc w:val="left"/>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▲11、液晶屏≥5英寸大屏彩色液晶显示，可显示心律数、电极脱落、纸已用完、滤波器及电池状态等信息。</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12、中文输入可用键盘输入患者姓名或医生名。</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13、电源：交、直流两用。直流工作时间，可连续记录≥1小时。</w:t>
            </w:r>
            <w:r/>
          </w:p>
        </w:tc>
        <w:tc>
          <w:tcPr>
            <w:tcW w:w="526"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55"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r>
      <w:tr>
        <w:trPr/>
        <w:tc>
          <w:tcPr>
            <w:tcW w:w="482"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w:t>
            </w:r>
            <w:r/>
          </w:p>
        </w:tc>
        <w:tc>
          <w:tcPr>
            <w:tcW w:w="787"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红外</w:t>
            </w:r>
            <w:r/>
          </w:p>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治疗仪</w:t>
            </w:r>
            <w:r/>
          </w:p>
        </w:tc>
        <w:tc>
          <w:tcPr>
            <w:tcW w:w="2650" w:type="pct"/>
            <w:vAlign w:val="center"/>
            <w:textDirection w:val="lrTb"/>
            <w:noWrap/>
          </w:tcPr>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1、产品配置：</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1）主机</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2）数码管控制界面</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3）臂架</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4）红光探头</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2、光源：半导体固态光源。</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3、输出：中心波长630nm；±10nm。</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4、光功率密度：50-350mW/cm2。</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5、光源寿命：≥10万小时。</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6、具备语音提示或定时等安全防护功能。</w:t>
            </w:r>
            <w:r/>
          </w:p>
          <w:p>
            <w:pPr>
              <w:pStyle w:val="1141"/>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7、治疗深度可达≥5cm。</w:t>
            </w:r>
            <w:r/>
          </w:p>
        </w:tc>
        <w:tc>
          <w:tcPr>
            <w:tcW w:w="526"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55"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r>
      <w:tr>
        <w:trPr/>
        <w:tc>
          <w:tcPr>
            <w:tcW w:w="482"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w:t>
            </w:r>
            <w:r/>
          </w:p>
        </w:tc>
        <w:tc>
          <w:tcPr>
            <w:tcW w:w="787"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磁振</w:t>
            </w:r>
            <w:r/>
          </w:p>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热治疗仪</w:t>
            </w:r>
            <w:r/>
          </w:p>
        </w:tc>
        <w:tc>
          <w:tcPr>
            <w:tcW w:w="2650" w:type="pct"/>
            <w:vAlign w:val="center"/>
            <w:textDirection w:val="lrTb"/>
            <w:noWrap/>
          </w:tcPr>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1、主要构成：一台主机和两个治疗导子组成。</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2、振动频率：具有单频振动30HZ、40</w:t>
            </w:r>
            <w:r>
              <w:rPr>
                <w:rFonts w:hint="eastAsia" w:asciiTheme="minorEastAsia" w:hAnsiTheme="minorEastAsia" w:eastAsiaTheme="minorEastAsia" w:cstheme="minorEastAsia"/>
                <w:color w:val="000000" w:themeColor="text1"/>
                <w:sz w:val="24"/>
                <w:szCs w:val="24"/>
                <w:highlight w:val="none"/>
                <w:lang w:eastAsia="zh-CN"/>
              </w:rPr>
              <w:t xml:space="preserve">Hz</w:t>
            </w:r>
            <w:r>
              <w:rPr>
                <w:rFonts w:hint="eastAsia" w:asciiTheme="minorEastAsia" w:hAnsiTheme="minorEastAsia" w:eastAsiaTheme="minorEastAsia" w:cstheme="minorEastAsia"/>
                <w:color w:val="000000" w:themeColor="text1"/>
                <w:sz w:val="24"/>
                <w:szCs w:val="24"/>
                <w:highlight w:val="none"/>
              </w:rPr>
              <w:t xml:space="preserve">、50Hz、60</w:t>
            </w:r>
            <w:r>
              <w:rPr>
                <w:rFonts w:hint="eastAsia" w:asciiTheme="minorEastAsia" w:hAnsiTheme="minorEastAsia" w:eastAsiaTheme="minorEastAsia" w:cstheme="minorEastAsia"/>
                <w:color w:val="000000" w:themeColor="text1"/>
                <w:sz w:val="24"/>
                <w:szCs w:val="24"/>
                <w:highlight w:val="none"/>
                <w:lang w:eastAsia="zh-CN"/>
              </w:rPr>
              <w:t xml:space="preserve">Hz</w:t>
            </w:r>
            <w:r>
              <w:rPr>
                <w:rFonts w:hint="eastAsia" w:asciiTheme="minorEastAsia" w:hAnsiTheme="minorEastAsia" w:eastAsiaTheme="minorEastAsia" w:cstheme="minorEastAsia"/>
                <w:color w:val="000000" w:themeColor="text1"/>
                <w:sz w:val="24"/>
                <w:szCs w:val="24"/>
                <w:highlight w:val="none"/>
              </w:rPr>
              <w:t xml:space="preserve">四种频率可调，具有多频振动30</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60</w:t>
            </w:r>
            <w:r>
              <w:rPr>
                <w:rFonts w:hint="eastAsia" w:asciiTheme="minorEastAsia" w:hAnsiTheme="minorEastAsia" w:eastAsiaTheme="minorEastAsia" w:cstheme="minorEastAsia"/>
                <w:color w:val="000000" w:themeColor="text1"/>
                <w:sz w:val="24"/>
                <w:szCs w:val="24"/>
                <w:highlight w:val="none"/>
                <w:lang w:eastAsia="zh-CN"/>
              </w:rPr>
              <w:t xml:space="preserve">Hz</w:t>
            </w:r>
            <w:r>
              <w:rPr>
                <w:rFonts w:hint="eastAsia" w:asciiTheme="minorEastAsia" w:hAnsiTheme="minorEastAsia" w:eastAsiaTheme="minorEastAsia" w:cstheme="minorEastAsia"/>
                <w:color w:val="000000" w:themeColor="text1"/>
                <w:sz w:val="24"/>
                <w:szCs w:val="24"/>
                <w:highlight w:val="none"/>
              </w:rPr>
              <w:t xml:space="preserve">循环振动，步长10HZ。</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3、热疗功能温控范围：40℃~58℃连续可调，步距6℃。</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4、输出路数：两路、可同时连接两个治疗导子</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各通道参数独立调节。</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5、磁场强度：磁感应强度在10mT~50mT的范围内可调，步长为10mT，误差为±10%。</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6、治疗时间：1</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99min可调，步长1min。</w:t>
            </w:r>
            <w:r/>
          </w:p>
          <w:p>
            <w:pP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7、内置多种工作处方，分急性、亚急性、慢性期，每种处方参数不同。</w:t>
            </w:r>
            <w:r/>
          </w:p>
          <w:p>
            <w:pPr>
              <w:pStyle w:val="1141"/>
              <w:jc w:val="left"/>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8、具有多种安全保</w:t>
            </w:r>
            <w:r>
              <w:rPr>
                <w:rFonts w:hint="eastAsia" w:asciiTheme="minorEastAsia" w:hAnsiTheme="minorEastAsia" w:eastAsiaTheme="minorEastAsia" w:cstheme="minorEastAsia"/>
                <w:color w:val="000000" w:themeColor="text1"/>
                <w:szCs w:val="24"/>
                <w:highlight w:val="none"/>
                <w:lang w:val="en-US" w:eastAsia="zh-CN"/>
              </w:rPr>
              <w:t xml:space="preserve">护</w:t>
            </w:r>
            <w:r>
              <w:rPr>
                <w:rFonts w:asciiTheme="minorEastAsia" w:hAnsiTheme="minorEastAsia" w:eastAsiaTheme="minorEastAsia" w:cstheme="minorEastAsia"/>
                <w:color w:val="000000" w:themeColor="text1"/>
                <w:szCs w:val="24"/>
                <w:highlight w:val="none"/>
              </w:rPr>
              <w:t xml:space="preserve">功能： 输入输出过流保护装置； 双重过温度保护装置。</w:t>
            </w:r>
            <w:r/>
          </w:p>
          <w:p>
            <w:pPr>
              <w:pStyle w:val="1141"/>
              <w:jc w:val="left"/>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9、自动控温装置，可以关闭温度加热，适用于炎症损伤急性期治疗。</w:t>
            </w:r>
            <w:r/>
          </w:p>
        </w:tc>
        <w:tc>
          <w:tcPr>
            <w:tcW w:w="526"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55"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r>
      <w:tr>
        <w:trPr>
          <w:trHeight w:val="2655"/>
        </w:trPr>
        <w:tc>
          <w:tcPr>
            <w:tcW w:w="482"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w:t>
            </w:r>
            <w:r/>
          </w:p>
        </w:tc>
        <w:tc>
          <w:tcPr>
            <w:tcW w:w="787"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深层肌肉刺激仪</w:t>
            </w:r>
            <w:r/>
          </w:p>
        </w:tc>
        <w:tc>
          <w:tcPr>
            <w:tcW w:w="2650"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1、震动幅度可达≥6mm。 </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2、为机械性冲击治疗设备，频率15</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60Hz四档可调；输出频率改变时，设备的冲击力恒定不变，保证治疗的深度和疗效。</w:t>
            </w:r>
            <w:r/>
          </w:p>
          <w:p>
            <w:pPr>
              <w:pStyle w:val="1141"/>
              <w:jc w:val="left"/>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3、过压力保护功能：外施加压力超过预设值将自动断电保护，保护操作者及患者。                                                                     4、治疗探头由钛合金制成，坚固耐用。</w:t>
            </w:r>
            <w:r/>
          </w:p>
          <w:p>
            <w:pPr>
              <w:pStyle w:val="1141"/>
              <w:jc w:val="left"/>
              <w:spacing w:line="240" w:lineRule="auto"/>
              <w:rPr>
                <w:rFonts w:hint="default" w:asciiTheme="minorEastAsia" w:hAnsiTheme="minorEastAsia" w:eastAsiaTheme="minorEastAsia" w:cstheme="minorEastAsia"/>
                <w:strike/>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5、主机重量≤2.5kg。</w:t>
            </w:r>
            <w:r/>
          </w:p>
        </w:tc>
        <w:tc>
          <w:tcPr>
            <w:tcW w:w="526"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55"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r>
      <w:tr>
        <w:trPr>
          <w:trHeight w:val="698"/>
        </w:trPr>
        <w:tc>
          <w:tcPr>
            <w:tcW w:w="482"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6</w:t>
            </w:r>
            <w:r/>
          </w:p>
        </w:tc>
        <w:tc>
          <w:tcPr>
            <w:tcW w:w="787" w:type="pct"/>
            <w:vAlign w:val="center"/>
            <w:textDirection w:val="lrTb"/>
            <w:noWrap/>
          </w:tcPr>
          <w:p>
            <w:pPr>
              <w:jc w:val="center"/>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急救箱</w:t>
            </w:r>
            <w:r/>
          </w:p>
        </w:tc>
        <w:tc>
          <w:tcPr>
            <w:tcW w:w="2650" w:type="pct"/>
            <w:vAlign w:val="center"/>
            <w:textDirection w:val="lrTb"/>
            <w:noWrap/>
          </w:tcPr>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急救箱包含：</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1、箱体</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包</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1只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2、医用供氧器（2L）1套</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3、三角巾急救包 1包</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4、包皮夹板 4块</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5、医用乳胶管 1根</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6、手电筒 1把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7、铝针盒 1支</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8、棉线绳 1根</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9、创可贴 3个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10、小砂轮 1个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11、酒精瓶 1瓶</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12、碘酒瓶 1瓶</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13、小药瓶 8个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14、大药瓶 4个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15、压舌板 1个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16、简易呼吸器麻醉咽喉镜</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17、一次性使用气管导管或一次性使用气管插管 1根</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18、血压计或血压表 1具</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19、听诊器 1只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20、玻璃体温计 1根</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21、舌钳 1把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22、丁字式开口器 1把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23、普通手术剪 </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直尖头、弯尖头</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 1把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24、敷料镊 2把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25、手术刀柄 4把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26、无菌手术刀片 2片</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27、持针钳 1把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28、止血钳 1把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29、组织镊 1把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30、帕巾 2把</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31、医用缝合针 1枚</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32、针灸针 1套</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33、非吸收性外科缝线或医用真丝编织线1根</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34、外科纱布  纱布块 4块</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35、纱布绷带 2卷</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36、脱脂棉球 5个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37、弹性绷带 1卷</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38、医用橡皮膏或医用胶带 1卷</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39、一次性使用医用棉签或棉签 20支</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40、口垫 1个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41、一次性使用灭菌科手套 1副</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42、血糖、尿酸、总胆固醇监测系统 1只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43、干式分化分析仪 1只</w:t>
            </w:r>
            <w:r/>
          </w:p>
          <w:p>
            <w:pPr>
              <w:jc w:val="left"/>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44、血氧仪 1只</w:t>
            </w:r>
            <w:r/>
          </w:p>
          <w:p>
            <w:pPr>
              <w:pStyle w:val="898"/>
              <w:ind w:firstLine="0"/>
              <w:spacing w:line="240" w:lineRule="auto"/>
              <w:rPr>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（需提供产品免费质保期同步的承诺函）</w:t>
            </w:r>
            <w:r/>
          </w:p>
        </w:tc>
        <w:tc>
          <w:tcPr>
            <w:tcW w:w="526"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W w:w="555" w:type="pct"/>
            <w:vAlign w:val="center"/>
            <w:textDirection w:val="lrTb"/>
            <w:noWrap/>
          </w:tcPr>
          <w:p>
            <w:pPr>
              <w:pStyle w:val="1141"/>
              <w:jc w:val="center"/>
              <w:spacing w:line="24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个</w:t>
            </w:r>
            <w:r/>
          </w:p>
        </w:tc>
      </w:tr>
    </w:tbl>
    <w:p>
      <w:pPr>
        <w:spacing w:line="360" w:lineRule="auto"/>
        <w:rPr>
          <w:color w:val="000000" w:themeColor="text1"/>
          <w:highlight w:val="none"/>
        </w:rPr>
      </w:pPr>
      <w:r/>
      <w:bookmarkStart w:id="25" w:name="OLE_LINK13"/>
      <w:r/>
      <w:bookmarkStart w:id="26" w:name="OLE_LINK14"/>
      <w:r>
        <w:rPr>
          <w:rFonts w:hint="eastAsia" w:ascii="宋体" w:hAnsi="宋体" w:cs="宋体"/>
          <w:b/>
          <w:bCs/>
          <w:color w:val="000000" w:themeColor="text1"/>
          <w:sz w:val="24"/>
          <w:szCs w:val="32"/>
          <w:highlight w:val="none"/>
        </w:rPr>
        <w:t xml:space="preserve">注：</w:t>
      </w:r>
      <w:r>
        <w:rPr>
          <w:rFonts w:hint="eastAsia" w:ascii="宋体" w:hAnsi="宋体"/>
          <w:b/>
          <w:bCs/>
          <w:color w:val="000000" w:themeColor="text1"/>
          <w:sz w:val="24"/>
          <w:szCs w:val="24"/>
          <w:highlight w:val="none"/>
        </w:rPr>
        <w:t xml:space="preserve">上述表格中的技术参数要求必须全部满足，</w:t>
      </w:r>
      <w:r>
        <w:rPr>
          <w:rFonts w:hint="eastAsia" w:ascii="宋体" w:hAnsi="宋体" w:cs="宋体"/>
          <w:b/>
          <w:bCs/>
          <w:color w:val="000000" w:themeColor="text1"/>
          <w:sz w:val="24"/>
          <w:szCs w:val="32"/>
          <w:highlight w:val="none"/>
        </w:rPr>
        <w:t xml:space="preserve">须提供相应承诺函并加盖投标单位公章，未提供或</w:t>
      </w:r>
      <w:r>
        <w:rPr>
          <w:rFonts w:hint="eastAsia" w:ascii="宋体" w:hAnsi="宋体"/>
          <w:b/>
          <w:bCs/>
          <w:color w:val="000000" w:themeColor="text1"/>
          <w:sz w:val="24"/>
          <w:szCs w:val="24"/>
          <w:highlight w:val="none"/>
        </w:rPr>
        <w:t xml:space="preserve">有负偏离，</w:t>
      </w:r>
      <w:bookmarkEnd w:id="25"/>
      <w:r/>
      <w:bookmarkEnd w:id="26"/>
      <w:r>
        <w:rPr>
          <w:rFonts w:hint="eastAsia" w:ascii="宋体" w:hAnsi="宋体"/>
          <w:b/>
          <w:bCs/>
          <w:color w:val="000000" w:themeColor="text1"/>
          <w:sz w:val="24"/>
          <w:szCs w:val="24"/>
          <w:highlight w:val="none"/>
        </w:rPr>
        <w:t xml:space="preserve">视为未实质性响应招标文件要求，为无效标处理。</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（三）商务要求：</w:t>
      </w:r>
      <w:r/>
    </w:p>
    <w:p>
      <w:pPr>
        <w:spacing w:line="360" w:lineRule="auto"/>
        <w:rPr>
          <w:rFonts w:ascii="宋体" w:hAnsi="宋体" w:cs="宋体"/>
          <w:b/>
          <w:bCs/>
          <w:color w:val="000000" w:themeColor="text1"/>
          <w:sz w:val="24"/>
          <w:szCs w:val="32"/>
          <w:highlight w:val="none"/>
        </w:rPr>
      </w:pPr>
      <w:r>
        <w:rPr>
          <w:rFonts w:hint="eastAsia" w:ascii="宋体" w:hAnsi="宋体" w:cs="宋体"/>
          <w:b/>
          <w:bCs/>
          <w:color w:val="000000" w:themeColor="text1"/>
          <w:sz w:val="24"/>
          <w:szCs w:val="32"/>
          <w:highlight w:val="none"/>
        </w:rPr>
        <w:t xml:space="preserve">★1、投标产品（健康一体机、心电图机、红外治疗仪、磁振热治疗仪和深层肌肉刺激仪）须在相关药品监督管理部门进行注册，且在有效期内。</w:t>
      </w:r>
      <w:r/>
    </w:p>
    <w:p>
      <w:pPr>
        <w:jc w:val="left"/>
        <w:spacing w:line="360" w:lineRule="auto"/>
        <w:rPr>
          <w:rFonts w:asciiTheme="minorEastAsia" w:hAnsiTheme="minorEastAsia" w:eastAsiaTheme="minorEastAsia" w:cstheme="minorEastAsia"/>
          <w:b/>
          <w:bCs/>
          <w:color w:val="000000" w:themeColor="text1"/>
          <w:sz w:val="24"/>
          <w:szCs w:val="24"/>
          <w:highlight w:val="none"/>
        </w:rPr>
      </w:pPr>
      <w:r>
        <w:rPr>
          <w:rFonts w:hint="eastAsia" w:ascii="宋体" w:hAnsi="宋体" w:cs="宋体"/>
          <w:b/>
          <w:bCs/>
          <w:color w:val="000000" w:themeColor="text1"/>
          <w:sz w:val="24"/>
          <w:szCs w:val="32"/>
          <w:highlight w:val="none"/>
        </w:rPr>
        <w:t xml:space="preserve">★</w:t>
      </w:r>
      <w:r>
        <w:rPr>
          <w:rFonts w:hint="eastAsia" w:ascii="宋体" w:hAnsi="宋体" w:cs="宋体"/>
          <w:b/>
          <w:color w:val="000000" w:themeColor="text1"/>
          <w:sz w:val="24"/>
          <w:szCs w:val="32"/>
          <w:highlight w:val="none"/>
        </w:rPr>
        <w:t xml:space="preserve">2、</w:t>
      </w:r>
      <w:r>
        <w:rPr>
          <w:rFonts w:hint="eastAsia" w:asciiTheme="minorEastAsia" w:hAnsiTheme="minorEastAsia" w:eastAsiaTheme="minorEastAsia" w:cstheme="minorEastAsia"/>
          <w:b/>
          <w:bCs/>
          <w:color w:val="000000" w:themeColor="text1"/>
          <w:sz w:val="24"/>
          <w:szCs w:val="24"/>
          <w:highlight w:val="none"/>
        </w:rPr>
        <w:t xml:space="preserve">投标单位或生产厂家须具备二级或二级以上</w:t>
      </w:r>
      <w:bookmarkStart w:id="27" w:name="OLE_LINK1"/>
      <w:r/>
      <w:bookmarkStart w:id="28" w:name="OLE_LINK2"/>
      <w:r>
        <w:rPr>
          <w:rFonts w:hint="eastAsia" w:asciiTheme="minorEastAsia" w:hAnsiTheme="minorEastAsia" w:eastAsiaTheme="minorEastAsia" w:cstheme="minorEastAsia"/>
          <w:b/>
          <w:bCs/>
          <w:color w:val="000000" w:themeColor="text1"/>
          <w:sz w:val="24"/>
          <w:szCs w:val="24"/>
          <w:highlight w:val="none"/>
        </w:rPr>
        <w:t xml:space="preserve">公安机关信息系统安全等级保护备案</w:t>
      </w:r>
      <w:bookmarkEnd w:id="27"/>
      <w:r/>
      <w:bookmarkEnd w:id="28"/>
      <w:r>
        <w:rPr>
          <w:rFonts w:hint="eastAsia" w:asciiTheme="minorEastAsia" w:hAnsiTheme="minorEastAsia" w:eastAsiaTheme="minorEastAsia" w:cstheme="minorEastAsia"/>
          <w:b/>
          <w:bCs/>
          <w:color w:val="000000" w:themeColor="text1"/>
          <w:sz w:val="24"/>
          <w:szCs w:val="24"/>
          <w:highlight w:val="none"/>
        </w:rPr>
        <w:t xml:space="preserve">证明。</w:t>
      </w:r>
      <w:r/>
    </w:p>
    <w:p>
      <w:pPr>
        <w:pStyle w:val="898"/>
        <w:ind w:firstLine="0"/>
        <w:spacing w:line="360" w:lineRule="auto"/>
        <w:rPr>
          <w:rFonts w:cs="宋体"/>
          <w:b/>
          <w:bCs/>
          <w:color w:val="000000" w:themeColor="text1"/>
          <w:sz w:val="24"/>
          <w:szCs w:val="32"/>
          <w:highlight w:val="none"/>
        </w:rPr>
      </w:pPr>
      <w:r>
        <w:rPr>
          <w:rFonts w:hint="eastAsia" w:cs="宋体"/>
          <w:b/>
          <w:bCs/>
          <w:color w:val="000000" w:themeColor="text1"/>
          <w:sz w:val="24"/>
          <w:szCs w:val="32"/>
          <w:highlight w:val="none"/>
        </w:rPr>
        <w:t xml:space="preserve">★3、投标文件中须提供具有国家法定资质的第三方检测机构的检测报告（</w:t>
      </w:r>
      <w:r>
        <w:rPr>
          <w:rFonts w:hint="eastAsia" w:cs="宋体"/>
          <w:b/>
          <w:color w:val="000000" w:themeColor="text1"/>
          <w:sz w:val="24"/>
          <w:szCs w:val="32"/>
          <w:highlight w:val="none"/>
        </w:rPr>
        <w:t xml:space="preserve">检测产品包含心电图机和健康一体机中配有的全自动电子血压计；检测内容包括但不仅限于心电图机的标准灵敏度、附极化电压、连续漏电流、电介质强度等全性能、血压计的测量准确性等</w:t>
      </w:r>
      <w:r>
        <w:rPr>
          <w:rFonts w:hint="eastAsia" w:cs="宋体"/>
          <w:b/>
          <w:bCs/>
          <w:color w:val="000000" w:themeColor="text1"/>
          <w:sz w:val="24"/>
          <w:szCs w:val="32"/>
          <w:highlight w:val="none"/>
        </w:rPr>
        <w:t xml:space="preserve">）。</w:t>
      </w:r>
      <w:r/>
    </w:p>
    <w:p>
      <w:pPr>
        <w:pStyle w:val="898"/>
        <w:ind w:firstLine="0"/>
        <w:spacing w:line="360" w:lineRule="auto"/>
        <w:rPr>
          <w:color w:val="000000" w:themeColor="text1"/>
          <w:highlight w:val="none"/>
        </w:rPr>
      </w:pPr>
      <w:r>
        <w:rPr>
          <w:rFonts w:hint="eastAsia" w:cs="宋体"/>
          <w:b/>
          <w:bCs/>
          <w:color w:val="000000" w:themeColor="text1"/>
          <w:sz w:val="24"/>
          <w:szCs w:val="32"/>
          <w:highlight w:val="none"/>
        </w:rPr>
        <w:t xml:space="preserve">注：上述打★1-3项，均须在投标文件中提供对应要求的相关证明材料并加盖投标单位公章，未提供或提供不符合要求的，视为未实质性响应招标文件要求，为无效标处理。</w:t>
      </w:r>
      <w:r/>
    </w:p>
    <w:p>
      <w:pPr>
        <w:spacing w:line="360" w:lineRule="auto"/>
        <w:rPr>
          <w:rFonts w:ascii="宋体" w:hAnsi="宋体" w:cs="宋体"/>
          <w:b/>
          <w:color w:val="000000" w:themeColor="text1"/>
          <w:sz w:val="24"/>
          <w:szCs w:val="32"/>
          <w:highlight w:val="none"/>
        </w:rPr>
      </w:pPr>
      <w:r>
        <w:rPr>
          <w:rFonts w:hint="eastAsia" w:ascii="宋体" w:hAnsi="宋体" w:cs="宋体"/>
          <w:b/>
          <w:bCs/>
          <w:color w:val="000000" w:themeColor="text1"/>
          <w:sz w:val="24"/>
          <w:szCs w:val="32"/>
          <w:highlight w:val="none"/>
        </w:rPr>
        <w:t xml:space="preserve">★</w:t>
      </w:r>
      <w:r>
        <w:rPr>
          <w:rFonts w:hint="eastAsia" w:ascii="宋体" w:hAnsi="宋体" w:cs="宋体"/>
          <w:b/>
          <w:color w:val="000000" w:themeColor="text1"/>
          <w:sz w:val="24"/>
          <w:szCs w:val="32"/>
          <w:highlight w:val="none"/>
        </w:rPr>
        <w:t xml:space="preserve">4、在承诺的免费质保期内“急救箱”中配备的产品若出现过期或临保情况的，中标单位需配合采购单位及时更换成新鲜日期的产品，质保日期须与承诺的免费质保期同步。</w:t>
      </w:r>
      <w:r/>
    </w:p>
    <w:p>
      <w:pPr>
        <w:pStyle w:val="898"/>
        <w:ind w:firstLine="0"/>
        <w:spacing w:line="360" w:lineRule="auto"/>
        <w:rPr>
          <w:rFonts w:cs="宋体"/>
          <w:b/>
          <w:bCs/>
          <w:color w:val="000000" w:themeColor="text1"/>
          <w:sz w:val="24"/>
          <w:szCs w:val="32"/>
          <w:highlight w:val="none"/>
        </w:rPr>
      </w:pPr>
      <w:r>
        <w:rPr>
          <w:rFonts w:hint="eastAsia" w:cs="宋体"/>
          <w:b/>
          <w:bCs/>
          <w:color w:val="000000" w:themeColor="text1"/>
          <w:sz w:val="24"/>
          <w:szCs w:val="32"/>
          <w:highlight w:val="none"/>
        </w:rPr>
        <w:t xml:space="preserve">★5、投标文件中须提供所有产品不低于原厂品质的质保承诺函。</w:t>
      </w:r>
      <w:r/>
    </w:p>
    <w:p>
      <w:pPr>
        <w:spacing w:line="360" w:lineRule="auto"/>
        <w:rPr>
          <w:rFonts w:ascii="宋体" w:hAnsi="宋体" w:cs="宋体"/>
          <w:b/>
          <w:bCs/>
          <w:color w:val="000000" w:themeColor="text1"/>
          <w:sz w:val="24"/>
          <w:szCs w:val="32"/>
          <w:highlight w:val="none"/>
        </w:rPr>
      </w:pPr>
      <w:r>
        <w:rPr>
          <w:rFonts w:hint="eastAsia" w:ascii="宋体" w:hAnsi="宋体" w:cs="宋体"/>
          <w:b/>
          <w:bCs/>
          <w:color w:val="000000" w:themeColor="text1"/>
          <w:sz w:val="24"/>
          <w:szCs w:val="32"/>
          <w:highlight w:val="none"/>
        </w:rPr>
        <w:t xml:space="preserve">★6、实施过程中，中标单位应当按照国家相关法律法规开展项目实施，并接受相关部门监管。</w:t>
      </w:r>
      <w:r/>
    </w:p>
    <w:p>
      <w:pPr>
        <w:pStyle w:val="898"/>
        <w:ind w:firstLine="0"/>
        <w:spacing w:line="360" w:lineRule="auto"/>
        <w:rPr>
          <w:color w:val="000000" w:themeColor="text1"/>
          <w:highlight w:val="none"/>
        </w:rPr>
      </w:pPr>
      <w:r>
        <w:rPr>
          <w:rFonts w:hint="eastAsia" w:cs="宋体"/>
          <w:b/>
          <w:bCs/>
          <w:color w:val="000000" w:themeColor="text1"/>
          <w:sz w:val="24"/>
          <w:szCs w:val="32"/>
          <w:highlight w:val="none"/>
        </w:rPr>
        <w:t xml:space="preserve">注：上述打★4-6项，均须在投标文件中提供对应要求的相关承诺函（格式自拟）并加盖投标单位公章，未提供或提供不符合要求的，视为未实质性响应招标文件要求，为无效标处理。</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7、包装和运输要求：</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7.1中标单位应当按照《商品包装政府采购需求标准（试行）》、《快递包装政府采购需求标准（试行）》的标准及约定的包装方式交付标的物。</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7.2包装必须完整、无破损、污染、受潮等情况，避免影响器械的性能和安全性。</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7.3采取保护货物且有利于节约资源、保护生态环境的包装方式。</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7.4因中标单位未采取合理包装方式致使货物损毁、灭失或无法正常使用，给采购单位造成损失的，中标单位需赔偿采购单位一切直接、间接损失。</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7.5中标单位应保证其提供的货物是原包装未拆封的商品，在交付采购方验收前不得拆箱。</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8、售后服务标准要求：</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8.1本项目免费质量保证期要求不低于3年。免费质量保证期从货物供货、安装、调试正常且经采购使用部门确认验收合格之日起算。</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8.2中标单位须对采购单位进行免费培训和技术支持，为本项目制定培训内容，培训内容包含但不限于培训人员设置、培训安排、培训周期等内容。</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8.3培训次数：每年不少于1次。</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8.4质保期内，中标单位需对设备及硬件运行情况进行现场人工巡检工作，每半年一次，需制定巡检记录表。</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8.5</w:t>
      </w:r>
      <w:bookmarkStart w:id="29" w:name="OLE_LINK17"/>
      <w:r/>
      <w:bookmarkStart w:id="30" w:name="OLE_LINK16"/>
      <w:r>
        <w:rPr>
          <w:rFonts w:hint="eastAsia" w:ascii="宋体" w:hAnsi="宋体" w:cs="宋体"/>
          <w:color w:val="000000" w:themeColor="text1"/>
          <w:sz w:val="24"/>
          <w:szCs w:val="32"/>
          <w:highlight w:val="none"/>
        </w:rPr>
        <w:t xml:space="preserve">提供详细的备品备件管理措施</w:t>
      </w:r>
      <w:bookmarkEnd w:id="29"/>
      <w:r/>
      <w:bookmarkEnd w:id="30"/>
      <w:r>
        <w:rPr>
          <w:rFonts w:hint="eastAsia" w:ascii="宋体" w:hAnsi="宋体" w:cs="宋体"/>
          <w:color w:val="000000" w:themeColor="text1"/>
          <w:sz w:val="24"/>
          <w:szCs w:val="32"/>
          <w:highlight w:val="none"/>
        </w:rPr>
        <w:t xml:space="preserve">。</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8.6免费质保期内，中标单位对于采购单位提出的服务要求，应在2小时内响应</w:t>
      </w:r>
      <w:r>
        <w:rPr>
          <w:rFonts w:hint="eastAsia" w:ascii="宋体" w:hAnsi="宋体" w:cs="宋体"/>
          <w:color w:val="000000" w:themeColor="text1"/>
          <w:sz w:val="24"/>
          <w:szCs w:val="32"/>
          <w:highlight w:val="none"/>
          <w:lang w:eastAsia="zh-CN"/>
        </w:rPr>
        <w:t xml:space="preserve">并在</w:t>
      </w:r>
      <w:r>
        <w:rPr>
          <w:rFonts w:hint="eastAsia" w:ascii="宋体" w:hAnsi="宋体" w:cs="宋体"/>
          <w:color w:val="000000" w:themeColor="text1"/>
          <w:sz w:val="24"/>
          <w:szCs w:val="32"/>
          <w:highlight w:val="none"/>
        </w:rPr>
        <w:t xml:space="preserve">4小时内到达现场进行服务，24小时内修复故障；特殊情况经采购单位书面同意后可延长故障修复时间1-3日。</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8.7中标单位未能按前述约定提供售后服务的，采购单位有权自行聘请第三方进行维修，因此产生的费用由中标单位承担，采购单位有权直接从未支付的费用中扣除。同时，中标单位应向采购单位支付本合同总金额20%的违约金，并赔偿采购单位因此产生的全部损失。</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9、保险要求：项目实施及质保期间，中标单位应当配备必要的安全生产管理人员，负责项目实施期间人员安全教育和安全管理，如实施过程中存在人身安全风险的，中标单位应当为实施人员购买必要的人身安全保险。</w:t>
      </w:r>
      <w:r/>
    </w:p>
    <w:p>
      <w:pPr>
        <w:spacing w:line="360" w:lineRule="auto"/>
        <w:rPr>
          <w:rFonts w:ascii="宋体" w:hAnsi="宋体" w:cs="宋体"/>
          <w:bCs/>
          <w:color w:val="000000" w:themeColor="text1"/>
          <w:sz w:val="24"/>
          <w:szCs w:val="32"/>
          <w:highlight w:val="none"/>
        </w:rPr>
      </w:pPr>
      <w:r>
        <w:rPr>
          <w:rFonts w:hint="eastAsia" w:ascii="宋体" w:hAnsi="宋体" w:cs="宋体"/>
          <w:bCs/>
          <w:color w:val="000000" w:themeColor="text1"/>
          <w:sz w:val="24"/>
          <w:szCs w:val="32"/>
          <w:highlight w:val="none"/>
        </w:rPr>
        <w:t xml:space="preserve">（四）安装、调试要求：</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1、设备安装须符合有关标准和规范。</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2、安装完毕后，中标单位应提供有经验的技术人员进行设备的调试及试运行，并负责测试和调试所需的人员、工具、材料、仪器及一切费用，并填写测试报告交由采购方存档。</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3、中标单位应遵守现场的一切规章制度，应自行负责施工现场的安全管理，安全、文明安装和调试。</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4、中标单位负责保管、看护进场的设备及附配件。</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5、中标单位应对设备及附配件、按照设备（工具）等提供适当的保护、包装或覆盖等处理，以免受损。</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6、无论安装调试期间或保修过程中，中标单位负责及时清理垃圾。</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7、中标单位承担安装调试期间安装场所的安全以及设备和安装调试人员的安全责任。</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8、在安装、调试期间或保修过程中，对现场原有成品造成的损坏，由中标单位负责修复。</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（五）验收标准：</w:t>
      </w:r>
      <w:r/>
    </w:p>
    <w:p>
      <w:pPr>
        <w:spacing w:line="360" w:lineRule="auto"/>
        <w:rPr>
          <w:rFonts w:ascii="宋体" w:hAnsi="宋体" w:cs="宋体"/>
          <w:color w:val="000000" w:themeColor="text1"/>
          <w:sz w:val="24"/>
          <w:szCs w:val="32"/>
          <w:highlight w:val="none"/>
        </w:rPr>
      </w:pPr>
      <w:r/>
      <w:bookmarkStart w:id="31" w:name="OLE_LINK259"/>
      <w:r/>
      <w:bookmarkStart w:id="32" w:name="OLE_LINK258"/>
      <w:r>
        <w:rPr>
          <w:rFonts w:hint="eastAsia" w:ascii="宋体" w:hAnsi="宋体" w:cs="宋体"/>
          <w:color w:val="000000" w:themeColor="text1"/>
          <w:sz w:val="24"/>
          <w:szCs w:val="32"/>
          <w:highlight w:val="none"/>
        </w:rPr>
        <w:t xml:space="preserve">1、采购单位应自本项目所有货物交付并完成安装、调试之日起15日内进行验收。特殊情况需延长的，由采购双方另行协商确定。</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全部货物到达指定地点后，采购单位与中标单位一起按合同货物清单进行验收，并有权对相关功能进行测试，验收及测试内容包括货物的型号、规格、数量、外观质量等是否符合规定，包装是否完好，安装调试是否合格，操作手册、检测报告、相关证书、质保证明、随机资料及配件、随机工具等是否齐全。具体如下：</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2.1包装是否完整，有无破损、污染、受潮等情况。包装损坏可能会影响器械的性能和安全性。</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2.1.1标签和说明书：标签和说明书应清晰完整，内容应符合法规要求，包含产品名称、规格型号、生产日期、有效期、生产厂家、使用方法、注意事项等信息。</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2.2数量及规格型号核对：</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2.2.1数量准确性：按照采购合同或订单核对器械的数量是否准确无误，避免出现数量短缺或多送的情况。</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2.2.2规格型号一致性：确认所收到的器械规格型号与采购要求一致，包括尺寸、功能、参数等方面的要求。</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w:t>
      </w:r>
      <w:bookmarkStart w:id="33" w:name="OLE_LINK60"/>
      <w:r/>
      <w:bookmarkStart w:id="34" w:name="OLE_LINK61"/>
      <w:r>
        <w:rPr>
          <w:rFonts w:hint="eastAsia" w:ascii="宋体" w:hAnsi="宋体" w:cs="宋体"/>
          <w:color w:val="000000" w:themeColor="text1"/>
          <w:sz w:val="24"/>
          <w:szCs w:val="32"/>
          <w:highlight w:val="none"/>
        </w:rPr>
        <w:t xml:space="preserve">3产品合格质量、产品注册文件及标识检查：</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2.3.1中标产品具有法定资质的第三方检测机构的检测报告（检测产品包含心电图机和健康一体机中配有的全自动电子血压计；检测内容包括但不仅限于心电图机的标准灵敏度、附极化电压、连续漏电流、电介质强度等全性能、血压计的测量准确性等）。</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2.3.2中标产品具有不低于原厂品质的质保承诺函。</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2.3.3中标产品（健康一体机、心电图机、红外治疗仪、磁振热治疗仪和深层肌肉刺激仪）在相关药品监督管理部门有效期内的注册证明。</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2.3.4标识准确性：检查器械上的标识，如生产日期、有效期、批号以及UDI码等是否清晰准确和一致，以便于追溯和管理。</w:t>
      </w:r>
      <w:bookmarkEnd w:id="33"/>
      <w:r/>
      <w:bookmarkEnd w:id="34"/>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3、符合相关国家、行业规范标准、货物本身的规格、技术条件及中标单位承诺的其他指标，结合采购文件、投标文件、合同等项目文件约定内容对项目进行验收。</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4、因采购的产品属于专业技术设备，采购单位根据相关国家、行业规范标准、货物本身的规格、技术条件及中标单位承诺的其他指标，结合采购文件、投标文件、合同等项目文件约定内容聘请至少3名第三方专家组成现场验收小组并对项目进行现场验收，经验收小组现场验收合格确认无误后，出具验</w:t>
      </w:r>
      <w:r>
        <w:rPr>
          <w:rFonts w:hint="eastAsia" w:ascii="宋体" w:hAnsi="宋体" w:cs="宋体"/>
          <w:color w:val="000000" w:themeColor="text1"/>
          <w:sz w:val="24"/>
          <w:szCs w:val="32"/>
          <w:highlight w:val="none"/>
        </w:rPr>
        <w:t xml:space="preserve">收合格意见，该证明视为验收通过且作为最终付款所需文件的组成部分，采购双方和专家组成员需共同签字确认。若第一次验收因不合格而退回重新生产或返工的第二批次货物，交货时间为采购单位收到第一次货物交货之日起的30日内，逾期按交货延误予以处罚，所产生的费用由中标单位承担。第二批次货物交货后，实际使用部门有权按上述要求和标准重新验收，所产生的费用由中标单位承担。若再次验收不合格，实际使用方将上报采购单位，采购单位有权终止与中标单位本次合作，中标单位应退还已支付的全部款项并向采购单位支付合同总价款的20%作为违约赔偿金。</w:t>
      </w:r>
      <w:r>
        <w:rPr>
          <w:rFonts w:hint="eastAsia" w:asciiTheme="minorEastAsia" w:hAnsiTheme="minorEastAsia" w:eastAsiaTheme="minorEastAsia" w:cstheme="minorEastAsia"/>
          <w:color w:val="000000" w:themeColor="text1"/>
          <w:sz w:val="24"/>
          <w:szCs w:val="24"/>
          <w:highlight w:val="none"/>
        </w:rPr>
        <w:t xml:space="preserve">《政府采购合同履行验收书》</w:t>
      </w:r>
      <w:r>
        <w:rPr>
          <w:rFonts w:hint="eastAsia" w:ascii="宋体" w:hAnsi="宋体" w:cs="宋体"/>
          <w:color w:val="000000" w:themeColor="text1"/>
          <w:sz w:val="24"/>
          <w:szCs w:val="32"/>
          <w:highlight w:val="none"/>
        </w:rPr>
        <w:t xml:space="preserve">上的签收日期为最终验收合格日期。</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5、由于采购单位自身能力、检验（检测）方法和检验（检测）手段的限制，对于货物部分质量瑕疵尤其是潜在的或隐蔽的质量瑕疵，在短时间内可能无法发现。因此，验收单的签署仅作为货物质保期起算的依据，不代表采购方对质量异议权利的放弃，也不代表采购方对货物质量保证责任的免除。如验收通过后，货物出现质量问题影响采购方使用的，采购方仍有权要求中标单位采取维修、退货换货、支付违约金、赔偿损失等方式处理。</w:t>
      </w:r>
      <w:bookmarkEnd w:id="31"/>
      <w:r/>
      <w:bookmarkEnd w:id="32"/>
      <w:r/>
      <w:r/>
    </w:p>
    <w:p>
      <w:pPr>
        <w:spacing w:line="360" w:lineRule="auto"/>
        <w:rPr>
          <w:rFonts w:ascii="宋体" w:hAnsi="宋体" w:cs="宋体"/>
          <w:color w:val="000000" w:themeColor="text1"/>
          <w:sz w:val="24"/>
          <w:szCs w:val="32"/>
          <w:highlight w:val="none"/>
        </w:rPr>
      </w:pPr>
      <w:r/>
      <w:bookmarkStart w:id="35" w:name="OLE_LINK201"/>
      <w:r/>
      <w:bookmarkStart w:id="36" w:name="OLE_LINK200"/>
      <w:r>
        <w:rPr>
          <w:rFonts w:hint="eastAsia" w:ascii="宋体" w:hAnsi="宋体" w:cs="宋体"/>
          <w:color w:val="000000" w:themeColor="text1"/>
          <w:sz w:val="24"/>
          <w:szCs w:val="32"/>
          <w:highlight w:val="none"/>
        </w:rPr>
        <w:t xml:space="preserve">6、采购使用单位将根据《江苏省财政厅关于印发&lt;江苏省政府采购履约验收管理办法&gt;的通知》</w:t>
      </w:r>
      <w:r>
        <w:rPr>
          <w:rFonts w:hint="eastAsia" w:ascii="宋体" w:hAnsi="宋体" w:cs="宋体"/>
          <w:color w:val="000000" w:themeColor="text1"/>
          <w:sz w:val="24"/>
          <w:szCs w:val="32"/>
          <w:highlight w:val="none"/>
          <w:lang w:eastAsia="zh-CN"/>
        </w:rPr>
        <w:t xml:space="preserve">（</w:t>
      </w:r>
      <w:r>
        <w:rPr>
          <w:rFonts w:hint="eastAsia" w:ascii="宋体" w:hAnsi="宋体" w:cs="宋体"/>
          <w:color w:val="000000" w:themeColor="text1"/>
          <w:sz w:val="24"/>
          <w:szCs w:val="32"/>
          <w:highlight w:val="none"/>
        </w:rPr>
        <w:t xml:space="preserve">苏财规</w:t>
      </w:r>
      <w:r>
        <w:rPr>
          <w:rFonts w:hint="eastAsia" w:ascii="宋体" w:hAnsi="宋体" w:cs="宋体"/>
          <w:color w:val="000000" w:themeColor="text1"/>
          <w:sz w:val="24"/>
          <w:szCs w:val="32"/>
          <w:highlight w:val="none"/>
          <w:lang w:eastAsia="zh-CN"/>
        </w:rPr>
        <w:t xml:space="preserve">〔2024〕7号）</w:t>
      </w:r>
      <w:r>
        <w:rPr>
          <w:rFonts w:hint="eastAsia" w:ascii="宋体" w:hAnsi="宋体" w:cs="宋体"/>
          <w:color w:val="000000" w:themeColor="text1"/>
          <w:sz w:val="24"/>
          <w:szCs w:val="32"/>
          <w:highlight w:val="none"/>
        </w:rPr>
        <w:t xml:space="preserve">相关要求，组织项目履约验收基本工作。</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7、采购文件、投标文件、政府采购合同等是履约验收工作的重要依据。在政府采购合同约定的履行验收条件达到时，中标单位可以主动联系采购使用单位启动履约验收工作。</w:t>
      </w:r>
      <w:r/>
    </w:p>
    <w:p>
      <w:pPr>
        <w:spacing w:line="360" w:lineRule="auto"/>
        <w:rPr>
          <w:rFonts w:ascii="宋体" w:hAnsi="宋体" w:cs="宋体"/>
          <w:color w:val="000000" w:themeColor="text1"/>
          <w:sz w:val="24"/>
          <w:szCs w:val="32"/>
          <w:highlight w:val="none"/>
        </w:rPr>
      </w:pPr>
      <w:r>
        <w:rPr>
          <w:rFonts w:hint="eastAsia" w:ascii="宋体" w:hAnsi="宋体" w:cs="宋体"/>
          <w:color w:val="000000" w:themeColor="text1"/>
          <w:sz w:val="24"/>
          <w:szCs w:val="32"/>
          <w:highlight w:val="none"/>
        </w:rPr>
        <w:t xml:space="preserve">8、采购使用单位将按照验收标准要求组织验收，验收内容和标准至少包括服务质量、用户满意度、服务过程文档资料、数据准确性等内容。</w:t>
      </w:r>
      <w:bookmarkEnd w:id="35"/>
      <w:r/>
      <w:bookmarkEnd w:id="36"/>
      <w:r/>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五、综合说明及其它要求：</w:t>
      </w:r>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1、投标单位按照招标文件的要求提交投标文件，并对所提供的全部资料的真实性承担法律责任。</w:t>
      </w:r>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2、投标单位需明确所投设备生产厂家、品牌、型号、规格和外形、尺寸等；提供设备的配置清单，并提供详细的技术参数和性能说明。</w:t>
      </w:r>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3、投标单位所提供的设备应符合根据国家标准和规范，并遵循招标文件的要求，根据所投产品的技术参数、资质资料编写投标文件；如果其中某些条款不响应时，应在文件中逐条列出。</w:t>
      </w:r>
      <w:r/>
    </w:p>
    <w:p>
      <w:pPr>
        <w:spacing w:line="360" w:lineRule="auto"/>
        <w:rPr>
          <w:rFonts w:ascii="宋体" w:hAnsi="宋体"/>
          <w:color w:val="000000" w:themeColor="text1"/>
          <w:sz w:val="24"/>
          <w:szCs w:val="24"/>
          <w:highlight w:val="none"/>
        </w:rPr>
      </w:pPr>
      <w:r>
        <w:rPr>
          <w:rFonts w:hint="eastAsia" w:ascii="宋体" w:hAnsi="宋体" w:cs="宋体"/>
          <w:color w:val="000000" w:themeColor="text1"/>
          <w:sz w:val="24"/>
          <w:szCs w:val="24"/>
          <w:highlight w:val="none"/>
        </w:rPr>
        <w:t xml:space="preserve">4、本项目中投标总价</w:t>
      </w:r>
      <w:r>
        <w:rPr>
          <w:rFonts w:hint="eastAsia" w:ascii="宋体" w:hAnsi="宋体"/>
          <w:color w:val="000000" w:themeColor="text1"/>
          <w:sz w:val="24"/>
          <w:highlight w:val="none"/>
        </w:rPr>
        <w:t xml:space="preserve">包括响应产品、安装辅材及其备品备件和专用工具费用、包装、运至最终目的地的运输、保险、现场安装调试、检测验收、技术支持与培训、质保和售后服务及相关劳务支出等履行本合同所发生的全部费用以及中标单位的企业利润、税金和政策性文件规定及合同包含的所有风险、责任等各项应有费用。</w:t>
      </w:r>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5、交货时间：合同签订后20日内，完成本项目全部采购内容的交付；30日内完成设备安装及调试工作。</w:t>
      </w:r>
      <w:r/>
    </w:p>
    <w:p>
      <w:pPr>
        <w:spacing w:line="360" w:lineRule="auto"/>
        <w:tabs>
          <w:tab w:val="left" w:pos="0" w:leader="none"/>
        </w:tabs>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6、交货地点：采购单位指定地点。</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六、政府采购政策：</w:t>
      </w:r>
      <w:r/>
    </w:p>
    <w:p>
      <w:pPr>
        <w:jc w:val="left"/>
        <w:spacing w:line="360" w:lineRule="auto"/>
        <w:rPr>
          <w:rFonts w:ascii="宋体" w:hAnsi="宋体"/>
          <w:bCs/>
          <w:color w:val="000000" w:themeColor="text1"/>
          <w:sz w:val="24"/>
          <w:highlight w:val="none"/>
        </w:rPr>
      </w:pPr>
      <w:r>
        <w:rPr>
          <w:rFonts w:ascii="宋体" w:hAnsi="宋体" w:cs="黑体"/>
          <w:bCs/>
          <w:color w:val="000000" w:themeColor="text1"/>
          <w:sz w:val="24"/>
          <w:highlight w:val="none"/>
          <w:shd w:val="clear" w:color="auto" w:fill="ffffff"/>
        </w:rPr>
        <w:t xml:space="preserve">1</w:t>
      </w:r>
      <w:r>
        <w:rPr>
          <w:rFonts w:hint="eastAsia" w:ascii="宋体" w:hAnsi="宋体" w:cs="黑体"/>
          <w:bCs/>
          <w:color w:val="000000" w:themeColor="text1"/>
          <w:sz w:val="24"/>
          <w:highlight w:val="none"/>
          <w:shd w:val="clear" w:color="auto" w:fill="ffffff"/>
        </w:rPr>
        <w:t xml:space="preserve">、</w:t>
      </w:r>
      <w:r>
        <w:rPr>
          <w:rFonts w:hint="eastAsia" w:ascii="宋体" w:hAnsi="宋体"/>
          <w:bCs/>
          <w:color w:val="000000" w:themeColor="text1"/>
          <w:sz w:val="24"/>
          <w:highlight w:val="none"/>
        </w:rPr>
        <w:t xml:space="preserve">中、小企业：根据《关于印发〈苏州市政府采购促进中小企业发展实施意见〉的通知》（苏财购〔2022〕16号）的相关规定，对属于小型、微型企业的供应商且提供自有产品和服务的，对其报价给予20%的扣除。如供应商认定本企业为小型、微型企业，则需提交《中小企业声明函》并加盖公章，未提交则不享受相关小微企业价格扣除政策。</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1.1本项目</w:t>
      </w:r>
      <w:r>
        <w:rPr>
          <w:rFonts w:hint="eastAsia" w:ascii="宋体" w:hAnsi="宋体"/>
          <w:b/>
          <w:bCs/>
          <w:color w:val="000000" w:themeColor="text1"/>
          <w:sz w:val="24"/>
          <w:highlight w:val="none"/>
          <w:u w:val="single"/>
        </w:rPr>
        <w:t xml:space="preserve">不属于预留份额</w:t>
      </w:r>
      <w:r>
        <w:rPr>
          <w:rFonts w:hint="eastAsia" w:ascii="宋体" w:hAnsi="宋体"/>
          <w:color w:val="000000" w:themeColor="text1"/>
          <w:sz w:val="24"/>
          <w:highlight w:val="none"/>
        </w:rPr>
        <w:t xml:space="preserve">专门面向中小企业采购。</w:t>
      </w:r>
      <w: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 xml:space="preserve">1.2根据《关于印发〈苏州市政府采购促进中小企业发展实施意见〉的通知》（苏财购〔2022〕16号）及《中小企业划型标准规定》（工信部联企业〔2011〕300号），本采购项目对应的中小企业划分标准所属行业为：</w:t>
      </w:r>
      <w:r>
        <w:rPr>
          <w:rFonts w:hint="eastAsia" w:ascii="宋体" w:hAnsi="宋体" w:cs="宋体"/>
          <w:b/>
          <w:bCs/>
          <w:color w:val="000000" w:themeColor="text1"/>
          <w:sz w:val="24"/>
          <w:szCs w:val="24"/>
          <w:highlight w:val="none"/>
          <w:u w:val="single"/>
        </w:rPr>
        <w:t xml:space="preserve">工业</w:t>
      </w:r>
      <w:r>
        <w:rPr>
          <w:rFonts w:hint="eastAsia" w:ascii="宋体" w:hAnsi="宋体"/>
          <w:color w:val="000000" w:themeColor="text1"/>
          <w:sz w:val="24"/>
          <w:highlight w:val="none"/>
        </w:rPr>
        <w:t xml:space="preserve">。</w:t>
      </w:r>
      <w:r/>
    </w:p>
    <w:p>
      <w:pPr>
        <w:jc w:val="left"/>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 xml:space="preserve">1.3若供应商提供的《中小企业声明函》为虚假声明则视同提供虚假材料，按政府采购相关规定处理并报请政府监管部门给予行政处罚。</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残疾人福利性单位：根据《关于促进残疾人就业政府采购政策的通知》（财库〔2017〕141号）的相关规定，在政府采购活动中残疾人福利性单位视同小型、微型企业，享受预留份额、评审中价格扣除等促进中小企业发展的政府采购政策，残疾人福利性单位属于小型、微型企业的，不重复享受政策。符合条件的残疾人福利性单位，应提交《残疾人福利性单位声明函》，并对声明的真实性负责，未提交则不享受相关政策。</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监狱企业：根据《关于政府采购支持监狱企业发展有关问题的通知》（财库〔2014〕68号）的相关规定在政府采购活动中，监狱企业视同小型、微型企业，享受预留份额、评审中价格扣除等促进中小企业发展的政府采购政策，监狱企业属于小型、微型企业的，不重复享受政策。监狱企业应当提供由省级以上监狱管理局、戒毒管理局（含新疆生产建设兵团）出具的属于监狱企业的证明文件。</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4、绿色采购</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4.1根据《关于调整优化节能产品、环境标志产品政府采购执行机制的通知》（财库〔2019〕9号）等相关文件的规定，对属于《节能产品政府采购品目清单》中强制采购范围内产品的，供应商须提供由国家确定的认证机构出具的、处于有效期之内的节能产品认证证书，上述品目清单可通过“中国政府采购网”（http</w:t>
      </w:r>
      <w:r>
        <w:rPr>
          <w:rFonts w:hint="eastAsia" w:ascii="宋体" w:hAnsi="宋体" w:cs="宋体"/>
          <w:color w:val="000000" w:themeColor="text1"/>
          <w:sz w:val="24"/>
          <w:szCs w:val="24"/>
          <w:highlight w:val="none"/>
          <w:lang w:eastAsia="zh-CN"/>
        </w:rPr>
        <w:t xml:space="preserve">:</w:t>
      </w:r>
      <w:r>
        <w:rPr>
          <w:rFonts w:hint="eastAsia" w:ascii="宋体" w:hAnsi="宋体" w:cs="宋体"/>
          <w:color w:val="000000" w:themeColor="text1"/>
          <w:sz w:val="24"/>
          <w:szCs w:val="24"/>
          <w:highlight w:val="none"/>
        </w:rPr>
        <w:t xml:space="preserve">//www.ccgp.gov.cn）查询，并在投标文件中提供由国家确定的认证机构出具的、处于有效期之内的节能产品认证证书复印件，否则视为未实质性响应。</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r/>
    </w:p>
    <w:p>
      <w:pPr>
        <w:jc w:val="left"/>
        <w:spacing w:line="360" w:lineRule="auto"/>
        <w:rPr>
          <w:rFonts w:ascii="宋体" w:hAnsi="宋体" w:cs="宋体"/>
          <w:bCs/>
          <w:color w:val="000000" w:themeColor="text1"/>
          <w:sz w:val="24"/>
          <w:szCs w:val="24"/>
          <w:highlight w:val="none"/>
          <w:shd w:val="clear" w:color="auto" w:fill="ffffff"/>
        </w:rPr>
      </w:pPr>
      <w:r>
        <w:rPr>
          <w:rFonts w:hint="eastAsia" w:ascii="宋体" w:hAnsi="宋体" w:cs="宋体"/>
          <w:bCs/>
          <w:color w:val="000000" w:themeColor="text1"/>
          <w:sz w:val="24"/>
          <w:szCs w:val="24"/>
          <w:highlight w:val="none"/>
          <w:shd w:val="clear" w:color="auto" w:fill="ffffff"/>
        </w:rPr>
        <w:t xml:space="preserve">七、关于对参与供应商信用记录的政府采购要求</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1、采购代理机构会在接收投标文件截止时间后，登录信用中国网站（www.creditchina.gov.cn/）和中国政府采购网（www.ccgp.gov.cn/）查询供应商的信用记录，并将查询结果递交评标委员会。</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r/>
    </w:p>
    <w:p>
      <w:pPr>
        <w:ind w:firstLine="480"/>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两个以上的自然人、法人或者其他组织组成一个联合体，以一个供应商的身份共同参加政府采购活动的，应当对所有联合体成员进行信用记录查询，联合体成员存在不良信用记录的，视同联合体存在不良信用记录。</w:t>
      </w:r>
      <w:r/>
    </w:p>
    <w:p>
      <w:pPr>
        <w:jc w:val="left"/>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3、供应商若在经营活动中受到罚款的，请携带相关地方、部门对较大数额认定标准的证明材料，与投标文件一并提交。若无法提供，则可能承担投标无效等相应不利后果。</w:t>
      </w:r>
      <w:r/>
    </w:p>
    <w:p>
      <w:pPr>
        <w:jc w:val="left"/>
        <w:spacing w:line="360" w:lineRule="auto"/>
        <w:rPr>
          <w:rFonts w:ascii="宋体" w:hAnsi="宋体" w:cs="宋体"/>
          <w:bCs/>
          <w:color w:val="000000" w:themeColor="text1"/>
          <w:sz w:val="44"/>
          <w:szCs w:val="20"/>
          <w:highlight w:val="none"/>
        </w:rPr>
      </w:pPr>
      <w:r>
        <w:rPr>
          <w:rFonts w:hint="eastAsia" w:ascii="宋体" w:hAnsi="宋体" w:cs="宋体"/>
          <w:color w:val="000000" w:themeColor="text1"/>
          <w:sz w:val="24"/>
          <w:szCs w:val="24"/>
          <w:highlight w:val="none"/>
        </w:rPr>
        <w:t xml:space="preserve">4、对存在失信信息的供应商，由失信供应商进行确认。同时，采购代理机构工作人员应根据评标委员会确认的失信信息，登录到相关来源网站页面进行复核并打印，作为证据留存</w:t>
      </w:r>
      <w:r>
        <w:rPr>
          <w:rFonts w:hint="eastAsia" w:ascii="宋体" w:hAnsi="宋体"/>
          <w:color w:val="000000" w:themeColor="text1"/>
          <w:sz w:val="24"/>
          <w:highlight w:val="none"/>
        </w:rPr>
        <w:t xml:space="preserve">。</w:t>
      </w:r>
      <w:r>
        <w:rPr>
          <w:rFonts w:hint="eastAsia" w:ascii="宋体" w:hAnsi="宋体" w:cs="宋体"/>
          <w:bCs/>
          <w:color w:val="000000" w:themeColor="text1"/>
          <w:sz w:val="44"/>
          <w:szCs w:val="20"/>
          <w:highlight w:val="none"/>
        </w:rPr>
        <w:br w:type="page" w:clear="all"/>
      </w:r>
      <w:r>
        <w:rPr>
          <w:rFonts w:hint="eastAsia" w:ascii="宋体" w:hAnsi="宋体" w:cs="宋体"/>
          <w:bCs/>
          <w:color w:val="000000" w:themeColor="text1"/>
          <w:sz w:val="44"/>
          <w:szCs w:val="20"/>
          <w:highlight w:val="none"/>
        </w:rPr>
        <w:t xml:space="preserve">         第五章 合同主要条款</w:t>
      </w:r>
      <w:r/>
    </w:p>
    <w:p>
      <w:pPr>
        <w:jc w:val="center"/>
        <w:spacing w:line="360" w:lineRule="auto"/>
        <w:rPr>
          <w:rFonts w:asciiTheme="minorEastAsia" w:hAnsiTheme="minorEastAsia" w:eastAsiaTheme="minorEastAsia" w:cstheme="minorEastAsia"/>
          <w:b/>
          <w:color w:val="000000" w:themeColor="text1"/>
          <w:sz w:val="36"/>
          <w:szCs w:val="36"/>
          <w:highlight w:val="none"/>
        </w:rPr>
      </w:pPr>
      <w:r>
        <w:rPr>
          <w:rFonts w:hint="eastAsia" w:asciiTheme="minorEastAsia" w:hAnsiTheme="minorEastAsia" w:eastAsiaTheme="minorEastAsia" w:cstheme="minorEastAsia"/>
          <w:b/>
          <w:color w:val="000000" w:themeColor="text1"/>
          <w:sz w:val="36"/>
          <w:szCs w:val="36"/>
          <w:highlight w:val="none"/>
        </w:rPr>
        <w:t xml:space="preserve">政府采购合同</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项目编号：</w:t>
      </w:r>
      <w:r/>
    </w:p>
    <w:p>
      <w:pP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甲方：苏州市公安局</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地址：苏州市相城区人民路3998号</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联系人：</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联系电话：</w:t>
      </w:r>
      <w:r/>
    </w:p>
    <w:p>
      <w:pP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乙方：</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地址：</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联系人：</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联系电话：</w:t>
      </w:r>
      <w:r/>
    </w:p>
    <w:p>
      <w:pPr>
        <w:ind w:firstLine="480"/>
        <w:jc w:val="left"/>
        <w:spacing w:line="360" w:lineRule="auto"/>
        <w:rPr>
          <w:rFonts w:ascii="宋体" w:hAnsi="宋体"/>
          <w:color w:val="000000" w:themeColor="text1"/>
          <w:sz w:val="24"/>
          <w:highlight w:val="none"/>
        </w:rPr>
      </w:pPr>
      <w:r>
        <w:rPr>
          <w:rFonts w:ascii="宋体" w:hAnsi="宋体"/>
          <w:color w:val="000000" w:themeColor="text1"/>
          <w:sz w:val="24"/>
          <w:highlight w:val="none"/>
        </w:rPr>
      </w:r>
      <w:r/>
    </w:p>
    <w:p>
      <w:pPr>
        <w:ind w:firstLine="480"/>
        <w:jc w:val="left"/>
        <w:spacing w:line="360" w:lineRule="auto"/>
        <w:rPr>
          <w:rFonts w:ascii="宋体" w:hAnsi="宋体"/>
          <w:color w:val="000000" w:themeColor="text1"/>
          <w:sz w:val="24"/>
          <w:highlight w:val="none"/>
        </w:rPr>
      </w:pPr>
      <w:r>
        <w:rPr>
          <w:rFonts w:hint="eastAsia" w:ascii="宋体" w:hAnsi="宋体" w:cs="宋体"/>
          <w:color w:val="000000" w:themeColor="text1"/>
          <w:sz w:val="24"/>
          <w:szCs w:val="24"/>
          <w:highlight w:val="none"/>
        </w:rPr>
        <w:t xml:space="preserve">根据《中华人民共和国民法典》等相关法律法规的规定，甲乙双方就此次成交的</w:t>
      </w:r>
      <w:r>
        <w:rPr>
          <w:rFonts w:hint="eastAsia" w:ascii="宋体" w:hAnsi="宋体" w:cs="宋体"/>
          <w:b/>
          <w:bCs/>
          <w:color w:val="000000" w:themeColor="text1"/>
          <w:sz w:val="24"/>
          <w:szCs w:val="24"/>
          <w:highlight w:val="none"/>
        </w:rPr>
        <w:t xml:space="preserve">【2024年中央政法转移支付资金子项目（健康一体机等一批医疗设备）】</w:t>
      </w:r>
      <w:r>
        <w:rPr>
          <w:rFonts w:hint="eastAsia" w:ascii="宋体" w:hAnsi="宋体" w:cs="宋体"/>
          <w:color w:val="000000" w:themeColor="text1"/>
          <w:sz w:val="24"/>
          <w:szCs w:val="24"/>
          <w:highlight w:val="none"/>
        </w:rPr>
        <w:t xml:space="preserve">项目（以下简称“本项目”）购销事宜，签订本合同书，以兹共同遵守。</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一、下列文件为本合同不可分割部分，并构成一个整体，需综合解释、相互补充。如果下列文件内容出现不一致的情形，在保证按照采购文件确定的事项的前提下，组成本合同的多个文件的优先适用顺序如下：</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（1）本合同书及本合同书签署后双方以书面形式确认的补充协议等；</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（2）中标通知书；</w:t>
      </w:r>
      <w:r>
        <w:rPr>
          <w:rFonts w:hint="eastAsia" w:asciiTheme="minorEastAsia" w:hAnsiTheme="minorEastAsia" w:eastAsiaTheme="minorEastAsia" w:cstheme="minorEastAsia"/>
          <w:color w:val="000000" w:themeColor="text1"/>
          <w:sz w:val="24"/>
          <w:szCs w:val="24"/>
          <w:highlight w:val="none"/>
        </w:rPr>
        <w:tab/>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（3）采购文件；</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（4）投标文件；</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（5）乙方在开评标过程中所作的</w:t>
      </w:r>
      <w:r>
        <w:rPr>
          <w:rFonts w:hint="eastAsia" w:asciiTheme="minorEastAsia" w:hAnsiTheme="minorEastAsia" w:eastAsiaTheme="minorEastAsia" w:cstheme="minorEastAsia"/>
          <w:color w:val="000000" w:themeColor="text1"/>
          <w:sz w:val="24"/>
          <w:szCs w:val="24"/>
          <w:highlight w:val="none"/>
          <w:lang w:eastAsia="zh-CN"/>
        </w:rPr>
        <w:t xml:space="preserve">其他</w:t>
      </w:r>
      <w:r>
        <w:rPr>
          <w:rFonts w:hint="eastAsia" w:asciiTheme="minorEastAsia" w:hAnsiTheme="minorEastAsia" w:eastAsiaTheme="minorEastAsia" w:cstheme="minorEastAsia"/>
          <w:color w:val="000000" w:themeColor="text1"/>
          <w:sz w:val="24"/>
          <w:szCs w:val="24"/>
          <w:highlight w:val="none"/>
        </w:rPr>
        <w:t xml:space="preserve">承诺、声明、书面澄清等。</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以上文件视为是能互相说明的，如上述文件之间存在冲突或不一致的，以排列序位在前的文件为准，同一序位的文件以形成时间在后的为准。</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二、合同内容</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（一）项目内容：乙方负责完成甲方的</w:t>
      </w:r>
      <w:r>
        <w:rPr>
          <w:rFonts w:hint="eastAsia" w:asciiTheme="minorEastAsia" w:hAnsiTheme="minorEastAsia" w:eastAsiaTheme="minorEastAsia" w:cstheme="minorEastAsia"/>
          <w:color w:val="000000" w:themeColor="text1"/>
          <w:sz w:val="24"/>
          <w:szCs w:val="24"/>
          <w:highlight w:val="none"/>
          <w:u w:val="single"/>
        </w:rPr>
        <w:t xml:space="preserve">“</w:t>
      </w:r>
      <w:r>
        <w:rPr>
          <w:rFonts w:hint="eastAsia" w:asciiTheme="minorEastAsia" w:hAnsiTheme="minorEastAsia" w:eastAsiaTheme="minorEastAsia" w:cstheme="minorEastAsia"/>
          <w:b/>
          <w:color w:val="000000" w:themeColor="text1"/>
          <w:sz w:val="24"/>
          <w:szCs w:val="24"/>
          <w:highlight w:val="none"/>
          <w:u w:val="single"/>
        </w:rPr>
        <w:t xml:space="preserve">2024年中央政法转移支付资金子项目（健康一体机等一批医疗设备）</w:t>
      </w:r>
      <w:r>
        <w:rPr>
          <w:rFonts w:hint="eastAsia" w:asciiTheme="minorEastAsia" w:hAnsiTheme="minorEastAsia" w:eastAsiaTheme="minorEastAsia" w:cstheme="minorEastAsia"/>
          <w:color w:val="000000" w:themeColor="text1"/>
          <w:sz w:val="24"/>
          <w:szCs w:val="24"/>
          <w:highlight w:val="none"/>
          <w:u w:val="single"/>
        </w:rPr>
        <w:t xml:space="preserve">”</w:t>
      </w:r>
      <w:r>
        <w:rPr>
          <w:rFonts w:hint="eastAsia" w:asciiTheme="minorEastAsia" w:hAnsiTheme="minorEastAsia" w:eastAsiaTheme="minorEastAsia" w:cstheme="minorEastAsia"/>
          <w:color w:val="000000" w:themeColor="text1"/>
          <w:sz w:val="24"/>
          <w:szCs w:val="24"/>
          <w:highlight w:val="none"/>
        </w:rPr>
        <w:t xml:space="preserve">，具体内容见下表：</w:t>
      </w:r>
      <w:r/>
    </w:p>
    <w:tbl>
      <w:tblPr>
        <w:tblStyle w:val="897"/>
        <w:tblW w:w="4952" w:type="pct"/>
        <w:jc w:val="center"/>
        <w:tblLayout w:type="fixed"/>
        <w:tblCellMar>
          <w:left w:w="10" w:type="dxa"/>
          <w:top w:w="10" w:type="dxa"/>
          <w:right w:w="10" w:type="dxa"/>
          <w:bottom w:w="0" w:type="dxa"/>
        </w:tblCellMar>
        <w:tblLook w:val="04A0" w:firstRow="1" w:lastRow="0" w:firstColumn="1" w:lastColumn="0" w:noHBand="0" w:noVBand="1"/>
      </w:tblPr>
      <w:tblGrid>
        <w:gridCol w:w="536"/>
        <w:gridCol w:w="1784"/>
        <w:gridCol w:w="1230"/>
        <w:gridCol w:w="810"/>
        <w:gridCol w:w="750"/>
        <w:gridCol w:w="1065"/>
        <w:gridCol w:w="1035"/>
        <w:gridCol w:w="1030"/>
      </w:tblGrid>
      <w:tr>
        <w:trPr>
          <w:jc w:val="center"/>
          <w:trHeight w:val="60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537"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序号</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784"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设备名称</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23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品牌、型号</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81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数量</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75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单位</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6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单价（元）</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总价（元）</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备注</w:t>
            </w:r>
            <w:r/>
          </w:p>
        </w:tc>
      </w:tr>
      <w:tr>
        <w:trPr>
          <w:jc w:val="center"/>
          <w:trHeight w:val="60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537"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784"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健康一体机</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230" w:type="dxa"/>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81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5</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75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6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r>
      <w:tr>
        <w:trPr>
          <w:jc w:val="center"/>
          <w:trHeight w:val="60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537"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784"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心电图机</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230" w:type="dxa"/>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81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75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6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r>
      <w:tr>
        <w:trPr>
          <w:jc w:val="center"/>
          <w:trHeight w:val="60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537"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784"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红外治疗仪</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230" w:type="dxa"/>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81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75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6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r>
      <w:tr>
        <w:trPr>
          <w:jc w:val="center"/>
          <w:trHeight w:val="60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537"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784"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磁振热治疗仪</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230" w:type="dxa"/>
            <w:textDirection w:val="lrTb"/>
            <w:noWrap/>
          </w:tcPr>
          <w:p>
            <w:pP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81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75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6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r>
      <w:tr>
        <w:trPr>
          <w:jc w:val="center"/>
          <w:trHeight w:val="60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537"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784"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深层肌肉刺激仪</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230" w:type="dxa"/>
            <w:textDirection w:val="lrTb"/>
            <w:noWrap/>
          </w:tcPr>
          <w:p>
            <w:pP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81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75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台</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6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r>
      <w:tr>
        <w:trPr>
          <w:jc w:val="center"/>
          <w:trHeight w:val="600"/>
        </w:trPr>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537"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6</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784"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急救箱</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230" w:type="dxa"/>
            <w:textDirection w:val="lrTb"/>
            <w:noWrap/>
          </w:tcPr>
          <w:p>
            <w:pP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81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1</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750" w:type="dxa"/>
            <w:vAlign w:val="center"/>
            <w:textDirection w:val="lrTb"/>
            <w:noWrap/>
          </w:tcPr>
          <w:p>
            <w:pPr>
              <w:pStyle w:val="1141"/>
              <w:jc w:val="center"/>
              <w:spacing w:line="360" w:lineRule="auto"/>
              <w:rPr>
                <w:rFonts w:hint="default" w:asciiTheme="minorEastAsia" w:hAnsiTheme="minorEastAsia" w:eastAsiaTheme="minorEastAsia" w:cstheme="minorEastAsia"/>
                <w:color w:val="000000" w:themeColor="text1"/>
                <w:szCs w:val="24"/>
                <w:highlight w:val="none"/>
              </w:rPr>
            </w:pPr>
            <w:r>
              <w:rPr>
                <w:rFonts w:asciiTheme="minorEastAsia" w:hAnsiTheme="minorEastAsia" w:eastAsiaTheme="minorEastAsia" w:cstheme="minorEastAsia"/>
                <w:color w:val="000000" w:themeColor="text1"/>
                <w:szCs w:val="24"/>
                <w:highlight w:val="none"/>
              </w:rPr>
              <w:t xml:space="preserve">个</w:t>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6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5"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c>
          <w:tcPr>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1030" w:type="dxa"/>
            <w:vAlign w:val="center"/>
            <w:textDirection w:val="lrTb"/>
            <w:noWrap/>
          </w:tcPr>
          <w:p>
            <w:pPr>
              <w:jc w:val="center"/>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tc>
      </w:tr>
      <w:tr>
        <w:trPr>
          <w:jc w:val="center"/>
          <w:trHeight w:val="600"/>
        </w:trPr>
        <w:tc>
          <w:tcPr>
            <w:gridSpan w:val="8"/>
            <w:tcBorders>
              <w:top w:val="single" w:color="000000" w:sz="4" w:space="0"/>
              <w:left w:val="single" w:color="000000" w:sz="4" w:space="0"/>
              <w:bottom w:val="single" w:color="000000" w:sz="4" w:space="0"/>
              <w:right w:val="single" w:color="000000" w:sz="4" w:space="0"/>
            </w:tcBorders>
            <w:tcMar>
              <w:left w:w="10" w:type="dxa"/>
              <w:top w:w="10" w:type="dxa"/>
              <w:right w:w="10" w:type="dxa"/>
              <w:bottom w:w="0" w:type="dxa"/>
            </w:tcMar>
            <w:tcW w:w="8241" w:type="dxa"/>
            <w:vAlign w:val="center"/>
            <w:textDirection w:val="lrTb"/>
            <w:noWrap/>
          </w:tcPr>
          <w:p>
            <w:pPr>
              <w:jc w:val="center"/>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总价（含税）：</w:t>
            </w:r>
            <w:r>
              <w:rPr>
                <w:rFonts w:hint="eastAsia" w:asciiTheme="minorEastAsia" w:hAnsiTheme="minorEastAsia" w:eastAsiaTheme="minorEastAsia" w:cstheme="minorEastAsia"/>
                <w:color w:val="000000" w:themeColor="text1"/>
                <w:sz w:val="24"/>
                <w:szCs w:val="24"/>
                <w:highlight w:val="none"/>
              </w:rPr>
              <w:t xml:space="preserve">           ¥</w:t>
            </w:r>
            <w:r/>
          </w:p>
        </w:tc>
      </w:tr>
    </w:tbl>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（二）交付期限：合同签订生效之日起【20】日内，乙方应完成本项目全部采购内容的交付；【30】日内完成设备安装及调试工作。</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（三）交付地点：甲方指定地点。</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（四）质保期：【】年，自货物经甲方最终验收通过之日起开始计算。</w:t>
      </w:r>
      <w:r/>
    </w:p>
    <w:p>
      <w:pPr>
        <w:ind w:firstLine="482"/>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三、价格与支付</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（一）本合同金额按此次中标（成交）价格执行，本合同总金额（含税）为人民币（大写         ）（¥：    ）。上述合同总金额已包括</w:t>
      </w:r>
      <w:r>
        <w:rPr>
          <w:rFonts w:hint="eastAsia" w:asciiTheme="minorEastAsia" w:hAnsiTheme="minorEastAsia" w:eastAsiaTheme="minorEastAsia" w:cstheme="minorEastAsia"/>
          <w:color w:val="000000" w:themeColor="text1"/>
          <w:sz w:val="24"/>
          <w:szCs w:val="24"/>
          <w:highlight w:val="none"/>
          <w:lang w:val="zh-CN"/>
        </w:rPr>
        <w:t xml:space="preserve">响应产品、</w:t>
      </w:r>
      <w:bookmarkStart w:id="37" w:name="_Hlk32483319"/>
      <w:r>
        <w:rPr>
          <w:rFonts w:hint="eastAsia" w:asciiTheme="minorEastAsia" w:hAnsiTheme="minorEastAsia" w:eastAsiaTheme="minorEastAsia" w:cstheme="minorEastAsia"/>
          <w:color w:val="000000" w:themeColor="text1"/>
          <w:sz w:val="24"/>
          <w:szCs w:val="24"/>
          <w:highlight w:val="none"/>
          <w:lang w:val="zh-CN"/>
        </w:rPr>
        <w:t xml:space="preserve">安装辅材及其备品备件和专用工具费用</w:t>
      </w:r>
      <w:bookmarkEnd w:id="37"/>
      <w:r>
        <w:rPr>
          <w:rFonts w:hint="eastAsia" w:asciiTheme="minorEastAsia" w:hAnsiTheme="minorEastAsia" w:eastAsiaTheme="minorEastAsia" w:cstheme="minorEastAsia"/>
          <w:color w:val="000000" w:themeColor="text1"/>
          <w:sz w:val="24"/>
          <w:szCs w:val="24"/>
          <w:highlight w:val="none"/>
          <w:lang w:val="zh-CN"/>
        </w:rPr>
        <w:t xml:space="preserve">、税费、包装、运至最终目的地的运输、保险、现场安装调试、检测验收、技术支持与培训、质保和售后服务及相关劳务支出等</w:t>
      </w:r>
      <w:r>
        <w:rPr>
          <w:rFonts w:hint="eastAsia" w:asciiTheme="minorEastAsia" w:hAnsiTheme="minorEastAsia" w:eastAsiaTheme="minorEastAsia" w:cstheme="minorEastAsia"/>
          <w:color w:val="000000" w:themeColor="text1"/>
          <w:sz w:val="24"/>
          <w:szCs w:val="24"/>
          <w:highlight w:val="none"/>
        </w:rPr>
        <w:t xml:space="preserve">履行本合同</w:t>
      </w:r>
      <w:r>
        <w:rPr>
          <w:rFonts w:hint="eastAsia" w:asciiTheme="minorEastAsia" w:hAnsiTheme="minorEastAsia" w:eastAsiaTheme="minorEastAsia" w:cstheme="minorEastAsia"/>
          <w:color w:val="000000" w:themeColor="text1"/>
          <w:sz w:val="24"/>
          <w:szCs w:val="24"/>
          <w:highlight w:val="none"/>
          <w:lang w:val="zh-CN"/>
        </w:rPr>
        <w:t xml:space="preserve">所发生的全部费用以及</w:t>
      </w:r>
      <w:r>
        <w:rPr>
          <w:rFonts w:hint="eastAsia" w:asciiTheme="minorEastAsia" w:hAnsiTheme="minorEastAsia" w:eastAsiaTheme="minorEastAsia" w:cstheme="minorEastAsia"/>
          <w:color w:val="000000" w:themeColor="text1"/>
          <w:sz w:val="24"/>
          <w:szCs w:val="24"/>
          <w:highlight w:val="none"/>
        </w:rPr>
        <w:t xml:space="preserve">乙方</w:t>
      </w:r>
      <w:r>
        <w:rPr>
          <w:rFonts w:hint="eastAsia" w:asciiTheme="minorEastAsia" w:hAnsiTheme="minorEastAsia" w:eastAsiaTheme="minorEastAsia" w:cstheme="minorEastAsia"/>
          <w:color w:val="000000" w:themeColor="text1"/>
          <w:sz w:val="24"/>
          <w:szCs w:val="24"/>
          <w:highlight w:val="none"/>
          <w:lang w:val="zh-CN"/>
        </w:rPr>
        <w:t xml:space="preserve">的企业利润、税金和政策性文件规定及合同包含的所有风险、责任等各项应有费用</w:t>
      </w:r>
      <w:r>
        <w:rPr>
          <w:rFonts w:hint="eastAsia" w:asciiTheme="minorEastAsia" w:hAnsiTheme="minorEastAsia" w:eastAsiaTheme="minorEastAsia" w:cstheme="minorEastAsia"/>
          <w:color w:val="000000" w:themeColor="text1"/>
          <w:sz w:val="24"/>
          <w:szCs w:val="24"/>
          <w:highlight w:val="none"/>
        </w:rPr>
        <w:t xml:space="preserve">。除非本合同另有约定外，乙方不得再要求追加任何其他费用，本合同价格在实施期间不因市场变化因素而变动。</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（二）合同价款的支付及付款方式：</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1、付款流程：</w:t>
      </w:r>
      <w:bookmarkStart w:id="38" w:name="OLE_LINK246"/>
      <w:r/>
      <w:bookmarkStart w:id="39" w:name="OLE_LINK247"/>
      <w:r>
        <w:rPr>
          <w:rFonts w:hint="eastAsia" w:asciiTheme="minorEastAsia" w:hAnsiTheme="minorEastAsia" w:eastAsiaTheme="minorEastAsia" w:cstheme="minorEastAsia"/>
          <w:color w:val="000000" w:themeColor="text1"/>
          <w:sz w:val="24"/>
          <w:szCs w:val="24"/>
          <w:highlight w:val="none"/>
        </w:rPr>
        <w:t xml:space="preserve">合同签订并生效后15日内支付合同总金额的【30】%作为预付款；货物送达甲方指定地点并经甲方终验合格后15日内，甲方向乙方支付至本合同总金额【100】%。</w:t>
      </w:r>
      <w:bookmarkEnd w:id="38"/>
      <w:r/>
      <w:bookmarkEnd w:id="39"/>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2、乙方提请甲方付款前，应提供以下资料：</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（1）合法有效且符合甲方要求的发票；</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（2）由甲乙双方及第三方专家组共同签章的《政府采购合同履行验收书》。</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若乙方未按要求提供上述资料的，甲方有权延迟付款，且不承担逾期付款的违约责任。</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3、付款方式：银行转账或数字人民币转账。</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（1）乙方数字人民币账户信息如下：</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账户名：</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开户行：</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数字人民币账号（数币钱包ID）：</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（2）乙方银行转账账户信息如下：</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开户名称：</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开户银行：</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银行账号：</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未经双方书面协商一致，乙方不得擅自变更收款账户信息，也不得转让债权；未经甲方书面同意的债权转让对甲方不发生法律效力，甲方仍有权按照合同约定账户支付费用。若乙方将对甲方的债权擅自转让给第三人，则乙方同意向甲方承担转让的债权金额10 %的违约金，同时甲方有权单方面解除本合同。第三人因债权转让起诉的，甲方因此次诉讼而产生的案件诉讼费、第三人主张的违约金、利息损失、律师费、保全费、保函费、鉴定费等均由乙方承担。</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5、根据现行税法对甲方征收的与本合同有关的一切税费均由甲方承担；根据现行税法对乙方征收的与本合同有关的一切税费均由乙方承担。</w:t>
      </w:r>
      <w:r/>
    </w:p>
    <w:p>
      <w:pPr>
        <w:ind w:firstLine="482"/>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四、质量保证</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一）乙方应保证其向甲方提供的货物是全新的、未使用过的，并且是交货期前三个月内生产的产品，完全符合合同规定的质量、规格和性能的要求。乙方应保证其提供的货物在正确安装、正常使用和保养条件下，在其标称的使用寿命期内应具有良好的性能。在乙方承诺的质量保证期限内，乙方应对由于设计、工艺或材料的缺陷及伴随服务而造成的任何不足或故障负责。质保期内货物出现质量问题的，乙方应负责包修、包退、包换，由此产生的一切费用均由乙方承担。</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（二）乙方应按照本合同约定的质量标准提供合格的货物，如未约定质量标准的，应按照强制性国家标准履行；没有强制性国家标准的</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按照推荐性国家标准履行；没有推荐性国家标准的</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按照行业标准履行；没有国家标准、行业标准的</w:t>
      </w:r>
      <w:r>
        <w:rPr>
          <w:rFonts w:hint="eastAsia" w:asciiTheme="minorEastAsia" w:hAnsiTheme="minorEastAsia" w:eastAsiaTheme="minorEastAsia" w:cstheme="minorEastAsia"/>
          <w:color w:val="000000" w:themeColor="text1"/>
          <w:sz w:val="24"/>
          <w:szCs w:val="24"/>
          <w:highlight w:val="none"/>
          <w:lang w:eastAsia="zh-CN"/>
        </w:rPr>
        <w:t xml:space="preserve">，</w:t>
      </w:r>
      <w:r>
        <w:rPr>
          <w:rFonts w:hint="eastAsia" w:asciiTheme="minorEastAsia" w:hAnsiTheme="minorEastAsia" w:eastAsiaTheme="minorEastAsia" w:cstheme="minorEastAsia"/>
          <w:color w:val="000000" w:themeColor="text1"/>
          <w:sz w:val="24"/>
          <w:szCs w:val="24"/>
          <w:highlight w:val="none"/>
        </w:rPr>
        <w:t xml:space="preserve">按照通常标准或者符合合同目的的特定标准履行。同时存在不同标准的，以最高标准为准。</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三）根据甲方按本合同约定的检验（检测）标准检验（检测）的结果或具有国家法定检验（检测）资质的第三方检验（检测）机构出具的检验（检测）检测结果，如果设备的数量、质量或规格与本合同约定不符或证实设备是有缺陷的，包括潜在缺陷或使用不符合要求的材料等，甲方有权以书面形式通知乙方并提出索赔。</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（四）</w:t>
      </w:r>
      <w:bookmarkStart w:id="40" w:name="_Hlk32483710"/>
      <w:r>
        <w:rPr>
          <w:rFonts w:hint="eastAsia" w:asciiTheme="minorEastAsia" w:hAnsiTheme="minorEastAsia" w:eastAsiaTheme="minorEastAsia" w:cstheme="minorEastAsia"/>
          <w:color w:val="000000" w:themeColor="text1"/>
          <w:sz w:val="24"/>
          <w:szCs w:val="24"/>
          <w:highlight w:val="none"/>
        </w:rPr>
        <w:t xml:space="preserve">乙方应保证对其提供的货物享有合法的权利，在其提供的货物上不存在任何未曾向甲方披露的担保物权，如抵押权、质押权、留置权、债权性质的担保、查封等。乙方应保证甲方在使用该货物或其任何一部分时不受第三方提出侵犯其专利权、版权、商标权或其他权利的诉讼。如甲方在使用乙方提供的标的物构成上述侵权的，乙方应承担全部责任，并赔偿由此给甲方造成的一切直接、间接损失。</w:t>
      </w:r>
      <w:bookmarkEnd w:id="40"/>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b/>
          <w:bCs/>
          <w:color w:val="000000" w:themeColor="text1"/>
          <w:sz w:val="24"/>
          <w:szCs w:val="24"/>
          <w:highlight w:val="none"/>
        </w:rPr>
        <w:t xml:space="preserve">五、包装</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（一）乙方应当按照《商品包装政府采购需求标准（试行）》、《快递包装政府采购需求标准（试行）》的标准及约定的包装方式交付标的物。</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（二）包装必须完整、无破损、污染、受潮等情况，避免影响器械的性能和安全性。</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（三）采取保护货物且用利于节约资源、保护生态环境的包装方式。</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（四）因乙方未采取合理包装方式致使货物损毁、灭失或无法正常使用，给甲方造成损失的，乙方应赔偿甲方一切直接损失，间接损失。</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（五）乙方应保证其提供的货物是原包装未拆封的商品，在交付甲方验收前不得拆箱。</w:t>
      </w:r>
      <w:r/>
    </w:p>
    <w:p>
      <w:pPr>
        <w:ind w:firstLine="480"/>
        <w:spacing w:line="360" w:lineRule="auto"/>
        <w:rPr>
          <w:rFonts w:asciiTheme="minorEastAsia" w:hAnsiTheme="minorEastAsia" w:eastAsiaTheme="minorEastAsia" w:cstheme="minorEastAsia"/>
          <w:b/>
          <w:bCs/>
          <w:color w:val="000000" w:themeColor="text1"/>
          <w:sz w:val="24"/>
          <w:szCs w:val="24"/>
          <w:highlight w:val="none"/>
        </w:rPr>
        <w:outlineLvl w:val="0"/>
      </w:pPr>
      <w:r>
        <w:rPr>
          <w:rFonts w:hint="eastAsia" w:asciiTheme="minorEastAsia" w:hAnsiTheme="minorEastAsia" w:eastAsiaTheme="minorEastAsia" w:cstheme="minorEastAsia"/>
          <w:b/>
          <w:bCs/>
          <w:color w:val="000000" w:themeColor="text1"/>
          <w:sz w:val="24"/>
          <w:szCs w:val="24"/>
          <w:highlight w:val="none"/>
        </w:rPr>
        <w:t xml:space="preserve"> 六、标的物的交付</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    （一）本项目货物的所有权自货物经甲方最终验收合格后，乙方交付甲方时转移。</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    （二）乙方应当按照本合同约定的期限和约定的地点交付货物。</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    （三）乙方应当按照本合同约定或者交易习惯向甲方交付提取货物单证以外的有关单证和资料。</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（四）本合同中所称“交付”，除根据上下文明显指到货时的交货外，均指完成安装调试后的交付。</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五）乙方负责安排货物运输，运输过程中需进行分类运输，不同性质的货物应该分别运输。同时，运输过程中需要注意防潮、防晒、防高温等问题，避免货物受到损坏。因交货产生的运输、装卸、安装、保险等相关费用全部由乙方承担。货物在交付甲方并通过最终验收合格前，其灭失、损毁的风险由乙方承担。</w:t>
      </w:r>
      <w:r/>
    </w:p>
    <w:p>
      <w:pPr>
        <w:ind w:firstLine="480"/>
        <w:spacing w:line="360" w:lineRule="auto"/>
        <w:rPr>
          <w:rFonts w:asciiTheme="minorEastAsia" w:hAnsiTheme="minorEastAsia" w:eastAsiaTheme="minorEastAsia" w:cstheme="minorEastAsia"/>
          <w:b/>
          <w:bCs/>
          <w:color w:val="000000" w:themeColor="text1"/>
          <w:sz w:val="24"/>
          <w:szCs w:val="24"/>
          <w:highlight w:val="none"/>
        </w:rPr>
        <w:outlineLvl w:val="0"/>
      </w:pPr>
      <w:r>
        <w:rPr>
          <w:rFonts w:hint="eastAsia" w:asciiTheme="minorEastAsia" w:hAnsiTheme="minorEastAsia" w:eastAsiaTheme="minorEastAsia" w:cstheme="minorEastAsia"/>
          <w:b/>
          <w:bCs/>
          <w:color w:val="000000" w:themeColor="text1"/>
          <w:sz w:val="24"/>
          <w:szCs w:val="24"/>
          <w:highlight w:val="none"/>
        </w:rPr>
        <w:t xml:space="preserve">七、伴随服务</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（一）乙方除应按照本合同约定及甲方的要求履行按期按量交付合格货物的义务外，还应当提供下列服务：</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1、货物的现场安装、启动、调试、监督（如果必须安装、调试的话）；</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2、提供货物组装和一般维修所必需的工具；</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3、在本合同规定的期限内对所提供的货物实行运行监督、维修服务的前提条件是该服务并不能免除乙方在质量保证期内应承担的义务；</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4、对甲方技术人员进行技术指导或培训服务。</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（二）除本合同另有规定外，伴随服务的费用均已包含在本合同总价款中，甲方不再另行向乙方支付任何其他费用。</w:t>
      </w:r>
      <w:r/>
    </w:p>
    <w:p>
      <w:pPr>
        <w:ind w:firstLine="480"/>
        <w:spacing w:line="360" w:lineRule="auto"/>
        <w:rPr>
          <w:rFonts w:ascii="宋体" w:hAnsi="宋体" w:cs="宋体"/>
          <w:b/>
          <w:bCs/>
          <w:color w:val="000000" w:themeColor="text1"/>
          <w:sz w:val="24"/>
          <w:szCs w:val="24"/>
          <w:highlight w:val="none"/>
        </w:rPr>
        <w:outlineLvl w:val="0"/>
      </w:pPr>
      <w:r>
        <w:rPr>
          <w:rFonts w:hint="eastAsia" w:ascii="宋体" w:hAnsi="宋体" w:cs="宋体"/>
          <w:b/>
          <w:bCs/>
          <w:color w:val="000000" w:themeColor="text1"/>
          <w:sz w:val="24"/>
          <w:szCs w:val="24"/>
          <w:highlight w:val="none"/>
        </w:rPr>
        <w:t xml:space="preserve">八、分包与转包</w:t>
      </w:r>
      <w:r/>
    </w:p>
    <w:p>
      <w:pPr>
        <w:ind w:firstLine="480"/>
        <w:spacing w:line="360" w:lineRule="auto"/>
        <w:rPr>
          <w:rFonts w:ascii="宋体" w:hAnsi="宋体" w:cs="宋体"/>
          <w:color w:val="000000" w:themeColor="text1"/>
          <w:sz w:val="24"/>
          <w:highlight w:val="none"/>
        </w:rPr>
        <w:outlineLvl w:val="0"/>
      </w:pPr>
      <w:r>
        <w:rPr>
          <w:rFonts w:hint="eastAsia" w:ascii="宋体" w:hAnsi="宋体" w:cs="宋体"/>
          <w:color w:val="000000" w:themeColor="text1"/>
          <w:sz w:val="24"/>
          <w:highlight w:val="none"/>
        </w:rPr>
        <w:t xml:space="preserve">（一）本合同项目不得转包与分包。</w:t>
      </w:r>
      <w:r/>
    </w:p>
    <w:p>
      <w:pPr>
        <w:ind w:firstLine="480"/>
        <w:spacing w:line="360" w:lineRule="auto"/>
        <w:rPr>
          <w:rFonts w:ascii="宋体" w:hAnsi="宋体" w:cs="宋体"/>
          <w:color w:val="000000" w:themeColor="text1"/>
          <w:sz w:val="24"/>
          <w:highlight w:val="none"/>
        </w:rPr>
        <w:outlineLvl w:val="0"/>
      </w:pPr>
      <w:r>
        <w:rPr>
          <w:rFonts w:hint="eastAsia" w:ascii="宋体" w:hAnsi="宋体" w:cs="宋体"/>
          <w:color w:val="000000" w:themeColor="text1"/>
          <w:sz w:val="24"/>
          <w:highlight w:val="none"/>
        </w:rPr>
        <w:t xml:space="preserve">（二）如乙方存在分包或转包行为，甲方有权解除合同，乙方须返还全部已支付价款，并向甲方支付合同总金额20%的违约金。</w:t>
      </w:r>
      <w:r/>
    </w:p>
    <w:p>
      <w:pPr>
        <w:pStyle w:val="898"/>
        <w:ind w:firstLine="480"/>
        <w:spacing w:line="360" w:lineRule="auto"/>
        <w:rPr>
          <w:color w:val="000000" w:themeColor="text1"/>
          <w:highlight w:val="none"/>
        </w:rPr>
      </w:pPr>
      <w:r>
        <w:rPr>
          <w:rFonts w:hint="eastAsia" w:cs="宋体"/>
          <w:color w:val="000000" w:themeColor="text1"/>
          <w:sz w:val="24"/>
          <w:highlight w:val="none"/>
        </w:rPr>
        <w:t xml:space="preserve">（三）因分包或转包导致甲方遭受损失的，乙方应赔偿甲方一切直接和间接损失。</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     九、标的物的检验（检测）和验收</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bookmarkStart w:id="41" w:name="OLE_LINK71"/>
      <w:r/>
      <w:bookmarkStart w:id="42" w:name="OLE_LINK72"/>
      <w:r/>
      <w:bookmarkStart w:id="43" w:name="OLE_LINK81"/>
      <w:r>
        <w:rPr>
          <w:rFonts w:hint="eastAsia" w:asciiTheme="minorEastAsia" w:hAnsiTheme="minorEastAsia" w:eastAsiaTheme="minorEastAsia" w:cstheme="minorEastAsia"/>
          <w:color w:val="000000" w:themeColor="text1"/>
          <w:sz w:val="24"/>
          <w:szCs w:val="24"/>
          <w:highlight w:val="none"/>
        </w:rPr>
        <w:t xml:space="preserve">（一）甲方应自本项目所有货物交付并完成安装、调试之日起15日内进行验收。特殊情况需延长的，由甲乙双方另行协商确定。</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二）全部货物到达指定地点后，甲乙双方一起按合同货物清单进行验收，并有权对相关功能进行测试，验收及测试内容包括货物的型号、规格、数量、外观质量等是否符合规定，包装是否完好，安装调试是否合格，操作手册、检测报告、相关证书、质保证明、随机资料及配件、随机工具等是否齐全。具体如下：</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1、包装是否完整，有无破损、污染、受潮等情况。包装损坏可能会影响器械的性能和安全性。</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（1）标签和说明书：标签和说明书应清晰完整，内容应符合法规要求，包含产品名称、规格型号、生产日期、有效期、生产厂家、使用方法、注意事项等信息。</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2、数量及规格型号核对：</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（1）数量准确性：按照采购合同或订单核对器械的数量是否准确无误，避免出现数量短缺或多送的情况。</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（2）规格型号一致性：确认所收到的器械规格型号与采购要求一致，包括尺寸、功能、参数等方面的要求。</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3、产品合格质量、产品注册文件及标识检查：</w:t>
      </w:r>
      <w:r/>
    </w:p>
    <w:p>
      <w:pPr>
        <w:ind w:firstLine="480"/>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中标产品具有法定资质的第三方检测机构的检测报告（检测产品包含心电图机和健康一体机中配有的全自动电子血压计；检测内容包括但不仅限于心电图机的标准灵敏度、附极化电压、连续漏电流、电介质强度等全性能、血压计的测量准确性等）。</w:t>
      </w:r>
      <w:r/>
    </w:p>
    <w:p>
      <w:pPr>
        <w:ind w:firstLine="480"/>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（2）中标产品具有不低于原厂品质的质保承诺函。</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（3）中标产品（健康一体机、心电图机、红外治疗仪、磁振热治疗仪和深层肌肉刺激仪）在相关药品监督管理部门有效期内的注册证明。</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（4）标识准确性：检查器械上的标识，如生产日期、有效期、批号以及UDI码等是否清晰准确和一致，以便于追溯和管理。</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（三）符合相关国家、行业规范标准、货物本身的规格、技术条件及乙方承诺的其他指标，结合采购文件、投标文件、合同等项目文件约定内容对项目进行验收。</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（四）</w:t>
      </w:r>
      <w:r>
        <w:rPr>
          <w:rFonts w:hint="eastAsia" w:ascii="宋体" w:hAnsi="宋体" w:cs="宋体"/>
          <w:color w:val="000000" w:themeColor="text1"/>
          <w:sz w:val="24"/>
          <w:szCs w:val="32"/>
          <w:highlight w:val="none"/>
        </w:rPr>
        <w:t xml:space="preserve">因采购的产品属于专业技术设备，甲方根据相关国家、行业规范标准、货物本身的规格、技术条件及乙方承诺的其他指标，结合采购文件、投标文件、合同等项目文件约定内容聘请至少3名第三方专家组成现场验收小组并对项目进行现场验收，经验收小组现</w:t>
      </w:r>
      <w:r>
        <w:rPr>
          <w:rFonts w:hint="eastAsia" w:ascii="宋体" w:hAnsi="宋体" w:cs="宋体"/>
          <w:color w:val="000000" w:themeColor="text1"/>
          <w:sz w:val="24"/>
          <w:szCs w:val="32"/>
          <w:highlight w:val="none"/>
        </w:rPr>
        <w:t xml:space="preserve">场验收合格确认无误后，出具验收合格意见，该证明视为验收通过且作为最终付款所需文件的组成部分，甲乙双方和专家组成员需共同签字确认。若第一次验收因不合格而退回重新生产或返工的第二批次货物，交货时间为甲方收到第一次货物交货之日起的30日内，逾期按交货延误予以处罚，所产生的费用由乙方承担。第二批次货物交货后，实际使用部门有权按上述要求和标准重新验收，所产生的费用由乙方承担。若再次验收不合格，实际使用方将上报甲方，甲方有权终止与中标单位本次合作，乙方应退还已支付的全部款项并向甲方支付合同总价款的20%作为违约赔偿金。</w:t>
      </w:r>
      <w:r>
        <w:rPr>
          <w:rFonts w:hint="eastAsia" w:asciiTheme="minorEastAsia" w:hAnsiTheme="minorEastAsia" w:eastAsiaTheme="minorEastAsia" w:cstheme="minorEastAsia"/>
          <w:color w:val="000000" w:themeColor="text1"/>
          <w:sz w:val="24"/>
          <w:szCs w:val="24"/>
          <w:highlight w:val="none"/>
        </w:rPr>
        <w:t xml:space="preserve">《政府采购合同履行验收书》</w:t>
      </w:r>
      <w:r>
        <w:rPr>
          <w:rFonts w:hint="eastAsia" w:ascii="宋体" w:hAnsi="宋体" w:cs="宋体"/>
          <w:color w:val="000000" w:themeColor="text1"/>
          <w:sz w:val="24"/>
          <w:szCs w:val="32"/>
          <w:highlight w:val="none"/>
        </w:rPr>
        <w:t xml:space="preserve">上的签收日期为最终验收合格日期</w:t>
      </w:r>
      <w:r>
        <w:rPr>
          <w:rFonts w:hint="eastAsia" w:asciiTheme="minorEastAsia" w:hAnsiTheme="minorEastAsia" w:eastAsiaTheme="minorEastAsia" w:cstheme="minorEastAsia"/>
          <w:color w:val="000000" w:themeColor="text1"/>
          <w:sz w:val="24"/>
          <w:szCs w:val="24"/>
          <w:highlight w:val="none"/>
        </w:rPr>
        <w:t xml:space="preserve">。</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五）由于甲方自身能力、检验（检测）方法和检验（检测）手段的限制，对于货物部分质量瑕疵尤其是潜在的或隐蔽的质量瑕疵，在短时间内可能无法发现。因此，验收单的签署仅作为货物质保期起算的依据，不代表甲方对质量异议权利的放弃，也不代表甲方对货物质量保证责任的免除。如验收通过后，货物出现质量问题影响甲方使用的，甲方仍有权要求乙方采取维修、退货换货、支付违约金、赔偿损失等方式处理。</w:t>
      </w:r>
      <w:bookmarkEnd w:id="41"/>
      <w:r/>
      <w:bookmarkEnd w:id="42"/>
      <w:r/>
      <w:bookmarkEnd w:id="43"/>
      <w:r/>
      <w:r/>
    </w:p>
    <w:p>
      <w:pPr>
        <w:pStyle w:val="969"/>
        <w:ind w:left="0" w:firstLine="482"/>
        <w:jc w:val="left"/>
        <w:spacing w:line="360" w:lineRule="auto"/>
        <w:rPr>
          <w:rFonts w:asciiTheme="minorEastAsia" w:hAnsiTheme="minorEastAsia" w:eastAsiaTheme="minorEastAsia" w:cstheme="minorEastAsia"/>
          <w:b/>
          <w:bCs/>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十、标的物提出异议的时间和办法</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一）甲方在验收过程中，应当于双方约定的验收期间内将货物的数量或质量不符合约定的情况及处理方式以书面形式通知乙方。若货物存在甲方无法检验（检测）的质量问题，则对该货物的检验（检测）不受验收期间的限制，但甲方应在发现质量问题后及时提出。</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二）如果甲方在验收期满后【10】日内既不出具验收合格证明又未提出书面异议的，乙方应当自验收期满后【7】日内对甲方进行催告，经乙方催告后甲方在【7】日内仍未出具验收合格证明或提出书面异议的，视为乙方所交付的货物符合本合同的规定。</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（三）甲方在验收过程中向乙方发出书面异议通知的，乙方应自收到甲方书面异议通知后24小时内将处理意见与办法书面答复甲方，并于3日内负责解决问题，否则将视为乙方默认甲方提出的异议和处理意见。</w:t>
      </w:r>
      <w:r/>
    </w:p>
    <w:p>
      <w:pPr>
        <w:ind w:firstLine="482"/>
        <w:spacing w:line="360" w:lineRule="auto"/>
        <w:rPr>
          <w:rFonts w:ascii="宋体" w:hAnsi="宋体" w:cs="宋体"/>
          <w:b/>
          <w:bCs/>
          <w:color w:val="000000" w:themeColor="text1"/>
          <w:sz w:val="24"/>
          <w:szCs w:val="24"/>
          <w:highlight w:val="none"/>
        </w:rPr>
      </w:pPr>
      <w:r>
        <w:rPr>
          <w:rFonts w:hint="eastAsia" w:ascii="宋体" w:hAnsi="宋体" w:cs="宋体"/>
          <w:b/>
          <w:bCs/>
          <w:color w:val="000000" w:themeColor="text1"/>
          <w:sz w:val="24"/>
          <w:szCs w:val="24"/>
          <w:highlight w:val="none"/>
        </w:rPr>
        <w:t xml:space="preserve">十一、保密条款</w:t>
      </w:r>
      <w:r/>
    </w:p>
    <w:p>
      <w:pPr>
        <w:ind w:firstLine="480"/>
        <w:spacing w:line="360" w:lineRule="auto"/>
        <w:rPr>
          <w:rFonts w:ascii="宋体" w:hAnsi="宋体" w:cs="宋体"/>
          <w:color w:val="000000" w:themeColor="text1"/>
          <w:sz w:val="24"/>
          <w:highlight w:val="none"/>
        </w:rPr>
      </w:pPr>
      <w:r>
        <w:rPr>
          <w:rFonts w:hint="eastAsia" w:ascii="宋体" w:hAnsi="宋体" w:cs="宋体"/>
          <w:color w:val="000000" w:themeColor="text1"/>
          <w:sz w:val="24"/>
          <w:szCs w:val="24"/>
          <w:highlight w:val="none"/>
        </w:rPr>
        <w:t xml:space="preserve">（一）乙方在本合同签订、履行过程中知悉的甲方一切资料和信息，包括但不限于有关本合同甲方的内部资料、业务信息、技术资料及本合同项下的服务价格、合作条件等书面或口头信息，乙方承诺严格遵守对上述信息的保密约定。乙方承诺对保密信息之使用仅限于本合同签订与履行的，未经甲方明确书面同意，乙方不得将保密信息用于</w:t>
      </w:r>
      <w:r>
        <w:rPr>
          <w:rFonts w:hint="eastAsia" w:ascii="宋体" w:hAnsi="宋体" w:cs="宋体"/>
          <w:color w:val="000000" w:themeColor="text1"/>
          <w:sz w:val="24"/>
          <w:szCs w:val="24"/>
          <w:highlight w:val="none"/>
          <w:lang w:eastAsia="zh-CN"/>
        </w:rPr>
        <w:t xml:space="preserve">其他</w:t>
      </w:r>
      <w:r>
        <w:rPr>
          <w:rFonts w:hint="eastAsia" w:ascii="宋体" w:hAnsi="宋体" w:cs="宋体"/>
          <w:color w:val="000000" w:themeColor="text1"/>
          <w:sz w:val="24"/>
          <w:szCs w:val="24"/>
          <w:highlight w:val="none"/>
        </w:rPr>
        <w:t xml:space="preserve">任何范围或场合，不得向任何第三方披露保密信息。</w:t>
      </w:r>
      <w:r/>
    </w:p>
    <w:p>
      <w:pPr>
        <w:ind w:firstLine="480"/>
        <w:spacing w:line="360" w:lineRule="auto"/>
        <w:rPr>
          <w:rFonts w:ascii="宋体" w:hAnsi="宋体" w:cs="宋体"/>
          <w:color w:val="000000" w:themeColor="text1"/>
          <w:sz w:val="24"/>
          <w:highlight w:val="none"/>
        </w:rPr>
      </w:pPr>
      <w:r>
        <w:rPr>
          <w:rFonts w:hint="eastAsia" w:ascii="宋体" w:hAnsi="宋体" w:cs="宋体"/>
          <w:color w:val="000000" w:themeColor="text1"/>
          <w:sz w:val="24"/>
          <w:szCs w:val="24"/>
          <w:highlight w:val="none"/>
        </w:rPr>
        <w:t xml:space="preserve">（二）本合同履行终止后，乙方应当归还由甲方向其披露的一切保密信息的原始资料及其相关副本或复制品（包括书面的或电子的），乙方返还保密信息资料后，应继续承担并履行其在本合同项下的其他义务。</w:t>
      </w:r>
      <w:r/>
    </w:p>
    <w:p>
      <w:pPr>
        <w:ind w:firstLine="480"/>
        <w:spacing w:line="360" w:lineRule="auto"/>
        <w:rPr>
          <w:rFonts w:ascii="宋体" w:hAnsi="宋体" w:cs="宋体"/>
          <w:color w:val="000000" w:themeColor="text1"/>
          <w:sz w:val="24"/>
          <w:highlight w:val="none"/>
        </w:rPr>
      </w:pPr>
      <w:r>
        <w:rPr>
          <w:rFonts w:hint="eastAsia" w:ascii="宋体" w:hAnsi="宋体" w:cs="宋体"/>
          <w:color w:val="000000" w:themeColor="text1"/>
          <w:sz w:val="24"/>
          <w:szCs w:val="24"/>
          <w:highlight w:val="none"/>
        </w:rPr>
        <w:t xml:space="preserve">（三）乙方应对项目实施的服务人员定岗定责。乙方服务人员、合作单位等凡是有机会接触到保密信息的主体，均负有前述保密义务，乙方应当采取充足措施保障前述主体履行保密义务，否则视为乙方违反保密义务。</w:t>
      </w:r>
      <w:r/>
    </w:p>
    <w:p>
      <w:pPr>
        <w:ind w:firstLine="480"/>
        <w:spacing w:line="360" w:lineRule="auto"/>
        <w:rPr>
          <w:rFonts w:ascii="宋体" w:hAnsi="宋体" w:cs="宋体"/>
          <w:color w:val="000000" w:themeColor="text1"/>
          <w:sz w:val="24"/>
          <w:highlight w:val="none"/>
        </w:rPr>
      </w:pPr>
      <w:r>
        <w:rPr>
          <w:rFonts w:hint="eastAsia" w:ascii="宋体" w:hAnsi="宋体" w:cs="宋体"/>
          <w:color w:val="000000" w:themeColor="text1"/>
          <w:sz w:val="24"/>
          <w:szCs w:val="24"/>
          <w:highlight w:val="none"/>
        </w:rPr>
        <w:t xml:space="preserve">（四）乙方对保密信息未经甲方许可进行披露（包括且不限于故意，过失或疏忽）或有其他违反保密义务的行为，甲方有权解除本合同，且乙方应当按本合同总金额</w:t>
      </w:r>
      <w:r>
        <w:rPr>
          <w:rFonts w:hint="eastAsia" w:ascii="宋体" w:hAnsi="宋体" w:cs="宋体"/>
          <w:color w:val="000000" w:themeColor="text1"/>
          <w:sz w:val="24"/>
          <w:highlight w:val="none"/>
        </w:rPr>
        <w:t xml:space="preserve">2</w:t>
      </w:r>
      <w:r>
        <w:rPr>
          <w:rFonts w:hint="eastAsia" w:ascii="宋体" w:hAnsi="宋体" w:cs="宋体"/>
          <w:color w:val="000000" w:themeColor="text1"/>
          <w:sz w:val="24"/>
          <w:szCs w:val="24"/>
          <w:highlight w:val="none"/>
        </w:rPr>
        <w:t xml:space="preserve">0%的标准向甲方支付泄密违约金，并向甲方及其关联主体赔偿因此受到的全部直接和间接损失。此外，甲方还有权寻求停止侵害的禁令或其他类似的法律救济。</w:t>
      </w:r>
      <w:r/>
    </w:p>
    <w:p>
      <w:pPr>
        <w:ind w:firstLine="480"/>
        <w:spacing w:line="360" w:lineRule="auto"/>
        <w:rPr>
          <w:rFonts w:ascii="宋体" w:hAnsi="宋体" w:cs="宋体"/>
          <w:color w:val="000000" w:themeColor="text1"/>
          <w:sz w:val="24"/>
          <w:highlight w:val="none"/>
        </w:rPr>
      </w:pPr>
      <w:r>
        <w:rPr>
          <w:rFonts w:hint="eastAsia" w:ascii="宋体" w:hAnsi="宋体" w:cs="宋体"/>
          <w:color w:val="000000" w:themeColor="text1"/>
          <w:sz w:val="24"/>
          <w:szCs w:val="24"/>
          <w:highlight w:val="none"/>
        </w:rPr>
        <w:t xml:space="preserve">（五）无论本合同是否变更、解除或终止，合同的保密条款不受其限制而继续有效，乙方都应继续承担保密条款约定的保密义务。保密义务的期限为永久。</w:t>
      </w:r>
      <w:r/>
    </w:p>
    <w:p>
      <w:pPr>
        <w:pStyle w:val="898"/>
        <w:spacing w:line="360" w:lineRule="auto"/>
        <w:rPr>
          <w:color w:val="000000" w:themeColor="text1"/>
          <w:highlight w:val="none"/>
        </w:rPr>
      </w:pPr>
      <w:r>
        <w:rPr>
          <w:rFonts w:hint="eastAsia" w:cs="宋体"/>
          <w:color w:val="000000" w:themeColor="text1"/>
          <w:sz w:val="24"/>
          <w:szCs w:val="24"/>
          <w:highlight w:val="none"/>
        </w:rPr>
        <w:t xml:space="preserve">（六）无论基于何种原因，在合同履行过程中或合同履行完成时，当甲方向乙方发出返还全部保密信息资料的媒体、复印件、影印件、摘要的书面通知后，乙方应在书面通知送达后的5日内全部返还。本合同履行完成后，乙方及其所属员工也不得再为任何目的使用上述保密信息。</w:t>
      </w:r>
      <w:r/>
    </w:p>
    <w:p>
      <w:pPr>
        <w:pStyle w:val="898"/>
        <w:spacing w:line="360" w:lineRule="auto"/>
        <w:rPr>
          <w:rFonts w:cs="宋体"/>
          <w:b/>
          <w:bCs/>
          <w:color w:val="000000" w:themeColor="text1"/>
          <w:sz w:val="24"/>
          <w:szCs w:val="24"/>
          <w:highlight w:val="none"/>
        </w:rPr>
      </w:pPr>
      <w:r>
        <w:rPr>
          <w:rFonts w:hint="eastAsia" w:cs="宋体"/>
          <w:b/>
          <w:bCs/>
          <w:color w:val="000000" w:themeColor="text1"/>
          <w:sz w:val="24"/>
          <w:szCs w:val="24"/>
          <w:highlight w:val="none"/>
        </w:rPr>
        <w:t xml:space="preserve"> 十二、售后服务</w:t>
      </w:r>
      <w:r/>
    </w:p>
    <w:p>
      <w:pPr>
        <w:pStyle w:val="898"/>
        <w:spacing w:line="360" w:lineRule="auto"/>
        <w:rPr>
          <w:rFonts w:cs="宋体"/>
          <w:color w:val="000000" w:themeColor="text1"/>
          <w:sz w:val="24"/>
          <w:szCs w:val="24"/>
          <w:highlight w:val="none"/>
        </w:rPr>
      </w:pPr>
      <w:r>
        <w:rPr>
          <w:rFonts w:hint="eastAsia" w:cs="宋体"/>
          <w:color w:val="000000" w:themeColor="text1"/>
          <w:sz w:val="24"/>
          <w:szCs w:val="24"/>
          <w:highlight w:val="none"/>
        </w:rPr>
        <w:t xml:space="preserve">（一）免费质保期内，乙方对于甲方提出的服务要求，应在【 】小时内响应并【 】小时内到达现场进行服务，【 】小时内修复故障；特殊情况经甲方书面同意后可延长故障修复时间1-3日。</w:t>
      </w:r>
      <w:r/>
    </w:p>
    <w:p>
      <w:pPr>
        <w:pStyle w:val="898"/>
        <w:spacing w:line="360" w:lineRule="auto"/>
        <w:rPr>
          <w:rFonts w:asciiTheme="minorEastAsia" w:hAnsiTheme="minorEastAsia" w:eastAsiaTheme="minorEastAsia" w:cstheme="minorEastAsia"/>
          <w:color w:val="000000" w:themeColor="text1"/>
          <w:sz w:val="24"/>
          <w:szCs w:val="24"/>
          <w:highlight w:val="none"/>
        </w:rPr>
      </w:pPr>
      <w:r>
        <w:rPr>
          <w:rFonts w:hint="eastAsia" w:cs="宋体"/>
          <w:color w:val="000000" w:themeColor="text1"/>
          <w:sz w:val="24"/>
          <w:szCs w:val="24"/>
          <w:highlight w:val="none"/>
        </w:rPr>
        <w:t xml:space="preserve">（二）乙方未能按前述约定提供售后服务的，甲方有权自行聘请第三方进行维修，因此产生的费用由乙方承担，甲方有权直接从未支付的费用中扣除。</w:t>
      </w:r>
      <w:r>
        <w:rPr>
          <w:rFonts w:hint="eastAsia" w:asciiTheme="minorEastAsia" w:hAnsiTheme="minorEastAsia" w:eastAsiaTheme="minorEastAsia" w:cstheme="minorEastAsia"/>
          <w:color w:val="000000" w:themeColor="text1"/>
          <w:sz w:val="24"/>
          <w:szCs w:val="24"/>
          <w:highlight w:val="none"/>
        </w:rPr>
        <w:t xml:space="preserve">同时，乙方应向甲方支付本合同总金额20%的违约金，并赔偿甲方因此产生的全部损失。</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（三）售后服务标准：</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1、乙方对甲方进行免费培训和技术支持，为本项目制定培训内容，培训内容包含但不限于培训人员设置、培训安排、培训周期等内容。</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2、培训次数：每年不少于1次。</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3、质保期内，乙方需对设备及硬件</w:t>
      </w:r>
      <w:r>
        <w:rPr>
          <w:rFonts w:hint="eastAsia" w:asciiTheme="minorEastAsia" w:hAnsiTheme="minorEastAsia" w:eastAsiaTheme="minorEastAsia" w:cstheme="minorEastAsia"/>
          <w:color w:val="000000" w:themeColor="text1"/>
          <w:sz w:val="24"/>
          <w:szCs w:val="24"/>
          <w:highlight w:val="none"/>
          <w:lang w:val="en-US" w:eastAsia="zh-CN"/>
        </w:rPr>
        <w:t xml:space="preserve">运</w:t>
      </w:r>
      <w:r>
        <w:rPr>
          <w:rFonts w:hint="eastAsia" w:asciiTheme="minorEastAsia" w:hAnsiTheme="minorEastAsia" w:eastAsiaTheme="minorEastAsia" w:cstheme="minorEastAsia"/>
          <w:color w:val="000000" w:themeColor="text1"/>
          <w:sz w:val="24"/>
          <w:szCs w:val="24"/>
          <w:highlight w:val="none"/>
        </w:rPr>
        <w:t xml:space="preserve">行情况进行现场人工巡检工作，每半年一次，需制定巡检记录表。</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4、质保期内提供备品备件服务。</w:t>
      </w:r>
      <w:r/>
    </w:p>
    <w:p>
      <w:pPr>
        <w:ind w:firstLine="480"/>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5、在承诺的免费质保期内“急救箱”中配备的产品若出现过期或临保情况的，乙方需配合甲方及时更换成新鲜日期的产品，质保日期须与承诺的免费质保期同步。</w:t>
      </w:r>
      <w:r/>
    </w:p>
    <w:p>
      <w:pPr>
        <w:ind w:firstLine="480"/>
        <w:spacing w:line="360" w:lineRule="auto"/>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十三、安全生产</w:t>
      </w:r>
      <w:r/>
    </w:p>
    <w:p>
      <w:pPr>
        <w:ind w:firstLine="480"/>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（一）在项目实施及质保期间，乙方应当配备必要的安全生产管理人员，负责项目实施期间人员安全教育和安全管理，如实施过程中存在人身安全风险的，乙方应当为实施人员购买必要的人身安全保险。</w:t>
      </w:r>
      <w:r>
        <w:rPr>
          <w:rFonts w:hint="eastAsia" w:asciiTheme="minorEastAsia" w:hAnsiTheme="minorEastAsia" w:eastAsiaTheme="minorEastAsia" w:cstheme="minorEastAsia"/>
          <w:color w:val="000000" w:themeColor="text1"/>
          <w:sz w:val="24"/>
          <w:szCs w:val="24"/>
          <w:highlight w:val="none"/>
        </w:rPr>
        <w:br/>
      </w:r>
      <w:r>
        <w:rPr>
          <w:rFonts w:hint="eastAsia" w:asciiTheme="minorEastAsia" w:hAnsiTheme="minorEastAsia" w:eastAsiaTheme="minorEastAsia" w:cstheme="minorEastAsia"/>
          <w:color w:val="000000" w:themeColor="text1"/>
          <w:sz w:val="24"/>
          <w:szCs w:val="24"/>
          <w:highlight w:val="none"/>
        </w:rPr>
        <w:t xml:space="preserve">    （二）所有作业人员均需按照国家法律法规之规定，取得对应上岗资格证书、作业许可证书、特种作业证书等相关资格证书，方可上岗作业。</w:t>
      </w:r>
      <w:r>
        <w:rPr>
          <w:rFonts w:hint="eastAsia" w:asciiTheme="minorEastAsia" w:hAnsiTheme="minorEastAsia" w:eastAsiaTheme="minorEastAsia" w:cstheme="minorEastAsia"/>
          <w:color w:val="000000" w:themeColor="text1"/>
          <w:sz w:val="24"/>
          <w:szCs w:val="24"/>
          <w:highlight w:val="none"/>
        </w:rPr>
        <w:br/>
      </w:r>
      <w:r>
        <w:rPr>
          <w:rFonts w:hint="eastAsia" w:asciiTheme="minorEastAsia" w:hAnsiTheme="minorEastAsia" w:eastAsiaTheme="minorEastAsia" w:cstheme="minorEastAsia"/>
          <w:color w:val="000000" w:themeColor="text1"/>
          <w:sz w:val="24"/>
          <w:szCs w:val="24"/>
          <w:highlight w:val="none"/>
        </w:rPr>
        <w:t xml:space="preserve">    （三）乙方应按照法律法规制定安全作业规范，在项目实施过程中，乙方一方发生的一切安全事故或给第三方造成的损害，由乙方自行承担责任，甲方不对乙方项目实施人员负任何安全责任；若给甲方造成损失和伤害的，乙方应承担相应责任，赔偿一切直接、间接损失。</w:t>
      </w:r>
      <w:r/>
    </w:p>
    <w:p>
      <w:pPr>
        <w:spacing w:line="360" w:lineRule="auto"/>
        <w:rPr>
          <w:rFonts w:asciiTheme="minorEastAsia" w:hAnsiTheme="minorEastAsia" w:eastAsiaTheme="minorEastAsia" w:cstheme="minorEastAsia"/>
          <w:b/>
          <w:bCs/>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    十四、违约责任</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合同一方不履行合同义务或者履行合同义务不符合约定的，应当承担继续履行、采取补救措施或赔偿损失等违约责任。</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（一）甲方违约责任</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1、本合同生效后，甲方无正当理由要求退货的，应向乙方支付本合同总金额20%的违约金，违约金不足以弥补损失的，乙方有权要求甲方补足。</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2、甲方逾期支付合同价款的，每逾期1日，应向乙方支付逾期付款金额万分之四的违约金，</w:t>
      </w:r>
      <w:bookmarkStart w:id="44" w:name="_Hlk27642747"/>
      <w:r>
        <w:rPr>
          <w:rFonts w:hint="eastAsia" w:asciiTheme="minorEastAsia" w:hAnsiTheme="minorEastAsia" w:eastAsiaTheme="minorEastAsia" w:cstheme="minorEastAsia"/>
          <w:color w:val="000000" w:themeColor="text1"/>
          <w:sz w:val="24"/>
          <w:szCs w:val="24"/>
          <w:highlight w:val="none"/>
        </w:rPr>
        <w:t xml:space="preserve">但甲方支付的该项违约金总额以逾期付款金额的5%为限</w:t>
      </w:r>
      <w:bookmarkEnd w:id="44"/>
      <w:r>
        <w:rPr>
          <w:rFonts w:hint="eastAsia" w:asciiTheme="minorEastAsia" w:hAnsiTheme="minorEastAsia" w:eastAsiaTheme="minorEastAsia" w:cstheme="minorEastAsia"/>
          <w:color w:val="000000" w:themeColor="text1"/>
          <w:sz w:val="24"/>
          <w:szCs w:val="24"/>
          <w:highlight w:val="none"/>
        </w:rPr>
        <w:t xml:space="preserve">。</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3、甲方违反本合同规定，无正当理由拒绝接收乙方交付的合格标的物的，应当承担因此给乙方造成的损失。</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（二）乙方违约责任</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1、乙方未能按本合同约定的期限交付质量符合本合同约定货物的，甲方有权按顺序采取以下措施：</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（1）每逾期一日，要求乙方按照本合同总金额的万分之四向甲方支付违约金，并在甲方指定期限内交付符合本合同约定的货物。</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（2）逾期超过30日，仍不能按质按量交付的，甲方有权直接解除本合同，同时乙方应当立即退回已收取的全部款项并向甲方支付本合同总金额【20】%的违约金。</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2、因乙方违约导致甲方解除合同的，甲方有权另行采购本合同约定的设备，乙方应当支付甲方因此额外支付的费用和受到的损失，包括但不限于： 采购费用以及因退货所产生的运输、存储费用，因乙方违约导致逾期交付的损失（损失参照合同约定的逾期交付违约金计算方式进行认定）等一切费用和损失。</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3、除本合同另有约定以外，若乙方违反本合同约定的，且经甲方催告后【7】日内仍未改正的或该违约情形无法改正的，甲方有权要求乙方立即向甲方支付本合同总金额【20】%的违约金，且甲方有权解除本合同，要求乙方立即退回本合同项下已收取的全部款项。</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4、乙方因履行本合同而需向甲方支付款项的（包括但不限于违约赔偿、退款等），甲方有权直接自未付款项中予以抵扣，不足部分甲方有权要求乙方补足。</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5、乙方逾期支付本合同约定的任何款项（包括但不限于违约赔偿、退款等）的，每逾期一日，乙方应</w:t>
      </w:r>
      <w:r>
        <w:rPr>
          <w:rFonts w:hint="eastAsia" w:asciiTheme="minorEastAsia" w:hAnsiTheme="minorEastAsia" w:eastAsiaTheme="minorEastAsia" w:cstheme="minorEastAsia"/>
          <w:color w:val="000000" w:themeColor="text1"/>
          <w:sz w:val="24"/>
          <w:szCs w:val="24"/>
          <w:highlight w:val="none"/>
          <w:lang w:eastAsia="zh-CN"/>
        </w:rPr>
        <w:t xml:space="preserve">当向</w:t>
      </w:r>
      <w:r>
        <w:rPr>
          <w:rFonts w:hint="eastAsia" w:asciiTheme="minorEastAsia" w:hAnsiTheme="minorEastAsia" w:eastAsiaTheme="minorEastAsia" w:cstheme="minorEastAsia"/>
          <w:color w:val="000000" w:themeColor="text1"/>
          <w:sz w:val="24"/>
          <w:szCs w:val="24"/>
          <w:highlight w:val="none"/>
        </w:rPr>
        <w:t xml:space="preserve">甲方支付逾期金额万分之四的违约金。</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6、本合同约定的乙方应付违约金不足以弥补甲方一切直接或间接损失的，乙方应当足额赔偿。</w:t>
      </w:r>
      <w:r/>
    </w:p>
    <w:p>
      <w:pPr>
        <w:ind w:firstLine="480"/>
        <w:spacing w:line="360" w:lineRule="auto"/>
        <w:rPr>
          <w:rFonts w:ascii="宋体" w:hAnsi="宋体" w:cs="宋体"/>
          <w:color w:val="000000" w:themeColor="text1"/>
          <w:sz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7、</w:t>
      </w:r>
      <w:r>
        <w:rPr>
          <w:rFonts w:hint="eastAsia" w:ascii="宋体" w:hAnsi="宋体" w:cs="宋体"/>
          <w:color w:val="000000" w:themeColor="text1"/>
          <w:sz w:val="24"/>
          <w:highlight w:val="none"/>
        </w:rPr>
        <w:t xml:space="preserve">乙方对招投标文件中承诺函所承诺的内容未按约定提供，甲方有权终止合同，且乙方需向甲方支付本合同总金额【20】%的违约金。</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8、乙方违反本合同第八条约定之情形的，除按相应条款承担违约责任外，甲方还有权依据本合同第十四条追究其违约责任。</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    十五、不可抗力</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（一）合同一方因不可抗力不能履行合同的，根据不可抗力的影响，部分或者全部免除责任。但合同一方延迟履行后发生不可抗力的，不能免除责任。</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（二）合同一方因不可抗力不能履行合同的，应当在不可抗力发生后3日内通知对方，以减轻可能给对方造成的损失，并应当</w:t>
      </w:r>
      <w:bookmarkStart w:id="45" w:name="_Hlk62832803"/>
      <w:r>
        <w:rPr>
          <w:rFonts w:hint="eastAsia" w:asciiTheme="minorEastAsia" w:hAnsiTheme="minorEastAsia" w:eastAsiaTheme="minorEastAsia" w:cstheme="minorEastAsia"/>
          <w:color w:val="000000" w:themeColor="text1"/>
          <w:sz w:val="24"/>
          <w:szCs w:val="24"/>
          <w:highlight w:val="none"/>
        </w:rPr>
        <w:t xml:space="preserve">在不可抗力通知发出后的7日</w:t>
      </w:r>
      <w:bookmarkEnd w:id="45"/>
      <w:r>
        <w:rPr>
          <w:rFonts w:hint="eastAsia" w:asciiTheme="minorEastAsia" w:hAnsiTheme="minorEastAsia" w:eastAsiaTheme="minorEastAsia" w:cstheme="minorEastAsia"/>
          <w:color w:val="000000" w:themeColor="text1"/>
          <w:sz w:val="24"/>
          <w:szCs w:val="24"/>
          <w:highlight w:val="none"/>
        </w:rPr>
        <w:t xml:space="preserve">内提供书面证明文件。</w:t>
      </w:r>
      <w:r/>
    </w:p>
    <w:p>
      <w:pPr>
        <w:ind w:firstLine="480"/>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（三）</w:t>
      </w:r>
      <w:bookmarkStart w:id="46" w:name="_Hlk62832818"/>
      <w:r>
        <w:rPr>
          <w:rFonts w:hint="eastAsia" w:asciiTheme="minorEastAsia" w:hAnsiTheme="minorEastAsia" w:eastAsiaTheme="minorEastAsia" w:cstheme="minorEastAsia"/>
          <w:color w:val="000000" w:themeColor="text1"/>
          <w:sz w:val="24"/>
          <w:szCs w:val="24"/>
          <w:highlight w:val="none"/>
        </w:rPr>
        <w:t xml:space="preserve">不可抗力事由消除后，合同继续履行或解除等相关事宜，由合同双方协商解决。</w:t>
      </w:r>
      <w:bookmarkEnd w:id="46"/>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     十六、索赔</w:t>
      </w:r>
      <w:r/>
    </w:p>
    <w:p>
      <w:pPr>
        <w:spacing w:line="360" w:lineRule="auto"/>
        <w:tabs>
          <w:tab w:val="left" w:pos="251" w:leader="none"/>
        </w:tabs>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（一）</w:t>
      </w:r>
      <w:bookmarkStart w:id="47" w:name="_Hlk62832834"/>
      <w:r>
        <w:rPr>
          <w:rFonts w:hint="eastAsia" w:asciiTheme="minorEastAsia" w:hAnsiTheme="minorEastAsia" w:eastAsiaTheme="minorEastAsia" w:cstheme="minorEastAsia"/>
          <w:color w:val="000000" w:themeColor="text1"/>
          <w:sz w:val="24"/>
          <w:szCs w:val="24"/>
          <w:highlight w:val="none"/>
        </w:rPr>
        <w:t xml:space="preserve">乙方交付的本合同货物的质量、数量、规格、性能等经检验（检测）、验收不合格的，</w:t>
      </w:r>
      <w:bookmarkEnd w:id="47"/>
      <w:r>
        <w:rPr>
          <w:rFonts w:hint="eastAsia" w:asciiTheme="minorEastAsia" w:hAnsiTheme="minorEastAsia" w:eastAsiaTheme="minorEastAsia" w:cstheme="minorEastAsia"/>
          <w:color w:val="000000" w:themeColor="text1"/>
          <w:sz w:val="24"/>
          <w:szCs w:val="24"/>
          <w:highlight w:val="none"/>
        </w:rPr>
        <w:t xml:space="preserve">甲方有权根据具有国家法定资质的第三方检验（检测）机构出具的检验（检测）结果、验收证书向乙方提出索赔。</w:t>
      </w:r>
      <w:r/>
    </w:p>
    <w:p>
      <w:pPr>
        <w:spacing w:line="360" w:lineRule="auto"/>
        <w:tabs>
          <w:tab w:val="left" w:pos="251" w:leader="none"/>
        </w:tabs>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（二）在本合同规定的检验（检测）期限和质量保证期内，如果乙方对甲方提出的索赔或异议有责任，则乙方应按甲方同意的下列一种或多种方式解决索赔事宜：</w:t>
      </w:r>
      <w:r/>
    </w:p>
    <w:p>
      <w:pPr>
        <w:spacing w:line="360" w:lineRule="auto"/>
        <w:tabs>
          <w:tab w:val="left" w:pos="251" w:leader="none"/>
        </w:tabs>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1、乙方同意退货，并按本合同规定的货币形式将货款退还给甲方，并且承担由此发生的一切直接、间接损失和费用，包括利息、银行手续费、运费、总包配合费、保险费、检验（检测）费、仓储费、装卸费以及为保护退回货物所需的其他必要费用。</w:t>
      </w:r>
      <w:r/>
    </w:p>
    <w:p>
      <w:pPr>
        <w:spacing w:line="360" w:lineRule="auto"/>
        <w:tabs>
          <w:tab w:val="left" w:pos="0" w:leader="none"/>
        </w:tabs>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2、根据货物的低劣程度、损坏程度以及甲方遭受损失的数额，经甲乙双方协商确定降低货物的价格。</w:t>
      </w:r>
      <w:r/>
    </w:p>
    <w:p>
      <w:pPr>
        <w:spacing w:line="360" w:lineRule="auto"/>
        <w:tabs>
          <w:tab w:val="left" w:pos="251" w:leader="none"/>
        </w:tabs>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3、</w:t>
      </w:r>
      <w:bookmarkStart w:id="48" w:name="_Hlk62832935"/>
      <w:r>
        <w:rPr>
          <w:rFonts w:hint="eastAsia" w:asciiTheme="minorEastAsia" w:hAnsiTheme="minorEastAsia" w:eastAsiaTheme="minorEastAsia" w:cstheme="minorEastAsia"/>
          <w:color w:val="000000" w:themeColor="text1"/>
          <w:sz w:val="24"/>
          <w:szCs w:val="24"/>
          <w:highlight w:val="none"/>
        </w:rPr>
        <w:t xml:space="preserve">乙方应在收到甲方书面索赔通知后7日内，</w:t>
      </w:r>
      <w:bookmarkEnd w:id="48"/>
      <w:r>
        <w:rPr>
          <w:rFonts w:hint="eastAsia" w:asciiTheme="minorEastAsia" w:hAnsiTheme="minorEastAsia" w:eastAsiaTheme="minorEastAsia" w:cstheme="minorEastAsia"/>
          <w:color w:val="000000" w:themeColor="text1"/>
          <w:sz w:val="24"/>
          <w:szCs w:val="24"/>
          <w:highlight w:val="none"/>
        </w:rPr>
        <w:t xml:space="preserve">负责采用符合规格、质量和性能要求的新零件、部件或货物来更换有缺陷的部分或修补缺陷部分或直接更换，乙方应承担由此产生的一切费用和风险，给甲方造成损失的，应赔偿甲方一切直接、间接损失。同时，乙方应按本合同规定，相应延长修补或被更换部件或货物的质量保证期。</w:t>
      </w:r>
      <w:r/>
    </w:p>
    <w:p>
      <w:pPr>
        <w:spacing w:line="360" w:lineRule="auto"/>
        <w:tabs>
          <w:tab w:val="left" w:pos="251" w:leader="none"/>
        </w:tabs>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三）如果在甲方发出书面索赔通知后7日内，乙方未能答复的，上述索赔应视为已被乙方接受。若乙方未在甲方提出书面索赔通知后7日内或甲方同意的延长期限内，按照本合同规定的任何一种方法解决索赔事宜的，甲方有权从未支付的款项或乙方提供的履约保证金（如有）中扣除索赔金额，如果此金额不足以弥补甲方损失的，甲方有权要求乙方补足。 </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b/>
          <w:bCs/>
          <w:color w:val="000000" w:themeColor="text1"/>
          <w:sz w:val="24"/>
          <w:szCs w:val="24"/>
          <w:highlight w:val="none"/>
        </w:rPr>
        <w:t xml:space="preserve">     十七、合同的解除和转让</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（一）除《</w:t>
      </w:r>
      <w:r>
        <w:rPr>
          <w:rFonts w:hint="eastAsia" w:asciiTheme="minorEastAsia" w:hAnsiTheme="minorEastAsia" w:eastAsiaTheme="minorEastAsia" w:cstheme="minorEastAsia"/>
          <w:color w:val="000000" w:themeColor="text1"/>
          <w:sz w:val="24"/>
          <w:szCs w:val="24"/>
          <w:highlight w:val="none"/>
          <w:lang w:eastAsia="zh-CN"/>
        </w:rPr>
        <w:t xml:space="preserve">中华人民共和国政府采购法</w:t>
      </w:r>
      <w:r>
        <w:rPr>
          <w:rFonts w:hint="eastAsia" w:asciiTheme="minorEastAsia" w:hAnsiTheme="minorEastAsia" w:eastAsiaTheme="minorEastAsia" w:cstheme="minorEastAsia"/>
          <w:color w:val="000000" w:themeColor="text1"/>
          <w:sz w:val="24"/>
          <w:szCs w:val="24"/>
          <w:highlight w:val="none"/>
        </w:rPr>
        <w:t xml:space="preserve">》第49条、第50条第二款规定的情形及本合同约定的情形外，本合同签订后，甲乙双方不得擅自变更、解除或终止本合同。</w:t>
      </w:r>
      <w:r/>
    </w:p>
    <w:p>
      <w:pPr>
        <w:spacing w:line="360" w:lineRule="auto"/>
        <w:rPr>
          <w:rFonts w:asciiTheme="minorEastAsia" w:hAnsiTheme="minorEastAsia" w:eastAsiaTheme="minorEastAsia" w:cstheme="minorEastAsia"/>
          <w:color w:val="000000" w:themeColor="text1"/>
          <w:sz w:val="24"/>
          <w:szCs w:val="24"/>
          <w:highlight w:val="none"/>
        </w:rPr>
        <w:outlineLvl w:val="0"/>
      </w:pPr>
      <w:r>
        <w:rPr>
          <w:rFonts w:hint="eastAsia" w:asciiTheme="minorEastAsia" w:hAnsiTheme="minorEastAsia" w:eastAsiaTheme="minorEastAsia" w:cstheme="minorEastAsia"/>
          <w:color w:val="000000" w:themeColor="text1"/>
          <w:sz w:val="24"/>
          <w:szCs w:val="24"/>
          <w:highlight w:val="none"/>
        </w:rPr>
        <w:t xml:space="preserve">    （二）有下列情形之一的，合同一方可以解除合同：</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    1、因不可抗力致使不能实现合同目的的，未受不可抗力影响的一方有权解除合同；</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2、因合同一方违约导致合同不能履行的，另一方有权解除合同；</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3、乙方存在违反本合同第八条之情形的，甲方有权解除合同。</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4、有权解除合同的一方，应当在违约事实或不可抗力发生后30日内书面通知对方解除本合同，本合同在书面通知到达对方时解除。</w:t>
      </w:r>
      <w:r/>
    </w:p>
    <w:p>
      <w:pPr>
        <w:spacing w:line="360" w:lineRule="auto"/>
        <w:rPr>
          <w:rFonts w:asciiTheme="minorEastAsia" w:hAnsiTheme="minorEastAsia" w:eastAsiaTheme="minorEastAsia" w:cstheme="minorEastAsia"/>
          <w:color w:val="000000" w:themeColor="text1"/>
          <w:sz w:val="24"/>
          <w:szCs w:val="24"/>
          <w:highlight w:val="none"/>
        </w:rPr>
      </w:pPr>
      <w:r/>
      <w:bookmarkStart w:id="49" w:name="_Toc13543222"/>
      <w:r>
        <w:rPr>
          <w:rFonts w:hint="eastAsia" w:asciiTheme="minorEastAsia" w:hAnsiTheme="minorEastAsia" w:eastAsiaTheme="minorEastAsia" w:cstheme="minorEastAsia"/>
          <w:b/>
          <w:bCs/>
          <w:color w:val="000000" w:themeColor="text1"/>
          <w:sz w:val="24"/>
          <w:szCs w:val="24"/>
          <w:highlight w:val="none"/>
        </w:rPr>
        <w:t xml:space="preserve"> 十八、合同的生效</w:t>
      </w:r>
      <w:bookmarkEnd w:id="49"/>
      <w:r/>
      <w:r/>
    </w:p>
    <w:p>
      <w:pPr>
        <w:ind w:firstLine="480"/>
        <w:spacing w:line="360" w:lineRule="auto"/>
        <w:rPr>
          <w:rFonts w:asciiTheme="minorEastAsia" w:hAnsiTheme="minorEastAsia" w:eastAsiaTheme="minorEastAsia" w:cstheme="minorEastAsia"/>
          <w:color w:val="000000" w:themeColor="text1"/>
          <w:sz w:val="24"/>
          <w:szCs w:val="24"/>
          <w:highlight w:val="none"/>
        </w:rPr>
      </w:pPr>
      <w:r/>
      <w:bookmarkStart w:id="50" w:name="_Toc13543223"/>
      <w:r>
        <w:rPr>
          <w:rFonts w:hint="eastAsia" w:asciiTheme="minorEastAsia" w:hAnsiTheme="minorEastAsia" w:eastAsiaTheme="minorEastAsia" w:cstheme="minorEastAsia"/>
          <w:color w:val="000000" w:themeColor="text1"/>
          <w:sz w:val="24"/>
          <w:szCs w:val="24"/>
          <w:highlight w:val="none"/>
          <w:lang w:val="zh-CN"/>
        </w:rPr>
        <w:t xml:space="preserve">本合同经甲乙双方法定代表人或授权代表人签字并加盖公章后即生效，</w:t>
      </w:r>
      <w:r>
        <w:rPr>
          <w:rFonts w:hint="eastAsia" w:asciiTheme="minorEastAsia" w:hAnsiTheme="minorEastAsia" w:eastAsiaTheme="minorEastAsia" w:cstheme="minorEastAsia"/>
          <w:color w:val="000000" w:themeColor="text1"/>
          <w:sz w:val="24"/>
          <w:szCs w:val="24"/>
          <w:highlight w:val="none"/>
        </w:rPr>
        <w:t xml:space="preserve">生效后须进行网上备案。</w:t>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    十九、争议解决</w:t>
      </w:r>
      <w:bookmarkEnd w:id="50"/>
      <w:r/>
      <w:r/>
    </w:p>
    <w:p>
      <w:pPr>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    甲乙双方因履行本合同或与本合同有关的一切事项发生争议的，应友好协商解决；协商不成的，任何一方均有权向甲方所在地人民法院起诉。</w:t>
      </w:r>
      <w:bookmarkStart w:id="51" w:name="_Hlk62833016"/>
      <w:r>
        <w:rPr>
          <w:rFonts w:hint="eastAsia" w:asciiTheme="minorEastAsia" w:hAnsiTheme="minorEastAsia" w:eastAsiaTheme="minorEastAsia" w:cstheme="minorEastAsia"/>
          <w:color w:val="000000" w:themeColor="text1"/>
          <w:sz w:val="24"/>
          <w:szCs w:val="24"/>
          <w:highlight w:val="none"/>
        </w:rPr>
        <w:t xml:space="preserve">因乙方违约或乙方追究甲方违约但不成立，导致甲方为处理此纠纷产生的费用由乙方承担，该费用包括但不限于诉讼费、保全费、鉴定费、执行费、律师费、差旅费等。</w:t>
      </w:r>
      <w:bookmarkEnd w:id="51"/>
      <w:r/>
      <w:bookmarkStart w:id="52" w:name="_Toc13543224"/>
      <w:r/>
      <w:bookmarkEnd w:id="52"/>
      <w:r/>
      <w:r/>
    </w:p>
    <w:p>
      <w:pPr>
        <w:ind w:left="481"/>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bCs/>
          <w:color w:val="000000" w:themeColor="text1"/>
          <w:sz w:val="24"/>
          <w:szCs w:val="24"/>
          <w:highlight w:val="none"/>
        </w:rPr>
        <w:t xml:space="preserve">二十、其他附则</w:t>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（一）合同份数：本合同一式【陆】份，甲方执【叁】份，乙方执【贰】份，采购代理机构执【壹】份，各份合同具有同等法律效力。</w:t>
      </w:r>
      <w:r/>
    </w:p>
    <w:p>
      <w:pPr>
        <w:ind w:firstLine="480"/>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（二）本合同未尽事宜应按《中华人民共和国民法典》《中华人民共和国政府采购法》</w:t>
      </w:r>
      <w:bookmarkStart w:id="53" w:name="_Hlk32483171"/>
      <w:r>
        <w:rPr>
          <w:rFonts w:hint="eastAsia" w:asciiTheme="minorEastAsia" w:hAnsiTheme="minorEastAsia" w:eastAsiaTheme="minorEastAsia" w:cstheme="minorEastAsia"/>
          <w:color w:val="000000" w:themeColor="text1"/>
          <w:sz w:val="24"/>
          <w:szCs w:val="24"/>
          <w:highlight w:val="none"/>
        </w:rPr>
        <w:t xml:space="preserve">以及</w:t>
      </w:r>
      <w:r>
        <w:rPr>
          <w:rFonts w:hint="eastAsia" w:asciiTheme="minorEastAsia" w:hAnsiTheme="minorEastAsia" w:eastAsiaTheme="minorEastAsia" w:cstheme="minorEastAsia"/>
          <w:color w:val="000000" w:themeColor="text1"/>
          <w:sz w:val="24"/>
          <w:szCs w:val="24"/>
          <w:highlight w:val="none"/>
          <w:lang w:eastAsia="zh-CN"/>
        </w:rPr>
        <w:t xml:space="preserve">其他</w:t>
      </w:r>
      <w:r>
        <w:rPr>
          <w:rFonts w:hint="eastAsia" w:asciiTheme="minorEastAsia" w:hAnsiTheme="minorEastAsia" w:eastAsiaTheme="minorEastAsia" w:cstheme="minorEastAsia"/>
          <w:color w:val="000000" w:themeColor="text1"/>
          <w:sz w:val="24"/>
          <w:szCs w:val="24"/>
          <w:highlight w:val="none"/>
        </w:rPr>
        <w:t xml:space="preserve">法律、法规</w:t>
      </w:r>
      <w:bookmarkEnd w:id="53"/>
      <w:r>
        <w:rPr>
          <w:rFonts w:hint="eastAsia" w:asciiTheme="minorEastAsia" w:hAnsiTheme="minorEastAsia" w:eastAsiaTheme="minorEastAsia" w:cstheme="minorEastAsia"/>
          <w:color w:val="000000" w:themeColor="text1"/>
          <w:sz w:val="24"/>
          <w:szCs w:val="24"/>
          <w:highlight w:val="none"/>
        </w:rPr>
        <w:t xml:space="preserve">之规定解释，</w:t>
      </w:r>
      <w:r>
        <w:rPr>
          <w:rFonts w:hint="eastAsia" w:asciiTheme="minorEastAsia" w:hAnsiTheme="minorEastAsia" w:eastAsiaTheme="minorEastAsia" w:cstheme="minorEastAsia"/>
          <w:bCs/>
          <w:color w:val="000000" w:themeColor="text1"/>
          <w:sz w:val="24"/>
          <w:szCs w:val="24"/>
          <w:highlight w:val="none"/>
        </w:rPr>
        <w:t xml:space="preserve">在执行过程中甲乙双方应在不违背本合同和采购文件的原则下协商解决，协商结果以书面形式盖章记录，作为本合同的附件，与本合同具有同等法律效力。</w:t>
      </w:r>
      <w:r/>
    </w:p>
    <w:p>
      <w:pPr>
        <w:ind w:firstLine="480"/>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（三）</w:t>
      </w:r>
      <w:bookmarkStart w:id="54" w:name="_Hlk62833081"/>
      <w:r>
        <w:rPr>
          <w:rFonts w:hint="eastAsia" w:asciiTheme="minorEastAsia" w:hAnsiTheme="minorEastAsia" w:eastAsiaTheme="minorEastAsia" w:cstheme="minorEastAsia"/>
          <w:bCs/>
          <w:color w:val="000000" w:themeColor="text1"/>
          <w:sz w:val="24"/>
          <w:szCs w:val="24"/>
          <w:highlight w:val="none"/>
        </w:rPr>
        <w:t xml:space="preserve">本合同首部所载明的双方地址为甲乙双方认可的相关文件、法律文书送达地址，任何一方如更换通信地址应于3日内书面通知另一方，未通知的自行承担送达不能等不利后果。</w:t>
      </w:r>
      <w:r/>
    </w:p>
    <w:p>
      <w:pPr>
        <w:ind w:firstLine="480"/>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四）甲方根据本合同约定有权解除合同的，解除合同的通知自送达本合同首部填写的乙方地址后生效；若乙方拒绝签收或显示查无此人而导致解除合同的通知未能被乙方实际签收的，解除合同的通知自退回之日视为送达。</w:t>
      </w:r>
      <w:r/>
    </w:p>
    <w:p>
      <w:pPr>
        <w:ind w:firstLine="480"/>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（以下无正文）</w:t>
      </w:r>
      <w:bookmarkEnd w:id="54"/>
      <w:r/>
      <w:r/>
    </w:p>
    <w:p>
      <w:pPr>
        <w:ind w:firstLine="480"/>
        <w:spacing w:line="360" w:lineRule="auto"/>
        <w:rPr>
          <w:rFonts w:asciiTheme="minorEastAsia" w:hAnsiTheme="minorEastAsia" w:eastAsiaTheme="minorEastAsia" w:cstheme="minorEastAsia"/>
          <w:color w:val="000000" w:themeColor="text1"/>
          <w:sz w:val="24"/>
          <w:szCs w:val="24"/>
          <w:highlight w:val="none"/>
        </w:rPr>
      </w:pPr>
      <w:r>
        <w:rPr>
          <w:rFonts w:asciiTheme="minorEastAsia" w:hAnsiTheme="minorEastAsia" w:eastAsiaTheme="minorEastAsia" w:cstheme="minorEastAsia"/>
          <w:color w:val="000000" w:themeColor="text1"/>
          <w:sz w:val="24"/>
          <w:szCs w:val="24"/>
          <w:highlight w:val="none"/>
        </w:rPr>
      </w:r>
      <w:r/>
    </w:p>
    <w:p>
      <w:pPr>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甲方（盖章）：苏州市公安局               乙方（盖章）：</w:t>
      </w:r>
      <w:r/>
    </w:p>
    <w:p>
      <w:pPr>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法定（授权）代表人（签字）：           法定（授权）代表人（签字）：</w:t>
      </w:r>
      <w:r/>
    </w:p>
    <w:p>
      <w:pPr>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日期：     年    月   日                 日期：    年    月   日</w:t>
      </w:r>
      <w:r/>
    </w:p>
    <w:p>
      <w:pPr>
        <w:ind w:firstLine="723"/>
        <w:spacing w:line="360" w:lineRule="auto"/>
        <w:rPr>
          <w:rFonts w:ascii="宋体" w:hAnsi="宋体" w:cs="宋体"/>
          <w:color w:val="000000" w:themeColor="text1"/>
          <w:sz w:val="24"/>
          <w:szCs w:val="24"/>
          <w:highlight w:val="none"/>
        </w:rPr>
      </w:pPr>
      <w:r>
        <w:rPr>
          <w:rFonts w:hint="eastAsia" w:ascii="宋体" w:hAnsi="宋体"/>
          <w:b/>
          <w:bCs/>
          <w:color w:val="000000" w:themeColor="text1"/>
          <w:sz w:val="36"/>
          <w:szCs w:val="36"/>
          <w:highlight w:val="none"/>
        </w:rPr>
        <w:br w:type="page" w:clear="all"/>
      </w:r>
      <w:r/>
    </w:p>
    <w:p>
      <w:pPr>
        <w:jc w:val="center"/>
        <w:spacing w:line="360" w:lineRule="auto"/>
        <w:rPr>
          <w:rFonts w:ascii="宋体" w:hAnsi="宋体" w:cs="宋体"/>
          <w:bCs/>
          <w:color w:val="000000" w:themeColor="text1"/>
          <w:sz w:val="44"/>
          <w:szCs w:val="32"/>
          <w:highlight w:val="none"/>
        </w:rPr>
        <w:outlineLvl w:val="0"/>
      </w:pPr>
      <w:r>
        <w:rPr>
          <w:rFonts w:hint="eastAsia" w:ascii="宋体" w:hAnsi="宋体" w:cs="宋体"/>
          <w:bCs/>
          <w:color w:val="000000" w:themeColor="text1"/>
          <w:sz w:val="44"/>
          <w:szCs w:val="32"/>
          <w:highlight w:val="none"/>
        </w:rPr>
        <w:t xml:space="preserve">第六章 评标方法、评分标准</w:t>
      </w:r>
      <w:r/>
    </w:p>
    <w:p>
      <w:pPr>
        <w:spacing w:line="360" w:lineRule="auto"/>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 xml:space="preserve">一、评标方法：</w:t>
      </w:r>
      <w:r/>
    </w:p>
    <w:p>
      <w:pPr>
        <w:pStyle w:val="1142"/>
        <w:spacing w:line="360" w:lineRule="auto"/>
        <w:rPr>
          <w:rFonts w:hAnsi="宋体" w:eastAsia="宋体" w:cs="宋体"/>
          <w:color w:val="000000" w:themeColor="text1"/>
          <w:sz w:val="24"/>
          <w:szCs w:val="24"/>
          <w:highlight w:val="none"/>
        </w:rPr>
      </w:pPr>
      <w:r>
        <w:rPr>
          <w:rFonts w:hint="eastAsia" w:hAnsi="宋体" w:eastAsia="宋体" w:cs="宋体"/>
          <w:color w:val="000000" w:themeColor="text1"/>
          <w:sz w:val="24"/>
          <w:szCs w:val="24"/>
          <w:highlight w:val="none"/>
        </w:rPr>
        <w:t xml:space="preserve">1、本次招标评标采用综合评分法，即投标文件满足招标文件全部实质性要求，且按照评审因素的量化指标评审得分最高的投标人为中标候选人。</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评标委员会各成员独立对每个进入打分程序的有效投标人的标书技术部分以打分的形式进行评审和评价。对评委的评分（除价格分外）进行统计汇总，直接算术平均计算得分（计算结果均四舍五入保留两位小数）。</w:t>
      </w:r>
      <w:r/>
    </w:p>
    <w:p>
      <w:pPr>
        <w:spacing w:line="360" w:lineRule="auto"/>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 xml:space="preserve">二、综合评分标准：</w:t>
      </w:r>
      <w:r/>
    </w:p>
    <w:p>
      <w:pPr>
        <w:pStyle w:val="1142"/>
        <w:spacing w:line="360" w:lineRule="auto"/>
        <w:rPr>
          <w:rFonts w:hAnsi="宋体" w:eastAsia="宋体"/>
          <w:b/>
          <w:color w:val="000000" w:themeColor="text1"/>
          <w:sz w:val="24"/>
          <w:szCs w:val="24"/>
          <w:highlight w:val="none"/>
        </w:rPr>
      </w:pPr>
      <w:r>
        <w:rPr>
          <w:rFonts w:hint="eastAsia" w:hAnsi="宋体" w:eastAsia="宋体"/>
          <w:b/>
          <w:color w:val="000000" w:themeColor="text1"/>
          <w:sz w:val="24"/>
          <w:szCs w:val="24"/>
          <w:highlight w:val="none"/>
        </w:rPr>
        <w:t xml:space="preserve">（一）价格基准分：50分</w:t>
      </w:r>
      <w:r/>
    </w:p>
    <w:p>
      <w:pPr>
        <w:pStyle w:val="1142"/>
        <w:ind w:firstLine="480"/>
        <w:spacing w:line="360" w:lineRule="auto"/>
        <w:rPr>
          <w:rFonts w:hAnsi="宋体" w:eastAsia="宋体"/>
          <w:color w:val="000000" w:themeColor="text1"/>
          <w:sz w:val="24"/>
          <w:szCs w:val="24"/>
          <w:highlight w:val="none"/>
        </w:rPr>
      </w:pPr>
      <w:r>
        <w:rPr>
          <w:rFonts w:hint="eastAsia" w:hAnsi="宋体" w:eastAsia="宋体"/>
          <w:color w:val="000000" w:themeColor="text1"/>
          <w:sz w:val="24"/>
          <w:szCs w:val="24"/>
          <w:highlight w:val="none"/>
        </w:rPr>
        <w:t xml:space="preserve">价格分采用低价优先法计算，即满足采购文件要求且投标价格最低的投标报价为评标基准价，其价格分为满分。</w:t>
      </w:r>
      <w:r/>
    </w:p>
    <w:p>
      <w:pPr>
        <w:pStyle w:val="1142"/>
        <w:ind w:firstLine="480"/>
        <w:spacing w:line="360" w:lineRule="auto"/>
        <w:rPr>
          <w:rFonts w:hAnsi="宋体" w:eastAsia="宋体"/>
          <w:color w:val="000000" w:themeColor="text1"/>
          <w:sz w:val="24"/>
          <w:szCs w:val="24"/>
          <w:highlight w:val="none"/>
        </w:rPr>
      </w:pPr>
      <w:r>
        <w:rPr>
          <w:rFonts w:hint="eastAsia" w:hAnsi="宋体" w:eastAsia="宋体"/>
          <w:color w:val="000000" w:themeColor="text1"/>
          <w:sz w:val="24"/>
          <w:szCs w:val="24"/>
          <w:highlight w:val="none"/>
        </w:rPr>
        <w:t xml:space="preserve">第一步：投标报价低于或等于财政预算价格的，为有效投标报价。超出此范围的投标报价为无效投标报价。无效投标报价的投标文件不进行评审，也不得标。</w:t>
      </w:r>
      <w:r/>
    </w:p>
    <w:p>
      <w:pPr>
        <w:pStyle w:val="1142"/>
        <w:ind w:firstLine="480"/>
        <w:spacing w:line="360" w:lineRule="auto"/>
        <w:rPr>
          <w:rFonts w:hAnsi="宋体" w:eastAsia="宋体"/>
          <w:color w:val="000000" w:themeColor="text1"/>
          <w:sz w:val="24"/>
          <w:szCs w:val="24"/>
          <w:highlight w:val="none"/>
        </w:rPr>
      </w:pPr>
      <w:r>
        <w:rPr>
          <w:rFonts w:hint="eastAsia" w:hAnsi="宋体" w:eastAsia="宋体"/>
          <w:color w:val="000000" w:themeColor="text1"/>
          <w:sz w:val="24"/>
          <w:szCs w:val="24"/>
          <w:highlight w:val="none"/>
        </w:rPr>
        <w:t xml:space="preserve">第二步：在所有有效投标报价中选择报价最低的确定为基准报价。</w:t>
      </w:r>
      <w:r/>
    </w:p>
    <w:p>
      <w:pPr>
        <w:pStyle w:val="1142"/>
        <w:ind w:firstLine="480"/>
        <w:spacing w:line="360" w:lineRule="auto"/>
        <w:rPr>
          <w:rFonts w:hAnsi="宋体" w:eastAsia="宋体"/>
          <w:color w:val="000000" w:themeColor="text1"/>
          <w:sz w:val="24"/>
          <w:szCs w:val="24"/>
          <w:highlight w:val="none"/>
        </w:rPr>
      </w:pPr>
      <w:r>
        <w:rPr>
          <w:rFonts w:hint="eastAsia" w:hAnsi="宋体" w:eastAsia="宋体"/>
          <w:color w:val="000000" w:themeColor="text1"/>
          <w:sz w:val="24"/>
          <w:szCs w:val="24"/>
          <w:highlight w:val="none"/>
        </w:rPr>
        <w:t xml:space="preserve">第三步：将所有有效报价与基准报价相比较：等于基准报价的得50分，其他投标人的价格分按照下列公式计算（计算结果四舍五入保留两位小数）：</w:t>
      </w:r>
      <w:r/>
    </w:p>
    <w:p>
      <w:pPr>
        <w:pStyle w:val="1156"/>
        <w:ind w:firstLine="480"/>
        <w:spacing w:line="360" w:lineRule="auto"/>
        <w:rPr>
          <w:rFonts w:hAnsi="宋体" w:eastAsia="宋体"/>
          <w:color w:val="000000" w:themeColor="text1"/>
          <w:sz w:val="24"/>
          <w:szCs w:val="24"/>
          <w:highlight w:val="none"/>
          <w:u w:val="single"/>
        </w:rPr>
      </w:pPr>
      <w:r>
        <w:rPr>
          <w:rFonts w:hint="eastAsia" w:hAnsi="宋体" w:eastAsia="宋体"/>
          <w:color w:val="000000" w:themeColor="text1"/>
          <w:sz w:val="24"/>
          <w:szCs w:val="24"/>
          <w:highlight w:val="none"/>
          <w:u w:val="single"/>
        </w:rPr>
        <w:t xml:space="preserve">投标报价得分＝（基准报价/投标报价）×50%×100</w:t>
      </w:r>
      <w:r/>
    </w:p>
    <w:p>
      <w:pPr>
        <w:jc w:val="left"/>
        <w:spacing w:line="360" w:lineRule="auto"/>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（二）技术参数（15分）</w:t>
      </w:r>
      <w:r/>
    </w:p>
    <w:p>
      <w:pPr>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技术参数中加“▲”项为重要指标，出现正偏离给予加分，具体如下：（本项最高得15分）</w:t>
      </w:r>
      <w:r/>
    </w:p>
    <w:p>
      <w:pPr>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1、心电图机耐极化电压：550mv＜耐极化电压≤600mv得1分；600mv＜耐极化电压≤620mv得2分；耐极化电压＞620mv得3分。</w:t>
      </w:r>
      <w:r/>
    </w:p>
    <w:p>
      <w:pPr>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2、心电图机采样率：1000Hz/通道＜采样率≤6000Hz/通道的得1分；6000Hz/通道＜采样率≤8000Hz/通道的得2分；采样率＞8000Hz/通道的得3分。</w:t>
      </w:r>
      <w:r/>
    </w:p>
    <w:p>
      <w:pPr>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3、心电图机12导联自动分析：200种＜分析结果≤240种的得1分；240种＜分析结果≤250种的得2分；分析结果＞250种的得3分。</w:t>
      </w:r>
      <w:r/>
    </w:p>
    <w:p>
      <w:pPr>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4、心电图机内置存储器：300件＜可存储≤400件得1分；400件＜可存储≤500件得2分；可存储＞500件得3分。</w:t>
      </w:r>
      <w:r/>
    </w:p>
    <w:p>
      <w:pPr>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 xml:space="preserve">5、心电图机屏幕尺寸：＞5.7英寸得1分；5.7英寸＜尺寸≤6.5英寸的得2分；6.5英寸＜尺寸≤7英寸得3分。</w:t>
      </w:r>
      <w:r/>
    </w:p>
    <w:p>
      <w:pPr>
        <w:jc w:val="left"/>
        <w:spacing w:line="360" w:lineRule="auto"/>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注：加“▲”项须在投标文件中提供以下任意一项证明材料（A.国家认可的第三方检测机构出具的合格检验报告书复印件并加盖投标单位公章；B.技术参数彩页复印件并加盖投标单位公章；C.产品说明书复印件并加盖投标单位公章）。未按要求提供、不提供证明材料的不得分。</w:t>
      </w:r>
      <w:r/>
    </w:p>
    <w:p>
      <w:pPr>
        <w:jc w:val="left"/>
        <w:spacing w:line="360" w:lineRule="auto"/>
        <w:rPr>
          <w:rFonts w:asciiTheme="minorEastAsia" w:hAnsiTheme="minorEastAsia" w:eastAsiaTheme="minorEastAsia" w:cstheme="minorEastAsia"/>
          <w:b/>
          <w:color w:val="000000" w:themeColor="text1"/>
          <w:sz w:val="24"/>
          <w:szCs w:val="24"/>
          <w:highlight w:val="none"/>
        </w:rPr>
      </w:pPr>
      <w:r/>
      <w:bookmarkStart w:id="55" w:name="OLE_LINK22"/>
      <w:r/>
      <w:bookmarkStart w:id="56" w:name="OLE_LINK15"/>
      <w:r>
        <w:rPr>
          <w:rFonts w:hint="eastAsia" w:asciiTheme="minorEastAsia" w:hAnsiTheme="minorEastAsia" w:eastAsiaTheme="minorEastAsia" w:cstheme="minorEastAsia"/>
          <w:b/>
          <w:color w:val="000000" w:themeColor="text1"/>
          <w:sz w:val="24"/>
          <w:szCs w:val="24"/>
          <w:highlight w:val="none"/>
        </w:rPr>
        <w:t xml:space="preserve">（三）服务实施方案（22分）</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1、项目实施方案：6分</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投标单位须针对本项目的理解与分析，制定合理的项目实施方案，需包含：</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（1）货物质量保证措施（需包含服务承诺和规范的管理制度等内容）；</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（2）安全送货保障方案（需包含货物的配送、安装与调试等内容）；</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（3）人员管理方案（需包含配备的相应的服务人员和相应的服务细则等内容）。</w:t>
      </w:r>
      <w:r/>
    </w:p>
    <w:p>
      <w:pPr>
        <w:jc w:val="left"/>
        <w:spacing w:line="360" w:lineRule="auto"/>
        <w:rPr>
          <w:rFonts w:asciiTheme="minorEastAsia" w:hAnsiTheme="minorEastAsia" w:eastAsiaTheme="minorEastAsia" w:cstheme="minorEastAsia"/>
          <w:bCs/>
          <w:color w:val="000000" w:themeColor="text1"/>
          <w:sz w:val="24"/>
          <w:szCs w:val="24"/>
          <w:highlight w:val="none"/>
        </w:rPr>
      </w:pPr>
      <w:r/>
      <w:bookmarkStart w:id="57" w:name="OLE_LINK263"/>
      <w:r/>
      <w:bookmarkStart w:id="58" w:name="OLE_LINK264"/>
      <w:r>
        <w:rPr>
          <w:rFonts w:hint="eastAsia" w:asciiTheme="minorEastAsia" w:hAnsiTheme="minorEastAsia" w:eastAsiaTheme="minorEastAsia" w:cstheme="minorEastAsia"/>
          <w:bCs/>
          <w:color w:val="000000" w:themeColor="text1"/>
          <w:sz w:val="24"/>
          <w:szCs w:val="24"/>
          <w:highlight w:val="none"/>
        </w:rPr>
        <w:t xml:space="preserve">上述每项应逐条叙述，内容完整，条理清晰，每项得2分；内容有欠缺，方案不够清晰的得1分；每项叙述内容与采购需求偏差较大或未作完整叙述的，不得分。</w:t>
      </w:r>
      <w:bookmarkEnd w:id="57"/>
      <w:r/>
      <w:bookmarkEnd w:id="58"/>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2、售后服务方案：6分</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投标单位须针对本项目的特点，制定完善的售后服务方案，需包含：</w:t>
      </w:r>
      <w:r/>
    </w:p>
    <w:p>
      <w:pPr>
        <w:jc w:val="left"/>
        <w:spacing w:line="360" w:lineRule="auto"/>
        <w:rPr>
          <w:rFonts w:asciiTheme="minorEastAsia" w:hAnsiTheme="minorEastAsia" w:eastAsiaTheme="minorEastAsia" w:cstheme="minorEastAsia"/>
          <w:bCs/>
          <w:color w:val="000000" w:themeColor="text1"/>
          <w:sz w:val="24"/>
          <w:highlight w:val="none"/>
        </w:rPr>
      </w:pPr>
      <w:r>
        <w:rPr>
          <w:rFonts w:hint="eastAsia" w:asciiTheme="minorEastAsia" w:hAnsiTheme="minorEastAsia" w:eastAsiaTheme="minorEastAsia" w:cstheme="minorEastAsia"/>
          <w:bCs/>
          <w:color w:val="000000" w:themeColor="text1"/>
          <w:sz w:val="24"/>
          <w:highlight w:val="none"/>
        </w:rPr>
        <w:t xml:space="preserve">（1）备品备件方案；</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（2）货物退换修及咨询（技术支持）方案；</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（3）定期巡检方案。</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上述每项应逐条叙述，内容完整，条理清晰，每项得2分；内容有欠缺，方案不够清晰的得1分；每项叙述内容与采购需求偏差较大或未作完整叙述的，不得分。</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3、培训方案：4分</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投标单位须针对本项目的特点，制定完善的培训方案，需包含：</w:t>
      </w:r>
      <w:r/>
    </w:p>
    <w:p>
      <w:pPr>
        <w:jc w:val="left"/>
        <w:spacing w:line="360" w:lineRule="auto"/>
        <w:rPr>
          <w:rFonts w:asciiTheme="minorEastAsia" w:hAnsiTheme="minorEastAsia" w:eastAsiaTheme="minorEastAsia" w:cstheme="minorEastAsia"/>
          <w:bCs/>
          <w:color w:val="000000" w:themeColor="text1"/>
          <w:sz w:val="24"/>
          <w:highlight w:val="none"/>
        </w:rPr>
      </w:pPr>
      <w:r>
        <w:rPr>
          <w:rFonts w:hint="eastAsia" w:asciiTheme="minorEastAsia" w:hAnsiTheme="minorEastAsia" w:eastAsiaTheme="minorEastAsia" w:cstheme="minorEastAsia"/>
          <w:bCs/>
          <w:color w:val="000000" w:themeColor="text1"/>
          <w:sz w:val="24"/>
          <w:highlight w:val="none"/>
        </w:rPr>
        <w:t xml:space="preserve">（1）</w:t>
      </w:r>
      <w:r>
        <w:rPr>
          <w:rFonts w:hint="eastAsia" w:asciiTheme="minorEastAsia" w:hAnsiTheme="minorEastAsia" w:eastAsiaTheme="minorEastAsia" w:cstheme="minorEastAsia"/>
          <w:bCs/>
          <w:color w:val="000000" w:themeColor="text1"/>
          <w:sz w:val="24"/>
          <w:szCs w:val="24"/>
          <w:highlight w:val="none"/>
        </w:rPr>
        <w:t xml:space="preserve">培训团队情况</w:t>
      </w:r>
      <w:r>
        <w:rPr>
          <w:rFonts w:hint="eastAsia" w:asciiTheme="minorEastAsia" w:hAnsiTheme="minorEastAsia" w:eastAsiaTheme="minorEastAsia" w:cstheme="minorEastAsia"/>
          <w:bCs/>
          <w:color w:val="000000" w:themeColor="text1"/>
          <w:sz w:val="24"/>
          <w:highlight w:val="none"/>
        </w:rPr>
        <w:t xml:space="preserve">；</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（2）培训内容及方法计划。</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上述每项应逐条叙述，内容完整，条理清晰，每项得2分；内容有欠缺，方案不够清晰的得1分；每项叙述内容与采购需求偏差较大或未作完整叙述的，不得分。</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4、应急保障方案：6分</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投标单位须针对本项目的特点，制定完善的应急保障方案，需包含：</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（1）故障特征假设及分析；</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（2）应急组织与职责；</w:t>
      </w:r>
      <w:r/>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（3）故障应急处置程序及故障报告流程。</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上述每项应逐条叙述，内容完整，条理清晰，每项得2分；内容有欠缺，方案不够清晰的得1分；每项叙述内容与采购需求偏差较大或未作完整叙述的，不得分。</w:t>
      </w:r>
      <w:r/>
    </w:p>
    <w:p>
      <w:pPr>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（四）</w:t>
      </w:r>
      <w:r>
        <w:rPr>
          <w:rFonts w:hint="eastAsia" w:asciiTheme="minorEastAsia" w:hAnsiTheme="minorEastAsia" w:eastAsiaTheme="minorEastAsia" w:cstheme="minorEastAsia"/>
          <w:b/>
          <w:color w:val="000000" w:themeColor="text1"/>
          <w:sz w:val="24"/>
          <w:szCs w:val="24"/>
          <w:highlight w:val="none"/>
          <w:lang w:val="zh-CN"/>
        </w:rPr>
        <w:t xml:space="preserve">项目免费质保期</w:t>
      </w:r>
      <w:r>
        <w:rPr>
          <w:rFonts w:hint="eastAsia" w:asciiTheme="minorEastAsia" w:hAnsiTheme="minorEastAsia" w:eastAsiaTheme="minorEastAsia" w:cstheme="minorEastAsia"/>
          <w:b/>
          <w:color w:val="000000" w:themeColor="text1"/>
          <w:sz w:val="24"/>
          <w:szCs w:val="24"/>
          <w:highlight w:val="none"/>
        </w:rPr>
        <w:t xml:space="preserve">及服务响应</w:t>
      </w:r>
      <w:r>
        <w:rPr>
          <w:rFonts w:hint="eastAsia" w:asciiTheme="minorEastAsia" w:hAnsiTheme="minorEastAsia" w:eastAsiaTheme="minorEastAsia" w:cstheme="minorEastAsia"/>
          <w:b/>
          <w:color w:val="000000" w:themeColor="text1"/>
          <w:sz w:val="24"/>
          <w:szCs w:val="24"/>
          <w:highlight w:val="none"/>
          <w:lang w:val="zh-CN"/>
        </w:rPr>
        <w:t xml:space="preserve">（</w:t>
      </w:r>
      <w:r>
        <w:rPr>
          <w:rFonts w:hint="eastAsia" w:asciiTheme="minorEastAsia" w:hAnsiTheme="minorEastAsia" w:eastAsiaTheme="minorEastAsia" w:cstheme="minorEastAsia"/>
          <w:b/>
          <w:color w:val="000000" w:themeColor="text1"/>
          <w:sz w:val="24"/>
          <w:szCs w:val="24"/>
          <w:highlight w:val="none"/>
        </w:rPr>
        <w:t xml:space="preserve">4</w:t>
      </w:r>
      <w:r>
        <w:rPr>
          <w:rFonts w:hint="eastAsia" w:asciiTheme="minorEastAsia" w:hAnsiTheme="minorEastAsia" w:eastAsiaTheme="minorEastAsia" w:cstheme="minorEastAsia"/>
          <w:b/>
          <w:color w:val="000000" w:themeColor="text1"/>
          <w:sz w:val="24"/>
          <w:szCs w:val="24"/>
          <w:highlight w:val="none"/>
          <w:lang w:val="zh-CN"/>
        </w:rPr>
        <w:t xml:space="preserve">分）</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1、免费质保期：2分</w:t>
      </w:r>
      <w:r/>
    </w:p>
    <w:p>
      <w:pPr>
        <w:jc w:val="left"/>
        <w:spacing w:line="360" w:lineRule="auto"/>
        <w:rPr>
          <w:color w:val="000000" w:themeColor="text1"/>
          <w:highlight w:val="none"/>
        </w:rPr>
      </w:pPr>
      <w:r>
        <w:rPr>
          <w:rFonts w:hint="eastAsia" w:ascii="宋体" w:hAnsi="宋体"/>
          <w:bCs/>
          <w:color w:val="000000" w:themeColor="text1"/>
          <w:sz w:val="24"/>
          <w:highlight w:val="none"/>
        </w:rPr>
        <w:t xml:space="preserve">投标单位承诺免费质量保证期为4年，得0.5分；</w:t>
      </w:r>
      <w:r/>
    </w:p>
    <w:p>
      <w:pPr>
        <w:jc w:val="left"/>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 xml:space="preserve">投标单位承诺免费质量保证期为5年，得1分；</w:t>
      </w:r>
      <w:r/>
    </w:p>
    <w:p>
      <w:pPr>
        <w:jc w:val="left"/>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 xml:space="preserve">投标单位承诺免费质量保证期为6年，得1.5分；</w:t>
      </w:r>
      <w:r/>
    </w:p>
    <w:p>
      <w:pPr>
        <w:jc w:val="left"/>
        <w:spacing w:line="360" w:lineRule="auto"/>
        <w:rPr>
          <w:rFonts w:ascii="宋体" w:hAnsi="宋体"/>
          <w:bCs/>
          <w:color w:val="000000" w:themeColor="text1"/>
          <w:sz w:val="24"/>
          <w:highlight w:val="none"/>
        </w:rPr>
      </w:pPr>
      <w:r>
        <w:rPr>
          <w:rFonts w:hint="eastAsia" w:ascii="宋体" w:hAnsi="宋体"/>
          <w:bCs/>
          <w:color w:val="000000" w:themeColor="text1"/>
          <w:sz w:val="24"/>
          <w:highlight w:val="none"/>
        </w:rPr>
        <w:t xml:space="preserve">投标单位承诺免费质量保证期为7年，得2分。</w:t>
      </w:r>
      <w:r/>
    </w:p>
    <w:p>
      <w:pPr>
        <w:jc w:val="left"/>
        <w:spacing w:line="360" w:lineRule="auto"/>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注：投标文件中须提供投标单位承诺函并加盖投标单位公章，不提供不得分。</w:t>
      </w:r>
      <w:r/>
    </w:p>
    <w:p>
      <w:pPr>
        <w:jc w:val="left"/>
        <w:spacing w:line="360" w:lineRule="auto"/>
        <w:rPr>
          <w:rFonts w:asciiTheme="minorEastAsia" w:hAnsiTheme="minorEastAsia" w:cstheme="minorEastAsia"/>
          <w:bCs/>
          <w:color w:val="000000" w:themeColor="text1"/>
          <w:sz w:val="24"/>
          <w:szCs w:val="24"/>
          <w:highlight w:val="none"/>
        </w:rPr>
      </w:pPr>
      <w:r>
        <w:rPr>
          <w:rFonts w:hint="eastAsia" w:asciiTheme="minorEastAsia" w:hAnsiTheme="minorEastAsia" w:cstheme="minorEastAsia"/>
          <w:bCs/>
          <w:color w:val="000000" w:themeColor="text1"/>
          <w:sz w:val="24"/>
          <w:szCs w:val="24"/>
          <w:highlight w:val="none"/>
        </w:rPr>
        <w:t xml:space="preserve">2、</w:t>
      </w:r>
      <w:r>
        <w:rPr>
          <w:rFonts w:hint="eastAsia" w:asciiTheme="minorEastAsia" w:hAnsiTheme="minorEastAsia"/>
          <w:bCs/>
          <w:color w:val="000000" w:themeColor="text1"/>
          <w:sz w:val="24"/>
          <w:szCs w:val="24"/>
          <w:highlight w:val="none"/>
        </w:rPr>
        <w:t xml:space="preserve">服务响应能力：2分</w:t>
      </w:r>
      <w:r/>
    </w:p>
    <w:p>
      <w:pPr>
        <w:pStyle w:val="1128"/>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如发生故障，投标单位承诺服务响应时间：</w:t>
      </w:r>
      <w:r/>
    </w:p>
    <w:p>
      <w:pPr>
        <w:pStyle w:val="1128"/>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（1）1.5小时＜响应时间＜2小时，且3小时＜到达现场时间＜4小时，得1分；</w:t>
      </w:r>
      <w:r/>
    </w:p>
    <w:p>
      <w:pPr>
        <w:pStyle w:val="1128"/>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 xml:space="preserve">（2）响应时间＜1小时，且到达现场时间＜2小时，得2分。</w:t>
      </w:r>
      <w:r/>
    </w:p>
    <w:p>
      <w:pPr>
        <w:pStyle w:val="1128"/>
        <w:rPr>
          <w:rFonts w:asciiTheme="minorEastAsia" w:hAnsiTheme="minorEastAsia" w:eastAsiaTheme="minorEastAsia"/>
          <w:color w:val="000000" w:themeColor="text1"/>
          <w:highlight w:val="none"/>
        </w:rPr>
      </w:pPr>
      <w:r>
        <w:rPr>
          <w:rFonts w:hint="eastAsia" w:asciiTheme="minorEastAsia" w:hAnsiTheme="minorEastAsia" w:eastAsiaTheme="minorEastAsia"/>
          <w:b/>
          <w:bCs/>
          <w:color w:val="000000" w:themeColor="text1"/>
          <w:highlight w:val="none"/>
        </w:rPr>
        <w:t xml:space="preserve">注：投标文件中须提供投标单位承诺函并加盖</w:t>
      </w:r>
      <w:r>
        <w:rPr>
          <w:rFonts w:hint="eastAsia" w:asciiTheme="minorEastAsia" w:hAnsiTheme="minorEastAsia" w:eastAsiaTheme="minorEastAsia" w:cstheme="minorEastAsia"/>
          <w:b/>
          <w:color w:val="000000" w:themeColor="text1"/>
          <w:highlight w:val="none"/>
        </w:rPr>
        <w:t xml:space="preserve">投标</w:t>
      </w:r>
      <w:r>
        <w:rPr>
          <w:rFonts w:hint="eastAsia" w:asciiTheme="minorEastAsia" w:hAnsiTheme="minorEastAsia" w:eastAsiaTheme="minorEastAsia"/>
          <w:b/>
          <w:bCs/>
          <w:color w:val="000000" w:themeColor="text1"/>
          <w:highlight w:val="none"/>
        </w:rPr>
        <w:t xml:space="preserve">单位公章，不提供不得分。</w:t>
      </w:r>
      <w:bookmarkEnd w:id="55"/>
      <w:r/>
      <w:bookmarkEnd w:id="56"/>
      <w:r/>
      <w:r/>
    </w:p>
    <w:p>
      <w:pPr>
        <w:jc w:val="left"/>
        <w:spacing w:line="360" w:lineRule="auto"/>
        <w:rPr>
          <w:rFonts w:asciiTheme="minorEastAsia" w:hAnsiTheme="minorEastAsia" w:eastAsiaTheme="minorEastAsia" w:cstheme="minorEastAsia"/>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（五）</w:t>
      </w:r>
      <w:r>
        <w:rPr>
          <w:rFonts w:hint="eastAsia" w:asciiTheme="minorEastAsia" w:hAnsiTheme="minorEastAsia" w:eastAsiaTheme="minorEastAsia" w:cstheme="minorEastAsia"/>
          <w:b/>
          <w:color w:val="000000" w:themeColor="text1"/>
          <w:sz w:val="24"/>
          <w:szCs w:val="24"/>
          <w:highlight w:val="none"/>
          <w:lang w:val="zh-CN"/>
        </w:rPr>
        <w:t xml:space="preserve">企业综合履约能力（</w:t>
      </w:r>
      <w:r>
        <w:rPr>
          <w:rFonts w:hint="eastAsia" w:asciiTheme="minorEastAsia" w:hAnsiTheme="minorEastAsia" w:eastAsiaTheme="minorEastAsia" w:cstheme="minorEastAsia"/>
          <w:b/>
          <w:color w:val="000000" w:themeColor="text1"/>
          <w:sz w:val="24"/>
          <w:szCs w:val="24"/>
          <w:highlight w:val="none"/>
        </w:rPr>
        <w:t xml:space="preserve">9</w:t>
      </w:r>
      <w:r>
        <w:rPr>
          <w:rFonts w:hint="eastAsia" w:asciiTheme="minorEastAsia" w:hAnsiTheme="minorEastAsia" w:eastAsiaTheme="minorEastAsia" w:cstheme="minorEastAsia"/>
          <w:b/>
          <w:color w:val="000000" w:themeColor="text1"/>
          <w:sz w:val="24"/>
          <w:szCs w:val="24"/>
          <w:highlight w:val="none"/>
          <w:lang w:val="zh-CN"/>
        </w:rPr>
        <w:t xml:space="preserve">分）</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1、投标单位或生产厂家具备有效期内的质量管理体系认证证书、环境管理体系认证证书、职业安全健康管理体系认证证书，每提供一个得1分，最高得3分。</w:t>
      </w:r>
      <w:r/>
    </w:p>
    <w:p>
      <w:pPr>
        <w:jc w:val="left"/>
        <w:spacing w:line="360" w:lineRule="auto"/>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注：投标文件中须提供以上证书复印件并加盖投标单位公章或国家认证认可监督管理委员会官方网站上的查询截图并加盖投标单位公章，未按要求提供、不提供证明材料的不得分。</w:t>
      </w:r>
      <w:r/>
    </w:p>
    <w:p>
      <w:pPr>
        <w:jc w:val="left"/>
        <w:spacing w:line="360" w:lineRule="auto"/>
        <w:rPr>
          <w:rFonts w:asciiTheme="minorEastAsia" w:hAnsiTheme="minorEastAsia" w:eastAsiaTheme="minorEastAsia" w:cstheme="minorEastAsia"/>
          <w:bCs/>
          <w:color w:val="000000" w:themeColor="text1"/>
          <w:sz w:val="24"/>
          <w:szCs w:val="24"/>
          <w:highlight w:val="none"/>
        </w:rPr>
      </w:pPr>
      <w:r>
        <w:rPr>
          <w:rFonts w:hint="eastAsia" w:asciiTheme="minorEastAsia" w:hAnsiTheme="minorEastAsia" w:eastAsiaTheme="minorEastAsia" w:cstheme="minorEastAsia"/>
          <w:bCs/>
          <w:color w:val="000000" w:themeColor="text1"/>
          <w:sz w:val="24"/>
          <w:szCs w:val="24"/>
          <w:highlight w:val="none"/>
        </w:rPr>
        <w:t xml:space="preserve">2、投标单位提供2022年1月1日（以合同签订日期为准）起至今签订的类似业绩合同（合同中须包含与本次采购活动产品功能相同或类似的产品，同一</w:t>
      </w:r>
      <w:r>
        <w:rPr>
          <w:rFonts w:hint="eastAsia" w:ascii="宋体" w:hAnsi="宋体" w:cs="宋体" w:eastAsiaTheme="minorEastAsia"/>
          <w:color w:val="000000" w:themeColor="text1"/>
          <w:sz w:val="24"/>
          <w:highlight w:val="none"/>
        </w:rPr>
        <w:t xml:space="preserve">采购方的</w:t>
      </w:r>
      <w:r>
        <w:rPr>
          <w:rFonts w:hint="eastAsia" w:ascii="宋体" w:hAnsi="宋体" w:cs="宋体"/>
          <w:color w:val="000000" w:themeColor="text1"/>
          <w:sz w:val="24"/>
          <w:highlight w:val="none"/>
        </w:rPr>
        <w:t xml:space="preserve">合同只计一次，不重复得分</w:t>
      </w:r>
      <w:r>
        <w:rPr>
          <w:rFonts w:hint="eastAsia" w:asciiTheme="minorEastAsia" w:hAnsiTheme="minorEastAsia" w:eastAsiaTheme="minorEastAsia" w:cstheme="minorEastAsia"/>
          <w:bCs/>
          <w:color w:val="000000" w:themeColor="text1"/>
          <w:sz w:val="24"/>
          <w:szCs w:val="24"/>
          <w:highlight w:val="none"/>
        </w:rPr>
        <w:t xml:space="preserve">），每一份有效合同得3分，本项最高得6分。</w:t>
      </w:r>
      <w:r/>
    </w:p>
    <w:p>
      <w:pPr>
        <w:jc w:val="left"/>
        <w:spacing w:line="360" w:lineRule="auto"/>
        <w:rPr>
          <w:rFonts w:asciiTheme="minorEastAsia" w:hAnsiTheme="minorEastAsia" w:eastAsiaTheme="minorEastAsia" w:cstheme="minorEastAsia"/>
          <w:b/>
          <w:color w:val="000000" w:themeColor="text1"/>
          <w:sz w:val="24"/>
          <w:szCs w:val="24"/>
          <w:highlight w:val="none"/>
        </w:rPr>
      </w:pPr>
      <w:r>
        <w:rPr>
          <w:rFonts w:hint="eastAsia" w:asciiTheme="minorEastAsia" w:hAnsiTheme="minorEastAsia" w:eastAsiaTheme="minorEastAsia" w:cstheme="minorEastAsia"/>
          <w:b/>
          <w:color w:val="000000" w:themeColor="text1"/>
          <w:sz w:val="24"/>
          <w:szCs w:val="24"/>
          <w:highlight w:val="none"/>
        </w:rPr>
        <w:t xml:space="preserve">注：投标文件中须提供有效合同复印件以及合同对应的任意一期发票复印件并加盖投标单位公章，不提供或提供不齐全相关证明的不得分。</w:t>
      </w:r>
      <w:r/>
    </w:p>
    <w:p>
      <w:pPr>
        <w:contextualSpacing/>
        <w:jc w:val="center"/>
        <w:spacing w:line="360" w:lineRule="auto"/>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 xml:space="preserve">（全文完）</w:t>
      </w:r>
      <w:r/>
    </w:p>
    <w:sectPr>
      <w:headerReference w:type="default" r:id="rId18"/>
      <w:headerReference w:type="even" r:id="rId19"/>
      <w:headerReference w:type="first" r:id="rId20"/>
      <w:footerReference w:type="default" r:id="rId24"/>
      <w:footnotePr/>
      <w:endnotePr/>
      <w:type w:val="nextPage"/>
      <w:pgSz w:w="11906" w:h="16838" w:orient="portrait"/>
      <w:pgMar w:top="1440" w:right="1803" w:bottom="1440" w:left="1803" w:header="851" w:footer="992"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alibri">
    <w:panose1 w:val="020F0502020204030204"/>
  </w:font>
  <w:font w:name="Courier New">
    <w:panose1 w:val="02070309020205020404"/>
  </w:font>
  <w:font w:name="华文中宋">
    <w:panose1 w:val="02010600040101010101"/>
  </w:font>
  <w:font w:name="仿宋_GB2312">
    <w:panose1 w:val="02010609060101010101"/>
  </w:font>
  <w:font w:name="黑体">
    <w:panose1 w:val="02010609060101010101"/>
  </w:font>
  <w:font w:name="楷体_GB2312">
    <w:panose1 w:val="02010609060101010101"/>
  </w:font>
  <w:font w:name="Microsoft YaHei UI">
    <w:panose1 w:val="020B0503020204020204"/>
  </w:font>
  <w:font w:name="Arial">
    <w:panose1 w:val="020B0604020202020204"/>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4"/>
      <w:tabs>
        <w:tab w:val="clear" w:pos="4153" w:leader="none"/>
        <w:tab w:val="left" w:pos="6702" w:leader="none"/>
      </w:tabs>
    </w:pPr>
    <w:r>
      <w:rPr>
        <w:rFonts w:hint="eastAsia"/>
      </w:rPr>
      <w:tab/>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4"/>
      <w:jc w:val="cente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46050"/>
              <wp:effectExtent l="0" t="0" r="0" b="0"/>
              <wp:wrapNone/>
              <wp:docPr id="2" name=""/>
              <wp:cNvGraphicFramePr/>
              <a:graphic xmlns:a="http://schemas.openxmlformats.org/drawingml/2006/main">
                <a:graphicData uri="http://schemas.microsoft.com/office/word/2010/wordprocessingShape">
                  <wps:wsp>
                    <wps:cNvPr id="0" name=""/>
                    <wps:cNvSpPr txBox="1"/>
                    <wps:spPr bwMode="auto">
                      <a:xfrm>
                        <a:off x="0" y="0"/>
                        <a:ext cx="64135" cy="146050"/>
                      </a:xfrm>
                      <a:prstGeom prst="rect">
                        <a:avLst/>
                      </a:prstGeom>
                      <a:noFill/>
                      <a:ln>
                        <a:noFill/>
                        <a:miter/>
                      </a:ln>
                    </wps:spPr>
                    <wps:txbx>
                      <w:txbxContent>
                        <w:p>
                          <w:pPr>
                            <w:pStyle w:val="911"/>
                          </w:pPr>
                          <w:r>
                            <w:fldChar w:fldCharType="begin"/>
                          </w:r>
                          <w:r>
                            <w:instrText xml:space="preserve"> PAGE  \* MERGEFORMAT </w:instrText>
                          </w:r>
                          <w:r>
                            <w:fldChar w:fldCharType="separate"/>
                          </w:r>
                          <w:r>
                            <w:t xml:space="preserve">1</w:t>
                          </w:r>
                          <w:r>
                            <w:fldChar w:fldCharType="end"/>
                          </w:r>
                          <w:r/>
                        </w:p>
                      </w:txbxContent>
                    </wps:txbx>
                    <wps:bodyPr wrap="none" lIns="0" tIns="0" rIns="0" bIns="0" upright="1">
                      <a:spAutoFit/>
                    </wps:bodyPr>
                  </wps:wsp>
                </a:graphicData>
              </a:graphic>
            </wp:anchor>
          </w:drawing>
        </mc:Choice>
        <mc:Fallback>
          <w:pict>
            <v:shape id="shape 1" o:spid="_x0000_s1" o:spt="202" type="#_x0000_t202" style="position:absolute;z-index:251659264;o:allowoverlap:true;o:allowincell:true;mso-position-horizontal-relative:margin;mso-position-horizontal:center;mso-position-vertical-relative:text;margin-top:0.0pt;mso-position-vertical:absolute;width:5.0pt;height:11.5pt;mso-wrap-distance-left:9.0pt;mso-wrap-distance-top:0.0pt;mso-wrap-distance-right:9.0pt;mso-wrap-distance-bottom:0.0pt;visibility:visible;" filled="f" stroked="f">
              <v:textbox inset="0,0,0,0">
                <w:txbxContent>
                  <w:p>
                    <w:pPr>
                      <w:pStyle w:val="911"/>
                    </w:pPr>
                    <w:r>
                      <w:fldChar w:fldCharType="begin"/>
                    </w:r>
                    <w:r>
                      <w:instrText xml:space="preserve"> PAGE  \* MERGEFORMAT </w:instrText>
                    </w:r>
                    <w:r>
                      <w:fldChar w:fldCharType="separate"/>
                    </w:r>
                    <w:r>
                      <w:t xml:space="preserve">1</w:t>
                    </w:r>
                    <w:r>
                      <w:fldChar w:fldCharType="end"/>
                    </w: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4"/>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6545" cy="146050"/>
              <wp:effectExtent l="0" t="0" r="0" b="0"/>
              <wp:wrapNone/>
              <wp:docPr id="3" name=""/>
              <wp:cNvGraphicFramePr/>
              <a:graphic xmlns:a="http://schemas.openxmlformats.org/drawingml/2006/main">
                <a:graphicData uri="http://schemas.microsoft.com/office/word/2010/wordprocessingShape">
                  <wps:wsp>
                    <wps:cNvPr id="0" name=""/>
                    <wps:cNvSpPr txBox="1"/>
                    <wps:spPr bwMode="auto">
                      <a:xfrm>
                        <a:off x="0" y="0"/>
                        <a:ext cx="296545" cy="146050"/>
                      </a:xfrm>
                      <a:prstGeom prst="rect">
                        <a:avLst/>
                      </a:prstGeom>
                      <a:noFill/>
                      <a:ln>
                        <a:noFill/>
                        <a:miter/>
                      </a:ln>
                    </wps:spPr>
                    <wps:txbx>
                      <w:txbxContent>
                        <w:p>
                          <w:pPr>
                            <w:pStyle w:val="911"/>
                          </w:pPr>
                          <w:r>
                            <w:fldChar w:fldCharType="begin"/>
                          </w:r>
                          <w:r>
                            <w:instrText xml:space="preserve"> PAGE  \* MERGEFORMAT </w:instrText>
                          </w:r>
                          <w:r>
                            <w:fldChar w:fldCharType="separate"/>
                          </w:r>
                          <w:r>
                            <w:t xml:space="preserve">23</w:t>
                          </w:r>
                          <w:r>
                            <w:fldChar w:fldCharType="end"/>
                          </w:r>
                          <w:r/>
                        </w:p>
                      </w:txbxContent>
                    </wps:txbx>
                    <wps:bodyPr wrap="square" lIns="0" tIns="0" rIns="0" bIns="0" upright="1"/>
                  </wps:wsp>
                </a:graphicData>
              </a:graphic>
            </wp:anchor>
          </w:drawing>
        </mc:Choice>
        <mc:Fallback>
          <w:pict>
            <v:shape id="shape 2" o:spid="_x0000_s2" o:spt="202" type="#_x0000_t202" style="position:absolute;z-index:251660288;o:allowoverlap:true;o:allowincell:true;mso-position-horizontal-relative:margin;mso-position-horizontal:center;mso-position-vertical-relative:text;margin-top:0.0pt;mso-position-vertical:absolute;width:23.3pt;height:11.5pt;mso-wrap-distance-left:9.0pt;mso-wrap-distance-top:0.0pt;mso-wrap-distance-right:9.0pt;mso-wrap-distance-bottom:0.0pt;visibility:visible;" filled="f" stroked="f">
              <v:textbox inset="0,0,0,0">
                <w:txbxContent>
                  <w:p>
                    <w:pPr>
                      <w:pStyle w:val="911"/>
                    </w:pPr>
                    <w:r>
                      <w:fldChar w:fldCharType="begin"/>
                    </w:r>
                    <w:r>
                      <w:instrText xml:space="preserve"> PAGE  \* MERGEFORMAT </w:instrText>
                    </w:r>
                    <w:r>
                      <w:fldChar w:fldCharType="separate"/>
                    </w:r>
                    <w:r>
                      <w:t xml:space="preserve">23</w:t>
                    </w:r>
                    <w:r>
                      <w:fldChar w:fldCharType="end"/>
                    </w:r>
                    <w:r/>
                  </w:p>
                </w:txbxContent>
              </v:textbox>
            </v:shape>
          </w:pict>
        </mc:Fallback>
      </mc:AlternateContent>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4"/>
    </w:pP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3840" cy="146050"/>
              <wp:effectExtent l="0" t="0" r="0" b="0"/>
              <wp:wrapNone/>
              <wp:docPr id="4" name=""/>
              <wp:cNvGraphicFramePr/>
              <a:graphic xmlns:a="http://schemas.openxmlformats.org/drawingml/2006/main">
                <a:graphicData uri="http://schemas.microsoft.com/office/word/2010/wordprocessingShape">
                  <wps:wsp>
                    <wps:cNvPr id="0" name=""/>
                    <wps:cNvSpPr txBox="1"/>
                    <wps:spPr bwMode="auto">
                      <a:xfrm>
                        <a:off x="0" y="0"/>
                        <a:ext cx="243840" cy="146050"/>
                      </a:xfrm>
                      <a:prstGeom prst="rect">
                        <a:avLst/>
                      </a:prstGeom>
                      <a:noFill/>
                      <a:ln>
                        <a:noFill/>
                        <a:miter/>
                      </a:ln>
                    </wps:spPr>
                    <wps:txbx>
                      <w:txbxContent>
                        <w:p>
                          <w:pPr>
                            <w:pStyle w:val="911"/>
                          </w:pPr>
                          <w:r>
                            <w:fldChar w:fldCharType="begin"/>
                          </w:r>
                          <w:r>
                            <w:instrText xml:space="preserve"> PAGE  \* MERGEFORMAT </w:instrText>
                          </w:r>
                          <w:r>
                            <w:fldChar w:fldCharType="separate"/>
                          </w:r>
                          <w:r>
                            <w:t xml:space="preserve">39</w:t>
                          </w:r>
                          <w:r>
                            <w:fldChar w:fldCharType="end"/>
                          </w:r>
                          <w:r/>
                        </w:p>
                      </w:txbxContent>
                    </wps:txbx>
                    <wps:bodyPr wrap="square" lIns="0" tIns="0" rIns="0" bIns="0" upright="1"/>
                  </wps:wsp>
                </a:graphicData>
              </a:graphic>
            </wp:anchor>
          </w:drawing>
        </mc:Choice>
        <mc:Fallback>
          <w:pict>
            <v:shape id="shape 3" o:spid="_x0000_s3" o:spt="202" type="#_x0000_t202" style="position:absolute;z-index:251661312;o:allowoverlap:true;o:allowincell:true;mso-position-horizontal-relative:margin;mso-position-horizontal:center;mso-position-vertical-relative:text;margin-top:0.0pt;mso-position-vertical:absolute;width:19.2pt;height:11.5pt;mso-wrap-distance-left:9.0pt;mso-wrap-distance-top:0.0pt;mso-wrap-distance-right:9.0pt;mso-wrap-distance-bottom:0.0pt;visibility:visible;" filled="f" stroked="f">
              <v:textbox inset="0,0,0,0">
                <w:txbxContent>
                  <w:p>
                    <w:pPr>
                      <w:pStyle w:val="911"/>
                    </w:pPr>
                    <w:r>
                      <w:fldChar w:fldCharType="begin"/>
                    </w:r>
                    <w:r>
                      <w:instrText xml:space="preserve"> PAGE  \* MERGEFORMAT </w:instrText>
                    </w:r>
                    <w:r>
                      <w:fldChar w:fldCharType="separate"/>
                    </w:r>
                    <w:r>
                      <w:t xml:space="preserve">39</w:t>
                    </w:r>
                    <w: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3"/>
      <w:jc w:val="both"/>
    </w:pPr>
    <w:r>
      <w:rPr>
        <w:rFonts w:hint="eastAsia" w:ascii="宋体" w:hAnsi="宋体" w:cs="宋体"/>
        <w:b/>
        <w:bCs/>
        <w:sz w:val="24"/>
        <w:szCs w:val="24"/>
      </w:rPr>
      <w:t xml:space="preserve">政府采购文件</w:t>
    </w:r>
    <w:r>
      <w:rPr>
        <w:rFonts w:hint="eastAsia" w:ascii="宋体" w:hAnsi="宋体" w:cs="宋体"/>
        <w:b/>
        <w:bCs/>
        <w:sz w:val="24"/>
        <w:szCs w:val="24"/>
        <w:lang w:val="en-US" w:eastAsia="zh-CN"/>
      </w:rPr>
      <w:t xml:space="preserve">                                      </w:t>
    </w:r>
    <w:r>
      <w:rPr>
        <w:rFonts w:ascii="华文中宋" w:hAnsi="华文中宋" w:eastAsia="华文中宋"/>
        <w:b/>
        <w:sz w:val="24"/>
        <w:szCs w:val="24"/>
      </w:rPr>
      <mc:AlternateContent>
        <mc:Choice Requires="wpg">
          <w:drawing>
            <wp:inline xmlns:wp="http://schemas.openxmlformats.org/drawingml/2006/wordprocessingDrawing" distT="0" distB="0" distL="0" distR="0">
              <wp:extent cx="1513205" cy="282575"/>
              <wp:effectExtent l="0" t="0" r="10795" b="317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r/>
                    </pic:nvPicPr>
                    <pic:blipFill>
                      <a:blip r:embed="rId1"/>
                      <a:stretch/>
                    </pic:blipFill>
                    <pic:spPr bwMode="auto">
                      <a:xfrm>
                        <a:off x="0" y="0"/>
                        <a:ext cx="1513281" cy="28266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9.1pt;height:22.2pt;mso-wrap-distance-left:0.0pt;mso-wrap-distance-top:0.0pt;mso-wrap-distance-right:0.0pt;mso-wrap-distance-bottom:0.0pt;" stroked="f">
              <v:path textboxrect="0,0,0,0"/>
              <v:imagedata r:id="rId1" o:title=""/>
            </v:shape>
          </w:pict>
        </mc:Fallback>
      </mc:AlternateContent>
    </w: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5"/>
      <w:numFmt w:val="decimal"/>
      <w:isLgl w:val="false"/>
      <w:suff w:val="nothing"/>
      <w:lvlText w:val="%1、"/>
      <w:lvlJc w:val="left"/>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pStyle w:val="902"/>
      <w:isLgl w:val="false"/>
      <w:suff w:val="tab"/>
      <w:lvlText w:val=""/>
      <w:lvlJc w:val="left"/>
      <w:pPr>
        <w:ind w:left="360" w:hanging="360"/>
        <w:tabs>
          <w:tab w:val="left"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4"/>
      <w:numFmt w:val="chineseCounting"/>
      <w:isLgl w:val="false"/>
      <w:suff w:val="nothing"/>
      <w:lvlText w:val="%1、"/>
      <w:lvlJc w:val="left"/>
      <w:pPr/>
      <w:rPr>
        <w:rFonts w:hint="eastAsi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85">
    <w:name w:val="TOC Heading"/>
    <w:uiPriority w:val="39"/>
    <w:unhideWhenUsed/>
  </w:style>
  <w:style w:type="paragraph" w:styleId="886" w:default="1">
    <w:name w:val="Normal"/>
    <w:next w:val="898"/>
    <w:uiPriority w:val="0"/>
    <w:qFormat/>
    <w:pPr>
      <w:jc w:val="both"/>
      <w:widowControl w:val="off"/>
    </w:pPr>
    <w:rPr>
      <w:rFonts w:ascii="Times New Roman" w:hAnsi="Times New Roman" w:eastAsia="宋体" w:cs="Times New Roman"/>
      <w:sz w:val="21"/>
      <w:szCs w:val="22"/>
      <w:lang w:val="en-US" w:eastAsia="zh-CN" w:bidi="ar-SA"/>
    </w:rPr>
  </w:style>
  <w:style w:type="paragraph" w:styleId="887">
    <w:name w:val="Heading 1"/>
    <w:basedOn w:val="886"/>
    <w:next w:val="886"/>
    <w:link w:val="972"/>
    <w:uiPriority w:val="9"/>
    <w:qFormat/>
    <w:pPr>
      <w:keepLines/>
      <w:keepNext/>
      <w:spacing w:before="480" w:after="200"/>
      <w:outlineLvl w:val="0"/>
    </w:pPr>
    <w:rPr>
      <w:rFonts w:ascii="Arial" w:hAnsi="Arial" w:eastAsia="Arial" w:cs="Arial"/>
      <w:sz w:val="40"/>
      <w:szCs w:val="40"/>
    </w:rPr>
  </w:style>
  <w:style w:type="paragraph" w:styleId="888">
    <w:name w:val="Heading 2"/>
    <w:basedOn w:val="886"/>
    <w:next w:val="886"/>
    <w:link w:val="973"/>
    <w:uiPriority w:val="9"/>
    <w:unhideWhenUsed/>
    <w:qFormat/>
    <w:pPr>
      <w:keepLines/>
      <w:keepNext/>
      <w:spacing w:before="360" w:after="200"/>
      <w:outlineLvl w:val="1"/>
    </w:pPr>
    <w:rPr>
      <w:rFonts w:ascii="Arial" w:hAnsi="Arial" w:eastAsia="Arial" w:cs="Arial"/>
      <w:sz w:val="34"/>
    </w:rPr>
  </w:style>
  <w:style w:type="paragraph" w:styleId="889">
    <w:name w:val="Heading 3"/>
    <w:basedOn w:val="886"/>
    <w:next w:val="886"/>
    <w:link w:val="974"/>
    <w:uiPriority w:val="9"/>
    <w:unhideWhenUsed/>
    <w:qFormat/>
    <w:pPr>
      <w:keepLines/>
      <w:keepNext/>
      <w:spacing w:before="320" w:after="200"/>
      <w:outlineLvl w:val="2"/>
    </w:pPr>
    <w:rPr>
      <w:rFonts w:ascii="Arial" w:hAnsi="Arial" w:eastAsia="Arial" w:cs="Arial"/>
      <w:sz w:val="30"/>
      <w:szCs w:val="30"/>
    </w:rPr>
  </w:style>
  <w:style w:type="paragraph" w:styleId="890">
    <w:name w:val="Heading 4"/>
    <w:basedOn w:val="886"/>
    <w:next w:val="886"/>
    <w:link w:val="975"/>
    <w:uiPriority w:val="9"/>
    <w:unhideWhenUsed/>
    <w:qFormat/>
    <w:pPr>
      <w:keepLines/>
      <w:keepNext/>
      <w:spacing w:before="320" w:after="200"/>
      <w:outlineLvl w:val="3"/>
    </w:pPr>
    <w:rPr>
      <w:rFonts w:ascii="Arial" w:hAnsi="Arial" w:eastAsia="Arial" w:cs="Arial"/>
      <w:b/>
      <w:bCs/>
      <w:sz w:val="26"/>
      <w:szCs w:val="26"/>
    </w:rPr>
  </w:style>
  <w:style w:type="paragraph" w:styleId="891">
    <w:name w:val="Heading 5"/>
    <w:basedOn w:val="886"/>
    <w:next w:val="886"/>
    <w:link w:val="976"/>
    <w:uiPriority w:val="9"/>
    <w:unhideWhenUsed/>
    <w:qFormat/>
    <w:pPr>
      <w:keepLines/>
      <w:keepNext/>
      <w:spacing w:before="320" w:after="200"/>
      <w:outlineLvl w:val="4"/>
    </w:pPr>
    <w:rPr>
      <w:rFonts w:ascii="Arial" w:hAnsi="Arial" w:eastAsia="Arial" w:cs="Arial"/>
      <w:b/>
      <w:bCs/>
      <w:sz w:val="24"/>
      <w:szCs w:val="24"/>
    </w:rPr>
  </w:style>
  <w:style w:type="paragraph" w:styleId="892">
    <w:name w:val="Heading 6"/>
    <w:basedOn w:val="886"/>
    <w:next w:val="886"/>
    <w:link w:val="977"/>
    <w:uiPriority w:val="9"/>
    <w:unhideWhenUsed/>
    <w:qFormat/>
    <w:pPr>
      <w:keepLines/>
      <w:keepNext/>
      <w:spacing w:before="320" w:after="200"/>
      <w:outlineLvl w:val="5"/>
    </w:pPr>
    <w:rPr>
      <w:rFonts w:ascii="Arial" w:hAnsi="Arial" w:eastAsia="Arial" w:cs="Arial"/>
      <w:b/>
      <w:bCs/>
      <w:sz w:val="22"/>
    </w:rPr>
  </w:style>
  <w:style w:type="paragraph" w:styleId="893">
    <w:name w:val="Heading 7"/>
    <w:basedOn w:val="886"/>
    <w:next w:val="886"/>
    <w:link w:val="978"/>
    <w:uiPriority w:val="9"/>
    <w:unhideWhenUsed/>
    <w:qFormat/>
    <w:pPr>
      <w:keepLines/>
      <w:keepNext/>
      <w:spacing w:before="320" w:after="200"/>
      <w:outlineLvl w:val="6"/>
    </w:pPr>
    <w:rPr>
      <w:rFonts w:ascii="Arial" w:hAnsi="Arial" w:eastAsia="Arial" w:cs="Arial"/>
      <w:b/>
      <w:bCs/>
      <w:i/>
      <w:iCs/>
      <w:sz w:val="22"/>
    </w:rPr>
  </w:style>
  <w:style w:type="paragraph" w:styleId="894">
    <w:name w:val="Heading 8"/>
    <w:basedOn w:val="886"/>
    <w:next w:val="886"/>
    <w:link w:val="979"/>
    <w:uiPriority w:val="9"/>
    <w:unhideWhenUsed/>
    <w:qFormat/>
    <w:pPr>
      <w:keepLines/>
      <w:keepNext/>
      <w:spacing w:before="320" w:after="200"/>
      <w:outlineLvl w:val="7"/>
    </w:pPr>
    <w:rPr>
      <w:rFonts w:ascii="Arial" w:hAnsi="Arial" w:eastAsia="Arial" w:cs="Arial"/>
      <w:i/>
      <w:iCs/>
      <w:sz w:val="22"/>
    </w:rPr>
  </w:style>
  <w:style w:type="paragraph" w:styleId="895">
    <w:name w:val="Heading 9"/>
    <w:basedOn w:val="886"/>
    <w:next w:val="886"/>
    <w:link w:val="980"/>
    <w:uiPriority w:val="9"/>
    <w:unhideWhenUsed/>
    <w:qFormat/>
    <w:pPr>
      <w:keepLines/>
      <w:keepNext/>
      <w:spacing w:before="320" w:after="200"/>
      <w:outlineLvl w:val="8"/>
    </w:pPr>
    <w:rPr>
      <w:rFonts w:ascii="Arial" w:hAnsi="Arial" w:eastAsia="Arial" w:cs="Arial"/>
      <w:i/>
      <w:iCs/>
      <w:szCs w:val="21"/>
    </w:rPr>
  </w:style>
  <w:style w:type="character" w:styleId="896" w:default="1">
    <w:name w:val="Default Paragraph Font"/>
    <w:uiPriority w:val="1"/>
    <w:semiHidden/>
    <w:unhideWhenUsed/>
    <w:qFormat/>
  </w:style>
  <w:style w:type="table" w:styleId="897" w:default="1">
    <w:name w:val="Normal Table"/>
    <w:uiPriority w:val="99"/>
    <w:semiHidden/>
    <w:unhideWhenUsed/>
    <w:qFormat/>
    <w:tblPr>
      <w:tblCellMar>
        <w:left w:w="108" w:type="dxa"/>
        <w:top w:w="0" w:type="dxa"/>
        <w:right w:w="108" w:type="dxa"/>
        <w:bottom w:w="0" w:type="dxa"/>
      </w:tblCellMar>
    </w:tblPr>
  </w:style>
  <w:style w:type="paragraph" w:styleId="898">
    <w:name w:val="Body Text Indent"/>
    <w:basedOn w:val="886"/>
    <w:uiPriority w:val="0"/>
    <w:qFormat/>
    <w:pPr>
      <w:ind w:firstLine="560"/>
      <w:spacing w:line="560" w:lineRule="exact"/>
    </w:pPr>
    <w:rPr>
      <w:rFonts w:ascii="宋体" w:hAnsi="宋体"/>
    </w:rPr>
  </w:style>
  <w:style w:type="paragraph" w:styleId="899">
    <w:name w:val="toc 7"/>
    <w:basedOn w:val="886"/>
    <w:next w:val="886"/>
    <w:uiPriority w:val="39"/>
    <w:unhideWhenUsed/>
    <w:qFormat/>
    <w:pPr>
      <w:ind w:left="1701"/>
      <w:spacing w:after="57"/>
    </w:pPr>
  </w:style>
  <w:style w:type="paragraph" w:styleId="900">
    <w:name w:val="Normal Indent"/>
    <w:basedOn w:val="886"/>
    <w:next w:val="886"/>
    <w:uiPriority w:val="0"/>
    <w:qFormat/>
    <w:pPr>
      <w:ind w:left="420" w:firstLine="4772"/>
    </w:pPr>
  </w:style>
  <w:style w:type="paragraph" w:styleId="901">
    <w:name w:val="Caption"/>
    <w:basedOn w:val="886"/>
    <w:next w:val="886"/>
    <w:uiPriority w:val="35"/>
    <w:semiHidden/>
    <w:unhideWhenUsed/>
    <w:qFormat/>
    <w:pPr>
      <w:spacing w:line="276" w:lineRule="auto"/>
    </w:pPr>
    <w:rPr>
      <w:b/>
      <w:bCs/>
      <w:color w:val="4874cb" w:themeColor="accent1"/>
      <w:sz w:val="18"/>
      <w:szCs w:val="18"/>
    </w:rPr>
  </w:style>
  <w:style w:type="paragraph" w:styleId="902">
    <w:name w:val="List Bullet"/>
    <w:basedOn w:val="887"/>
    <w:next w:val="886"/>
    <w:uiPriority w:val="99"/>
    <w:semiHidden/>
    <w:unhideWhenUsed/>
    <w:qFormat/>
    <w:pPr>
      <w:numPr>
        <w:ilvl w:val="0"/>
        <w:numId w:val="1"/>
      </w:numPr>
    </w:pPr>
  </w:style>
  <w:style w:type="paragraph" w:styleId="903">
    <w:name w:val="Document Map"/>
    <w:basedOn w:val="886"/>
    <w:uiPriority w:val="99"/>
    <w:semiHidden/>
    <w:unhideWhenUsed/>
    <w:qFormat/>
    <w:rPr>
      <w:rFonts w:ascii="Microsoft YaHei UI" w:eastAsia="Microsoft YaHei UI"/>
      <w:sz w:val="18"/>
      <w:szCs w:val="18"/>
    </w:rPr>
  </w:style>
  <w:style w:type="paragraph" w:styleId="904">
    <w:name w:val="annotation text"/>
    <w:basedOn w:val="886"/>
    <w:link w:val="1151"/>
    <w:uiPriority w:val="99"/>
    <w:unhideWhenUsed/>
    <w:qFormat/>
    <w:pPr>
      <w:jc w:val="left"/>
    </w:pPr>
  </w:style>
  <w:style w:type="paragraph" w:styleId="905">
    <w:name w:val="Body Text"/>
    <w:basedOn w:val="886"/>
    <w:next w:val="886"/>
    <w:uiPriority w:val="0"/>
    <w:semiHidden/>
    <w:qFormat/>
    <w:rPr>
      <w:rFonts w:ascii="宋体" w:hAnsi="宋体" w:cs="宋体"/>
      <w:sz w:val="23"/>
      <w:szCs w:val="23"/>
    </w:rPr>
  </w:style>
  <w:style w:type="paragraph" w:styleId="906">
    <w:name w:val="toc 5"/>
    <w:basedOn w:val="886"/>
    <w:next w:val="886"/>
    <w:uiPriority w:val="39"/>
    <w:unhideWhenUsed/>
    <w:qFormat/>
    <w:pPr>
      <w:ind w:left="1134"/>
      <w:spacing w:after="57"/>
    </w:pPr>
  </w:style>
  <w:style w:type="paragraph" w:styleId="907">
    <w:name w:val="toc 3"/>
    <w:basedOn w:val="886"/>
    <w:next w:val="886"/>
    <w:uiPriority w:val="39"/>
    <w:unhideWhenUsed/>
    <w:qFormat/>
    <w:pPr>
      <w:ind w:left="567"/>
      <w:spacing w:after="57"/>
    </w:pPr>
  </w:style>
  <w:style w:type="paragraph" w:styleId="908">
    <w:name w:val="toc 8"/>
    <w:basedOn w:val="886"/>
    <w:next w:val="886"/>
    <w:uiPriority w:val="39"/>
    <w:unhideWhenUsed/>
    <w:qFormat/>
    <w:pPr>
      <w:ind w:left="1984"/>
      <w:spacing w:after="57"/>
    </w:pPr>
  </w:style>
  <w:style w:type="paragraph" w:styleId="909">
    <w:name w:val="endnote text"/>
    <w:basedOn w:val="886"/>
    <w:link w:val="1117"/>
    <w:uiPriority w:val="99"/>
    <w:semiHidden/>
    <w:unhideWhenUsed/>
    <w:qFormat/>
    <w:rPr>
      <w:sz w:val="20"/>
    </w:rPr>
  </w:style>
  <w:style w:type="paragraph" w:styleId="910">
    <w:name w:val="Balloon Text"/>
    <w:basedOn w:val="886"/>
    <w:link w:val="1150"/>
    <w:uiPriority w:val="99"/>
    <w:semiHidden/>
    <w:unhideWhenUsed/>
    <w:qFormat/>
    <w:rPr>
      <w:sz w:val="18"/>
      <w:szCs w:val="18"/>
    </w:rPr>
  </w:style>
  <w:style w:type="paragraph" w:styleId="911">
    <w:name w:val="Footer"/>
    <w:uiPriority w:val="99"/>
    <w:unhideWhenUsed/>
    <w:qFormat/>
    <w:pPr>
      <w:tabs>
        <w:tab w:val="center" w:pos="7143" w:leader="none"/>
        <w:tab w:val="right" w:pos="14287" w:leader="none"/>
      </w:tabs>
    </w:pPr>
    <w:rPr>
      <w:rFonts w:ascii="Times New Roman" w:hAnsi="Times New Roman" w:eastAsia="宋体" w:cs="Times New Roman"/>
      <w:lang w:val="en-US" w:eastAsia="zh-CN" w:bidi="ar-SA"/>
    </w:rPr>
  </w:style>
  <w:style w:type="paragraph" w:styleId="912">
    <w:name w:val="Header"/>
    <w:basedOn w:val="886"/>
    <w:link w:val="988"/>
    <w:uiPriority w:val="99"/>
    <w:unhideWhenUsed/>
    <w:qFormat/>
    <w:pPr>
      <w:tabs>
        <w:tab w:val="center" w:pos="7143" w:leader="none"/>
        <w:tab w:val="right" w:pos="14287" w:leader="none"/>
      </w:tabs>
    </w:pPr>
  </w:style>
  <w:style w:type="paragraph" w:styleId="913">
    <w:name w:val="toc 1"/>
    <w:basedOn w:val="886"/>
    <w:next w:val="886"/>
    <w:uiPriority w:val="39"/>
    <w:unhideWhenUsed/>
    <w:qFormat/>
    <w:pPr>
      <w:spacing w:after="57"/>
    </w:pPr>
  </w:style>
  <w:style w:type="paragraph" w:styleId="914">
    <w:name w:val="toc 4"/>
    <w:basedOn w:val="886"/>
    <w:next w:val="886"/>
    <w:uiPriority w:val="39"/>
    <w:unhideWhenUsed/>
    <w:qFormat/>
    <w:pPr>
      <w:ind w:left="850"/>
      <w:spacing w:after="57"/>
    </w:pPr>
  </w:style>
  <w:style w:type="paragraph" w:styleId="915">
    <w:name w:val="Subtitle"/>
    <w:basedOn w:val="886"/>
    <w:next w:val="886"/>
    <w:link w:val="983"/>
    <w:uiPriority w:val="11"/>
    <w:qFormat/>
    <w:pPr>
      <w:spacing w:before="200" w:after="200"/>
    </w:pPr>
    <w:rPr>
      <w:sz w:val="24"/>
      <w:szCs w:val="24"/>
    </w:rPr>
  </w:style>
  <w:style w:type="paragraph" w:styleId="916">
    <w:name w:val="footnote text"/>
    <w:basedOn w:val="886"/>
    <w:link w:val="1116"/>
    <w:uiPriority w:val="99"/>
    <w:semiHidden/>
    <w:unhideWhenUsed/>
    <w:qFormat/>
    <w:pPr>
      <w:spacing w:after="40"/>
    </w:pPr>
    <w:rPr>
      <w:sz w:val="18"/>
    </w:rPr>
  </w:style>
  <w:style w:type="paragraph" w:styleId="917">
    <w:name w:val="toc 6"/>
    <w:basedOn w:val="886"/>
    <w:next w:val="886"/>
    <w:uiPriority w:val="39"/>
    <w:unhideWhenUsed/>
    <w:qFormat/>
    <w:pPr>
      <w:ind w:left="1417"/>
      <w:spacing w:after="57"/>
    </w:pPr>
  </w:style>
  <w:style w:type="paragraph" w:styleId="918">
    <w:name w:val="Body Text Indent 3"/>
    <w:basedOn w:val="886"/>
    <w:uiPriority w:val="0"/>
    <w:qFormat/>
    <w:pPr>
      <w:ind w:left="420"/>
    </w:pPr>
    <w:rPr>
      <w:sz w:val="16"/>
      <w:szCs w:val="20"/>
    </w:rPr>
  </w:style>
  <w:style w:type="paragraph" w:styleId="919">
    <w:name w:val="table of figures"/>
    <w:basedOn w:val="886"/>
    <w:next w:val="886"/>
    <w:uiPriority w:val="99"/>
    <w:unhideWhenUsed/>
    <w:qFormat/>
  </w:style>
  <w:style w:type="paragraph" w:styleId="920">
    <w:name w:val="toc 2"/>
    <w:basedOn w:val="886"/>
    <w:next w:val="886"/>
    <w:uiPriority w:val="39"/>
    <w:unhideWhenUsed/>
    <w:qFormat/>
    <w:pPr>
      <w:ind w:left="283"/>
      <w:spacing w:after="57"/>
    </w:pPr>
  </w:style>
  <w:style w:type="paragraph" w:styleId="921">
    <w:name w:val="toc 9"/>
    <w:basedOn w:val="886"/>
    <w:next w:val="886"/>
    <w:uiPriority w:val="39"/>
    <w:unhideWhenUsed/>
    <w:qFormat/>
    <w:pPr>
      <w:ind w:left="2268"/>
      <w:spacing w:after="57"/>
    </w:pPr>
  </w:style>
  <w:style w:type="paragraph" w:styleId="922">
    <w:name w:val="Body Text 2"/>
    <w:basedOn w:val="887"/>
    <w:next w:val="902"/>
    <w:uiPriority w:val="0"/>
    <w:qFormat/>
    <w:pPr>
      <w:spacing w:after="120" w:line="480" w:lineRule="auto"/>
    </w:pPr>
    <w:rPr>
      <w:sz w:val="20"/>
      <w:szCs w:val="24"/>
    </w:rPr>
  </w:style>
  <w:style w:type="paragraph" w:styleId="923">
    <w:name w:val="Title"/>
    <w:basedOn w:val="886"/>
    <w:next w:val="886"/>
    <w:link w:val="982"/>
    <w:uiPriority w:val="10"/>
    <w:qFormat/>
    <w:pPr>
      <w:contextualSpacing/>
      <w:spacing w:before="300" w:after="200"/>
    </w:pPr>
    <w:rPr>
      <w:sz w:val="48"/>
      <w:szCs w:val="48"/>
    </w:rPr>
  </w:style>
  <w:style w:type="paragraph" w:styleId="924">
    <w:name w:val="annotation subject"/>
    <w:basedOn w:val="904"/>
    <w:next w:val="904"/>
    <w:link w:val="1152"/>
    <w:uiPriority w:val="99"/>
    <w:semiHidden/>
    <w:unhideWhenUsed/>
    <w:qFormat/>
    <w:rPr>
      <w:b/>
      <w:bCs/>
    </w:rPr>
  </w:style>
  <w:style w:type="paragraph" w:styleId="925">
    <w:name w:val="Body Text First Indent 2"/>
    <w:basedOn w:val="898"/>
    <w:next w:val="886"/>
    <w:uiPriority w:val="99"/>
    <w:unhideWhenUsed/>
    <w:qFormat/>
    <w:pPr>
      <w:ind w:firstLine="420"/>
    </w:pPr>
  </w:style>
  <w:style w:type="table" w:styleId="926">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27">
    <w:name w:val="Strong"/>
    <w:basedOn w:val="896"/>
    <w:uiPriority w:val="22"/>
    <w:qFormat/>
    <w:rPr>
      <w:b/>
      <w:bCs/>
    </w:rPr>
  </w:style>
  <w:style w:type="character" w:styleId="928">
    <w:name w:val="endnote reference"/>
    <w:basedOn w:val="896"/>
    <w:uiPriority w:val="99"/>
    <w:semiHidden/>
    <w:unhideWhenUsed/>
    <w:qFormat/>
    <w:rPr>
      <w:vertAlign w:val="superscript"/>
    </w:rPr>
  </w:style>
  <w:style w:type="character" w:styleId="929">
    <w:name w:val="Emphasis"/>
    <w:basedOn w:val="896"/>
    <w:uiPriority w:val="20"/>
    <w:qFormat/>
    <w:rPr>
      <w:i/>
    </w:rPr>
  </w:style>
  <w:style w:type="character" w:styleId="930">
    <w:name w:val="Hyperlink"/>
    <w:uiPriority w:val="99"/>
    <w:unhideWhenUsed/>
    <w:qFormat/>
    <w:rPr>
      <w:color w:val="0026e5" w:themeColor="hyperlink"/>
      <w:u w:val="single"/>
    </w:rPr>
  </w:style>
  <w:style w:type="character" w:styleId="931">
    <w:name w:val="annotation reference"/>
    <w:basedOn w:val="896"/>
    <w:uiPriority w:val="99"/>
    <w:semiHidden/>
    <w:unhideWhenUsed/>
    <w:qFormat/>
    <w:rPr>
      <w:sz w:val="21"/>
      <w:szCs w:val="21"/>
    </w:rPr>
  </w:style>
  <w:style w:type="character" w:styleId="932">
    <w:name w:val="footnote reference"/>
    <w:basedOn w:val="896"/>
    <w:uiPriority w:val="99"/>
    <w:unhideWhenUsed/>
    <w:qFormat/>
    <w:rPr>
      <w:vertAlign w:val="superscript"/>
    </w:rPr>
  </w:style>
  <w:style w:type="character" w:styleId="933" w:customStyle="1">
    <w:name w:val="Heading 1 Char"/>
    <w:basedOn w:val="896"/>
    <w:uiPriority w:val="9"/>
    <w:qFormat/>
    <w:rPr>
      <w:rFonts w:ascii="Arial" w:hAnsi="Arial" w:eastAsia="Arial" w:cs="Arial"/>
      <w:sz w:val="40"/>
      <w:szCs w:val="40"/>
    </w:rPr>
  </w:style>
  <w:style w:type="character" w:styleId="934" w:customStyle="1">
    <w:name w:val="Heading 2 Char"/>
    <w:basedOn w:val="896"/>
    <w:uiPriority w:val="9"/>
    <w:qFormat/>
    <w:rPr>
      <w:rFonts w:ascii="Arial" w:hAnsi="Arial" w:eastAsia="Arial" w:cs="Arial"/>
      <w:sz w:val="34"/>
    </w:rPr>
  </w:style>
  <w:style w:type="character" w:styleId="935" w:customStyle="1">
    <w:name w:val="Heading 3 Char"/>
    <w:basedOn w:val="896"/>
    <w:uiPriority w:val="9"/>
    <w:qFormat/>
    <w:rPr>
      <w:rFonts w:ascii="Arial" w:hAnsi="Arial" w:eastAsia="Arial" w:cs="Arial"/>
      <w:sz w:val="30"/>
      <w:szCs w:val="30"/>
    </w:rPr>
  </w:style>
  <w:style w:type="character" w:styleId="936" w:customStyle="1">
    <w:name w:val="Heading 4 Char"/>
    <w:basedOn w:val="896"/>
    <w:uiPriority w:val="9"/>
    <w:qFormat/>
    <w:rPr>
      <w:rFonts w:ascii="Arial" w:hAnsi="Arial" w:eastAsia="Arial" w:cs="Arial"/>
      <w:b/>
      <w:bCs/>
      <w:sz w:val="26"/>
      <w:szCs w:val="26"/>
    </w:rPr>
  </w:style>
  <w:style w:type="character" w:styleId="937" w:customStyle="1">
    <w:name w:val="Heading 5 Char"/>
    <w:basedOn w:val="896"/>
    <w:uiPriority w:val="9"/>
    <w:qFormat/>
    <w:rPr>
      <w:rFonts w:ascii="Arial" w:hAnsi="Arial" w:eastAsia="Arial" w:cs="Arial"/>
      <w:b/>
      <w:bCs/>
      <w:sz w:val="24"/>
      <w:szCs w:val="24"/>
    </w:rPr>
  </w:style>
  <w:style w:type="character" w:styleId="938" w:customStyle="1">
    <w:name w:val="Heading 6 Char"/>
    <w:basedOn w:val="896"/>
    <w:uiPriority w:val="9"/>
    <w:qFormat/>
    <w:rPr>
      <w:rFonts w:ascii="Arial" w:hAnsi="Arial" w:eastAsia="Arial" w:cs="Arial"/>
      <w:b/>
      <w:bCs/>
      <w:sz w:val="22"/>
      <w:szCs w:val="22"/>
    </w:rPr>
  </w:style>
  <w:style w:type="character" w:styleId="939" w:customStyle="1">
    <w:name w:val="Heading 7 Char"/>
    <w:basedOn w:val="896"/>
    <w:uiPriority w:val="9"/>
    <w:qFormat/>
    <w:rPr>
      <w:rFonts w:ascii="Arial" w:hAnsi="Arial" w:eastAsia="Arial" w:cs="Arial"/>
      <w:b/>
      <w:bCs/>
      <w:i/>
      <w:iCs/>
      <w:sz w:val="22"/>
      <w:szCs w:val="22"/>
    </w:rPr>
  </w:style>
  <w:style w:type="character" w:styleId="940" w:customStyle="1">
    <w:name w:val="Heading 8 Char"/>
    <w:basedOn w:val="896"/>
    <w:uiPriority w:val="9"/>
    <w:qFormat/>
    <w:rPr>
      <w:rFonts w:ascii="Arial" w:hAnsi="Arial" w:eastAsia="Arial" w:cs="Arial"/>
      <w:i/>
      <w:iCs/>
      <w:sz w:val="22"/>
      <w:szCs w:val="22"/>
    </w:rPr>
  </w:style>
  <w:style w:type="character" w:styleId="941" w:customStyle="1">
    <w:name w:val="Heading 9 Char"/>
    <w:basedOn w:val="896"/>
    <w:uiPriority w:val="9"/>
    <w:qFormat/>
    <w:rPr>
      <w:rFonts w:ascii="Arial" w:hAnsi="Arial" w:eastAsia="Arial" w:cs="Arial"/>
      <w:i/>
      <w:iCs/>
      <w:sz w:val="21"/>
      <w:szCs w:val="21"/>
    </w:rPr>
  </w:style>
  <w:style w:type="character" w:styleId="942" w:customStyle="1">
    <w:name w:val="Title Char"/>
    <w:basedOn w:val="896"/>
    <w:uiPriority w:val="10"/>
    <w:qFormat/>
    <w:rPr>
      <w:sz w:val="48"/>
      <w:szCs w:val="48"/>
    </w:rPr>
  </w:style>
  <w:style w:type="character" w:styleId="943" w:customStyle="1">
    <w:name w:val="Subtitle Char"/>
    <w:basedOn w:val="896"/>
    <w:uiPriority w:val="11"/>
    <w:qFormat/>
    <w:rPr>
      <w:sz w:val="24"/>
      <w:szCs w:val="24"/>
    </w:rPr>
  </w:style>
  <w:style w:type="character" w:styleId="944" w:customStyle="1">
    <w:name w:val="Quote Char"/>
    <w:uiPriority w:val="29"/>
    <w:qFormat/>
    <w:rPr>
      <w:i/>
    </w:rPr>
  </w:style>
  <w:style w:type="character" w:styleId="945" w:customStyle="1">
    <w:name w:val="Intense Quote Char"/>
    <w:uiPriority w:val="30"/>
    <w:qFormat/>
    <w:rPr>
      <w:i/>
    </w:rPr>
  </w:style>
  <w:style w:type="character" w:styleId="946" w:customStyle="1">
    <w:name w:val="Header Char"/>
    <w:basedOn w:val="896"/>
    <w:uiPriority w:val="99"/>
    <w:qFormat/>
  </w:style>
  <w:style w:type="table" w:styleId="947" w:customStyle="1">
    <w:name w:val="Plain Table 1"/>
    <w:basedOn w:val="897"/>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blStylePr w:type="band1Horz">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48" w:customStyle="1">
    <w:name w:val="Plain Table 2"/>
    <w:basedOn w:val="897"/>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49" w:customStyle="1">
    <w:name w:val="Plain Table 3"/>
    <w:basedOn w:val="897"/>
    <w:uiPriority w:val="99"/>
    <w:qFormat/>
    <w:tblPr>
      <w:tblCellMar>
        <w:left w:w="108" w:type="dxa"/>
        <w:top w:w="0" w:type="dxa"/>
        <w:right w:w="108" w:type="dxa"/>
        <w:bottom w:w="0" w:type="dxa"/>
      </w:tblCellMa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0" w:customStyle="1">
    <w:name w:val="Plain Table 4"/>
    <w:basedOn w:val="897"/>
    <w:uiPriority w:val="99"/>
    <w:qFormat/>
    <w:tblPr>
      <w:tblCellMar>
        <w:left w:w="108" w:type="dxa"/>
        <w:top w:w="0" w:type="dxa"/>
        <w:right w:w="108" w:type="dxa"/>
        <w:bottom w:w="0" w:type="dxa"/>
      </w:tblCellMa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1" w:customStyle="1">
    <w:name w:val="Plain Table 5"/>
    <w:basedOn w:val="897"/>
    <w:uiPriority w:val="99"/>
    <w:qFormat/>
    <w:tblPr>
      <w:tblCellMar>
        <w:left w:w="108" w:type="dxa"/>
        <w:top w:w="0" w:type="dxa"/>
        <w:right w:w="108" w:type="dxa"/>
        <w:bottom w:w="0" w:type="dxa"/>
      </w:tblCellMa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52" w:customStyle="1">
    <w:name w:val="Grid Table 1 Light"/>
    <w:basedOn w:val="897"/>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firstCol">
      <w:rPr>
        <w:b/>
        <w:color w:val="404040"/>
      </w:rPr>
    </w:tblStylePr>
    <w:tblStylePr w:type="firstRow">
      <w:rPr>
        <w:b/>
        <w:color w:val="404040"/>
      </w:rPr>
      <w:tcPr>
        <w:tcBorders>
          <w:bottom w:val="single" w:color="696969" w:themeColor="text1" w:themeTint="95" w:sz="12" w:space="0"/>
        </w:tcBorders>
      </w:tcPr>
    </w:tblStylePr>
    <w:tblStylePr w:type="lastCol">
      <w:rPr>
        <w:b/>
        <w:color w:val="404040"/>
      </w:rPr>
    </w:tblStylePr>
    <w:tblStylePr w:type="lastRow">
      <w:rPr>
        <w:b/>
        <w:color w:val="404040"/>
      </w:rPr>
    </w:tblStylePr>
  </w:style>
  <w:style w:type="table" w:styleId="953" w:customStyle="1">
    <w:name w:val="Grid Table 2"/>
    <w:basedOn w:val="897"/>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style>
  <w:style w:type="table" w:styleId="954" w:customStyle="1">
    <w:name w:val="Grid Table 3"/>
    <w:basedOn w:val="897"/>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5" w:customStyle="1">
    <w:name w:val="Grid Table 4"/>
    <w:basedOn w:val="897"/>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6" w:customStyle="1">
    <w:name w:val="Grid Table 5 Dark"/>
    <w:basedOn w:val="897"/>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cPr>
        <w:shd w:val="clear" w:color="898989" w:themeColor="text1" w:themeTint="75" w:fill="898989" w:themeFill="text1" w:themeFillTint="75"/>
      </w:tcPr>
    </w:tblStylePr>
    <w:tblStylePr w:type="band1Vert">
      <w:tcPr>
        <w:shd w:val="clear" w:color="898989" w:themeColor="text1" w:themeTint="75" w:fill="898989"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57" w:customStyle="1">
    <w:name w:val="Grid Table 6 Colorful"/>
    <w:basedOn w:val="897"/>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108" w:type="dxa"/>
        <w:top w:w="0" w:type="dxa"/>
        <w:right w:w="108" w:type="dxa"/>
        <w:bottom w:w="0" w:type="dxa"/>
      </w:tblCellMar>
    </w:tblPr>
    <w:tblStylePr w:type="band1Horz">
      <w:rPr>
        <w:rFonts w:ascii="Arial" w:hAnsi="Arial"/>
        <w:color w:val="7e7e7e" w:themeColor="text1" w:themeTint="80"/>
        <w:sz w:val="22"/>
      </w:rPr>
      <w:tcPr>
        <w:shd w:val="clear" w:color="cacaca" w:themeColor="text1" w:themeTint="34" w:fill="cacaca" w:themeFill="text1" w:themeFillTint="34"/>
      </w:tcPr>
    </w:tblStylePr>
    <w:tblStylePr w:type="band1Vert">
      <w:tcPr>
        <w:shd w:val="clear" w:color="cacaca" w:themeColor="text1" w:themeTint="34" w:fill="cacaca" w:themeFill="text1" w:themeFillTint="34"/>
      </w:tcPr>
    </w:tblStylePr>
    <w:tblStylePr w:type="band2Horz">
      <w:rPr>
        <w:rFonts w:ascii="Arial" w:hAnsi="Arial"/>
        <w:color w:val="7e7e7e" w:themeColor="text1" w:themeTint="80"/>
        <w:sz w:val="22"/>
      </w:rPr>
    </w:tblStylePr>
    <w:tblStylePr w:type="firstCol">
      <w:rPr>
        <w:b/>
        <w:color w:val="7e7e7e" w:themeColor="text1" w:themeTint="80"/>
      </w:rPr>
    </w:tblStylePr>
    <w:tblStylePr w:type="firstRow">
      <w:rPr>
        <w:b/>
        <w:color w:val="7e7e7e" w:themeColor="text1" w:themeTint="80"/>
      </w:rPr>
      <w:tcPr>
        <w:tcBorders>
          <w:bottom w:val="single" w:color="7E7E7E" w:themeColor="text1" w:themeTint="80" w:sz="12" w:space="0"/>
        </w:tcBorders>
      </w:tcPr>
    </w:tblStylePr>
    <w:tblStylePr w:type="lastCol">
      <w:rPr>
        <w:b/>
        <w:color w:val="7e7e7e" w:themeColor="text1" w:themeTint="80"/>
      </w:rPr>
    </w:tblStylePr>
    <w:tblStylePr w:type="lastRow">
      <w:rPr>
        <w:b/>
        <w:color w:val="7e7e7e" w:themeColor="text1" w:themeTint="80"/>
      </w:rPr>
    </w:tblStylePr>
  </w:style>
  <w:style w:type="table" w:styleId="958" w:customStyle="1">
    <w:name w:val="Grid Table 7 Colorful"/>
    <w:basedOn w:val="897"/>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108" w:type="dxa"/>
        <w:top w:w="0" w:type="dxa"/>
        <w:right w:w="108" w:type="dxa"/>
        <w:bottom w:w="0" w:type="dxa"/>
      </w:tblCellMar>
    </w:tblPr>
    <w:tblStylePr w:type="band1Horz">
      <w:rPr>
        <w:rFonts w:ascii="Arial" w:hAnsi="Arial"/>
        <w:color w:val="7e7e7e" w:themeColor="text1" w:themeTint="80"/>
        <w:sz w:val="22"/>
      </w:rPr>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band2Horz">
      <w:rPr>
        <w:rFonts w:ascii="Arial" w:hAnsi="Arial"/>
        <w:color w:val="7e7e7e" w:themeColor="text1" w:themeTint="80"/>
        <w:sz w:val="22"/>
      </w:rPr>
    </w:tblStylePr>
    <w:tblStylePr w:type="firstCol">
      <w:rPr>
        <w:rFonts w:ascii="Arial" w:hAnsi="Arial"/>
        <w:i/>
        <w:color w:val="7e7e7e" w:themeColor="text1" w:themeTint="80"/>
        <w:sz w:val="22"/>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7e7e7e" w:themeColor="text1" w:themeTint="80"/>
        <w:sz w:val="22"/>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7e7e7e" w:themeColor="text1" w:themeTint="80"/>
        <w:sz w:val="22"/>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7e7e7e" w:themeColor="text1" w:themeTint="80"/>
        <w:sz w:val="22"/>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959" w:customStyle="1">
    <w:name w:val="List Table 1 Light"/>
    <w:basedOn w:val="897"/>
    <w:uiPriority w:val="99"/>
    <w:qFormat/>
    <w:tblPr>
      <w:tblCellMar>
        <w:left w:w="108" w:type="dxa"/>
        <w:top w:w="0" w:type="dxa"/>
        <w:right w:w="108" w:type="dxa"/>
        <w:bottom w:w="0" w:type="dxa"/>
      </w:tblCellMar>
    </w:tblPr>
    <w:tblStylePr w:type="band1Horz">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60" w:customStyle="1">
    <w:name w:val="List Table 2"/>
    <w:basedOn w:val="897"/>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style>
  <w:style w:type="table" w:styleId="961" w:customStyle="1">
    <w:name w:val="List Table 3"/>
    <w:basedOn w:val="897"/>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62" w:customStyle="1">
    <w:name w:val="List Table 4"/>
    <w:basedOn w:val="897"/>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63" w:customStyle="1">
    <w:name w:val="List Table 5 Dark"/>
    <w:basedOn w:val="897"/>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left w:w="108" w:type="dxa"/>
        <w:top w:w="0" w:type="dxa"/>
        <w:right w:w="108" w:type="dxa"/>
        <w:bottom w:w="0" w:type="dxa"/>
      </w:tblCellMar>
    </w:tblPr>
    <w:tblStylePr w:type="band1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rPr>
    </w:tblStylePr>
  </w:style>
  <w:style w:type="table" w:styleId="964" w:customStyle="1">
    <w:name w:val="List Table 6 Colorful"/>
    <w:basedOn w:val="897"/>
    <w:uiPriority w:val="99"/>
    <w:qFormat/>
    <w:tblPr>
      <w:tblBorders>
        <w:top w:val="single" w:color="7E7E7E" w:themeColor="text1" w:themeTint="80" w:sz="4" w:space="0"/>
        <w:bottom w:val="single" w:color="7E7E7E"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E7E7E" w:themeColor="text1" w:themeTint="80" w:sz="4" w:space="0"/>
        </w:tcBorders>
      </w:tcPr>
    </w:tblStylePr>
    <w:tblStylePr w:type="lastCol">
      <w:rPr>
        <w:b/>
        <w:color w:val="000000" w:themeColor="text1"/>
      </w:rPr>
    </w:tblStylePr>
    <w:tblStylePr w:type="lastRow">
      <w:rPr>
        <w:b/>
        <w:color w:val="000000" w:themeColor="text1"/>
      </w:rPr>
      <w:tcPr>
        <w:tcBorders>
          <w:top w:val="single" w:color="7E7E7E" w:themeColor="text1" w:themeTint="80" w:sz="4" w:space="0"/>
        </w:tcBorders>
      </w:tcPr>
    </w:tblStylePr>
  </w:style>
  <w:style w:type="table" w:styleId="965" w:customStyle="1">
    <w:name w:val="List Table 7 Colorful"/>
    <w:basedOn w:val="897"/>
    <w:uiPriority w:val="99"/>
    <w:qFormat/>
    <w:tblPr>
      <w:tblBorders>
        <w:right w:val="single" w:color="7E7E7E" w:themeColor="text1" w:themeTint="80" w:sz="4" w:space="0"/>
      </w:tblBorders>
      <w:tblCellMar>
        <w:left w:w="108" w:type="dxa"/>
        <w:top w:w="0" w:type="dxa"/>
        <w:right w:w="108" w:type="dxa"/>
        <w:bottom w:w="0" w:type="dxa"/>
      </w:tblCellMar>
    </w:tblPr>
    <w:tblStylePr w:type="band1Horz">
      <w:rPr>
        <w:rFonts w:ascii="Arial" w:hAnsi="Arial"/>
        <w:color w:val="7e7e7e" w:themeColor="text1" w:themeTint="80"/>
        <w:sz w:val="22"/>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7e7e7e" w:themeColor="text1" w:themeTint="80"/>
        <w:sz w:val="22"/>
      </w:rPr>
    </w:tblStylePr>
    <w:tblStylePr w:type="firstCol">
      <w:rPr>
        <w:rFonts w:ascii="Arial" w:hAnsi="Arial"/>
        <w:i/>
        <w:color w:val="7e7e7e" w:themeColor="text1" w:themeTint="80"/>
        <w:sz w:val="22"/>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7e7e7e" w:themeColor="text1" w:themeTint="80"/>
        <w:sz w:val="22"/>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7e7e7e" w:themeColor="text1" w:themeTint="80"/>
        <w:sz w:val="22"/>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7e7e7e" w:themeColor="text1" w:themeTint="80"/>
        <w:sz w:val="22"/>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character" w:styleId="966" w:customStyle="1">
    <w:name w:val="Footnote Text Char"/>
    <w:uiPriority w:val="99"/>
    <w:qFormat/>
    <w:rPr>
      <w:sz w:val="18"/>
    </w:rPr>
  </w:style>
  <w:style w:type="character" w:styleId="967" w:customStyle="1">
    <w:name w:val="Endnote Text Char"/>
    <w:uiPriority w:val="99"/>
    <w:qFormat/>
    <w:rPr>
      <w:sz w:val="20"/>
    </w:rPr>
  </w:style>
  <w:style w:type="paragraph" w:styleId="968" w:customStyle="1">
    <w:name w:val="TOC 标题1"/>
    <w:uiPriority w:val="39"/>
    <w:unhideWhenUsed/>
    <w:qFormat/>
    <w:rPr>
      <w:rFonts w:ascii="Times New Roman" w:hAnsi="Times New Roman" w:eastAsia="宋体" w:cs="Times New Roman"/>
      <w:lang w:val="en-US" w:eastAsia="zh-CN" w:bidi="ar-SA"/>
    </w:rPr>
  </w:style>
  <w:style w:type="paragraph" w:styleId="969">
    <w:name w:val="List Paragraph"/>
    <w:basedOn w:val="886"/>
    <w:uiPriority w:val="34"/>
    <w:qFormat/>
    <w:pPr>
      <w:contextualSpacing/>
      <w:ind w:left="720"/>
    </w:pPr>
  </w:style>
  <w:style w:type="paragraph" w:styleId="970" w:customStyle="1">
    <w:name w:val="xl91"/>
    <w:basedOn w:val="887"/>
    <w:next w:val="971"/>
    <w:uiPriority w:val="0"/>
    <w:qFormat/>
    <w:pPr>
      <w:ind w:firstLine="3584"/>
      <w:spacing w:before="280" w:after="280"/>
    </w:pPr>
  </w:style>
  <w:style w:type="paragraph" w:styleId="971" w:customStyle="1">
    <w:name w:val="xl76"/>
    <w:basedOn w:val="887"/>
    <w:next w:val="922"/>
    <w:uiPriority w:val="0"/>
    <w:qFormat/>
    <w:pPr>
      <w:ind w:firstLine="3584"/>
      <w:jc w:val="center"/>
      <w:spacing w:before="280" w:after="280"/>
    </w:pPr>
  </w:style>
  <w:style w:type="character" w:styleId="972" w:customStyle="1">
    <w:name w:val="标题 1 Char"/>
    <w:basedOn w:val="896"/>
    <w:link w:val="887"/>
    <w:uiPriority w:val="9"/>
    <w:qFormat/>
    <w:rPr>
      <w:rFonts w:ascii="Arial" w:hAnsi="Arial" w:eastAsia="Arial" w:cs="Arial"/>
      <w:sz w:val="40"/>
      <w:szCs w:val="40"/>
    </w:rPr>
  </w:style>
  <w:style w:type="character" w:styleId="973" w:customStyle="1">
    <w:name w:val="标题 2 Char"/>
    <w:basedOn w:val="896"/>
    <w:link w:val="888"/>
    <w:uiPriority w:val="9"/>
    <w:qFormat/>
    <w:rPr>
      <w:rFonts w:ascii="Arial" w:hAnsi="Arial" w:eastAsia="Arial" w:cs="Arial"/>
      <w:sz w:val="34"/>
    </w:rPr>
  </w:style>
  <w:style w:type="character" w:styleId="974" w:customStyle="1">
    <w:name w:val="标题 3 Char"/>
    <w:basedOn w:val="896"/>
    <w:link w:val="889"/>
    <w:uiPriority w:val="9"/>
    <w:qFormat/>
    <w:rPr>
      <w:rFonts w:ascii="Arial" w:hAnsi="Arial" w:eastAsia="Arial" w:cs="Arial"/>
      <w:sz w:val="30"/>
      <w:szCs w:val="30"/>
    </w:rPr>
  </w:style>
  <w:style w:type="character" w:styleId="975" w:customStyle="1">
    <w:name w:val="标题 4 Char"/>
    <w:basedOn w:val="896"/>
    <w:link w:val="890"/>
    <w:uiPriority w:val="9"/>
    <w:qFormat/>
    <w:rPr>
      <w:rFonts w:ascii="Arial" w:hAnsi="Arial" w:eastAsia="Arial" w:cs="Arial"/>
      <w:b/>
      <w:bCs/>
      <w:sz w:val="26"/>
      <w:szCs w:val="26"/>
    </w:rPr>
  </w:style>
  <w:style w:type="character" w:styleId="976" w:customStyle="1">
    <w:name w:val="标题 5 Char"/>
    <w:basedOn w:val="896"/>
    <w:link w:val="891"/>
    <w:uiPriority w:val="9"/>
    <w:qFormat/>
    <w:rPr>
      <w:rFonts w:ascii="Arial" w:hAnsi="Arial" w:eastAsia="Arial" w:cs="Arial"/>
      <w:b/>
      <w:bCs/>
      <w:sz w:val="24"/>
      <w:szCs w:val="24"/>
    </w:rPr>
  </w:style>
  <w:style w:type="character" w:styleId="977" w:customStyle="1">
    <w:name w:val="标题 6 Char"/>
    <w:basedOn w:val="896"/>
    <w:link w:val="892"/>
    <w:uiPriority w:val="9"/>
    <w:qFormat/>
    <w:rPr>
      <w:rFonts w:ascii="Arial" w:hAnsi="Arial" w:eastAsia="Arial" w:cs="Arial"/>
      <w:b/>
      <w:bCs/>
      <w:sz w:val="22"/>
      <w:szCs w:val="22"/>
    </w:rPr>
  </w:style>
  <w:style w:type="character" w:styleId="978" w:customStyle="1">
    <w:name w:val="标题 7 Char"/>
    <w:basedOn w:val="896"/>
    <w:link w:val="893"/>
    <w:uiPriority w:val="9"/>
    <w:qFormat/>
    <w:rPr>
      <w:rFonts w:ascii="Arial" w:hAnsi="Arial" w:eastAsia="Arial" w:cs="Arial"/>
      <w:b/>
      <w:bCs/>
      <w:i/>
      <w:iCs/>
      <w:sz w:val="22"/>
      <w:szCs w:val="22"/>
    </w:rPr>
  </w:style>
  <w:style w:type="character" w:styleId="979" w:customStyle="1">
    <w:name w:val="标题 8 Char"/>
    <w:basedOn w:val="896"/>
    <w:link w:val="894"/>
    <w:uiPriority w:val="9"/>
    <w:qFormat/>
    <w:rPr>
      <w:rFonts w:ascii="Arial" w:hAnsi="Arial" w:eastAsia="Arial" w:cs="Arial"/>
      <w:i/>
      <w:iCs/>
      <w:sz w:val="22"/>
      <w:szCs w:val="22"/>
    </w:rPr>
  </w:style>
  <w:style w:type="character" w:styleId="980" w:customStyle="1">
    <w:name w:val="标题 9 Char"/>
    <w:basedOn w:val="896"/>
    <w:link w:val="895"/>
    <w:uiPriority w:val="9"/>
    <w:qFormat/>
    <w:rPr>
      <w:rFonts w:ascii="Arial" w:hAnsi="Arial" w:eastAsia="Arial" w:cs="Arial"/>
      <w:i/>
      <w:iCs/>
      <w:sz w:val="21"/>
      <w:szCs w:val="21"/>
    </w:rPr>
  </w:style>
  <w:style w:type="paragraph" w:styleId="981">
    <w:name w:val="No Spacing"/>
    <w:uiPriority w:val="1"/>
    <w:qFormat/>
    <w:rPr>
      <w:rFonts w:asciiTheme="minorHAnsi" w:hAnsiTheme="minorHAnsi" w:eastAsiaTheme="minorEastAsia" w:cstheme="minorBidi"/>
      <w:lang w:val="en-US" w:eastAsia="zh-CN" w:bidi="ar-SA"/>
    </w:rPr>
  </w:style>
  <w:style w:type="character" w:styleId="982" w:customStyle="1">
    <w:name w:val="标题 Char"/>
    <w:basedOn w:val="896"/>
    <w:link w:val="923"/>
    <w:uiPriority w:val="10"/>
    <w:qFormat/>
    <w:rPr>
      <w:sz w:val="48"/>
      <w:szCs w:val="48"/>
    </w:rPr>
  </w:style>
  <w:style w:type="character" w:styleId="983" w:customStyle="1">
    <w:name w:val="副标题 Char"/>
    <w:basedOn w:val="896"/>
    <w:link w:val="915"/>
    <w:uiPriority w:val="11"/>
    <w:qFormat/>
    <w:rPr>
      <w:sz w:val="24"/>
      <w:szCs w:val="24"/>
    </w:rPr>
  </w:style>
  <w:style w:type="paragraph" w:styleId="984">
    <w:name w:val="Quote"/>
    <w:basedOn w:val="886"/>
    <w:next w:val="886"/>
    <w:link w:val="985"/>
    <w:uiPriority w:val="29"/>
    <w:qFormat/>
    <w:pPr>
      <w:ind w:left="720" w:right="720"/>
    </w:pPr>
    <w:rPr>
      <w:i/>
    </w:rPr>
  </w:style>
  <w:style w:type="character" w:styleId="985" w:customStyle="1">
    <w:name w:val="引用 Char"/>
    <w:link w:val="984"/>
    <w:uiPriority w:val="29"/>
    <w:qFormat/>
    <w:rPr>
      <w:i/>
    </w:rPr>
  </w:style>
  <w:style w:type="paragraph" w:styleId="986">
    <w:name w:val="Intense Quote"/>
    <w:basedOn w:val="886"/>
    <w:next w:val="886"/>
    <w:link w:val="98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7" w:customStyle="1">
    <w:name w:val="明显引用 Char"/>
    <w:link w:val="986"/>
    <w:uiPriority w:val="30"/>
    <w:qFormat/>
    <w:rPr>
      <w:i/>
    </w:rPr>
  </w:style>
  <w:style w:type="character" w:styleId="988" w:customStyle="1">
    <w:name w:val="页眉 Char"/>
    <w:basedOn w:val="896"/>
    <w:link w:val="912"/>
    <w:uiPriority w:val="99"/>
    <w:qFormat/>
  </w:style>
  <w:style w:type="character" w:styleId="989" w:customStyle="1">
    <w:name w:val="Footer Char"/>
    <w:basedOn w:val="896"/>
    <w:uiPriority w:val="99"/>
    <w:qFormat/>
  </w:style>
  <w:style w:type="character" w:styleId="990" w:customStyle="1">
    <w:name w:val="Caption Char"/>
    <w:uiPriority w:val="99"/>
    <w:qFormat/>
  </w:style>
  <w:style w:type="table" w:styleId="991" w:customStyle="1">
    <w:name w:val="Table Grid Light"/>
    <w:basedOn w:val="897"/>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style>
  <w:style w:type="table" w:styleId="992" w:customStyle="1">
    <w:name w:val="无格式表格 11"/>
    <w:basedOn w:val="897"/>
    <w:uiPriority w:val="59"/>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blStylePr w:type="band1Horz">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3" w:customStyle="1">
    <w:name w:val="无格式表格 21"/>
    <w:basedOn w:val="897"/>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4" w:customStyle="1">
    <w:name w:val="无格式表格 31"/>
    <w:basedOn w:val="897"/>
    <w:uiPriority w:val="99"/>
    <w:qFormat/>
    <w:tblPr>
      <w:tblCellMar>
        <w:left w:w="108" w:type="dxa"/>
        <w:top w:w="0" w:type="dxa"/>
        <w:right w:w="108" w:type="dxa"/>
        <w:bottom w:w="0" w:type="dxa"/>
      </w:tblCellMa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5" w:customStyle="1">
    <w:name w:val="无格式表格 41"/>
    <w:basedOn w:val="897"/>
    <w:uiPriority w:val="99"/>
    <w:qFormat/>
    <w:tblPr>
      <w:tblCellMar>
        <w:left w:w="108" w:type="dxa"/>
        <w:top w:w="0" w:type="dxa"/>
        <w:right w:w="108" w:type="dxa"/>
        <w:bottom w:w="0" w:type="dxa"/>
      </w:tblCellMa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6" w:customStyle="1">
    <w:name w:val="无格式表格 51"/>
    <w:basedOn w:val="897"/>
    <w:uiPriority w:val="99"/>
    <w:qFormat/>
    <w:tblPr>
      <w:tblCellMar>
        <w:left w:w="108" w:type="dxa"/>
        <w:top w:w="0" w:type="dxa"/>
        <w:right w:w="108" w:type="dxa"/>
        <w:bottom w:w="0" w:type="dxa"/>
      </w:tblCellMar>
    </w:tblPr>
    <w:tblStylePr w:type="band1Horz">
      <w:rPr>
        <w:rFonts w:ascii="Arial" w:hAnsi="Arial"/>
        <w:color w:val="404040"/>
        <w:sz w:val="22"/>
      </w:rPr>
      <w:tcPr>
        <w:shd w:val="clear" w:color="f1f1f1" w:themeColor="text1" w:themeTint="0D" w:fill="f1f1f1" w:themeFill="text1" w:themeFillTint="0D"/>
      </w:tcPr>
    </w:tblStylePr>
    <w:tblStylePr w:type="band1Vert">
      <w:rPr>
        <w:rFonts w:ascii="Arial" w:hAnsi="Arial"/>
        <w:color w:val="404040"/>
        <w:sz w:val="22"/>
      </w:rPr>
      <w:tcPr>
        <w:shd w:val="clear" w:color="f1f1f1" w:themeColor="text1" w:themeTint="0D" w:fill="f1f1f1"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97" w:customStyle="1">
    <w:name w:val="网格表 1 浅色1"/>
    <w:basedOn w:val="897"/>
    <w:uiPriority w:val="99"/>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firstCol">
      <w:rPr>
        <w:b/>
        <w:color w:val="404040"/>
      </w:rPr>
    </w:tblStylePr>
    <w:tblStylePr w:type="firstRow">
      <w:rPr>
        <w:b/>
        <w:color w:val="404040"/>
      </w:rPr>
      <w:tcPr>
        <w:tcBorders>
          <w:bottom w:val="single" w:color="696969" w:themeColor="text1" w:themeTint="95" w:sz="12" w:space="0"/>
        </w:tcBorders>
      </w:tcPr>
    </w:tblStylePr>
    <w:tblStylePr w:type="lastCol">
      <w:rPr>
        <w:b/>
        <w:color w:val="404040"/>
      </w:rPr>
    </w:tblStylePr>
    <w:tblStylePr w:type="lastRow">
      <w:rPr>
        <w:b/>
        <w:color w:val="404040"/>
      </w:rPr>
    </w:tblStylePr>
  </w:style>
  <w:style w:type="table" w:styleId="998" w:customStyle="1">
    <w:name w:val="Grid Table 1 Light - Accent 1"/>
    <w:basedOn w:val="897"/>
    <w:uiPriority w:val="99"/>
    <w:qFormat/>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firstCol">
      <w:rPr>
        <w:b/>
        <w:color w:val="404040"/>
      </w:rPr>
    </w:tblStylePr>
    <w:tblStylePr w:type="firstRow">
      <w:rPr>
        <w:b/>
        <w:color w:val="404040"/>
      </w:rPr>
      <w:tcPr>
        <w:tcBorders>
          <w:bottom w:val="single" w:color="94ADE0" w:themeColor="accent1" w:themeTint="95" w:sz="12" w:space="0"/>
        </w:tcBorders>
      </w:tcPr>
    </w:tblStylePr>
    <w:tblStylePr w:type="lastCol">
      <w:rPr>
        <w:b/>
        <w:color w:val="404040"/>
      </w:rPr>
    </w:tblStylePr>
    <w:tblStylePr w:type="lastRow">
      <w:rPr>
        <w:b/>
        <w:color w:val="404040"/>
      </w:rPr>
    </w:tblStylePr>
  </w:style>
  <w:style w:type="table" w:styleId="999" w:customStyle="1">
    <w:name w:val="Grid Table 1 Light - Accent 2"/>
    <w:basedOn w:val="897"/>
    <w:uiPriority w:val="99"/>
    <w:qFormat/>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firstCol">
      <w:rPr>
        <w:b/>
        <w:color w:val="404040"/>
      </w:rPr>
    </w:tblStylePr>
    <w:tblStylePr w:type="firstRow">
      <w:rPr>
        <w:b/>
        <w:color w:val="404040"/>
      </w:rPr>
      <w:tcPr>
        <w:tcBorders>
          <w:bottom w:val="single" w:color="F5B585" w:themeColor="accent2" w:themeTint="95" w:sz="12" w:space="0"/>
        </w:tcBorders>
      </w:tcPr>
    </w:tblStylePr>
    <w:tblStylePr w:type="lastCol">
      <w:rPr>
        <w:b/>
        <w:color w:val="404040"/>
      </w:rPr>
    </w:tblStylePr>
    <w:tblStylePr w:type="lastRow">
      <w:rPr>
        <w:b/>
        <w:color w:val="404040"/>
      </w:rPr>
    </w:tblStylePr>
  </w:style>
  <w:style w:type="table" w:styleId="1000" w:customStyle="1">
    <w:name w:val="Grid Table 1 Light - Accent 3"/>
    <w:basedOn w:val="897"/>
    <w:uiPriority w:val="99"/>
    <w:qFormat/>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firstCol">
      <w:rPr>
        <w:b/>
        <w:color w:val="404040"/>
      </w:rPr>
    </w:tblStylePr>
    <w:tblStylePr w:type="firstRow">
      <w:rPr>
        <w:b/>
        <w:color w:val="404040"/>
      </w:rPr>
      <w:tcPr>
        <w:tcBorders>
          <w:bottom w:val="single" w:color="FDDA64" w:themeColor="accent3" w:themeTint="95" w:sz="12" w:space="0"/>
        </w:tcBorders>
      </w:tcPr>
    </w:tblStylePr>
    <w:tblStylePr w:type="lastCol">
      <w:rPr>
        <w:b/>
        <w:color w:val="404040"/>
      </w:rPr>
    </w:tblStylePr>
    <w:tblStylePr w:type="lastRow">
      <w:rPr>
        <w:b/>
        <w:color w:val="404040"/>
      </w:rPr>
    </w:tblStylePr>
  </w:style>
  <w:style w:type="table" w:styleId="1001" w:customStyle="1">
    <w:name w:val="Grid Table 1 Light - Accent 4"/>
    <w:basedOn w:val="897"/>
    <w:uiPriority w:val="99"/>
    <w:qFormat/>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firstCol">
      <w:rPr>
        <w:b/>
        <w:color w:val="404040"/>
      </w:rPr>
    </w:tblStylePr>
    <w:tblStylePr w:type="firstRow">
      <w:rPr>
        <w:b/>
        <w:color w:val="404040"/>
      </w:rPr>
      <w:tcPr>
        <w:tcBorders>
          <w:bottom w:val="single" w:color="AED890" w:themeColor="accent4" w:themeTint="95" w:sz="12" w:space="0"/>
        </w:tcBorders>
      </w:tcPr>
    </w:tblStylePr>
    <w:tblStylePr w:type="lastCol">
      <w:rPr>
        <w:b/>
        <w:color w:val="404040"/>
      </w:rPr>
    </w:tblStylePr>
    <w:tblStylePr w:type="lastRow">
      <w:rPr>
        <w:b/>
        <w:color w:val="404040"/>
      </w:rPr>
    </w:tblStylePr>
  </w:style>
  <w:style w:type="table" w:styleId="1002" w:customStyle="1">
    <w:name w:val="Grid Table 1 Light - Accent 5"/>
    <w:basedOn w:val="897"/>
    <w:uiPriority w:val="99"/>
    <w:qFormat/>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firstCol">
      <w:rPr>
        <w:b/>
        <w:color w:val="404040"/>
      </w:rPr>
    </w:tblStylePr>
    <w:tblStylePr w:type="firstRow">
      <w:rPr>
        <w:b/>
        <w:color w:val="404040"/>
      </w:rPr>
      <w:tcPr>
        <w:tcBorders>
          <w:bottom w:val="single" w:color="80DFD7" w:themeColor="accent5" w:themeTint="95" w:sz="12" w:space="0"/>
        </w:tcBorders>
      </w:tcPr>
    </w:tblStylePr>
    <w:tblStylePr w:type="lastCol">
      <w:rPr>
        <w:b/>
        <w:color w:val="404040"/>
      </w:rPr>
    </w:tblStylePr>
    <w:tblStylePr w:type="lastRow">
      <w:rPr>
        <w:b/>
        <w:color w:val="404040"/>
      </w:rPr>
    </w:tblStylePr>
  </w:style>
  <w:style w:type="table" w:styleId="1003" w:customStyle="1">
    <w:name w:val="Grid Table 1 Light - Accent 6"/>
    <w:basedOn w:val="897"/>
    <w:uiPriority w:val="99"/>
    <w:qFormat/>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firstCol">
      <w:rPr>
        <w:b/>
        <w:color w:val="404040"/>
      </w:rPr>
    </w:tblStylePr>
    <w:tblStylePr w:type="firstRow">
      <w:rPr>
        <w:b/>
        <w:color w:val="404040"/>
      </w:rPr>
      <w:tcPr>
        <w:tcBorders>
          <w:bottom w:val="single" w:color="EF96A0" w:themeColor="accent6" w:themeTint="95" w:sz="12" w:space="0"/>
        </w:tcBorders>
      </w:tcPr>
    </w:tblStylePr>
    <w:tblStylePr w:type="lastCol">
      <w:rPr>
        <w:b/>
        <w:color w:val="404040"/>
      </w:rPr>
    </w:tblStylePr>
    <w:tblStylePr w:type="lastRow">
      <w:rPr>
        <w:b/>
        <w:color w:val="404040"/>
      </w:rPr>
    </w:tblStylePr>
  </w:style>
  <w:style w:type="table" w:styleId="1004" w:customStyle="1">
    <w:name w:val="网格表 21"/>
    <w:basedOn w:val="897"/>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style>
  <w:style w:type="table" w:styleId="1005" w:customStyle="1">
    <w:name w:val="Grid Table 2 - Accent 1"/>
    <w:basedOn w:val="897"/>
    <w:uiPriority w:val="99"/>
    <w:qFormat/>
    <w:tblPr>
      <w:tblBorders>
        <w:bottom w:val="single" w:color="577FCF" w:themeColor="accent1" w:themeTint="EA" w:sz="4" w:space="0"/>
        <w:insideH w:val="single" w:color="577FCF" w:themeColor="accent1" w:themeTint="EA" w:sz="4" w:space="0"/>
        <w:insideV w:val="single" w:color="577FCF"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9e2f4" w:themeColor="accent1" w:themeTint="34" w:fill="d9e2f4" w:themeFill="accent1" w:themeFillTint="34"/>
      </w:tcPr>
    </w:tblStylePr>
    <w:tblStylePr w:type="band1Vert">
      <w:rPr>
        <w:rFonts w:ascii="Arial" w:hAnsi="Arial"/>
        <w:color w:val="404040"/>
        <w:sz w:val="22"/>
      </w:rPr>
      <w:tcPr>
        <w:shd w:val="clear" w:color="d9e2f4" w:themeColor="accent1" w:themeTint="34" w:fill="d9e2f4"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77FCF"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77FCF" w:themeColor="accent1" w:themeTint="EA" w:sz="4" w:space="0"/>
          <w:left w:val="none" w:color="000000" w:sz="4" w:space="0"/>
          <w:bottom w:val="none" w:color="000000" w:sz="4" w:space="0"/>
          <w:right w:val="none" w:color="000000" w:sz="4" w:space="0"/>
        </w:tcBorders>
      </w:tcPr>
    </w:tblStylePr>
  </w:style>
  <w:style w:type="table" w:styleId="1006" w:customStyle="1">
    <w:name w:val="Grid Table 2 - Accent 2"/>
    <w:basedOn w:val="897"/>
    <w:uiPriority w:val="99"/>
    <w:qFormat/>
    <w:tblPr>
      <w:tblBorders>
        <w:bottom w:val="single" w:color="F4B483" w:themeColor="accent2" w:themeTint="97" w:sz="4" w:space="0"/>
        <w:insideH w:val="single" w:color="F4B483" w:themeColor="accent2" w:themeTint="97" w:sz="4" w:space="0"/>
        <w:insideV w:val="single" w:color="F4B483"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6d6" w:themeColor="accent2" w:themeTint="32" w:fill="fbe6d6" w:themeFill="accent2" w:themeFillTint="32"/>
      </w:tcPr>
    </w:tblStylePr>
    <w:tblStylePr w:type="band1Vert">
      <w:rPr>
        <w:rFonts w:ascii="Arial" w:hAnsi="Arial"/>
        <w:color w:val="404040"/>
        <w:sz w:val="22"/>
      </w:rPr>
      <w:tcPr>
        <w:shd w:val="clear" w:color="fbe6d6" w:themeColor="accent2" w:themeTint="32" w:fill="fbe6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483"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483" w:themeColor="accent2" w:themeTint="97" w:sz="4" w:space="0"/>
          <w:left w:val="none" w:color="000000" w:sz="4" w:space="0"/>
          <w:bottom w:val="none" w:color="000000" w:sz="4" w:space="0"/>
          <w:right w:val="none" w:color="000000" w:sz="4" w:space="0"/>
        </w:tcBorders>
      </w:tcPr>
    </w:tblStylePr>
  </w:style>
  <w:style w:type="table" w:styleId="1007" w:customStyle="1">
    <w:name w:val="Grid Table 2 - Accent 3"/>
    <w:basedOn w:val="897"/>
    <w:uiPriority w:val="99"/>
    <w:qFormat/>
    <w:tblPr>
      <w:tblBorders>
        <w:bottom w:val="single" w:color="F3BA02" w:themeColor="accent3" w:themeTint="FE" w:sz="4" w:space="0"/>
        <w:insideH w:val="single" w:color="F3BA02" w:themeColor="accent3" w:themeTint="FE" w:sz="4" w:space="0"/>
        <w:insideV w:val="single" w:color="F3BA02"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fef2c9" w:themeColor="accent3" w:themeTint="34" w:fill="fef2c9" w:themeFill="accent3" w:themeFillTint="34"/>
      </w:tcPr>
    </w:tblStylePr>
    <w:tblStylePr w:type="band1Vert">
      <w:rPr>
        <w:rFonts w:ascii="Arial" w:hAnsi="Arial"/>
        <w:color w:val="404040"/>
        <w:sz w:val="22"/>
      </w:rPr>
      <w:tcPr>
        <w:shd w:val="clear" w:color="fef2c9" w:themeColor="accent3" w:themeTint="34" w:fill="fef2c9"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3BA02"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3BA02" w:themeColor="accent3" w:themeTint="FE" w:sz="4" w:space="0"/>
          <w:left w:val="none" w:color="000000" w:sz="4" w:space="0"/>
          <w:bottom w:val="none" w:color="000000" w:sz="4" w:space="0"/>
          <w:right w:val="none" w:color="000000" w:sz="4" w:space="0"/>
        </w:tcBorders>
      </w:tcPr>
    </w:tblStylePr>
  </w:style>
  <w:style w:type="table" w:styleId="1008" w:customStyle="1">
    <w:name w:val="Grid Table 2 - Accent 4"/>
    <w:basedOn w:val="897"/>
    <w:uiPriority w:val="99"/>
    <w:qFormat/>
    <w:tblPr>
      <w:tblBorders>
        <w:bottom w:val="single" w:color="ABD78C" w:themeColor="accent4" w:themeTint="9A" w:sz="4" w:space="0"/>
        <w:insideH w:val="single" w:color="ABD78C" w:themeColor="accent4" w:themeTint="9A" w:sz="4" w:space="0"/>
        <w:insideV w:val="single" w:color="ABD78C"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2f1d8" w:themeColor="accent4" w:themeTint="34" w:fill="e2f1d8" w:themeFill="accent4" w:themeFillTint="34"/>
      </w:tcPr>
    </w:tblStylePr>
    <w:tblStylePr w:type="band1Vert">
      <w:rPr>
        <w:rFonts w:ascii="Arial" w:hAnsi="Arial"/>
        <w:color w:val="404040"/>
        <w:sz w:val="22"/>
      </w:rPr>
      <w:tcPr>
        <w:shd w:val="clear" w:color="e2f1d8" w:themeColor="accent4" w:themeTint="34" w:fill="e2f1d8"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BD78C"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BD78C" w:themeColor="accent4" w:themeTint="9A" w:sz="4" w:space="0"/>
          <w:left w:val="none" w:color="000000" w:sz="4" w:space="0"/>
          <w:bottom w:val="none" w:color="000000" w:sz="4" w:space="0"/>
          <w:right w:val="none" w:color="000000" w:sz="4" w:space="0"/>
        </w:tcBorders>
      </w:tcPr>
    </w:tblStylePr>
  </w:style>
  <w:style w:type="table" w:styleId="1009" w:customStyle="1">
    <w:name w:val="Grid Table 2 - Accent 5"/>
    <w:basedOn w:val="897"/>
    <w:uiPriority w:val="99"/>
    <w:qFormat/>
    <w:tblPr>
      <w:tblBorders>
        <w:bottom w:val="single" w:color="30C0B4" w:themeColor="accent5" w:sz="4" w:space="0"/>
        <w:insideH w:val="single" w:color="30C0B4" w:themeColor="accent5" w:sz="4" w:space="0"/>
        <w:insideV w:val="single" w:color="30C0B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2f3f1" w:themeColor="accent5" w:themeTint="34" w:fill="d2f3f1" w:themeFill="accent5" w:themeFillTint="34"/>
      </w:tcPr>
    </w:tblStylePr>
    <w:tblStylePr w:type="band1Vert">
      <w:rPr>
        <w:rFonts w:ascii="Arial" w:hAnsi="Arial"/>
        <w:color w:val="404040"/>
        <w:sz w:val="22"/>
      </w:rPr>
      <w:tcPr>
        <w:shd w:val="clear" w:color="d2f3f1" w:themeColor="accent5" w:themeTint="34" w:fill="d2f3f1"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30C0B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30C0B4" w:themeColor="accent5" w:sz="4" w:space="0"/>
          <w:left w:val="none" w:color="000000" w:sz="4" w:space="0"/>
          <w:bottom w:val="none" w:color="000000" w:sz="4" w:space="0"/>
          <w:right w:val="none" w:color="000000" w:sz="4" w:space="0"/>
        </w:tcBorders>
      </w:tcPr>
    </w:tblStylePr>
  </w:style>
  <w:style w:type="table" w:styleId="1010" w:customStyle="1">
    <w:name w:val="Grid Table 2 - Accent 6"/>
    <w:basedOn w:val="897"/>
    <w:uiPriority w:val="99"/>
    <w:qFormat/>
    <w:tblPr>
      <w:tblBorders>
        <w:bottom w:val="single" w:color="E54C5E" w:themeColor="accent6" w:sz="4" w:space="0"/>
        <w:insideH w:val="single" w:color="E54C5E" w:themeColor="accent6" w:sz="4" w:space="0"/>
        <w:insideV w:val="single" w:color="E54C5E"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9dade" w:themeColor="accent6" w:themeTint="34" w:fill="f9dade" w:themeFill="accent6" w:themeFillTint="34"/>
      </w:tcPr>
    </w:tblStylePr>
    <w:tblStylePr w:type="band1Vert">
      <w:rPr>
        <w:rFonts w:ascii="Arial" w:hAnsi="Arial"/>
        <w:color w:val="404040"/>
        <w:sz w:val="22"/>
      </w:rPr>
      <w:tcPr>
        <w:shd w:val="clear" w:color="f9dade" w:themeColor="accent6" w:themeTint="34" w:fill="f9dade"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E54C5E"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E54C5E" w:themeColor="accent6" w:sz="4" w:space="0"/>
          <w:left w:val="none" w:color="000000" w:sz="4" w:space="0"/>
          <w:bottom w:val="none" w:color="000000" w:sz="4" w:space="0"/>
          <w:right w:val="none" w:color="000000" w:sz="4" w:space="0"/>
        </w:tcBorders>
      </w:tcPr>
    </w:tblStylePr>
  </w:style>
  <w:style w:type="table" w:styleId="1011" w:customStyle="1">
    <w:name w:val="网格表 31"/>
    <w:basedOn w:val="897"/>
    <w:uiPriority w:val="99"/>
    <w:qFormat/>
    <w:tblPr>
      <w:tblBorders>
        <w:bottom w:val="single" w:color="696969" w:themeColor="text1" w:themeTint="95" w:sz="4" w:space="0"/>
        <w:insideH w:val="single" w:color="696969" w:themeColor="text1" w:themeTint="95" w:sz="4" w:space="0"/>
        <w:insideV w:val="single" w:color="696969"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2" w:customStyle="1">
    <w:name w:val="Grid Table 3 - Accent 1"/>
    <w:basedOn w:val="897"/>
    <w:uiPriority w:val="99"/>
    <w:qFormat/>
    <w:tblPr>
      <w:tblBorders>
        <w:bottom w:val="single" w:color="577FCF" w:themeColor="accent1" w:themeTint="EA" w:sz="4" w:space="0"/>
        <w:insideH w:val="single" w:color="577FCF" w:themeColor="accent1" w:themeTint="EA" w:sz="4" w:space="0"/>
        <w:insideV w:val="single" w:color="577FCF"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9e2f4" w:themeColor="accent1" w:themeTint="34" w:fill="d9e2f4" w:themeFill="accent1" w:themeFillTint="34"/>
      </w:tcPr>
    </w:tblStylePr>
    <w:tblStylePr w:type="band1Vert">
      <w:rPr>
        <w:rFonts w:ascii="Arial" w:hAnsi="Arial"/>
        <w:color w:val="404040"/>
        <w:sz w:val="22"/>
      </w:rPr>
      <w:tcPr>
        <w:shd w:val="clear" w:color="d9e2f4" w:themeColor="accent1" w:themeTint="34" w:fill="d9e2f4"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3" w:customStyle="1">
    <w:name w:val="Grid Table 3 - Accent 2"/>
    <w:basedOn w:val="897"/>
    <w:uiPriority w:val="99"/>
    <w:qFormat/>
    <w:tblPr>
      <w:tblBorders>
        <w:bottom w:val="single" w:color="F4B483" w:themeColor="accent2" w:themeTint="97" w:sz="4" w:space="0"/>
        <w:insideH w:val="single" w:color="F4B483" w:themeColor="accent2" w:themeTint="97" w:sz="4" w:space="0"/>
        <w:insideV w:val="single" w:color="F4B483"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6d6" w:themeColor="accent2" w:themeTint="32" w:fill="fbe6d6" w:themeFill="accent2" w:themeFillTint="32"/>
      </w:tcPr>
    </w:tblStylePr>
    <w:tblStylePr w:type="band1Vert">
      <w:rPr>
        <w:rFonts w:ascii="Arial" w:hAnsi="Arial"/>
        <w:color w:val="404040"/>
        <w:sz w:val="22"/>
      </w:rPr>
      <w:tcPr>
        <w:shd w:val="clear" w:color="fbe6d6" w:themeColor="accent2" w:themeTint="32" w:fill="fbe6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4" w:customStyle="1">
    <w:name w:val="Grid Table 3 - Accent 3"/>
    <w:basedOn w:val="897"/>
    <w:uiPriority w:val="99"/>
    <w:qFormat/>
    <w:tblPr>
      <w:tblBorders>
        <w:bottom w:val="single" w:color="F3BA02" w:themeColor="accent3" w:themeTint="FE" w:sz="4" w:space="0"/>
        <w:insideH w:val="single" w:color="F3BA02" w:themeColor="accent3" w:themeTint="FE" w:sz="4" w:space="0"/>
        <w:insideV w:val="single" w:color="F3BA02"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fef2c9" w:themeColor="accent3" w:themeTint="34" w:fill="fef2c9" w:themeFill="accent3" w:themeFillTint="34"/>
      </w:tcPr>
    </w:tblStylePr>
    <w:tblStylePr w:type="band1Vert">
      <w:rPr>
        <w:rFonts w:ascii="Arial" w:hAnsi="Arial"/>
        <w:color w:val="404040"/>
        <w:sz w:val="22"/>
      </w:rPr>
      <w:tcPr>
        <w:shd w:val="clear" w:color="fef2c9" w:themeColor="accent3" w:themeTint="34" w:fill="fef2c9"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5" w:customStyle="1">
    <w:name w:val="Grid Table 3 - Accent 4"/>
    <w:basedOn w:val="897"/>
    <w:uiPriority w:val="99"/>
    <w:qFormat/>
    <w:tblPr>
      <w:tblBorders>
        <w:bottom w:val="single" w:color="ABD78C" w:themeColor="accent4" w:themeTint="9A" w:sz="4" w:space="0"/>
        <w:insideH w:val="single" w:color="ABD78C" w:themeColor="accent4" w:themeTint="9A" w:sz="4" w:space="0"/>
        <w:insideV w:val="single" w:color="ABD78C"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2f1d8" w:themeColor="accent4" w:themeTint="34" w:fill="e2f1d8" w:themeFill="accent4" w:themeFillTint="34"/>
      </w:tcPr>
    </w:tblStylePr>
    <w:tblStylePr w:type="band1Vert">
      <w:rPr>
        <w:rFonts w:ascii="Arial" w:hAnsi="Arial"/>
        <w:color w:val="404040"/>
        <w:sz w:val="22"/>
      </w:rPr>
      <w:tcPr>
        <w:shd w:val="clear" w:color="e2f1d8" w:themeColor="accent4" w:themeTint="34" w:fill="e2f1d8"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6" w:customStyle="1">
    <w:name w:val="Grid Table 3 - Accent 5"/>
    <w:basedOn w:val="897"/>
    <w:uiPriority w:val="99"/>
    <w:qFormat/>
    <w:tblPr>
      <w:tblBorders>
        <w:bottom w:val="single" w:color="30C0B4" w:themeColor="accent5" w:sz="4" w:space="0"/>
        <w:insideH w:val="single" w:color="30C0B4" w:themeColor="accent5" w:sz="4" w:space="0"/>
        <w:insideV w:val="single" w:color="30C0B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2f3f1" w:themeColor="accent5" w:themeTint="34" w:fill="d2f3f1" w:themeFill="accent5" w:themeFillTint="34"/>
      </w:tcPr>
    </w:tblStylePr>
    <w:tblStylePr w:type="band1Vert">
      <w:rPr>
        <w:rFonts w:ascii="Arial" w:hAnsi="Arial"/>
        <w:color w:val="404040"/>
        <w:sz w:val="22"/>
      </w:rPr>
      <w:tcPr>
        <w:shd w:val="clear" w:color="d2f3f1" w:themeColor="accent5" w:themeTint="34" w:fill="d2f3f1"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7" w:customStyle="1">
    <w:name w:val="Grid Table 3 - Accent 6"/>
    <w:basedOn w:val="897"/>
    <w:uiPriority w:val="99"/>
    <w:qFormat/>
    <w:tblPr>
      <w:tblBorders>
        <w:bottom w:val="single" w:color="E54C5E" w:themeColor="accent6" w:sz="4" w:space="0"/>
        <w:insideH w:val="single" w:color="E54C5E" w:themeColor="accent6" w:sz="4" w:space="0"/>
        <w:insideV w:val="single" w:color="E54C5E"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9dade" w:themeColor="accent6" w:themeTint="34" w:fill="f9dade" w:themeFill="accent6" w:themeFillTint="34"/>
      </w:tcPr>
    </w:tblStylePr>
    <w:tblStylePr w:type="band1Vert">
      <w:rPr>
        <w:rFonts w:ascii="Arial" w:hAnsi="Arial"/>
        <w:color w:val="404040"/>
        <w:sz w:val="22"/>
      </w:rPr>
      <w:tcPr>
        <w:shd w:val="clear" w:color="f9dade" w:themeColor="accent6" w:themeTint="34" w:fill="f9dade"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8" w:customStyle="1">
    <w:name w:val="网格表 41"/>
    <w:basedOn w:val="897"/>
    <w:uiPriority w:val="59"/>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acaca" w:themeColor="text1" w:themeTint="34" w:fill="cacaca" w:themeFill="text1" w:themeFillTint="34"/>
      </w:tcPr>
    </w:tblStylePr>
    <w:tblStylePr w:type="band1Vert">
      <w:rPr>
        <w:rFonts w:ascii="Arial" w:hAnsi="Arial"/>
        <w:color w:val="404040"/>
        <w:sz w:val="22"/>
      </w:rPr>
      <w:tcPr>
        <w:shd w:val="clear" w:color="cacaca" w:themeColor="text1" w:themeTint="34" w:fill="cacaca"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9" w:customStyle="1">
    <w:name w:val="Grid Table 4 - Accent 1"/>
    <w:basedOn w:val="897"/>
    <w:uiPriority w:val="59"/>
    <w:qFormat/>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be3f4" w:themeColor="accent1" w:themeTint="32" w:fill="dbe3f4" w:themeFill="accent1" w:themeFillTint="32"/>
      </w:tcPr>
    </w:tblStylePr>
    <w:tblStylePr w:type="band1Vert">
      <w:rPr>
        <w:rFonts w:ascii="Arial" w:hAnsi="Arial"/>
        <w:color w:val="404040"/>
        <w:sz w:val="22"/>
      </w:rPr>
      <w:tcPr>
        <w:shd w:val="clear" w:color="dbe3f4" w:themeColor="accent1" w:themeTint="32" w:fill="dbe3f4" w:themeFill="accent1" w:themeFillTint="32"/>
      </w:tcPr>
    </w:tblStylePr>
    <w:tblStylePr w:type="firstCol">
      <w:rPr>
        <w:b/>
        <w:color w:val="404040"/>
      </w:rPr>
    </w:tblStylePr>
    <w:tblStylePr w:type="firstRow">
      <w:rPr>
        <w:rFonts w:ascii="Arial" w:hAnsi="Arial"/>
        <w:b/>
        <w:color w:val="ffffff"/>
        <w:sz w:val="22"/>
      </w:rPr>
      <w:tcPr>
        <w:shd w:val="clear" w:color="577fcf" w:themeColor="accent1" w:themeTint="EA" w:fill="577fcf" w:themeFill="accent1" w:themeFillTint="EA"/>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tcPr>
    </w:tblStylePr>
    <w:tblStylePr w:type="lastCol">
      <w:rPr>
        <w:b/>
        <w:color w:val="404040"/>
      </w:rPr>
    </w:tblStylePr>
    <w:tblStylePr w:type="lastRow">
      <w:rPr>
        <w:b/>
        <w:color w:val="404040"/>
      </w:rPr>
      <w:tcPr>
        <w:tcBorders>
          <w:top w:val="single" w:color="577FCF" w:themeColor="accent1" w:themeTint="EA" w:sz="4" w:space="0"/>
        </w:tcBorders>
      </w:tcPr>
    </w:tblStylePr>
  </w:style>
  <w:style w:type="table" w:styleId="1020" w:customStyle="1">
    <w:name w:val="Grid Table 4 - Accent 2"/>
    <w:basedOn w:val="897"/>
    <w:uiPriority w:val="59"/>
    <w:qFormat/>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6d6" w:themeColor="accent2" w:themeTint="32" w:fill="fbe6d6" w:themeFill="accent2" w:themeFillTint="32"/>
      </w:tcPr>
    </w:tblStylePr>
    <w:tblStylePr w:type="band1Vert">
      <w:rPr>
        <w:rFonts w:ascii="Arial" w:hAnsi="Arial"/>
        <w:color w:val="404040"/>
        <w:sz w:val="22"/>
      </w:rPr>
      <w:tcPr>
        <w:shd w:val="clear" w:color="fbe6d6" w:themeColor="accent2" w:themeTint="32" w:fill="fbe6d6" w:themeFill="accent2" w:themeFillTint="32"/>
      </w:tcPr>
    </w:tblStylePr>
    <w:tblStylePr w:type="firstCol">
      <w:rPr>
        <w:b/>
        <w:color w:val="404040"/>
      </w:rPr>
    </w:tblStylePr>
    <w:tblStylePr w:type="firstRow">
      <w:rPr>
        <w:rFonts w:ascii="Arial" w:hAnsi="Arial"/>
        <w:b/>
        <w:color w:val="ffffff"/>
        <w:sz w:val="22"/>
      </w:rPr>
      <w:tcPr>
        <w:shd w:val="clear" w:color="f4b483" w:themeColor="accent2" w:themeTint="97" w:fill="f4b483" w:themeFill="accent2" w:themeFillTint="97"/>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tcPr>
    </w:tblStylePr>
    <w:tblStylePr w:type="lastCol">
      <w:rPr>
        <w:b/>
        <w:color w:val="404040"/>
      </w:rPr>
    </w:tblStylePr>
    <w:tblStylePr w:type="lastRow">
      <w:rPr>
        <w:b/>
        <w:color w:val="404040"/>
      </w:rPr>
      <w:tcPr>
        <w:tcBorders>
          <w:top w:val="single" w:color="F4B483" w:themeColor="accent2" w:themeTint="97" w:sz="4" w:space="0"/>
        </w:tcBorders>
      </w:tcPr>
    </w:tblStylePr>
  </w:style>
  <w:style w:type="table" w:styleId="1021" w:customStyle="1">
    <w:name w:val="Grid Table 4 - Accent 3"/>
    <w:basedOn w:val="897"/>
    <w:uiPriority w:val="59"/>
    <w:qFormat/>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fef2c9" w:themeColor="accent3" w:themeTint="34" w:fill="fef2c9" w:themeFill="accent3" w:themeFillTint="34"/>
      </w:tcPr>
    </w:tblStylePr>
    <w:tblStylePr w:type="band1Vert">
      <w:rPr>
        <w:rFonts w:ascii="Arial" w:hAnsi="Arial"/>
        <w:color w:val="404040"/>
        <w:sz w:val="22"/>
      </w:rPr>
      <w:tcPr>
        <w:shd w:val="clear" w:color="fef2c9" w:themeColor="accent3" w:themeTint="34" w:fill="fef2c9" w:themeFill="accent3" w:themeFillTint="34"/>
      </w:tcPr>
    </w:tblStylePr>
    <w:tblStylePr w:type="firstCol">
      <w:rPr>
        <w:b/>
        <w:color w:val="404040"/>
      </w:rPr>
    </w:tblStylePr>
    <w:tblStylePr w:type="firstRow">
      <w:rPr>
        <w:rFonts w:ascii="Arial" w:hAnsi="Arial"/>
        <w:b/>
        <w:color w:val="ffffff"/>
        <w:sz w:val="22"/>
      </w:rPr>
      <w:tcPr>
        <w:shd w:val="clear" w:color="f3ba02" w:themeColor="accent3" w:themeTint="FE" w:fill="f3ba02" w:themeFill="accent3" w:themeFillTint="FE"/>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tcPr>
    </w:tblStylePr>
    <w:tblStylePr w:type="lastCol">
      <w:rPr>
        <w:b/>
        <w:color w:val="404040"/>
      </w:rPr>
    </w:tblStylePr>
    <w:tblStylePr w:type="lastRow">
      <w:rPr>
        <w:b/>
        <w:color w:val="404040"/>
      </w:rPr>
      <w:tcPr>
        <w:tcBorders>
          <w:top w:val="single" w:color="F3BA02" w:themeColor="accent3" w:themeTint="FE" w:sz="4" w:space="0"/>
        </w:tcBorders>
      </w:tcPr>
    </w:tblStylePr>
  </w:style>
  <w:style w:type="table" w:styleId="1022" w:customStyle="1">
    <w:name w:val="Grid Table 4 - Accent 4"/>
    <w:basedOn w:val="897"/>
    <w:uiPriority w:val="59"/>
    <w:qFormat/>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2f1d8" w:themeColor="accent4" w:themeTint="34" w:fill="e2f1d8" w:themeFill="accent4" w:themeFillTint="34"/>
      </w:tcPr>
    </w:tblStylePr>
    <w:tblStylePr w:type="band1Vert">
      <w:rPr>
        <w:rFonts w:ascii="Arial" w:hAnsi="Arial"/>
        <w:color w:val="404040"/>
        <w:sz w:val="22"/>
      </w:rPr>
      <w:tcPr>
        <w:shd w:val="clear" w:color="e2f1d8" w:themeColor="accent4" w:themeTint="34" w:fill="e2f1d8" w:themeFill="accent4" w:themeFillTint="34"/>
      </w:tcPr>
    </w:tblStylePr>
    <w:tblStylePr w:type="firstCol">
      <w:rPr>
        <w:b/>
        <w:color w:val="404040"/>
      </w:rPr>
    </w:tblStylePr>
    <w:tblStylePr w:type="firstRow">
      <w:rPr>
        <w:rFonts w:ascii="Arial" w:hAnsi="Arial"/>
        <w:b/>
        <w:color w:val="ffffff"/>
        <w:sz w:val="22"/>
      </w:rPr>
      <w:tcPr>
        <w:shd w:val="clear" w:color="abd78c" w:themeColor="accent4" w:themeTint="9A" w:fill="abd78c" w:themeFill="accent4" w:themeFillTint="9A"/>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tcPr>
    </w:tblStylePr>
    <w:tblStylePr w:type="lastCol">
      <w:rPr>
        <w:b/>
        <w:color w:val="404040"/>
      </w:rPr>
    </w:tblStylePr>
    <w:tblStylePr w:type="lastRow">
      <w:rPr>
        <w:b/>
        <w:color w:val="404040"/>
      </w:rPr>
      <w:tcPr>
        <w:tcBorders>
          <w:top w:val="single" w:color="ABD78C" w:themeColor="accent4" w:themeTint="9A" w:sz="4" w:space="0"/>
        </w:tcBorders>
      </w:tcPr>
    </w:tblStylePr>
  </w:style>
  <w:style w:type="table" w:styleId="1023" w:customStyle="1">
    <w:name w:val="Grid Table 4 - Accent 5"/>
    <w:basedOn w:val="897"/>
    <w:uiPriority w:val="59"/>
    <w:qFormat/>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2f3f1" w:themeColor="accent5" w:themeTint="34" w:fill="d2f3f1" w:themeFill="accent5" w:themeFillTint="34"/>
      </w:tcPr>
    </w:tblStylePr>
    <w:tblStylePr w:type="band1Vert">
      <w:rPr>
        <w:rFonts w:ascii="Arial" w:hAnsi="Arial"/>
        <w:color w:val="404040"/>
        <w:sz w:val="22"/>
      </w:rPr>
      <w:tcPr>
        <w:shd w:val="clear" w:color="d2f3f1" w:themeColor="accent5" w:themeTint="34" w:fill="d2f3f1" w:themeFill="accent5" w:themeFillTint="34"/>
      </w:tcPr>
    </w:tblStylePr>
    <w:tblStylePr w:type="firstCol">
      <w:rPr>
        <w:b/>
        <w:color w:val="404040"/>
      </w:rPr>
    </w:tblStylePr>
    <w:tblStylePr w:type="firstRow">
      <w:rPr>
        <w:rFonts w:ascii="Arial" w:hAnsi="Arial"/>
        <w:b/>
        <w:color w:val="ffffff"/>
        <w:sz w:val="22"/>
      </w:rPr>
      <w:tcPr>
        <w:shd w:val="clear" w:color="30c0b4" w:themeColor="accent5" w:fill="30c0b4" w:themeFill="accent5"/>
        <w:tcBorders>
          <w:top w:val="single" w:color="30C0B4" w:themeColor="accent5" w:sz="4" w:space="0"/>
          <w:left w:val="single" w:color="30C0B4" w:themeColor="accent5" w:sz="4" w:space="0"/>
          <w:bottom w:val="single" w:color="30C0B4" w:themeColor="accent5" w:sz="4" w:space="0"/>
          <w:right w:val="single" w:color="30C0B4" w:themeColor="accent5" w:sz="4" w:space="0"/>
        </w:tcBorders>
      </w:tcPr>
    </w:tblStylePr>
    <w:tblStylePr w:type="lastCol">
      <w:rPr>
        <w:b/>
        <w:color w:val="404040"/>
      </w:rPr>
    </w:tblStylePr>
    <w:tblStylePr w:type="lastRow">
      <w:rPr>
        <w:b/>
        <w:color w:val="404040"/>
      </w:rPr>
      <w:tcPr>
        <w:tcBorders>
          <w:top w:val="single" w:color="30C0B4" w:themeColor="accent5" w:sz="4" w:space="0"/>
        </w:tcBorders>
      </w:tcPr>
    </w:tblStylePr>
  </w:style>
  <w:style w:type="table" w:styleId="1024" w:customStyle="1">
    <w:name w:val="Grid Table 4 - Accent 6"/>
    <w:basedOn w:val="897"/>
    <w:uiPriority w:val="59"/>
    <w:qFormat/>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9dade" w:themeColor="accent6" w:themeTint="34" w:fill="f9dade" w:themeFill="accent6" w:themeFillTint="34"/>
      </w:tcPr>
    </w:tblStylePr>
    <w:tblStylePr w:type="band1Vert">
      <w:rPr>
        <w:rFonts w:ascii="Arial" w:hAnsi="Arial"/>
        <w:color w:val="404040"/>
        <w:sz w:val="22"/>
      </w:rPr>
      <w:tcPr>
        <w:shd w:val="clear" w:color="f9dade" w:themeColor="accent6" w:themeTint="34" w:fill="f9dade" w:themeFill="accent6" w:themeFillTint="34"/>
      </w:tcPr>
    </w:tblStylePr>
    <w:tblStylePr w:type="firstCol">
      <w:rPr>
        <w:b/>
        <w:color w:val="404040"/>
      </w:rPr>
    </w:tblStylePr>
    <w:tblStylePr w:type="firstRow">
      <w:rPr>
        <w:rFonts w:ascii="Arial" w:hAnsi="Arial"/>
        <w:b/>
        <w:color w:val="ffffff"/>
        <w:sz w:val="22"/>
      </w:rPr>
      <w:tcPr>
        <w:shd w:val="clear" w:color="e54c5e" w:themeColor="accent6" w:fill="e54c5e" w:themeFill="accent6"/>
        <w:tcBorders>
          <w:top w:val="single" w:color="E54C5E" w:themeColor="accent6" w:sz="4" w:space="0"/>
          <w:left w:val="single" w:color="E54C5E" w:themeColor="accent6" w:sz="4" w:space="0"/>
          <w:bottom w:val="single" w:color="E54C5E" w:themeColor="accent6" w:sz="4" w:space="0"/>
          <w:right w:val="single" w:color="E54C5E" w:themeColor="accent6" w:sz="4" w:space="0"/>
        </w:tcBorders>
      </w:tcPr>
    </w:tblStylePr>
    <w:tblStylePr w:type="lastCol">
      <w:rPr>
        <w:b/>
        <w:color w:val="404040"/>
      </w:rPr>
    </w:tblStylePr>
    <w:tblStylePr w:type="lastRow">
      <w:rPr>
        <w:b/>
        <w:color w:val="404040"/>
      </w:rPr>
      <w:tcPr>
        <w:tcBorders>
          <w:top w:val="single" w:color="E54C5E" w:themeColor="accent6" w:sz="4" w:space="0"/>
        </w:tcBorders>
      </w:tcPr>
    </w:tblStylePr>
  </w:style>
  <w:style w:type="table" w:styleId="1025" w:customStyle="1">
    <w:name w:val="网格表 5 深色1"/>
    <w:basedOn w:val="897"/>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cPr>
        <w:shd w:val="clear" w:color="898989" w:themeColor="text1" w:themeTint="75" w:fill="898989" w:themeFill="text1" w:themeFillTint="75"/>
      </w:tcPr>
    </w:tblStylePr>
    <w:tblStylePr w:type="band1Vert">
      <w:tcPr>
        <w:shd w:val="clear" w:color="898989" w:themeColor="text1" w:themeTint="75" w:fill="898989"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026" w:customStyle="1">
    <w:name w:val="Grid Table 5 Dark- Accent 1"/>
    <w:basedOn w:val="897"/>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cPr>
        <w:shd w:val="clear" w:color="abbfe7" w:themeColor="accent1" w:themeTint="75" w:fill="abbfe7" w:themeFill="accent1" w:themeFillTint="75"/>
      </w:tcPr>
    </w:tblStylePr>
    <w:tblStylePr w:type="band1Vert">
      <w:tcPr>
        <w:shd w:val="clear" w:color="abbfe7" w:themeColor="accent1" w:themeTint="75" w:fill="abbfe7" w:themeFill="accent1" w:themeFillTint="75"/>
      </w:tcPr>
    </w:tblStylePr>
    <w:tblStylePr w:type="firstCol">
      <w:rPr>
        <w:rFonts w:ascii="Arial" w:hAnsi="Arial"/>
        <w:b/>
        <w:color w:val="ffffff"/>
        <w:sz w:val="22"/>
      </w:rPr>
      <w:tcPr>
        <w:shd w:val="clear" w:color="4874cb" w:themeColor="accent1" w:fill="4874cb" w:themeFill="accent1"/>
      </w:tcPr>
    </w:tblStylePr>
    <w:tblStylePr w:type="firstRow">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shd w:val="clear" w:color="4874cb" w:themeColor="accent1" w:fill="4874cb" w:themeFill="accent1"/>
        <w:tcBorders>
          <w:top w:val="single" w:color="FFFFFF" w:themeColor="light1" w:sz="4" w:space="0"/>
        </w:tcBorders>
      </w:tcPr>
    </w:tblStylePr>
  </w:style>
  <w:style w:type="table" w:styleId="1027" w:customStyle="1">
    <w:name w:val="Grid Table 5 Dark - Accent 2"/>
    <w:basedOn w:val="897"/>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cPr>
        <w:shd w:val="clear" w:color="f7c59f" w:themeColor="accent2" w:themeTint="75" w:fill="f7c59f" w:themeFill="accent2" w:themeFillTint="75"/>
      </w:tcPr>
    </w:tblStylePr>
    <w:tblStylePr w:type="band1Vert">
      <w:tcPr>
        <w:shd w:val="clear" w:color="f7c59f" w:themeColor="accent2" w:themeTint="75" w:fill="f7c59f" w:themeFill="accent2" w:themeFillTint="75"/>
      </w:tcPr>
    </w:tblStylePr>
    <w:tblStylePr w:type="firstCol">
      <w:rPr>
        <w:rFonts w:ascii="Arial" w:hAnsi="Arial"/>
        <w:b/>
        <w:color w:val="ffffff"/>
        <w:sz w:val="22"/>
      </w:rPr>
      <w:tcPr>
        <w:shd w:val="clear" w:color="ee822f" w:themeColor="accent2" w:fill="ee822f" w:themeFill="accent2"/>
      </w:tcPr>
    </w:tblStylePr>
    <w:tblStylePr w:type="firstRow">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shd w:val="clear" w:color="ee822f" w:themeColor="accent2" w:fill="ee822f" w:themeFill="accent2"/>
        <w:tcBorders>
          <w:top w:val="single" w:color="FFFFFF" w:themeColor="light1" w:sz="4" w:space="0"/>
        </w:tcBorders>
      </w:tcPr>
    </w:tblStylePr>
  </w:style>
  <w:style w:type="table" w:styleId="1028" w:customStyle="1">
    <w:name w:val="Grid Table 5 Dark - Accent 3"/>
    <w:basedOn w:val="897"/>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cPr>
        <w:shd w:val="clear" w:color="fde185" w:themeColor="accent3" w:themeTint="75" w:fill="fde185" w:themeFill="accent3" w:themeFillTint="75"/>
      </w:tcPr>
    </w:tblStylePr>
    <w:tblStylePr w:type="band1Vert">
      <w:tcPr>
        <w:shd w:val="clear" w:color="fde185" w:themeColor="accent3" w:themeTint="75" w:fill="fde185" w:themeFill="accent3" w:themeFillTint="75"/>
      </w:tcPr>
    </w:tblStylePr>
    <w:tblStylePr w:type="firstCol">
      <w:rPr>
        <w:rFonts w:ascii="Arial" w:hAnsi="Arial"/>
        <w:b/>
        <w:color w:val="ffffff"/>
        <w:sz w:val="22"/>
      </w:rPr>
      <w:tcPr>
        <w:shd w:val="clear" w:color="f2ba02" w:themeColor="accent3" w:fill="f2ba02" w:themeFill="accent3"/>
      </w:tcPr>
    </w:tblStylePr>
    <w:tblStylePr w:type="firstRow">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shd w:val="clear" w:color="f2ba02" w:themeColor="accent3" w:fill="f2ba02" w:themeFill="accent3"/>
        <w:tcBorders>
          <w:top w:val="single" w:color="FFFFFF" w:themeColor="light1" w:sz="4" w:space="0"/>
        </w:tcBorders>
      </w:tcPr>
    </w:tblStylePr>
  </w:style>
  <w:style w:type="table" w:styleId="1029" w:customStyle="1">
    <w:name w:val="Grid Table 5 Dark- Accent 4"/>
    <w:basedOn w:val="897"/>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cPr>
        <w:shd w:val="clear" w:color="bfe0a8" w:themeColor="accent4" w:themeTint="75" w:fill="bfe0a8" w:themeFill="accent4" w:themeFillTint="75"/>
      </w:tcPr>
    </w:tblStylePr>
    <w:tblStylePr w:type="band1Vert">
      <w:tcPr>
        <w:shd w:val="clear" w:color="bfe0a8" w:themeColor="accent4" w:themeTint="75" w:fill="bfe0a8" w:themeFill="accent4" w:themeFillTint="75"/>
      </w:tcPr>
    </w:tblStylePr>
    <w:tblStylePr w:type="firstCol">
      <w:rPr>
        <w:rFonts w:ascii="Arial" w:hAnsi="Arial"/>
        <w:b/>
        <w:color w:val="ffffff"/>
        <w:sz w:val="22"/>
      </w:rPr>
      <w:tcPr>
        <w:shd w:val="clear" w:color="75bd42" w:themeColor="accent4" w:fill="75bd42" w:themeFill="accent4"/>
      </w:tcPr>
    </w:tblStylePr>
    <w:tblStylePr w:type="firstRow">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shd w:val="clear" w:color="75bd42" w:themeColor="accent4" w:fill="75bd42" w:themeFill="accent4"/>
        <w:tcBorders>
          <w:top w:val="single" w:color="FFFFFF" w:themeColor="light1" w:sz="4" w:space="0"/>
        </w:tcBorders>
      </w:tcPr>
    </w:tblStylePr>
  </w:style>
  <w:style w:type="table" w:styleId="1030" w:customStyle="1">
    <w:name w:val="Grid Table 5 Dark - Accent 5"/>
    <w:basedOn w:val="897"/>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cPr>
        <w:shd w:val="clear" w:color="9be6e0" w:themeColor="accent5" w:themeTint="75" w:fill="9be6e0" w:themeFill="accent5" w:themeFillTint="75"/>
      </w:tcPr>
    </w:tblStylePr>
    <w:tblStylePr w:type="band1Vert">
      <w:tcPr>
        <w:shd w:val="clear" w:color="9be6e0" w:themeColor="accent5" w:themeTint="75" w:fill="9be6e0" w:themeFill="accent5" w:themeFillTint="75"/>
      </w:tcPr>
    </w:tblStylePr>
    <w:tblStylePr w:type="firstCol">
      <w:rPr>
        <w:rFonts w:ascii="Arial" w:hAnsi="Arial"/>
        <w:b/>
        <w:color w:val="ffffff"/>
        <w:sz w:val="22"/>
      </w:rPr>
      <w:tcPr>
        <w:shd w:val="clear" w:color="30c0b4" w:themeColor="accent5" w:fill="30c0b4" w:themeFill="accent5"/>
      </w:tcPr>
    </w:tblStylePr>
    <w:tblStylePr w:type="firstRow">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shd w:val="clear" w:color="30c0b4" w:themeColor="accent5" w:fill="30c0b4" w:themeFill="accent5"/>
        <w:tcBorders>
          <w:top w:val="single" w:color="FFFFFF" w:themeColor="light1" w:sz="4" w:space="0"/>
        </w:tcBorders>
      </w:tcPr>
    </w:tblStylePr>
  </w:style>
  <w:style w:type="table" w:styleId="1031" w:customStyle="1">
    <w:name w:val="Grid Table 5 Dark - Accent 6"/>
    <w:basedOn w:val="897"/>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108" w:type="dxa"/>
        <w:top w:w="0" w:type="dxa"/>
        <w:right w:w="108" w:type="dxa"/>
        <w:bottom w:w="0" w:type="dxa"/>
      </w:tblCellMar>
    </w:tblPr>
    <w:tblStylePr w:type="band1Horz">
      <w:tcPr>
        <w:shd w:val="clear" w:color="f3acb5" w:themeColor="accent6" w:themeTint="75" w:fill="f3acb5" w:themeFill="accent6" w:themeFillTint="75"/>
      </w:tcPr>
    </w:tblStylePr>
    <w:tblStylePr w:type="band1Vert">
      <w:tcPr>
        <w:shd w:val="clear" w:color="f3acb5" w:themeColor="accent6" w:themeTint="75" w:fill="f3acb5" w:themeFill="accent6" w:themeFillTint="75"/>
      </w:tcPr>
    </w:tblStylePr>
    <w:tblStylePr w:type="firstCol">
      <w:rPr>
        <w:rFonts w:ascii="Arial" w:hAnsi="Arial"/>
        <w:b/>
        <w:color w:val="ffffff"/>
        <w:sz w:val="22"/>
      </w:rPr>
      <w:tcPr>
        <w:shd w:val="clear" w:color="e54c5e" w:themeColor="accent6" w:fill="e54c5e" w:themeFill="accent6"/>
      </w:tcPr>
    </w:tblStylePr>
    <w:tblStylePr w:type="firstRow">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shd w:val="clear" w:color="e54c5e" w:themeColor="accent6" w:fill="e54c5e" w:themeFill="accent6"/>
        <w:tcBorders>
          <w:top w:val="single" w:color="FFFFFF" w:themeColor="light1" w:sz="4" w:space="0"/>
        </w:tcBorders>
      </w:tcPr>
    </w:tblStylePr>
  </w:style>
  <w:style w:type="table" w:styleId="1032" w:customStyle="1">
    <w:name w:val="网格表 6 彩色1"/>
    <w:basedOn w:val="897"/>
    <w:uiPriority w:val="99"/>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108" w:type="dxa"/>
        <w:top w:w="0" w:type="dxa"/>
        <w:right w:w="108" w:type="dxa"/>
        <w:bottom w:w="0" w:type="dxa"/>
      </w:tblCellMar>
    </w:tblPr>
    <w:tblStylePr w:type="band1Horz">
      <w:rPr>
        <w:rFonts w:ascii="Arial" w:hAnsi="Arial"/>
        <w:color w:val="7e7e7e" w:themeColor="text1" w:themeTint="80"/>
        <w:sz w:val="22"/>
      </w:rPr>
      <w:tcPr>
        <w:shd w:val="clear" w:color="cacaca" w:themeColor="text1" w:themeTint="34" w:fill="cacaca" w:themeFill="text1" w:themeFillTint="34"/>
      </w:tcPr>
    </w:tblStylePr>
    <w:tblStylePr w:type="band1Vert">
      <w:tcPr>
        <w:shd w:val="clear" w:color="cacaca" w:themeColor="text1" w:themeTint="34" w:fill="cacaca" w:themeFill="text1" w:themeFillTint="34"/>
      </w:tcPr>
    </w:tblStylePr>
    <w:tblStylePr w:type="band2Horz">
      <w:rPr>
        <w:rFonts w:ascii="Arial" w:hAnsi="Arial"/>
        <w:color w:val="7e7e7e" w:themeColor="text1" w:themeTint="80"/>
        <w:sz w:val="22"/>
      </w:rPr>
    </w:tblStylePr>
    <w:tblStylePr w:type="firstCol">
      <w:rPr>
        <w:b/>
        <w:color w:val="7e7e7e" w:themeColor="text1" w:themeTint="80"/>
      </w:rPr>
    </w:tblStylePr>
    <w:tblStylePr w:type="firstRow">
      <w:rPr>
        <w:b/>
        <w:color w:val="7e7e7e" w:themeColor="text1" w:themeTint="80"/>
      </w:rPr>
      <w:tcPr>
        <w:tcBorders>
          <w:bottom w:val="single" w:color="7E7E7E" w:themeColor="text1" w:themeTint="80" w:sz="12" w:space="0"/>
        </w:tcBorders>
      </w:tcPr>
    </w:tblStylePr>
    <w:tblStylePr w:type="lastCol">
      <w:rPr>
        <w:b/>
        <w:color w:val="7e7e7e" w:themeColor="text1" w:themeTint="80"/>
      </w:rPr>
    </w:tblStylePr>
    <w:tblStylePr w:type="lastRow">
      <w:rPr>
        <w:b/>
        <w:color w:val="7e7e7e" w:themeColor="text1" w:themeTint="80"/>
      </w:rPr>
    </w:tblStylePr>
  </w:style>
  <w:style w:type="table" w:styleId="1033" w:customStyle="1">
    <w:name w:val="Grid Table 6 Colorful - Accent 1"/>
    <w:basedOn w:val="897"/>
    <w:uiPriority w:val="99"/>
    <w:qFormat/>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left w:w="108" w:type="dxa"/>
        <w:top w:w="0" w:type="dxa"/>
        <w:right w:w="108" w:type="dxa"/>
        <w:bottom w:w="0" w:type="dxa"/>
      </w:tblCellMar>
    </w:tblPr>
    <w:tblStylePr w:type="band1Horz">
      <w:rPr>
        <w:rFonts w:ascii="Arial" w:hAnsi="Arial"/>
        <w:color w:val="a3b9e4" w:themeColor="accent1" w:themeTint="80"/>
        <w:sz w:val="22"/>
      </w:rPr>
      <w:tcPr>
        <w:shd w:val="clear" w:color="d9e2f4" w:themeColor="accent1" w:themeTint="34" w:fill="d9e2f4" w:themeFill="accent1" w:themeFillTint="34"/>
      </w:tcPr>
    </w:tblStylePr>
    <w:tblStylePr w:type="band1Vert">
      <w:tcPr>
        <w:shd w:val="clear" w:color="d9e2f4" w:themeColor="accent1" w:themeTint="34" w:fill="d9e2f4" w:themeFill="accent1" w:themeFillTint="34"/>
      </w:tcPr>
    </w:tblStylePr>
    <w:tblStylePr w:type="band2Horz">
      <w:rPr>
        <w:rFonts w:ascii="Arial" w:hAnsi="Arial"/>
        <w:color w:val="a3b9e4" w:themeColor="accent1" w:themeTint="80"/>
        <w:sz w:val="22"/>
      </w:rPr>
    </w:tblStylePr>
    <w:tblStylePr w:type="firstCol">
      <w:rPr>
        <w:b/>
        <w:color w:val="a3b9e4" w:themeColor="accent1" w:themeTint="80"/>
      </w:rPr>
    </w:tblStylePr>
    <w:tblStylePr w:type="firstRow">
      <w:rPr>
        <w:b/>
        <w:color w:val="a3b9e4" w:themeColor="accent1" w:themeTint="80"/>
      </w:rPr>
      <w:tcPr>
        <w:tcBorders>
          <w:bottom w:val="single" w:color="A3B9E4" w:themeColor="accent1" w:themeTint="80" w:sz="12" w:space="0"/>
        </w:tcBorders>
      </w:tcPr>
    </w:tblStylePr>
    <w:tblStylePr w:type="lastCol">
      <w:rPr>
        <w:b/>
        <w:color w:val="a3b9e4" w:themeColor="accent1" w:themeTint="80"/>
      </w:rPr>
    </w:tblStylePr>
    <w:tblStylePr w:type="lastRow">
      <w:rPr>
        <w:b/>
        <w:color w:val="a3b9e4" w:themeColor="accent1" w:themeTint="80"/>
      </w:rPr>
    </w:tblStylePr>
  </w:style>
  <w:style w:type="table" w:styleId="1034" w:customStyle="1">
    <w:name w:val="Grid Table 6 Colorful - Accent 2"/>
    <w:basedOn w:val="897"/>
    <w:uiPriority w:val="99"/>
    <w:qFormat/>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left w:w="108" w:type="dxa"/>
        <w:top w:w="0" w:type="dxa"/>
        <w:right w:w="108" w:type="dxa"/>
        <w:bottom w:w="0" w:type="dxa"/>
      </w:tblCellMar>
    </w:tblPr>
    <w:tblStylePr w:type="band1Horz">
      <w:rPr>
        <w:rFonts w:ascii="Arial" w:hAnsi="Arial"/>
        <w:color w:val="f4b584" w:themeColor="accent2" w:themeTint="96"/>
        <w:sz w:val="22"/>
      </w:rPr>
      <w:tcPr>
        <w:shd w:val="clear" w:color="fbe6d6" w:themeColor="accent2" w:themeTint="32" w:fill="fbe6d6" w:themeFill="accent2" w:themeFillTint="32"/>
      </w:tcPr>
    </w:tblStylePr>
    <w:tblStylePr w:type="band1Vert">
      <w:tcPr>
        <w:shd w:val="clear" w:color="fbe6d6" w:themeColor="accent2" w:themeTint="32" w:fill="fbe6d6" w:themeFill="accent2" w:themeFillTint="32"/>
      </w:tcPr>
    </w:tblStylePr>
    <w:tblStylePr w:type="band2Horz">
      <w:rPr>
        <w:rFonts w:ascii="Arial" w:hAnsi="Arial"/>
        <w:color w:val="f4b584" w:themeColor="accent2" w:themeTint="96"/>
        <w:sz w:val="22"/>
      </w:rPr>
    </w:tblStylePr>
    <w:tblStylePr w:type="firstCol">
      <w:rPr>
        <w:b/>
        <w:color w:val="f4b584" w:themeColor="accent2" w:themeTint="96"/>
      </w:rPr>
    </w:tblStylePr>
    <w:tblStylePr w:type="firstRow">
      <w:rPr>
        <w:b/>
        <w:color w:val="f4b584" w:themeColor="accent2" w:themeTint="96"/>
      </w:rPr>
      <w:tcPr>
        <w:tcBorders>
          <w:bottom w:val="single" w:color="F4B483" w:themeColor="accent2" w:themeTint="97" w:sz="12" w:space="0"/>
        </w:tcBorders>
      </w:tcPr>
    </w:tblStylePr>
    <w:tblStylePr w:type="lastCol">
      <w:rPr>
        <w:b/>
        <w:color w:val="f4b584" w:themeColor="accent2" w:themeTint="96"/>
      </w:rPr>
    </w:tblStylePr>
    <w:tblStylePr w:type="lastRow">
      <w:rPr>
        <w:b/>
        <w:color w:val="f4b584" w:themeColor="accent2" w:themeTint="96"/>
      </w:rPr>
    </w:tblStylePr>
  </w:style>
  <w:style w:type="table" w:styleId="1035" w:customStyle="1">
    <w:name w:val="Grid Table 6 Colorful - Accent 3"/>
    <w:basedOn w:val="897"/>
    <w:uiPriority w:val="99"/>
    <w:qFormat/>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left w:w="108" w:type="dxa"/>
        <w:top w:w="0" w:type="dxa"/>
        <w:right w:w="108" w:type="dxa"/>
        <w:bottom w:w="0" w:type="dxa"/>
      </w:tblCellMar>
    </w:tblPr>
    <w:tblStylePr w:type="band1Horz">
      <w:rPr>
        <w:rFonts w:ascii="Arial" w:hAnsi="Arial"/>
        <w:color w:val="f2ba02" w:themeColor="accent3"/>
        <w:sz w:val="22"/>
      </w:rPr>
      <w:tcPr>
        <w:shd w:val="clear" w:color="fef2c9" w:themeColor="accent3" w:themeTint="34" w:fill="fef2c9" w:themeFill="accent3" w:themeFillTint="34"/>
      </w:tcPr>
    </w:tblStylePr>
    <w:tblStylePr w:type="band1Vert">
      <w:tcPr>
        <w:shd w:val="clear" w:color="fef2c9" w:themeColor="accent3" w:themeTint="34" w:fill="fef2c9" w:themeFill="accent3" w:themeFillTint="34"/>
      </w:tcPr>
    </w:tblStylePr>
    <w:tblStylePr w:type="band2Horz">
      <w:rPr>
        <w:rFonts w:ascii="Arial" w:hAnsi="Arial"/>
        <w:color w:val="f2ba02" w:themeColor="accent3"/>
        <w:sz w:val="22"/>
      </w:rPr>
    </w:tblStylePr>
    <w:tblStylePr w:type="firstCol">
      <w:rPr>
        <w:b/>
        <w:color w:val="f2ba02" w:themeColor="accent3"/>
      </w:rPr>
    </w:tblStylePr>
    <w:tblStylePr w:type="firstRow">
      <w:rPr>
        <w:b/>
        <w:color w:val="f2ba02" w:themeColor="accent3"/>
      </w:rPr>
      <w:tcPr>
        <w:tcBorders>
          <w:bottom w:val="single" w:color="F3BA02" w:themeColor="accent3" w:themeTint="FE" w:sz="12" w:space="0"/>
        </w:tcBorders>
      </w:tcPr>
    </w:tblStylePr>
    <w:tblStylePr w:type="lastCol">
      <w:rPr>
        <w:b/>
        <w:color w:val="f2ba02" w:themeColor="accent3"/>
      </w:rPr>
    </w:tblStylePr>
    <w:tblStylePr w:type="lastRow">
      <w:rPr>
        <w:b/>
        <w:color w:val="f2ba02" w:themeColor="accent3"/>
      </w:rPr>
    </w:tblStylePr>
  </w:style>
  <w:style w:type="table" w:styleId="1036" w:customStyle="1">
    <w:name w:val="Grid Table 6 Colorful - Accent 4"/>
    <w:basedOn w:val="897"/>
    <w:uiPriority w:val="99"/>
    <w:qFormat/>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left w:w="108" w:type="dxa"/>
        <w:top w:w="0" w:type="dxa"/>
        <w:right w:w="108" w:type="dxa"/>
        <w:bottom w:w="0" w:type="dxa"/>
      </w:tblCellMar>
    </w:tblPr>
    <w:tblStylePr w:type="band1Horz">
      <w:rPr>
        <w:rFonts w:ascii="Arial" w:hAnsi="Arial"/>
        <w:color w:val="acd78d" w:themeColor="accent4" w:themeTint="99"/>
        <w:sz w:val="22"/>
      </w:rPr>
      <w:tcPr>
        <w:shd w:val="clear" w:color="e2f1d8" w:themeColor="accent4" w:themeTint="34" w:fill="e2f1d8" w:themeFill="accent4" w:themeFillTint="34"/>
      </w:tcPr>
    </w:tblStylePr>
    <w:tblStylePr w:type="band1Vert">
      <w:tcPr>
        <w:shd w:val="clear" w:color="e2f1d8" w:themeColor="accent4" w:themeTint="34" w:fill="e2f1d8" w:themeFill="accent4" w:themeFillTint="34"/>
      </w:tcPr>
    </w:tblStylePr>
    <w:tblStylePr w:type="band2Horz">
      <w:rPr>
        <w:rFonts w:ascii="Arial" w:hAnsi="Arial"/>
        <w:color w:val="acd78d" w:themeColor="accent4" w:themeTint="99"/>
        <w:sz w:val="22"/>
      </w:rPr>
    </w:tblStylePr>
    <w:tblStylePr w:type="firstCol">
      <w:rPr>
        <w:b/>
        <w:color w:val="acd78d" w:themeColor="accent4" w:themeTint="99"/>
      </w:rPr>
    </w:tblStylePr>
    <w:tblStylePr w:type="firstRow">
      <w:rPr>
        <w:b/>
        <w:color w:val="acd78d" w:themeColor="accent4" w:themeTint="99"/>
      </w:rPr>
      <w:tcPr>
        <w:tcBorders>
          <w:bottom w:val="single" w:color="ABD78C" w:themeColor="accent4" w:themeTint="9A" w:sz="12" w:space="0"/>
        </w:tcBorders>
      </w:tcPr>
    </w:tblStylePr>
    <w:tblStylePr w:type="lastCol">
      <w:rPr>
        <w:b/>
        <w:color w:val="acd78d" w:themeColor="accent4" w:themeTint="99"/>
      </w:rPr>
    </w:tblStylePr>
    <w:tblStylePr w:type="lastRow">
      <w:rPr>
        <w:b/>
        <w:color w:val="acd78d" w:themeColor="accent4" w:themeTint="99"/>
      </w:rPr>
    </w:tblStylePr>
  </w:style>
  <w:style w:type="table" w:styleId="1037" w:customStyle="1">
    <w:name w:val="Grid Table 6 Colorful - Accent 5"/>
    <w:basedOn w:val="897"/>
    <w:uiPriority w:val="99"/>
    <w:qFormat/>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left w:w="108" w:type="dxa"/>
        <w:top w:w="0" w:type="dxa"/>
        <w:right w:w="108" w:type="dxa"/>
        <w:bottom w:w="0" w:type="dxa"/>
      </w:tblCellMar>
    </w:tblPr>
    <w:tblStylePr w:type="band1Horz">
      <w:rPr>
        <w:rFonts w:ascii="Arial" w:hAnsi="Arial"/>
        <w:color w:val="1b6f68" w:themeColor="accent5" w:themeShade="94"/>
        <w:sz w:val="22"/>
      </w:rPr>
      <w:tcPr>
        <w:shd w:val="clear" w:color="d2f3f1" w:themeColor="accent5" w:themeTint="34" w:fill="d2f3f1" w:themeFill="accent5" w:themeFillTint="34"/>
      </w:tcPr>
    </w:tblStylePr>
    <w:tblStylePr w:type="band1Vert">
      <w:tcPr>
        <w:shd w:val="clear" w:color="d2f3f1" w:themeColor="accent5" w:themeTint="34" w:fill="d2f3f1" w:themeFill="accent5" w:themeFillTint="34"/>
      </w:tcPr>
    </w:tblStylePr>
    <w:tblStylePr w:type="band2Horz">
      <w:rPr>
        <w:rFonts w:ascii="Arial" w:hAnsi="Arial"/>
        <w:color w:val="1b6f68" w:themeColor="accent5" w:themeShade="94"/>
        <w:sz w:val="22"/>
      </w:rPr>
    </w:tblStylePr>
    <w:tblStylePr w:type="firstCol">
      <w:rPr>
        <w:b/>
        <w:color w:val="1b6f68" w:themeColor="accent5" w:themeShade="94"/>
      </w:rPr>
    </w:tblStylePr>
    <w:tblStylePr w:type="firstRow">
      <w:rPr>
        <w:b/>
        <w:color w:val="1b6f68" w:themeColor="accent5" w:themeShade="94"/>
      </w:rPr>
      <w:tcPr>
        <w:tcBorders>
          <w:bottom w:val="single" w:color="30C0B4" w:themeColor="accent5" w:sz="12" w:space="0"/>
        </w:tcBorders>
      </w:tcPr>
    </w:tblStylePr>
    <w:tblStylePr w:type="lastCol">
      <w:rPr>
        <w:b/>
        <w:color w:val="1b6f68" w:themeColor="accent5" w:themeShade="94"/>
      </w:rPr>
    </w:tblStylePr>
    <w:tblStylePr w:type="lastRow">
      <w:rPr>
        <w:b/>
        <w:color w:val="1b6f68" w:themeColor="accent5" w:themeShade="94"/>
      </w:rPr>
    </w:tblStylePr>
  </w:style>
  <w:style w:type="table" w:styleId="1038" w:customStyle="1">
    <w:name w:val="Grid Table 6 Colorful - Accent 6"/>
    <w:basedOn w:val="897"/>
    <w:uiPriority w:val="99"/>
    <w:qFormat/>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left w:w="108" w:type="dxa"/>
        <w:top w:w="0" w:type="dxa"/>
        <w:right w:w="108" w:type="dxa"/>
        <w:bottom w:w="0" w:type="dxa"/>
      </w:tblCellMar>
    </w:tblPr>
    <w:tblStylePr w:type="band1Horz">
      <w:rPr>
        <w:rFonts w:ascii="Arial" w:hAnsi="Arial"/>
        <w:color w:val="1b6f68" w:themeColor="accent5" w:themeShade="94"/>
        <w:sz w:val="22"/>
      </w:rPr>
      <w:tcPr>
        <w:shd w:val="clear" w:color="f9dade" w:themeColor="accent6" w:themeTint="34" w:fill="f9dade" w:themeFill="accent6" w:themeFillTint="34"/>
      </w:tcPr>
    </w:tblStylePr>
    <w:tblStylePr w:type="band1Vert">
      <w:tcPr>
        <w:shd w:val="clear" w:color="f9dade" w:themeColor="accent6" w:themeTint="34" w:fill="f9dade" w:themeFill="accent6" w:themeFillTint="34"/>
      </w:tcPr>
    </w:tblStylePr>
    <w:tblStylePr w:type="band2Horz">
      <w:rPr>
        <w:rFonts w:ascii="Arial" w:hAnsi="Arial"/>
        <w:color w:val="1b6f68" w:themeColor="accent5" w:themeShade="94"/>
        <w:sz w:val="22"/>
      </w:rPr>
    </w:tblStylePr>
    <w:tblStylePr w:type="firstCol">
      <w:rPr>
        <w:b/>
        <w:color w:val="1b6f68" w:themeColor="accent5" w:themeShade="94"/>
      </w:rPr>
    </w:tblStylePr>
    <w:tblStylePr w:type="firstRow">
      <w:rPr>
        <w:b/>
        <w:color w:val="1b6f68" w:themeColor="accent5" w:themeShade="94"/>
      </w:rPr>
      <w:tcPr>
        <w:tcBorders>
          <w:bottom w:val="single" w:color="E54C5E" w:themeColor="accent6" w:sz="12" w:space="0"/>
        </w:tcBorders>
      </w:tcPr>
    </w:tblStylePr>
    <w:tblStylePr w:type="lastCol">
      <w:rPr>
        <w:b/>
        <w:color w:val="1b6f68" w:themeColor="accent5" w:themeShade="94"/>
      </w:rPr>
    </w:tblStylePr>
    <w:tblStylePr w:type="lastRow">
      <w:rPr>
        <w:b/>
        <w:color w:val="1b6f68" w:themeColor="accent5" w:themeShade="94"/>
      </w:rPr>
    </w:tblStylePr>
  </w:style>
  <w:style w:type="table" w:styleId="1039" w:customStyle="1">
    <w:name w:val="网格表 7 彩色1"/>
    <w:basedOn w:val="897"/>
    <w:uiPriority w:val="99"/>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108" w:type="dxa"/>
        <w:top w:w="0" w:type="dxa"/>
        <w:right w:w="108" w:type="dxa"/>
        <w:bottom w:w="0" w:type="dxa"/>
      </w:tblCellMar>
    </w:tblPr>
    <w:tblStylePr w:type="band1Horz">
      <w:rPr>
        <w:rFonts w:ascii="Arial" w:hAnsi="Arial"/>
        <w:color w:val="7e7e7e" w:themeColor="text1" w:themeTint="80"/>
        <w:sz w:val="22"/>
      </w:rPr>
      <w:tcPr>
        <w:shd w:val="clear" w:color="f1f1f1" w:themeColor="text1" w:themeTint="0D" w:fill="f1f1f1" w:themeFill="text1" w:themeFillTint="0D"/>
      </w:tcPr>
    </w:tblStylePr>
    <w:tblStylePr w:type="band1Vert">
      <w:tcPr>
        <w:shd w:val="clear" w:color="f1f1f1" w:themeColor="text1" w:themeTint="0D" w:fill="f1f1f1" w:themeFill="text1" w:themeFillTint="0D"/>
      </w:tcPr>
    </w:tblStylePr>
    <w:tblStylePr w:type="band2Horz">
      <w:rPr>
        <w:rFonts w:ascii="Arial" w:hAnsi="Arial"/>
        <w:color w:val="7e7e7e" w:themeColor="text1" w:themeTint="80"/>
        <w:sz w:val="22"/>
      </w:rPr>
    </w:tblStylePr>
    <w:tblStylePr w:type="firstCol">
      <w:rPr>
        <w:rFonts w:ascii="Arial" w:hAnsi="Arial"/>
        <w:i/>
        <w:color w:val="7e7e7e" w:themeColor="text1" w:themeTint="80"/>
        <w:sz w:val="22"/>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7e7e7e" w:themeColor="text1" w:themeTint="80"/>
        <w:sz w:val="22"/>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7e7e7e" w:themeColor="text1" w:themeTint="80"/>
        <w:sz w:val="22"/>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7e7e7e" w:themeColor="text1" w:themeTint="80"/>
        <w:sz w:val="22"/>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1040" w:customStyle="1">
    <w:name w:val="Grid Table 7 Colorful - Accent 1"/>
    <w:basedOn w:val="897"/>
    <w:uiPriority w:val="99"/>
    <w:qFormat/>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left w:w="108" w:type="dxa"/>
        <w:top w:w="0" w:type="dxa"/>
        <w:right w:w="108" w:type="dxa"/>
        <w:bottom w:w="0" w:type="dxa"/>
      </w:tblCellMar>
    </w:tblPr>
    <w:tblStylePr w:type="band1Horz">
      <w:rPr>
        <w:rFonts w:ascii="Arial" w:hAnsi="Arial"/>
        <w:color w:val="a3b9e4" w:themeColor="accent1" w:themeTint="80"/>
        <w:sz w:val="22"/>
      </w:rPr>
      <w:tcPr>
        <w:shd w:val="clear" w:color="d9e2f4" w:themeColor="accent1" w:themeTint="34" w:fill="d9e2f4" w:themeFill="accent1" w:themeFillTint="34"/>
      </w:tcPr>
    </w:tblStylePr>
    <w:tblStylePr w:type="band1Vert">
      <w:tcPr>
        <w:shd w:val="clear" w:color="d9e2f4" w:themeColor="accent1" w:themeTint="34" w:fill="d9e2f4" w:themeFill="accent1" w:themeFillTint="34"/>
      </w:tcPr>
    </w:tblStylePr>
    <w:tblStylePr w:type="band2Horz">
      <w:rPr>
        <w:rFonts w:ascii="Arial" w:hAnsi="Arial"/>
        <w:color w:val="a3b9e4" w:themeColor="accent1" w:themeTint="80"/>
        <w:sz w:val="22"/>
      </w:rPr>
    </w:tblStylePr>
    <w:tblStylePr w:type="firstCol">
      <w:rPr>
        <w:rFonts w:ascii="Arial" w:hAnsi="Arial"/>
        <w:i/>
        <w:color w:val="a3b9e4" w:themeColor="accent1" w:themeTint="80"/>
        <w:sz w:val="22"/>
      </w:rPr>
      <w:pPr>
        <w:jc w:val="right"/>
      </w:pPr>
      <w:tcPr>
        <w:shd w:val="clear" w:color="ffffff" w:fill="auto"/>
        <w:tcBorders>
          <w:top w:val="none" w:color="000000" w:sz="4" w:space="0"/>
          <w:left w:val="none" w:color="000000" w:sz="4" w:space="0"/>
          <w:bottom w:val="none" w:color="000000" w:sz="4" w:space="0"/>
          <w:right w:val="single" w:color="A3B9E4" w:themeColor="accent1" w:themeTint="80" w:sz="4" w:space="0"/>
        </w:tcBorders>
      </w:tcPr>
    </w:tblStylePr>
    <w:tblStylePr w:type="firstRow">
      <w:rPr>
        <w:rFonts w:ascii="Arial" w:hAnsi="Arial"/>
        <w:b/>
        <w:color w:val="a3b9e4" w:themeColor="accent1" w:themeTint="80"/>
        <w:sz w:val="22"/>
      </w:rPr>
      <w:tcPr>
        <w:shd w:val="clear" w:color="ffffff" w:themeColor="light1" w:fill="ffffff" w:themeFill="light1"/>
        <w:tcBorders>
          <w:top w:val="none" w:color="000000" w:sz="4" w:space="0"/>
          <w:left w:val="none" w:color="000000" w:sz="4" w:space="0"/>
          <w:bottom w:val="single" w:color="A3B9E4" w:themeColor="accent1" w:themeTint="80" w:sz="4" w:space="0"/>
          <w:right w:val="none" w:color="000000" w:sz="4" w:space="0"/>
        </w:tcBorders>
      </w:tcPr>
    </w:tblStylePr>
    <w:tblStylePr w:type="lastCol">
      <w:rPr>
        <w:rFonts w:ascii="Arial" w:hAnsi="Arial"/>
        <w:i/>
        <w:color w:val="a3b9e4" w:themeColor="accent1" w:themeTint="80"/>
        <w:sz w:val="22"/>
      </w:rPr>
      <w:tcPr>
        <w:shd w:val="clear" w:color="ffffff" w:fill="auto"/>
        <w:tcBorders>
          <w:top w:val="none" w:color="000000" w:sz="4" w:space="0"/>
          <w:left w:val="single" w:color="A3B9E4" w:themeColor="accent1" w:themeTint="80" w:sz="4" w:space="0"/>
          <w:bottom w:val="none" w:color="000000" w:sz="4" w:space="0"/>
          <w:right w:val="none" w:color="000000" w:sz="4" w:space="0"/>
        </w:tcBorders>
      </w:tcPr>
    </w:tblStylePr>
    <w:tblStylePr w:type="lastRow">
      <w:rPr>
        <w:rFonts w:ascii="Arial" w:hAnsi="Arial"/>
        <w:b/>
        <w:color w:val="a3b9e4" w:themeColor="accent1" w:themeTint="80"/>
        <w:sz w:val="22"/>
      </w:rPr>
      <w:tcPr>
        <w:shd w:val="clear" w:color="ffffff" w:themeColor="light1" w:fill="ffffff" w:themeFill="light1"/>
        <w:tcBorders>
          <w:top w:val="single" w:color="A3B9E4" w:themeColor="accent1" w:themeTint="80" w:sz="4" w:space="0"/>
          <w:left w:val="none" w:color="000000" w:sz="4" w:space="0"/>
          <w:bottom w:val="none" w:color="000000" w:sz="4" w:space="0"/>
          <w:right w:val="none" w:color="000000" w:sz="4" w:space="0"/>
        </w:tcBorders>
      </w:tcPr>
    </w:tblStylePr>
  </w:style>
  <w:style w:type="table" w:styleId="1041" w:customStyle="1">
    <w:name w:val="Grid Table 7 Colorful - Accent 2"/>
    <w:basedOn w:val="897"/>
    <w:uiPriority w:val="99"/>
    <w:qFormat/>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left w:w="108" w:type="dxa"/>
        <w:top w:w="0" w:type="dxa"/>
        <w:right w:w="108" w:type="dxa"/>
        <w:bottom w:w="0" w:type="dxa"/>
      </w:tblCellMar>
    </w:tblPr>
    <w:tblStylePr w:type="band1Horz">
      <w:rPr>
        <w:rFonts w:ascii="Arial" w:hAnsi="Arial"/>
        <w:color w:val="f4b584" w:themeColor="accent2" w:themeTint="96"/>
        <w:sz w:val="22"/>
      </w:rPr>
      <w:tcPr>
        <w:shd w:val="clear" w:color="fbe6d6" w:themeColor="accent2" w:themeTint="32" w:fill="fbe6d6" w:themeFill="accent2" w:themeFillTint="32"/>
      </w:tcPr>
    </w:tblStylePr>
    <w:tblStylePr w:type="band1Vert">
      <w:tcPr>
        <w:shd w:val="clear" w:color="fbe6d6" w:themeColor="accent2" w:themeTint="32" w:fill="fbe6d6" w:themeFill="accent2" w:themeFillTint="32"/>
      </w:tcPr>
    </w:tblStylePr>
    <w:tblStylePr w:type="band2Horz">
      <w:rPr>
        <w:rFonts w:ascii="Arial" w:hAnsi="Arial"/>
        <w:color w:val="f4b584" w:themeColor="accent2" w:themeTint="96"/>
        <w:sz w:val="22"/>
      </w:rPr>
    </w:tblStylePr>
    <w:tblStylePr w:type="firstCol">
      <w:rPr>
        <w:rFonts w:ascii="Arial" w:hAnsi="Arial"/>
        <w:i/>
        <w:color w:val="f4b584" w:themeColor="accent2" w:themeTint="96"/>
        <w:sz w:val="22"/>
      </w:rPr>
      <w:pPr>
        <w:jc w:val="right"/>
      </w:pPr>
      <w:tcPr>
        <w:shd w:val="clear" w:color="ffffff" w:fill="auto"/>
        <w:tcBorders>
          <w:top w:val="none" w:color="000000" w:sz="4" w:space="0"/>
          <w:left w:val="none" w:color="000000" w:sz="4" w:space="0"/>
          <w:bottom w:val="none" w:color="000000" w:sz="4" w:space="0"/>
          <w:right w:val="single" w:color="F4B483" w:themeColor="accent2" w:themeTint="97" w:sz="4" w:space="0"/>
        </w:tcBorders>
      </w:tcPr>
    </w:tblStylePr>
    <w:tblStylePr w:type="firstRow">
      <w:rPr>
        <w:rFonts w:ascii="Arial" w:hAnsi="Arial"/>
        <w:b/>
        <w:color w:val="f4b584" w:themeColor="accent2" w:themeTint="96"/>
        <w:sz w:val="22"/>
      </w:rPr>
      <w:tcPr>
        <w:shd w:val="clear" w:color="ffffff" w:themeColor="light1" w:fill="ffffff" w:themeFill="light1"/>
        <w:tcBorders>
          <w:top w:val="none" w:color="000000" w:sz="4" w:space="0"/>
          <w:left w:val="none" w:color="000000" w:sz="4" w:space="0"/>
          <w:bottom w:val="single" w:color="F4B483" w:themeColor="accent2" w:themeTint="97" w:sz="4" w:space="0"/>
          <w:right w:val="none" w:color="000000" w:sz="4" w:space="0"/>
        </w:tcBorders>
      </w:tcPr>
    </w:tblStylePr>
    <w:tblStylePr w:type="lastCol">
      <w:rPr>
        <w:rFonts w:ascii="Arial" w:hAnsi="Arial"/>
        <w:i/>
        <w:color w:val="f4b584" w:themeColor="accent2" w:themeTint="96"/>
        <w:sz w:val="22"/>
      </w:rPr>
      <w:tcPr>
        <w:shd w:val="clear" w:color="ffffff" w:fill="auto"/>
        <w:tcBorders>
          <w:top w:val="none" w:color="000000" w:sz="4" w:space="0"/>
          <w:left w:val="single" w:color="F4B483" w:themeColor="accent2" w:themeTint="97" w:sz="4" w:space="0"/>
          <w:bottom w:val="none" w:color="000000" w:sz="4" w:space="0"/>
          <w:right w:val="none" w:color="000000" w:sz="4" w:space="0"/>
        </w:tcBorders>
      </w:tcPr>
    </w:tblStylePr>
    <w:tblStylePr w:type="lastRow">
      <w:rPr>
        <w:rFonts w:ascii="Arial" w:hAnsi="Arial"/>
        <w:b/>
        <w:color w:val="f4b584" w:themeColor="accent2" w:themeTint="96"/>
        <w:sz w:val="22"/>
      </w:rPr>
      <w:tcPr>
        <w:shd w:val="clear" w:color="ffffff" w:themeColor="light1" w:fill="ffffff" w:themeFill="light1"/>
        <w:tcBorders>
          <w:top w:val="single" w:color="F4B483" w:themeColor="accent2" w:themeTint="97" w:sz="4" w:space="0"/>
          <w:left w:val="none" w:color="000000" w:sz="4" w:space="0"/>
          <w:bottom w:val="none" w:color="000000" w:sz="4" w:space="0"/>
          <w:right w:val="none" w:color="000000" w:sz="4" w:space="0"/>
        </w:tcBorders>
      </w:tcPr>
    </w:tblStylePr>
  </w:style>
  <w:style w:type="table" w:styleId="1042" w:customStyle="1">
    <w:name w:val="Grid Table 7 Colorful - Accent 3"/>
    <w:basedOn w:val="897"/>
    <w:uiPriority w:val="99"/>
    <w:qFormat/>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left w:w="108" w:type="dxa"/>
        <w:top w:w="0" w:type="dxa"/>
        <w:right w:w="108" w:type="dxa"/>
        <w:bottom w:w="0" w:type="dxa"/>
      </w:tblCellMar>
    </w:tblPr>
    <w:tblStylePr w:type="band1Horz">
      <w:rPr>
        <w:rFonts w:ascii="Arial" w:hAnsi="Arial"/>
        <w:color w:val="f2ba02" w:themeColor="accent3"/>
        <w:sz w:val="22"/>
      </w:rPr>
      <w:tcPr>
        <w:shd w:val="clear" w:color="fef2c9" w:themeColor="accent3" w:themeTint="34" w:fill="fef2c9" w:themeFill="accent3" w:themeFillTint="34"/>
      </w:tcPr>
    </w:tblStylePr>
    <w:tblStylePr w:type="band1Vert">
      <w:tcPr>
        <w:shd w:val="clear" w:color="fef2c9" w:themeColor="accent3" w:themeTint="34" w:fill="fef2c9" w:themeFill="accent3" w:themeFillTint="34"/>
      </w:tcPr>
    </w:tblStylePr>
    <w:tblStylePr w:type="band2Horz">
      <w:rPr>
        <w:rFonts w:ascii="Arial" w:hAnsi="Arial"/>
        <w:color w:val="f2ba02" w:themeColor="accent3"/>
        <w:sz w:val="22"/>
      </w:rPr>
    </w:tblStylePr>
    <w:tblStylePr w:type="firstCol">
      <w:rPr>
        <w:rFonts w:ascii="Arial" w:hAnsi="Arial"/>
        <w:i/>
        <w:color w:val="f2ba02" w:themeColor="accent3"/>
        <w:sz w:val="22"/>
      </w:rPr>
      <w:pPr>
        <w:jc w:val="right"/>
      </w:pPr>
      <w:tcPr>
        <w:shd w:val="clear" w:color="ffffff" w:fill="auto"/>
        <w:tcBorders>
          <w:top w:val="none" w:color="000000" w:sz="4" w:space="0"/>
          <w:left w:val="none" w:color="000000" w:sz="4" w:space="0"/>
          <w:bottom w:val="none" w:color="000000" w:sz="4" w:space="0"/>
          <w:right w:val="single" w:color="F3BA02" w:themeColor="accent3" w:themeTint="FE" w:sz="4" w:space="0"/>
        </w:tcBorders>
      </w:tcPr>
    </w:tblStylePr>
    <w:tblStylePr w:type="firstRow">
      <w:rPr>
        <w:rFonts w:ascii="Arial" w:hAnsi="Arial"/>
        <w:b/>
        <w:color w:val="f2ba02" w:themeColor="accent3"/>
        <w:sz w:val="22"/>
      </w:rPr>
      <w:tcPr>
        <w:shd w:val="clear" w:color="ffffff" w:themeColor="light1" w:fill="ffffff" w:themeFill="light1"/>
        <w:tcBorders>
          <w:top w:val="none" w:color="000000" w:sz="4" w:space="0"/>
          <w:left w:val="none" w:color="000000" w:sz="4" w:space="0"/>
          <w:bottom w:val="single" w:color="F3BA02" w:themeColor="accent3" w:themeTint="FE" w:sz="4" w:space="0"/>
          <w:right w:val="none" w:color="000000" w:sz="4" w:space="0"/>
        </w:tcBorders>
      </w:tcPr>
    </w:tblStylePr>
    <w:tblStylePr w:type="lastCol">
      <w:rPr>
        <w:rFonts w:ascii="Arial" w:hAnsi="Arial"/>
        <w:i/>
        <w:color w:val="f2ba02" w:themeColor="accent3"/>
        <w:sz w:val="22"/>
      </w:rPr>
      <w:tcPr>
        <w:shd w:val="clear" w:color="ffffff" w:fill="auto"/>
        <w:tcBorders>
          <w:top w:val="none" w:color="000000" w:sz="4" w:space="0"/>
          <w:left w:val="single" w:color="F3BA02" w:themeColor="accent3" w:themeTint="FE" w:sz="4" w:space="0"/>
          <w:bottom w:val="none" w:color="000000" w:sz="4" w:space="0"/>
          <w:right w:val="none" w:color="000000" w:sz="4" w:space="0"/>
        </w:tcBorders>
      </w:tcPr>
    </w:tblStylePr>
    <w:tblStylePr w:type="lastRow">
      <w:rPr>
        <w:rFonts w:ascii="Arial" w:hAnsi="Arial"/>
        <w:b/>
        <w:color w:val="f2ba02" w:themeColor="accent3"/>
        <w:sz w:val="22"/>
      </w:rPr>
      <w:tcPr>
        <w:shd w:val="clear" w:color="ffffff" w:themeColor="light1" w:fill="ffffff" w:themeFill="light1"/>
        <w:tcBorders>
          <w:top w:val="single" w:color="F3BA02" w:themeColor="accent3" w:themeTint="FE" w:sz="4" w:space="0"/>
          <w:left w:val="none" w:color="000000" w:sz="4" w:space="0"/>
          <w:bottom w:val="none" w:color="000000" w:sz="4" w:space="0"/>
          <w:right w:val="none" w:color="000000" w:sz="4" w:space="0"/>
        </w:tcBorders>
      </w:tcPr>
    </w:tblStylePr>
  </w:style>
  <w:style w:type="table" w:styleId="1043" w:customStyle="1">
    <w:name w:val="Grid Table 7 Colorful - Accent 4"/>
    <w:basedOn w:val="897"/>
    <w:uiPriority w:val="99"/>
    <w:qFormat/>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left w:w="108" w:type="dxa"/>
        <w:top w:w="0" w:type="dxa"/>
        <w:right w:w="108" w:type="dxa"/>
        <w:bottom w:w="0" w:type="dxa"/>
      </w:tblCellMar>
    </w:tblPr>
    <w:tblStylePr w:type="band1Horz">
      <w:rPr>
        <w:rFonts w:ascii="Arial" w:hAnsi="Arial"/>
        <w:color w:val="acd78d" w:themeColor="accent4" w:themeTint="99"/>
        <w:sz w:val="22"/>
      </w:rPr>
      <w:tcPr>
        <w:shd w:val="clear" w:color="e2f1d8" w:themeColor="accent4" w:themeTint="34" w:fill="e2f1d8" w:themeFill="accent4" w:themeFillTint="34"/>
      </w:tcPr>
    </w:tblStylePr>
    <w:tblStylePr w:type="band1Vert">
      <w:tcPr>
        <w:shd w:val="clear" w:color="e2f1d8" w:themeColor="accent4" w:themeTint="34" w:fill="e2f1d8" w:themeFill="accent4" w:themeFillTint="34"/>
      </w:tcPr>
    </w:tblStylePr>
    <w:tblStylePr w:type="band2Horz">
      <w:rPr>
        <w:rFonts w:ascii="Arial" w:hAnsi="Arial"/>
        <w:color w:val="acd78d" w:themeColor="accent4" w:themeTint="99"/>
        <w:sz w:val="22"/>
      </w:rPr>
    </w:tblStylePr>
    <w:tblStylePr w:type="firstCol">
      <w:rPr>
        <w:rFonts w:ascii="Arial" w:hAnsi="Arial"/>
        <w:i/>
        <w:color w:val="acd78d" w:themeColor="accent4" w:themeTint="99"/>
        <w:sz w:val="22"/>
      </w:rPr>
      <w:pPr>
        <w:jc w:val="right"/>
      </w:pPr>
      <w:tcPr>
        <w:shd w:val="clear" w:color="ffffff" w:fill="auto"/>
        <w:tcBorders>
          <w:top w:val="none" w:color="000000" w:sz="4" w:space="0"/>
          <w:left w:val="none" w:color="000000" w:sz="4" w:space="0"/>
          <w:bottom w:val="none" w:color="000000" w:sz="4" w:space="0"/>
          <w:right w:val="single" w:color="ABD78C" w:themeColor="accent4" w:themeTint="9A" w:sz="4" w:space="0"/>
        </w:tcBorders>
      </w:tcPr>
    </w:tblStylePr>
    <w:tblStylePr w:type="firstRow">
      <w:rPr>
        <w:rFonts w:ascii="Arial" w:hAnsi="Arial"/>
        <w:b/>
        <w:color w:val="acd78d" w:themeColor="accent4" w:themeTint="99"/>
        <w:sz w:val="22"/>
      </w:rPr>
      <w:tcPr>
        <w:shd w:val="clear" w:color="ffffff" w:themeColor="light1" w:fill="ffffff" w:themeFill="light1"/>
        <w:tcBorders>
          <w:top w:val="none" w:color="000000" w:sz="4" w:space="0"/>
          <w:left w:val="none" w:color="000000" w:sz="4" w:space="0"/>
          <w:bottom w:val="single" w:color="ABD78C" w:themeColor="accent4" w:themeTint="9A" w:sz="4" w:space="0"/>
          <w:right w:val="none" w:color="000000" w:sz="4" w:space="0"/>
        </w:tcBorders>
      </w:tcPr>
    </w:tblStylePr>
    <w:tblStylePr w:type="lastCol">
      <w:rPr>
        <w:rFonts w:ascii="Arial" w:hAnsi="Arial"/>
        <w:i/>
        <w:color w:val="acd78d" w:themeColor="accent4" w:themeTint="99"/>
        <w:sz w:val="22"/>
      </w:rPr>
      <w:tcPr>
        <w:shd w:val="clear" w:color="ffffff" w:fill="auto"/>
        <w:tcBorders>
          <w:top w:val="none" w:color="000000" w:sz="4" w:space="0"/>
          <w:left w:val="single" w:color="ABD78C" w:themeColor="accent4" w:themeTint="9A" w:sz="4" w:space="0"/>
          <w:bottom w:val="none" w:color="000000" w:sz="4" w:space="0"/>
          <w:right w:val="none" w:color="000000" w:sz="4" w:space="0"/>
        </w:tcBorders>
      </w:tcPr>
    </w:tblStylePr>
    <w:tblStylePr w:type="lastRow">
      <w:rPr>
        <w:rFonts w:ascii="Arial" w:hAnsi="Arial"/>
        <w:b/>
        <w:color w:val="acd78d" w:themeColor="accent4" w:themeTint="99"/>
        <w:sz w:val="22"/>
      </w:rPr>
      <w:tcPr>
        <w:shd w:val="clear" w:color="ffffff" w:themeColor="light1" w:fill="ffffff" w:themeFill="light1"/>
        <w:tcBorders>
          <w:top w:val="single" w:color="ABD78C" w:themeColor="accent4" w:themeTint="9A" w:sz="4" w:space="0"/>
          <w:left w:val="none" w:color="000000" w:sz="4" w:space="0"/>
          <w:bottom w:val="none" w:color="000000" w:sz="4" w:space="0"/>
          <w:right w:val="none" w:color="000000" w:sz="4" w:space="0"/>
        </w:tcBorders>
      </w:tcPr>
    </w:tblStylePr>
  </w:style>
  <w:style w:type="table" w:styleId="1044" w:customStyle="1">
    <w:name w:val="Grid Table 7 Colorful - Accent 5"/>
    <w:basedOn w:val="897"/>
    <w:uiPriority w:val="99"/>
    <w:qFormat/>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left w:w="108" w:type="dxa"/>
        <w:top w:w="0" w:type="dxa"/>
        <w:right w:w="108" w:type="dxa"/>
        <w:bottom w:w="0" w:type="dxa"/>
      </w:tblCellMar>
    </w:tblPr>
    <w:tblStylePr w:type="band1Horz">
      <w:rPr>
        <w:rFonts w:ascii="Arial" w:hAnsi="Arial"/>
        <w:color w:val="1b6f68" w:themeColor="accent5" w:themeShade="94"/>
        <w:sz w:val="22"/>
      </w:rPr>
      <w:tcPr>
        <w:shd w:val="clear" w:color="d2f3f1" w:themeColor="accent5" w:themeTint="34" w:fill="d2f3f1" w:themeFill="accent5" w:themeFillTint="34"/>
      </w:tcPr>
    </w:tblStylePr>
    <w:tblStylePr w:type="band1Vert">
      <w:tcPr>
        <w:shd w:val="clear" w:color="d2f3f1" w:themeColor="accent5" w:themeTint="34" w:fill="d2f3f1" w:themeFill="accent5" w:themeFillTint="34"/>
      </w:tcPr>
    </w:tblStylePr>
    <w:tblStylePr w:type="band2Horz">
      <w:rPr>
        <w:rFonts w:ascii="Arial" w:hAnsi="Arial"/>
        <w:color w:val="1b6f68" w:themeColor="accent5" w:themeShade="94"/>
        <w:sz w:val="22"/>
      </w:rPr>
    </w:tblStylePr>
    <w:tblStylePr w:type="firstCol">
      <w:rPr>
        <w:rFonts w:ascii="Arial" w:hAnsi="Arial"/>
        <w:i/>
        <w:color w:val="1b6f68" w:themeColor="accent5" w:themeShade="94"/>
        <w:sz w:val="22"/>
      </w:rPr>
      <w:pPr>
        <w:jc w:val="right"/>
      </w:pPr>
      <w:tcPr>
        <w:shd w:val="clear" w:color="ffffff" w:fill="auto"/>
        <w:tcBorders>
          <w:top w:val="none" w:color="000000" w:sz="4" w:space="0"/>
          <w:left w:val="none" w:color="000000" w:sz="4" w:space="0"/>
          <w:bottom w:val="none" w:color="000000" w:sz="4" w:space="0"/>
          <w:right w:val="single" w:color="85E0D8" w:themeColor="accent5" w:themeTint="90" w:sz="4" w:space="0"/>
        </w:tcBorders>
      </w:tcPr>
    </w:tblStylePr>
    <w:tblStylePr w:type="firstRow">
      <w:rPr>
        <w:rFonts w:ascii="Arial" w:hAnsi="Arial"/>
        <w:b/>
        <w:color w:val="1b6f68" w:themeColor="accent5" w:themeShade="94"/>
        <w:sz w:val="22"/>
      </w:rPr>
      <w:tcPr>
        <w:shd w:val="clear" w:color="ffffff" w:themeColor="light1" w:fill="ffffff" w:themeFill="light1"/>
        <w:tcBorders>
          <w:top w:val="none" w:color="000000" w:sz="4" w:space="0"/>
          <w:left w:val="none" w:color="000000" w:sz="4" w:space="0"/>
          <w:bottom w:val="single" w:color="85E0D8" w:themeColor="accent5" w:themeTint="90" w:sz="4" w:space="0"/>
          <w:right w:val="none" w:color="000000" w:sz="4" w:space="0"/>
        </w:tcBorders>
      </w:tcPr>
    </w:tblStylePr>
    <w:tblStylePr w:type="lastCol">
      <w:rPr>
        <w:rFonts w:ascii="Arial" w:hAnsi="Arial"/>
        <w:i/>
        <w:color w:val="1b6f68" w:themeColor="accent5" w:themeShade="94"/>
        <w:sz w:val="22"/>
      </w:rPr>
      <w:tcPr>
        <w:shd w:val="clear" w:color="ffffff" w:fill="auto"/>
        <w:tcBorders>
          <w:top w:val="none" w:color="000000" w:sz="4" w:space="0"/>
          <w:left w:val="single" w:color="85E0D8" w:themeColor="accent5" w:themeTint="90" w:sz="4" w:space="0"/>
          <w:bottom w:val="none" w:color="000000" w:sz="4" w:space="0"/>
          <w:right w:val="none" w:color="000000" w:sz="4" w:space="0"/>
        </w:tcBorders>
      </w:tcPr>
    </w:tblStylePr>
    <w:tblStylePr w:type="lastRow">
      <w:rPr>
        <w:rFonts w:ascii="Arial" w:hAnsi="Arial"/>
        <w:b/>
        <w:color w:val="1b6f68" w:themeColor="accent5" w:themeShade="94"/>
        <w:sz w:val="22"/>
      </w:rPr>
      <w:tcPr>
        <w:shd w:val="clear" w:color="ffffff" w:themeColor="light1" w:fill="ffffff" w:themeFill="light1"/>
        <w:tcBorders>
          <w:top w:val="single" w:color="85E0D8" w:themeColor="accent5" w:themeTint="90" w:sz="4" w:space="0"/>
          <w:left w:val="none" w:color="000000" w:sz="4" w:space="0"/>
          <w:bottom w:val="none" w:color="000000" w:sz="4" w:space="0"/>
          <w:right w:val="none" w:color="000000" w:sz="4" w:space="0"/>
        </w:tcBorders>
      </w:tcPr>
    </w:tblStylePr>
  </w:style>
  <w:style w:type="table" w:styleId="1045" w:customStyle="1">
    <w:name w:val="Grid Table 7 Colorful - Accent 6"/>
    <w:basedOn w:val="897"/>
    <w:uiPriority w:val="99"/>
    <w:qFormat/>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left w:w="108" w:type="dxa"/>
        <w:top w:w="0" w:type="dxa"/>
        <w:right w:w="108" w:type="dxa"/>
        <w:bottom w:w="0" w:type="dxa"/>
      </w:tblCellMar>
    </w:tblPr>
    <w:tblStylePr w:type="band1Horz">
      <w:rPr>
        <w:rFonts w:ascii="Arial" w:hAnsi="Arial"/>
        <w:color w:val="9a1625" w:themeColor="accent6" w:themeShade="94"/>
        <w:sz w:val="22"/>
      </w:rPr>
      <w:tcPr>
        <w:shd w:val="clear" w:color="f9dade" w:themeColor="accent6" w:themeTint="34" w:fill="f9dade" w:themeFill="accent6" w:themeFillTint="34"/>
      </w:tcPr>
    </w:tblStylePr>
    <w:tblStylePr w:type="band1Vert">
      <w:tcPr>
        <w:shd w:val="clear" w:color="f9dade" w:themeColor="accent6" w:themeTint="34" w:fill="f9dade" w:themeFill="accent6" w:themeFillTint="34"/>
      </w:tcPr>
    </w:tblStylePr>
    <w:tblStylePr w:type="band2Horz">
      <w:rPr>
        <w:rFonts w:ascii="Arial" w:hAnsi="Arial"/>
        <w:color w:val="9a1625" w:themeColor="accent6" w:themeShade="94"/>
        <w:sz w:val="22"/>
      </w:rPr>
    </w:tblStylePr>
    <w:tblStylePr w:type="firstCol">
      <w:rPr>
        <w:rFonts w:ascii="Arial" w:hAnsi="Arial"/>
        <w:i/>
        <w:color w:val="9a1625" w:themeColor="accent6" w:themeShade="94"/>
        <w:sz w:val="22"/>
      </w:rPr>
      <w:pPr>
        <w:jc w:val="right"/>
      </w:pPr>
      <w:tcPr>
        <w:shd w:val="clear" w:color="ffffff" w:fill="auto"/>
        <w:tcBorders>
          <w:top w:val="none" w:color="000000" w:sz="4" w:space="0"/>
          <w:left w:val="none" w:color="000000" w:sz="4" w:space="0"/>
          <w:bottom w:val="none" w:color="000000" w:sz="4" w:space="0"/>
          <w:right w:val="single" w:color="F099A4" w:themeColor="accent6" w:themeTint="90" w:sz="4" w:space="0"/>
        </w:tcBorders>
      </w:tcPr>
    </w:tblStylePr>
    <w:tblStylePr w:type="firstRow">
      <w:rPr>
        <w:rFonts w:ascii="Arial" w:hAnsi="Arial"/>
        <w:b/>
        <w:color w:val="9a1625" w:themeColor="accent6" w:themeShade="94"/>
        <w:sz w:val="22"/>
      </w:rPr>
      <w:tcPr>
        <w:shd w:val="clear" w:color="ffffff" w:themeColor="light1" w:fill="ffffff" w:themeFill="light1"/>
        <w:tcBorders>
          <w:top w:val="none" w:color="000000" w:sz="4" w:space="0"/>
          <w:left w:val="none" w:color="000000" w:sz="4" w:space="0"/>
          <w:bottom w:val="single" w:color="F099A4" w:themeColor="accent6" w:themeTint="90" w:sz="4" w:space="0"/>
          <w:right w:val="none" w:color="000000" w:sz="4" w:space="0"/>
        </w:tcBorders>
      </w:tcPr>
    </w:tblStylePr>
    <w:tblStylePr w:type="lastCol">
      <w:rPr>
        <w:rFonts w:ascii="Arial" w:hAnsi="Arial"/>
        <w:i/>
        <w:color w:val="9a1625" w:themeColor="accent6" w:themeShade="94"/>
        <w:sz w:val="22"/>
      </w:rPr>
      <w:tcPr>
        <w:shd w:val="clear" w:color="ffffff" w:fill="auto"/>
        <w:tcBorders>
          <w:top w:val="none" w:color="000000" w:sz="4" w:space="0"/>
          <w:left w:val="single" w:color="F099A4" w:themeColor="accent6" w:themeTint="90" w:sz="4" w:space="0"/>
          <w:bottom w:val="none" w:color="000000" w:sz="4" w:space="0"/>
          <w:right w:val="none" w:color="000000" w:sz="4" w:space="0"/>
        </w:tcBorders>
      </w:tcPr>
    </w:tblStylePr>
    <w:tblStylePr w:type="lastRow">
      <w:rPr>
        <w:rFonts w:ascii="Arial" w:hAnsi="Arial"/>
        <w:b/>
        <w:color w:val="9a1625" w:themeColor="accent6" w:themeShade="94"/>
        <w:sz w:val="22"/>
      </w:rPr>
      <w:tcPr>
        <w:shd w:val="clear" w:color="ffffff" w:themeColor="light1" w:fill="ffffff" w:themeFill="light1"/>
        <w:tcBorders>
          <w:top w:val="single" w:color="F099A4" w:themeColor="accent6" w:themeTint="90" w:sz="4" w:space="0"/>
          <w:left w:val="none" w:color="000000" w:sz="4" w:space="0"/>
          <w:bottom w:val="none" w:color="000000" w:sz="4" w:space="0"/>
          <w:right w:val="none" w:color="000000" w:sz="4" w:space="0"/>
        </w:tcBorders>
      </w:tcPr>
    </w:tblStylePr>
  </w:style>
  <w:style w:type="table" w:styleId="1046" w:customStyle="1">
    <w:name w:val="清单表 1 浅色1"/>
    <w:basedOn w:val="897"/>
    <w:uiPriority w:val="99"/>
    <w:qFormat/>
    <w:tblPr>
      <w:tblCellMar>
        <w:left w:w="108" w:type="dxa"/>
        <w:top w:w="0" w:type="dxa"/>
        <w:right w:w="108" w:type="dxa"/>
        <w:bottom w:w="0" w:type="dxa"/>
      </w:tblCellMar>
    </w:tblPr>
    <w:tblStylePr w:type="band1Horz">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7" w:customStyle="1">
    <w:name w:val="List Table 1 Light - Accent 1"/>
    <w:basedOn w:val="897"/>
    <w:uiPriority w:val="99"/>
    <w:qFormat/>
    <w:tblPr>
      <w:tblCellMar>
        <w:left w:w="108" w:type="dxa"/>
        <w:top w:w="0" w:type="dxa"/>
        <w:right w:w="108" w:type="dxa"/>
        <w:bottom w:w="0" w:type="dxa"/>
      </w:tblCellMar>
    </w:tblPr>
    <w:tblStylePr w:type="band1Horz">
      <w:tcPr>
        <w:shd w:val="clear" w:color="d1dcf1" w:themeColor="accent1" w:themeTint="40" w:fill="d1dcf1" w:themeFill="accent1" w:themeFillTint="40"/>
      </w:tcPr>
    </w:tblStylePr>
    <w:tblStylePr w:type="band1Vert">
      <w:tcPr>
        <w:shd w:val="clear" w:color="d1dcf1" w:themeColor="accent1" w:themeTint="40" w:fill="d1dcf1"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874CB" w:themeColor="accent1" w:sz="4" w:space="0"/>
          <w:right w:val="none" w:color="000000" w:sz="4" w:space="0"/>
        </w:tcBorders>
      </w:tcPr>
    </w:tblStylePr>
    <w:tblStylePr w:type="lastCol">
      <w:rPr>
        <w:b/>
        <w:color w:val="404040"/>
      </w:rPr>
    </w:tblStylePr>
    <w:tblStylePr w:type="lastRow">
      <w:rPr>
        <w:b/>
        <w:color w:val="404040"/>
      </w:rPr>
      <w:tcPr>
        <w:tcBorders>
          <w:top w:val="single" w:color="4874CB" w:themeColor="accent1" w:sz="4" w:space="0"/>
          <w:left w:val="none" w:color="000000" w:sz="4" w:space="0"/>
          <w:bottom w:val="none" w:color="000000" w:sz="4" w:space="0"/>
          <w:right w:val="none" w:color="000000" w:sz="4" w:space="0"/>
        </w:tcBorders>
      </w:tcPr>
    </w:tblStylePr>
  </w:style>
  <w:style w:type="table" w:styleId="1048" w:customStyle="1">
    <w:name w:val="List Table 1 Light - Accent 2"/>
    <w:basedOn w:val="897"/>
    <w:uiPriority w:val="99"/>
    <w:qFormat/>
    <w:tblPr>
      <w:tblCellMar>
        <w:left w:w="108" w:type="dxa"/>
        <w:top w:w="0" w:type="dxa"/>
        <w:right w:w="108" w:type="dxa"/>
        <w:bottom w:w="0" w:type="dxa"/>
      </w:tblCellMar>
    </w:tblPr>
    <w:tblStylePr w:type="band1Horz">
      <w:tcPr>
        <w:shd w:val="clear" w:color="fadfca" w:themeColor="accent2" w:themeTint="40" w:fill="fadfca" w:themeFill="accent2" w:themeFillTint="40"/>
      </w:tcPr>
    </w:tblStylePr>
    <w:tblStylePr w:type="band1Vert">
      <w:tcPr>
        <w:shd w:val="clear" w:color="fadfca" w:themeColor="accent2" w:themeTint="40" w:fill="fadf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E822F" w:themeColor="accent2" w:sz="4" w:space="0"/>
          <w:right w:val="none" w:color="000000" w:sz="4" w:space="0"/>
        </w:tcBorders>
      </w:tcPr>
    </w:tblStylePr>
    <w:tblStylePr w:type="lastCol">
      <w:rPr>
        <w:b/>
        <w:color w:val="404040"/>
      </w:rPr>
    </w:tblStylePr>
    <w:tblStylePr w:type="lastRow">
      <w:rPr>
        <w:b/>
        <w:color w:val="404040"/>
      </w:rPr>
      <w:tcPr>
        <w:tcBorders>
          <w:top w:val="single" w:color="EE822F" w:themeColor="accent2" w:sz="4" w:space="0"/>
          <w:left w:val="none" w:color="000000" w:sz="4" w:space="0"/>
          <w:bottom w:val="none" w:color="000000" w:sz="4" w:space="0"/>
          <w:right w:val="none" w:color="000000" w:sz="4" w:space="0"/>
        </w:tcBorders>
      </w:tcPr>
    </w:tblStylePr>
  </w:style>
  <w:style w:type="table" w:styleId="1049" w:customStyle="1">
    <w:name w:val="List Table 1 Light - Accent 3"/>
    <w:basedOn w:val="897"/>
    <w:uiPriority w:val="99"/>
    <w:qFormat/>
    <w:tblPr>
      <w:tblCellMar>
        <w:left w:w="108" w:type="dxa"/>
        <w:top w:w="0" w:type="dxa"/>
        <w:right w:w="108" w:type="dxa"/>
        <w:bottom w:w="0" w:type="dxa"/>
      </w:tblCellMar>
    </w:tblPr>
    <w:tblStylePr w:type="band1Horz">
      <w:tcPr>
        <w:shd w:val="clear" w:color="feefbc" w:themeColor="accent3" w:themeTint="40" w:fill="feefbc" w:themeFill="accent3" w:themeFillTint="40"/>
      </w:tcPr>
    </w:tblStylePr>
    <w:tblStylePr w:type="band1Vert">
      <w:tcPr>
        <w:shd w:val="clear" w:color="feefbc" w:themeColor="accent3" w:themeTint="40" w:fill="feefbc"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2BA02" w:themeColor="accent3" w:sz="4" w:space="0"/>
          <w:right w:val="none" w:color="000000" w:sz="4" w:space="0"/>
        </w:tcBorders>
      </w:tcPr>
    </w:tblStylePr>
    <w:tblStylePr w:type="lastCol">
      <w:rPr>
        <w:b/>
        <w:color w:val="404040"/>
      </w:rPr>
    </w:tblStylePr>
    <w:tblStylePr w:type="lastRow">
      <w:rPr>
        <w:b/>
        <w:color w:val="404040"/>
      </w:rPr>
      <w:tcPr>
        <w:tcBorders>
          <w:top w:val="single" w:color="F2BA02" w:themeColor="accent3" w:sz="4" w:space="0"/>
          <w:left w:val="none" w:color="000000" w:sz="4" w:space="0"/>
          <w:bottom w:val="none" w:color="000000" w:sz="4" w:space="0"/>
          <w:right w:val="none" w:color="000000" w:sz="4" w:space="0"/>
        </w:tcBorders>
      </w:tcPr>
    </w:tblStylePr>
  </w:style>
  <w:style w:type="table" w:styleId="1050" w:customStyle="1">
    <w:name w:val="List Table 1 Light - Accent 4"/>
    <w:basedOn w:val="897"/>
    <w:uiPriority w:val="99"/>
    <w:qFormat/>
    <w:tblPr>
      <w:tblCellMar>
        <w:left w:w="108" w:type="dxa"/>
        <w:top w:w="0" w:type="dxa"/>
        <w:right w:w="108" w:type="dxa"/>
        <w:bottom w:w="0" w:type="dxa"/>
      </w:tblCellMar>
    </w:tblPr>
    <w:tblStylePr w:type="band1Horz">
      <w:tcPr>
        <w:shd w:val="clear" w:color="dceecf" w:themeColor="accent4" w:themeTint="40" w:fill="dceecf" w:themeFill="accent4" w:themeFillTint="40"/>
      </w:tcPr>
    </w:tblStylePr>
    <w:tblStylePr w:type="band1Vert">
      <w:tcPr>
        <w:shd w:val="clear" w:color="dceecf" w:themeColor="accent4" w:themeTint="40" w:fill="dceec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5BD42" w:themeColor="accent4" w:sz="4" w:space="0"/>
          <w:right w:val="none" w:color="000000" w:sz="4" w:space="0"/>
        </w:tcBorders>
      </w:tcPr>
    </w:tblStylePr>
    <w:tblStylePr w:type="lastCol">
      <w:rPr>
        <w:b/>
        <w:color w:val="404040"/>
      </w:rPr>
    </w:tblStylePr>
    <w:tblStylePr w:type="lastRow">
      <w:rPr>
        <w:b/>
        <w:color w:val="404040"/>
      </w:rPr>
      <w:tcPr>
        <w:tcBorders>
          <w:top w:val="single" w:color="75BD42" w:themeColor="accent4" w:sz="4" w:space="0"/>
          <w:left w:val="none" w:color="000000" w:sz="4" w:space="0"/>
          <w:bottom w:val="none" w:color="000000" w:sz="4" w:space="0"/>
          <w:right w:val="none" w:color="000000" w:sz="4" w:space="0"/>
        </w:tcBorders>
      </w:tcPr>
    </w:tblStylePr>
  </w:style>
  <w:style w:type="table" w:styleId="1051" w:customStyle="1">
    <w:name w:val="List Table 1 Light - Accent 5"/>
    <w:basedOn w:val="897"/>
    <w:uiPriority w:val="99"/>
    <w:qFormat/>
    <w:tblPr>
      <w:tblCellMar>
        <w:left w:w="108" w:type="dxa"/>
        <w:top w:w="0" w:type="dxa"/>
        <w:right w:w="108" w:type="dxa"/>
        <w:bottom w:w="0" w:type="dxa"/>
      </w:tblCellMar>
    </w:tblPr>
    <w:tblStylePr w:type="band1Horz">
      <w:tcPr>
        <w:shd w:val="clear" w:color="c8f1ee" w:themeColor="accent5" w:themeTint="40" w:fill="c8f1ee" w:themeFill="accent5" w:themeFillTint="40"/>
      </w:tcPr>
    </w:tblStylePr>
    <w:tblStylePr w:type="band1Vert">
      <w:tcPr>
        <w:shd w:val="clear" w:color="c8f1ee" w:themeColor="accent5" w:themeTint="40" w:fill="c8f1ee"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30C0B4" w:themeColor="accent5" w:sz="4" w:space="0"/>
          <w:right w:val="none" w:color="000000" w:sz="4" w:space="0"/>
        </w:tcBorders>
      </w:tcPr>
    </w:tblStylePr>
    <w:tblStylePr w:type="lastCol">
      <w:rPr>
        <w:b/>
        <w:color w:val="404040"/>
      </w:rPr>
    </w:tblStylePr>
    <w:tblStylePr w:type="lastRow">
      <w:rPr>
        <w:b/>
        <w:color w:val="404040"/>
      </w:rPr>
      <w:tcPr>
        <w:tcBorders>
          <w:top w:val="single" w:color="30C0B4" w:themeColor="accent5" w:sz="4" w:space="0"/>
          <w:left w:val="none" w:color="000000" w:sz="4" w:space="0"/>
          <w:bottom w:val="none" w:color="000000" w:sz="4" w:space="0"/>
          <w:right w:val="none" w:color="000000" w:sz="4" w:space="0"/>
        </w:tcBorders>
      </w:tcPr>
    </w:tblStylePr>
  </w:style>
  <w:style w:type="table" w:styleId="1052" w:customStyle="1">
    <w:name w:val="List Table 1 Light - Accent 6"/>
    <w:basedOn w:val="897"/>
    <w:uiPriority w:val="99"/>
    <w:qFormat/>
    <w:tblPr>
      <w:tblCellMar>
        <w:left w:w="108" w:type="dxa"/>
        <w:top w:w="0" w:type="dxa"/>
        <w:right w:w="108" w:type="dxa"/>
        <w:bottom w:w="0" w:type="dxa"/>
      </w:tblCellMar>
    </w:tblPr>
    <w:tblStylePr w:type="band1Horz">
      <w:tcPr>
        <w:shd w:val="clear" w:color="f8d2d6" w:themeColor="accent6" w:themeTint="40" w:fill="f8d2d6" w:themeFill="accent6" w:themeFillTint="40"/>
      </w:tcPr>
    </w:tblStylePr>
    <w:tblStylePr w:type="band1Vert">
      <w:tcPr>
        <w:shd w:val="clear" w:color="f8d2d6" w:themeColor="accent6" w:themeTint="40" w:fill="f8d2d6"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54C5E" w:themeColor="accent6" w:sz="4" w:space="0"/>
          <w:right w:val="none" w:color="000000" w:sz="4" w:space="0"/>
        </w:tcBorders>
      </w:tcPr>
    </w:tblStylePr>
    <w:tblStylePr w:type="lastCol">
      <w:rPr>
        <w:b/>
        <w:color w:val="404040"/>
      </w:rPr>
    </w:tblStylePr>
    <w:tblStylePr w:type="lastRow">
      <w:rPr>
        <w:b/>
        <w:color w:val="404040"/>
      </w:rPr>
      <w:tcPr>
        <w:tcBorders>
          <w:top w:val="single" w:color="E54C5E" w:themeColor="accent6" w:sz="4" w:space="0"/>
          <w:left w:val="none" w:color="000000" w:sz="4" w:space="0"/>
          <w:bottom w:val="none" w:color="000000" w:sz="4" w:space="0"/>
          <w:right w:val="none" w:color="000000" w:sz="4" w:space="0"/>
        </w:tcBorders>
      </w:tcPr>
    </w:tblStylePr>
  </w:style>
  <w:style w:type="table" w:styleId="1053" w:customStyle="1">
    <w:name w:val="清单表 21"/>
    <w:basedOn w:val="897"/>
    <w:uiPriority w:val="99"/>
    <w:qFormat/>
    <w:tblPr>
      <w:tblBorders>
        <w:top w:val="single" w:color="6E6E6E" w:themeColor="text1" w:themeTint="90" w:sz="4" w:space="0"/>
        <w:bottom w:val="single" w:color="6E6E6E" w:themeColor="text1" w:themeTint="90" w:sz="4" w:space="0"/>
        <w:insideH w:val="single" w:color="6E6E6E"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style>
  <w:style w:type="table" w:styleId="1054" w:customStyle="1">
    <w:name w:val="List Table 2 - Accent 1"/>
    <w:basedOn w:val="897"/>
    <w:uiPriority w:val="99"/>
    <w:qFormat/>
    <w:tblPr>
      <w:tblBorders>
        <w:top w:val="single" w:color="97B0E1" w:themeColor="accent1" w:themeTint="90" w:sz="4" w:space="0"/>
        <w:bottom w:val="single" w:color="97B0E1" w:themeColor="accent1" w:themeTint="90" w:sz="4" w:space="0"/>
        <w:insideH w:val="single" w:color="97B0E1"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1dcf1" w:themeColor="accent1" w:themeTint="40" w:fill="d1dcf1" w:themeFill="accent1" w:themeFillTint="40"/>
      </w:tcPr>
    </w:tblStylePr>
    <w:tblStylePr w:type="band1Vert">
      <w:rPr>
        <w:rFonts w:ascii="Arial" w:hAnsi="Arial"/>
        <w:color w:val="404040"/>
        <w:sz w:val="22"/>
      </w:rPr>
      <w:tcPr>
        <w:shd w:val="clear" w:color="d1dcf1" w:themeColor="accent1" w:themeTint="40" w:fill="d1dcf1"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7B0E1" w:themeColor="accent1" w:themeTint="90" w:sz="4" w:space="0"/>
          <w:left w:val="none" w:color="000000" w:sz="4" w:space="0"/>
          <w:bottom w:val="single" w:color="97B0E1"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7B0E1" w:themeColor="accent1" w:themeTint="90" w:sz="4" w:space="0"/>
          <w:left w:val="none" w:color="000000" w:sz="4" w:space="0"/>
          <w:bottom w:val="single" w:color="97B0E1" w:themeColor="accent1" w:themeTint="90" w:sz="4" w:space="0"/>
          <w:right w:val="none" w:color="000000" w:sz="4" w:space="0"/>
        </w:tcBorders>
      </w:tcPr>
    </w:tblStylePr>
  </w:style>
  <w:style w:type="table" w:styleId="1055" w:customStyle="1">
    <w:name w:val="List Table 2 - Accent 2"/>
    <w:basedOn w:val="897"/>
    <w:uiPriority w:val="99"/>
    <w:qFormat/>
    <w:tblPr>
      <w:tblBorders>
        <w:top w:val="single" w:color="F5B889" w:themeColor="accent2" w:themeTint="90" w:sz="4" w:space="0"/>
        <w:bottom w:val="single" w:color="F5B889" w:themeColor="accent2" w:themeTint="90" w:sz="4" w:space="0"/>
        <w:insideH w:val="single" w:color="F5B889"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fca" w:themeColor="accent2" w:themeTint="40" w:fill="fadfca" w:themeFill="accent2" w:themeFillTint="40"/>
      </w:tcPr>
    </w:tblStylePr>
    <w:tblStylePr w:type="band1Vert">
      <w:rPr>
        <w:rFonts w:ascii="Arial" w:hAnsi="Arial"/>
        <w:color w:val="404040"/>
        <w:sz w:val="22"/>
      </w:rPr>
      <w:tcPr>
        <w:shd w:val="clear" w:color="fadfca" w:themeColor="accent2" w:themeTint="40" w:fill="fadfca"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5B889" w:themeColor="accent2" w:themeTint="90" w:sz="4" w:space="0"/>
          <w:left w:val="none" w:color="000000" w:sz="4" w:space="0"/>
          <w:bottom w:val="single" w:color="F5B889"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5B889" w:themeColor="accent2" w:themeTint="90" w:sz="4" w:space="0"/>
          <w:left w:val="none" w:color="000000" w:sz="4" w:space="0"/>
          <w:bottom w:val="single" w:color="F5B889" w:themeColor="accent2" w:themeTint="90" w:sz="4" w:space="0"/>
          <w:right w:val="none" w:color="000000" w:sz="4" w:space="0"/>
        </w:tcBorders>
      </w:tcPr>
    </w:tblStylePr>
  </w:style>
  <w:style w:type="table" w:styleId="1056" w:customStyle="1">
    <w:name w:val="List Table 2 - Accent 3"/>
    <w:basedOn w:val="897"/>
    <w:uiPriority w:val="99"/>
    <w:qFormat/>
    <w:tblPr>
      <w:tblBorders>
        <w:top w:val="single" w:color="FDDB6A" w:themeColor="accent3" w:themeTint="90" w:sz="4" w:space="0"/>
        <w:bottom w:val="single" w:color="FDDB6A" w:themeColor="accent3" w:themeTint="90" w:sz="4" w:space="0"/>
        <w:insideH w:val="single" w:color="FDDB6A"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feefbc" w:themeColor="accent3" w:themeTint="40" w:fill="feefbc" w:themeFill="accent3" w:themeFillTint="40"/>
      </w:tcPr>
    </w:tblStylePr>
    <w:tblStylePr w:type="band1Vert">
      <w:rPr>
        <w:rFonts w:ascii="Arial" w:hAnsi="Arial"/>
        <w:color w:val="404040"/>
        <w:sz w:val="22"/>
      </w:rPr>
      <w:tcPr>
        <w:shd w:val="clear" w:color="feefbc" w:themeColor="accent3" w:themeTint="40" w:fill="feefbc"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DDB6A" w:themeColor="accent3" w:themeTint="90" w:sz="4" w:space="0"/>
          <w:left w:val="none" w:color="000000" w:sz="4" w:space="0"/>
          <w:bottom w:val="single" w:color="FDDB6A"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DDB6A" w:themeColor="accent3" w:themeTint="90" w:sz="4" w:space="0"/>
          <w:left w:val="none" w:color="000000" w:sz="4" w:space="0"/>
          <w:bottom w:val="single" w:color="FDDB6A" w:themeColor="accent3" w:themeTint="90" w:sz="4" w:space="0"/>
          <w:right w:val="none" w:color="000000" w:sz="4" w:space="0"/>
        </w:tcBorders>
      </w:tcPr>
    </w:tblStylePr>
  </w:style>
  <w:style w:type="table" w:styleId="1057" w:customStyle="1">
    <w:name w:val="List Table 2 - Accent 4"/>
    <w:basedOn w:val="897"/>
    <w:uiPriority w:val="99"/>
    <w:qFormat/>
    <w:tblPr>
      <w:tblBorders>
        <w:top w:val="single" w:color="B1D994" w:themeColor="accent4" w:themeTint="90" w:sz="4" w:space="0"/>
        <w:bottom w:val="single" w:color="B1D994" w:themeColor="accent4" w:themeTint="90" w:sz="4" w:space="0"/>
        <w:insideH w:val="single" w:color="B1D994"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ecf" w:themeColor="accent4" w:themeTint="40" w:fill="dceecf" w:themeFill="accent4" w:themeFillTint="40"/>
      </w:tcPr>
    </w:tblStylePr>
    <w:tblStylePr w:type="band1Vert">
      <w:rPr>
        <w:rFonts w:ascii="Arial" w:hAnsi="Arial"/>
        <w:color w:val="404040"/>
        <w:sz w:val="22"/>
      </w:rPr>
      <w:tcPr>
        <w:shd w:val="clear" w:color="dceecf" w:themeColor="accent4" w:themeTint="40" w:fill="dceec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1D994" w:themeColor="accent4" w:themeTint="90" w:sz="4" w:space="0"/>
          <w:left w:val="none" w:color="000000" w:sz="4" w:space="0"/>
          <w:bottom w:val="single" w:color="B1D994"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1D994" w:themeColor="accent4" w:themeTint="90" w:sz="4" w:space="0"/>
          <w:left w:val="none" w:color="000000" w:sz="4" w:space="0"/>
          <w:bottom w:val="single" w:color="B1D994" w:themeColor="accent4" w:themeTint="90" w:sz="4" w:space="0"/>
          <w:right w:val="none" w:color="000000" w:sz="4" w:space="0"/>
        </w:tcBorders>
      </w:tcPr>
    </w:tblStylePr>
  </w:style>
  <w:style w:type="table" w:styleId="1058" w:customStyle="1">
    <w:name w:val="List Table 2 - Accent 5"/>
    <w:basedOn w:val="897"/>
    <w:uiPriority w:val="99"/>
    <w:qFormat/>
    <w:tblPr>
      <w:tblBorders>
        <w:top w:val="single" w:color="85E0D8" w:themeColor="accent5" w:themeTint="90" w:sz="4" w:space="0"/>
        <w:bottom w:val="single" w:color="85E0D8" w:themeColor="accent5" w:themeTint="90" w:sz="4" w:space="0"/>
        <w:insideH w:val="single" w:color="85E0D8"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8f1ee" w:themeColor="accent5" w:themeTint="40" w:fill="c8f1ee" w:themeFill="accent5" w:themeFillTint="40"/>
      </w:tcPr>
    </w:tblStylePr>
    <w:tblStylePr w:type="band1Vert">
      <w:rPr>
        <w:rFonts w:ascii="Arial" w:hAnsi="Arial"/>
        <w:color w:val="404040"/>
        <w:sz w:val="22"/>
      </w:rPr>
      <w:tcPr>
        <w:shd w:val="clear" w:color="c8f1ee" w:themeColor="accent5" w:themeTint="40" w:fill="c8f1ee"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85E0D8" w:themeColor="accent5" w:themeTint="90" w:sz="4" w:space="0"/>
          <w:left w:val="none" w:color="000000" w:sz="4" w:space="0"/>
          <w:bottom w:val="single" w:color="85E0D8"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85E0D8" w:themeColor="accent5" w:themeTint="90" w:sz="4" w:space="0"/>
          <w:left w:val="none" w:color="000000" w:sz="4" w:space="0"/>
          <w:bottom w:val="single" w:color="85E0D8" w:themeColor="accent5" w:themeTint="90" w:sz="4" w:space="0"/>
          <w:right w:val="none" w:color="000000" w:sz="4" w:space="0"/>
        </w:tcBorders>
      </w:tcPr>
    </w:tblStylePr>
  </w:style>
  <w:style w:type="table" w:styleId="1059" w:customStyle="1">
    <w:name w:val="List Table 2 - Accent 6"/>
    <w:basedOn w:val="897"/>
    <w:uiPriority w:val="99"/>
    <w:qFormat/>
    <w:tblPr>
      <w:tblBorders>
        <w:top w:val="single" w:color="F099A4" w:themeColor="accent6" w:themeTint="90" w:sz="4" w:space="0"/>
        <w:bottom w:val="single" w:color="F099A4" w:themeColor="accent6" w:themeTint="90" w:sz="4" w:space="0"/>
        <w:insideH w:val="single" w:color="F099A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8d2d6" w:themeColor="accent6" w:themeTint="40" w:fill="f8d2d6" w:themeFill="accent6" w:themeFillTint="40"/>
      </w:tcPr>
    </w:tblStylePr>
    <w:tblStylePr w:type="band1Vert">
      <w:rPr>
        <w:rFonts w:ascii="Arial" w:hAnsi="Arial"/>
        <w:color w:val="404040"/>
        <w:sz w:val="22"/>
      </w:rPr>
      <w:tcPr>
        <w:shd w:val="clear" w:color="f8d2d6" w:themeColor="accent6" w:themeTint="40" w:fill="f8d2d6"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099A4" w:themeColor="accent6" w:themeTint="90" w:sz="4" w:space="0"/>
          <w:left w:val="none" w:color="000000" w:sz="4" w:space="0"/>
          <w:bottom w:val="single" w:color="F099A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099A4" w:themeColor="accent6" w:themeTint="90" w:sz="4" w:space="0"/>
          <w:left w:val="none" w:color="000000" w:sz="4" w:space="0"/>
          <w:bottom w:val="single" w:color="F099A4" w:themeColor="accent6" w:themeTint="90" w:sz="4" w:space="0"/>
          <w:right w:val="none" w:color="000000" w:sz="4" w:space="0"/>
        </w:tcBorders>
      </w:tcPr>
    </w:tblStylePr>
  </w:style>
  <w:style w:type="table" w:styleId="1060" w:customStyle="1">
    <w:name w:val="清单表 31"/>
    <w:basedOn w:val="897"/>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61" w:customStyle="1">
    <w:name w:val="List Table 3 - Accent 1"/>
    <w:basedOn w:val="897"/>
    <w:uiPriority w:val="99"/>
    <w:qFormat/>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firstCol">
      <w:rPr>
        <w:b/>
        <w:color w:val="404040"/>
      </w:rPr>
    </w:tblStylePr>
    <w:tblStylePr w:type="firstRow">
      <w:rPr>
        <w:rFonts w:ascii="Arial" w:hAnsi="Arial"/>
        <w:b/>
        <w:color w:val="ffffff"/>
        <w:sz w:val="22"/>
      </w:rPr>
      <w:tcPr>
        <w:shd w:val="clear" w:color="4874cb" w:themeColor="accent1" w:fill="4874cb" w:themeFill="accent1"/>
      </w:tcPr>
    </w:tblStylePr>
    <w:tblStylePr w:type="lastCol">
      <w:rPr>
        <w:b/>
        <w:color w:val="404040"/>
      </w:rPr>
    </w:tblStylePr>
    <w:tblStylePr w:type="lastRow">
      <w:rPr>
        <w:b/>
        <w:color w:val="404040"/>
      </w:rPr>
    </w:tblStylePr>
  </w:style>
  <w:style w:type="table" w:styleId="1062" w:customStyle="1">
    <w:name w:val="List Table 3 - Accent 2"/>
    <w:basedOn w:val="897"/>
    <w:uiPriority w:val="99"/>
    <w:qFormat/>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firstCol">
      <w:rPr>
        <w:b/>
        <w:color w:val="404040"/>
      </w:rPr>
    </w:tblStylePr>
    <w:tblStylePr w:type="firstRow">
      <w:rPr>
        <w:rFonts w:ascii="Arial" w:hAnsi="Arial"/>
        <w:b/>
        <w:color w:val="ffffff"/>
        <w:sz w:val="22"/>
      </w:rPr>
      <w:tcPr>
        <w:shd w:val="clear" w:color="f4b483" w:themeColor="accent2" w:themeTint="97" w:fill="f4b483" w:themeFill="accent2" w:themeFillTint="97"/>
      </w:tcPr>
    </w:tblStylePr>
    <w:tblStylePr w:type="lastCol">
      <w:rPr>
        <w:b/>
        <w:color w:val="404040"/>
      </w:rPr>
    </w:tblStylePr>
    <w:tblStylePr w:type="lastRow">
      <w:rPr>
        <w:b/>
        <w:color w:val="404040"/>
      </w:rPr>
    </w:tblStylePr>
  </w:style>
  <w:style w:type="table" w:styleId="1063" w:customStyle="1">
    <w:name w:val="List Table 3 - Accent 3"/>
    <w:basedOn w:val="897"/>
    <w:uiPriority w:val="99"/>
    <w:qFormat/>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firstCol">
      <w:rPr>
        <w:b/>
        <w:color w:val="404040"/>
      </w:rPr>
    </w:tblStylePr>
    <w:tblStylePr w:type="firstRow">
      <w:rPr>
        <w:rFonts w:ascii="Arial" w:hAnsi="Arial"/>
        <w:b/>
        <w:color w:val="ffffff"/>
        <w:sz w:val="22"/>
      </w:rPr>
      <w:tcPr>
        <w:shd w:val="clear" w:color="fdd961" w:themeColor="accent3" w:themeTint="98" w:fill="fdd961" w:themeFill="accent3" w:themeFillTint="98"/>
      </w:tcPr>
    </w:tblStylePr>
    <w:tblStylePr w:type="lastCol">
      <w:rPr>
        <w:b/>
        <w:color w:val="404040"/>
      </w:rPr>
    </w:tblStylePr>
    <w:tblStylePr w:type="lastRow">
      <w:rPr>
        <w:b/>
        <w:color w:val="404040"/>
      </w:rPr>
    </w:tblStylePr>
  </w:style>
  <w:style w:type="table" w:styleId="1064" w:customStyle="1">
    <w:name w:val="List Table 3 - Accent 4"/>
    <w:basedOn w:val="897"/>
    <w:uiPriority w:val="99"/>
    <w:qFormat/>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firstCol">
      <w:rPr>
        <w:b/>
        <w:color w:val="404040"/>
      </w:rPr>
    </w:tblStylePr>
    <w:tblStylePr w:type="firstRow">
      <w:rPr>
        <w:rFonts w:ascii="Arial" w:hAnsi="Arial"/>
        <w:b/>
        <w:color w:val="ffffff"/>
        <w:sz w:val="22"/>
      </w:rPr>
      <w:tcPr>
        <w:shd w:val="clear" w:color="abd78c" w:themeColor="accent4" w:themeTint="9A" w:fill="abd78c" w:themeFill="accent4" w:themeFillTint="9A"/>
      </w:tcPr>
    </w:tblStylePr>
    <w:tblStylePr w:type="lastCol">
      <w:rPr>
        <w:b/>
        <w:color w:val="404040"/>
      </w:rPr>
    </w:tblStylePr>
    <w:tblStylePr w:type="lastRow">
      <w:rPr>
        <w:b/>
        <w:color w:val="404040"/>
      </w:rPr>
    </w:tblStylePr>
  </w:style>
  <w:style w:type="table" w:styleId="1065" w:customStyle="1">
    <w:name w:val="List Table 3 - Accent 5"/>
    <w:basedOn w:val="897"/>
    <w:uiPriority w:val="99"/>
    <w:qFormat/>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firstCol">
      <w:rPr>
        <w:b/>
        <w:color w:val="404040"/>
      </w:rPr>
    </w:tblStylePr>
    <w:tblStylePr w:type="firstRow">
      <w:rPr>
        <w:rFonts w:ascii="Arial" w:hAnsi="Arial"/>
        <w:b/>
        <w:color w:val="ffffff"/>
        <w:sz w:val="22"/>
      </w:rPr>
      <w:tcPr>
        <w:shd w:val="clear" w:color="7cded6" w:themeColor="accent5" w:themeTint="9A" w:fill="7cded6" w:themeFill="accent5" w:themeFillTint="9A"/>
      </w:tcPr>
    </w:tblStylePr>
    <w:tblStylePr w:type="lastCol">
      <w:rPr>
        <w:b/>
        <w:color w:val="404040"/>
      </w:rPr>
    </w:tblStylePr>
    <w:tblStylePr w:type="lastRow">
      <w:rPr>
        <w:b/>
        <w:color w:val="404040"/>
      </w:rPr>
    </w:tblStylePr>
  </w:style>
  <w:style w:type="table" w:styleId="1066" w:customStyle="1">
    <w:name w:val="List Table 3 - Accent 6"/>
    <w:basedOn w:val="897"/>
    <w:uiPriority w:val="99"/>
    <w:qFormat/>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firstCol">
      <w:rPr>
        <w:b/>
        <w:color w:val="404040"/>
      </w:rPr>
    </w:tblStylePr>
    <w:tblStylePr w:type="firstRow">
      <w:rPr>
        <w:rFonts w:ascii="Arial" w:hAnsi="Arial"/>
        <w:b/>
        <w:color w:val="ffffff"/>
        <w:sz w:val="22"/>
      </w:rPr>
      <w:tcPr>
        <w:shd w:val="clear" w:color="ef949f" w:themeColor="accent6" w:themeTint="98" w:fill="ef949f" w:themeFill="accent6" w:themeFillTint="98"/>
      </w:tcPr>
    </w:tblStylePr>
    <w:tblStylePr w:type="lastCol">
      <w:rPr>
        <w:b/>
        <w:color w:val="404040"/>
      </w:rPr>
    </w:tblStylePr>
    <w:tblStylePr w:type="lastRow">
      <w:rPr>
        <w:b/>
        <w:color w:val="404040"/>
      </w:rPr>
    </w:tblStylePr>
  </w:style>
  <w:style w:type="table" w:styleId="1067" w:customStyle="1">
    <w:name w:val="清单表 41"/>
    <w:basedOn w:val="897"/>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ebebe" w:themeColor="text1" w:themeTint="40" w:fill="bebebe" w:themeFill="text1" w:themeFillTint="40"/>
      </w:tcPr>
    </w:tblStylePr>
    <w:tblStylePr w:type="band1Vert">
      <w:rPr>
        <w:rFonts w:ascii="Arial" w:hAnsi="Arial"/>
        <w:color w:val="404040"/>
        <w:sz w:val="22"/>
      </w:rPr>
      <w:tcPr>
        <w:shd w:val="clear" w:color="bebebe" w:themeColor="text1" w:themeTint="40" w:fill="bebebe"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68" w:customStyle="1">
    <w:name w:val="List Table 4 - Accent 1"/>
    <w:basedOn w:val="897"/>
    <w:uiPriority w:val="99"/>
    <w:qFormat/>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1dcf1" w:themeColor="accent1" w:themeTint="40" w:fill="d1dcf1" w:themeFill="accent1" w:themeFillTint="40"/>
      </w:tcPr>
    </w:tblStylePr>
    <w:tblStylePr w:type="band1Vert">
      <w:rPr>
        <w:rFonts w:ascii="Arial" w:hAnsi="Arial"/>
        <w:color w:val="404040"/>
        <w:sz w:val="22"/>
      </w:rPr>
      <w:tcPr>
        <w:shd w:val="clear" w:color="d1dcf1" w:themeColor="accent1" w:themeTint="40" w:fill="d1dcf1" w:themeFill="accent1" w:themeFillTint="40"/>
      </w:tcPr>
    </w:tblStylePr>
    <w:tblStylePr w:type="firstCol">
      <w:rPr>
        <w:b/>
        <w:color w:val="404040"/>
      </w:rPr>
    </w:tblStylePr>
    <w:tblStylePr w:type="firstRow">
      <w:rPr>
        <w:rFonts w:ascii="Arial" w:hAnsi="Arial"/>
        <w:b/>
        <w:color w:val="ffffff"/>
        <w:sz w:val="22"/>
      </w:rPr>
      <w:tcPr>
        <w:shd w:val="clear" w:color="4874cb" w:themeColor="accent1" w:fill="4874cb" w:themeFill="accent1"/>
      </w:tcPr>
    </w:tblStylePr>
    <w:tblStylePr w:type="lastCol">
      <w:rPr>
        <w:b/>
        <w:color w:val="404040"/>
      </w:rPr>
    </w:tblStylePr>
    <w:tblStylePr w:type="lastRow">
      <w:rPr>
        <w:b/>
        <w:color w:val="404040"/>
      </w:rPr>
    </w:tblStylePr>
  </w:style>
  <w:style w:type="table" w:styleId="1069" w:customStyle="1">
    <w:name w:val="List Table 4 - Accent 2"/>
    <w:basedOn w:val="897"/>
    <w:uiPriority w:val="99"/>
    <w:qFormat/>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fca" w:themeColor="accent2" w:themeTint="40" w:fill="fadfca" w:themeFill="accent2" w:themeFillTint="40"/>
      </w:tcPr>
    </w:tblStylePr>
    <w:tblStylePr w:type="band1Vert">
      <w:rPr>
        <w:rFonts w:ascii="Arial" w:hAnsi="Arial"/>
        <w:color w:val="404040"/>
        <w:sz w:val="22"/>
      </w:rPr>
      <w:tcPr>
        <w:shd w:val="clear" w:color="fadfca" w:themeColor="accent2" w:themeTint="40" w:fill="fadfca" w:themeFill="accent2" w:themeFillTint="40"/>
      </w:tcPr>
    </w:tblStylePr>
    <w:tblStylePr w:type="firstCol">
      <w:rPr>
        <w:b/>
        <w:color w:val="404040"/>
      </w:rPr>
    </w:tblStylePr>
    <w:tblStylePr w:type="firstRow">
      <w:rPr>
        <w:rFonts w:ascii="Arial" w:hAnsi="Arial"/>
        <w:b/>
        <w:color w:val="ffffff"/>
        <w:sz w:val="22"/>
      </w:rPr>
      <w:tcPr>
        <w:shd w:val="clear" w:color="ee822f" w:themeColor="accent2" w:fill="ee822f" w:themeFill="accent2"/>
      </w:tcPr>
    </w:tblStylePr>
    <w:tblStylePr w:type="lastCol">
      <w:rPr>
        <w:b/>
        <w:color w:val="404040"/>
      </w:rPr>
    </w:tblStylePr>
    <w:tblStylePr w:type="lastRow">
      <w:rPr>
        <w:b/>
        <w:color w:val="404040"/>
      </w:rPr>
    </w:tblStylePr>
  </w:style>
  <w:style w:type="table" w:styleId="1070" w:customStyle="1">
    <w:name w:val="List Table 4 - Accent 3"/>
    <w:basedOn w:val="897"/>
    <w:uiPriority w:val="99"/>
    <w:qFormat/>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feefbc" w:themeColor="accent3" w:themeTint="40" w:fill="feefbc" w:themeFill="accent3" w:themeFillTint="40"/>
      </w:tcPr>
    </w:tblStylePr>
    <w:tblStylePr w:type="band1Vert">
      <w:rPr>
        <w:rFonts w:ascii="Arial" w:hAnsi="Arial"/>
        <w:color w:val="404040"/>
        <w:sz w:val="22"/>
      </w:rPr>
      <w:tcPr>
        <w:shd w:val="clear" w:color="feefbc" w:themeColor="accent3" w:themeTint="40" w:fill="feefbc" w:themeFill="accent3" w:themeFillTint="40"/>
      </w:tcPr>
    </w:tblStylePr>
    <w:tblStylePr w:type="firstCol">
      <w:rPr>
        <w:b/>
        <w:color w:val="404040"/>
      </w:rPr>
    </w:tblStylePr>
    <w:tblStylePr w:type="firstRow">
      <w:rPr>
        <w:rFonts w:ascii="Arial" w:hAnsi="Arial"/>
        <w:b/>
        <w:color w:val="ffffff"/>
        <w:sz w:val="22"/>
      </w:rPr>
      <w:tcPr>
        <w:shd w:val="clear" w:color="f2ba02" w:themeColor="accent3" w:fill="f2ba02" w:themeFill="accent3"/>
      </w:tcPr>
    </w:tblStylePr>
    <w:tblStylePr w:type="lastCol">
      <w:rPr>
        <w:b/>
        <w:color w:val="404040"/>
      </w:rPr>
    </w:tblStylePr>
    <w:tblStylePr w:type="lastRow">
      <w:rPr>
        <w:b/>
        <w:color w:val="404040"/>
      </w:rPr>
    </w:tblStylePr>
  </w:style>
  <w:style w:type="table" w:styleId="1071" w:customStyle="1">
    <w:name w:val="List Table 4 - Accent 4"/>
    <w:basedOn w:val="897"/>
    <w:uiPriority w:val="99"/>
    <w:qFormat/>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ecf" w:themeColor="accent4" w:themeTint="40" w:fill="dceecf" w:themeFill="accent4" w:themeFillTint="40"/>
      </w:tcPr>
    </w:tblStylePr>
    <w:tblStylePr w:type="band1Vert">
      <w:rPr>
        <w:rFonts w:ascii="Arial" w:hAnsi="Arial"/>
        <w:color w:val="404040"/>
        <w:sz w:val="22"/>
      </w:rPr>
      <w:tcPr>
        <w:shd w:val="clear" w:color="dceecf" w:themeColor="accent4" w:themeTint="40" w:fill="dceecf" w:themeFill="accent4" w:themeFillTint="40"/>
      </w:tcPr>
    </w:tblStylePr>
    <w:tblStylePr w:type="firstCol">
      <w:rPr>
        <w:b/>
        <w:color w:val="404040"/>
      </w:rPr>
    </w:tblStylePr>
    <w:tblStylePr w:type="firstRow">
      <w:rPr>
        <w:rFonts w:ascii="Arial" w:hAnsi="Arial"/>
        <w:b/>
        <w:color w:val="ffffff"/>
        <w:sz w:val="22"/>
      </w:rPr>
      <w:tcPr>
        <w:shd w:val="clear" w:color="75bd42" w:themeColor="accent4" w:fill="75bd42" w:themeFill="accent4"/>
      </w:tcPr>
    </w:tblStylePr>
    <w:tblStylePr w:type="lastCol">
      <w:rPr>
        <w:b/>
        <w:color w:val="404040"/>
      </w:rPr>
    </w:tblStylePr>
    <w:tblStylePr w:type="lastRow">
      <w:rPr>
        <w:b/>
        <w:color w:val="404040"/>
      </w:rPr>
    </w:tblStylePr>
  </w:style>
  <w:style w:type="table" w:styleId="1072" w:customStyle="1">
    <w:name w:val="List Table 4 - Accent 5"/>
    <w:basedOn w:val="897"/>
    <w:uiPriority w:val="99"/>
    <w:qFormat/>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8f1ee" w:themeColor="accent5" w:themeTint="40" w:fill="c8f1ee" w:themeFill="accent5" w:themeFillTint="40"/>
      </w:tcPr>
    </w:tblStylePr>
    <w:tblStylePr w:type="band1Vert">
      <w:rPr>
        <w:rFonts w:ascii="Arial" w:hAnsi="Arial"/>
        <w:color w:val="404040"/>
        <w:sz w:val="22"/>
      </w:rPr>
      <w:tcPr>
        <w:shd w:val="clear" w:color="c8f1ee" w:themeColor="accent5" w:themeTint="40" w:fill="c8f1ee" w:themeFill="accent5" w:themeFillTint="40"/>
      </w:tcPr>
    </w:tblStylePr>
    <w:tblStylePr w:type="firstCol">
      <w:rPr>
        <w:b/>
        <w:color w:val="404040"/>
      </w:rPr>
    </w:tblStylePr>
    <w:tblStylePr w:type="firstRow">
      <w:rPr>
        <w:rFonts w:ascii="Arial" w:hAnsi="Arial"/>
        <w:b/>
        <w:color w:val="ffffff"/>
        <w:sz w:val="22"/>
      </w:rPr>
      <w:tcPr>
        <w:shd w:val="clear" w:color="30c0b4" w:themeColor="accent5" w:fill="30c0b4" w:themeFill="accent5"/>
      </w:tcPr>
    </w:tblStylePr>
    <w:tblStylePr w:type="lastCol">
      <w:rPr>
        <w:b/>
        <w:color w:val="404040"/>
      </w:rPr>
    </w:tblStylePr>
    <w:tblStylePr w:type="lastRow">
      <w:rPr>
        <w:b/>
        <w:color w:val="404040"/>
      </w:rPr>
    </w:tblStylePr>
  </w:style>
  <w:style w:type="table" w:styleId="1073" w:customStyle="1">
    <w:name w:val="List Table 4 - Accent 6"/>
    <w:basedOn w:val="897"/>
    <w:uiPriority w:val="99"/>
    <w:qFormat/>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8d2d6" w:themeColor="accent6" w:themeTint="40" w:fill="f8d2d6" w:themeFill="accent6" w:themeFillTint="40"/>
      </w:tcPr>
    </w:tblStylePr>
    <w:tblStylePr w:type="band1Vert">
      <w:rPr>
        <w:rFonts w:ascii="Arial" w:hAnsi="Arial"/>
        <w:color w:val="404040"/>
        <w:sz w:val="22"/>
      </w:rPr>
      <w:tcPr>
        <w:shd w:val="clear" w:color="f8d2d6" w:themeColor="accent6" w:themeTint="40" w:fill="f8d2d6" w:themeFill="accent6" w:themeFillTint="40"/>
      </w:tcPr>
    </w:tblStylePr>
    <w:tblStylePr w:type="firstCol">
      <w:rPr>
        <w:b/>
        <w:color w:val="404040"/>
      </w:rPr>
    </w:tblStylePr>
    <w:tblStylePr w:type="firstRow">
      <w:rPr>
        <w:rFonts w:ascii="Arial" w:hAnsi="Arial"/>
        <w:b/>
        <w:color w:val="ffffff"/>
        <w:sz w:val="22"/>
      </w:rPr>
      <w:tcPr>
        <w:shd w:val="clear" w:color="e54c5e" w:themeColor="accent6" w:fill="e54c5e" w:themeFill="accent6"/>
      </w:tcPr>
    </w:tblStylePr>
    <w:tblStylePr w:type="lastCol">
      <w:rPr>
        <w:b/>
        <w:color w:val="404040"/>
      </w:rPr>
    </w:tblStylePr>
    <w:tblStylePr w:type="lastRow">
      <w:rPr>
        <w:b/>
        <w:color w:val="404040"/>
      </w:rPr>
    </w:tblStylePr>
  </w:style>
  <w:style w:type="table" w:styleId="1074" w:customStyle="1">
    <w:name w:val="清单表 5 深色1"/>
    <w:basedOn w:val="897"/>
    <w:uiPriority w:val="99"/>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left w:w="108" w:type="dxa"/>
        <w:top w:w="0" w:type="dxa"/>
        <w:right w:w="108" w:type="dxa"/>
        <w:bottom w:w="0" w:type="dxa"/>
      </w:tblCellMar>
    </w:tblPr>
    <w:tblStylePr w:type="band1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rPr>
    </w:tblStylePr>
  </w:style>
  <w:style w:type="table" w:styleId="1075" w:customStyle="1">
    <w:name w:val="List Table 5 Dark - Accent 1"/>
    <w:basedOn w:val="897"/>
    <w:uiPriority w:val="99"/>
    <w:qFormat/>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left w:w="108" w:type="dxa"/>
        <w:top w:w="0" w:type="dxa"/>
        <w:right w:w="108" w:type="dxa"/>
        <w:bottom w:w="0" w:type="dxa"/>
      </w:tblCellMar>
    </w:tblPr>
    <w:tblStylePr w:type="band1Horz">
      <w:tcPr>
        <w:shd w:val="clear" w:color="4874cb" w:themeColor="accent1" w:fill="4874cb" w:themeFill="accent1"/>
        <w:tcBorders>
          <w:top w:val="single" w:color="FFFFFF" w:themeColor="light1" w:sz="4" w:space="0"/>
          <w:bottom w:val="single" w:color="FFFFFF" w:themeColor="light1" w:sz="4" w:space="0"/>
        </w:tcBorders>
      </w:tcPr>
    </w:tblStylePr>
    <w:tblStylePr w:type="band1Vert">
      <w:tcPr>
        <w:shd w:val="clear" w:color="4874cb" w:themeColor="accent1" w:fill="4874cb" w:themeFill="accent1"/>
        <w:tcBorders>
          <w:left w:val="single" w:color="FFFFFF" w:themeColor="light1" w:sz="4" w:space="0"/>
          <w:right w:val="single" w:color="FFFFFF" w:themeColor="light1" w:sz="4" w:space="0"/>
        </w:tcBorders>
      </w:tcPr>
    </w:tblStylePr>
    <w:tblStylePr w:type="band2Horz">
      <w:tcPr>
        <w:shd w:val="clear" w:color="4874cb" w:themeColor="accent1" w:fill="4874cb"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874CB" w:themeColor="accent1" w:sz="32" w:space="0"/>
          <w:right w:val="single" w:color="FFFFFF" w:themeColor="light1" w:sz="4" w:space="0"/>
        </w:tcBorders>
      </w:tcPr>
    </w:tblStylePr>
    <w:tblStylePr w:type="firstRow">
      <w:rPr>
        <w:rFonts w:ascii="Arial" w:hAnsi="Arial"/>
        <w:b/>
        <w:color w:val="ffffff" w:themeColor="light1"/>
        <w:sz w:val="22"/>
      </w:rPr>
      <w:tcPr>
        <w:shd w:val="clear" w:color="4874cb" w:themeColor="accent1" w:fill="4874cb" w:themeFill="accent1"/>
        <w:tcBorders>
          <w:top w:val="single" w:color="4874CB" w:themeColor="accent1" w:sz="32" w:space="0"/>
          <w:bottom w:val="single" w:color="FFFFFF" w:themeColor="light1" w:sz="12" w:space="0"/>
        </w:tcBorders>
      </w:tcPr>
    </w:tblStylePr>
    <w:tblStylePr w:type="lastCol">
      <w:tcPr>
        <w:tcBorders>
          <w:left w:val="single" w:color="FFFFFF" w:themeColor="light1" w:sz="4" w:space="0"/>
          <w:right w:val="single" w:color="4874CB" w:themeColor="accent1" w:sz="32" w:space="0"/>
        </w:tcBorders>
      </w:tcPr>
    </w:tblStylePr>
    <w:tblStylePr w:type="lastRow">
      <w:rPr>
        <w:rFonts w:ascii="Arial" w:hAnsi="Arial"/>
        <w:b/>
        <w:color w:val="ffffff" w:themeColor="light1"/>
        <w:sz w:val="22"/>
      </w:rPr>
    </w:tblStylePr>
  </w:style>
  <w:style w:type="table" w:styleId="1076" w:customStyle="1">
    <w:name w:val="List Table 5 Dark - Accent 2"/>
    <w:basedOn w:val="897"/>
    <w:uiPriority w:val="99"/>
    <w:qFormat/>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left w:w="108" w:type="dxa"/>
        <w:top w:w="0" w:type="dxa"/>
        <w:right w:w="108" w:type="dxa"/>
        <w:bottom w:w="0" w:type="dxa"/>
      </w:tblCellMar>
    </w:tblPr>
    <w:tblStylePr w:type="band1Horz">
      <w:tcPr>
        <w:shd w:val="clear" w:color="f4b483" w:themeColor="accent2" w:themeTint="97" w:fill="f4b483" w:themeFill="accent2" w:themeFillTint="97"/>
        <w:tcBorders>
          <w:top w:val="single" w:color="FFFFFF" w:themeColor="light1" w:sz="4" w:space="0"/>
          <w:bottom w:val="single" w:color="FFFFFF" w:themeColor="light1" w:sz="4" w:space="0"/>
        </w:tcBorders>
      </w:tcPr>
    </w:tblStylePr>
    <w:tblStylePr w:type="band1Vert">
      <w:tcPr>
        <w:shd w:val="clear" w:color="f4b483" w:themeColor="accent2" w:themeTint="97" w:fill="f4b483" w:themeFill="accent2" w:themeFillTint="97"/>
        <w:tcBorders>
          <w:left w:val="single" w:color="FFFFFF" w:themeColor="light1" w:sz="4" w:space="0"/>
          <w:right w:val="single" w:color="FFFFFF" w:themeColor="light1" w:sz="4" w:space="0"/>
        </w:tcBorders>
      </w:tcPr>
    </w:tblStylePr>
    <w:tblStylePr w:type="band2Horz">
      <w:tcPr>
        <w:shd w:val="clear" w:color="f4b483" w:themeColor="accent2" w:themeTint="97" w:fill="f4b483"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483"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483" w:themeColor="accent2" w:themeTint="97" w:fill="f4b483" w:themeFill="accent2" w:themeFillTint="97"/>
        <w:tcBorders>
          <w:top w:val="single" w:color="F4B483" w:themeColor="accent2" w:themeTint="97" w:sz="32" w:space="0"/>
          <w:bottom w:val="single" w:color="FFFFFF" w:themeColor="light1" w:sz="12" w:space="0"/>
        </w:tcBorders>
      </w:tcPr>
    </w:tblStylePr>
    <w:tblStylePr w:type="lastCol">
      <w:tcPr>
        <w:tcBorders>
          <w:left w:val="single" w:color="FFFFFF" w:themeColor="light1" w:sz="4" w:space="0"/>
          <w:right w:val="single" w:color="F4B483" w:themeColor="accent2" w:themeTint="97" w:sz="32" w:space="0"/>
        </w:tcBorders>
      </w:tcPr>
    </w:tblStylePr>
    <w:tblStylePr w:type="lastRow">
      <w:rPr>
        <w:rFonts w:ascii="Arial" w:hAnsi="Arial"/>
        <w:b/>
        <w:color w:val="ffffff" w:themeColor="light1"/>
        <w:sz w:val="22"/>
      </w:rPr>
    </w:tblStylePr>
  </w:style>
  <w:style w:type="table" w:styleId="1077" w:customStyle="1">
    <w:name w:val="List Table 5 Dark - Accent 3"/>
    <w:basedOn w:val="897"/>
    <w:uiPriority w:val="99"/>
    <w:qFormat/>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left w:w="108" w:type="dxa"/>
        <w:top w:w="0" w:type="dxa"/>
        <w:right w:w="108" w:type="dxa"/>
        <w:bottom w:w="0" w:type="dxa"/>
      </w:tblCellMar>
    </w:tblPr>
    <w:tblStylePr w:type="band1Horz">
      <w:tcPr>
        <w:shd w:val="clear" w:color="fdd961" w:themeColor="accent3" w:themeTint="98" w:fill="fdd961" w:themeFill="accent3" w:themeFillTint="98"/>
        <w:tcBorders>
          <w:top w:val="single" w:color="FFFFFF" w:themeColor="light1" w:sz="4" w:space="0"/>
          <w:bottom w:val="single" w:color="FFFFFF" w:themeColor="light1" w:sz="4" w:space="0"/>
        </w:tcBorders>
      </w:tcPr>
    </w:tblStylePr>
    <w:tblStylePr w:type="band1Vert">
      <w:tcPr>
        <w:shd w:val="clear" w:color="fdd961" w:themeColor="accent3" w:themeTint="98" w:fill="fdd961" w:themeFill="accent3" w:themeFillTint="98"/>
        <w:tcBorders>
          <w:left w:val="single" w:color="FFFFFF" w:themeColor="light1" w:sz="4" w:space="0"/>
          <w:right w:val="single" w:color="FFFFFF" w:themeColor="light1" w:sz="4" w:space="0"/>
        </w:tcBorders>
      </w:tcPr>
    </w:tblStylePr>
    <w:tblStylePr w:type="band2Horz">
      <w:tcPr>
        <w:shd w:val="clear" w:color="fdd961" w:themeColor="accent3" w:themeTint="98" w:fill="fdd961"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DD961"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fdd961" w:themeColor="accent3" w:themeTint="98" w:fill="fdd961" w:themeFill="accent3" w:themeFillTint="98"/>
        <w:tcBorders>
          <w:top w:val="single" w:color="FDD961" w:themeColor="accent3" w:themeTint="98" w:sz="32" w:space="0"/>
          <w:bottom w:val="single" w:color="FFFFFF" w:themeColor="light1" w:sz="12" w:space="0"/>
        </w:tcBorders>
      </w:tcPr>
    </w:tblStylePr>
    <w:tblStylePr w:type="lastCol">
      <w:tcPr>
        <w:tcBorders>
          <w:left w:val="single" w:color="FFFFFF" w:themeColor="light1" w:sz="4" w:space="0"/>
          <w:right w:val="single" w:color="FDD961" w:themeColor="accent3" w:themeTint="98" w:sz="32" w:space="0"/>
        </w:tcBorders>
      </w:tcPr>
    </w:tblStylePr>
    <w:tblStylePr w:type="lastRow">
      <w:rPr>
        <w:rFonts w:ascii="Arial" w:hAnsi="Arial"/>
        <w:b/>
        <w:color w:val="ffffff" w:themeColor="light1"/>
        <w:sz w:val="22"/>
      </w:rPr>
    </w:tblStylePr>
  </w:style>
  <w:style w:type="table" w:styleId="1078" w:customStyle="1">
    <w:name w:val="List Table 5 Dark - Accent 4"/>
    <w:basedOn w:val="897"/>
    <w:uiPriority w:val="99"/>
    <w:qFormat/>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left w:w="108" w:type="dxa"/>
        <w:top w:w="0" w:type="dxa"/>
        <w:right w:w="108" w:type="dxa"/>
        <w:bottom w:w="0" w:type="dxa"/>
      </w:tblCellMar>
    </w:tblPr>
    <w:tblStylePr w:type="band1Horz">
      <w:tcPr>
        <w:shd w:val="clear" w:color="abd78c" w:themeColor="accent4" w:themeTint="9A" w:fill="abd78c" w:themeFill="accent4" w:themeFillTint="9A"/>
        <w:tcBorders>
          <w:top w:val="single" w:color="FFFFFF" w:themeColor="light1" w:sz="4" w:space="0"/>
          <w:bottom w:val="single" w:color="FFFFFF" w:themeColor="light1" w:sz="4" w:space="0"/>
        </w:tcBorders>
      </w:tcPr>
    </w:tblStylePr>
    <w:tblStylePr w:type="band1Vert">
      <w:tcPr>
        <w:shd w:val="clear" w:color="abd78c" w:themeColor="accent4" w:themeTint="9A" w:fill="abd78c" w:themeFill="accent4" w:themeFillTint="9A"/>
        <w:tcBorders>
          <w:left w:val="single" w:color="FFFFFF" w:themeColor="light1" w:sz="4" w:space="0"/>
          <w:right w:val="single" w:color="FFFFFF" w:themeColor="light1" w:sz="4" w:space="0"/>
        </w:tcBorders>
      </w:tcPr>
    </w:tblStylePr>
    <w:tblStylePr w:type="band2Horz">
      <w:tcPr>
        <w:shd w:val="clear" w:color="abd78c" w:themeColor="accent4" w:themeTint="9A" w:fill="abd78c"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BD78C"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abd78c" w:themeColor="accent4" w:themeTint="9A" w:fill="abd78c" w:themeFill="accent4" w:themeFillTint="9A"/>
        <w:tcBorders>
          <w:top w:val="single" w:color="ABD78C" w:themeColor="accent4" w:themeTint="9A" w:sz="32" w:space="0"/>
          <w:bottom w:val="single" w:color="FFFFFF" w:themeColor="light1" w:sz="12" w:space="0"/>
        </w:tcBorders>
      </w:tcPr>
    </w:tblStylePr>
    <w:tblStylePr w:type="lastCol">
      <w:tcPr>
        <w:tcBorders>
          <w:left w:val="single" w:color="FFFFFF" w:themeColor="light1" w:sz="4" w:space="0"/>
          <w:right w:val="single" w:color="ABD78C" w:themeColor="accent4" w:themeTint="9A" w:sz="32" w:space="0"/>
        </w:tcBorders>
      </w:tcPr>
    </w:tblStylePr>
    <w:tblStylePr w:type="lastRow">
      <w:rPr>
        <w:rFonts w:ascii="Arial" w:hAnsi="Arial"/>
        <w:b/>
        <w:color w:val="ffffff" w:themeColor="light1"/>
        <w:sz w:val="22"/>
      </w:rPr>
    </w:tblStylePr>
  </w:style>
  <w:style w:type="table" w:styleId="1079" w:customStyle="1">
    <w:name w:val="List Table 5 Dark - Accent 5"/>
    <w:basedOn w:val="897"/>
    <w:uiPriority w:val="99"/>
    <w:qFormat/>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left w:w="108" w:type="dxa"/>
        <w:top w:w="0" w:type="dxa"/>
        <w:right w:w="108" w:type="dxa"/>
        <w:bottom w:w="0" w:type="dxa"/>
      </w:tblCellMar>
    </w:tblPr>
    <w:tblStylePr w:type="band1Horz">
      <w:tcPr>
        <w:shd w:val="clear" w:color="7cded6" w:themeColor="accent5" w:themeTint="9A" w:fill="7cded6" w:themeFill="accent5" w:themeFillTint="9A"/>
        <w:tcBorders>
          <w:top w:val="single" w:color="FFFFFF" w:themeColor="light1" w:sz="4" w:space="0"/>
          <w:bottom w:val="single" w:color="FFFFFF" w:themeColor="light1" w:sz="4" w:space="0"/>
        </w:tcBorders>
      </w:tcPr>
    </w:tblStylePr>
    <w:tblStylePr w:type="band1Vert">
      <w:tcPr>
        <w:shd w:val="clear" w:color="7cded6" w:themeColor="accent5" w:themeTint="9A" w:fill="7cded6" w:themeFill="accent5" w:themeFillTint="9A"/>
        <w:tcBorders>
          <w:left w:val="single" w:color="FFFFFF" w:themeColor="light1" w:sz="4" w:space="0"/>
          <w:right w:val="single" w:color="FFFFFF" w:themeColor="light1" w:sz="4" w:space="0"/>
        </w:tcBorders>
      </w:tcPr>
    </w:tblStylePr>
    <w:tblStylePr w:type="band2Horz">
      <w:tcPr>
        <w:shd w:val="clear" w:color="7cded6" w:themeColor="accent5" w:themeTint="9A" w:fill="7cded6"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CDED6"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7cded6" w:themeColor="accent5" w:themeTint="9A" w:fill="7cded6" w:themeFill="accent5" w:themeFillTint="9A"/>
        <w:tcBorders>
          <w:top w:val="single" w:color="7CDED6" w:themeColor="accent5" w:themeTint="9A" w:sz="32" w:space="0"/>
          <w:bottom w:val="single" w:color="FFFFFF" w:themeColor="light1" w:sz="12" w:space="0"/>
        </w:tcBorders>
      </w:tcPr>
    </w:tblStylePr>
    <w:tblStylePr w:type="lastCol">
      <w:tcPr>
        <w:tcBorders>
          <w:left w:val="single" w:color="FFFFFF" w:themeColor="light1" w:sz="4" w:space="0"/>
          <w:right w:val="single" w:color="7CDED6" w:themeColor="accent5" w:themeTint="9A" w:sz="32" w:space="0"/>
        </w:tcBorders>
      </w:tcPr>
    </w:tblStylePr>
    <w:tblStylePr w:type="lastRow">
      <w:rPr>
        <w:rFonts w:ascii="Arial" w:hAnsi="Arial"/>
        <w:b/>
        <w:color w:val="ffffff" w:themeColor="light1"/>
        <w:sz w:val="22"/>
      </w:rPr>
    </w:tblStylePr>
  </w:style>
  <w:style w:type="table" w:styleId="1080" w:customStyle="1">
    <w:name w:val="List Table 5 Dark - Accent 6"/>
    <w:basedOn w:val="897"/>
    <w:uiPriority w:val="99"/>
    <w:qFormat/>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left w:w="108" w:type="dxa"/>
        <w:top w:w="0" w:type="dxa"/>
        <w:right w:w="108" w:type="dxa"/>
        <w:bottom w:w="0" w:type="dxa"/>
      </w:tblCellMar>
    </w:tblPr>
    <w:tblStylePr w:type="band1Horz">
      <w:tcPr>
        <w:shd w:val="clear" w:color="ef949f" w:themeColor="accent6" w:themeTint="98" w:fill="ef949f" w:themeFill="accent6" w:themeFillTint="98"/>
        <w:tcBorders>
          <w:top w:val="single" w:color="FFFFFF" w:themeColor="light1" w:sz="4" w:space="0"/>
          <w:bottom w:val="single" w:color="FFFFFF" w:themeColor="light1" w:sz="4" w:space="0"/>
        </w:tcBorders>
      </w:tcPr>
    </w:tblStylePr>
    <w:tblStylePr w:type="band1Vert">
      <w:tcPr>
        <w:shd w:val="clear" w:color="ef949f" w:themeColor="accent6" w:themeTint="98" w:fill="ef949f" w:themeFill="accent6" w:themeFillTint="98"/>
        <w:tcBorders>
          <w:left w:val="single" w:color="FFFFFF" w:themeColor="light1" w:sz="4" w:space="0"/>
          <w:right w:val="single" w:color="FFFFFF" w:themeColor="light1" w:sz="4" w:space="0"/>
        </w:tcBorders>
      </w:tcPr>
    </w:tblStylePr>
    <w:tblStylePr w:type="band2Horz">
      <w:tcPr>
        <w:shd w:val="clear" w:color="ef949f" w:themeColor="accent6" w:themeTint="98" w:fill="ef949f"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EF949F"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ef949f" w:themeColor="accent6" w:themeTint="98" w:fill="ef949f" w:themeFill="accent6" w:themeFillTint="98"/>
        <w:tcBorders>
          <w:top w:val="single" w:color="EF949F" w:themeColor="accent6" w:themeTint="98" w:sz="32" w:space="0"/>
          <w:bottom w:val="single" w:color="FFFFFF" w:themeColor="light1" w:sz="12" w:space="0"/>
        </w:tcBorders>
      </w:tcPr>
    </w:tblStylePr>
    <w:tblStylePr w:type="lastCol">
      <w:tcPr>
        <w:tcBorders>
          <w:left w:val="single" w:color="FFFFFF" w:themeColor="light1" w:sz="4" w:space="0"/>
          <w:right w:val="single" w:color="EF949F" w:themeColor="accent6" w:themeTint="98" w:sz="32" w:space="0"/>
        </w:tcBorders>
      </w:tcPr>
    </w:tblStylePr>
    <w:tblStylePr w:type="lastRow">
      <w:rPr>
        <w:rFonts w:ascii="Arial" w:hAnsi="Arial"/>
        <w:b/>
        <w:color w:val="ffffff" w:themeColor="light1"/>
        <w:sz w:val="22"/>
      </w:rPr>
    </w:tblStylePr>
  </w:style>
  <w:style w:type="table" w:styleId="1081" w:customStyle="1">
    <w:name w:val="清单表 6 彩色1"/>
    <w:basedOn w:val="897"/>
    <w:uiPriority w:val="99"/>
    <w:qFormat/>
    <w:tblPr>
      <w:tblBorders>
        <w:top w:val="single" w:color="7E7E7E" w:themeColor="text1" w:themeTint="80" w:sz="4" w:space="0"/>
        <w:bottom w:val="single" w:color="7E7E7E"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E7E7E" w:themeColor="text1" w:themeTint="80" w:sz="4" w:space="0"/>
        </w:tcBorders>
      </w:tcPr>
    </w:tblStylePr>
    <w:tblStylePr w:type="lastCol">
      <w:rPr>
        <w:b/>
        <w:color w:val="000000" w:themeColor="text1"/>
      </w:rPr>
    </w:tblStylePr>
    <w:tblStylePr w:type="lastRow">
      <w:rPr>
        <w:b/>
        <w:color w:val="000000" w:themeColor="text1"/>
      </w:rPr>
      <w:tcPr>
        <w:tcBorders>
          <w:top w:val="single" w:color="7E7E7E" w:themeColor="text1" w:themeTint="80" w:sz="4" w:space="0"/>
        </w:tcBorders>
      </w:tcPr>
    </w:tblStylePr>
  </w:style>
  <w:style w:type="table" w:styleId="1082" w:customStyle="1">
    <w:name w:val="List Table 6 Colorful - Accent 1"/>
    <w:basedOn w:val="897"/>
    <w:uiPriority w:val="99"/>
    <w:qFormat/>
    <w:tblPr>
      <w:tblBorders>
        <w:top w:val="single" w:color="4874CB" w:themeColor="accent1" w:sz="4" w:space="0"/>
        <w:bottom w:val="single" w:color="4874CB" w:themeColor="accent1" w:sz="4" w:space="0"/>
      </w:tblBorders>
      <w:tblCellMar>
        <w:left w:w="108" w:type="dxa"/>
        <w:top w:w="0" w:type="dxa"/>
        <w:right w:w="108" w:type="dxa"/>
        <w:bottom w:w="0" w:type="dxa"/>
      </w:tblCellMar>
    </w:tbl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1Vert">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firstCol">
      <w:rPr>
        <w:b/>
        <w:color w:val="23417c" w:themeColor="accent1" w:themeShade="94"/>
      </w:rPr>
    </w:tblStylePr>
    <w:tblStylePr w:type="firstRow">
      <w:rPr>
        <w:b/>
        <w:color w:val="23417c" w:themeColor="accent1" w:themeShade="94"/>
      </w:rPr>
      <w:tcPr>
        <w:tcBorders>
          <w:bottom w:val="single" w:color="4874CB" w:themeColor="accent1" w:sz="4" w:space="0"/>
        </w:tcBorders>
      </w:tcPr>
    </w:tblStylePr>
    <w:tblStylePr w:type="lastCol">
      <w:rPr>
        <w:b/>
        <w:color w:val="23417c" w:themeColor="accent1" w:themeShade="94"/>
      </w:rPr>
    </w:tblStylePr>
    <w:tblStylePr w:type="lastRow">
      <w:rPr>
        <w:b/>
        <w:color w:val="23417c" w:themeColor="accent1" w:themeShade="94"/>
      </w:rPr>
      <w:tcPr>
        <w:tcBorders>
          <w:top w:val="single" w:color="4874CB" w:themeColor="accent1" w:sz="4" w:space="0"/>
        </w:tcBorders>
      </w:tcPr>
    </w:tblStylePr>
  </w:style>
  <w:style w:type="table" w:styleId="1083" w:customStyle="1">
    <w:name w:val="List Table 6 Colorful - Accent 2"/>
    <w:basedOn w:val="897"/>
    <w:uiPriority w:val="99"/>
    <w:qFormat/>
    <w:tblPr>
      <w:tblBorders>
        <w:top w:val="single" w:color="F4B483" w:themeColor="accent2" w:themeTint="97" w:sz="4" w:space="0"/>
        <w:bottom w:val="single" w:color="F4B483" w:themeColor="accent2" w:themeTint="97" w:sz="4" w:space="0"/>
      </w:tblBorders>
      <w:tblCellMar>
        <w:left w:w="108" w:type="dxa"/>
        <w:top w:w="0" w:type="dxa"/>
        <w:right w:w="108" w:type="dxa"/>
        <w:bottom w:w="0" w:type="dxa"/>
      </w:tblCellMar>
    </w:tblPr>
    <w:tblStylePr w:type="band1Horz">
      <w:rPr>
        <w:rFonts w:ascii="Arial" w:hAnsi="Arial"/>
        <w:color w:val="f4b584" w:themeColor="accent2" w:themeTint="96"/>
        <w:sz w:val="22"/>
      </w:rPr>
      <w:tcPr>
        <w:shd w:val="clear" w:color="fadfca" w:themeColor="accent2" w:themeTint="40" w:fill="fadfca" w:themeFill="accent2" w:themeFillTint="40"/>
      </w:tcPr>
    </w:tblStylePr>
    <w:tblStylePr w:type="band1Vert">
      <w:tcPr>
        <w:shd w:val="clear" w:color="fadfca" w:themeColor="accent2" w:themeTint="40" w:fill="fadfca" w:themeFill="accent2" w:themeFillTint="40"/>
      </w:tcPr>
    </w:tblStylePr>
    <w:tblStylePr w:type="band2Horz">
      <w:rPr>
        <w:rFonts w:ascii="Arial" w:hAnsi="Arial"/>
        <w:color w:val="f4b584" w:themeColor="accent2" w:themeTint="96"/>
        <w:sz w:val="22"/>
      </w:rPr>
    </w:tblStylePr>
    <w:tblStylePr w:type="firstCol">
      <w:rPr>
        <w:b/>
        <w:color w:val="f4b584" w:themeColor="accent2" w:themeTint="96"/>
      </w:rPr>
    </w:tblStylePr>
    <w:tblStylePr w:type="firstRow">
      <w:rPr>
        <w:b/>
        <w:color w:val="f4b584" w:themeColor="accent2" w:themeTint="96"/>
      </w:rPr>
      <w:tcPr>
        <w:tcBorders>
          <w:bottom w:val="single" w:color="F4B483" w:themeColor="accent2" w:themeTint="97" w:sz="4" w:space="0"/>
        </w:tcBorders>
      </w:tcPr>
    </w:tblStylePr>
    <w:tblStylePr w:type="lastCol">
      <w:rPr>
        <w:b/>
        <w:color w:val="f4b584" w:themeColor="accent2" w:themeTint="96"/>
      </w:rPr>
    </w:tblStylePr>
    <w:tblStylePr w:type="lastRow">
      <w:rPr>
        <w:b/>
        <w:color w:val="f4b584" w:themeColor="accent2" w:themeTint="96"/>
      </w:rPr>
      <w:tcPr>
        <w:tcBorders>
          <w:top w:val="single" w:color="F4B483" w:themeColor="accent2" w:themeTint="97" w:sz="4" w:space="0"/>
        </w:tcBorders>
      </w:tcPr>
    </w:tblStylePr>
  </w:style>
  <w:style w:type="table" w:styleId="1084" w:customStyle="1">
    <w:name w:val="List Table 6 Colorful - Accent 3"/>
    <w:basedOn w:val="897"/>
    <w:uiPriority w:val="99"/>
    <w:qFormat/>
    <w:tblPr>
      <w:tblBorders>
        <w:top w:val="single" w:color="FDD961" w:themeColor="accent3" w:themeTint="98" w:sz="4" w:space="0"/>
        <w:bottom w:val="single" w:color="FDD961" w:themeColor="accent3" w:themeTint="98" w:sz="4" w:space="0"/>
      </w:tblBorders>
      <w:tblCellMar>
        <w:left w:w="108" w:type="dxa"/>
        <w:top w:w="0" w:type="dxa"/>
        <w:right w:w="108" w:type="dxa"/>
        <w:bottom w:w="0" w:type="dxa"/>
      </w:tblCellMar>
    </w:tblPr>
    <w:tblStylePr w:type="band1Horz">
      <w:rPr>
        <w:rFonts w:ascii="Arial" w:hAnsi="Arial"/>
        <w:color w:val="fdd960" w:themeColor="accent3" w:themeTint="99"/>
        <w:sz w:val="22"/>
      </w:rPr>
      <w:tcPr>
        <w:shd w:val="clear" w:color="feefbc" w:themeColor="accent3" w:themeTint="40" w:fill="feefbc" w:themeFill="accent3" w:themeFillTint="40"/>
      </w:tcPr>
    </w:tblStylePr>
    <w:tblStylePr w:type="band1Vert">
      <w:tcPr>
        <w:shd w:val="clear" w:color="feefbc" w:themeColor="accent3" w:themeTint="40" w:fill="feefbc" w:themeFill="accent3" w:themeFillTint="40"/>
      </w:tcPr>
    </w:tblStylePr>
    <w:tblStylePr w:type="band2Horz">
      <w:rPr>
        <w:rFonts w:ascii="Arial" w:hAnsi="Arial"/>
        <w:color w:val="fdd960" w:themeColor="accent3" w:themeTint="99"/>
        <w:sz w:val="22"/>
      </w:rPr>
    </w:tblStylePr>
    <w:tblStylePr w:type="firstCol">
      <w:rPr>
        <w:b/>
        <w:color w:val="fdd960" w:themeColor="accent3" w:themeTint="99"/>
      </w:rPr>
    </w:tblStylePr>
    <w:tblStylePr w:type="firstRow">
      <w:rPr>
        <w:b/>
        <w:color w:val="fdd960" w:themeColor="accent3" w:themeTint="99"/>
      </w:rPr>
      <w:tcPr>
        <w:tcBorders>
          <w:bottom w:val="single" w:color="FDD961" w:themeColor="accent3" w:themeTint="98" w:sz="4" w:space="0"/>
        </w:tcBorders>
      </w:tcPr>
    </w:tblStylePr>
    <w:tblStylePr w:type="lastCol">
      <w:rPr>
        <w:b/>
        <w:color w:val="fdd960" w:themeColor="accent3" w:themeTint="99"/>
      </w:rPr>
    </w:tblStylePr>
    <w:tblStylePr w:type="lastRow">
      <w:rPr>
        <w:b/>
        <w:color w:val="fdd960" w:themeColor="accent3" w:themeTint="99"/>
      </w:rPr>
      <w:tcPr>
        <w:tcBorders>
          <w:top w:val="single" w:color="FDD961" w:themeColor="accent3" w:themeTint="98" w:sz="4" w:space="0"/>
        </w:tcBorders>
      </w:tcPr>
    </w:tblStylePr>
  </w:style>
  <w:style w:type="table" w:styleId="1085" w:customStyle="1">
    <w:name w:val="List Table 6 Colorful - Accent 4"/>
    <w:basedOn w:val="897"/>
    <w:uiPriority w:val="99"/>
    <w:qFormat/>
    <w:tblPr>
      <w:tblBorders>
        <w:top w:val="single" w:color="ABD78C" w:themeColor="accent4" w:themeTint="9A" w:sz="4" w:space="0"/>
        <w:bottom w:val="single" w:color="ABD78C" w:themeColor="accent4" w:themeTint="9A" w:sz="4" w:space="0"/>
      </w:tblBorders>
      <w:tblCellMar>
        <w:left w:w="108" w:type="dxa"/>
        <w:top w:w="0" w:type="dxa"/>
        <w:right w:w="108" w:type="dxa"/>
        <w:bottom w:w="0" w:type="dxa"/>
      </w:tblCellMar>
    </w:tblPr>
    <w:tblStylePr w:type="band1Horz">
      <w:rPr>
        <w:rFonts w:ascii="Arial" w:hAnsi="Arial"/>
        <w:color w:val="acd78d" w:themeColor="accent4" w:themeTint="99"/>
        <w:sz w:val="22"/>
      </w:rPr>
      <w:tcPr>
        <w:shd w:val="clear" w:color="dceecf" w:themeColor="accent4" w:themeTint="40" w:fill="dceecf" w:themeFill="accent4" w:themeFillTint="40"/>
      </w:tcPr>
    </w:tblStylePr>
    <w:tblStylePr w:type="band1Vert">
      <w:tcPr>
        <w:shd w:val="clear" w:color="dceecf" w:themeColor="accent4" w:themeTint="40" w:fill="dceecf" w:themeFill="accent4" w:themeFillTint="40"/>
      </w:tcPr>
    </w:tblStylePr>
    <w:tblStylePr w:type="band2Horz">
      <w:rPr>
        <w:rFonts w:ascii="Arial" w:hAnsi="Arial"/>
        <w:color w:val="acd78d" w:themeColor="accent4" w:themeTint="99"/>
        <w:sz w:val="22"/>
      </w:rPr>
    </w:tblStylePr>
    <w:tblStylePr w:type="firstCol">
      <w:rPr>
        <w:b/>
        <w:color w:val="acd78d" w:themeColor="accent4" w:themeTint="99"/>
      </w:rPr>
    </w:tblStylePr>
    <w:tblStylePr w:type="firstRow">
      <w:rPr>
        <w:b/>
        <w:color w:val="acd78d" w:themeColor="accent4" w:themeTint="99"/>
      </w:rPr>
      <w:tcPr>
        <w:tcBorders>
          <w:bottom w:val="single" w:color="ABD78C" w:themeColor="accent4" w:themeTint="9A" w:sz="4" w:space="0"/>
        </w:tcBorders>
      </w:tcPr>
    </w:tblStylePr>
    <w:tblStylePr w:type="lastCol">
      <w:rPr>
        <w:b/>
        <w:color w:val="acd78d" w:themeColor="accent4" w:themeTint="99"/>
      </w:rPr>
    </w:tblStylePr>
    <w:tblStylePr w:type="lastRow">
      <w:rPr>
        <w:b/>
        <w:color w:val="acd78d" w:themeColor="accent4" w:themeTint="99"/>
      </w:rPr>
      <w:tcPr>
        <w:tcBorders>
          <w:top w:val="single" w:color="ABD78C" w:themeColor="accent4" w:themeTint="9A" w:sz="4" w:space="0"/>
        </w:tcBorders>
      </w:tcPr>
    </w:tblStylePr>
  </w:style>
  <w:style w:type="table" w:styleId="1086" w:customStyle="1">
    <w:name w:val="List Table 6 Colorful - Accent 5"/>
    <w:basedOn w:val="897"/>
    <w:uiPriority w:val="99"/>
    <w:qFormat/>
    <w:tblPr>
      <w:tblBorders>
        <w:top w:val="single" w:color="7CDED6" w:themeColor="accent5" w:themeTint="9A" w:sz="4" w:space="0"/>
        <w:bottom w:val="single" w:color="7CDED6" w:themeColor="accent5" w:themeTint="9A" w:sz="4" w:space="0"/>
      </w:tblBorders>
      <w:tblCellMar>
        <w:left w:w="108" w:type="dxa"/>
        <w:top w:w="0" w:type="dxa"/>
        <w:right w:w="108" w:type="dxa"/>
        <w:bottom w:w="0" w:type="dxa"/>
      </w:tblCellMar>
    </w:tblPr>
    <w:tblStylePr w:type="band1Horz">
      <w:rPr>
        <w:rFonts w:ascii="Arial" w:hAnsi="Arial"/>
        <w:color w:val="7dded6" w:themeColor="accent5" w:themeTint="99"/>
        <w:sz w:val="22"/>
      </w:rPr>
      <w:tcPr>
        <w:shd w:val="clear" w:color="c8f1ee" w:themeColor="accent5" w:themeTint="40" w:fill="c8f1ee" w:themeFill="accent5" w:themeFillTint="40"/>
      </w:tcPr>
    </w:tblStylePr>
    <w:tblStylePr w:type="band1Vert">
      <w:tcPr>
        <w:shd w:val="clear" w:color="c8f1ee" w:themeColor="accent5" w:themeTint="40" w:fill="c8f1ee" w:themeFill="accent5" w:themeFillTint="40"/>
      </w:tcPr>
    </w:tblStylePr>
    <w:tblStylePr w:type="band2Horz">
      <w:rPr>
        <w:rFonts w:ascii="Arial" w:hAnsi="Arial"/>
        <w:color w:val="7dded6" w:themeColor="accent5" w:themeTint="99"/>
        <w:sz w:val="22"/>
      </w:rPr>
    </w:tblStylePr>
    <w:tblStylePr w:type="firstCol">
      <w:rPr>
        <w:b/>
        <w:color w:val="7dded6" w:themeColor="accent5" w:themeTint="99"/>
      </w:rPr>
    </w:tblStylePr>
    <w:tblStylePr w:type="firstRow">
      <w:rPr>
        <w:b/>
        <w:color w:val="7dded6" w:themeColor="accent5" w:themeTint="99"/>
      </w:rPr>
      <w:tcPr>
        <w:tcBorders>
          <w:bottom w:val="single" w:color="7CDED6" w:themeColor="accent5" w:themeTint="9A" w:sz="4" w:space="0"/>
        </w:tcBorders>
      </w:tcPr>
    </w:tblStylePr>
    <w:tblStylePr w:type="lastCol">
      <w:rPr>
        <w:b/>
        <w:color w:val="7dded6" w:themeColor="accent5" w:themeTint="99"/>
      </w:rPr>
    </w:tblStylePr>
    <w:tblStylePr w:type="lastRow">
      <w:rPr>
        <w:b/>
        <w:color w:val="7dded6" w:themeColor="accent5" w:themeTint="99"/>
      </w:rPr>
      <w:tcPr>
        <w:tcBorders>
          <w:top w:val="single" w:color="7CDED6" w:themeColor="accent5" w:themeTint="9A" w:sz="4" w:space="0"/>
        </w:tcBorders>
      </w:tcPr>
    </w:tblStylePr>
  </w:style>
  <w:style w:type="table" w:styleId="1087" w:customStyle="1">
    <w:name w:val="List Table 6 Colorful - Accent 6"/>
    <w:basedOn w:val="897"/>
    <w:uiPriority w:val="99"/>
    <w:qFormat/>
    <w:tblPr>
      <w:tblBorders>
        <w:top w:val="single" w:color="EF949F" w:themeColor="accent6" w:themeTint="98" w:sz="4" w:space="0"/>
        <w:bottom w:val="single" w:color="EF949F" w:themeColor="accent6" w:themeTint="98" w:sz="4" w:space="0"/>
      </w:tblBorders>
      <w:tblCellMar>
        <w:left w:w="108" w:type="dxa"/>
        <w:top w:w="0" w:type="dxa"/>
        <w:right w:w="108" w:type="dxa"/>
        <w:bottom w:w="0" w:type="dxa"/>
      </w:tblCellMar>
    </w:tblPr>
    <w:tblStylePr w:type="band1Horz">
      <w:rPr>
        <w:rFonts w:ascii="Arial" w:hAnsi="Arial"/>
        <w:color w:val="ef939e" w:themeColor="accent6" w:themeTint="99"/>
        <w:sz w:val="22"/>
      </w:rPr>
      <w:tcPr>
        <w:shd w:val="clear" w:color="f8d2d6" w:themeColor="accent6" w:themeTint="40" w:fill="f8d2d6" w:themeFill="accent6" w:themeFillTint="40"/>
      </w:tcPr>
    </w:tblStylePr>
    <w:tblStylePr w:type="band1Vert">
      <w:tcPr>
        <w:shd w:val="clear" w:color="f8d2d6" w:themeColor="accent6" w:themeTint="40" w:fill="f8d2d6" w:themeFill="accent6" w:themeFillTint="40"/>
      </w:tcPr>
    </w:tblStylePr>
    <w:tblStylePr w:type="band2Horz">
      <w:rPr>
        <w:rFonts w:ascii="Arial" w:hAnsi="Arial"/>
        <w:color w:val="ef939e" w:themeColor="accent6" w:themeTint="99"/>
        <w:sz w:val="22"/>
      </w:rPr>
    </w:tblStylePr>
    <w:tblStylePr w:type="firstCol">
      <w:rPr>
        <w:b/>
        <w:color w:val="ef939e" w:themeColor="accent6" w:themeTint="99"/>
      </w:rPr>
    </w:tblStylePr>
    <w:tblStylePr w:type="firstRow">
      <w:rPr>
        <w:b/>
        <w:color w:val="ef939e" w:themeColor="accent6" w:themeTint="99"/>
      </w:rPr>
      <w:tcPr>
        <w:tcBorders>
          <w:bottom w:val="single" w:color="EF949F" w:themeColor="accent6" w:themeTint="98" w:sz="4" w:space="0"/>
        </w:tcBorders>
      </w:tcPr>
    </w:tblStylePr>
    <w:tblStylePr w:type="lastCol">
      <w:rPr>
        <w:b/>
        <w:color w:val="ef939e" w:themeColor="accent6" w:themeTint="99"/>
      </w:rPr>
    </w:tblStylePr>
    <w:tblStylePr w:type="lastRow">
      <w:rPr>
        <w:b/>
        <w:color w:val="ef939e" w:themeColor="accent6" w:themeTint="99"/>
      </w:rPr>
      <w:tcPr>
        <w:tcBorders>
          <w:top w:val="single" w:color="EF949F" w:themeColor="accent6" w:themeTint="98" w:sz="4" w:space="0"/>
        </w:tcBorders>
      </w:tcPr>
    </w:tblStylePr>
  </w:style>
  <w:style w:type="table" w:styleId="1088" w:customStyle="1">
    <w:name w:val="清单表 7 彩色1"/>
    <w:basedOn w:val="897"/>
    <w:uiPriority w:val="99"/>
    <w:qFormat/>
    <w:tblPr>
      <w:tblBorders>
        <w:right w:val="single" w:color="7E7E7E" w:themeColor="text1" w:themeTint="80" w:sz="4" w:space="0"/>
      </w:tblBorders>
      <w:tblCellMar>
        <w:left w:w="108" w:type="dxa"/>
        <w:top w:w="0" w:type="dxa"/>
        <w:right w:w="108" w:type="dxa"/>
        <w:bottom w:w="0" w:type="dxa"/>
      </w:tblCellMar>
    </w:tblPr>
    <w:tblStylePr w:type="band1Horz">
      <w:rPr>
        <w:rFonts w:ascii="Arial" w:hAnsi="Arial"/>
        <w:color w:val="7e7e7e" w:themeColor="text1" w:themeTint="80"/>
        <w:sz w:val="22"/>
      </w:rPr>
      <w:tcPr>
        <w:shd w:val="clear" w:color="bebebe" w:themeColor="text1" w:themeTint="40" w:fill="bebebe" w:themeFill="text1" w:themeFillTint="40"/>
      </w:tcPr>
    </w:tblStylePr>
    <w:tblStylePr w:type="band1Vert">
      <w:tcPr>
        <w:shd w:val="clear" w:color="bebebe" w:themeColor="text1" w:themeTint="40" w:fill="bebebe" w:themeFill="text1" w:themeFillTint="40"/>
      </w:tcPr>
    </w:tblStylePr>
    <w:tblStylePr w:type="band2Horz">
      <w:rPr>
        <w:rFonts w:ascii="Arial" w:hAnsi="Arial"/>
        <w:color w:val="7e7e7e" w:themeColor="text1" w:themeTint="80"/>
        <w:sz w:val="22"/>
      </w:rPr>
    </w:tblStylePr>
    <w:tblStylePr w:type="firstCol">
      <w:rPr>
        <w:rFonts w:ascii="Arial" w:hAnsi="Arial"/>
        <w:i/>
        <w:color w:val="7e7e7e" w:themeColor="text1" w:themeTint="80"/>
        <w:sz w:val="22"/>
      </w:rPr>
      <w:pPr>
        <w:jc w:val="right"/>
      </w:p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7e7e7e" w:themeColor="text1" w:themeTint="80"/>
        <w:sz w:val="22"/>
      </w:r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7e7e7e" w:themeColor="text1" w:themeTint="80"/>
        <w:sz w:val="22"/>
      </w:r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7e7e7e" w:themeColor="text1" w:themeTint="80"/>
        <w:sz w:val="22"/>
      </w:r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style>
  <w:style w:type="table" w:styleId="1089" w:customStyle="1">
    <w:name w:val="List Table 7 Colorful - Accent 1"/>
    <w:basedOn w:val="897"/>
    <w:uiPriority w:val="99"/>
    <w:qFormat/>
    <w:tblPr>
      <w:tblBorders>
        <w:right w:val="single" w:color="4874CB" w:themeColor="accent1" w:sz="4" w:space="0"/>
      </w:tblBorders>
      <w:tblCellMar>
        <w:left w:w="108" w:type="dxa"/>
        <w:top w:w="0" w:type="dxa"/>
        <w:right w:w="108" w:type="dxa"/>
        <w:bottom w:w="0" w:type="dxa"/>
      </w:tblCellMar>
    </w:tbl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1Vert">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firstCol">
      <w:rPr>
        <w:rFonts w:ascii="Arial" w:hAnsi="Arial"/>
        <w:i/>
        <w:color w:val="23417c" w:themeColor="accent1" w:themeShade="94"/>
        <w:sz w:val="22"/>
      </w:rPr>
      <w:pPr>
        <w:jc w:val="right"/>
      </w:pPr>
      <w:tcPr>
        <w:shd w:val="clear" w:color="ffffff" w:fill="auto"/>
        <w:tcBorders>
          <w:top w:val="none" w:color="000000" w:sz="4" w:space="0"/>
          <w:left w:val="none" w:color="000000" w:sz="4" w:space="0"/>
          <w:bottom w:val="none" w:color="000000" w:sz="4" w:space="0"/>
          <w:right w:val="single" w:color="4874CB" w:themeColor="accent1" w:sz="4" w:space="0"/>
        </w:tcBorders>
      </w:tcPr>
    </w:tblStylePr>
    <w:tblStylePr w:type="firstRow">
      <w:rPr>
        <w:rFonts w:ascii="Arial" w:hAnsi="Arial"/>
        <w:i/>
        <w:color w:val="23417c" w:themeColor="accent1" w:themeShade="94"/>
        <w:sz w:val="22"/>
      </w:rPr>
      <w:tcPr>
        <w:shd w:val="clear" w:color="ffffff" w:themeColor="light1" w:fill="ffffff" w:themeFill="light1"/>
        <w:tcBorders>
          <w:top w:val="none" w:color="000000" w:sz="4" w:space="0"/>
          <w:left w:val="none" w:color="000000" w:sz="4" w:space="0"/>
          <w:bottom w:val="single" w:color="4874CB" w:themeColor="accent1" w:sz="4" w:space="0"/>
          <w:right w:val="none" w:color="000000" w:sz="4" w:space="0"/>
        </w:tcBorders>
      </w:tcPr>
    </w:tblStylePr>
    <w:tblStylePr w:type="lastCol">
      <w:rPr>
        <w:rFonts w:ascii="Arial" w:hAnsi="Arial"/>
        <w:i/>
        <w:color w:val="23417c" w:themeColor="accent1" w:themeShade="94"/>
        <w:sz w:val="22"/>
      </w:rPr>
      <w:tcPr>
        <w:shd w:val="clear" w:color="ffffff" w:fill="auto"/>
        <w:tcBorders>
          <w:top w:val="none" w:color="000000" w:sz="4" w:space="0"/>
          <w:left w:val="single" w:color="4874CB" w:themeColor="accent1" w:sz="4" w:space="0"/>
          <w:bottom w:val="none" w:color="000000" w:sz="4" w:space="0"/>
          <w:right w:val="none" w:color="000000" w:sz="4" w:space="0"/>
        </w:tcBorders>
      </w:tcPr>
    </w:tblStylePr>
    <w:tblStylePr w:type="lastRow">
      <w:rPr>
        <w:rFonts w:ascii="Arial" w:hAnsi="Arial"/>
        <w:i/>
        <w:color w:val="23417c" w:themeColor="accent1" w:themeShade="94"/>
        <w:sz w:val="22"/>
      </w:rPr>
      <w:tcPr>
        <w:shd w:val="clear" w:color="ffffff" w:themeColor="light1" w:fill="ffffff" w:themeFill="light1"/>
        <w:tcBorders>
          <w:top w:val="single" w:color="4874CB" w:themeColor="accent1" w:sz="4" w:space="0"/>
          <w:left w:val="none" w:color="000000" w:sz="4" w:space="0"/>
          <w:bottom w:val="none" w:color="000000" w:sz="4" w:space="0"/>
          <w:right w:val="none" w:color="000000" w:sz="4" w:space="0"/>
        </w:tcBorders>
      </w:tcPr>
    </w:tblStylePr>
  </w:style>
  <w:style w:type="table" w:styleId="1090" w:customStyle="1">
    <w:name w:val="List Table 7 Colorful - Accent 2"/>
    <w:basedOn w:val="897"/>
    <w:uiPriority w:val="99"/>
    <w:qFormat/>
    <w:tblPr>
      <w:tblBorders>
        <w:right w:val="single" w:color="F4B483" w:themeColor="accent2" w:themeTint="97" w:sz="4" w:space="0"/>
      </w:tblBorders>
      <w:tblCellMar>
        <w:left w:w="108" w:type="dxa"/>
        <w:top w:w="0" w:type="dxa"/>
        <w:right w:w="108" w:type="dxa"/>
        <w:bottom w:w="0" w:type="dxa"/>
      </w:tblCellMar>
    </w:tblPr>
    <w:tblStylePr w:type="band1Horz">
      <w:rPr>
        <w:rFonts w:ascii="Arial" w:hAnsi="Arial"/>
        <w:color w:val="f4b584" w:themeColor="accent2" w:themeTint="96"/>
        <w:sz w:val="22"/>
      </w:rPr>
      <w:tcPr>
        <w:shd w:val="clear" w:color="fadfca" w:themeColor="accent2" w:themeTint="40" w:fill="fadfca" w:themeFill="accent2" w:themeFillTint="40"/>
      </w:tcPr>
    </w:tblStylePr>
    <w:tblStylePr w:type="band1Vert">
      <w:tcPr>
        <w:shd w:val="clear" w:color="fadfca" w:themeColor="accent2" w:themeTint="40" w:fill="fadfca" w:themeFill="accent2" w:themeFillTint="40"/>
      </w:tcPr>
    </w:tblStylePr>
    <w:tblStylePr w:type="band2Horz">
      <w:rPr>
        <w:rFonts w:ascii="Arial" w:hAnsi="Arial"/>
        <w:color w:val="f4b584" w:themeColor="accent2" w:themeTint="96"/>
        <w:sz w:val="22"/>
      </w:rPr>
    </w:tblStylePr>
    <w:tblStylePr w:type="firstCol">
      <w:rPr>
        <w:rFonts w:ascii="Arial" w:hAnsi="Arial"/>
        <w:i/>
        <w:color w:val="f4b584" w:themeColor="accent2" w:themeTint="96"/>
        <w:sz w:val="22"/>
      </w:rPr>
      <w:pPr>
        <w:jc w:val="right"/>
      </w:pPr>
      <w:tcPr>
        <w:shd w:val="clear" w:color="ffffff" w:fill="auto"/>
        <w:tcBorders>
          <w:top w:val="none" w:color="000000" w:sz="4" w:space="0"/>
          <w:left w:val="none" w:color="000000" w:sz="4" w:space="0"/>
          <w:bottom w:val="none" w:color="000000" w:sz="4" w:space="0"/>
          <w:right w:val="single" w:color="F4B483" w:themeColor="accent2" w:themeTint="97" w:sz="4" w:space="0"/>
        </w:tcBorders>
      </w:tcPr>
    </w:tblStylePr>
    <w:tblStylePr w:type="firstRow">
      <w:rPr>
        <w:rFonts w:ascii="Arial" w:hAnsi="Arial"/>
        <w:i/>
        <w:color w:val="f4b584" w:themeColor="accent2" w:themeTint="96"/>
        <w:sz w:val="22"/>
      </w:rPr>
      <w:tcPr>
        <w:shd w:val="clear" w:color="ffffff" w:themeColor="light1" w:fill="ffffff" w:themeFill="light1"/>
        <w:tcBorders>
          <w:top w:val="none" w:color="000000" w:sz="4" w:space="0"/>
          <w:left w:val="none" w:color="000000" w:sz="4" w:space="0"/>
          <w:bottom w:val="single" w:color="F4B483" w:themeColor="accent2" w:themeTint="97" w:sz="4" w:space="0"/>
          <w:right w:val="none" w:color="000000" w:sz="4" w:space="0"/>
        </w:tcBorders>
      </w:tcPr>
    </w:tblStylePr>
    <w:tblStylePr w:type="lastCol">
      <w:rPr>
        <w:rFonts w:ascii="Arial" w:hAnsi="Arial"/>
        <w:i/>
        <w:color w:val="f4b584" w:themeColor="accent2" w:themeTint="96"/>
        <w:sz w:val="22"/>
      </w:rPr>
      <w:tcPr>
        <w:shd w:val="clear" w:color="ffffff" w:fill="auto"/>
        <w:tcBorders>
          <w:top w:val="none" w:color="000000" w:sz="4" w:space="0"/>
          <w:left w:val="single" w:color="F4B483" w:themeColor="accent2" w:themeTint="97" w:sz="4" w:space="0"/>
          <w:bottom w:val="none" w:color="000000" w:sz="4" w:space="0"/>
          <w:right w:val="none" w:color="000000" w:sz="4" w:space="0"/>
        </w:tcBorders>
      </w:tcPr>
    </w:tblStylePr>
    <w:tblStylePr w:type="lastRow">
      <w:rPr>
        <w:rFonts w:ascii="Arial" w:hAnsi="Arial"/>
        <w:i/>
        <w:color w:val="f4b584" w:themeColor="accent2" w:themeTint="96"/>
        <w:sz w:val="22"/>
      </w:rPr>
      <w:tcPr>
        <w:shd w:val="clear" w:color="ffffff" w:themeColor="light1" w:fill="ffffff" w:themeFill="light1"/>
        <w:tcBorders>
          <w:top w:val="single" w:color="F4B483" w:themeColor="accent2" w:themeTint="97" w:sz="4" w:space="0"/>
          <w:left w:val="none" w:color="000000" w:sz="4" w:space="0"/>
          <w:bottom w:val="none" w:color="000000" w:sz="4" w:space="0"/>
          <w:right w:val="none" w:color="000000" w:sz="4" w:space="0"/>
        </w:tcBorders>
      </w:tcPr>
    </w:tblStylePr>
  </w:style>
  <w:style w:type="table" w:styleId="1091" w:customStyle="1">
    <w:name w:val="List Table 7 Colorful - Accent 3"/>
    <w:basedOn w:val="897"/>
    <w:uiPriority w:val="99"/>
    <w:qFormat/>
    <w:tblPr>
      <w:tblBorders>
        <w:right w:val="single" w:color="FDD961" w:themeColor="accent3" w:themeTint="98" w:sz="4" w:space="0"/>
      </w:tblBorders>
      <w:tblCellMar>
        <w:left w:w="108" w:type="dxa"/>
        <w:top w:w="0" w:type="dxa"/>
        <w:right w:w="108" w:type="dxa"/>
        <w:bottom w:w="0" w:type="dxa"/>
      </w:tblCellMar>
    </w:tblPr>
    <w:tblStylePr w:type="band1Horz">
      <w:rPr>
        <w:rFonts w:ascii="Arial" w:hAnsi="Arial"/>
        <w:color w:val="fdd960" w:themeColor="accent3" w:themeTint="99"/>
        <w:sz w:val="22"/>
      </w:rPr>
      <w:tcPr>
        <w:shd w:val="clear" w:color="feefbc" w:themeColor="accent3" w:themeTint="40" w:fill="feefbc" w:themeFill="accent3" w:themeFillTint="40"/>
      </w:tcPr>
    </w:tblStylePr>
    <w:tblStylePr w:type="band1Vert">
      <w:tcPr>
        <w:shd w:val="clear" w:color="feefbc" w:themeColor="accent3" w:themeTint="40" w:fill="feefbc" w:themeFill="accent3" w:themeFillTint="40"/>
      </w:tcPr>
    </w:tblStylePr>
    <w:tblStylePr w:type="band2Horz">
      <w:rPr>
        <w:rFonts w:ascii="Arial" w:hAnsi="Arial"/>
        <w:color w:val="fdd960" w:themeColor="accent3" w:themeTint="99"/>
        <w:sz w:val="22"/>
      </w:rPr>
    </w:tblStylePr>
    <w:tblStylePr w:type="firstCol">
      <w:rPr>
        <w:rFonts w:ascii="Arial" w:hAnsi="Arial"/>
        <w:i/>
        <w:color w:val="fdd960" w:themeColor="accent3" w:themeTint="99"/>
        <w:sz w:val="22"/>
      </w:rPr>
      <w:pPr>
        <w:jc w:val="right"/>
      </w:pPr>
      <w:tcPr>
        <w:shd w:val="clear" w:color="ffffff" w:fill="auto"/>
        <w:tcBorders>
          <w:top w:val="none" w:color="000000" w:sz="4" w:space="0"/>
          <w:left w:val="none" w:color="000000" w:sz="4" w:space="0"/>
          <w:bottom w:val="none" w:color="000000" w:sz="4" w:space="0"/>
          <w:right w:val="single" w:color="FDD961" w:themeColor="accent3" w:themeTint="98" w:sz="4" w:space="0"/>
        </w:tcBorders>
      </w:tcPr>
    </w:tblStylePr>
    <w:tblStylePr w:type="firstRow">
      <w:rPr>
        <w:rFonts w:ascii="Arial" w:hAnsi="Arial"/>
        <w:i/>
        <w:color w:val="fdd960" w:themeColor="accent3" w:themeTint="99"/>
        <w:sz w:val="22"/>
      </w:rPr>
      <w:tcPr>
        <w:shd w:val="clear" w:color="ffffff" w:themeColor="light1" w:fill="ffffff" w:themeFill="light1"/>
        <w:tcBorders>
          <w:top w:val="none" w:color="000000" w:sz="4" w:space="0"/>
          <w:left w:val="none" w:color="000000" w:sz="4" w:space="0"/>
          <w:bottom w:val="single" w:color="FDD961" w:themeColor="accent3" w:themeTint="98" w:sz="4" w:space="0"/>
          <w:right w:val="none" w:color="000000" w:sz="4" w:space="0"/>
        </w:tcBorders>
      </w:tcPr>
    </w:tblStylePr>
    <w:tblStylePr w:type="lastCol">
      <w:rPr>
        <w:rFonts w:ascii="Arial" w:hAnsi="Arial"/>
        <w:i/>
        <w:color w:val="fdd960" w:themeColor="accent3" w:themeTint="99"/>
        <w:sz w:val="22"/>
      </w:rPr>
      <w:tcPr>
        <w:shd w:val="clear" w:color="ffffff" w:fill="auto"/>
        <w:tcBorders>
          <w:top w:val="none" w:color="000000" w:sz="4" w:space="0"/>
          <w:left w:val="single" w:color="FDD961" w:themeColor="accent3" w:themeTint="98" w:sz="4" w:space="0"/>
          <w:bottom w:val="none" w:color="000000" w:sz="4" w:space="0"/>
          <w:right w:val="none" w:color="000000" w:sz="4" w:space="0"/>
        </w:tcBorders>
      </w:tcPr>
    </w:tblStylePr>
    <w:tblStylePr w:type="lastRow">
      <w:rPr>
        <w:rFonts w:ascii="Arial" w:hAnsi="Arial"/>
        <w:i/>
        <w:color w:val="fdd960" w:themeColor="accent3" w:themeTint="99"/>
        <w:sz w:val="22"/>
      </w:rPr>
      <w:tcPr>
        <w:shd w:val="clear" w:color="ffffff" w:themeColor="light1" w:fill="ffffff" w:themeFill="light1"/>
        <w:tcBorders>
          <w:top w:val="single" w:color="FDD961" w:themeColor="accent3" w:themeTint="98" w:sz="4" w:space="0"/>
          <w:left w:val="none" w:color="000000" w:sz="4" w:space="0"/>
          <w:bottom w:val="none" w:color="000000" w:sz="4" w:space="0"/>
          <w:right w:val="none" w:color="000000" w:sz="4" w:space="0"/>
        </w:tcBorders>
      </w:tcPr>
    </w:tblStylePr>
  </w:style>
  <w:style w:type="table" w:styleId="1092" w:customStyle="1">
    <w:name w:val="List Table 7 Colorful - Accent 4"/>
    <w:basedOn w:val="897"/>
    <w:uiPriority w:val="99"/>
    <w:qFormat/>
    <w:tblPr>
      <w:tblBorders>
        <w:right w:val="single" w:color="ABD78C" w:themeColor="accent4" w:themeTint="9A" w:sz="4" w:space="0"/>
      </w:tblBorders>
      <w:tblCellMar>
        <w:left w:w="108" w:type="dxa"/>
        <w:top w:w="0" w:type="dxa"/>
        <w:right w:w="108" w:type="dxa"/>
        <w:bottom w:w="0" w:type="dxa"/>
      </w:tblCellMar>
    </w:tblPr>
    <w:tblStylePr w:type="band1Horz">
      <w:rPr>
        <w:rFonts w:ascii="Arial" w:hAnsi="Arial"/>
        <w:color w:val="acd78d" w:themeColor="accent4" w:themeTint="99"/>
        <w:sz w:val="22"/>
      </w:rPr>
      <w:tcPr>
        <w:shd w:val="clear" w:color="dceecf" w:themeColor="accent4" w:themeTint="40" w:fill="dceecf" w:themeFill="accent4" w:themeFillTint="40"/>
      </w:tcPr>
    </w:tblStylePr>
    <w:tblStylePr w:type="band1Vert">
      <w:tcPr>
        <w:shd w:val="clear" w:color="dceecf" w:themeColor="accent4" w:themeTint="40" w:fill="dceecf" w:themeFill="accent4" w:themeFillTint="40"/>
      </w:tcPr>
    </w:tblStylePr>
    <w:tblStylePr w:type="band2Horz">
      <w:rPr>
        <w:rFonts w:ascii="Arial" w:hAnsi="Arial"/>
        <w:color w:val="acd78d" w:themeColor="accent4" w:themeTint="99"/>
        <w:sz w:val="22"/>
      </w:rPr>
    </w:tblStylePr>
    <w:tblStylePr w:type="firstCol">
      <w:rPr>
        <w:rFonts w:ascii="Arial" w:hAnsi="Arial"/>
        <w:i/>
        <w:color w:val="acd78d" w:themeColor="accent4" w:themeTint="99"/>
        <w:sz w:val="22"/>
      </w:rPr>
      <w:pPr>
        <w:jc w:val="right"/>
      </w:pPr>
      <w:tcPr>
        <w:shd w:val="clear" w:color="ffffff" w:fill="auto"/>
        <w:tcBorders>
          <w:top w:val="none" w:color="000000" w:sz="4" w:space="0"/>
          <w:left w:val="none" w:color="000000" w:sz="4" w:space="0"/>
          <w:bottom w:val="none" w:color="000000" w:sz="4" w:space="0"/>
          <w:right w:val="single" w:color="ABD78C" w:themeColor="accent4" w:themeTint="9A" w:sz="4" w:space="0"/>
        </w:tcBorders>
      </w:tcPr>
    </w:tblStylePr>
    <w:tblStylePr w:type="firstRow">
      <w:rPr>
        <w:rFonts w:ascii="Arial" w:hAnsi="Arial"/>
        <w:i/>
        <w:color w:val="acd78d" w:themeColor="accent4" w:themeTint="99"/>
        <w:sz w:val="22"/>
      </w:rPr>
      <w:tcPr>
        <w:shd w:val="clear" w:color="ffffff" w:themeColor="light1" w:fill="ffffff" w:themeFill="light1"/>
        <w:tcBorders>
          <w:top w:val="none" w:color="000000" w:sz="4" w:space="0"/>
          <w:left w:val="none" w:color="000000" w:sz="4" w:space="0"/>
          <w:bottom w:val="single" w:color="ABD78C" w:themeColor="accent4" w:themeTint="9A" w:sz="4" w:space="0"/>
          <w:right w:val="none" w:color="000000" w:sz="4" w:space="0"/>
        </w:tcBorders>
      </w:tcPr>
    </w:tblStylePr>
    <w:tblStylePr w:type="lastCol">
      <w:rPr>
        <w:rFonts w:ascii="Arial" w:hAnsi="Arial"/>
        <w:i/>
        <w:color w:val="acd78d" w:themeColor="accent4" w:themeTint="99"/>
        <w:sz w:val="22"/>
      </w:rPr>
      <w:tcPr>
        <w:shd w:val="clear" w:color="ffffff" w:fill="auto"/>
        <w:tcBorders>
          <w:top w:val="none" w:color="000000" w:sz="4" w:space="0"/>
          <w:left w:val="single" w:color="ABD78C" w:themeColor="accent4" w:themeTint="9A" w:sz="4" w:space="0"/>
          <w:bottom w:val="none" w:color="000000" w:sz="4" w:space="0"/>
          <w:right w:val="none" w:color="000000" w:sz="4" w:space="0"/>
        </w:tcBorders>
      </w:tcPr>
    </w:tblStylePr>
    <w:tblStylePr w:type="lastRow">
      <w:rPr>
        <w:rFonts w:ascii="Arial" w:hAnsi="Arial"/>
        <w:i/>
        <w:color w:val="acd78d" w:themeColor="accent4" w:themeTint="99"/>
        <w:sz w:val="22"/>
      </w:rPr>
      <w:tcPr>
        <w:shd w:val="clear" w:color="ffffff" w:themeColor="light1" w:fill="ffffff" w:themeFill="light1"/>
        <w:tcBorders>
          <w:top w:val="single" w:color="ABD78C" w:themeColor="accent4" w:themeTint="9A" w:sz="4" w:space="0"/>
          <w:left w:val="none" w:color="000000" w:sz="4" w:space="0"/>
          <w:bottom w:val="none" w:color="000000" w:sz="4" w:space="0"/>
          <w:right w:val="none" w:color="000000" w:sz="4" w:space="0"/>
        </w:tcBorders>
      </w:tcPr>
    </w:tblStylePr>
  </w:style>
  <w:style w:type="table" w:styleId="1093" w:customStyle="1">
    <w:name w:val="List Table 7 Colorful - Accent 5"/>
    <w:basedOn w:val="897"/>
    <w:uiPriority w:val="99"/>
    <w:qFormat/>
    <w:tblPr>
      <w:tblBorders>
        <w:right w:val="single" w:color="7CDED6" w:themeColor="accent5" w:themeTint="9A" w:sz="4" w:space="0"/>
      </w:tblBorders>
      <w:tblCellMar>
        <w:left w:w="108" w:type="dxa"/>
        <w:top w:w="0" w:type="dxa"/>
        <w:right w:w="108" w:type="dxa"/>
        <w:bottom w:w="0" w:type="dxa"/>
      </w:tblCellMar>
    </w:tblPr>
    <w:tblStylePr w:type="band1Horz">
      <w:rPr>
        <w:rFonts w:ascii="Arial" w:hAnsi="Arial"/>
        <w:color w:val="7dded6" w:themeColor="accent5" w:themeTint="99"/>
        <w:sz w:val="22"/>
      </w:rPr>
      <w:tcPr>
        <w:shd w:val="clear" w:color="c8f1ee" w:themeColor="accent5" w:themeTint="40" w:fill="c8f1ee" w:themeFill="accent5" w:themeFillTint="40"/>
      </w:tcPr>
    </w:tblStylePr>
    <w:tblStylePr w:type="band1Vert">
      <w:tcPr>
        <w:shd w:val="clear" w:color="c8f1ee" w:themeColor="accent5" w:themeTint="40" w:fill="c8f1ee" w:themeFill="accent5" w:themeFillTint="40"/>
      </w:tcPr>
    </w:tblStylePr>
    <w:tblStylePr w:type="band2Horz">
      <w:rPr>
        <w:rFonts w:ascii="Arial" w:hAnsi="Arial"/>
        <w:color w:val="7dded6" w:themeColor="accent5" w:themeTint="99"/>
        <w:sz w:val="22"/>
      </w:rPr>
    </w:tblStylePr>
    <w:tblStylePr w:type="firstCol">
      <w:rPr>
        <w:rFonts w:ascii="Arial" w:hAnsi="Arial"/>
        <w:i/>
        <w:color w:val="7dded6" w:themeColor="accent5" w:themeTint="99"/>
        <w:sz w:val="22"/>
      </w:rPr>
      <w:pPr>
        <w:jc w:val="right"/>
      </w:pPr>
      <w:tcPr>
        <w:shd w:val="clear" w:color="ffffff" w:fill="auto"/>
        <w:tcBorders>
          <w:top w:val="none" w:color="000000" w:sz="4" w:space="0"/>
          <w:left w:val="none" w:color="000000" w:sz="4" w:space="0"/>
          <w:bottom w:val="none" w:color="000000" w:sz="4" w:space="0"/>
          <w:right w:val="single" w:color="7CDED6" w:themeColor="accent5" w:themeTint="9A" w:sz="4" w:space="0"/>
        </w:tcBorders>
      </w:tcPr>
    </w:tblStylePr>
    <w:tblStylePr w:type="firstRow">
      <w:rPr>
        <w:rFonts w:ascii="Arial" w:hAnsi="Arial"/>
        <w:i/>
        <w:color w:val="7dded6" w:themeColor="accent5" w:themeTint="99"/>
        <w:sz w:val="22"/>
      </w:rPr>
      <w:tcPr>
        <w:shd w:val="clear" w:color="ffffff" w:themeColor="light1" w:fill="ffffff" w:themeFill="light1"/>
        <w:tcBorders>
          <w:top w:val="none" w:color="000000" w:sz="4" w:space="0"/>
          <w:left w:val="none" w:color="000000" w:sz="4" w:space="0"/>
          <w:bottom w:val="single" w:color="7CDED6" w:themeColor="accent5" w:themeTint="9A" w:sz="4" w:space="0"/>
          <w:right w:val="none" w:color="000000" w:sz="4" w:space="0"/>
        </w:tcBorders>
      </w:tcPr>
    </w:tblStylePr>
    <w:tblStylePr w:type="lastCol">
      <w:rPr>
        <w:rFonts w:ascii="Arial" w:hAnsi="Arial"/>
        <w:i/>
        <w:color w:val="7dded6" w:themeColor="accent5" w:themeTint="99"/>
        <w:sz w:val="22"/>
      </w:rPr>
      <w:tcPr>
        <w:shd w:val="clear" w:color="ffffff" w:fill="auto"/>
        <w:tcBorders>
          <w:top w:val="none" w:color="000000" w:sz="4" w:space="0"/>
          <w:left w:val="single" w:color="7CDED6" w:themeColor="accent5" w:themeTint="9A" w:sz="4" w:space="0"/>
          <w:bottom w:val="none" w:color="000000" w:sz="4" w:space="0"/>
          <w:right w:val="none" w:color="000000" w:sz="4" w:space="0"/>
        </w:tcBorders>
      </w:tcPr>
    </w:tblStylePr>
    <w:tblStylePr w:type="lastRow">
      <w:rPr>
        <w:rFonts w:ascii="Arial" w:hAnsi="Arial"/>
        <w:i/>
        <w:color w:val="7dded6" w:themeColor="accent5" w:themeTint="99"/>
        <w:sz w:val="22"/>
      </w:rPr>
      <w:tcPr>
        <w:shd w:val="clear" w:color="ffffff" w:themeColor="light1" w:fill="ffffff" w:themeFill="light1"/>
        <w:tcBorders>
          <w:top w:val="single" w:color="7CDED6" w:themeColor="accent5" w:themeTint="9A" w:sz="4" w:space="0"/>
          <w:left w:val="none" w:color="000000" w:sz="4" w:space="0"/>
          <w:bottom w:val="none" w:color="000000" w:sz="4" w:space="0"/>
          <w:right w:val="none" w:color="000000" w:sz="4" w:space="0"/>
        </w:tcBorders>
      </w:tcPr>
    </w:tblStylePr>
  </w:style>
  <w:style w:type="table" w:styleId="1094" w:customStyle="1">
    <w:name w:val="List Table 7 Colorful - Accent 6"/>
    <w:basedOn w:val="897"/>
    <w:uiPriority w:val="99"/>
    <w:qFormat/>
    <w:tblPr>
      <w:tblBorders>
        <w:right w:val="single" w:color="EF949F" w:themeColor="accent6" w:themeTint="98" w:sz="4" w:space="0"/>
      </w:tblBorders>
      <w:tblCellMar>
        <w:left w:w="108" w:type="dxa"/>
        <w:top w:w="0" w:type="dxa"/>
        <w:right w:w="108" w:type="dxa"/>
        <w:bottom w:w="0" w:type="dxa"/>
      </w:tblCellMar>
    </w:tblPr>
    <w:tblStylePr w:type="band1Horz">
      <w:rPr>
        <w:rFonts w:ascii="Arial" w:hAnsi="Arial"/>
        <w:color w:val="ef939e" w:themeColor="accent6" w:themeTint="99"/>
        <w:sz w:val="22"/>
      </w:rPr>
      <w:tcPr>
        <w:shd w:val="clear" w:color="f8d2d6" w:themeColor="accent6" w:themeTint="40" w:fill="f8d2d6" w:themeFill="accent6" w:themeFillTint="40"/>
      </w:tcPr>
    </w:tblStylePr>
    <w:tblStylePr w:type="band1Vert">
      <w:tcPr>
        <w:shd w:val="clear" w:color="f8d2d6" w:themeColor="accent6" w:themeTint="40" w:fill="f8d2d6" w:themeFill="accent6" w:themeFillTint="40"/>
      </w:tcPr>
    </w:tblStylePr>
    <w:tblStylePr w:type="band2Horz">
      <w:rPr>
        <w:rFonts w:ascii="Arial" w:hAnsi="Arial"/>
        <w:color w:val="ef939e" w:themeColor="accent6" w:themeTint="99"/>
        <w:sz w:val="22"/>
      </w:rPr>
    </w:tblStylePr>
    <w:tblStylePr w:type="firstCol">
      <w:rPr>
        <w:rFonts w:ascii="Arial" w:hAnsi="Arial"/>
        <w:i/>
        <w:color w:val="ef939e" w:themeColor="accent6" w:themeTint="99"/>
        <w:sz w:val="22"/>
      </w:rPr>
      <w:pPr>
        <w:jc w:val="right"/>
      </w:pPr>
      <w:tcPr>
        <w:shd w:val="clear" w:color="ffffff" w:fill="auto"/>
        <w:tcBorders>
          <w:top w:val="none" w:color="000000" w:sz="4" w:space="0"/>
          <w:left w:val="none" w:color="000000" w:sz="4" w:space="0"/>
          <w:bottom w:val="none" w:color="000000" w:sz="4" w:space="0"/>
          <w:right w:val="single" w:color="EF949F" w:themeColor="accent6" w:themeTint="98" w:sz="4" w:space="0"/>
        </w:tcBorders>
      </w:tcPr>
    </w:tblStylePr>
    <w:tblStylePr w:type="firstRow">
      <w:rPr>
        <w:rFonts w:ascii="Arial" w:hAnsi="Arial"/>
        <w:i/>
        <w:color w:val="ef939e" w:themeColor="accent6" w:themeTint="99"/>
        <w:sz w:val="22"/>
      </w:rPr>
      <w:tcPr>
        <w:shd w:val="clear" w:color="ffffff" w:themeColor="light1" w:fill="ffffff" w:themeFill="light1"/>
        <w:tcBorders>
          <w:top w:val="none" w:color="000000" w:sz="4" w:space="0"/>
          <w:left w:val="none" w:color="000000" w:sz="4" w:space="0"/>
          <w:bottom w:val="single" w:color="EF949F" w:themeColor="accent6" w:themeTint="98" w:sz="4" w:space="0"/>
          <w:right w:val="none" w:color="000000" w:sz="4" w:space="0"/>
        </w:tcBorders>
      </w:tcPr>
    </w:tblStylePr>
    <w:tblStylePr w:type="lastCol">
      <w:rPr>
        <w:rFonts w:ascii="Arial" w:hAnsi="Arial"/>
        <w:i/>
        <w:color w:val="ef939e" w:themeColor="accent6" w:themeTint="99"/>
        <w:sz w:val="22"/>
      </w:rPr>
      <w:tcPr>
        <w:shd w:val="clear" w:color="ffffff" w:fill="auto"/>
        <w:tcBorders>
          <w:top w:val="none" w:color="000000" w:sz="4" w:space="0"/>
          <w:left w:val="single" w:color="EF949F" w:themeColor="accent6" w:themeTint="98" w:sz="4" w:space="0"/>
          <w:bottom w:val="none" w:color="000000" w:sz="4" w:space="0"/>
          <w:right w:val="none" w:color="000000" w:sz="4" w:space="0"/>
        </w:tcBorders>
      </w:tcPr>
    </w:tblStylePr>
    <w:tblStylePr w:type="lastRow">
      <w:rPr>
        <w:rFonts w:ascii="Arial" w:hAnsi="Arial"/>
        <w:i/>
        <w:color w:val="ef939e" w:themeColor="accent6" w:themeTint="99"/>
        <w:sz w:val="22"/>
      </w:rPr>
      <w:tcPr>
        <w:shd w:val="clear" w:color="ffffff" w:themeColor="light1" w:fill="ffffff" w:themeFill="light1"/>
        <w:tcBorders>
          <w:top w:val="single" w:color="EF949F" w:themeColor="accent6" w:themeTint="98" w:sz="4" w:space="0"/>
          <w:left w:val="none" w:color="000000" w:sz="4" w:space="0"/>
          <w:bottom w:val="none" w:color="000000" w:sz="4" w:space="0"/>
          <w:right w:val="none" w:color="000000" w:sz="4" w:space="0"/>
        </w:tcBorders>
      </w:tcPr>
    </w:tblStylePr>
  </w:style>
  <w:style w:type="table" w:styleId="1095" w:customStyle="1">
    <w:name w:val="Lined - Accent"/>
    <w:basedOn w:val="897"/>
    <w:uiPriority w:val="99"/>
    <w:qFormat/>
    <w:rPr>
      <w:color w:val="404040"/>
    </w:rPr>
    <w:tblPr>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band2Vert">
      <w:rPr>
        <w:rFonts w:ascii="Arial" w:hAnsi="Arial"/>
        <w:color w:val="404040"/>
        <w:sz w:val="22"/>
      </w:rPr>
      <w:tcPr>
        <w:shd w:val="clear" w:color="f1f1f1" w:themeColor="text1" w:themeTint="0D" w:fill="f1f1f1" w:themeFill="text1" w:themeFillTint="0D"/>
      </w:tcPr>
    </w:tblStylePr>
    <w:tblStylePr w:type="firstCol">
      <w:rPr>
        <w:rFonts w:ascii="Arial" w:hAnsi="Arial"/>
        <w:color w:val="f2f2f2"/>
        <w:sz w:val="22"/>
      </w:rPr>
      <w:tcPr>
        <w:shd w:val="clear" w:color="7e7e7e" w:themeColor="text1" w:themeTint="80" w:fill="7e7e7e" w:themeFill="text1" w:themeFillTint="80"/>
      </w:tcPr>
    </w:tblStylePr>
    <w:tblStylePr w:type="firstRow">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style>
  <w:style w:type="table" w:styleId="1096" w:customStyle="1">
    <w:name w:val="Lined - Accent 1"/>
    <w:basedOn w:val="897"/>
    <w:uiPriority w:val="99"/>
    <w:qFormat/>
    <w:rPr>
      <w:color w:val="404040"/>
    </w:rPr>
    <w:tblPr>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band2Vert">
      <w:rPr>
        <w:rFonts w:ascii="Arial" w:hAnsi="Arial"/>
        <w:color w:val="404040"/>
        <w:sz w:val="22"/>
      </w:rPr>
      <w:tcPr>
        <w:shd w:val="clear" w:color="c5d3ee" w:themeColor="accent1" w:themeTint="50" w:fill="c5d3ee" w:themeFill="accent1" w:themeFillTint="50"/>
      </w:tcPr>
    </w:tblStylePr>
    <w:tblStylePr w:type="firstCol">
      <w:rPr>
        <w:rFonts w:ascii="Arial" w:hAnsi="Arial"/>
        <w:color w:val="f2f2f2"/>
        <w:sz w:val="22"/>
      </w:rPr>
      <w:tcPr>
        <w:shd w:val="clear" w:color="577fcf" w:themeColor="accent1" w:themeTint="EA" w:fill="577fcf" w:themeFill="accent1" w:themeFillTint="EA"/>
      </w:tcPr>
    </w:tblStylePr>
    <w:tblStylePr w:type="firstRow">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style>
  <w:style w:type="table" w:styleId="1097" w:customStyle="1">
    <w:name w:val="Lined - Accent 2"/>
    <w:basedOn w:val="897"/>
    <w:uiPriority w:val="99"/>
    <w:qFormat/>
    <w:rPr>
      <w:color w:val="404040"/>
    </w:rPr>
    <w:tblPr>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band2Vert">
      <w:rPr>
        <w:rFonts w:ascii="Arial" w:hAnsi="Arial"/>
        <w:color w:val="404040"/>
        <w:sz w:val="22"/>
      </w:rPr>
      <w:tcPr>
        <w:shd w:val="clear" w:color="fbe6d6" w:themeColor="accent2" w:themeTint="32" w:fill="fbe6d6" w:themeFill="accent2" w:themeFillTint="32"/>
      </w:tcPr>
    </w:tblStylePr>
    <w:tblStylePr w:type="firstCol">
      <w:rPr>
        <w:rFonts w:ascii="Arial" w:hAnsi="Arial"/>
        <w:color w:val="f2f2f2"/>
        <w:sz w:val="22"/>
      </w:rPr>
      <w:tcPr>
        <w:shd w:val="clear" w:color="f4b483" w:themeColor="accent2" w:themeTint="97" w:fill="f4b483" w:themeFill="accent2" w:themeFillTint="97"/>
      </w:tcPr>
    </w:tblStylePr>
    <w:tblStylePr w:type="firstRow">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style>
  <w:style w:type="table" w:styleId="1098" w:customStyle="1">
    <w:name w:val="Lined - Accent 3"/>
    <w:basedOn w:val="897"/>
    <w:uiPriority w:val="99"/>
    <w:qFormat/>
    <w:rPr>
      <w:color w:val="404040"/>
    </w:rPr>
    <w:tblPr>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band2Vert">
      <w:rPr>
        <w:rFonts w:ascii="Arial" w:hAnsi="Arial"/>
        <w:color w:val="404040"/>
        <w:sz w:val="22"/>
      </w:rPr>
      <w:tcPr>
        <w:shd w:val="clear" w:color="fef2c9" w:themeColor="accent3" w:themeTint="34" w:fill="fef2c9" w:themeFill="accent3" w:themeFillTint="34"/>
      </w:tcPr>
    </w:tblStylePr>
    <w:tblStylePr w:type="firstCol">
      <w:rPr>
        <w:rFonts w:ascii="Arial" w:hAnsi="Arial"/>
        <w:color w:val="f2f2f2"/>
        <w:sz w:val="22"/>
      </w:rPr>
      <w:tcPr>
        <w:shd w:val="clear" w:color="f3ba02" w:themeColor="accent3" w:themeTint="FE" w:fill="f3ba02" w:themeFill="accent3" w:themeFillTint="FE"/>
      </w:tcPr>
    </w:tblStylePr>
    <w:tblStylePr w:type="firstRow">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style>
  <w:style w:type="table" w:styleId="1099" w:customStyle="1">
    <w:name w:val="Lined - Accent 4"/>
    <w:basedOn w:val="897"/>
    <w:uiPriority w:val="99"/>
    <w:qFormat/>
    <w:rPr>
      <w:color w:val="404040"/>
    </w:rPr>
    <w:tblPr>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band2Vert">
      <w:rPr>
        <w:rFonts w:ascii="Arial" w:hAnsi="Arial"/>
        <w:color w:val="404040"/>
        <w:sz w:val="22"/>
      </w:rPr>
      <w:tcPr>
        <w:shd w:val="clear" w:color="e2f1d8" w:themeColor="accent4" w:themeTint="34" w:fill="e2f1d8" w:themeFill="accent4" w:themeFillTint="34"/>
      </w:tcPr>
    </w:tblStylePr>
    <w:tblStylePr w:type="firstCol">
      <w:rPr>
        <w:rFonts w:ascii="Arial" w:hAnsi="Arial"/>
        <w:color w:val="f2f2f2"/>
        <w:sz w:val="22"/>
      </w:rPr>
      <w:tcPr>
        <w:shd w:val="clear" w:color="abd78c" w:themeColor="accent4" w:themeTint="9A" w:fill="abd78c" w:themeFill="accent4" w:themeFillTint="9A"/>
      </w:tcPr>
    </w:tblStylePr>
    <w:tblStylePr w:type="firstRow">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style>
  <w:style w:type="table" w:styleId="1100" w:customStyle="1">
    <w:name w:val="Lined - Accent 5"/>
    <w:basedOn w:val="897"/>
    <w:uiPriority w:val="99"/>
    <w:qFormat/>
    <w:rPr>
      <w:color w:val="404040"/>
    </w:rPr>
    <w:tblPr>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band2Vert">
      <w:rPr>
        <w:rFonts w:ascii="Arial" w:hAnsi="Arial"/>
        <w:color w:val="404040"/>
        <w:sz w:val="22"/>
      </w:rPr>
      <w:tcPr>
        <w:shd w:val="clear" w:color="d2f3f1" w:themeColor="accent5" w:themeTint="34" w:fill="d2f3f1" w:themeFill="accent5" w:themeFillTint="34"/>
      </w:tcPr>
    </w:tblStylePr>
    <w:tblStylePr w:type="firstCol">
      <w:rPr>
        <w:rFonts w:ascii="Arial" w:hAnsi="Arial"/>
        <w:color w:val="f2f2f2"/>
        <w:sz w:val="22"/>
      </w:rPr>
      <w:tcPr>
        <w:shd w:val="clear" w:color="30c0b4" w:themeColor="accent5" w:fill="30c0b4" w:themeFill="accent5"/>
      </w:tcPr>
    </w:tblStylePr>
    <w:tblStylePr w:type="firstRow">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style>
  <w:style w:type="table" w:styleId="1101" w:customStyle="1">
    <w:name w:val="Lined - Accent 6"/>
    <w:basedOn w:val="897"/>
    <w:uiPriority w:val="99"/>
    <w:qFormat/>
    <w:rPr>
      <w:color w:val="404040"/>
    </w:rPr>
    <w:tblPr>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band2Vert">
      <w:rPr>
        <w:rFonts w:ascii="Arial" w:hAnsi="Arial"/>
        <w:color w:val="404040"/>
        <w:sz w:val="22"/>
      </w:rPr>
      <w:tcPr>
        <w:shd w:val="clear" w:color="f9dade" w:themeColor="accent6" w:themeTint="34" w:fill="f9dade" w:themeFill="accent6" w:themeFillTint="34"/>
      </w:tcPr>
    </w:tblStylePr>
    <w:tblStylePr w:type="firstCol">
      <w:rPr>
        <w:rFonts w:ascii="Arial" w:hAnsi="Arial"/>
        <w:color w:val="f2f2f2"/>
        <w:sz w:val="22"/>
      </w:rPr>
      <w:tcPr>
        <w:shd w:val="clear" w:color="e54c5e" w:themeColor="accent6" w:fill="e54c5e" w:themeFill="accent6"/>
      </w:tcPr>
    </w:tblStylePr>
    <w:tblStylePr w:type="firstRow">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style>
  <w:style w:type="table" w:styleId="1102" w:customStyle="1">
    <w:name w:val="Bordered &amp; Lined - Accent"/>
    <w:basedOn w:val="897"/>
    <w:uiPriority w:val="99"/>
    <w:qFormat/>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band2Vert">
      <w:rPr>
        <w:rFonts w:ascii="Arial" w:hAnsi="Arial"/>
        <w:color w:val="404040"/>
        <w:sz w:val="22"/>
      </w:rPr>
      <w:tcPr>
        <w:shd w:val="clear" w:color="f1f1f1" w:themeColor="text1" w:themeTint="0D" w:fill="f1f1f1" w:themeFill="text1" w:themeFillTint="0D"/>
      </w:tcPr>
    </w:tblStylePr>
    <w:tblStylePr w:type="firstCol">
      <w:rPr>
        <w:rFonts w:ascii="Arial" w:hAnsi="Arial"/>
        <w:color w:val="f2f2f2"/>
        <w:sz w:val="22"/>
      </w:rPr>
      <w:tcPr>
        <w:shd w:val="clear" w:color="7e7e7e" w:themeColor="text1" w:themeTint="80" w:fill="7e7e7e" w:themeFill="text1" w:themeFillTint="80"/>
      </w:tcPr>
    </w:tblStylePr>
    <w:tblStylePr w:type="firstRow">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style>
  <w:style w:type="table" w:styleId="1103" w:customStyle="1">
    <w:name w:val="Bordered &amp; Lined - Accent 1"/>
    <w:basedOn w:val="897"/>
    <w:uiPriority w:val="99"/>
    <w:qFormat/>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band2Vert">
      <w:rPr>
        <w:rFonts w:ascii="Arial" w:hAnsi="Arial"/>
        <w:color w:val="404040"/>
        <w:sz w:val="22"/>
      </w:rPr>
      <w:tcPr>
        <w:shd w:val="clear" w:color="c5d3ee" w:themeColor="accent1" w:themeTint="50" w:fill="c5d3ee" w:themeFill="accent1" w:themeFillTint="50"/>
      </w:tcPr>
    </w:tblStylePr>
    <w:tblStylePr w:type="firstCol">
      <w:rPr>
        <w:rFonts w:ascii="Arial" w:hAnsi="Arial"/>
        <w:color w:val="f2f2f2"/>
        <w:sz w:val="22"/>
      </w:rPr>
      <w:tcPr>
        <w:shd w:val="clear" w:color="577fcf" w:themeColor="accent1" w:themeTint="EA" w:fill="577fcf" w:themeFill="accent1" w:themeFillTint="EA"/>
      </w:tcPr>
    </w:tblStylePr>
    <w:tblStylePr w:type="firstRow">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style>
  <w:style w:type="table" w:styleId="1104" w:customStyle="1">
    <w:name w:val="Bordered &amp; Lined - Accent 2"/>
    <w:basedOn w:val="897"/>
    <w:uiPriority w:val="99"/>
    <w:qFormat/>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band2Vert">
      <w:rPr>
        <w:rFonts w:ascii="Arial" w:hAnsi="Arial"/>
        <w:color w:val="404040"/>
        <w:sz w:val="22"/>
      </w:rPr>
      <w:tcPr>
        <w:shd w:val="clear" w:color="fbe6d6" w:themeColor="accent2" w:themeTint="32" w:fill="fbe6d6" w:themeFill="accent2" w:themeFillTint="32"/>
      </w:tcPr>
    </w:tblStylePr>
    <w:tblStylePr w:type="firstCol">
      <w:rPr>
        <w:rFonts w:ascii="Arial" w:hAnsi="Arial"/>
        <w:color w:val="f2f2f2"/>
        <w:sz w:val="22"/>
      </w:rPr>
      <w:tcPr>
        <w:shd w:val="clear" w:color="f4b483" w:themeColor="accent2" w:themeTint="97" w:fill="f4b483" w:themeFill="accent2" w:themeFillTint="97"/>
      </w:tcPr>
    </w:tblStylePr>
    <w:tblStylePr w:type="firstRow">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style>
  <w:style w:type="table" w:styleId="1105" w:customStyle="1">
    <w:name w:val="Bordered &amp; Lined - Accent 3"/>
    <w:basedOn w:val="897"/>
    <w:uiPriority w:val="99"/>
    <w:qFormat/>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band2Vert">
      <w:rPr>
        <w:rFonts w:ascii="Arial" w:hAnsi="Arial"/>
        <w:color w:val="404040"/>
        <w:sz w:val="22"/>
      </w:rPr>
      <w:tcPr>
        <w:shd w:val="clear" w:color="fef2c9" w:themeColor="accent3" w:themeTint="34" w:fill="fef2c9" w:themeFill="accent3" w:themeFillTint="34"/>
      </w:tcPr>
    </w:tblStylePr>
    <w:tblStylePr w:type="firstCol">
      <w:rPr>
        <w:rFonts w:ascii="Arial" w:hAnsi="Arial"/>
        <w:color w:val="f2f2f2"/>
        <w:sz w:val="22"/>
      </w:rPr>
      <w:tcPr>
        <w:shd w:val="clear" w:color="f3ba02" w:themeColor="accent3" w:themeTint="FE" w:fill="f3ba02" w:themeFill="accent3" w:themeFillTint="FE"/>
      </w:tcPr>
    </w:tblStylePr>
    <w:tblStylePr w:type="firstRow">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style>
  <w:style w:type="table" w:styleId="1106" w:customStyle="1">
    <w:name w:val="Bordered &amp; Lined - Accent 4"/>
    <w:basedOn w:val="897"/>
    <w:uiPriority w:val="99"/>
    <w:qFormat/>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band2Vert">
      <w:rPr>
        <w:rFonts w:ascii="Arial" w:hAnsi="Arial"/>
        <w:color w:val="404040"/>
        <w:sz w:val="22"/>
      </w:rPr>
      <w:tcPr>
        <w:shd w:val="clear" w:color="e2f1d8" w:themeColor="accent4" w:themeTint="34" w:fill="e2f1d8" w:themeFill="accent4" w:themeFillTint="34"/>
      </w:tcPr>
    </w:tblStylePr>
    <w:tblStylePr w:type="firstCol">
      <w:rPr>
        <w:rFonts w:ascii="Arial" w:hAnsi="Arial"/>
        <w:color w:val="f2f2f2"/>
        <w:sz w:val="22"/>
      </w:rPr>
      <w:tcPr>
        <w:shd w:val="clear" w:color="abd78c" w:themeColor="accent4" w:themeTint="9A" w:fill="abd78c" w:themeFill="accent4" w:themeFillTint="9A"/>
      </w:tcPr>
    </w:tblStylePr>
    <w:tblStylePr w:type="firstRow">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style>
  <w:style w:type="table" w:styleId="1107" w:customStyle="1">
    <w:name w:val="Bordered &amp; Lined - Accent 5"/>
    <w:basedOn w:val="897"/>
    <w:uiPriority w:val="99"/>
    <w:qFormat/>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band2Vert">
      <w:rPr>
        <w:rFonts w:ascii="Arial" w:hAnsi="Arial"/>
        <w:color w:val="404040"/>
        <w:sz w:val="22"/>
      </w:rPr>
      <w:tcPr>
        <w:shd w:val="clear" w:color="d2f3f1" w:themeColor="accent5" w:themeTint="34" w:fill="d2f3f1" w:themeFill="accent5" w:themeFillTint="34"/>
      </w:tcPr>
    </w:tblStylePr>
    <w:tblStylePr w:type="firstCol">
      <w:rPr>
        <w:rFonts w:ascii="Arial" w:hAnsi="Arial"/>
        <w:color w:val="f2f2f2"/>
        <w:sz w:val="22"/>
      </w:rPr>
      <w:tcPr>
        <w:shd w:val="clear" w:color="30c0b4" w:themeColor="accent5" w:fill="30c0b4" w:themeFill="accent5"/>
      </w:tcPr>
    </w:tblStylePr>
    <w:tblStylePr w:type="firstRow">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style>
  <w:style w:type="table" w:styleId="1108" w:customStyle="1">
    <w:name w:val="Bordered &amp; Lined - Accent 6"/>
    <w:basedOn w:val="897"/>
    <w:uiPriority w:val="99"/>
    <w:qFormat/>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band2Vert">
      <w:rPr>
        <w:rFonts w:ascii="Arial" w:hAnsi="Arial"/>
        <w:color w:val="404040"/>
        <w:sz w:val="22"/>
      </w:rPr>
      <w:tcPr>
        <w:shd w:val="clear" w:color="f9dade" w:themeColor="accent6" w:themeTint="34" w:fill="f9dade" w:themeFill="accent6" w:themeFillTint="34"/>
      </w:tcPr>
    </w:tblStylePr>
    <w:tblStylePr w:type="firstCol">
      <w:rPr>
        <w:rFonts w:ascii="Arial" w:hAnsi="Arial"/>
        <w:color w:val="f2f2f2"/>
        <w:sz w:val="22"/>
      </w:rPr>
      <w:tcPr>
        <w:shd w:val="clear" w:color="e54c5e" w:themeColor="accent6" w:fill="e54c5e" w:themeFill="accent6"/>
      </w:tcPr>
    </w:tblStylePr>
    <w:tblStylePr w:type="firstRow">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style>
  <w:style w:type="table" w:styleId="1109" w:customStyle="1">
    <w:name w:val="Bordered"/>
    <w:basedOn w:val="897"/>
    <w:uiPriority w:val="99"/>
    <w:qFormat/>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E7E7E" w:themeColor="text1" w:themeTint="80" w:sz="12" w:space="0"/>
        </w:tcBorders>
      </w:tcPr>
    </w:tblStylePr>
    <w:tblStylePr w:type="lastCol">
      <w:rPr>
        <w:rFonts w:ascii="Arial" w:hAnsi="Arial"/>
        <w:color w:val="404040"/>
        <w:sz w:val="22"/>
      </w:rPr>
      <w:tcPr>
        <w:tcBorders>
          <w:left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style>
  <w:style w:type="table" w:styleId="1110" w:customStyle="1">
    <w:name w:val="Bordered - Accent 1"/>
    <w:basedOn w:val="897"/>
    <w:uiPriority w:val="99"/>
    <w:qFormat/>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874CB" w:themeColor="accent1" w:sz="12" w:space="0"/>
        </w:tcBorders>
      </w:tcPr>
    </w:tblStylePr>
    <w:tblStylePr w:type="lastCol">
      <w:rPr>
        <w:rFonts w:ascii="Arial" w:hAnsi="Arial"/>
        <w:color w:val="404040"/>
        <w:sz w:val="22"/>
      </w:rPr>
      <w:tcPr>
        <w:tcBorders>
          <w:left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style>
  <w:style w:type="table" w:styleId="1111" w:customStyle="1">
    <w:name w:val="Bordered - Accent 2"/>
    <w:basedOn w:val="897"/>
    <w:uiPriority w:val="99"/>
    <w:qFormat/>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483" w:themeColor="accent2" w:themeTint="97" w:sz="12" w:space="0"/>
        </w:tcBorders>
      </w:tcPr>
    </w:tblStylePr>
    <w:tblStylePr w:type="lastCol">
      <w:rPr>
        <w:rFonts w:ascii="Arial" w:hAnsi="Arial"/>
        <w:color w:val="404040"/>
        <w:sz w:val="22"/>
      </w:rPr>
      <w:tcPr>
        <w:tcBorders>
          <w:left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style>
  <w:style w:type="table" w:styleId="1112" w:customStyle="1">
    <w:name w:val="Bordered - Accent 3"/>
    <w:basedOn w:val="897"/>
    <w:uiPriority w:val="99"/>
    <w:qFormat/>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DD961" w:themeColor="accent3" w:themeTint="98" w:sz="12" w:space="0"/>
        </w:tcBorders>
      </w:tcPr>
    </w:tblStylePr>
    <w:tblStylePr w:type="lastCol">
      <w:rPr>
        <w:rFonts w:ascii="Arial" w:hAnsi="Arial"/>
        <w:color w:val="404040"/>
        <w:sz w:val="22"/>
      </w:rPr>
      <w:tcPr>
        <w:tcBorders>
          <w:left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style>
  <w:style w:type="table" w:styleId="1113" w:customStyle="1">
    <w:name w:val="Bordered - Accent 4"/>
    <w:basedOn w:val="897"/>
    <w:uiPriority w:val="99"/>
    <w:qFormat/>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BD78C" w:themeColor="accent4" w:themeTint="9A" w:sz="12" w:space="0"/>
        </w:tcBorders>
      </w:tcPr>
    </w:tblStylePr>
    <w:tblStylePr w:type="lastCol">
      <w:rPr>
        <w:rFonts w:ascii="Arial" w:hAnsi="Arial"/>
        <w:color w:val="404040"/>
        <w:sz w:val="22"/>
      </w:rPr>
      <w:tcPr>
        <w:tcBorders>
          <w:left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style>
  <w:style w:type="table" w:styleId="1114" w:customStyle="1">
    <w:name w:val="Bordered - Accent 5"/>
    <w:basedOn w:val="897"/>
    <w:uiPriority w:val="99"/>
    <w:qFormat/>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CDED6" w:themeColor="accent5" w:themeTint="9A" w:sz="12" w:space="0"/>
        </w:tcBorders>
      </w:tcPr>
    </w:tblStylePr>
    <w:tblStylePr w:type="lastCol">
      <w:rPr>
        <w:rFonts w:ascii="Arial" w:hAnsi="Arial"/>
        <w:color w:val="404040"/>
        <w:sz w:val="22"/>
      </w:rPr>
      <w:tcPr>
        <w:tcBorders>
          <w:left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style>
  <w:style w:type="table" w:styleId="1115" w:customStyle="1">
    <w:name w:val="Bordered - Accent 6"/>
    <w:basedOn w:val="897"/>
    <w:uiPriority w:val="99"/>
    <w:qFormat/>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EF949F" w:themeColor="accent6" w:themeTint="98" w:sz="12" w:space="0"/>
        </w:tcBorders>
      </w:tcPr>
    </w:tblStylePr>
    <w:tblStylePr w:type="lastCol">
      <w:rPr>
        <w:rFonts w:ascii="Arial" w:hAnsi="Arial"/>
        <w:color w:val="404040"/>
        <w:sz w:val="22"/>
      </w:rPr>
      <w:tcPr>
        <w:tcBorders>
          <w:left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style>
  <w:style w:type="character" w:styleId="1116" w:customStyle="1">
    <w:name w:val="脚注文本 Char"/>
    <w:link w:val="916"/>
    <w:uiPriority w:val="99"/>
    <w:qFormat/>
    <w:rPr>
      <w:sz w:val="18"/>
    </w:rPr>
  </w:style>
  <w:style w:type="character" w:styleId="1117" w:customStyle="1">
    <w:name w:val="尾注文本 Char"/>
    <w:link w:val="909"/>
    <w:uiPriority w:val="99"/>
    <w:qFormat/>
    <w:rPr>
      <w:sz w:val="20"/>
    </w:rPr>
  </w:style>
  <w:style w:type="paragraph" w:styleId="1118" w:customStyle="1">
    <w:name w:val="TOC 标题11"/>
    <w:uiPriority w:val="39"/>
    <w:unhideWhenUsed/>
    <w:qFormat/>
    <w:rPr>
      <w:rFonts w:asciiTheme="minorHAnsi" w:hAnsiTheme="minorHAnsi" w:eastAsiaTheme="minorEastAsia" w:cstheme="minorBidi"/>
      <w:lang w:val="en-US" w:eastAsia="zh-CN" w:bidi="ar-SA"/>
    </w:rPr>
  </w:style>
  <w:style w:type="paragraph" w:styleId="1119" w:customStyle="1">
    <w:name w:val="批注文字1"/>
    <w:basedOn w:val="886"/>
    <w:uiPriority w:val="0"/>
    <w:qFormat/>
    <w:pPr>
      <w:jc w:val="left"/>
    </w:pPr>
  </w:style>
  <w:style w:type="paragraph" w:styleId="1120" w:customStyle="1">
    <w:name w:val="首行缩进"/>
    <w:basedOn w:val="886"/>
    <w:uiPriority w:val="0"/>
    <w:qFormat/>
    <w:pPr>
      <w:ind w:firstLine="480"/>
    </w:pPr>
    <w:rPr>
      <w:lang w:val="zh-CN"/>
    </w:rPr>
  </w:style>
  <w:style w:type="paragraph" w:styleId="1121" w:customStyle="1">
    <w:name w:val="正文缩进1"/>
    <w:basedOn w:val="886"/>
    <w:next w:val="886"/>
    <w:uiPriority w:val="0"/>
    <w:qFormat/>
    <w:pPr>
      <w:ind w:firstLine="420"/>
      <w:jc w:val="left"/>
    </w:pPr>
    <w:rPr>
      <w:rFonts w:eastAsia="楷体_GB2312"/>
      <w:sz w:val="24"/>
      <w:szCs w:val="20"/>
    </w:rPr>
  </w:style>
  <w:style w:type="paragraph" w:styleId="1122" w:customStyle="1">
    <w:name w:val="正文文本缩进 31"/>
    <w:basedOn w:val="886"/>
    <w:uiPriority w:val="0"/>
    <w:qFormat/>
    <w:pPr>
      <w:ind w:left="420"/>
    </w:pPr>
    <w:rPr>
      <w:sz w:val="16"/>
      <w:szCs w:val="20"/>
    </w:rPr>
  </w:style>
  <w:style w:type="character" w:styleId="1123" w:customStyle="1">
    <w:name w:val="超链接1"/>
    <w:uiPriority w:val="99"/>
    <w:qFormat/>
    <w:rPr>
      <w:color w:val="333333"/>
      <w:u w:val="none"/>
    </w:rPr>
  </w:style>
  <w:style w:type="paragraph" w:styleId="1124" w:customStyle="1">
    <w:name w:val="正文文本缩进1"/>
    <w:basedOn w:val="886"/>
    <w:next w:val="886"/>
    <w:uiPriority w:val="0"/>
    <w:qFormat/>
    <w:pPr>
      <w:ind w:left="420"/>
      <w:spacing w:after="120"/>
    </w:pPr>
  </w:style>
  <w:style w:type="paragraph" w:styleId="1125" w:customStyle="1">
    <w:name w:val="寄信人地址1"/>
    <w:basedOn w:val="1126"/>
    <w:uiPriority w:val="0"/>
    <w:qFormat/>
    <w:rPr>
      <w:rFonts w:ascii="Arial" w:hAnsi="Arial"/>
    </w:rPr>
  </w:style>
  <w:style w:type="paragraph" w:styleId="1126" w:customStyle="1">
    <w:name w:val="正文1"/>
    <w:basedOn w:val="1127"/>
    <w:next w:val="1129"/>
    <w:uiPriority w:val="0"/>
    <w:qFormat/>
    <w:pPr>
      <w:ind w:left="420" w:firstLine="527"/>
      <w:spacing w:before="120" w:line="360" w:lineRule="auto"/>
    </w:pPr>
    <w:rPr>
      <w:rFonts w:ascii="宋体" w:hAnsi="宋体"/>
    </w:rPr>
  </w:style>
  <w:style w:type="paragraph" w:styleId="1127" w:customStyle="1">
    <w:name w:val="正文12"/>
    <w:next w:val="1128"/>
    <w:uiPriority w:val="0"/>
    <w:qFormat/>
    <w:pPr>
      <w:jc w:val="both"/>
      <w:widowControl w:val="off"/>
    </w:pPr>
    <w:rPr>
      <w:rFonts w:ascii="Times New Roman" w:hAnsi="Times New Roman" w:eastAsia="宋体" w:cs="Times New Roman"/>
      <w:sz w:val="21"/>
      <w:szCs w:val="24"/>
      <w:lang w:val="en-US" w:eastAsia="zh-CN" w:bidi="ar-SA"/>
    </w:rPr>
  </w:style>
  <w:style w:type="paragraph" w:styleId="1128" w:customStyle="1">
    <w:name w:val="Default"/>
    <w:next w:val="886"/>
    <w:uiPriority w:val="0"/>
    <w:qFormat/>
    <w:pPr>
      <w:jc w:val="both"/>
      <w:spacing w:line="360" w:lineRule="auto"/>
      <w:widowControl w:val="off"/>
    </w:pPr>
    <w:rPr>
      <w:rFonts w:ascii="宋体" w:hAnsi="Times New Roman" w:eastAsia="宋体" w:cs="宋体"/>
      <w:color w:val="000000"/>
      <w:sz w:val="24"/>
      <w:szCs w:val="24"/>
      <w:lang w:val="en-US" w:eastAsia="zh-CN" w:bidi="ar-SA"/>
    </w:rPr>
  </w:style>
  <w:style w:type="paragraph" w:styleId="1129" w:customStyle="1">
    <w:name w:val="正文首行缩进1"/>
    <w:basedOn w:val="1130"/>
    <w:next w:val="1132"/>
    <w:uiPriority w:val="0"/>
    <w:qFormat/>
    <w:pPr>
      <w:ind w:firstLine="420"/>
    </w:pPr>
  </w:style>
  <w:style w:type="paragraph" w:styleId="1130" w:customStyle="1">
    <w:name w:val="正文文本1"/>
    <w:basedOn w:val="1131"/>
    <w:uiPriority w:val="0"/>
    <w:qFormat/>
    <w:pPr>
      <w:spacing w:after="120"/>
    </w:pPr>
  </w:style>
  <w:style w:type="paragraph" w:styleId="1131" w:customStyle="1">
    <w:name w:val="正文11"/>
    <w:next w:val="886"/>
    <w:uiPriority w:val="0"/>
    <w:qFormat/>
    <w:pPr>
      <w:jc w:val="both"/>
      <w:widowControl w:val="off"/>
    </w:pPr>
    <w:rPr>
      <w:rFonts w:ascii="Times New Roman" w:hAnsi="Times New Roman" w:eastAsia="宋体" w:cs="Times New Roman"/>
      <w:sz w:val="21"/>
      <w:szCs w:val="24"/>
      <w:lang w:val="en-US" w:eastAsia="zh-CN" w:bidi="ar-SA"/>
    </w:rPr>
  </w:style>
  <w:style w:type="paragraph" w:styleId="1132" w:customStyle="1">
    <w:name w:val="正文首行缩进 21"/>
    <w:basedOn w:val="1124"/>
    <w:next w:val="1126"/>
    <w:uiPriority w:val="99"/>
    <w:unhideWhenUsed/>
    <w:qFormat/>
    <w:pPr>
      <w:ind w:firstLine="420"/>
    </w:pPr>
  </w:style>
  <w:style w:type="paragraph" w:styleId="1133" w:customStyle="1">
    <w:name w:val="一级条标题"/>
    <w:basedOn w:val="1134"/>
    <w:next w:val="1135"/>
    <w:uiPriority w:val="0"/>
    <w:qFormat/>
    <w:pPr>
      <w:ind w:left="907" w:hanging="907"/>
      <w:spacing w:before="0" w:after="0"/>
      <w:tabs>
        <w:tab w:val="left" w:pos="810" w:leader="none"/>
        <w:tab w:val="left" w:pos="907" w:leader="none"/>
        <w:tab w:val="left" w:pos="1265" w:leader="none"/>
      </w:tabs>
      <w:outlineLvl w:val="2"/>
    </w:pPr>
    <w:rPr>
      <w:rFonts w:hAnsi="宋体"/>
      <w:sz w:val="20"/>
      <w:szCs w:val="20"/>
    </w:rPr>
  </w:style>
  <w:style w:type="paragraph" w:styleId="1134" w:customStyle="1">
    <w:name w:val="章标题"/>
    <w:next w:val="886"/>
    <w:uiPriority w:val="0"/>
    <w:qFormat/>
    <w:pPr>
      <w:ind w:left="810" w:hanging="810"/>
      <w:jc w:val="both"/>
      <w:spacing w:before="50" w:after="50"/>
      <w:tabs>
        <w:tab w:val="left" w:pos="810" w:leader="none"/>
        <w:tab w:val="left" w:pos="1265" w:leader="none"/>
      </w:tabs>
      <w:outlineLvl w:val="1"/>
    </w:pPr>
    <w:rPr>
      <w:rFonts w:ascii="黑体" w:hAnsi="Times New Roman" w:eastAsia="黑体" w:cs="Times New Roman"/>
      <w:sz w:val="21"/>
      <w:szCs w:val="22"/>
      <w:lang w:val="en-US" w:eastAsia="zh-CN" w:bidi="ar-SA"/>
    </w:rPr>
  </w:style>
  <w:style w:type="paragraph" w:styleId="1135" w:customStyle="1">
    <w:name w:val="段"/>
    <w:basedOn w:val="1126"/>
    <w:next w:val="886"/>
    <w:uiPriority w:val="0"/>
    <w:qFormat/>
    <w:pPr>
      <w:ind w:firstLine="200"/>
    </w:pPr>
    <w:rPr>
      <w:rFonts w:hAnsi="Times New Roman"/>
      <w:szCs w:val="22"/>
    </w:rPr>
  </w:style>
  <w:style w:type="paragraph" w:styleId="1136" w:customStyle="1">
    <w:name w:val="无间隔11"/>
    <w:basedOn w:val="886"/>
    <w:uiPriority w:val="0"/>
    <w:qFormat/>
    <w:pPr>
      <w:spacing w:line="400" w:lineRule="exact"/>
    </w:pPr>
    <w:rPr>
      <w:sz w:val="24"/>
    </w:rPr>
  </w:style>
  <w:style w:type="paragraph" w:styleId="1137" w:customStyle="1">
    <w:name w:val="正文文本11"/>
    <w:basedOn w:val="886"/>
    <w:uiPriority w:val="0"/>
    <w:unhideWhenUsed/>
    <w:qFormat/>
    <w:pPr>
      <w:spacing w:after="120"/>
    </w:pPr>
    <w:rPr>
      <w:sz w:val="20"/>
    </w:rPr>
  </w:style>
  <w:style w:type="paragraph" w:styleId="1138" w:customStyle="1">
    <w:name w:val="脚注文本1"/>
    <w:basedOn w:val="1139"/>
    <w:next w:val="1140"/>
    <w:uiPriority w:val="0"/>
    <w:qFormat/>
    <w:pPr>
      <w:jc w:val="left"/>
      <w:spacing w:line="312" w:lineRule="atLeast"/>
      <w:tabs>
        <w:tab w:val="left" w:pos="200" w:leader="none"/>
      </w:tabs>
    </w:pPr>
    <w:rPr>
      <w:rFonts w:ascii="Times New Roman" w:hAnsi="Times New Roman"/>
      <w:b w:val="0"/>
      <w:sz w:val="18"/>
    </w:rPr>
  </w:style>
  <w:style w:type="paragraph" w:styleId="1139" w:customStyle="1">
    <w:name w:val="标题 11"/>
    <w:basedOn w:val="886"/>
    <w:next w:val="886"/>
    <w:uiPriority w:val="0"/>
    <w:qFormat/>
    <w:pPr>
      <w:jc w:val="center"/>
      <w:keepNext/>
      <w:tabs>
        <w:tab w:val="left" w:pos="200" w:leader="none"/>
      </w:tabs>
      <w:outlineLvl w:val="0"/>
    </w:pPr>
    <w:rPr>
      <w:rFonts w:ascii="宋体" w:hAnsi="宋体"/>
      <w:b/>
      <w:sz w:val="36"/>
      <w:szCs w:val="20"/>
    </w:rPr>
  </w:style>
  <w:style w:type="paragraph" w:styleId="1140" w:customStyle="1">
    <w:name w:val="文本块1"/>
    <w:basedOn w:val="1139"/>
    <w:next w:val="886"/>
    <w:uiPriority w:val="0"/>
    <w:qFormat/>
    <w:pPr>
      <w:ind w:left="630" w:right="-609" w:firstLine="420"/>
      <w:spacing w:line="360" w:lineRule="auto"/>
    </w:pPr>
    <w:rPr>
      <w:rFonts w:hint="eastAsia" w:ascii="仿宋_GB2312" w:eastAsia="仿宋_GB2312"/>
    </w:rPr>
  </w:style>
  <w:style w:type="paragraph" w:styleId="1141" w:customStyle="1">
    <w:name w:val="表格字体"/>
    <w:basedOn w:val="886"/>
    <w:uiPriority w:val="0"/>
    <w:qFormat/>
    <w:pPr>
      <w:spacing w:line="400" w:lineRule="exact"/>
      <w:widowControl/>
    </w:pPr>
    <w:rPr>
      <w:rFonts w:hint="eastAsia" w:cs="宋体"/>
      <w:bCs/>
      <w:color w:val="000000"/>
      <w:sz w:val="24"/>
      <w:szCs w:val="18"/>
    </w:rPr>
  </w:style>
  <w:style w:type="paragraph" w:styleId="1142" w:customStyle="1">
    <w:name w:val="纯文本1"/>
    <w:basedOn w:val="886"/>
    <w:uiPriority w:val="0"/>
    <w:qFormat/>
    <w:rPr>
      <w:rFonts w:ascii="宋体" w:hAnsi="Courier New" w:eastAsia="楷体_GB2312"/>
      <w:sz w:val="28"/>
      <w:szCs w:val="20"/>
    </w:rPr>
  </w:style>
  <w:style w:type="paragraph" w:styleId="1143" w:customStyle="1">
    <w:name w:val="页眉1"/>
    <w:basedOn w:val="886"/>
    <w:uiPriority w:val="99"/>
    <w:unhideWhenUsed/>
    <w:qFormat/>
    <w:pPr>
      <w:jc w:val="center"/>
      <w:tabs>
        <w:tab w:val="center" w:pos="4153" w:leader="none"/>
        <w:tab w:val="right" w:pos="8306" w:leader="none"/>
      </w:tabs>
      <w:pBdr>
        <w:bottom w:val="single" w:color="000000" w:sz="6" w:space="1"/>
      </w:pBdr>
    </w:pPr>
    <w:rPr>
      <w:sz w:val="18"/>
      <w:szCs w:val="18"/>
    </w:rPr>
  </w:style>
  <w:style w:type="paragraph" w:styleId="1144" w:customStyle="1">
    <w:name w:val="页脚1"/>
    <w:basedOn w:val="886"/>
    <w:uiPriority w:val="99"/>
    <w:unhideWhenUsed/>
    <w:qFormat/>
    <w:pPr>
      <w:jc w:val="left"/>
      <w:tabs>
        <w:tab w:val="center" w:pos="4153" w:leader="none"/>
        <w:tab w:val="right" w:pos="8306" w:leader="none"/>
      </w:tabs>
    </w:pPr>
    <w:rPr>
      <w:sz w:val="18"/>
      <w:szCs w:val="18"/>
    </w:rPr>
  </w:style>
  <w:style w:type="paragraph" w:styleId="1145" w:customStyle="1">
    <w:name w:val="列出段落1"/>
    <w:basedOn w:val="886"/>
    <w:uiPriority w:val="0"/>
    <w:qFormat/>
    <w:pPr>
      <w:ind w:firstLine="200"/>
      <w:spacing w:line="360" w:lineRule="auto"/>
    </w:pPr>
    <w:rPr>
      <w:rFonts w:ascii="Calibri" w:hAnsi="Calibri"/>
      <w:sz w:val="22"/>
      <w:szCs w:val="20"/>
    </w:rPr>
  </w:style>
  <w:style w:type="paragraph" w:styleId="1146" w:customStyle="1">
    <w:name w:val="_Style 5"/>
    <w:basedOn w:val="886"/>
    <w:uiPriority w:val="34"/>
    <w:qFormat/>
    <w:pPr>
      <w:ind w:firstLine="420"/>
      <w:jc w:val="left"/>
      <w:widowControl/>
    </w:pPr>
    <w:rPr>
      <w:sz w:val="24"/>
    </w:rPr>
  </w:style>
  <w:style w:type="character" w:styleId="1147" w:customStyle="1">
    <w:name w:val="font01"/>
    <w:basedOn w:val="896"/>
    <w:uiPriority w:val="0"/>
    <w:qFormat/>
    <w:rPr>
      <w:rFonts w:hint="eastAsia" w:ascii="宋体" w:hAnsi="宋体" w:eastAsia="宋体" w:cs="宋体"/>
      <w:color w:val="000000"/>
      <w:sz w:val="22"/>
      <w:szCs w:val="22"/>
      <w:u w:val="none"/>
    </w:rPr>
  </w:style>
  <w:style w:type="character" w:styleId="1148" w:customStyle="1">
    <w:name w:val="font11"/>
    <w:basedOn w:val="896"/>
    <w:uiPriority w:val="0"/>
    <w:qFormat/>
    <w:rPr>
      <w:rFonts w:hint="eastAsia" w:ascii="宋体" w:hAnsi="宋体" w:eastAsia="宋体" w:cs="宋体"/>
      <w:color w:val="000000"/>
      <w:sz w:val="19"/>
      <w:szCs w:val="19"/>
      <w:u w:val="none"/>
    </w:rPr>
  </w:style>
  <w:style w:type="character" w:styleId="1149" w:customStyle="1">
    <w:name w:val="font41"/>
    <w:basedOn w:val="896"/>
    <w:uiPriority w:val="0"/>
    <w:qFormat/>
    <w:rPr>
      <w:rFonts w:hint="eastAsia" w:ascii="宋体" w:hAnsi="宋体" w:eastAsia="宋体" w:cs="宋体"/>
      <w:color w:val="000000"/>
      <w:sz w:val="18"/>
      <w:szCs w:val="18"/>
      <w:u w:val="none"/>
    </w:rPr>
  </w:style>
  <w:style w:type="character" w:styleId="1150" w:customStyle="1">
    <w:name w:val="批注框文本 Char"/>
    <w:basedOn w:val="896"/>
    <w:link w:val="910"/>
    <w:uiPriority w:val="99"/>
    <w:semiHidden/>
    <w:qFormat/>
    <w:rPr>
      <w:sz w:val="18"/>
      <w:szCs w:val="18"/>
    </w:rPr>
  </w:style>
  <w:style w:type="character" w:styleId="1151" w:customStyle="1">
    <w:name w:val="批注文字 Char"/>
    <w:basedOn w:val="896"/>
    <w:link w:val="904"/>
    <w:uiPriority w:val="99"/>
    <w:semiHidden/>
    <w:qFormat/>
    <w:rPr>
      <w:sz w:val="21"/>
      <w:szCs w:val="22"/>
    </w:rPr>
  </w:style>
  <w:style w:type="character" w:styleId="1152" w:customStyle="1">
    <w:name w:val="批注主题 Char"/>
    <w:basedOn w:val="1151"/>
    <w:link w:val="924"/>
    <w:uiPriority w:val="99"/>
    <w:semiHidden/>
    <w:qFormat/>
    <w:rPr>
      <w:b/>
      <w:bCs/>
      <w:sz w:val="21"/>
      <w:szCs w:val="22"/>
    </w:rPr>
  </w:style>
  <w:style w:type="paragraph" w:styleId="1153" w:customStyle="1">
    <w:name w:val="_Style 3"/>
    <w:next w:val="1122"/>
    <w:uiPriority w:val="99"/>
    <w:qFormat/>
    <w:pPr>
      <w:jc w:val="both"/>
      <w:widowControl w:val="off"/>
    </w:pPr>
    <w:rPr>
      <w:rFonts w:ascii="Times New Roman" w:hAnsi="Times New Roman" w:eastAsia="宋体" w:cs="Times New Roman"/>
      <w:sz w:val="21"/>
      <w:szCs w:val="22"/>
      <w:lang w:val="en-US" w:eastAsia="zh-CN" w:bidi="ar-SA"/>
    </w:rPr>
  </w:style>
  <w:style w:type="paragraph" w:styleId="1154" w:customStyle="1">
    <w:name w:val="普通(网站)1"/>
    <w:basedOn w:val="886"/>
    <w:uiPriority w:val="0"/>
    <w:unhideWhenUsed/>
    <w:qFormat/>
    <w:rPr>
      <w:sz w:val="24"/>
    </w:rPr>
  </w:style>
  <w:style w:type="character" w:styleId="1155" w:customStyle="1">
    <w:name w:val="批注引用1"/>
    <w:uiPriority w:val="0"/>
    <w:qFormat/>
    <w:rPr>
      <w:rFonts w:ascii="Times New Roman" w:hAnsi="Times New Roman" w:eastAsia="宋体" w:cs="Times New Roman"/>
      <w:sz w:val="21"/>
      <w:szCs w:val="22"/>
      <w:lang w:val="en-US" w:eastAsia="zh-CN" w:bidi="ar-SA"/>
    </w:rPr>
  </w:style>
  <w:style w:type="paragraph" w:styleId="1156" w:customStyle="1">
    <w:name w:val="纯文本11"/>
    <w:basedOn w:val="886"/>
    <w:uiPriority w:val="0"/>
    <w:qFormat/>
    <w:rPr>
      <w:rFonts w:ascii="宋体" w:hAnsi="Courier New" w:eastAsia="楷体_GB2312" w:cs="宋体"/>
      <w:sz w:val="28"/>
      <w:szCs w:val="28"/>
    </w:rPr>
  </w:style>
  <w:style w:type="paragraph" w:styleId="1157" w:customStyle="1">
    <w:name w:val="列表段落"/>
    <w:basedOn w:val="886"/>
    <w:uiPriority w:val="0"/>
    <w:qFormat/>
    <w:pPr>
      <w:ind w:firstLine="420"/>
      <w:spacing w:line="360" w:lineRule="auto"/>
    </w:pPr>
    <w:rPr>
      <w:rFonts w:ascii="Calibri" w:hAnsi="Calibri" w:cs="宋体"/>
      <w:sz w:val="24"/>
      <w:szCs w:val="24"/>
    </w:rPr>
  </w:style>
  <w:style w:type="paragraph" w:styleId="1158" w:customStyle="1">
    <w:name w:val="Normal_0_0_0"/>
    <w:uiPriority w:val="0"/>
    <w:qFormat/>
    <w:rPr>
      <w:rFonts w:ascii="Times New Roman" w:hAnsi="Times New Roman" w:eastAsia="Times New Roman" w:cs="Times New Roman"/>
      <w:sz w:val="24"/>
      <w:szCs w:val="24"/>
      <w:lang w:val="en-US" w:eastAsia="zh-CN" w:bidi="ar-SA"/>
    </w:rPr>
  </w:style>
  <w:style w:type="numbering" w:styleId="1159"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openxmlformats.org/officeDocument/2006/relationships/header" Target="header1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footer" Target="footer3.xml" /><Relationship Id="rId24" Type="http://schemas.openxmlformats.org/officeDocument/2006/relationships/footer" Target="footer4.xml" /><Relationship Id="rId25" Type="http://schemas.openxmlformats.org/officeDocument/2006/relationships/customXml" Target="../customXml/item1.xml" /><Relationship Id="rId26" Type="http://schemas.openxmlformats.org/officeDocument/2006/relationships/customXml" Target="../customXml/item2.xml" /><Relationship Id="rId27"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9152357B-B1DD-4E62-9818-01BF385D15A3}"/>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ONLYOFFICE/7.2.1.34</Application>
  <Company>Microsoft</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苏州时代招投标有限公司</dc:creator>
  <cp:lastModifiedBy>褚磊</cp:lastModifiedBy>
  <cp:revision>27</cp:revision>
  <dcterms:created xsi:type="dcterms:W3CDTF">2025-05-07T07:20:00Z</dcterms:created>
  <dcterms:modified xsi:type="dcterms:W3CDTF">2025-10-22T02:08:02Z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5F793953992F494494B306BB8A00A3EA_13</vt:lpwstr>
  </property>
  <property fmtid="{D5CDD505-2E9C-101B-9397-08002B2CF9AE}" pid="4" name="KSOTemplateDocerSaveRecord">
    <vt:lpwstr>eyJoZGlkIjoiZGVlMjQwNWI4OTIwZmYyNjg3NDRiYWJjMGQ4NTNhOGIiLCJ1c2VySWQiOiIxMjQ5MDI1MDgzIn0=</vt:lpwstr>
  </property>
</Properties>
</file>