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103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72"/>
        </w:rPr>
        <w:t xml:space="preserve">公 开 招 标 文 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708"/>
        <w:jc w:val="both"/>
        <w:spacing w:before="0" w:after="0" w:line="7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项目名称：桂五镇高庙社区蔬菜大棚产业建设</w:t>
      </w:r>
      <w:r/>
    </w:p>
    <w:p>
      <w:pPr>
        <w:ind w:left="0" w:right="0" w:firstLine="1070"/>
        <w:jc w:val="both"/>
        <w:spacing w:before="0" w:after="0" w:line="7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配套项目</w:t>
      </w:r>
      <w:r/>
    </w:p>
    <w:p>
      <w:pPr>
        <w:ind w:left="0" w:right="0" w:firstLine="708"/>
        <w:jc w:val="both"/>
        <w:spacing w:before="0" w:after="0" w:line="7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项目编号：</w:t>
      </w:r>
      <w:r>
        <w:rPr>
          <w:rFonts w:ascii="SimHei" w:hAnsi="SimHei" w:eastAsia="SimHei" w:cs="SimHei"/>
          <w:b/>
          <w:color w:val="000000"/>
          <w:sz w:val="36"/>
          <w:highlight w:val="yellow"/>
        </w:rPr>
        <w:t xml:space="preserve">JSZC-320830-SZZB-G2025-0001</w:t>
      </w:r>
      <w:r>
        <w:rPr>
          <w:rFonts w:ascii="SimHei" w:hAnsi="SimHei" w:eastAsia="SimHei" w:cs="SimHei"/>
          <w:b/>
          <w:color w:val="000000"/>
          <w:sz w:val="36"/>
        </w:rPr>
        <w:t xml:space="preserve">              </w:t>
      </w:r>
      <w:r/>
    </w:p>
    <w:p>
      <w:pPr>
        <w:ind w:left="0" w:right="0" w:firstLine="708"/>
        <w:jc w:val="both"/>
        <w:spacing w:before="0" w:after="0" w:line="7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采购人：盱眙县桂五镇人民政府</w:t>
      </w:r>
      <w:r/>
    </w:p>
    <w:p>
      <w:pPr>
        <w:ind w:left="0" w:right="0" w:firstLine="708"/>
        <w:jc w:val="both"/>
        <w:spacing w:before="0" w:after="0" w:line="7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采购代理机构：江苏神州项目管理有限公司</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highlight w:val="yellow"/>
        </w:rPr>
        <w:t xml:space="preserve">二〇二五年一月二十三日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第一章投标邀请</w:t>
      </w:r>
      <w:r/>
    </w:p>
    <w:p>
      <w:pPr>
        <w:ind w:left="0" w:right="0" w:firstLine="560"/>
        <w:jc w:val="both"/>
        <w:spacing w:before="0" w:after="0" w:line="85" w:lineRule="atLeast"/>
        <w:pBdr>
          <w:top w:val="single" w:color="000000" w:sz="4" w:space="0"/>
          <w:left w:val="single" w:color="000000" w:sz="4" w:space="0"/>
          <w:bottom w:val="single" w:color="000000" w:sz="4" w:space="0"/>
          <w:right w:val="single" w:color="000000" w:sz="4" w:space="0"/>
        </w:pBdr>
      </w:pPr>
      <w:r>
        <w:rPr>
          <w:rFonts w:ascii="FangSong" w:hAnsi="FangSong" w:eastAsia="FangSong" w:cs="FangSong"/>
          <w:color w:val="000000"/>
          <w:sz w:val="28"/>
        </w:rPr>
        <w:t xml:space="preserve">项目概况</w:t>
      </w:r>
      <w:r/>
    </w:p>
    <w:p>
      <w:pPr>
        <w:ind w:left="0" w:right="0" w:firstLine="560"/>
        <w:jc w:val="both"/>
        <w:spacing w:before="0" w:after="0" w:line="85" w:lineRule="atLeast"/>
        <w:pBdr>
          <w:top w:val="single" w:color="000000" w:sz="4" w:space="0"/>
          <w:left w:val="single" w:color="000000" w:sz="4" w:space="0"/>
          <w:bottom w:val="single" w:color="000000" w:sz="4" w:space="0"/>
          <w:right w:val="single" w:color="000000" w:sz="4" w:space="0"/>
        </w:pBdr>
      </w:pPr>
      <w:r>
        <w:rPr>
          <w:rFonts w:ascii="FangSong" w:hAnsi="FangSong" w:eastAsia="FangSong" w:cs="FangSong"/>
          <w:color w:val="000000"/>
          <w:sz w:val="28"/>
          <w:u w:val="single"/>
        </w:rPr>
        <w:t xml:space="preserve"> 桂五镇高庙社区蔬菜大棚产业建设配套项目</w:t>
      </w:r>
      <w:r>
        <w:rPr>
          <w:rFonts w:ascii="FangSong" w:hAnsi="FangSong" w:eastAsia="FangSong" w:cs="FangSong"/>
          <w:color w:val="000000"/>
          <w:sz w:val="28"/>
          <w:highlight w:val="yellow"/>
          <w:u w:val="single"/>
        </w:rPr>
        <w:t xml:space="preserve">JSZC-320830-SZZB-G2025-0001</w:t>
      </w:r>
      <w:r>
        <w:rPr>
          <w:rFonts w:ascii="FangSong" w:hAnsi="FangSong" w:eastAsia="FangSong" w:cs="FangSong"/>
          <w:color w:val="000000"/>
          <w:sz w:val="28"/>
        </w:rPr>
        <w:t xml:space="preserve"> 招标项目的潜在投标人应在江苏政府采购网或淮安市政府采购网获取招标文件。并于</w:t>
      </w:r>
      <w:r>
        <w:rPr>
          <w:rFonts w:ascii="FangSong" w:hAnsi="FangSong" w:eastAsia="FangSong" w:cs="FangSong"/>
          <w:color w:val="000000"/>
          <w:sz w:val="28"/>
          <w:highlight w:val="yellow"/>
          <w:u w:val="single"/>
        </w:rPr>
        <w:t xml:space="preserve">2025-2-21</w:t>
      </w:r>
      <w:r>
        <w:rPr>
          <w:rFonts w:ascii="FangSong" w:hAnsi="FangSong" w:eastAsia="FangSong" w:cs="FangSong"/>
          <w:color w:val="000000"/>
          <w:sz w:val="28"/>
          <w:u w:val="single"/>
        </w:rPr>
        <w:t xml:space="preserve"> 09：00（</w:t>
      </w:r>
      <w:r>
        <w:rPr>
          <w:rFonts w:ascii="FangSong" w:hAnsi="FangSong" w:eastAsia="FangSong" w:cs="FangSong"/>
          <w:color w:val="000000"/>
          <w:sz w:val="28"/>
        </w:rPr>
        <w:t xml:space="preserve">北京时间）前递交投标文件。</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一、项目基本情况</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项目编号：</w:t>
      </w:r>
      <w:r>
        <w:rPr>
          <w:rFonts w:ascii="FangSong" w:hAnsi="FangSong" w:eastAsia="FangSong" w:cs="FangSong"/>
          <w:color w:val="000000"/>
          <w:sz w:val="28"/>
          <w:highlight w:val="yellow"/>
        </w:rPr>
        <w:t xml:space="preserve">JSZC-320830-SZZB-G2025-0001</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项目名称：桂五镇高庙社区蔬菜大棚产业建设配套项目</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预算金额：240万元</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最高限价（如有）：240万元</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采购需求：桂五镇高庙社区蔬菜大棚产业建设配套项目（详细内容见本招标文件第五章）</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合同履行期限：30日历天</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本项目（是/否）接受联合体：否</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二、申请人的资格要求：</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（一）满足《中华人民共和国政府采购法》第二十二条规定：</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1.供应商可任选以下其中1项提供材料，2选1（扫描件上传至电子标书）： </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（1）法定代表人资格证明（格式按照示范格式一要求）和法定代表人身份证 </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（2）授权委托书（格式按照示范格式二要求）和受托人身份证</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2.有效的营业执照（扫描件上传至电子标书）</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3.承诺书（格式按照示范格式三要求，扫描件上传至电子标书）</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4.符合《政府采购法》第二十二条规定条件的声明函（具备履行合同所必需的设备和专业技术能力、财务状况、缴纳税收和社会保障资金等证明材料（格式按照示范格式四要求，扫描件上传至电子标书）</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5.落实政府采购政策需满足的资格要求（提供下列任一项材料即可,扫描件上传至电子标书）</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（1）中小企业声明函（按示范格式要求）</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（2）残疾人福利性单位声明函（按示范格式要求）</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（3）由省级以上监狱管理局、戒毒管理局（含新疆生产建设兵团）出具的属于监狱企业的证明文件）</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供应商未被“信用中国”网（https：//www.creditchina.gov.cn/）列入失信被执行人、重大税收违法案件当事人名单、政府采购严重违法失信行为记录名单。供应商未被“中国政府采购网”（http：//www.ccgp.gov.cn/）列入政府采购严重违法失信行为记录名单（由采购人在资格审查时查询，一旦被查询存在上述失信行为记录名单的，将视为资格审查不通过）</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（二）落实政府采购政策需满足的资格要求：</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本项目按照以下第</w:t>
      </w:r>
      <w:r>
        <w:rPr>
          <w:rFonts w:ascii="FangSong" w:hAnsi="FangSong" w:eastAsia="FangSong" w:cs="FangSong"/>
          <w:color w:val="000000"/>
          <w:sz w:val="28"/>
          <w:u w:val="single"/>
        </w:rPr>
        <w:t xml:space="preserve">1.1</w:t>
      </w:r>
      <w:r>
        <w:rPr>
          <w:rFonts w:ascii="FangSong" w:hAnsi="FangSong" w:eastAsia="FangSong" w:cs="FangSong"/>
          <w:color w:val="000000"/>
          <w:sz w:val="28"/>
        </w:rPr>
        <w:t xml:space="preserve">种方式落实政府采购促进中小企业发展的要求：</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1.1本项目为专门面向中小企业采购的项目，供应商必须为中小微企业，不接受非中小型企业参与本项目投标。</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1.2本项目通过以下第（）种方式预留部分采购份额采购中小企业服务：</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（1）本项目要求供应商以联合体形式参加，中小企业合同金额应当达到的比例为</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%，其中小微企业所占比例应为</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%（两项比例均应符合《政府采购促进中小企业发展管理办法》第八条规定）。</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（2）本项目要求供应商进行合同分包，中小企业合同金额应当达到的比例为</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%，其中小微企业所占比例应为</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%（两项比例均应符合《政府采购促进中小企业发展管理办法》第八条规定）。</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1.3本项目为非预留份额的采购项目，对小微企业报价给予扣除，用扣除后的价格参加评审。</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注：监狱企业、残疾人福利性单位视同小微企业；符合中小企业划分标准的个体工商户，在政府采购活动中视同中小企业，享受政府采购支持中小企业发展政策。</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1.4本项目采购标的对应的中小企业划分标准所属行业为</w:t>
      </w:r>
      <w:r>
        <w:rPr>
          <w:rFonts w:ascii="FangSong" w:hAnsi="FangSong" w:eastAsia="FangSong" w:cs="FangSong"/>
          <w:color w:val="000000"/>
          <w:sz w:val="28"/>
          <w:u w:val="single"/>
        </w:rPr>
        <w:t xml:space="preserve">其他未列明行业</w:t>
      </w:r>
      <w:r>
        <w:rPr>
          <w:rFonts w:ascii="FangSong" w:hAnsi="FangSong" w:eastAsia="FangSong" w:cs="FangSong"/>
          <w:color w:val="000000"/>
          <w:sz w:val="28"/>
        </w:rPr>
        <w:t xml:space="preserve">。</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（三）本项目的特定资格要求：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本项目无特定资格</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三、获取招标文件</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时间：自招标公告发布之日起五个工作日。</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地点：江苏政府采购网或淮安市政府采购网 </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方式：供应商登陆江苏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 </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售价：0.00元 </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四、提交投标文件截止时间、开标时间和地点</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yellow"/>
        </w:rPr>
        <w:t xml:space="preserve">时间：2025-2-21 09：00 （北京时间）</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地点：“苏采云”政府采购交易系统网上开标大厅</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五、公告期限</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自本公告发布之日起5个工作日。</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六、其他补充事宜</w:t>
      </w:r>
      <w:r/>
    </w:p>
    <w:p>
      <w:pPr>
        <w:ind w:left="0" w:right="0" w:firstLine="56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投标人通过苏采云系统参与政府采购项目，需要更换CA数字证书和公章。具体办理指南和操作手册见链接：http://www.ccgp-jiangsu.gov.cn/jiangsu/zlxz/ee/ee3a4bc5a3454aa2b0d9312230633ce9.htm</w:t>
      </w:r>
      <w:r>
        <w:rPr>
          <w:rFonts w:ascii="FangSong" w:hAnsi="FangSong" w:eastAsia="FangSong" w:cs="FangSong"/>
          <w:color w:val="000000"/>
          <w:sz w:val="28"/>
        </w:rPr>
        <w:t xml:space="preserve">l。</w:t>
      </w:r>
      <w:r/>
    </w:p>
    <w:p>
      <w:pPr>
        <w:ind w:left="0" w:right="0" w:firstLine="56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left="0" w:right="0" w:firstLine="56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 有关本次招标的事项若存在变动或修改，敬请及时关注江苏政府采购网或淮安市政府采购网发布的更正公告。</w:t>
      </w:r>
      <w:r/>
    </w:p>
    <w:p>
      <w:pPr>
        <w:ind w:left="0" w:right="0" w:firstLine="56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 本次招标不收取投标保证金。</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七、本次招标联系方式</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1.采购人信息</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单位名称：盱眙县桂五镇人民政府</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单位地址：盱眙县桂五镇街道</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联系人：陈勇</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联系电话：15252369830</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2.采购代理机构信息（如有）</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单位名称：江苏神州项目管理有限公司</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单位地址：盱眙县海通时代广场A09幢4楼</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联系人：王新怡</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联系电话：17551703339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3.项目联系方式</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项目联系人：王新怡</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电话：17551703339</w:t>
      </w:r>
      <w:r/>
    </w:p>
    <w:p>
      <w:pPr>
        <w:ind w:left="0" w:right="0" w:firstLine="560"/>
        <w:jc w:val="right"/>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盱眙县桂五镇人民政府</w:t>
      </w:r>
      <w:r/>
    </w:p>
    <w:p>
      <w:pPr>
        <w:ind w:left="0" w:right="0" w:firstLine="560"/>
        <w:jc w:val="right"/>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yellow"/>
        </w:rPr>
        <w:t xml:space="preserve">2025年1月23日</w:t>
      </w:r>
      <w:r/>
    </w:p>
    <w:p>
      <w:pPr>
        <w:ind w:left="0" w:right="0" w:firstLine="0"/>
        <w:jc w:val="center"/>
        <w:spacing w:before="260" w:after="260" w:line="98"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60" w:after="260" w:line="9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第二章投标人须知</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一、总则</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1.适用范围</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本次招标采取公开招标方式，本招标文件仅适用于本次投标邀请中所述项目的采购。</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2.合格的投标人</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 满足第一章投标邀请中投标人资格要求的规定。 </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2.2 满足招标文件中实质性条款的规定。</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3.适用法律</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3.1 《中华人民共和国政府采购法》、《中华人民共和国政府采购法实施条例》、《政府采购货物和服务招标投标管理办法》等有关法律、规章和规定等。</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4.投标费用</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4.1 投标人应自行承担所有与参加投标有关的费用，无论投标过程中的做法和结果如何，采购人在任何情况下均无义务和责任承担这些费用。</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4.2 本次招标采购代理机构和采购人不收取标书工本费与中标服务费。</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4.3 本次项目招标代理费本次招标代理费参照国家计委《招标代理服务收费管理暂行办法》（计价格[2002]1980号）优惠收取15000元；供应商在报价时综合考虑，由中标人在领取中标通知书时向代理机构一次性付清。</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5.招标文件的约束力</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5.1 投标人一旦参加本项目采购活动，即被认为接受了本招标文件的规定和约束。</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二、招标文件</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6.招标文件构成</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6.1 招标文件由以下部分组成：</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（1）投标邀请</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（2）投标人须知</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（3）合同文本</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（4）项目采购需求</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（5）评标方法与评标标准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（6）投标文件格式</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请仔细检查招标文件是否齐全，如有缺漏请立即与代理机构联系解决。</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7.招标文件的澄清</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7.1 任何对招标文件要求进行澄清的投标人，均应在投标截止时间前十五日按招标公告中的通讯地址，以书面形式送达采购单位，采购人对投标截止时间前十五日收到的任何澄清要求将以书面形式予以答复。由于投标人所留联系方式有问题而导致采购人无法通知的，其责任由投标人自行承担。（逾期递交对招标文件要求进行澄清的，采购人不予受理）</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8.招标文件的更正或补充</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8.1 在投标截止时间十五日前，采购人可主动地或在解答投标人提出的澄清问题时对招标文件用更正公告的方式进行修正。</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8.2</w:t>
      </w:r>
      <w:r>
        <w:rPr>
          <w:rFonts w:ascii="FangSong" w:hAnsi="FangSong" w:eastAsia="FangSong" w:cs="FangSong"/>
          <w:color w:val="000000"/>
          <w:sz w:val="30"/>
        </w:rPr>
        <w:t xml:space="preserve"> </w:t>
      </w:r>
      <w:r>
        <w:rPr>
          <w:rFonts w:ascii="FangSong" w:hAnsi="FangSong" w:eastAsia="FangSong" w:cs="FangSong"/>
          <w:color w:val="000000"/>
          <w:sz w:val="28"/>
        </w:rPr>
        <w:t xml:space="preserve">招标文件的修改将以更正公告的形式进行发布，投标人应持续关注淮安市政府采购网、江苏政府采购网信息。更正公告将作为招标文件的组成部分，对所有参加本次投标的投标人都具有约束力。</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8.3 为使投标人有足够的时间按招标文件的更正要求修正投标文件，采购人有权按照相关法定的要求推迟投标截止时间和开标日期。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三、投标文件的编制</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9.投标文件的语言及度量衡单位</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9.1 投标人提交的投标文件以及投标人与采购人就有关投标的所有来往通知、函件和文件均应使用简体中文。</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9.2 除技术性能另有规定外，投标文件所使用的度量衡单位，均须采用国家法定计量单位。</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10.投标文件构成</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10.1 投标人编写的投标文件应包括资格证明文件、符合性证明文件、投标分项报价表、技术要求响应及偏离表、其他证明文件、投标函、开标一览表等部分。请投标人根据本招标文件的要求在指定模块中上传响应的投标材料，未按招标文件要求在指定模块上传响应的投标材料的，视同未提交该投标材料处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10.2 如标书制作工具中格式和内容与“淮安市政府采购网”发布的招标文件不一致，请以“淮安市政府采购网”发布的招标文件为准。</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11.证明投标人及投标标的符合招标文件规定的文件</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11.1 投标人应按照招标文件要求提交证明文件，证明其及投标标的符合招标文件规定。</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11.2 招标文件对证明文件无明确形式要求的，证明文件可以以文字资料、图纸和数据等形式提交。</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12、投标分项报价表</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12.1 投标人应按照招标文件规定格式填报投标分项报价表。</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12.2 投标货币。投标文件中的单价和总价无特殊规定的采用人民币报价，以元为单位标注。招标文件中另有规定的按规定执行。</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13、技术要求响应及偏离表、商务要求响应及偏离表（如有）</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13.1 投标人需对招标文件中的技术要求与商务要求逐项作出响应或偏离，并说明原因。</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13.2 投标人可在投标文件中提供认为需要的其他技术文件或说明。</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14.服务承诺、培训计划、人员安排及其他（如有）</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14.1 投标人需根据招标文件要求提供有关售后服务的管理制度，售后服务机构的分布情况，售后服务人员的数量、素质、技术水平及售后服务的反应能力等。</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14.2 投标人需根据招标文件要求提供培训计划。</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14.3 投标人需根据招标文件要求提供所投标的的主要组成部分、功能设计、实现思路及关键技术等。</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15.投标函和开标一览表</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15.1 投标人应按照招标文件中提供的格式完整、正确填写投标函、开标一览表。</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15.2 对于采用货币报价的项目，开标一览表中的投标总报价应与投标分项报价表中的投标总报价一致，如不一致，不作为无效投标处理，但评标时按开标一览表中价格为准。</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16.投标有效期</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16.1 投标有效期为采购人规定的开标之日后九十（90）天。投标有效期比规定短的将被视为未实质性响应招标文件而予以拒绝。</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17.投标有效期的延长</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17.1 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四、投标文件上传</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18.投标文件的上传</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18.1 投标人应当按照《操作手册》规定，在投标截止时间前制作并上传电子投标文件（中标公示结束中标人打印3套提交,纸质投标文件须打印并加盖投标人公章）。</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18.2 投标人上传的电子投标文件内容不清楚或不清晰的（含扫描件），造成无法评审或部分影响评审的，责任由投标人自负。</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18.3 投标人上传电子投标文件的时间不得迟于投标邀请中规定的截止时间。投标人应充分考虑到网络环境、网络带宽等风险因素，如因投标人自身原因造成的电子投标文件上传不成功的按照本招标文件第二章第26.1.2条规定做无效投标处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18.4 采购人可以按第8条规定，通过修改招标文件有权酌情延长投标文件接收截止时间。在此情况下，投标人的所有权利和义务以及投标人受制约的截止日期均应以延长后新的截止日期为准。</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19.投标文件被拒绝接收的情形</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19.1 在招标文件规定的提交投标文件截止时间后上传的电子投标文件。</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20.投标文件的修改和撤回</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20.1 投标人在上传电子投标文件后可以对其修改或撤回，但这种修改和撤回，必须在规定的开标时间之前，具体操作方法见《操作手册》。</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20.2 投标人不得在开标时间以后修改电子投标文件。</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20.3 投标人不得在提交电子投标文件截止时间起至投标有效期满前撤回电子投标文件。</w:t>
      </w:r>
      <w:r/>
    </w:p>
    <w:p>
      <w:pPr>
        <w:numPr>
          <w:ilvl w:val="0"/>
          <w:numId w:val="3"/>
        </w:numPr>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开标及评标</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21.开标</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21.1 采购代理机构将在招标公告中规定的时间和地点组织开标。投标人应当按照《操作手册》规定，参加开标活动和在苏采云系统规定的时间内对投标文件进行解密。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21.2 开标仪式由采购代理机构组织。苏采云系统将自动对项目进行开标，并宣布各投标人名称和投标价格。</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21.3 投标人在开标过程中涉及到的投标文件解密、开标结果确认等工作，应按照《操作手册》规定执行。</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21.4 投标人如果对开标过程和开标记录有疑义，应当根据《操作手册》规定提出，如苏采云系统中《开标记录表》宣布后5分钟内未提出的，视同认可开标结果。</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22.评标委员会</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22.1 开标后，采购代理机构将立即组织评标委员会（以下简称评委会）进行评标。</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22.2 评委会由采购人代表和有关技术、经济等方面的专家组成，且人员构成符合政府采购有关规定。</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22.3 评委会独立工作，负责评审所有投标文件并确定中标侯选人。</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23．评标过程的保密与公正</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23.1 凡是与审查、澄清、评价和比较投标的有关资料以及授标建议等，采购人、评委、采购代理机构均不得向投标人或与评标无关的其他人员透露。</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23.2 在评标过程中，投标人不得以任何行为影响评标过程，否则其投标文件将被作为无效投标文件。</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23.3 采购人、采购代理机构和评标委员会不向未中标的投标人解释未中标原因，也不公布评标过程中的相关细节。</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23.4 采用综合评分法的项目，未中标的投标人可于中标结果公告期限届满之日起通过苏采云系统查看自己的评审得分及排序情况。</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24．投标文件的澄清</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24.1 评标期间，评委会对投标文件中含义不明确、同类问题表述不一致或者有明显文字和计算错误的内容，有权要求投标人作出必要的澄清、说明或者补正。</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投标人的澄清、说明或者补正不得超出投标文件的范围或者改变投标文件的实质性内容。</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评委会并非对每个投标人都做澄清要求。</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24.2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24.3 接到评委会澄清、说明和补正要求的投标人如未按规定做出澄清、说明和补正，其风险由投标人自行承担。</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25.对投标文件的初审</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25.1 投标文件初审分为资格审查和符合性审查。</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25.1.1 资格审查：依据法律法规和招标文件的规定，由采购人对投标文件中的资格证明文件进行审查。资格审查的结论，采购人向评委会进行反馈。</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采购人在进行资格性审查的同时，将在“信用中国”网站（www.creditchina.gov.cn）查询投标人的信用记录，以确定投标人是否具备投标资格,查询结果留存并归档。</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25.1.2 符合性审查：依据招标文件的规定，由评委会从投标文件的有效性、完整性和对招标文件的响应程度进行审查，以确定是否对招标文件的实质性要求作出响应。</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25.1.3 未通过资格审查或符合性审查的投标人，采购人将在苏采云系统中告知未通过资格审查或符合性审查的原因，评审结束后，采购人将不再告知未通过资格审查或符合性审查的原因。</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25.2 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25.3 如果投标文件实质上没有响应招标文件的要求，评委会将予以拒绝，投标人不得通过修改或撤销不合要求的偏离或保留而使其投标成为实质性响应的投标。</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25.4 评委会将对确定为实质性响应的投标进行进一步审核，看其是否有计算上或累加上的算术错误，修正错误的原则如下：</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（1）投标文件中开标一览表内容与投标文件中相应内容不一致的，以开标一览表为准。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（2）大写金额和小写金额不一致的，以大写金额为准。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（3）单价金额小数点或者百分比有明显错位的，以开标一览表的总价为准，并修改单价。</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（4）总价金额与按单价汇总金额不一致的，以单价金额计算结果为准。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同时出现两种以上错误的，按照前款规定的顺序修正。</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25.6 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非单一产品采购项目，招标文件中将载明其中的核心产品。多家投标人提供的核心产品品牌相同的，按前两款规定处理。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25.7 投标人在开、评标全过程中应保持通讯畅通，及时登录苏采云系统查阅、答复相关信息，并安排专人与评标委员会联系。</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26.无效投标条款和废标条款</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26.1 无效投标条款</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26.1.1 投标人在苏采云系统规定的时间内未成功解密电子投标文件的。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26.1.2 投标人未按照招标文件要求上传电子投标文件的。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26.1.3 同一投标人提交两个（含两个）以上不同的投标报价的。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26.1.4 投标人不具备招标文件中规定资格要求的。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26.1.5 投标人的报价超过了采购预算或最高限价的。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26.1.6 未通过符合性审查的。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26.1.7 不符合招标文件中规定的实质性要求和条件的（实质性要求和条件是指本招标文件中用带星号（“★”）的商务和技术要求）。</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26.1.9 投标文件含有采购人不能接受的附加条件的。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26.1.10 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26.1.11 投标文件未按照招标文件要求加盖CA电子公章的。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26.1.12 其他法律、法规及本招标文件规定的属无效投标的情形。</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26.2 废标条款</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26.2.1 符合专业条件的供应商或者对招标文件作实质响应的供应商不足三家的。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26.2.2 出现影响采购公正的违法、违规行为的。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26.2.3 因重大变故，采购任务取消的。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26.2.4 评标委员会认定招标文件存在歧义、重大缺陷导致评审工作无法进行。</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26.2.5 因苏采云系统系统故障原因造成开标不成功的。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26.3 投标截止时间结束后参加投标的供应商不足三家的处理：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26.3.1 如出现投标截止时间结束后参加投标的供应商或者在评标期间对招标文件做出实质响应的供应商不足三家情况，按政府采购相关规定执行。</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六、定标</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27.确定中标单位</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27.1 中标候选人的选取原则和数量见招标文件第三章规定。 </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27.2 采购人应根据评委会推荐的中标候选人确定中标人。</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27.3 采购人将在“江苏政府采购网、淮安市政府采购网”发布中标公告，公告期限为1个工作日。</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27.4 若有充分证据证明，中标人出现下列情况之一的，一经查实，将被取消中标资格：</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27.4.1 提供虚假材料谋取中标的。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27.4.2 向采购人、采购代理机构行贿或者提供其他不正当利益的。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27.4.3 属于本文件规定的无效条件，但在评标过程中又未被评委会发现的。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27.4.4 与采购人或者其他供应商恶意串通的。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27.4.5 采取不正当手段诋毁、排挤其他供应商的。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27.5 有下列情形之一的，视为投标人串通投标，投标无效：</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27.5.1 不同投标人的投标文件由同一单位或者个人编制；</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27.5.2 不同投标人委托同一单位或者个人办理投标事宜；</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27.5.3 不同投标人的投标文件载明的项目管理成员或者联系人员为同一人；</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27.5.4 不同投标人的投标文件异常一致或者投标报价呈规律性差异；</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28.质疑处理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28.1 投标人认为采购文件、采购过程和采购结果使自己的权益受到损害的，可以在知道或应知其权益受到损害之日起七个工作日内，以电子文件形式从通过“苏采云平台”-&gt;“供应商“登录，从”项目质疑申请”模块提出质疑，同时必须将质疑函的原件邮寄至采购人或采购代理机构处。未通过交易平台提交的及邮寄原件、七个工作日之外以及未按28.6条的要求提供或匿名的质疑均不予受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28.2 上述应知其权益受到损害之日是指：</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（1）对招标文件提出质疑的，为采购文件公告期限届满之日起计算；</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（2）对采购过程提出质疑的，为各采购程序环节结束之日起计算；</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（3）对中标结果提出质疑的，为中标结果公告期限届满之日起计算。</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28.3 质疑投标人是指直接参加本次投标活动的投标人，未参加投标活动的投标人或在投标活动中自身权益未受到损害的投标人所提出的质疑不予受理。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28.4 质疑投标人在法定质疑期内应当一次性针对同一采购环节提出质疑。</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28.5 质疑函应当包括以下主要内容，附上相关证明材料。否则，采购人不予受理。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（1）质疑投标人的名称、地址、邮编、联系人及联系电话；</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（2）质疑项目的名称、编号；</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（3）具体、明确的质疑事项和与质疑事实相关的请求；</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（4）事实依据；</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（5）必要的法律依据；</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（6）提起质疑的日期；</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质疑函必须署名，由法定代表人或者其授权代表签字，并加盖单位公章。授权代表签字的，还需提供法定代表人出具的办理质疑事项授权书（授权中必须载明具体权限、期限和事项）。通过交易平台提交的及邮寄原件方式提交，未按上述要求提交的质疑函，采购人有权不予受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28.6 采购人收到质疑函后，将对质疑的形式和内容进行审查，如质疑函内容、格式不符合规定，采购人将告知质疑人进行补正。质疑人应当在法定质疑期限内进行补正并重新提交质疑函，拒不补正或者超过法定期限后未重新提交质疑函的，为无效质疑，采购人有权不予受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28.7 对于内容、格式符合规定的质疑函，采购人将在七个工作日内以书面形式和通过交易平台作出答复，但质疑答复的内容不涉及商业秘密。采购人质疑接收人及联系方式见招标文件第一章。</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28.8 以下情形的质疑不予受理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28.8.1 内容不符合《政府采购质疑和投诉办法》第十二条规定的质疑。</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28.8.2 超出政府采购法定期限的质疑。</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28.8.3 非招标文件规定形式提出的质疑。</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28.8.4 未参加投标活动的供应商或在投标活动中自身权益未受到损害的供应商所提出的质疑。</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28.8.5供应商组成联合体参加投标，联合体中任何一方或多方未按要求签字、盖章、加盖公章的质疑。</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28.9 投标人提出的质疑必须有理、有据，不得恶意质疑或提交虚假质疑。否则，一经查实，采购人有权依据政府采购的有关规定，报请相关监督部门对该投标人列入失信行为或不良行为记录名单，进行相应的行政处罚。</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29.中标通知书</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29.l 中标结果确定后，采购人将向中标人发出中标通知书。</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29.2 中标通知书将是合同的一个组成部分。对采购人和中标人均具有法律效力。中标通知书发出后，采购人改变中标结果的，或者中标人放弃中标项目的，应当依法承担法律责任。</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七、授予合同</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30.签订合同</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30.l 中标人应当在中标通知书发出之日起三十日内，按照招标文件确定的事项与采购人签订政府采购合同。</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30.2 招标文件、中标人的投标文件及招标过程中有关澄清、承诺文件均应作为合同附件。</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30.4 履约保证金</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30.4.1 为保证合同的顺利执行，中标人必须在成交通知书发出之前，向采购人提交金额为成交总价1%的履约保证金。</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30.4.2 中标人提供的履约保证金可以是人民币形式（银行本票、汇票、支票、电汇），或银行保函、担保公司的保证担保或保险公司的保证保险等多种形式。</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30.4.3 中标人选取银行保函、担保公司的保证担保或保险公司的保证保险等形式的向采购人缴纳的，如保函（担保、保险等）的约定期到期但中标人履约仍未结束的，中标人须进行续保。</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30.4.4 中标人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30.4.5 如中标人未能履行合同规定的义务，采购人有权从履约保证金中取得补偿。</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30.4.6 履约保证金在合同约定期间内不予退还或者应完全有效，约定期间届满之日起 5个工作日内，采购人应将履约保证金退还中标人；逾期退还的，按中国人民银行同期贷款基利率上浮20%后的利率支付超期资金占用费，但因中标人自身原因导致无法及时退还的除外。</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30.4.7 履约保证金在合同约定期间内不予退还或者应完全有效，履约保证金在项目验收合格后无息退还给中标人。</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30.4.8 退还方式：中标人携带履约保证金单据、成交通知书、合同、验收报告或采购人同意退还证明等至采购人处办理。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30.5 若中标人未按照30条执行，采购人报财政部门取消其成交资格，在此情况下采购人可将标授予下一个成交候选供应商，或重新采购。31.货物（包含与货物相关的服务）的追加</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32.政府采购履约资金扶持政策</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中标人可凭政府采购合同办理融资贷款，详情请见江苏政府采购网“政采贷”专栏。</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八、政府采购政策功能落实</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33.促进中小企业发展政策</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33.1 小微型企业价格扣除</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33.1.1 对于未专门面向中小企业或者未预留份额专门面向中小企业采购的采购项目，供应商提供的货物或者服务符合下列情形的，享受本办法规定的中小企业扶持政策给予小微企业报价20%的扣除，用扣除后的价格参与评审：</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（1）在货物采购项目中，货物由中小企业制造，即货物由中小企业生产且使用该中小企业商号或者注册商标；</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（2）在工程采购中，工程由中小企业承建，及工程施工单位未中小企业；</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（3）在服务采购项目中，服务由中小企业承接，即提供服务的人员为中小企业依照《中华人民共和国劳动合同法》订立劳动合同的从业人员。</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33.1.2 在货物采购项目中，供应商提供的货物既有中小企业制造货物，也有大型企业制造货物的，不享受本办法规定的中小企业扶持政策。</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33.2 联合体及分包</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33.2.1 以联合体形式参加政府采购活动，联合体各方均为中小企业的，联合体视同中小企业。其中，联合体各方均为小微企业的，联合体视同小微企业。</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33.2.2 享受扶持政策获得政府采购合同的，小微企业不得将合同分包给大中型企业，中型企业不得将合同分包给大型企业。</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33.2.3 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33.2.4 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33.3 小微型企业</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（1）投标人须按照招标文件的要求提供相应的《企业声明函》，详见招标文件第六章示范格式。</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（2）企业标准请参照《政府采购促进中小企业发展管理办法》（财库【2020】46号）文件规定自行填写。</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33.4 残疾人福利单位</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（1）残疾人福利单位需按照招标文件的要求提供《残疾人福利性单位声明函》，详见招标文件第六章示范格式。</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（2）残疾人福利单位标准请参照《关于促进残疾人就业政府采购政策的通知》（财库〔2017〕141号）。</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33.5 监狱和戒毒企业</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（1）监狱企业参加政府采购活动时，需提供由省级以上监狱管理局、戒毒管理局（含新疆生产建设兵团）出具的属于监狱企业的证明文件）（投标文件中上传加盖出具单位公章的电子件）。</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（2）监狱企业标准请参照《关于政府采购支持监狱企业发展有关问题的通知》（财库[2014]68号）。</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注:监狱企业、残疾人福利性单位视同小微企业；符合中小企业划分标准的个体工商户，在政府采购活动中视同中小企业，享受政府采购支持中小企业发展政策。</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34.节能、环保政策</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34.1 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34.2 节能产品（本项目不涉及）</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w:t>
      </w:r>
      <w:r>
        <w:rPr>
          <w:rFonts w:ascii="FangSong" w:hAnsi="FangSong" w:eastAsia="FangSong" w:cs="FangSong"/>
          <w:color w:val="000000"/>
          <w:sz w:val="28"/>
          <w:u w:val="single"/>
        </w:rPr>
        <w:t xml:space="preserve"> (采购产品)</w:t>
      </w:r>
      <w:r>
        <w:rPr>
          <w:rFonts w:ascii="FangSong" w:hAnsi="FangSong" w:eastAsia="FangSong" w:cs="FangSong"/>
          <w:color w:val="000000"/>
          <w:sz w:val="28"/>
        </w:rPr>
        <w:t xml:space="preserve">被列入“节能产品品目清单”的，实行</w:t>
      </w:r>
      <w:r>
        <w:rPr>
          <w:rFonts w:ascii="FangSong" w:hAnsi="FangSong" w:eastAsia="FangSong" w:cs="FangSong"/>
          <w:color w:val="000000"/>
          <w:sz w:val="28"/>
          <w:u w:val="single"/>
        </w:rPr>
        <w:t xml:space="preserve">（优先采购/强制采购）</w:t>
      </w:r>
      <w:r>
        <w:rPr>
          <w:rFonts w:ascii="FangSong" w:hAnsi="FangSong" w:eastAsia="FangSong" w:cs="FangSong"/>
          <w:color w:val="000000"/>
          <w:sz w:val="28"/>
        </w:rPr>
        <w:t xml:space="preserve">。</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34.3 环保产品（本项目不涉及）</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本项目中</w:t>
      </w:r>
      <w:r>
        <w:rPr>
          <w:rFonts w:ascii="FangSong" w:hAnsi="FangSong" w:eastAsia="FangSong" w:cs="FangSong"/>
          <w:color w:val="000000"/>
          <w:sz w:val="28"/>
          <w:u w:val="single"/>
        </w:rPr>
        <w:t xml:space="preserve"> (采购产品)</w:t>
      </w:r>
      <w:r>
        <w:rPr>
          <w:rFonts w:ascii="FangSong" w:hAnsi="FangSong" w:eastAsia="FangSong" w:cs="FangSong"/>
          <w:color w:val="000000"/>
          <w:sz w:val="28"/>
        </w:rPr>
        <w:t xml:space="preserve">被列入“环境标志产品品目清单”的，实行优先采购。</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34.4 本项目中实行“强制采购”的，需提供国家市场监督管理总局确定的列入“参与实施政府采购节能产品认证机构名录”内的认证机构出具的、有效期内的该产品环境标志产品认证证书电子件，未提供的作无效投标处理；实行“优先采购”的，在评分标准的“政策导向”处参与加分（详见第三章评标标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34.5 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35．政府绿色采购</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根据《江苏省财政厅关于加强政府绿色采购有关事项的通知》（苏财购〔2023〕65号）的要求，落实政府绿色采购相关政策，具体如下：</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35.1 本项目为货物类采购项目的，所提供的产品需综合考虑节能环保、节水、循环再生、低碳、有机等因素。本项目为物业、合同能源管理等服务类采购项目的，应在服务中加强绿色低碳管理。</w:t>
      </w:r>
      <w:r/>
    </w:p>
    <w:p>
      <w:pPr>
        <w:ind w:left="0" w:right="0" w:firstLine="560"/>
        <w:jc w:val="both"/>
        <w:spacing w:before="21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34.2 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r/>
    </w:p>
    <w:p>
      <w:pPr>
        <w:ind w:left="0" w:right="0" w:firstLine="0"/>
        <w:jc w:val="both"/>
        <w:spacing w:before="21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35.履约资金扶持政策</w:t>
      </w:r>
      <w:r/>
    </w:p>
    <w:p>
      <w:pPr>
        <w:ind w:left="0" w:right="0" w:firstLine="560"/>
        <w:jc w:val="both"/>
        <w:spacing w:before="21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35.1 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35.2有融资贷款需求的中标人，与采购人在苏采云【合同在线签订】模块中进行合同在线签订时，【账户信息完善】的“是否融资”一栏中需选择“是”，同时完善收款账号信息和合同补充协议（融资账号）。</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058"/>
        <w:jc w:val="both"/>
        <w:spacing w:before="0" w:after="0" w:line="519" w:lineRule="atLeast"/>
        <w:pBdr>
          <w:top w:val="none" w:color="000000" w:sz="4" w:space="0"/>
          <w:left w:val="none" w:color="000000" w:sz="4" w:space="0"/>
          <w:bottom w:val="none" w:color="000000" w:sz="4" w:space="0"/>
          <w:right w:val="none" w:color="000000" w:sz="4" w:space="0"/>
        </w:pBdr>
      </w:pPr>
      <w:r>
        <w:br w:type="page" w:clear="all"/>
      </w:r>
      <w:r/>
    </w:p>
    <w:p>
      <w:pPr>
        <w:ind w:left="0" w:right="0" w:firstLine="3058"/>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第三章评标标准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一、评委会根据招标文件中规定的评标标准对投标人进行综合评审，最终按综合评审得分由高到低的顺序推荐出3名中标候选人。</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供应商为中标候选人的评标方法。</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评委会将依据下列评标标准进行评标，本评标标准的总分为100分。按评审后得分由高到低顺序排列。得分相同的，按投标报价由低到高顺序排列，得分和投标报价均相同的并列，投标文件满足招标文件全部实质性要求，且按照评审因素的量化指标评审得分最高的投标人为中标候选人。</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0"/>
        <w:gridCol w:w="1199"/>
        <w:gridCol w:w="4814"/>
        <w:gridCol w:w="1023"/>
      </w:tblGrid>
      <w:tr>
        <w:trPr>
          <w:trHeight w:val="74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细则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14"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评分细则、标准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分值</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价格分（30分）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4" w:type="dxa"/>
            <w:vAlign w:val="center"/>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采用低价优先法计算，满足招标文件要求且最后报价最低为评标基准价，其价格分为满分。其他供应商的价格分按照下列公式计算（小数点保留两位）: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投标报价得分＝（评标基准价/投标报价）×30分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30</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vMerge w:val="restart"/>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vMerge w:val="restart"/>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方案部分（45分）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4" w:type="dxa"/>
            <w:vAlign w:val="center"/>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项目总体布署：描述准确、内容合理细致，满足本项目建设要求，得6-4分，描述较准确、内容较细致、满足本项目建设要求，得4-2分，描述基本准确、基本满足本项目建设要求，得2-0分，描述不准确、内容不细致、不满足本项目建设要求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w:t>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4" w:type="dxa"/>
            <w:vAlign w:val="center"/>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分部项目方案：描述准确、内容合理细致，满足本项目建设要求，得6-4分，描述较准确、内容较细致、满足本项目建设要求，得4-2分，描述基本准确、基本满足本项目建设要求，得2-0分，描述不准确、内容不细致、不满足本项目建设要求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w:t>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4" w:type="dxa"/>
            <w:vAlign w:val="center"/>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工期进度计划及保证措施：描述准确、内容合理细致，满足本项目建设要求，得6-4分，描述较准确、内容较细致、满足本项目建设要求，得4-2分，描述基本准确、基本满足本项目建设要求，得2-0分，描述不准确、内容不细致、不满足本项目建设要求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w:t>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4" w:type="dxa"/>
            <w:vAlign w:val="center"/>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质量管理计划及保证措施：描述准确、内容合理细致，满足本项目建设要求，得6-4分，描述较准确、内容较细致、满足本项目建设要求，得4-2分，描述基本准确、基本满足本项目建设要求，得2-0分，描述不准确、内容不细致、不满足本项目建设要求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w:t>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4" w:type="dxa"/>
            <w:vAlign w:val="center"/>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安全管理计划及保证措施：描述准确、内容合理细致，满足本项目建设要求，得6-4分，描述较准确、内容较细致、满足本项目建设要求，得4-2分，描述基本准确、基本满足本项目建设要求，得2-0分，描述不准确、内容不细致、不满足本项目建设要求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w:t>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4" w:type="dxa"/>
            <w:vAlign w:val="center"/>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拟投入本项目的技术人员素质、工种配备、劳动力安排、安装机械等情况：人员配置合理、安装机械先进、合理，满足本项目建设要求，得5-3分，人员配置合理、安装机械合理，满足本项目建设要求，得3-2分，人员、机械配置基本满足本项目建设要求，得2-0分，不满足本项目建设要求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w:t>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4" w:type="dxa"/>
            <w:vAlign w:val="center"/>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（7）大棚电力系统图纸优化设计提供详细的施工图纸，满足项目现场及实际需求且切实可行的得1-2分；最高得2分。不满足本项目建设要求的不得分。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w:t>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4" w:type="dxa"/>
            <w:vAlign w:val="center"/>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（8）提供智能化系统方案设计及施工图纸的，满足项目现场及实际需求且切实可行的得1-4分，最高得4分。不满足本项目建设要求的不得分。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w:t>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4" w:type="dxa"/>
            <w:vAlign w:val="center"/>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（9）满足现场设计方案调整、深化设计及前、后期现场配套技术服务施工直至竣工验收合格及缺陷责任期内的保修等全部工作，提供具体响应方案的得1-4分，最高得4分。不满足本项目建设要求的不得分。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w:t>
            </w:r>
            <w:r/>
          </w:p>
        </w:tc>
      </w:tr>
      <w:tr>
        <w:trPr>
          <w:trHeight w:val="30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vMerge w:val="restart"/>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vMerge w:val="restart"/>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商务部分（25分）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4" w:type="dxa"/>
            <w:vAlign w:val="center"/>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（1）企业资质</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供应商具有市政公用工程总承包三级资质得2分，具有二级及以上资质得4分，同时具有钢结构工程专业承包三级及以上资质得2分。不提供不得分，本项最高6分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w:t>
            </w:r>
            <w:r/>
          </w:p>
        </w:tc>
      </w:tr>
      <w:tr>
        <w:trPr>
          <w:trHeight w:val="2249"/>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4" w:type="dxa"/>
            <w:vAlign w:val="center"/>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（2）企业奖项</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供应商自2022年以来获得过省级以上标准化星级工地得9分，市级以上标准化星级工地得3分。不提供不得分。本项最高9分。</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w:t>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4" w:type="dxa"/>
            <w:vAlign w:val="center"/>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（3）项目管理机构</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拟派技术负责人具有相关专业高级工程师职称得9分，工程师证得3分。同时具有建筑工程专业二级建造师以上证书得1分，不提供不得分，本项最高10分。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注：提供相关证书和投标供应商为其缴纳的2024年9月以来任意1个月的社保证明。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w:t>
            </w:r>
            <w:r/>
          </w:p>
        </w:tc>
      </w:tr>
    </w:tbl>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注：评分标准中要求提供的材料、证书证明等材料均以扫描件上传电子投标文件，否则不予得分。</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第四章合同格式及条款</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pacing w:val="-20"/>
          <w:sz w:val="48"/>
        </w:rPr>
        <w:t xml:space="preserve">政府采购货物买卖合同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0"/>
        </w:rPr>
        <w:t xml:space="preserve"> </w:t>
      </w:r>
      <w:r/>
    </w:p>
    <w:p>
      <w:pPr>
        <w:ind w:left="42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项目名称：</w:t>
      </w:r>
      <w:r>
        <w:rPr>
          <w:rFonts w:ascii="SimSun" w:hAnsi="SimSun" w:eastAsia="SimSun" w:cs="SimSun"/>
          <w:color w:val="000000"/>
          <w:sz w:val="32"/>
          <w:u w:val="single"/>
        </w:rPr>
        <w:t xml:space="preserve">                             </w:t>
      </w:r>
      <w:r/>
    </w:p>
    <w:p>
      <w:pPr>
        <w:ind w:left="42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合同编号：</w:t>
      </w:r>
      <w:r>
        <w:rPr>
          <w:rFonts w:ascii="SimSun" w:hAnsi="SimSun" w:eastAsia="SimSun" w:cs="SimSun"/>
          <w:color w:val="000000"/>
          <w:sz w:val="32"/>
          <w:u w:val="single"/>
        </w:rPr>
        <w:t xml:space="preserve">                             </w:t>
      </w:r>
      <w:r/>
    </w:p>
    <w:p>
      <w:pPr>
        <w:ind w:left="42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甲方：</w:t>
      </w:r>
      <w:r>
        <w:rPr>
          <w:rFonts w:ascii="SimSun" w:hAnsi="SimSun" w:eastAsia="SimSun" w:cs="SimSun"/>
          <w:color w:val="000000"/>
          <w:sz w:val="32"/>
          <w:u w:val="single"/>
        </w:rPr>
        <w:t xml:space="preserve">                             </w:t>
      </w:r>
      <w:r/>
    </w:p>
    <w:p>
      <w:pPr>
        <w:ind w:left="42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乙方：</w:t>
      </w:r>
      <w:r>
        <w:rPr>
          <w:rFonts w:ascii="SimSun" w:hAnsi="SimSun" w:eastAsia="SimSun" w:cs="SimSun"/>
          <w:color w:val="000000"/>
          <w:sz w:val="32"/>
          <w:u w:val="single"/>
        </w:rPr>
        <w:t xml:space="preserve">                             </w:t>
      </w:r>
      <w:r/>
    </w:p>
    <w:p>
      <w:pPr>
        <w:ind w:left="42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签订时间：</w:t>
      </w:r>
      <w:r>
        <w:rPr>
          <w:rFonts w:ascii="SimSun" w:hAnsi="SimSun" w:eastAsia="SimSun" w:cs="SimSun"/>
          <w:color w:val="000000"/>
          <w:sz w:val="32"/>
          <w:u w:val="single"/>
        </w:rPr>
        <w:t xml:space="preserve">      </w:t>
      </w:r>
      <w:r>
        <w:rPr>
          <w:rFonts w:ascii="Times New Roman" w:hAnsi="Times New Roman" w:eastAsia="Times New Roman" w:cs="Times New Roman"/>
          <w:color w:val="000000"/>
          <w:sz w:val="32"/>
          <w:u w:val="single"/>
        </w:rPr>
        <w:t xml:space="preserve">           </w:t>
      </w:r>
      <w:r>
        <w:rPr>
          <w:rFonts w:ascii="SimSun" w:hAnsi="SimSun" w:eastAsia="SimSun" w:cs="SimSun"/>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640"/>
        <w:ind w:left="0" w:right="0" w:firstLine="0"/>
        <w:jc w:val="both"/>
        <w:spacing w:before="260" w:after="260" w:line="40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44"/>
        </w:rPr>
        <w:t xml:space="preserve"> </w:t>
      </w:r>
      <w:r/>
    </w:p>
    <w:p>
      <w:pPr>
        <w:pStyle w:val="640"/>
        <w:ind w:left="0" w:right="0" w:firstLine="0"/>
        <w:jc w:val="center"/>
        <w:spacing w:before="260" w:after="260" w:line="400" w:lineRule="atLeast"/>
        <w:pBdr>
          <w:top w:val="none" w:color="000000" w:sz="4" w:space="0"/>
          <w:left w:val="none" w:color="000000" w:sz="4" w:space="0"/>
          <w:bottom w:val="none" w:color="000000" w:sz="4" w:space="0"/>
          <w:right w:val="none" w:color="000000" w:sz="4" w:space="0"/>
        </w:pBdr>
      </w:pPr>
      <w:r>
        <w:br w:type="page" w:clear="all"/>
      </w:r>
      <w:r/>
    </w:p>
    <w:p>
      <w:pPr>
        <w:pStyle w:val="640"/>
        <w:ind w:left="0" w:right="0" w:firstLine="0"/>
        <w:jc w:val="center"/>
        <w:spacing w:before="260" w:after="26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第一节 政府采购合同协议书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甲方（全称）：             （采购人）</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乙方（全称）：             （供应商）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依据《中华人民共和国民法典》、《中华人民共和国政府采购法》等有关的法律法规，以及本采购项目的招标文件等采购文件、乙方的《投标文件》及《中标（成交）通知书》，甲乙双方同意签订本合同。具体情况及要求如下：     </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1.项目信息</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（1）采购项目名称：</w:t>
      </w:r>
      <w:r>
        <w:rPr>
          <w:rFonts w:ascii="FangSong" w:hAnsi="FangSong" w:eastAsia="FangSong" w:cs="FangSong"/>
          <w:color w:val="000000"/>
          <w:sz w:val="21"/>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采购项目编号：</w:t>
      </w:r>
      <w:r>
        <w:rPr>
          <w:rFonts w:ascii="FangSong" w:hAnsi="FangSong" w:eastAsia="FangSong" w:cs="FangSong"/>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（2）采购计划编号：</w:t>
      </w:r>
      <w:r>
        <w:rPr>
          <w:rFonts w:ascii="FangSong" w:hAnsi="FangSong" w:eastAsia="FangSong" w:cs="FangSong"/>
          <w:color w:val="000000"/>
          <w:sz w:val="21"/>
          <w:u w:val="single"/>
        </w:rPr>
        <w:t xml:space="preserve">                     /                     </w:t>
      </w:r>
      <w:r>
        <w:rPr>
          <w:rFonts w:ascii="FangSong" w:hAnsi="FangSong" w:eastAsia="FangSong" w:cs="FangSong"/>
          <w:color w:val="000000"/>
          <w:sz w:val="21"/>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（3）项目内容：</w:t>
      </w:r>
      <w:r/>
    </w:p>
    <w:p>
      <w:pPr>
        <w:ind w:left="42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采购标的及数量（台/套/个/架/组等）：详见报价明细表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（4）政府采购组织形式：分散采购</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（5）政府采购方式：公开招标</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2.合同金额</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合同金额小写：</w:t>
      </w:r>
      <w:r>
        <w:rPr>
          <w:rFonts w:ascii="FangSong" w:hAnsi="FangSong" w:eastAsia="FangSong" w:cs="FangSong"/>
          <w:color w:val="000000"/>
          <w:sz w:val="21"/>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大写：</w:t>
      </w:r>
      <w:r>
        <w:rPr>
          <w:rFonts w:ascii="FangSong" w:hAnsi="FangSong" w:eastAsia="FangSong" w:cs="FangSong"/>
          <w:color w:val="000000"/>
          <w:sz w:val="21"/>
          <w:u w:val="single"/>
        </w:rPr>
        <w:t xml:space="preserve">                           </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3.合同履行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（1）合同履行期限：</w:t>
      </w:r>
      <w:r>
        <w:rPr>
          <w:rFonts w:ascii="FangSong" w:hAnsi="FangSong" w:eastAsia="FangSong" w:cs="FangSong"/>
          <w:color w:val="000000"/>
          <w:sz w:val="21"/>
          <w:u w:val="single"/>
        </w:rPr>
        <w:t xml:space="preserve"> 30  </w:t>
      </w:r>
      <w:r>
        <w:rPr>
          <w:rFonts w:ascii="FangSong" w:hAnsi="FangSong" w:eastAsia="FangSong" w:cs="FangSong"/>
          <w:color w:val="000000"/>
          <w:sz w:val="21"/>
        </w:rPr>
        <w:t xml:space="preserve">日历天</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起始日期：</w:t>
      </w:r>
      <w:r>
        <w:rPr>
          <w:rFonts w:ascii="FangSong" w:hAnsi="FangSong" w:eastAsia="FangSong" w:cs="FangSong"/>
          <w:color w:val="000000"/>
          <w:sz w:val="21"/>
          <w:u w:val="single"/>
        </w:rPr>
        <w:t xml:space="preserve">    </w:t>
      </w:r>
      <w:r>
        <w:rPr>
          <w:rFonts w:ascii="FangSong" w:hAnsi="FangSong" w:eastAsia="FangSong" w:cs="FangSong"/>
          <w:color w:val="000000"/>
          <w:sz w:val="21"/>
        </w:rPr>
        <w:t xml:space="preserve">年</w:t>
      </w:r>
      <w:r>
        <w:rPr>
          <w:rFonts w:ascii="FangSong" w:hAnsi="FangSong" w:eastAsia="FangSong" w:cs="FangSong"/>
          <w:color w:val="000000"/>
          <w:sz w:val="21"/>
          <w:u w:val="single"/>
        </w:rPr>
        <w:t xml:space="preserve">   </w:t>
      </w:r>
      <w:r>
        <w:rPr>
          <w:rFonts w:ascii="FangSong" w:hAnsi="FangSong" w:eastAsia="FangSong" w:cs="FangSong"/>
          <w:color w:val="000000"/>
          <w:sz w:val="21"/>
        </w:rPr>
        <w:t xml:space="preserve">月</w:t>
      </w:r>
      <w:r>
        <w:rPr>
          <w:rFonts w:ascii="FangSong" w:hAnsi="FangSong" w:eastAsia="FangSong" w:cs="FangSong"/>
          <w:color w:val="000000"/>
          <w:sz w:val="21"/>
          <w:u w:val="single"/>
        </w:rPr>
        <w:t xml:space="preserve">   </w:t>
      </w:r>
      <w:r>
        <w:rPr>
          <w:rFonts w:ascii="FangSong" w:hAnsi="FangSong" w:eastAsia="FangSong" w:cs="FangSong"/>
          <w:color w:val="000000"/>
          <w:sz w:val="21"/>
        </w:rPr>
        <w:t xml:space="preserve">日，完成日期：</w:t>
      </w:r>
      <w:r>
        <w:rPr>
          <w:rFonts w:ascii="FangSong" w:hAnsi="FangSong" w:eastAsia="FangSong" w:cs="FangSong"/>
          <w:color w:val="000000"/>
          <w:sz w:val="21"/>
          <w:u w:val="single"/>
        </w:rPr>
        <w:t xml:space="preserve">    </w:t>
      </w:r>
      <w:r>
        <w:rPr>
          <w:rFonts w:ascii="FangSong" w:hAnsi="FangSong" w:eastAsia="FangSong" w:cs="FangSong"/>
          <w:color w:val="000000"/>
          <w:sz w:val="21"/>
        </w:rPr>
        <w:t xml:space="preserve">年</w:t>
      </w:r>
      <w:r>
        <w:rPr>
          <w:rFonts w:ascii="FangSong" w:hAnsi="FangSong" w:eastAsia="FangSong" w:cs="FangSong"/>
          <w:color w:val="000000"/>
          <w:sz w:val="21"/>
          <w:u w:val="single"/>
        </w:rPr>
        <w:t xml:space="preserve">   </w:t>
      </w:r>
      <w:r>
        <w:rPr>
          <w:rFonts w:ascii="FangSong" w:hAnsi="FangSong" w:eastAsia="FangSong" w:cs="FangSong"/>
          <w:color w:val="000000"/>
          <w:sz w:val="21"/>
        </w:rPr>
        <w:t xml:space="preserve">月</w:t>
      </w:r>
      <w:r>
        <w:rPr>
          <w:rFonts w:ascii="FangSong" w:hAnsi="FangSong" w:eastAsia="FangSong" w:cs="FangSong"/>
          <w:color w:val="000000"/>
          <w:sz w:val="21"/>
          <w:u w:val="single"/>
        </w:rPr>
        <w:t xml:space="preserve">   </w:t>
      </w:r>
      <w:r>
        <w:rPr>
          <w:rFonts w:ascii="FangSong" w:hAnsi="FangSong" w:eastAsia="FangSong" w:cs="FangSong"/>
          <w:color w:val="000000"/>
          <w:sz w:val="21"/>
        </w:rPr>
        <w:t xml:space="preserve">日。</w:t>
      </w:r>
      <w:r/>
    </w:p>
    <w:p>
      <w:pPr>
        <w:numPr>
          <w:ilvl w:val="0"/>
          <w:numId w:val="4"/>
        </w:numPr>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履约地点：</w:t>
      </w:r>
      <w:r>
        <w:rPr>
          <w:rFonts w:ascii="FangSong" w:hAnsi="FangSong" w:eastAsia="FangSong" w:cs="FangSong"/>
          <w:color w:val="000000"/>
          <w:sz w:val="21"/>
          <w:u w:val="single"/>
        </w:rPr>
        <w:t xml:space="preserve">                             </w:t>
      </w:r>
      <w:r/>
    </w:p>
    <w:p>
      <w:pPr>
        <w:numPr>
          <w:ilvl w:val="0"/>
          <w:numId w:val="4"/>
        </w:numPr>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质量标准：合格，满足买方要求</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4.付款方式：</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预付款支付合同价的40%，待工程机械、人工进场后支付（付款前乙方须提供等额的付款保函作为担保，有效期至相关职能部门全部竣工验收合格）；项目竣工验收合格后付至合同价的80%（同时扣回预付款），审计结束后付至审计价的100%。（供应商凭正式的增值税普通发票支取）</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5.组成合同的文件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本协议书与下列文件一起构成合同文件，如下述文件之间有任何抵触、矛盾或歧义，应按以下顺序解释：</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（1）政府采购合同协议书及其变更、补充协议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（2）政府采购合同专用条款</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（3）政府采购合同通用条款</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（4）中标（成交）通知书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（5）投标（响应）文件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（6）采购文件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（7）有关技术文件，图纸</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（8）国家法律、行政法规和规章制度规定或合同约定的作为合同组成部分的其他文件</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6.合同生效</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本合同自</w:t>
      </w:r>
      <w:r>
        <w:rPr>
          <w:rFonts w:ascii="FangSong" w:hAnsi="FangSong" w:eastAsia="FangSong" w:cs="FangSong"/>
          <w:color w:val="000000"/>
          <w:sz w:val="21"/>
          <w:u w:val="single"/>
        </w:rPr>
        <w:t xml:space="preserve">                             </w:t>
      </w:r>
      <w:r>
        <w:rPr>
          <w:rFonts w:ascii="FangSong" w:hAnsi="FangSong" w:eastAsia="FangSong" w:cs="FangSong"/>
          <w:color w:val="000000"/>
          <w:sz w:val="21"/>
        </w:rPr>
        <w:t xml:space="preserve">生效。</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7.合同份数</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本合同一式</w:t>
      </w:r>
      <w:r>
        <w:rPr>
          <w:rFonts w:ascii="FangSong" w:hAnsi="FangSong" w:eastAsia="FangSong" w:cs="FangSong"/>
          <w:color w:val="000000"/>
          <w:sz w:val="21"/>
          <w:u w:val="single"/>
        </w:rPr>
        <w:t xml:space="preserve">    </w:t>
      </w:r>
      <w:r>
        <w:rPr>
          <w:rFonts w:ascii="FangSong" w:hAnsi="FangSong" w:eastAsia="FangSong" w:cs="FangSong"/>
          <w:color w:val="000000"/>
          <w:sz w:val="21"/>
        </w:rPr>
        <w:t xml:space="preserve">份，甲方执</w:t>
      </w:r>
      <w:r>
        <w:rPr>
          <w:rFonts w:ascii="FangSong" w:hAnsi="FangSong" w:eastAsia="FangSong" w:cs="FangSong"/>
          <w:color w:val="000000"/>
          <w:sz w:val="21"/>
          <w:u w:val="single"/>
        </w:rPr>
        <w:t xml:space="preserve">    </w:t>
      </w:r>
      <w:r>
        <w:rPr>
          <w:rFonts w:ascii="FangSong" w:hAnsi="FangSong" w:eastAsia="FangSong" w:cs="FangSong"/>
          <w:color w:val="000000"/>
          <w:sz w:val="21"/>
        </w:rPr>
        <w:t xml:space="preserve">份，乙方执</w:t>
      </w:r>
      <w:r>
        <w:rPr>
          <w:rFonts w:ascii="FangSong" w:hAnsi="FangSong" w:eastAsia="FangSong" w:cs="FangSong"/>
          <w:color w:val="000000"/>
          <w:sz w:val="21"/>
          <w:u w:val="single"/>
        </w:rPr>
        <w:t xml:space="preserve">    </w:t>
      </w:r>
      <w:r>
        <w:rPr>
          <w:rFonts w:ascii="FangSong" w:hAnsi="FangSong" w:eastAsia="FangSong" w:cs="FangSong"/>
          <w:color w:val="000000"/>
          <w:sz w:val="21"/>
        </w:rPr>
        <w:t xml:space="preserve">份，均具有同等法律效力。</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合同订立时间：</w:t>
      </w:r>
      <w:r>
        <w:rPr>
          <w:rFonts w:ascii="FangSong" w:hAnsi="FangSong" w:eastAsia="FangSong" w:cs="FangSong"/>
          <w:color w:val="000000"/>
          <w:sz w:val="21"/>
          <w:u w:val="single"/>
        </w:rPr>
        <w:t xml:space="preserve">         </w:t>
      </w:r>
      <w:r>
        <w:rPr>
          <w:rFonts w:ascii="FangSong" w:hAnsi="FangSong" w:eastAsia="FangSong" w:cs="FangSong"/>
          <w:color w:val="000000"/>
          <w:sz w:val="21"/>
        </w:rPr>
        <w:t xml:space="preserve">年</w:t>
      </w:r>
      <w:r>
        <w:rPr>
          <w:rFonts w:ascii="FangSong" w:hAnsi="FangSong" w:eastAsia="FangSong" w:cs="FangSong"/>
          <w:color w:val="000000"/>
          <w:sz w:val="21"/>
          <w:u w:val="single"/>
        </w:rPr>
        <w:t xml:space="preserve">      </w:t>
      </w:r>
      <w:r>
        <w:rPr>
          <w:rFonts w:ascii="FangSong" w:hAnsi="FangSong" w:eastAsia="FangSong" w:cs="FangSong"/>
          <w:color w:val="000000"/>
          <w:sz w:val="21"/>
        </w:rPr>
        <w:t xml:space="preserve">月</w:t>
      </w:r>
      <w:r>
        <w:rPr>
          <w:rFonts w:ascii="FangSong" w:hAnsi="FangSong" w:eastAsia="FangSong" w:cs="FangSong"/>
          <w:color w:val="000000"/>
          <w:sz w:val="21"/>
          <w:u w:val="single"/>
        </w:rPr>
        <w:t xml:space="preserve">      </w:t>
      </w:r>
      <w:r>
        <w:rPr>
          <w:rFonts w:ascii="FangSong" w:hAnsi="FangSong" w:eastAsia="FangSong" w:cs="FangSong"/>
          <w:color w:val="000000"/>
          <w:sz w:val="21"/>
        </w:rPr>
        <w:t xml:space="preserve">日</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合同订立地点：</w:t>
      </w:r>
      <w:r>
        <w:rPr>
          <w:rFonts w:ascii="FangSong" w:hAnsi="FangSong" w:eastAsia="FangSong" w:cs="FangSong"/>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附件：具体标的及其技术要求和商务要求、联合协议、分包意向协议等。</w:t>
      </w:r>
      <w:r/>
    </w:p>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甲    方:                                           乙    方:</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单位盖章:                                          单位盖章:</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代表签字:                                          代表签字:</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签定日期:                                          签定日期:</w:t>
      </w:r>
      <w:r/>
    </w:p>
    <w:p>
      <w:pPr>
        <w:pStyle w:val="640"/>
        <w:ind w:left="0" w:right="0" w:firstLine="0"/>
        <w:jc w:val="both"/>
        <w:spacing w:before="260" w:after="26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pStyle w:val="640"/>
        <w:ind w:left="0" w:right="0" w:firstLine="0"/>
        <w:jc w:val="center"/>
        <w:spacing w:before="156" w:after="260" w:line="761" w:lineRule="atLeast"/>
        <w:pBdr>
          <w:top w:val="none" w:color="000000" w:sz="4" w:space="0"/>
          <w:left w:val="none" w:color="000000" w:sz="4" w:space="0"/>
          <w:bottom w:val="none" w:color="000000" w:sz="4" w:space="0"/>
          <w:right w:val="none" w:color="000000" w:sz="4" w:space="0"/>
        </w:pBdr>
      </w:pPr>
      <w:r>
        <w:br w:type="page" w:clear="all"/>
      </w:r>
      <w:r/>
    </w:p>
    <w:p>
      <w:pPr>
        <w:pStyle w:val="640"/>
        <w:ind w:left="0" w:right="0" w:firstLine="0"/>
        <w:jc w:val="center"/>
        <w:spacing w:before="156" w:after="26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第二节 政府采购合同通用条款</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1.定义</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本合同中的下列术语应解释为:</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（1）“合同”系指买方与卖方签署的、合同格式中列明的买方与卖方所达成的协议，包括所有的附件、附录和构成合同的所有文件。</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（2）“合同价”系指根据合同规定，卖方在完全履行合同义务后买方应支付给卖方的价格。</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（3）“货物”系指卖方按合同要求，须向买方提供的一切设备、机械、仪表、备件、工具、手册和其他技术资料及其他材料。</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（4）“服务”系指根据合同规定卖方承担与供货有关的所有辅助服务，如运输、保险以及其它的服务，如安装、调试、提供技术援助、培训及其他类似的义务。</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（5）“买方”系指盱眙县桂五镇人民政府。</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（6）“卖方”系指提供货物和服务的供应商。</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2.技术规格</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2.1卖方所提供货物的技术规格应与招标文件规定的技术规格以及所附的技术规格响应偏离表相一致。</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3.专利权</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3.1卖方应保证买方在使用该货物或其任何一部分时不受第三方提出侵犯其专利权、商标权和工业设计权的起诉。一旦出现专利侵权，卖方应负全部责任，且买方拒付全部货款。</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4.包装要求</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4.1除合同另有规定外，卖方提供的全部货物均按标准保护措施进行包装。该包装应适应于远距离运输、防潮、防震、防锈和防野蛮装卸，以确保货物安全无损运抵指定现场。由于包装不善所引起的货物锈蚀、损坏和损失均由卖方承担。</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4.2每件包装箱内应附一份详细装箱单和质量合格标识。</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5.装运条件</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5.1根据采购人指定地点，卖方负责安排运输，运输费由卖方承担。</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6.付款</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6.1本合同以人民币付款。</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6.2卖方应按照与买方签订的合同规定交货。交货后卖方向买方提供下列单据，买方按合同规定审核后付款:</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（1）发票；</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（2）制造厂家出具的质量检验合格证书等；</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（3）装箱单；</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（4）采购人加盖公章证明货物交付使用合格的验收表。</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6.3买方将按“合同条款前附表”规定的付款计划安排付款。</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7.伴随服务</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7.1卖方应按照国家有关规定和合同中所附的服务承诺提供服务。</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7.2除第7.1条规定外，卖方还应提供下列服务:</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（1）货物的现场安装和启动监督；</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（2）提供货物组装和维修所需的工具；</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（3）在合同中卖方承诺的期限内对所提供货物实施运行监督、维修，但前提条件是该服务并不能免除卖方在质量保证期内应承担的义务；</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（4）在项目交货现场就货物的安装、启动、运行、维护对买方人员进行培训。</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7.3伴随服务的费用应含在合同价中，不单独进行支付。</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8.质量保证</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8.1卖方所提供货物必须符合招标文件要求并不低于国家有关标准。</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8.2卖方应保证货物是全新、未使用过的，是用一流的工艺和最佳材料制造的原装合格正品，并完全符合合同规定的质量、规格和性能的要求。卖方应保证其货物在正确安装、正常使用和保养条件下，在其使用寿命应具有满意的性能。货物最终验收后，在质量保证期内，卖方应对由于设计、工艺或材料缺陷而发生任何不足或故障负责，费用由卖方负担。</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8.3根据法定检验机构的检验结果或者在质量保证内，如果货物的数量、质量或规格与合同不符，或证明货物是有缺陷的，包括潜在的缺陷或使用不符合要求的材料等，买方以书面形式向卖方提出本保证下的索赔。</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8.4卖方在收到通知后，应在合同中所附服务承诺约定的时间内免费维修、更换有缺陷的货物或部件。</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8.5如果卖方在收到通知后，在合同中所附服务承诺约定的时间内没有弥补缺陷，买方可采取必要的补救措施，但风险和费用将由卖方承担。</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9.检验</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9.1在发货前，卖方应对货物的质量、规格、性能、数量和重量等进行准确而全面的检验，并出具一份证明货物符合合同规定的证书。该证书将作为提交付款单据的一部分，但有关质量、规格、性能、数量或重量的检验不应视为最终检验。卖方检验的结果和细节应附在检验证书后面。</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9.2买方将在卖方交货后叁天内组织验收，如果货物的质量和规格与合同规定相符，买方应及时填写验收表，如果货物的质量的规格与合同规定不符，或在质量保证期内发现货物是有缺陷的，包括潜在缺陷或使用不符合要求的材料，买方应报请法定检验机构进行检查，并有权凭其出具的检验报告向卖方提出索赔。</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10.索赔</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10.1买方有权根据法定检验机构出具的检验报告，向卖方提出索赔。</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10.2根据合同规定的检验期和质量保证期内，如果卖方对买方提出的索赔和差异负有责任，卖方应按照买方同意的下列一种或多种方式解决索赔事宜；</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卖方同意退货，并用合同中规定的货币将货款退还给买方，并承担由此发生的一切损失和费用，包括利息、银行手续费、运费、保险费、检验费、仓储费、装卸费以及为保护退回货物所需的其它必要费用和由此给买方带来的一切相关损失。</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（2）根据货物的低劣程度、损坏程度以及买方所遭损失的数额，卖方必须降低货物的价格。</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用符合合同的规定的规格、质量和性能要求的新零件、部件或设备来更换和或修补有缺陷的部分，卖方应承担一切费用和风险并负担买方所蒙受的全部直接损失费用。同时，卖方应按合同规定，对更换和修补件相应延长质量保证期。</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10.3如果在买方发出索赔通知后贰拾天内，卖方未作答复，上述索赔应视为已被卖方接受，如卖方未能在买方提出索赔通知后贰拾天内或买方同意的更长时间内，按照本合同规定的任何一种方法解决索赔事宜，买方将从卖方开具的履约保证金中扣回索赔金额，或采用法律手段解决索赔事宜。</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11.卖方迟交货、安装</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11.1卖方应按照“合同条款前附表”中规定的交货期交货、安装，并交付买方验收使用。如果卖方无正当理由拖延交货、安装，将受到以下制裁:不予退还履约保证金，加收误期赔偿或终止合同。</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11.2在履行合同过程中，如果卖方遇到不能按时交货、安装和提供服务的情况，应及时以书面形式将不能按时交货、安装的理由，可能延误的时间同时通知买方。买方在收到卖方通知后，应对情况进行分析，决定是否修改合同、酌情延长交货、安装时间或终止合同；同时保留按第11.1条规定对卖方进行制裁的权力。</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12.误期赔偿</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12.1除合同条款第13条规定外，如果卖方没有按照合同规定的时间交货和提供服务，买方将从货款中扣除误期赔偿费而不影响合同项目的其他补救方法，赔偿费超期一天罚款5000元</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13.不可抗力</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13.1尽管有合同条款第11条、12条和17条的规定，如果卖方因不可抗力而导致合同实施延误或不能履行合同义务的话，不应该被不予退还履约保证金，也不应该承担误期赔偿或终止合同的责任。</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13.2本条所述的“不可抗力”系指那些卖方无法控制、不可预见的事件，但不包括卖方的违约或疏忽。这些事件包括:战争、严重火灾、洪水、台风、地震以及其它买方和卖方商定的事件。</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13.3在不可抗力事件发生后，卖方应尽快以书面形式将不可抗力的情况和原因通知买方。除买方书面另行要求外，卖方应尽实际可能继续履行合同义务，以及寻求采取合理的方案履行不受不可抗力影响的其他事项。如果不可抗力事件影响时间持续120天以上时，买方和卖方应通过友好协商在合理的时间内达成进一步履行合同的协议。</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14.税费</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14.1中国政府根据现行税法规定对买方征收的、与本合同有关的一切税费，均由买方负担，招标文件另有规定的除外。</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14.2中国政府根据现行税法规定对卖方征收的、与本合同有关的一切税费，均由卖方负担。</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15.履约保证金</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15.1为保证合同的顺利执行，卖方必须在签订合同前，向买方提交金额为合同金额1%的履约保证金。</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15.2履约保证金</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①履约保证金：卖方必须在签订合同之前，向买方缴纳中标（包）预算价1%的履约保证金，否则买方可取消其中标资格；卖方提供的履约保证金可以是人民币形式（数字人民币、银行本票、汇票、支票、电汇），或银行保函、担保公司的保证担保或保险公司的保证保险等多种形式。</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②卖方选取银行保函、担保公司的保证担保或保险公司的保证保险等形式的向买方缴纳，如保函（担保、保险等）的约定期到期但卖方履约仍未结束的，卖方须进行续保。</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③如卖方未能履行合同规定的义务，甲方有权从履约保证金中取得补偿。</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④履约保证金在合同约定期间内不予退还或者应完全有效，约定期届满，甲方应将人民币形式的履约保证金退还卖方，逾期退还的，按中国人民银行同期贷款基利率上浮20%后的利率支付超期资金占用费，但因卖方自身原因导致无法及时退还的除外。</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16.仲裁</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16.1在执行本合同所发生的或与本合同有关一切争端，买方和卖方应通过友好协商的办法进行解决。如从协商开始叁拾天内仍不能解决，应将争端提交有关市政府或行业主管部门寻求可能解决的办法。如果提交有关市政府或行业主管部门后叁拾天内仍得不到解决，则应申请仲裁。</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16.2仲裁应根据《中华人民共和国仲裁法》的规定向买方所在地有管辖权的仲裁机构申请仲裁。</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16.3仲裁裁决为最终裁决，对买方和卖方均有约束力。</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16.4在仲裁期间，本合同应继续执行。</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17.违约终止合同</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17.1在买方对卖方违约而采取的任何补救措施不受影响的情况下，买方可向卖方发出终止部分或全部合同的书面通知书。</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（1）如果卖方未能按合同规定的期限或买方同意延长的限期内提供部分或全部货物；</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（2）卖方在收到买方发出的违约通知后贰拾天内，或经买方书面认可可延长的时间内未能纠正其过失；</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（3）如果卖方未能履行合同规定的其他义务。</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17.2在买方根据上述第17.1条规定，终止了全部或部分合同后，买方可以依其认为适当的条件和方法购买与未交货物类似的货物，卖方应对买方购买类似货物所超出的那部分费用负责，并继续执行合同中未终止的部分。</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18.破产中止合同</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18.1如果卖方破产或无清偿能力，买方可在任何时候以书面形式通知卖方中止合同而不给卖方补偿。该中止合同将不损害或影响买方和使用方已经采取或将要采取的任何行动或补救措施的权力</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19.转让</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19.1除买方事先书面同意外，卖方不得部分转让或全部转让其应履行的合同义务。</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20.合同生效及其它</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20.1淮安市政府采购网                              号招标文件、卖方提交的                      号投标文件、本次招标的中标通知书和招标过程中卖方的投标澄清等内容将作为本次采购合同文件的主要内容。卖方在合同履行过程中若发生服务内容缩减、服务不及时的现象，买方有权对卖方处以适当的经济处罚。</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20.2本合同应在买方和卖方双方签字盖章，并在卖方向买方交纳履约保证金后生效。</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20.3本合同一式六份，以中文书写，卖方、买方各执二份，采购代理留存二份。</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20.4合同货物交付使用后所发生的合同纠纷，买方与卖方进行处理。</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20.5如需修改或补充合同内容，应经卖方、买方协商，签署书面修改或补充协议。该协议将作为本合同不可分割的一部分。</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20.6本合同应按照中华人民共和国的现行法律进行解释。</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第五章项目采购需求</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11"/>
        <w:gridCol w:w="919"/>
        <w:gridCol w:w="3360"/>
        <w:gridCol w:w="380"/>
        <w:gridCol w:w="912"/>
        <w:gridCol w:w="530"/>
        <w:gridCol w:w="1989"/>
      </w:tblGrid>
      <w:tr>
        <w:trPr>
          <w:trHeight w:val="420"/>
        </w:trPr>
        <w:tc>
          <w:tcPr>
            <w:gridSpan w:val="7"/>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4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报价单</w:t>
            </w:r>
            <w:r/>
          </w:p>
        </w:tc>
      </w:tr>
      <w:tr>
        <w:trPr>
          <w:trHeight w:val="510"/>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序号</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项目名称</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60" w:type="dxa"/>
            <w:vAlign w:val="center"/>
            <w:textDirection w:val="lrTb"/>
            <w:noWrap w:val="false"/>
          </w:tcPr>
          <w:p>
            <w:pPr>
              <w:ind w:left="0" w:right="0" w:firstLine="110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规 格</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计量</w:t>
              <w:br/>
              <w:t xml:space="preserve">单位</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ind w:left="0" w:right="0" w:firstLine="2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数量</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单价(元)</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合价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(元)</w:t>
            </w:r>
            <w:r/>
          </w:p>
        </w:tc>
      </w:tr>
      <w:tr>
        <w:trPr>
          <w:trHeight w:val="2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7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电气设备安装工程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配电箱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1、名称：配电箱</w:t>
              <w:br/>
              <w:t xml:space="preserve">2、型号：AP1                         </w:t>
              <w:br/>
              <w:t xml:space="preserve">3、安装方式：落地（含基础）                          4、详见图纸，满足甲方使用需求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7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控制箱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1、名称：拉幕电机控制箱</w:t>
              <w:br/>
              <w:t xml:space="preserve">2、规格：APLM</w:t>
              <w:br/>
              <w:t xml:space="preserve">3、安装方式：落地</w:t>
              <w:br/>
              <w:t xml:space="preserve">4、详见图纸，满足甲方使用需求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2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控制箱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1、名称：卷膜电机控制箱</w:t>
              <w:br/>
              <w:t xml:space="preserve">2、规格：APLM-1</w:t>
              <w:br/>
              <w:t xml:space="preserve">3、安装方式：落地</w:t>
              <w:br/>
              <w:t xml:space="preserve">4、详见图纸，满足甲方使用需求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2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卷膜电机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1、名称：卷膜电机</w:t>
              <w:br/>
              <w:t xml:space="preserve">2、规格：24v 100w</w:t>
              <w:br/>
              <w:t xml:space="preserve">3、含安装及配件，</w:t>
              <w:br/>
              <w:t xml:space="preserve">4、详见图纸，满足甲方使用需求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578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2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拉幕电机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1、名称：拉幕电机</w:t>
              <w:br/>
              <w:t xml:space="preserve">2、规格：0.75KW 380V</w:t>
              <w:br/>
              <w:t xml:space="preserve">3、含安装及配件，</w:t>
              <w:br/>
              <w:t xml:space="preserve">4、详见图纸，满足甲方使用需求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配管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1、名称：线管敷设</w:t>
              <w:br/>
              <w:t xml:space="preserve">2、规格：SC32</w:t>
              <w:br/>
              <w:t xml:space="preserve">3、配置形式：暗配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5485.93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7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电力电缆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1.名称:电力电缆</w:t>
              <w:br/>
              <w:t xml:space="preserve">2.规格:ZRC-YJV 0.6/1.0kV-5*6</w:t>
              <w:br/>
              <w:t xml:space="preserve">3.敷设方式、部位:沿桥架或穿管</w:t>
              <w:br/>
              <w:t xml:space="preserve">4.其他未述事项按设计图纸及相关规范要求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电力电缆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1.名称:电力电缆</w:t>
              <w:br/>
              <w:t xml:space="preserve">2.规格:ZRC-YJV 0.6/1.0kV-5*4</w:t>
              <w:br/>
              <w:t xml:space="preserve">3.敷设方式、部位:沿桥架或穿管</w:t>
              <w:br/>
              <w:t xml:space="preserve">4.其他未述事项按设计图纸及相关规范要求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 w:type="dxa"/>
            <w:vAlign w:val="center"/>
            <w:vMerge w:val="restart"/>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电力电缆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1.名称:电力电缆</w:t>
              <w:br/>
              <w:t xml:space="preserve">2.规格:ZRC-YJV 0.6/1.0kV-5*2.5</w:t>
              <w:br/>
              <w:t xml:space="preserve">3.敷设方式、部位:沿桥架或穿管</w:t>
              <w:br/>
              <w:t xml:space="preserve">4.其他未述事项按设计图纸及相关规范要求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5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vMerge w:val="restart"/>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电力电缆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1.名称:电力电缆</w:t>
              <w:br/>
              <w:t xml:space="preserve">2.规格:ZRC-YJV 0.6/1.0kV-3*2.5</w:t>
              <w:br/>
              <w:t xml:space="preserve">3.敷设方式、部位:沿桥架或穿管</w:t>
              <w:br/>
              <w:t xml:space="preserve">4.:含电缆头制作安装</w:t>
              <w:br/>
              <w:t xml:space="preserve">5.其他未述事项按设计图纸及相关规范要求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3455.48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4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室外电缆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0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电力电缆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1.名称:电力电缆</w:t>
              <w:br/>
              <w:t xml:space="preserve">2.规格:ZRC-YIV22 0.6/1.0kV-5*4</w:t>
              <w:br/>
              <w:t xml:space="preserve">3.敷设方式、部位:沿地面或穿管</w:t>
              <w:br/>
              <w:t xml:space="preserve">4.:含电缆头制作安装</w:t>
              <w:br/>
              <w:t xml:space="preserve">5.其他未述事项按设计图纸及相关规范要求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0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电力电缆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1.名称:电力电缆</w:t>
              <w:br/>
              <w:t xml:space="preserve">2.规格:ZRC-YIV22 0.6/1.0kV-5*16</w:t>
              <w:br/>
              <w:t xml:space="preserve">3.敷设方式、部位:沿地面或穿管</w:t>
              <w:br/>
              <w:t xml:space="preserve">4.:含电缆头制作安装</w:t>
              <w:br/>
              <w:t xml:space="preserve">5.其他未述事项按设计图纸及相关规范要求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2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电力电缆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r>
            <w:r>
              <w:rPr>
                <w:rFonts w:ascii="FangSong" w:hAnsi="FangSong" w:eastAsia="FangSong" w:cs="FangSong"/>
                <w:color w:val="000000"/>
                <w:sz w:val="24"/>
              </w:rPr>
              <w:t xml:space="preserve">1.名称:电力电缆</w:t>
              <w:br/>
              <w:t xml:space="preserve">2.规格:ZRC-YJV22 0.6/1.0kV-4*35+1*16</w:t>
              <w:br/>
              <w:t xml:space="preserve">3.敷设方式、部位:沿地面或穿管</w:t>
              <w:br/>
              <w:t xml:space="preserve">4.:含电缆头制作安装</w:t>
              <w:br/>
              <w:t xml:space="preserve">5.其他未述事项按设计图纸及相关规范要求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0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电力电缆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1.名称:电力电缆</w:t>
              <w:br/>
              <w:t xml:space="preserve">2.规格:RC-YIV22 0.6/1.0kV-4*25+1*16</w:t>
              <w:br/>
              <w:t xml:space="preserve">3.敷设方式、部位:沿地面或穿管</w:t>
              <w:br/>
              <w:t xml:space="preserve">4.:含电缆头制作安装</w:t>
              <w:br/>
              <w:t xml:space="preserve">5.其他未述事项按设计图纸及相关规范要求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0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电力电缆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r>
            <w:r>
              <w:rPr>
                <w:rFonts w:ascii="FangSong" w:hAnsi="FangSong" w:eastAsia="FangSong" w:cs="FangSong"/>
                <w:color w:val="000000"/>
                <w:sz w:val="24"/>
              </w:rPr>
              <w:t xml:space="preserve">1.名称:电力电缆</w:t>
              <w:br/>
              <w:t xml:space="preserve">2.规格:ZRYJV-4*95+1*50</w:t>
              <w:br/>
              <w:t xml:space="preserve">3.敷设方式、部位:沿地面或穿管</w:t>
              <w:br/>
              <w:t xml:space="preserve">4.:含电缆头制作安装</w:t>
              <w:br/>
              <w:t xml:space="preserve">5.其他未述事项按设计图纸及相关规范要求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电力电缆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1.名称:电力电缆</w:t>
              <w:br/>
              <w:t xml:space="preserve">2.规格:ZRC-YIV22 0.6/1.0kV-3*10+2*6</w:t>
              <w:br/>
              <w:t xml:space="preserve">3.敷设方式、部位:沿地面或穿管</w:t>
              <w:br/>
              <w:t xml:space="preserve">4.:含电缆头制作安装</w:t>
              <w:br/>
              <w:t xml:space="preserve">5.其他未述事项按设计图纸及相关规范要求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 w:type="dxa"/>
            <w:vAlign w:val="center"/>
            <w:vMerge w:val="restart"/>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电力电缆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1.名称:电力电缆</w:t>
              <w:br/>
              <w:t xml:space="preserve">2.规格:ZRC-YIV22 0.6/1.0kV-5*10</w:t>
              <w:br/>
              <w:t xml:space="preserve">3.敷设方式、部位:沿地面或穿管</w:t>
              <w:br/>
              <w:t xml:space="preserve">4.:含电缆头制作安装</w:t>
              <w:br/>
              <w:t xml:space="preserve">5.其他未述事项按设计图纸及相关规范要求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6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配管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1、名称：线管敷设</w:t>
              <w:br/>
              <w:t xml:space="preserve">2、规格：SC50</w:t>
              <w:br/>
              <w:t xml:space="preserve">3、配置形式：暗配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配管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1、名称：线管敷设</w:t>
              <w:br/>
              <w:t xml:space="preserve">2、规格：SC80</w:t>
              <w:br/>
              <w:t xml:space="preserve">3、配置形式：暗配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人（手）孔井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1、单叶井、具体做法详见“单叶电缆井施工图”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5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配电箱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1、名称：配电箱</w:t>
              <w:br/>
              <w:t xml:space="preserve">2、型号：AP9-10                          </w:t>
              <w:br/>
              <w:t xml:space="preserve">3、安装方式：落地（含基础）                          4、详见图纸，满足甲方使用需求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7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配电箱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1、名称：配电箱（2200*800*800）</w:t>
              <w:br/>
              <w:t xml:space="preserve">2、型号：TMY-4(50*8)                         </w:t>
              <w:br/>
              <w:t xml:space="preserve">3、安装方式：落地（含基础）                         4、详见图纸，满足甲方使用需求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送配电装置系统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电力系统调试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0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PE40目防虫网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PE40目防虫网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屋面卷膜系统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屋面卷膜系统含卷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膜杆、伸缩杆、 手</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动卷膜器、压膜卡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、防虫网等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钢屋架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1.钢材品种、规格:Q235B热镀锌钢管，包含设计图示的吊杆25*1.5、V字撑25*1.5、BZC 32*1.5、JDC25*1.5、纵、横梁30*50*2、纵拉杆25*1.5、主拱杆32*2.0、次拱杆25*1.5、侧梁25*1.5等所有组成完整结构部件。</w:t>
              <w:br/>
              <w:t xml:space="preserve">2.焊接部位油漆：防锈漆一遍，银粉漆二遍含打磨除锈。</w:t>
              <w:br/>
              <w:t xml:space="preserve">3.屋架跨度、安装高度:屋架跨度8m、安装高度4.5m,含安装费及吊装费。</w:t>
              <w:br/>
              <w:t xml:space="preserve">4、详见图纸，满足甲方使用需求。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147.348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4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钢立柱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FangSong" w:hAnsi="FangSong" w:eastAsia="FangSong" w:cs="FangSong"/>
                <w:color w:val="000000"/>
                <w:sz w:val="24"/>
              </w:rPr>
              <w:t xml:space="preserve">.钢材品种、规格:Q235B热镀锌钢管，包含设计图示的主立柱80*60*2.5、边副侧立柱32*2.0、门头立柱、端立柱30*50*2、等所有组成完整结构部件。</w:t>
              <w:br/>
              <w:t xml:space="preserve">2.焊接部位油漆：防锈漆一遍，银粉漆二遍含打磨除锈。</w:t>
              <w:br/>
              <w:t xml:space="preserve">3.含立柱顶板、底板等，含安装费及吊装费及其他安装所需费用。</w:t>
              <w:br/>
              <w:t xml:space="preserve">4、详见设计图纸，满足甲方使用需求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43.653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现浇构件钢筋</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36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1.钢筋种类、规格:HRB400、d≤12</w:t>
              <w:br/>
              <w:t xml:space="preserve">2、含制作安装   </w:t>
            </w: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3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t</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15.255</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5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钢架构配件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包含图纸中构架节点中的，纵杆连接件、纵杆连接件、护套、端面立柱包箍、主立柱中托架、主立柱边托架、副立柱托架、立柱剪刀撑U型丝、立柱剪刀撑U型丝、水平梁端包箍、米字撑横梁夹箍、米字撑横梁夹箍、米字撑夹箍螺栓等所有构件配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详见设计图纸，满足甲方使用需求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9.326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零星钢构件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含立柱顶板、底板、天沟托架、外遮阳立柱底板等构件配件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3.894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综合脚手架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70"/>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投标报价采用总承包方式，“投标总报价”应包括所投货物（包含与货物相关的服务）费用、安装调试费、测试验收费、培训费、运行维护费用、税金及其他有关的为完成本项目发生的所有费用，招标文件中另有规定的除外。（图纸详见附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1807"/>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1807"/>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1807"/>
        <w:jc w:val="both"/>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1807"/>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第六章投标文件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1084"/>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项目名称: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1066"/>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1066"/>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项目编号:</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1066"/>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投 标 人:</w:t>
      </w:r>
      <w:r/>
    </w:p>
    <w:p>
      <w:pPr>
        <w:ind w:left="0" w:right="0" w:firstLine="1904"/>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1904"/>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1904"/>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1904"/>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1904"/>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二0二四年    月    日</w:t>
      </w:r>
      <w:r/>
    </w:p>
    <w:p>
      <w:pPr>
        <w:ind w:left="0" w:right="0" w:firstLine="96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目录</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一、开标一览表</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（此表以电子标书格式为准）</w:t>
      </w:r>
      <w:r/>
    </w:p>
    <w:p>
      <w:pPr>
        <w:ind w:left="0" w:right="0" w:firstLine="643"/>
        <w:jc w:val="center"/>
        <w:spacing w:before="0" w:after="0" w:line="519" w:lineRule="atLeast"/>
        <w:pBdr>
          <w:top w:val="none" w:color="000000" w:sz="4" w:space="0"/>
          <w:left w:val="none" w:color="000000" w:sz="4" w:space="0"/>
          <w:bottom w:val="none" w:color="000000" w:sz="4" w:space="0"/>
          <w:right w:val="none" w:color="000000" w:sz="4" w:space="0"/>
        </w:pBdr>
      </w:pPr>
      <w:r>
        <w:br w:type="page" w:clear="all"/>
      </w:r>
      <w:r/>
    </w:p>
    <w:p>
      <w:pPr>
        <w:ind w:left="0" w:right="0" w:firstLine="643"/>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二、投标函</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致：</w:t>
      </w:r>
      <w:r>
        <w:rPr>
          <w:rFonts w:ascii="FangSong" w:hAnsi="FangSong" w:eastAsia="FangSong" w:cs="FangSong"/>
          <w:b/>
          <w:color w:val="000000"/>
          <w:sz w:val="28"/>
          <w:u w:val="single"/>
        </w:rPr>
        <w:t xml:space="preserve">      </w:t>
      </w:r>
      <w:r>
        <w:rPr>
          <w:rFonts w:ascii="FangSong" w:hAnsi="FangSong" w:eastAsia="FangSong" w:cs="FangSong"/>
          <w:color w:val="000000"/>
          <w:sz w:val="28"/>
          <w:u w:val="single"/>
        </w:rPr>
        <w:t xml:space="preserve">（采购单位）</w:t>
      </w:r>
      <w:r>
        <w:rPr>
          <w:rFonts w:ascii="FangSong" w:hAnsi="FangSong" w:eastAsia="FangSong" w:cs="FangSong"/>
          <w:b/>
          <w:color w:val="000000"/>
          <w:sz w:val="28"/>
          <w:u w:val="single"/>
        </w:rPr>
        <w:t xml:space="preserve">  </w:t>
      </w:r>
      <w:r>
        <w:rPr>
          <w:rFonts w:ascii="FangSong" w:hAnsi="FangSong" w:eastAsia="FangSong" w:cs="FangSong"/>
          <w:b/>
          <w:color w:val="000000"/>
          <w:sz w:val="28"/>
        </w:rPr>
        <w:t xml:space="preserve">：</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采购项目（项目编号:</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招标文件（包括更正公告、如果有的话）收悉，我们经详细审阅和研究，现决定参加投标。同时，正式授权下述签字人</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（姓名和职务）代表</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（投标人单位名称），全权处理本次项目投标的有关事宜。</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1、按照招标文件规定的各项要求，我方愿以总报价为</w:t>
      </w:r>
      <w:r>
        <w:rPr>
          <w:rFonts w:ascii="FangSong" w:hAnsi="FangSong" w:eastAsia="FangSong" w:cs="FangSong"/>
          <w:color w:val="000000"/>
          <w:sz w:val="28"/>
          <w:u w:val="single"/>
        </w:rPr>
        <w:t xml:space="preserve">大写；                   （小写            ）</w:t>
      </w:r>
      <w:r>
        <w:rPr>
          <w:rFonts w:ascii="FangSong" w:hAnsi="FangSong" w:eastAsia="FangSong" w:cs="FangSong"/>
          <w:color w:val="000000"/>
          <w:sz w:val="28"/>
        </w:rPr>
        <w:t xml:space="preserve">向采购人提供所需货物、服务（包含与货物相关的服务及与服务相关的货物）。</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2、我们接受招标文件的所有的条款和规定。</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我们同意本投标文件的有效期为从开标之日期起计算的九十天，在此期间，本投标文件将始终对我们具有约束力，并可随时被接受。如果我们中标，本投标文件在此期间之后将继续保持有效。如果在开标后规定的投标有效期内撤回投标，我们的投标保证金可被贵方没收。</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4、我们理解，你们无义务必须接受投标价最低的投标。同时也理解你们不承担我们本次投标的费用。</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5、我们同意向贵方提供贵方可能要求的与投标有关的任何证据或资料，并保证所提供的都是真实的、准确的。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6、一旦我方中标，我方将根据招标文件的规定，严格履行合同的责任和义务，并保证在按招标文件中规定的时间内供货，并完成项目的施工、调试、交付买方验收、使用。</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7、我公司没有为本项目提供整体设计、规范编制或者项目管理、监理、检测等服务。</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8、参加本次采购活动前，我方没有被“信用中国”网站、“中国政府采购网”列入失信被执行人名单、重大税收违法案件当事人名单、政府采购严重违法失信行为记录名单。</w:t>
      </w:r>
      <w:r/>
    </w:p>
    <w:p>
      <w:pPr>
        <w:ind w:left="0" w:right="0" w:firstLine="224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224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投标人名称（电子签章）:</w:t>
      </w:r>
      <w:r>
        <w:rPr>
          <w:rFonts w:ascii="FangSong" w:hAnsi="FangSong" w:eastAsia="FangSong" w:cs="FangSong"/>
          <w:color w:val="000000"/>
          <w:sz w:val="28"/>
          <w:u w:val="single"/>
        </w:rPr>
        <w:t xml:space="preserve">             </w:t>
      </w:r>
      <w:r/>
    </w:p>
    <w:p>
      <w:pPr>
        <w:ind w:left="0" w:right="0" w:firstLine="224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地址:</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邮编:</w:t>
      </w:r>
      <w:r>
        <w:rPr>
          <w:rFonts w:ascii="FangSong" w:hAnsi="FangSong" w:eastAsia="FangSong" w:cs="FangSong"/>
          <w:color w:val="000000"/>
          <w:sz w:val="28"/>
          <w:u w:val="single"/>
        </w:rPr>
        <w:t xml:space="preserve">             </w:t>
      </w:r>
      <w:r/>
    </w:p>
    <w:p>
      <w:pPr>
        <w:ind w:left="0" w:right="0" w:firstLine="224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电话:</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传真:</w:t>
      </w:r>
      <w:r>
        <w:rPr>
          <w:rFonts w:ascii="FangSong" w:hAnsi="FangSong" w:eastAsia="FangSong" w:cs="FangSong"/>
          <w:color w:val="000000"/>
          <w:sz w:val="28"/>
          <w:u w:val="single"/>
        </w:rPr>
        <w:t xml:space="preserve">           </w:t>
      </w:r>
      <w:r/>
    </w:p>
    <w:p>
      <w:pPr>
        <w:ind w:left="0" w:right="0" w:firstLine="224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 </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年</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月</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日</w:t>
      </w:r>
      <w:r/>
    </w:p>
    <w:p>
      <w:pPr>
        <w:ind w:left="0" w:right="0" w:firstLine="560"/>
        <w:spacing w:before="0" w:after="0" w:line="4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28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三、投标分项报价表</w:t>
      </w:r>
      <w:r/>
    </w:p>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（格式详见采购需求）</w:t>
      </w:r>
      <w:r/>
    </w:p>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560"/>
        <w:spacing w:before="240" w:after="24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1、投标报价采用总承包方式，“投标总报价”应包括所投货物（包含与货物相关的服务）费用、安装调试费、测试验收费、培训费、运行维护费用、税金及其他有关的为完成本项目发生的所有费用，招标文件中另有规定的除外。</w:t>
      </w:r>
      <w:r/>
    </w:p>
    <w:p>
      <w:pPr>
        <w:ind w:left="0" w:right="0" w:firstLine="560"/>
        <w:spacing w:before="240" w:after="24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2、“投标分项报价表”中“投标总报价”数额应当与“开标一览表”中“投标总报价”数额一致。</w:t>
      </w:r>
      <w:r/>
    </w:p>
    <w:p>
      <w:pPr>
        <w:ind w:left="0" w:right="0" w:firstLine="364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投标人名称（电子签章）:</w:t>
      </w:r>
      <w:r>
        <w:rPr>
          <w:rFonts w:ascii="FangSong" w:hAnsi="FangSong" w:eastAsia="FangSong" w:cs="FangSong"/>
          <w:color w:val="000000"/>
          <w:sz w:val="28"/>
          <w:u w:val="single"/>
        </w:rPr>
        <w:t xml:space="preserve">             </w:t>
      </w:r>
      <w:r/>
    </w:p>
    <w:p>
      <w:pPr>
        <w:ind w:left="0" w:right="0" w:firstLine="364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法定代表人:</w:t>
      </w:r>
      <w:r>
        <w:rPr>
          <w:rFonts w:ascii="FangSong" w:hAnsi="FangSong" w:eastAsia="FangSong" w:cs="FangSong"/>
          <w:color w:val="000000"/>
          <w:sz w:val="28"/>
          <w:u w:val="single"/>
        </w:rPr>
        <w:t xml:space="preserve">（电子签章或电子签字</w:t>
      </w:r>
      <w:r/>
    </w:p>
    <w:p>
      <w:pPr>
        <w:ind w:left="0" w:right="0" w:firstLine="364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 </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年</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月</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日</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四、服务承诺</w:t>
      </w:r>
      <w:r/>
    </w:p>
    <w:p>
      <w:pPr>
        <w:ind w:left="0" w:right="0" w:firstLine="0"/>
        <w:jc w:val="center"/>
        <w:spacing w:before="0" w:after="0" w:line="43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（格式由投标人自拟、加盖公章）</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948"/>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五、资质审查时投标人必须提供的资格证明文件</w:t>
      </w:r>
      <w:r/>
    </w:p>
    <w:p>
      <w:pPr>
        <w:ind w:left="0" w:right="0" w:firstLine="0"/>
        <w:jc w:val="center"/>
        <w:spacing w:before="0" w:after="0" w:line="43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（详见招标公告要求）</w:t>
      </w:r>
      <w:r/>
    </w:p>
    <w:p>
      <w:pPr>
        <w:ind w:left="0" w:right="0" w:firstLine="0"/>
        <w:jc w:val="center"/>
        <w:spacing w:before="0" w:after="0" w:line="43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line="43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center"/>
        <w:spacing w:before="0" w:after="0" w:line="437"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六、综合评分时投标人需提供的证明文件</w:t>
      </w:r>
      <w:r/>
    </w:p>
    <w:p>
      <w:pPr>
        <w:ind w:left="0" w:right="0" w:firstLine="0"/>
        <w:jc w:val="center"/>
        <w:spacing w:before="0" w:after="0" w:line="43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（供应商根据第三章评标标准的要求提供相关材料，加盖公章）</w:t>
      </w:r>
      <w:r/>
    </w:p>
    <w:p>
      <w:pPr>
        <w:ind w:left="0" w:right="0" w:firstLine="560"/>
        <w:spacing w:before="0" w:after="0" w:line="43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0"/>
        <w:spacing w:before="0" w:after="0" w:line="43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2"/>
        <w:spacing w:before="0" w:after="0" w:line="437"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友情提醒：</w:t>
      </w:r>
      <w:r/>
    </w:p>
    <w:p>
      <w:pPr>
        <w:ind w:left="0" w:right="0" w:firstLine="560"/>
        <w:spacing w:before="0" w:after="0" w:line="43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投标人所提供的资格证明材料应真实、有效，采购代理机构及采购人保留对投标人提供的资格证明材料进行核查的权利。如发投标人提供虚假资格证明材料，政府采购监管部门将对其进行严肃处理。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示范格式一</w:t>
      </w:r>
      <w:r/>
    </w:p>
    <w:p>
      <w:pPr>
        <w:ind w:left="0" w:right="0" w:firstLine="257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2891"/>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法定代表人资格证明</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地址:</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姓名:     性别:      年龄:      职务:</w:t>
      </w:r>
      <w:r/>
    </w:p>
    <w:p>
      <w:pPr>
        <w:ind w:left="1" w:right="0" w:firstLine="56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w:t>
      </w:r>
      <w:r>
        <w:rPr>
          <w:rFonts w:ascii="FangSong" w:hAnsi="FangSong" w:eastAsia="FangSong" w:cs="FangSong"/>
          <w:color w:val="000000"/>
          <w:sz w:val="28"/>
          <w:u w:val="single"/>
        </w:rPr>
        <w:t xml:space="preserve"> （投标人单位名称）</w:t>
      </w:r>
      <w:r>
        <w:rPr>
          <w:rFonts w:ascii="FangSong" w:hAnsi="FangSong" w:eastAsia="FangSong" w:cs="FangSong"/>
          <w:color w:val="000000"/>
          <w:sz w:val="28"/>
        </w:rPr>
        <w:t xml:space="preserve">的法定代表人。为参与</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项目，签署上述项目的投标文件、进行招标、签署合同和处理与之有关的一切事务。</w:t>
      </w:r>
      <w:r/>
    </w:p>
    <w:p>
      <w:pPr>
        <w:ind w:left="0" w:right="0" w:firstLine="28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28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特此证明。</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投标人:</w:t>
      </w:r>
      <w:r>
        <w:rPr>
          <w:rFonts w:ascii="FangSong" w:hAnsi="FangSong" w:eastAsia="FangSong" w:cs="FangSong"/>
          <w:color w:val="000000"/>
          <w:sz w:val="28"/>
          <w:u w:val="single"/>
        </w:rPr>
        <w:t xml:space="preserve">    （电子签章）</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日期:</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年 </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月</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日</w:t>
      </w:r>
      <w:r/>
    </w:p>
    <w:p>
      <w:pPr>
        <w:ind w:left="4760" w:right="560" w:hanging="182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注:投标人法定代表人参加投标的，必须附法定代表人身份证扫描件加盖投标人电子签章。法定代表人授权其他人参加投标的，仅需填写“授权委托书”。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359" w:right="0" w:firstLine="357"/>
        <w:jc w:val="both"/>
        <w:spacing w:before="0" w:after="0" w:line="640" w:lineRule="atLeast"/>
        <w:pBdr>
          <w:top w:val="none" w:color="000000" w:sz="4" w:space="0"/>
          <w:left w:val="none" w:color="000000" w:sz="4" w:space="0"/>
          <w:bottom w:val="none" w:color="000000" w:sz="4" w:space="0"/>
          <w:right w:val="none" w:color="000000" w:sz="4" w:space="0"/>
        </w:pBdr>
      </w:pPr>
      <w:r>
        <w:br w:type="page" w:clear="all"/>
      </w:r>
      <w:r/>
    </w:p>
    <w:p>
      <w:pPr>
        <w:ind w:left="-359" w:right="0" w:firstLine="357"/>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示范格式二</w:t>
      </w:r>
      <w:r/>
    </w:p>
    <w:p>
      <w:pPr>
        <w:ind w:left="0" w:right="0" w:firstLine="3213"/>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授权委托书</w:t>
      </w:r>
      <w:r/>
    </w:p>
    <w:p>
      <w:pPr>
        <w:ind w:left="0" w:right="0" w:firstLine="0"/>
        <w:jc w:val="both"/>
        <w:spacing w:before="0" w:after="0" w:line="43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致</w:t>
      </w:r>
      <w:r>
        <w:rPr>
          <w:rFonts w:ascii="FangSong" w:hAnsi="FangSong" w:eastAsia="FangSong" w:cs="FangSong"/>
          <w:color w:val="000000"/>
          <w:sz w:val="30"/>
          <w:u w:val="single"/>
        </w:rPr>
        <w:t xml:space="preserve">（采购单位）</w:t>
      </w:r>
      <w:r>
        <w:rPr>
          <w:rFonts w:ascii="FangSong" w:hAnsi="FangSong" w:eastAsia="FangSong" w:cs="FangSong"/>
          <w:color w:val="000000"/>
          <w:sz w:val="30"/>
        </w:rPr>
        <w:t xml:space="preserve">：</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本授权书宣告:</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委托方:</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地址:</w:t>
      </w:r>
      <w:r>
        <w:rPr>
          <w:rFonts w:ascii="FangSong" w:hAnsi="FangSong" w:eastAsia="FangSong" w:cs="FangSong"/>
          <w:color w:val="000000"/>
          <w:sz w:val="28"/>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法定代表人:</w:t>
      </w:r>
      <w:r>
        <w:rPr>
          <w:rFonts w:ascii="FangSong" w:hAnsi="FangSong" w:eastAsia="FangSong" w:cs="FangSong"/>
          <w:color w:val="000000"/>
          <w:sz w:val="28"/>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受托人:姓名</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 性别:</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 出生日期:</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年</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月</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日</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所在单位:</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职务:</w:t>
      </w:r>
      <w:r>
        <w:rPr>
          <w:rFonts w:ascii="FangSong" w:hAnsi="FangSong" w:eastAsia="FangSong" w:cs="FangSong"/>
          <w:color w:val="000000"/>
          <w:sz w:val="28"/>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身 份 证:</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联系方式:</w:t>
      </w:r>
      <w:r>
        <w:rPr>
          <w:rFonts w:ascii="FangSong" w:hAnsi="FangSong" w:eastAsia="FangSong" w:cs="FangSong"/>
          <w:color w:val="000000"/>
          <w:sz w:val="28"/>
          <w:u w:val="single"/>
        </w:rPr>
        <w:t xml:space="preserve">       </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兹委托受托人</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代表我公司参加</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组织的</w:t>
      </w:r>
      <w:r>
        <w:rPr>
          <w:rFonts w:ascii="FangSong" w:hAnsi="FangSong" w:eastAsia="FangSong" w:cs="FangSong"/>
          <w:color w:val="000000"/>
          <w:sz w:val="28"/>
          <w:u w:val="single"/>
        </w:rPr>
        <w:t xml:space="preserve">                    （项目编号:           ）</w:t>
      </w:r>
      <w:r>
        <w:rPr>
          <w:rFonts w:ascii="FangSong" w:hAnsi="FangSong" w:eastAsia="FangSong" w:cs="FangSong"/>
          <w:color w:val="000000"/>
          <w:sz w:val="28"/>
        </w:rPr>
        <w:t xml:space="preserve">采购项目的政府采购活动，受托人有权在该招标活动中，以我单位的名义签署投标函和投标文件，与采购人协商、澄清、解释，签订合同书并执行一切与此有关的事项。</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受托人在办理上述事宜过程中以其自己的名义所签署的所有文件我公司均予以承认。受托人无转委托权。</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委托期限:至上述事宜处理完毕止。</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3640"/>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w:t>
      </w:r>
      <w:r>
        <w:rPr>
          <w:rFonts w:ascii="FangSong" w:hAnsi="FangSong" w:eastAsia="FangSong" w:cs="FangSong"/>
          <w:color w:val="000000"/>
          <w:sz w:val="28"/>
          <w:u w:val="single"/>
        </w:rPr>
        <w:t xml:space="preserve">     （电子签章） </w:t>
      </w:r>
      <w:r/>
    </w:p>
    <w:p>
      <w:pPr>
        <w:ind w:left="0" w:right="0" w:firstLine="364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年 </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月</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日</w:t>
      </w:r>
      <w:r/>
    </w:p>
    <w:p>
      <w:pPr>
        <w:ind w:left="-359" w:right="0" w:firstLine="224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359" w:right="0" w:firstLine="548"/>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注:投标人委托受托人参加投标的，必须附受托人身份证扫描件加盖投标人电子签章。法定代表人直接参加投标的，仅需填写“法定代表人资格证明”。</w:t>
      </w:r>
      <w:r/>
    </w:p>
    <w:p>
      <w:pPr>
        <w:ind w:left="-359" w:right="0" w:firstLine="357"/>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示范格式三</w:t>
      </w:r>
      <w:r/>
    </w:p>
    <w:p>
      <w:pPr>
        <w:ind w:left="-359" w:right="0" w:firstLine="357"/>
        <w:jc w:val="center"/>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承诺书</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致</w:t>
      </w:r>
      <w:r>
        <w:rPr>
          <w:rFonts w:ascii="FangSong" w:hAnsi="FangSong" w:eastAsia="FangSong" w:cs="FangSong"/>
          <w:color w:val="000000"/>
          <w:sz w:val="28"/>
          <w:u w:val="single"/>
        </w:rPr>
        <w:t xml:space="preserve">（采购单位）</w:t>
      </w:r>
      <w:r>
        <w:rPr>
          <w:rFonts w:ascii="FangSong" w:hAnsi="FangSong" w:eastAsia="FangSong" w:cs="FangSong"/>
          <w:color w:val="000000"/>
          <w:sz w:val="28"/>
        </w:rPr>
        <w:t xml:space="preserve">：</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我公司在</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项目（项目编号：</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）投标过程中，作如下承诺： </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一、我方企业完全具备履行合同所必须的设备和专业技术能力；</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二、我方参加政府采购活动前3年内在经营活动中没有重大违法记录（因违法经营受到刑事处罚或者责令停产停业、吊销许可证或者执照、较大数额罚款等行政处罚）。</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三、我公司与参加本次采购活动的其他单位不存在单位负责人为同一人的情况，也不存在控股、管理关系的情况；</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四、我公司没有为本采购项目提供整体设计、规范编制或者项目管理、监理、检测等服务；</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五、不得出现的其他情况：1.投标截止后撤回投标的；2.提供的有关资料、资格证明文件被确认是不真实的；3.被证实有串通（统一哄抬价格）、欺诈行为的；4.被证明有妨碍其他人公平竞争、损害采购单位或者其他供应商合法权益的；5.投标人代表被证明在评标期间与采购人代表、评委、监督人员、工作人员有私下接触的；6.中标人在规定期限内未能按照采购文件规定签订合同的交纳履约保证金的；7.与其他投标人的投标文件由同一单位或者个人编制；8.与其他投标人的投标文件载明的项目管理成员或者联系人员为同一人;9.与其他投标人的投标文件异</w:t>
      </w:r>
      <w:r>
        <w:rPr>
          <w:rFonts w:ascii="FangSong" w:hAnsi="FangSong" w:eastAsia="FangSong" w:cs="FangSong"/>
          <w:color w:val="000000"/>
          <w:sz w:val="28"/>
        </w:rPr>
        <w:t xml:space="preserve">常一致或者投标报价呈规律性差异。</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我公司承诺保证上述信息的真实和准确，并愿意承担因我方弄虚作假所引起的一切法律后果，并自愿接受相关监管部门作出的任何处罚。</w:t>
      </w:r>
      <w:r/>
    </w:p>
    <w:p>
      <w:pPr>
        <w:ind w:left="0" w:right="0" w:firstLine="0"/>
        <w:jc w:val="right"/>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承诺人:</w:t>
      </w:r>
      <w:r>
        <w:rPr>
          <w:rFonts w:ascii="FangSong" w:hAnsi="FangSong" w:eastAsia="FangSong" w:cs="FangSong"/>
          <w:color w:val="000000"/>
          <w:sz w:val="28"/>
          <w:u w:val="single"/>
        </w:rPr>
        <w:t xml:space="preserve">     （电子签章）</w:t>
      </w:r>
      <w:r/>
    </w:p>
    <w:p>
      <w:pPr>
        <w:ind w:left="0" w:right="0" w:firstLine="0"/>
        <w:jc w:val="right"/>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日期:</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年 </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月</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示范格式四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符合《政府采购法》第二十二条规定条件的声明函</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致</w:t>
      </w:r>
      <w:r>
        <w:rPr>
          <w:rFonts w:ascii="FangSong" w:hAnsi="FangSong" w:eastAsia="FangSong" w:cs="FangSong"/>
          <w:color w:val="000000"/>
          <w:sz w:val="28"/>
          <w:u w:val="single"/>
        </w:rPr>
        <w:t xml:space="preserve">（采购单位）</w:t>
      </w:r>
      <w:r>
        <w:rPr>
          <w:rFonts w:ascii="FangSong" w:hAnsi="FangSong" w:eastAsia="FangSong" w:cs="FangSong"/>
          <w:color w:val="000000"/>
          <w:sz w:val="28"/>
        </w:rPr>
        <w:t xml:space="preserve">：</w:t>
      </w:r>
      <w:r/>
    </w:p>
    <w:p>
      <w:pPr>
        <w:ind w:left="0" w:right="0" w:firstLine="84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我公司参加贵中心组织实施的（项目编号:       ）    采购项目的政府采购活动。针对《中华人民共和国政府采购法》第二十二条规定做出如下声明：</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1、我单位具有独立承担民事责任的能力；</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2、我单位具有良好的商业信誉和健全的财务会计制度；</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3、我单位具有履行合同所必需的设备和专业技术能力；</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4、我单位有依法缴纳税收和社会保障资金的良好记录；</w:t>
      </w:r>
      <w:r/>
    </w:p>
    <w:p>
      <w:pPr>
        <w:ind w:left="0" w:right="0" w:firstLine="560"/>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5、参加本次政府采购活动前三年内，我公司在经营活动中没有因违法经营受到刑事处罚或者责令停产停业、吊销许可证或者执照、较大数额罚款等行政处罚。 </w:t>
      </w:r>
      <w:r/>
    </w:p>
    <w:p>
      <w:pPr>
        <w:ind w:left="0" w:right="0" w:firstLine="638"/>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6、我单位满足法律、行政法规规定的其他条件。</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single"/>
        </w:rPr>
        <w:t xml:space="preserve"> </w:t>
      </w:r>
      <w:r/>
    </w:p>
    <w:p>
      <w:pPr>
        <w:ind w:left="0" w:right="0" w:firstLine="0"/>
        <w:jc w:val="right"/>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承诺人:</w:t>
      </w:r>
      <w:r>
        <w:rPr>
          <w:rFonts w:ascii="FangSong" w:hAnsi="FangSong" w:eastAsia="FangSong" w:cs="FangSong"/>
          <w:color w:val="000000"/>
          <w:sz w:val="28"/>
          <w:u w:val="single"/>
        </w:rPr>
        <w:t xml:space="preserve">     （电子签章）</w:t>
      </w:r>
      <w:r/>
    </w:p>
    <w:p>
      <w:pPr>
        <w:ind w:left="0" w:right="0" w:firstLine="0"/>
        <w:jc w:val="right"/>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日期:</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年 </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月</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日</w:t>
      </w:r>
      <w:r/>
    </w:p>
    <w:p>
      <w:pPr>
        <w:ind w:left="562" w:right="0" w:hanging="56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562" w:right="0" w:hanging="56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562" w:right="0" w:hanging="56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562" w:right="0" w:hanging="56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562" w:right="0" w:hanging="56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示范格式五</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企业声明函（货物类）</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致</w:t>
      </w:r>
      <w:r>
        <w:rPr>
          <w:rFonts w:ascii="FangSong" w:hAnsi="FangSong" w:eastAsia="FangSong" w:cs="FangSong"/>
          <w:color w:val="000000"/>
          <w:sz w:val="28"/>
          <w:u w:val="single"/>
        </w:rPr>
        <w:t xml:space="preserve">（采购单位）</w:t>
      </w:r>
      <w:r>
        <w:rPr>
          <w:rFonts w:ascii="FangSong" w:hAnsi="FangSong" w:eastAsia="FangSong" w:cs="FangSong"/>
          <w:color w:val="000000"/>
          <w:sz w:val="28"/>
        </w:rPr>
        <w:t xml:space="preserve">：</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本公司郑重声明，根据《政府采购促进中小企业发展管理办法》（财库﹝2020﹞46 号）的规定，本公司参加</w:t>
      </w:r>
      <w:r>
        <w:rPr>
          <w:rFonts w:ascii="FangSong" w:hAnsi="FangSong" w:eastAsia="FangSong" w:cs="FangSong"/>
          <w:color w:val="000000"/>
          <w:sz w:val="28"/>
          <w:u w:val="single"/>
        </w:rPr>
        <w:t xml:space="preserve">（单位名称）</w:t>
      </w:r>
      <w:r>
        <w:rPr>
          <w:rFonts w:ascii="FangSong" w:hAnsi="FangSong" w:eastAsia="FangSong" w:cs="FangSong"/>
          <w:color w:val="000000"/>
          <w:sz w:val="28"/>
        </w:rPr>
        <w:t xml:space="preserve">的</w:t>
      </w:r>
      <w:r>
        <w:rPr>
          <w:rFonts w:ascii="FangSong" w:hAnsi="FangSong" w:eastAsia="FangSong" w:cs="FangSong"/>
          <w:color w:val="000000"/>
          <w:sz w:val="28"/>
          <w:u w:val="single"/>
        </w:rPr>
        <w:t xml:space="preserve">（项目名称）</w:t>
      </w:r>
      <w:r>
        <w:rPr>
          <w:rFonts w:ascii="FangSong" w:hAnsi="FangSong" w:eastAsia="FangSong" w:cs="FangSong"/>
          <w:color w:val="000000"/>
          <w:sz w:val="28"/>
        </w:rPr>
        <w:t xml:space="preserve">采购活动，提供的货物全部由符合政策要求的中小企业制造。相关企业的具体情况如下： </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 </w:t>
      </w:r>
      <w:r>
        <w:rPr>
          <w:rFonts w:ascii="FangSong" w:hAnsi="FangSong" w:eastAsia="FangSong" w:cs="FangSong"/>
          <w:color w:val="000000"/>
          <w:sz w:val="28"/>
          <w:u w:val="single"/>
        </w:rPr>
        <w:t xml:space="preserve">（标的名称）</w:t>
      </w:r>
      <w:r>
        <w:rPr>
          <w:rFonts w:ascii="FangSong" w:hAnsi="FangSong" w:eastAsia="FangSong" w:cs="FangSong"/>
          <w:color w:val="000000"/>
          <w:sz w:val="28"/>
        </w:rPr>
        <w:t xml:space="preserve"> ，属于</w:t>
      </w:r>
      <w:r>
        <w:rPr>
          <w:rFonts w:ascii="FangSong" w:hAnsi="FangSong" w:eastAsia="FangSong" w:cs="FangSong"/>
          <w:color w:val="000000"/>
          <w:sz w:val="28"/>
          <w:u w:val="single"/>
        </w:rPr>
        <w:t xml:space="preserve">（采购文件中明确的所属行业）</w:t>
      </w:r>
      <w:r>
        <w:rPr>
          <w:rFonts w:ascii="FangSong" w:hAnsi="FangSong" w:eastAsia="FangSong" w:cs="FangSong"/>
          <w:color w:val="000000"/>
          <w:sz w:val="28"/>
        </w:rPr>
        <w:t xml:space="preserve">行业；制造商为（企业名称），从业人员</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人，营业收入为</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万元，资产总额为</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万元，属于（中型企业、小型企业、微型企业）； </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w:t>
      </w:r>
      <w:r>
        <w:rPr>
          <w:rFonts w:ascii="FangSong" w:hAnsi="FangSong" w:eastAsia="FangSong" w:cs="FangSong"/>
          <w:color w:val="000000"/>
          <w:sz w:val="28"/>
          <w:u w:val="single"/>
        </w:rPr>
        <w:t xml:space="preserve"> （标的名称）</w:t>
      </w:r>
      <w:r>
        <w:rPr>
          <w:rFonts w:ascii="FangSong" w:hAnsi="FangSong" w:eastAsia="FangSong" w:cs="FangSong"/>
          <w:color w:val="000000"/>
          <w:sz w:val="28"/>
        </w:rPr>
        <w:t xml:space="preserve"> ，属于（采购文件中明确的所属行业）行业；制造商为（企业名称），从业人员</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人，营业收入为</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万元，资产总额为</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万元，属于（中型企业、小型企业、微型企业）。 </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以上企业，不属于大企业的分支机构，不存在控股股东为大企业的情形，也不存在与大企业的负责人为同一人的情形。</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本企业对上述声明内容的真实性负责。如有虚假，将依法承担相应责任。                      </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投标人:</w:t>
      </w:r>
      <w:r>
        <w:rPr>
          <w:rFonts w:ascii="FangSong" w:hAnsi="FangSong" w:eastAsia="FangSong" w:cs="FangSong"/>
          <w:color w:val="000000"/>
          <w:sz w:val="28"/>
          <w:u w:val="single"/>
        </w:rPr>
        <w:t xml:space="preserve">        （电子签章）</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法定代表人:</w:t>
      </w:r>
      <w:r>
        <w:rPr>
          <w:rFonts w:ascii="FangSong" w:hAnsi="FangSong" w:eastAsia="FangSong" w:cs="FangSong"/>
          <w:color w:val="000000"/>
          <w:sz w:val="28"/>
          <w:u w:val="single"/>
        </w:rPr>
        <w:t xml:space="preserve">（电子签章或电子签字）</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日期: </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年 </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月</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日</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注：从业人员、营业收入、资产总额填报上一年度数据，无上一年度数据的新成立企业可不填报。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示范格式六</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残疾人福利性单位声明函</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致</w:t>
      </w:r>
      <w:r>
        <w:rPr>
          <w:rFonts w:ascii="FangSong" w:hAnsi="FangSong" w:eastAsia="FangSong" w:cs="FangSong"/>
          <w:color w:val="000000"/>
          <w:sz w:val="28"/>
          <w:u w:val="single"/>
        </w:rPr>
        <w:t xml:space="preserve">（采购单位）</w:t>
      </w:r>
      <w:r>
        <w:rPr>
          <w:rFonts w:ascii="FangSong" w:hAnsi="FangSong" w:eastAsia="FangSong" w:cs="FangSong"/>
          <w:color w:val="000000"/>
          <w:sz w:val="28"/>
        </w:rPr>
        <w:t xml:space="preserve">：</w:t>
      </w:r>
      <w:r/>
    </w:p>
    <w:p>
      <w:pPr>
        <w:ind w:left="0" w:right="0" w:firstLine="56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ind w:left="0" w:right="0" w:firstLine="56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1、根据《财政部 民政部 中国残疾人联合会关于促进残疾人就业政府采购政策的通知》（财库〔2017〕141 号）规定的划分标准，本公司为残疾人福利性企业。</w:t>
      </w:r>
      <w:r/>
    </w:p>
    <w:p>
      <w:pPr>
        <w:ind w:left="0" w:right="0" w:firstLine="56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2、本单位参加（采购单位名称） 的（采购项目名称）采购活动提供本企业制造的货物，由本企业承担工程、提供服务，或者提供其他残疾人福利性单位制造的货物（不包括使用非残疾人福利性单位注册商标的货物。</w:t>
      </w:r>
      <w:r/>
    </w:p>
    <w:p>
      <w:pPr>
        <w:ind w:left="0" w:right="0" w:firstLine="56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注:本公司对上述声明的真实性负责。如有虚假，将依法承担相应责任。</w:t>
      </w:r>
      <w:r/>
    </w:p>
    <w:p>
      <w:pPr>
        <w:ind w:left="0" w:right="0" w:firstLine="56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投标人:</w:t>
      </w:r>
      <w:r>
        <w:rPr>
          <w:rFonts w:ascii="FangSong" w:hAnsi="FangSong" w:eastAsia="FangSong" w:cs="FangSong"/>
          <w:color w:val="000000"/>
          <w:sz w:val="28"/>
          <w:u w:val="single"/>
        </w:rPr>
        <w:t xml:space="preserve">        （电子签章）</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法定代表人:</w:t>
      </w:r>
      <w:r>
        <w:rPr>
          <w:rFonts w:ascii="FangSong" w:hAnsi="FangSong" w:eastAsia="FangSong" w:cs="FangSong"/>
          <w:color w:val="000000"/>
          <w:sz w:val="28"/>
          <w:u w:val="single"/>
        </w:rPr>
        <w:t xml:space="preserve">（电子签章或电子签字）</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日期: </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年 </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月</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日</w:t>
      </w:r>
      <w:r/>
    </w:p>
    <w:p>
      <w:pPr>
        <w:ind w:left="0" w:right="0" w:firstLine="565"/>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注:非残疾人福利性单位不需提供此函。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示范格式七</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监狱单位声明函（格式自拟）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Times New Roman">
    <w:panose1 w:val="02020603050405020304"/>
  </w:font>
  <w:font w:name="FangSong">
    <w:panose1 w:val="02010609060101010101"/>
  </w:font>
  <w:font w:name="SimHei">
    <w:panose1 w:val="02010609060101010101"/>
  </w:font>
  <w:font w:name="KaiTi">
    <w:panose1 w:val="02010609060101010101"/>
  </w:font>
  <w:font w:name="Symbol">
    <w:panose1 w:val="05050102010706020507"/>
  </w:font>
  <w:font w:name="Wingdings">
    <w:panose1 w:val="05000000000000000000"/>
  </w:font>
  <w:font w:name="Courier New">
    <w:panose1 w:val="02070309020205020404"/>
  </w:font>
  <w:font w:name="SimSun">
    <w:panose1 w:val="02010600030101010101"/>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8">
    <w:name w:val="Heading 1"/>
    <w:link w:val="639"/>
    <w:uiPriority w:val="9"/>
    <w:qFormat/>
    <w:pPr>
      <w:keepLines/>
      <w:keepNext/>
      <w:spacing w:before="480" w:after="200"/>
      <w:outlineLvl w:val="0"/>
    </w:pPr>
    <w:rPr>
      <w:rFonts w:ascii="Arial" w:hAnsi="Arial" w:eastAsia="Arial" w:cs="Arial"/>
      <w:sz w:val="40"/>
      <w:szCs w:val="40"/>
    </w:rPr>
  </w:style>
  <w:style w:type="character" w:styleId="639">
    <w:name w:val="Heading 1 Char"/>
    <w:link w:val="638"/>
    <w:uiPriority w:val="9"/>
    <w:rPr>
      <w:rFonts w:ascii="Arial" w:hAnsi="Arial" w:eastAsia="Arial" w:cs="Arial"/>
      <w:sz w:val="40"/>
      <w:szCs w:val="40"/>
    </w:rPr>
  </w:style>
  <w:style w:type="paragraph" w:styleId="640">
    <w:name w:val="Heading 2"/>
    <w:link w:val="641"/>
    <w:uiPriority w:val="9"/>
    <w:unhideWhenUsed/>
    <w:qFormat/>
    <w:pPr>
      <w:keepLines/>
      <w:keepNext/>
      <w:spacing w:before="360" w:after="200"/>
      <w:outlineLvl w:val="1"/>
    </w:pPr>
    <w:rPr>
      <w:rFonts w:ascii="Arial" w:hAnsi="Arial" w:eastAsia="Arial" w:cs="Arial"/>
      <w:sz w:val="34"/>
    </w:rPr>
  </w:style>
  <w:style w:type="character" w:styleId="641">
    <w:name w:val="Heading 2 Char"/>
    <w:link w:val="640"/>
    <w:uiPriority w:val="9"/>
    <w:rPr>
      <w:rFonts w:ascii="Arial" w:hAnsi="Arial" w:eastAsia="Arial" w:cs="Arial"/>
      <w:sz w:val="34"/>
    </w:rPr>
  </w:style>
  <w:style w:type="paragraph" w:styleId="642">
    <w:name w:val="Heading 3"/>
    <w:link w:val="643"/>
    <w:uiPriority w:val="9"/>
    <w:unhideWhenUsed/>
    <w:qFormat/>
    <w:pPr>
      <w:keepLines/>
      <w:keepNext/>
      <w:spacing w:before="320" w:after="200"/>
      <w:outlineLvl w:val="2"/>
    </w:pPr>
    <w:rPr>
      <w:rFonts w:ascii="Arial" w:hAnsi="Arial" w:eastAsia="Arial" w:cs="Arial"/>
      <w:sz w:val="30"/>
      <w:szCs w:val="30"/>
    </w:rPr>
  </w:style>
  <w:style w:type="character" w:styleId="643">
    <w:name w:val="Heading 3 Char"/>
    <w:link w:val="642"/>
    <w:uiPriority w:val="9"/>
    <w:rPr>
      <w:rFonts w:ascii="Arial" w:hAnsi="Arial" w:eastAsia="Arial" w:cs="Arial"/>
      <w:sz w:val="30"/>
      <w:szCs w:val="30"/>
    </w:rPr>
  </w:style>
  <w:style w:type="paragraph" w:styleId="644">
    <w:name w:val="Heading 4"/>
    <w:link w:val="645"/>
    <w:uiPriority w:val="9"/>
    <w:unhideWhenUsed/>
    <w:qFormat/>
    <w:pPr>
      <w:keepLines/>
      <w:keepNext/>
      <w:spacing w:before="320" w:after="200"/>
      <w:outlineLvl w:val="3"/>
    </w:pPr>
    <w:rPr>
      <w:rFonts w:ascii="Arial" w:hAnsi="Arial" w:eastAsia="Arial" w:cs="Arial"/>
      <w:b/>
      <w:bCs/>
      <w:sz w:val="26"/>
      <w:szCs w:val="26"/>
    </w:rPr>
  </w:style>
  <w:style w:type="character" w:styleId="645">
    <w:name w:val="Heading 4 Char"/>
    <w:link w:val="644"/>
    <w:uiPriority w:val="9"/>
    <w:rPr>
      <w:rFonts w:ascii="Arial" w:hAnsi="Arial" w:eastAsia="Arial" w:cs="Arial"/>
      <w:b/>
      <w:bCs/>
      <w:sz w:val="26"/>
      <w:szCs w:val="26"/>
    </w:rPr>
  </w:style>
  <w:style w:type="paragraph" w:styleId="646">
    <w:name w:val="Heading 5"/>
    <w:link w:val="647"/>
    <w:uiPriority w:val="9"/>
    <w:unhideWhenUsed/>
    <w:qFormat/>
    <w:pPr>
      <w:keepLines/>
      <w:keepNext/>
      <w:spacing w:before="320" w:after="200"/>
      <w:outlineLvl w:val="4"/>
    </w:pPr>
    <w:rPr>
      <w:rFonts w:ascii="Arial" w:hAnsi="Arial" w:eastAsia="Arial" w:cs="Arial"/>
      <w:b/>
      <w:bCs/>
      <w:sz w:val="24"/>
      <w:szCs w:val="24"/>
    </w:rPr>
  </w:style>
  <w:style w:type="character" w:styleId="647">
    <w:name w:val="Heading 5 Char"/>
    <w:link w:val="646"/>
    <w:uiPriority w:val="9"/>
    <w:rPr>
      <w:rFonts w:ascii="Arial" w:hAnsi="Arial" w:eastAsia="Arial" w:cs="Arial"/>
      <w:b/>
      <w:bCs/>
      <w:sz w:val="24"/>
      <w:szCs w:val="24"/>
    </w:rPr>
  </w:style>
  <w:style w:type="paragraph" w:styleId="648">
    <w:name w:val="Heading 6"/>
    <w:link w:val="649"/>
    <w:uiPriority w:val="9"/>
    <w:unhideWhenUsed/>
    <w:qFormat/>
    <w:pPr>
      <w:keepLines/>
      <w:keepNext/>
      <w:spacing w:before="320" w:after="200"/>
      <w:outlineLvl w:val="5"/>
    </w:pPr>
    <w:rPr>
      <w:rFonts w:ascii="Arial" w:hAnsi="Arial" w:eastAsia="Arial" w:cs="Arial"/>
      <w:b/>
      <w:bCs/>
      <w:sz w:val="22"/>
      <w:szCs w:val="22"/>
    </w:rPr>
  </w:style>
  <w:style w:type="character" w:styleId="649">
    <w:name w:val="Heading 6 Char"/>
    <w:link w:val="648"/>
    <w:uiPriority w:val="9"/>
    <w:rPr>
      <w:rFonts w:ascii="Arial" w:hAnsi="Arial" w:eastAsia="Arial" w:cs="Arial"/>
      <w:b/>
      <w:bCs/>
      <w:sz w:val="22"/>
      <w:szCs w:val="22"/>
    </w:rPr>
  </w:style>
  <w:style w:type="paragraph" w:styleId="650">
    <w:name w:val="Heading 7"/>
    <w:link w:val="651"/>
    <w:uiPriority w:val="9"/>
    <w:unhideWhenUsed/>
    <w:qFormat/>
    <w:pPr>
      <w:keepLines/>
      <w:keepNext/>
      <w:spacing w:before="320" w:after="200"/>
      <w:outlineLvl w:val="6"/>
    </w:pPr>
    <w:rPr>
      <w:rFonts w:ascii="Arial" w:hAnsi="Arial" w:eastAsia="Arial" w:cs="Arial"/>
      <w:b/>
      <w:bCs/>
      <w:i/>
      <w:iCs/>
      <w:sz w:val="22"/>
      <w:szCs w:val="22"/>
    </w:rPr>
  </w:style>
  <w:style w:type="character" w:styleId="651">
    <w:name w:val="Heading 7 Char"/>
    <w:link w:val="650"/>
    <w:uiPriority w:val="9"/>
    <w:rPr>
      <w:rFonts w:ascii="Arial" w:hAnsi="Arial" w:eastAsia="Arial" w:cs="Arial"/>
      <w:b/>
      <w:bCs/>
      <w:i/>
      <w:iCs/>
      <w:sz w:val="22"/>
      <w:szCs w:val="22"/>
    </w:rPr>
  </w:style>
  <w:style w:type="paragraph" w:styleId="652">
    <w:name w:val="Heading 8"/>
    <w:link w:val="653"/>
    <w:uiPriority w:val="9"/>
    <w:unhideWhenUsed/>
    <w:qFormat/>
    <w:pPr>
      <w:keepLines/>
      <w:keepNext/>
      <w:spacing w:before="320" w:after="200"/>
      <w:outlineLvl w:val="7"/>
    </w:pPr>
    <w:rPr>
      <w:rFonts w:ascii="Arial" w:hAnsi="Arial" w:eastAsia="Arial" w:cs="Arial"/>
      <w:i/>
      <w:iCs/>
      <w:sz w:val="22"/>
      <w:szCs w:val="22"/>
    </w:rPr>
  </w:style>
  <w:style w:type="character" w:styleId="653">
    <w:name w:val="Heading 8 Char"/>
    <w:link w:val="652"/>
    <w:uiPriority w:val="9"/>
    <w:rPr>
      <w:rFonts w:ascii="Arial" w:hAnsi="Arial" w:eastAsia="Arial" w:cs="Arial"/>
      <w:i/>
      <w:iCs/>
      <w:sz w:val="22"/>
      <w:szCs w:val="22"/>
    </w:rPr>
  </w:style>
  <w:style w:type="paragraph" w:styleId="654">
    <w:name w:val="Heading 9"/>
    <w:link w:val="655"/>
    <w:uiPriority w:val="9"/>
    <w:unhideWhenUsed/>
    <w:qFormat/>
    <w:pPr>
      <w:keepLines/>
      <w:keepNext/>
      <w:spacing w:before="320" w:after="200"/>
      <w:outlineLvl w:val="8"/>
    </w:pPr>
    <w:rPr>
      <w:rFonts w:ascii="Arial" w:hAnsi="Arial" w:eastAsia="Arial" w:cs="Arial"/>
      <w:i/>
      <w:iCs/>
      <w:sz w:val="21"/>
      <w:szCs w:val="21"/>
    </w:rPr>
  </w:style>
  <w:style w:type="character" w:styleId="655">
    <w:name w:val="Heading 9 Char"/>
    <w:link w:val="654"/>
    <w:uiPriority w:val="9"/>
    <w:rPr>
      <w:rFonts w:ascii="Arial" w:hAnsi="Arial" w:eastAsia="Arial" w:cs="Arial"/>
      <w:i/>
      <w:iCs/>
      <w:sz w:val="21"/>
      <w:szCs w:val="21"/>
    </w:rPr>
  </w:style>
  <w:style w:type="paragraph" w:styleId="656">
    <w:name w:val="List Paragraph"/>
    <w:uiPriority w:val="34"/>
    <w:qFormat/>
    <w:pPr>
      <w:contextualSpacing/>
      <w:ind w:left="720"/>
    </w:pPr>
  </w:style>
  <w:style w:type="paragraph" w:styleId="657">
    <w:name w:val="No Spacing"/>
    <w:uiPriority w:val="1"/>
    <w:qFormat/>
    <w:pPr>
      <w:spacing w:before="0" w:after="0" w:line="240" w:lineRule="auto"/>
    </w:pPr>
  </w:style>
  <w:style w:type="paragraph" w:styleId="658">
    <w:name w:val="Title"/>
    <w:link w:val="659"/>
    <w:uiPriority w:val="10"/>
    <w:qFormat/>
    <w:pPr>
      <w:contextualSpacing/>
      <w:spacing w:before="300" w:after="200"/>
    </w:pPr>
    <w:rPr>
      <w:sz w:val="48"/>
      <w:szCs w:val="48"/>
    </w:rPr>
  </w:style>
  <w:style w:type="character" w:styleId="659">
    <w:name w:val="Title Char"/>
    <w:link w:val="658"/>
    <w:uiPriority w:val="10"/>
    <w:rPr>
      <w:sz w:val="48"/>
      <w:szCs w:val="48"/>
    </w:rPr>
  </w:style>
  <w:style w:type="paragraph" w:styleId="660">
    <w:name w:val="Subtitle"/>
    <w:link w:val="661"/>
    <w:uiPriority w:val="11"/>
    <w:qFormat/>
    <w:pPr>
      <w:spacing w:before="200" w:after="200"/>
    </w:pPr>
    <w:rPr>
      <w:sz w:val="24"/>
      <w:szCs w:val="24"/>
    </w:rPr>
  </w:style>
  <w:style w:type="character" w:styleId="661">
    <w:name w:val="Subtitle Char"/>
    <w:link w:val="660"/>
    <w:uiPriority w:val="11"/>
    <w:rPr>
      <w:sz w:val="24"/>
      <w:szCs w:val="24"/>
    </w:rPr>
  </w:style>
  <w:style w:type="paragraph" w:styleId="662">
    <w:name w:val="Quote"/>
    <w:link w:val="663"/>
    <w:uiPriority w:val="29"/>
    <w:qFormat/>
    <w:pPr>
      <w:ind w:left="720" w:right="720"/>
    </w:pPr>
    <w:rPr>
      <w:i/>
    </w:rPr>
  </w:style>
  <w:style w:type="character" w:styleId="663">
    <w:name w:val="Quote Char"/>
    <w:link w:val="662"/>
    <w:uiPriority w:val="29"/>
    <w:rPr>
      <w:i/>
    </w:rPr>
  </w:style>
  <w:style w:type="paragraph" w:styleId="664">
    <w:name w:val="Intense Quote"/>
    <w:link w:val="6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5">
    <w:name w:val="Intense Quote Char"/>
    <w:link w:val="664"/>
    <w:uiPriority w:val="30"/>
    <w:rPr>
      <w:i/>
    </w:rPr>
  </w:style>
  <w:style w:type="paragraph" w:styleId="666">
    <w:name w:val="Header"/>
    <w:link w:val="667"/>
    <w:uiPriority w:val="99"/>
    <w:unhideWhenUsed/>
    <w:pPr>
      <w:spacing w:after="0" w:line="240" w:lineRule="auto"/>
      <w:tabs>
        <w:tab w:val="center" w:pos="7143" w:leader="none"/>
        <w:tab w:val="right" w:pos="14287" w:leader="none"/>
      </w:tabs>
    </w:pPr>
  </w:style>
  <w:style w:type="character" w:styleId="667">
    <w:name w:val="Header Char"/>
    <w:link w:val="666"/>
    <w:uiPriority w:val="99"/>
  </w:style>
  <w:style w:type="paragraph" w:styleId="668">
    <w:name w:val="Footer"/>
    <w:link w:val="671"/>
    <w:uiPriority w:val="99"/>
    <w:unhideWhenUsed/>
    <w:pPr>
      <w:spacing w:after="0" w:line="240" w:lineRule="auto"/>
      <w:tabs>
        <w:tab w:val="center" w:pos="7143" w:leader="none"/>
        <w:tab w:val="right" w:pos="14287" w:leader="none"/>
      </w:tabs>
    </w:pPr>
  </w:style>
  <w:style w:type="character" w:styleId="669">
    <w:name w:val="Footer Char"/>
    <w:link w:val="668"/>
    <w:uiPriority w:val="99"/>
  </w:style>
  <w:style w:type="paragraph" w:styleId="670">
    <w:name w:val="Caption"/>
    <w:uiPriority w:val="35"/>
    <w:semiHidden/>
    <w:unhideWhenUsed/>
    <w:qFormat/>
    <w:pPr>
      <w:spacing w:line="276" w:lineRule="auto"/>
    </w:pPr>
    <w:rPr>
      <w:b/>
      <w:bCs/>
      <w:color w:val="4f81bd" w:themeColor="accent1"/>
      <w:sz w:val="18"/>
      <w:szCs w:val="18"/>
    </w:rPr>
  </w:style>
  <w:style w:type="character" w:styleId="671">
    <w:name w:val="Caption Char"/>
    <w:basedOn w:val="670"/>
    <w:link w:val="668"/>
    <w:uiPriority w:val="99"/>
  </w:style>
  <w:style w:type="table" w:styleId="67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8">
    <w:name w:val="Hyperlink"/>
    <w:uiPriority w:val="99"/>
    <w:unhideWhenUsed/>
    <w:rPr>
      <w:color w:val="0000ff" w:themeColor="hyperlink"/>
      <w:u w:val="single"/>
    </w:rPr>
  </w:style>
  <w:style w:type="paragraph" w:styleId="799">
    <w:name w:val="footnote text"/>
    <w:link w:val="800"/>
    <w:uiPriority w:val="99"/>
    <w:semiHidden/>
    <w:unhideWhenUsed/>
    <w:pPr>
      <w:spacing w:after="40" w:line="240" w:lineRule="auto"/>
    </w:pPr>
    <w:rPr>
      <w:sz w:val="18"/>
    </w:rPr>
  </w:style>
  <w:style w:type="character" w:styleId="800">
    <w:name w:val="Footnote Text Char"/>
    <w:link w:val="799"/>
    <w:uiPriority w:val="99"/>
    <w:rPr>
      <w:sz w:val="18"/>
    </w:rPr>
  </w:style>
  <w:style w:type="character" w:styleId="801">
    <w:name w:val="footnote reference"/>
    <w:uiPriority w:val="99"/>
    <w:unhideWhenUsed/>
    <w:rPr>
      <w:vertAlign w:val="superscript"/>
    </w:rPr>
  </w:style>
  <w:style w:type="paragraph" w:styleId="802">
    <w:name w:val="endnote text"/>
    <w:link w:val="803"/>
    <w:uiPriority w:val="99"/>
    <w:semiHidden/>
    <w:unhideWhenUsed/>
    <w:pPr>
      <w:spacing w:after="0" w:line="240" w:lineRule="auto"/>
    </w:pPr>
    <w:rPr>
      <w:sz w:val="20"/>
    </w:rPr>
  </w:style>
  <w:style w:type="character" w:styleId="803">
    <w:name w:val="Endnote Text Char"/>
    <w:link w:val="802"/>
    <w:uiPriority w:val="99"/>
    <w:rPr>
      <w:sz w:val="20"/>
    </w:rPr>
  </w:style>
  <w:style w:type="character" w:styleId="804">
    <w:name w:val="endnote reference"/>
    <w:uiPriority w:val="99"/>
    <w:semiHidden/>
    <w:unhideWhenUsed/>
    <w:rPr>
      <w:vertAlign w:val="superscript"/>
    </w:rPr>
  </w:style>
  <w:style w:type="paragraph" w:styleId="805">
    <w:name w:val="toc 1"/>
    <w:uiPriority w:val="39"/>
    <w:unhideWhenUsed/>
    <w:pPr>
      <w:ind w:left="0" w:right="0" w:firstLine="0"/>
      <w:spacing w:after="57"/>
    </w:pPr>
  </w:style>
  <w:style w:type="paragraph" w:styleId="806">
    <w:name w:val="toc 2"/>
    <w:uiPriority w:val="39"/>
    <w:unhideWhenUsed/>
    <w:pPr>
      <w:ind w:left="283" w:right="0" w:firstLine="0"/>
      <w:spacing w:after="57"/>
    </w:pPr>
  </w:style>
  <w:style w:type="paragraph" w:styleId="807">
    <w:name w:val="toc 3"/>
    <w:uiPriority w:val="39"/>
    <w:unhideWhenUsed/>
    <w:pPr>
      <w:ind w:left="567" w:right="0" w:firstLine="0"/>
      <w:spacing w:after="57"/>
    </w:pPr>
  </w:style>
  <w:style w:type="paragraph" w:styleId="808">
    <w:name w:val="toc 4"/>
    <w:uiPriority w:val="39"/>
    <w:unhideWhenUsed/>
    <w:pPr>
      <w:ind w:left="850" w:right="0" w:firstLine="0"/>
      <w:spacing w:after="57"/>
    </w:pPr>
  </w:style>
  <w:style w:type="paragraph" w:styleId="809">
    <w:name w:val="toc 5"/>
    <w:uiPriority w:val="39"/>
    <w:unhideWhenUsed/>
    <w:pPr>
      <w:ind w:left="1134" w:right="0" w:firstLine="0"/>
      <w:spacing w:after="57"/>
    </w:pPr>
  </w:style>
  <w:style w:type="paragraph" w:styleId="810">
    <w:name w:val="toc 6"/>
    <w:uiPriority w:val="39"/>
    <w:unhideWhenUsed/>
    <w:pPr>
      <w:ind w:left="1417" w:right="0" w:firstLine="0"/>
      <w:spacing w:after="57"/>
    </w:pPr>
  </w:style>
  <w:style w:type="paragraph" w:styleId="811">
    <w:name w:val="toc 7"/>
    <w:uiPriority w:val="39"/>
    <w:unhideWhenUsed/>
    <w:pPr>
      <w:ind w:left="1701" w:right="0" w:firstLine="0"/>
      <w:spacing w:after="57"/>
    </w:pPr>
  </w:style>
  <w:style w:type="paragraph" w:styleId="812">
    <w:name w:val="toc 8"/>
    <w:uiPriority w:val="39"/>
    <w:unhideWhenUsed/>
    <w:pPr>
      <w:ind w:left="1984" w:right="0" w:firstLine="0"/>
      <w:spacing w:after="57"/>
    </w:pPr>
  </w:style>
  <w:style w:type="paragraph" w:styleId="813">
    <w:name w:val="toc 9"/>
    <w:uiPriority w:val="39"/>
    <w:unhideWhenUsed/>
    <w:pPr>
      <w:ind w:left="2268" w:right="0" w:firstLine="0"/>
      <w:spacing w:after="57"/>
    </w:pPr>
  </w:style>
  <w:style w:type="paragraph" w:styleId="814">
    <w:name w:val="TOC Heading"/>
    <w:uiPriority w:val="39"/>
    <w:unhideWhenUsed/>
  </w:style>
  <w:style w:type="paragraph" w:styleId="815">
    <w:name w:val="table of figures"/>
    <w:uiPriority w:val="99"/>
    <w:unhideWhenUsed/>
    <w:pPr>
      <w:spacing w:after="0" w:afterAutospacing="0"/>
    </w:pPr>
  </w:style>
  <w:style w:type="character" w:styleId="816" w:default="1">
    <w:name w:val="Default Paragraph Font"/>
    <w:uiPriority w:val="1"/>
    <w:semiHidden/>
    <w:unhideWhenUsed/>
  </w:style>
  <w:style w:type="numbering" w:styleId="817" w:default="1">
    <w:name w:val="No List"/>
    <w:uiPriority w:val="99"/>
    <w:semiHidden/>
    <w:unhideWhenUsed/>
  </w:style>
  <w:style w:type="paragraph" w:styleId="818" w:default="1">
    <w:name w:val="Normal"/>
    <w:qFormat/>
  </w:style>
  <w:style w:type="table" w:styleId="81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王新怡</cp:lastModifiedBy>
  <cp:revision>2</cp:revision>
  <dcterms:created xsi:type="dcterms:W3CDTF">2025-01-23T01:42:05Z</dcterms:created>
  <dcterms:modified xsi:type="dcterms:W3CDTF">2025-01-23T05:16:36Z</dcterms:modified>
</cp:coreProperties>
</file>