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ind w:left="2883" w:hanging="1606"/>
        <w:jc w:val="left"/>
        <w:keepLines w:val="0"/>
        <w:keepNext w:val="0"/>
        <w:pageBreakBefore w:val="0"/>
        <w:spacing w:line="360" w:lineRule="auto"/>
        <w:widowControl w:val="off"/>
        <w:rPr>
          <w:rFonts w:hint="eastAsia" w:eastAsia="宋体"/>
          <w:b/>
          <w:bCs/>
          <w:color w:val="auto"/>
          <w:sz w:val="32"/>
          <w:highlight w:val="none"/>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泗洪县2024年度重大动物疫病免疫补助项目（疫苗、标识）</w:t>
      </w:r>
      <w:r/>
    </w:p>
    <w:p>
      <w:pPr>
        <w:ind w:firstLine="1285"/>
        <w:keepLines w:val="0"/>
        <w:keepNext w:val="0"/>
        <w:pageBreakBefore w:val="0"/>
        <w:spacing w:line="360" w:lineRule="auto"/>
        <w:widowControl w:val="off"/>
        <w:rPr>
          <w:b/>
          <w:color w:val="auto"/>
          <w:sz w:val="30"/>
          <w:szCs w:val="30"/>
          <w:highlight w:val="none"/>
        </w:rPr>
      </w:pPr>
      <w:r>
        <w:rPr>
          <w:rFonts w:hint="eastAsia"/>
          <w:b/>
          <w:bCs/>
          <w:color w:val="auto"/>
          <w:sz w:val="32"/>
          <w:highlight w:val="none"/>
        </w:rPr>
        <w:t xml:space="preserve">项目编号：</w:t>
      </w:r>
      <w:r>
        <w:rPr>
          <w:rFonts w:hint="eastAsia"/>
          <w:b/>
          <w:bCs/>
          <w:color w:val="auto"/>
          <w:sz w:val="32"/>
          <w:highlight w:val="none"/>
          <w:lang w:eastAsia="zh-CN"/>
        </w:rPr>
        <w:t xml:space="preserve">JSZC-321324-PHZX-G2024-0015</w:t>
      </w:r>
      <w:r>
        <w:rPr>
          <w:rFonts w:hint="eastAsia"/>
          <w:b/>
          <w:bCs/>
          <w:color w:val="auto"/>
          <w:sz w:val="32"/>
          <w:highlight w:val="none"/>
        </w:rPr>
        <w:t xml:space="preserve">号</w:t>
      </w:r>
      <w:r>
        <w:rPr>
          <w:rFonts w:hint="eastAsia"/>
          <w:color w:val="auto"/>
          <w:highlight w:val="none"/>
        </w:rPr>
        <w:t xml:space="preserve">  </w:t>
      </w:r>
      <w:r>
        <w:rPr>
          <w:rFonts w:hint="eastAsia"/>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ind w:firstLine="1807"/>
        <w:keepLines w:val="0"/>
        <w:keepNext w:val="0"/>
        <w:pageBreakBefore w:val="0"/>
        <w:spacing w:line="360" w:lineRule="auto"/>
        <w:widowControl w:val="off"/>
        <w:rPr>
          <w:rFonts w:hint="eastAsia"/>
          <w:b/>
          <w:color w:val="auto"/>
          <w:sz w:val="30"/>
          <w:szCs w:val="30"/>
          <w:highlight w:val="none"/>
        </w:rPr>
      </w:pPr>
      <w:r>
        <w:rPr>
          <w:rFonts w:hint="eastAsia"/>
          <w:b/>
          <w:color w:val="auto"/>
          <w:sz w:val="30"/>
          <w:szCs w:val="30"/>
          <w:highlight w:val="none"/>
        </w:rPr>
        <w:t xml:space="preserve">（货物类项目</w:t>
      </w:r>
      <w:r>
        <w:rPr>
          <w:b/>
          <w:color w:val="auto"/>
          <w:sz w:val="30"/>
          <w:szCs w:val="30"/>
          <w:highlight w:val="none"/>
        </w:rPr>
        <w:t xml:space="preserve">，本项目</w:t>
      </w:r>
      <w:r>
        <w:rPr>
          <w:rFonts w:hint="eastAsia"/>
          <w:b/>
          <w:color w:val="auto"/>
          <w:sz w:val="30"/>
          <w:szCs w:val="30"/>
          <w:highlight w:val="none"/>
          <w:u w:val="none"/>
        </w:rPr>
        <w:t xml:space="preserve">专门</w:t>
      </w:r>
      <w:r>
        <w:rPr>
          <w:rFonts w:hint="eastAsia"/>
          <w:b/>
          <w:color w:val="auto"/>
          <w:sz w:val="30"/>
          <w:szCs w:val="30"/>
          <w:highlight w:val="none"/>
        </w:rPr>
        <w:t xml:space="preserve">面向中小企业</w:t>
      </w:r>
      <w:r>
        <w:rPr>
          <w:rFonts w:hint="eastAsia"/>
          <w:b/>
          <w:color w:val="auto"/>
          <w:sz w:val="30"/>
          <w:szCs w:val="30"/>
          <w:highlight w:val="none"/>
          <w:lang w:val="en-US" w:eastAsia="zh-CN"/>
        </w:rPr>
        <w:t xml:space="preserve">采购</w:t>
      </w:r>
      <w:r>
        <w:rPr>
          <w:rFonts w:hint="eastAsia"/>
          <w:b/>
          <w:color w:val="auto"/>
          <w:sz w:val="30"/>
          <w:szCs w:val="30"/>
          <w:highlight w:val="none"/>
        </w:rPr>
        <w:t xml:space="preserve">）</w:t>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1690"/>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泗洪县畜牧兽医站</w:t>
      </w:r>
      <w:r>
        <w:rPr>
          <w:rFonts w:hint="eastAsia" w:ascii="Times New Roman" w:hAnsi="Times New Roman"/>
          <w:b/>
          <w:bCs/>
          <w:color w:val="auto"/>
          <w:sz w:val="32"/>
          <w:highlight w:val="none"/>
          <w:u w:val="single"/>
        </w:rPr>
        <w:t xml:space="preserve">   </w:t>
      </w:r>
      <w:r/>
    </w:p>
    <w:p>
      <w:pPr>
        <w:pStyle w:val="1173"/>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rPr>
        <w:t xml:space="preserve"> </w:t>
      </w:r>
      <w:r>
        <w:rPr>
          <w:rFonts w:ascii="宋体" w:hAnsi="宋体" w:eastAsia="宋体" w:cs="宋体"/>
          <w:b/>
          <w:color w:val="auto"/>
          <w:sz w:val="32"/>
          <w:highlight w:val="none"/>
          <w:u w:val="single"/>
        </w:rPr>
        <w:t xml:space="preserve">江苏普和建设项目咨询有限公司</w:t>
      </w:r>
      <w:r>
        <w:rPr>
          <w:rFonts w:hint="eastAsia" w:ascii="Times New Roman" w:hAnsi="Times New Roman"/>
          <w:b/>
          <w:bCs/>
          <w:color w:val="auto"/>
          <w:sz w:val="32"/>
          <w:highlight w:val="none"/>
          <w:u w:val="single"/>
        </w:rPr>
        <w:t xml:space="preserve"> </w:t>
      </w:r>
      <w:r/>
    </w:p>
    <w:p>
      <w:pPr>
        <w:pStyle w:val="1173"/>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t xml:space="preserve">2024年</w:t>
      </w:r>
      <w:r>
        <w:rPr>
          <w:rFonts w:hint="eastAsia" w:ascii="Times New Roman" w:hAnsi="Times New Roman"/>
          <w:b/>
          <w:bCs/>
          <w:color w:val="auto"/>
          <w:sz w:val="32"/>
          <w:highlight w:val="none"/>
          <w:lang w:val="en-US" w:eastAsia="zh-CN"/>
        </w:rPr>
        <w:t xml:space="preserve">11</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22</w:t>
      </w:r>
      <w:r>
        <w:rPr>
          <w:rFonts w:hint="eastAsia" w:ascii="Times New Roman" w:hAnsi="Times New Roman"/>
          <w:b/>
          <w:bCs/>
          <w:color w:val="auto"/>
          <w:sz w:val="32"/>
          <w:highlight w:val="none"/>
        </w:rPr>
        <w:t xml:space="preserve">日</w:t>
      </w:r>
      <w:r/>
    </w:p>
    <w:p>
      <w:pPr>
        <w:pStyle w:val="117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17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eastAsia="黑体"/>
          <w:b/>
          <w:color w:val="auto"/>
          <w:sz w:val="44"/>
          <w:highlight w:val="none"/>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spacing w:line="480" w:lineRule="auto"/>
        <w:rPr>
          <w:rFonts w:hint="eastAsia" w:eastAsia="黑体"/>
          <w:b/>
          <w:color w:val="auto"/>
          <w:sz w:val="44"/>
          <w:highlight w:val="none"/>
        </w:rPr>
      </w:pP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pPr>
      <w:r>
        <w:rPr>
          <w:rFonts w:hint="eastAsia" w:eastAsia="黑体"/>
          <w:color w:val="auto"/>
          <w:sz w:val="36"/>
          <w:highlight w:val="none"/>
        </w:rPr>
        <w:t xml:space="preserve">投标邀请……………………………………1 </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投标人须知</w:t>
      </w:r>
      <w:r>
        <w:rPr>
          <w:rFonts w:hint="eastAsia" w:eastAsia="黑体"/>
          <w:color w:val="auto"/>
          <w:sz w:val="36"/>
          <w:szCs w:val="36"/>
          <w:highlight w:val="none"/>
        </w:rPr>
        <w:t xml:space="preserve">…</w:t>
      </w:r>
      <w:r>
        <w:rPr>
          <w:rFonts w:hint="eastAsia" w:eastAsia="黑体"/>
          <w:color w:val="auto"/>
          <w:sz w:val="36"/>
          <w:highlight w:val="none"/>
        </w:rPr>
        <w:t xml:space="preserve">………………………………4  </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合同文本……………………………………18</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采购需求……………………………………23</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………………………29</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投标文件格式………………………………32</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94"/>
        <w:jc w:val="both"/>
        <w:rPr>
          <w:rFonts w:hint="eastAsia" w:ascii="宋体" w:hAnsi="宋体" w:eastAsia="宋体" w:cs="宋体"/>
          <w:b/>
          <w:bCs/>
          <w:color w:val="auto"/>
          <w:sz w:val="44"/>
          <w:szCs w:val="44"/>
          <w:highlight w:val="none"/>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w:t>
      </w:r>
      <w:bookmarkEnd w:id="0"/>
      <w:r>
        <w:rPr>
          <w:rFonts w:hint="eastAsia" w:ascii="宋体" w:hAnsi="宋体" w:cs="宋体"/>
          <w:b/>
          <w:bCs/>
          <w:color w:val="auto"/>
          <w:sz w:val="44"/>
          <w:szCs w:val="44"/>
          <w:highlight w:val="none"/>
        </w:rPr>
        <w:t xml:space="preserve">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hint="eastAsia" w:ascii="宋体" w:hAnsi="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泗洪县2024年度重大动物疫病免疫补助项目（疫苗、标识）JSZC-321324-PHZX-G2024-0015</w:t>
      </w:r>
      <w:r>
        <w:rPr>
          <w:rFonts w:hint="eastAsia" w:ascii="宋体" w:hAnsi="宋体" w:cs="宋体"/>
          <w:color w:val="auto"/>
          <w:sz w:val="24"/>
          <w:szCs w:val="24"/>
          <w:highlight w:val="none"/>
          <w:u w:val="single"/>
        </w:rPr>
        <w:t xml:space="preserve"> 招标项目</w:t>
      </w:r>
      <w:r>
        <w:rPr>
          <w:rFonts w:hint="eastAsia" w:ascii="宋体" w:hAnsi="宋体" w:cs="宋体"/>
          <w:color w:val="auto"/>
          <w:sz w:val="24"/>
          <w:szCs w:val="24"/>
          <w:highlight w:val="none"/>
          <w:u w:val="none"/>
        </w:rPr>
        <w:t xml:space="preserve">的潜在投标人应在招标文件提供的时间内，通过“苏采云”系统（网址： http://jszfcg.jsczt.cn/）或宿迁市政府采购网点击“政府采购管理交易系统（苏采云）”，使用CA锁进入系统从“项目参与”--“采购项目”菜单中，找到本项目获取</w:t>
      </w:r>
      <w:r>
        <w:rPr>
          <w:rFonts w:hint="eastAsia" w:ascii="宋体" w:hAnsi="宋体" w:cs="宋体"/>
          <w:color w:val="auto"/>
          <w:sz w:val="24"/>
          <w:szCs w:val="24"/>
          <w:highlight w:val="none"/>
          <w:u w:val="none"/>
          <w:lang w:val="en-US" w:eastAsia="zh-CN"/>
        </w:rPr>
        <w:t xml:space="preserve">招标</w:t>
      </w:r>
      <w:r>
        <w:rPr>
          <w:rFonts w:hint="eastAsia" w:ascii="宋体" w:hAnsi="宋体" w:cs="宋体"/>
          <w:color w:val="auto"/>
          <w:sz w:val="24"/>
          <w:szCs w:val="24"/>
          <w:highlight w:val="none"/>
          <w:u w:val="none"/>
        </w:rPr>
        <w:t xml:space="preserve">文件（后缀名为“.kedt”），获取招标文件，并于</w:t>
      </w:r>
      <w:r>
        <w:rPr>
          <w:rFonts w:hint="eastAsia" w:ascii="宋体" w:hAnsi="宋体" w:cs="宋体"/>
          <w:color w:val="auto"/>
          <w:sz w:val="24"/>
          <w:szCs w:val="24"/>
          <w:highlight w:val="none"/>
          <w:u w:val="single"/>
        </w:rPr>
        <w:t xml:space="preserve">2024-</w:t>
      </w:r>
      <w:r>
        <w:rPr>
          <w:rFonts w:hint="eastAsia" w:ascii="宋体" w:hAnsi="宋体" w:cs="宋体"/>
          <w:color w:val="auto"/>
          <w:sz w:val="24"/>
          <w:szCs w:val="24"/>
          <w:highlight w:val="none"/>
          <w:u w:val="single"/>
          <w:lang w:val="en-US" w:eastAsia="zh-CN"/>
        </w:rPr>
        <w:t xml:space="preserve">12</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16</w:t>
      </w:r>
      <w:r>
        <w:rPr>
          <w:rFonts w:hint="eastAsia" w:ascii="宋体" w:hAnsi="宋体" w:cs="宋体"/>
          <w:color w:val="auto"/>
          <w:sz w:val="24"/>
          <w:szCs w:val="24"/>
          <w:highlight w:val="none"/>
          <w:u w:val="single"/>
        </w:rPr>
        <w:t xml:space="preserve"> 09:</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 </w:t>
      </w:r>
      <w:r>
        <w:rPr>
          <w:rFonts w:hint="eastAsia" w:ascii="宋体" w:hAnsi="宋体" w:cs="宋体"/>
          <w:color w:val="auto"/>
          <w:sz w:val="24"/>
          <w:szCs w:val="24"/>
          <w:highlight w:val="none"/>
          <w:u w:val="none"/>
        </w:rPr>
        <w:t xml:space="preserve">（北京时间）前递交投标文件。</w:t>
      </w:r>
      <w:r/>
    </w:p>
    <w:p>
      <w:pPr>
        <w:keepLines w:val="0"/>
        <w:keepNext w:val="0"/>
        <w:pageBreakBefore w:val="0"/>
        <w:spacing w:line="360" w:lineRule="auto"/>
        <w:widowControl w:val="off"/>
        <w:rPr>
          <w:rFonts w:hint="eastAsia" w:ascii="宋体" w:hAnsi="宋体" w:cs="宋体"/>
          <w:b/>
          <w:bCs/>
          <w:color w:val="auto"/>
          <w:sz w:val="24"/>
          <w:szCs w:val="24"/>
          <w:highlight w:val="none"/>
        </w:rPr>
      </w:pPr>
      <w:r/>
      <w:bookmarkStart w:id="6" w:name="_Toc35393621"/>
      <w:r/>
      <w:bookmarkStart w:id="7" w:name="_Toc35393790"/>
      <w:r/>
      <w:bookmarkStart w:id="8" w:name="_Toc38985263"/>
      <w:r/>
      <w:bookmarkStart w:id="9" w:name="_Toc28359079"/>
      <w:r/>
      <w:bookmarkStart w:id="10" w:name="_Toc28359002"/>
      <w:r/>
      <w:bookmarkStart w:id="11" w:name="_Hlk24379207"/>
      <w:r/>
      <w:r/>
    </w:p>
    <w:p>
      <w:pPr>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JSZC-321324-PHZX-G2024-0015</w:t>
      </w:r>
      <w:r>
        <w:rPr>
          <w:rFonts w:hint="eastAsia" w:ascii="宋体" w:hAnsi="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泗洪县2024年度重大动物疫病免疫补助项目（疫苗、标识）</w:t>
      </w:r>
      <w:bookmarkEnd w:id="11"/>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预算金额：</w:t>
      </w:r>
      <w:bookmarkStart w:id="12" w:name="EB5d3d0ac51d7b4c0abb3797d4d4297cdd"/>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万元</w:t>
      </w:r>
      <w:bookmarkEnd w:id="1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共分为2个分包。</w:t>
      </w:r>
      <w:r/>
    </w:p>
    <w:p>
      <w:pPr>
        <w:pStyle w:val="935"/>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3" w:name="_Toc35393791"/>
      <w:r/>
      <w:bookmarkStart w:id="14" w:name="_Toc28359003"/>
      <w:r/>
      <w:bookmarkStart w:id="15" w:name="_Toc28359080"/>
      <w:r/>
      <w:bookmarkStart w:id="16" w:name="_Toc35393622"/>
      <w:r/>
      <w:bookmarkStart w:id="17" w:name="_Toc38985264"/>
      <w:r>
        <w:rPr>
          <w:rFonts w:hint="eastAsia" w:ascii="宋体" w:hAnsi="宋体" w:cs="宋体"/>
          <w:color w:val="auto"/>
          <w:sz w:val="24"/>
          <w:szCs w:val="24"/>
          <w:highlight w:val="none"/>
          <w:lang w:val="en-US" w:eastAsia="zh-CN"/>
        </w:rPr>
        <w:t xml:space="preserve">采购包1预算金额为10万元；采购包2预算金额为20万元。</w:t>
      </w:r>
      <w:r/>
    </w:p>
    <w:p>
      <w:pPr>
        <w:pStyle w:val="935"/>
        <w:ind w:left="0" w:right="0" w:firstLine="480"/>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最高限价：本项目设定最高限价单价，</w:t>
      </w:r>
      <w:r>
        <w:rPr>
          <w:rFonts w:hint="eastAsia" w:ascii="宋体" w:hAnsi="宋体" w:cs="宋体"/>
          <w:color w:val="auto"/>
          <w:sz w:val="24"/>
          <w:szCs w:val="24"/>
          <w:highlight w:val="none"/>
          <w:lang w:val="en-US" w:eastAsia="zh-CN"/>
        </w:rPr>
        <w:t xml:space="preserve">采购包1最高限价单价为1.6元/毫升；采购包2最高限价单价为1.9元/毫升</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每分包</w:t>
      </w:r>
      <w:r>
        <w:rPr>
          <w:rFonts w:hint="eastAsia" w:ascii="宋体" w:hAnsi="宋体" w:cs="仿宋_GB2312"/>
          <w:color w:val="auto"/>
          <w:sz w:val="24"/>
          <w:highlight w:val="none"/>
          <w:lang w:val="en-US" w:eastAsia="zh-CN"/>
        </w:rPr>
        <w:t xml:space="preserve">预算总价不变，报单价，超过最高限价单价为无效响应</w:t>
      </w:r>
      <w:r>
        <w:rPr>
          <w:rFonts w:hint="eastAsia" w:ascii="宋体" w:hAnsi="宋体" w:cs="宋体"/>
          <w:color w:val="auto"/>
          <w:sz w:val="24"/>
          <w:szCs w:val="24"/>
          <w:highlight w:val="none"/>
          <w:lang w:eastAsia="zh-CN"/>
        </w:rPr>
        <w:t xml:space="preserve">）</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采购需求（简介）：泗洪县畜牧兽医站拟采购泗洪县2024年度重大动物疫病免疫所需的疫苗一批及相关配套服务、疫苗配套稀释液等。（详细内容见本招标文件第四章） </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采购包1采购内容：猪口蹄疫O型合成肽疫苗（原采购包2）；</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采购包2采购内容：口蹄疫O型、A型二价灭活疫苗</w:t>
      </w:r>
      <w:r>
        <w:rPr>
          <w:rFonts w:hint="eastAsia" w:ascii="宋体" w:hAnsi="宋体" w:cs="宋体"/>
          <w:color w:val="auto"/>
          <w:sz w:val="24"/>
          <w:szCs w:val="24"/>
          <w:highlight w:val="none"/>
          <w:lang w:val="en-US" w:eastAsia="zh-CN"/>
        </w:rPr>
        <w:t xml:space="preserve">（原采购包3）</w:t>
      </w:r>
      <w:r>
        <w:rPr>
          <w:rFonts w:hint="eastAsia" w:ascii="宋体" w:hAnsi="宋体" w:cs="宋体"/>
          <w:color w:val="auto"/>
          <w:sz w:val="24"/>
          <w:szCs w:val="24"/>
          <w:highlight w:val="none"/>
          <w:lang w:val="en-US" w:eastAsia="zh-CN"/>
        </w:rPr>
        <w:t xml:space="preserve">；</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6、成交原则：</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开标顺序：从采购包一到采购包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依次开标。</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定标顺序：同开标顺序。</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定标原则：供应商可以</w:t>
      </w:r>
      <w:r>
        <w:rPr>
          <w:rFonts w:hint="eastAsia" w:ascii="宋体" w:hAnsi="宋体" w:eastAsia="宋体"/>
          <w:color w:val="auto"/>
          <w:sz w:val="24"/>
          <w:szCs w:val="24"/>
          <w:highlight w:val="none"/>
        </w:rPr>
        <w:t xml:space="preserve">选择其中一个或多个</w:t>
      </w:r>
      <w:r>
        <w:rPr>
          <w:rFonts w:hint="eastAsia" w:ascii="宋体" w:hAnsi="宋体" w:eastAsia="宋体"/>
          <w:color w:val="auto"/>
          <w:sz w:val="24"/>
          <w:szCs w:val="24"/>
          <w:highlight w:val="none"/>
          <w:lang w:val="en-US" w:eastAsia="zh-CN"/>
        </w:rPr>
        <w:t xml:space="preserve">分包</w:t>
      </w:r>
      <w:r>
        <w:rPr>
          <w:rFonts w:hint="eastAsia" w:ascii="宋体" w:hAnsi="宋体" w:eastAsia="宋体"/>
          <w:color w:val="auto"/>
          <w:sz w:val="24"/>
          <w:szCs w:val="24"/>
          <w:highlight w:val="none"/>
        </w:rPr>
        <w:t xml:space="preserve">进行</w:t>
      </w:r>
      <w:r>
        <w:rPr>
          <w:rFonts w:hint="eastAsia" w:ascii="宋体" w:hAnsi="宋体" w:eastAsia="宋体" w:cs="宋体"/>
          <w:color w:val="auto"/>
          <w:sz w:val="24"/>
          <w:szCs w:val="24"/>
          <w:highlight w:val="none"/>
        </w:rPr>
        <w:t xml:space="preserve">投标，按照</w:t>
      </w:r>
      <w:r>
        <w:rPr>
          <w:rFonts w:hint="eastAsia" w:ascii="宋体" w:hAnsi="宋体" w:cs="宋体"/>
          <w:color w:val="auto"/>
          <w:sz w:val="24"/>
          <w:szCs w:val="24"/>
          <w:highlight w:val="none"/>
          <w:lang w:val="en-US" w:eastAsia="zh-CN"/>
        </w:rPr>
        <w:t xml:space="preserve">兼投兼中原则，已在前一标段中标后，其他标段依然具有中标资格。</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注：评审结束后，若其中一个采购包受到质疑投诉等原因，导致本采购包评审结果改变，但不影响其他采购包的评审。</w:t>
      </w:r>
      <w:r/>
    </w:p>
    <w:p>
      <w:pPr>
        <w:pStyle w:val="935"/>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bookmarkStart w:id="18" w:name="EBb920db3eebc44049b2d27a5203bb6f6d"/>
      <w:r>
        <w:rPr>
          <w:rFonts w:hint="eastAsia" w:ascii="宋体" w:hAnsi="宋体" w:eastAsia="宋体" w:cs="宋体"/>
          <w:color w:val="auto"/>
          <w:sz w:val="24"/>
          <w:szCs w:val="24"/>
          <w:highlight w:val="none"/>
        </w:rPr>
        <w:t xml:space="preserve">合同签订后1年。</w:t>
      </w:r>
      <w:bookmarkEnd w:id="18"/>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联合体投标（接受/不接受）</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3"/>
      <w:r/>
      <w:bookmarkEnd w:id="14"/>
      <w:r/>
      <w:bookmarkEnd w:id="15"/>
      <w:r/>
      <w:bookmarkEnd w:id="16"/>
      <w:r/>
      <w:bookmarkEnd w:id="17"/>
      <w:r/>
      <w:r/>
    </w:p>
    <w:p>
      <w:pPr>
        <w:ind w:firstLine="480"/>
        <w:spacing w:line="480" w:lineRule="exact"/>
        <w:rPr>
          <w:rFonts w:hint="eastAsia" w:ascii="宋体" w:hAnsi="宋体" w:cs="宋体"/>
          <w:color w:val="auto"/>
          <w:sz w:val="24"/>
          <w:szCs w:val="24"/>
          <w:highlight w:val="none"/>
        </w:rPr>
      </w:pPr>
      <w:r/>
      <w:bookmarkStart w:id="19" w:name="_Toc35393623"/>
      <w:r/>
      <w:bookmarkStart w:id="20" w:name="_Toc28359081"/>
      <w:r/>
      <w:bookmarkStart w:id="21" w:name="_Toc28359004"/>
      <w:r/>
      <w:bookmarkStart w:id="22" w:name="_Toc35393792"/>
      <w:r/>
      <w:bookmarkStart w:id="23" w:name="_Toc38985265"/>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right"/>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落实政府采购政策需满足的资格要求：本项目属于专门面向中小企业采购，投标人所提供货物的制造商应为中小微企业或监狱企业或残疾人福利性单位。</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采购包1、采购包2</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投标人须</w:t>
      </w:r>
      <w:r>
        <w:rPr>
          <w:rFonts w:hint="eastAsia" w:ascii="宋体" w:hAnsi="宋体" w:cs="宋体"/>
          <w:color w:val="auto"/>
          <w:sz w:val="24"/>
          <w:szCs w:val="24"/>
          <w:highlight w:val="none"/>
          <w:lang w:val="en-US" w:eastAsia="zh-CN"/>
        </w:rPr>
        <w:t xml:space="preserve">具有有效期内的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兽药经营许可证（兽药经营许可证经营范围需含有兽用生物制品）</w:t>
      </w:r>
      <w:r>
        <w:rPr>
          <w:rFonts w:hint="eastAsia" w:ascii="宋体" w:hAnsi="宋体" w:cs="宋体"/>
          <w:color w:val="auto"/>
          <w:sz w:val="24"/>
          <w:szCs w:val="24"/>
          <w:highlight w:val="none"/>
          <w:lang w:eastAsia="zh-CN"/>
        </w:rPr>
        <w:t xml:space="preserve">：投标人若是生产厂家，须具有有效的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eastAsia="zh-CN"/>
        </w:rPr>
        <w:t xml:space="preserve">；投标人若是经销商，须具有有效的</w:t>
      </w:r>
      <w:r>
        <w:rPr>
          <w:rFonts w:hint="eastAsia" w:ascii="宋体" w:hAnsi="宋体" w:cs="宋体"/>
          <w:color w:val="auto"/>
          <w:sz w:val="24"/>
          <w:szCs w:val="24"/>
          <w:highlight w:val="none"/>
        </w:rPr>
        <w:t xml:space="preserve">兽药经营许可证</w:t>
      </w:r>
      <w:r>
        <w:rPr>
          <w:rFonts w:hint="eastAsia" w:ascii="宋体" w:hAnsi="宋体" w:cs="宋体"/>
          <w:color w:val="auto"/>
          <w:sz w:val="24"/>
          <w:szCs w:val="24"/>
          <w:highlight w:val="none"/>
          <w:lang w:eastAsia="zh-CN"/>
        </w:rPr>
        <w:t xml:space="preserve">。</w:t>
      </w:r>
      <w:r/>
    </w:p>
    <w:p>
      <w:pPr>
        <w:spacing w:line="480" w:lineRule="exact"/>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highlight w:val="none"/>
        </w:rPr>
        <w:t xml:space="preserve">单位负责人为同一人或者存在直接控股、管理关系的不同供应商，不得参加同一合同项下的政府采购活动。否则，相关投标均无效。</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9"/>
      <w:r/>
      <w:bookmarkEnd w:id="20"/>
      <w:r/>
      <w:bookmarkEnd w:id="21"/>
      <w:r/>
      <w:bookmarkEnd w:id="22"/>
      <w:r/>
      <w:bookmarkEnd w:id="23"/>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rPr>
          <w:rFonts w:ascii="宋体" w:hAnsi="宋体" w:eastAsia="宋体" w:cs="宋体"/>
          <w:color w:val="000000"/>
          <w:sz w:val="24"/>
          <w:szCs w:val="24"/>
        </w:rPr>
        <w:t xml:space="preserve">1、时间：自招标文件公告发布之日起5个工作日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2、地点：投标人应在招标文件提供的时间内，通过“苏采云”系统（网址：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4、售价：0.00元 </w:t>
      </w:r>
      <w:r/>
    </w:p>
    <w:p>
      <w:pPr>
        <w:ind w:firstLine="480"/>
        <w:spacing w:line="480" w:lineRule="exact"/>
        <w:rPr>
          <w:rFonts w:hint="eastAsia" w:ascii="宋体" w:hAnsi="宋体" w:cs="宋体"/>
          <w:color w:val="auto"/>
          <w:sz w:val="24"/>
          <w:szCs w:val="24"/>
          <w:highlight w:val="none"/>
        </w:rPr>
      </w:pPr>
      <w:r/>
      <w:bookmarkStart w:id="24" w:name="EB0c44ff4da61f4af989d119fe214be450"/>
      <w:r>
        <w:rPr>
          <w:rFonts w:hint="eastAsia" w:ascii="宋体" w:hAnsi="宋体" w:cs="宋体"/>
          <w:color w:val="auto"/>
          <w:sz w:val="24"/>
          <w:szCs w:val="24"/>
          <w:highlight w:val="none"/>
        </w:rPr>
        <w:t xml:space="preserve">本项目共分</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个包。投标人</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参与多个包投标的，应按包分别获取招标文件。投标人未按要求获取招标文件导致无法投标的，后果自负（其投标文件不予接受）。</w:t>
      </w:r>
      <w:bookmarkEnd w:id="24"/>
      <w:r/>
      <w:r/>
    </w:p>
    <w:p>
      <w:pPr>
        <w:spacing w:line="48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80"/>
        <w:spacing w:line="48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提交投标文件截止时间、开标时间：</w:t>
      </w:r>
      <w:r>
        <w:rPr>
          <w:rFonts w:hint="eastAsia" w:ascii="宋体" w:hAnsi="宋体" w:cs="宋体"/>
          <w:bCs/>
          <w:color w:val="auto"/>
          <w:sz w:val="24"/>
          <w:szCs w:val="24"/>
          <w:highlight w:val="none"/>
          <w:u w:val="single"/>
        </w:rPr>
        <w:t xml:space="preserve">2024年</w:t>
      </w:r>
      <w:r>
        <w:rPr>
          <w:rFonts w:hint="eastAsia" w:ascii="宋体" w:hAnsi="宋体" w:cs="宋体"/>
          <w:bCs/>
          <w:color w:val="auto"/>
          <w:sz w:val="24"/>
          <w:szCs w:val="24"/>
          <w:highlight w:val="none"/>
          <w:u w:val="single"/>
          <w:lang w:val="en-US" w:eastAsia="zh-CN"/>
        </w:rPr>
        <w:t xml:space="preserve">12</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16</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cs="宋体"/>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地点：“苏采云”政府采购交易系统网上开标大厅。</w:t>
      </w:r>
      <w:r/>
    </w:p>
    <w:p>
      <w:pPr>
        <w:spacing w:line="480" w:lineRule="exact"/>
        <w:rPr>
          <w:rFonts w:hint="eastAsia" w:ascii="宋体" w:hAnsi="宋体" w:cs="宋体"/>
          <w:b/>
          <w:bCs/>
          <w:color w:val="auto"/>
          <w:sz w:val="24"/>
          <w:szCs w:val="24"/>
          <w:highlight w:val="none"/>
        </w:rPr>
      </w:pPr>
      <w:r/>
      <w:bookmarkStart w:id="25" w:name="_Toc28359084"/>
      <w:r/>
      <w:bookmarkStart w:id="26" w:name="_Toc38985267"/>
      <w:r/>
      <w:bookmarkStart w:id="27" w:name="_Toc35393794"/>
      <w:r/>
      <w:bookmarkStart w:id="28" w:name="_Toc35393625"/>
      <w:r/>
      <w:bookmarkStart w:id="29" w:name="_Toc28359007"/>
      <w:r>
        <w:rPr>
          <w:rFonts w:hint="eastAsia" w:ascii="宋体" w:hAnsi="宋体" w:cs="宋体"/>
          <w:b/>
          <w:bCs/>
          <w:color w:val="auto"/>
          <w:sz w:val="24"/>
          <w:szCs w:val="24"/>
          <w:highlight w:val="none"/>
        </w:rPr>
        <w:t xml:space="preserve">五、公告期限</w:t>
      </w:r>
      <w:bookmarkEnd w:id="25"/>
      <w:r/>
      <w:bookmarkEnd w:id="26"/>
      <w:r/>
      <w:bookmarkEnd w:id="27"/>
      <w:r/>
      <w:bookmarkEnd w:id="28"/>
      <w:r/>
      <w:bookmarkEnd w:id="29"/>
      <w:r/>
      <w:r/>
    </w:p>
    <w:p>
      <w:pPr>
        <w:ind w:firstLine="480"/>
        <w:spacing w:line="480" w:lineRule="exact"/>
        <w:rPr>
          <w:rFonts w:hint="eastAsia" w:ascii="宋体" w:hAnsi="宋体" w:cs="宋体"/>
          <w:color w:val="auto"/>
          <w:sz w:val="24"/>
          <w:szCs w:val="24"/>
          <w:highlight w:val="none"/>
        </w:rPr>
      </w:pPr>
      <w:r/>
      <w:bookmarkStart w:id="30" w:name="_Toc38985268"/>
      <w:r/>
      <w:bookmarkStart w:id="31" w:name="_Toc35393795"/>
      <w:r/>
      <w:bookmarkStart w:id="32" w:name="_Toc35393626"/>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bookmarkEnd w:id="30"/>
      <w:r/>
      <w:bookmarkEnd w:id="31"/>
      <w:r/>
      <w:bookmarkEnd w:id="32"/>
      <w:r/>
      <w:r/>
    </w:p>
    <w:p>
      <w:pPr>
        <w:ind w:firstLine="480"/>
        <w:spacing w:line="480" w:lineRule="exact"/>
        <w:rPr>
          <w:rFonts w:hint="eastAsia" w:ascii="宋体" w:hAnsi="宋体" w:cs="宋体"/>
          <w:color w:val="auto"/>
          <w:sz w:val="24"/>
          <w:szCs w:val="24"/>
          <w:highlight w:val="none"/>
        </w:rPr>
      </w:pPr>
      <w:r/>
      <w:bookmarkStart w:id="33" w:name="EB64e1f522fd8c43fcb4d3ba471386b3e7"/>
      <w:r/>
      <w:bookmarkStart w:id="34" w:name="_Toc28359085"/>
      <w:r/>
      <w:bookmarkStart w:id="35" w:name="_Toc28359008"/>
      <w:r/>
      <w:bookmarkStart w:id="36" w:name="_Toc35393796"/>
      <w:r/>
      <w:bookmarkStart w:id="37" w:name="_Toc38985269"/>
      <w:r/>
      <w:bookmarkStart w:id="38" w:name="_Toc35393627"/>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财政部门监督电话：0527-</w:t>
      </w:r>
      <w:r>
        <w:rPr>
          <w:rFonts w:hint="eastAsia" w:ascii="宋体" w:hAnsi="宋体" w:cs="宋体"/>
          <w:color w:val="auto"/>
          <w:sz w:val="24"/>
          <w:szCs w:val="24"/>
          <w:highlight w:val="none"/>
          <w:lang w:val="en-US" w:eastAsia="zh-CN"/>
        </w:rPr>
        <w:t xml:space="preserve">88359233</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宿迁地区“苏采云”技术支持客服电话：0527-84225125、0519-86722806。</w:t>
      </w:r>
      <w:r/>
    </w:p>
    <w:p>
      <w:pPr>
        <w:pStyle w:val="1160"/>
        <w:ind w:firstLine="480"/>
        <w:jc w:val="left"/>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如果投标人通过苏采云系统参与政府采购项目，相关操作手册详见链接：http://www.ccgp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jiangsu.gov.cn/jiangsu/zlxz/ee/ee3a4bc5a3454aa2b0d9312230633ce9.html。</w:t>
      </w:r>
      <w:bookmarkEnd w:id="33"/>
      <w:r/>
      <w:r/>
    </w:p>
    <w:p>
      <w:pPr>
        <w:ind w:firstLine="480"/>
        <w:spacing w:line="480" w:lineRule="exact"/>
        <w:rPr>
          <w:rFonts w:hint="eastAsia" w:ascii="宋体" w:hAnsi="宋体" w:cs="宋体"/>
          <w:b/>
          <w:bCs/>
          <w:i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现场勘察及答疑：本项目不组织集中勘察及答疑，投标人如对采购需求有疑问，请咨询采购单位联系人。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七、本次招标联系方式</w:t>
      </w:r>
      <w:bookmarkEnd w:id="34"/>
      <w:r/>
      <w:bookmarkEnd w:id="35"/>
      <w:r/>
      <w:bookmarkEnd w:id="36"/>
      <w:r/>
      <w:bookmarkEnd w:id="37"/>
      <w:r/>
      <w:bookmarkEnd w:id="38"/>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采购人信息</w:t>
      </w:r>
      <w:r/>
    </w:p>
    <w:p>
      <w:pPr>
        <w:ind w:firstLine="480"/>
        <w:jc w:val="left"/>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泗洪县畜牧兽医站</w:t>
      </w:r>
      <w:r/>
    </w:p>
    <w:p>
      <w:pPr>
        <w:ind w:firstLine="480"/>
        <w:jc w:val="left"/>
        <w:spacing w:line="4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lang w:val="en-US" w:eastAsia="zh-CN"/>
        </w:rPr>
        <w:t xml:space="preserve">泗洪县人民北路10号</w:t>
      </w:r>
      <w:r/>
    </w:p>
    <w:p>
      <w:pPr>
        <w:ind w:firstLine="480"/>
        <w:jc w:val="left"/>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王伟</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39" w:name="_Toc28359009"/>
      <w:r/>
      <w:bookmarkStart w:id="40" w:name="_Toc28359086"/>
      <w:r>
        <w:rPr>
          <w:rFonts w:hint="eastAsia" w:ascii="宋体" w:hAnsi="宋体" w:cs="宋体"/>
          <w:color w:val="auto"/>
          <w:sz w:val="24"/>
          <w:szCs w:val="24"/>
          <w:highlight w:val="none"/>
          <w:u w:val="single"/>
        </w:rPr>
        <w:t xml:space="preserve">15896080821</w:t>
      </w:r>
      <w:bookmarkEnd w:id="39"/>
      <w:r/>
      <w:bookmarkEnd w:id="40"/>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采购代理机构信息</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名 称：</w:t>
      </w:r>
      <w:r>
        <w:rPr>
          <w:rFonts w:hint="eastAsia" w:ascii="宋体" w:hAnsi="宋体" w:eastAsia="宋体" w:cs="宋体"/>
          <w:caps w:val="0"/>
          <w:color w:val="auto"/>
          <w:sz w:val="24"/>
          <w:szCs w:val="24"/>
          <w:highlight w:val="none"/>
          <w:u w:val="single"/>
        </w:rPr>
        <w:t xml:space="preserve">江苏普和建设项目咨询有限公司</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地　址：</w:t>
      </w:r>
      <w:r>
        <w:rPr>
          <w:rFonts w:hint="eastAsia" w:ascii="宋体" w:hAnsi="宋体" w:eastAsia="宋体" w:cs="宋体"/>
          <w:caps w:val="0"/>
          <w:color w:val="auto"/>
          <w:sz w:val="24"/>
          <w:szCs w:val="24"/>
          <w:highlight w:val="none"/>
          <w:u w:val="single"/>
        </w:rPr>
        <w:t xml:space="preserve">泗洪县和谐路永昌财富广场4楼</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lang w:eastAsia="zh-CN"/>
        </w:rPr>
        <w:t xml:space="preserve">罗浩林</w:t>
      </w:r>
      <w:r/>
    </w:p>
    <w:p>
      <w:pPr>
        <w:ind w:firstLine="482"/>
        <w:spacing w:line="48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lang w:eastAsia="zh-CN"/>
        </w:rPr>
        <w:t xml:space="preserve">17552661415</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项目联系方式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eastAsia="宋体" w:cs="宋体"/>
          <w:caps w:val="0"/>
          <w:color w:val="auto"/>
          <w:sz w:val="24"/>
          <w:szCs w:val="24"/>
          <w:highlight w:val="none"/>
          <w:u w:val="single"/>
          <w:lang w:eastAsia="zh-CN"/>
        </w:rPr>
        <w:t xml:space="preserve">罗浩林</w:t>
      </w:r>
      <w:r/>
    </w:p>
    <w:p>
      <w:pPr>
        <w:ind w:firstLine="480"/>
        <w:jc w:val="left"/>
        <w:spacing w:line="4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电话：</w:t>
      </w:r>
      <w:r>
        <w:rPr>
          <w:rFonts w:hint="eastAsia" w:ascii="宋体" w:hAnsi="宋体" w:eastAsia="宋体" w:cs="宋体"/>
          <w:caps w:val="0"/>
          <w:color w:val="auto"/>
          <w:sz w:val="24"/>
          <w:szCs w:val="24"/>
          <w:highlight w:val="none"/>
          <w:u w:val="single"/>
          <w:lang w:eastAsia="zh-CN"/>
        </w:rPr>
        <w:t xml:space="preserve">17552661415</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1.有关本次招标的事项若存在变动或修改，敬请及时关注“宿迁市政府采购网”等平台更正公告。</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2.本次招标不收取投标保证金。</w:t>
      </w:r>
      <w:r/>
    </w:p>
    <w:p>
      <w:pPr>
        <w:ind w:firstLine="480"/>
        <w:spacing w:line="480" w:lineRule="exact"/>
        <w:rPr>
          <w:color w:val="auto"/>
          <w:sz w:val="24"/>
          <w:highlight w:val="none"/>
        </w:rPr>
      </w:pPr>
      <w:r>
        <w:rPr>
          <w:rFonts w:hint="eastAsia" w:ascii="宋体" w:hAnsi="宋体" w:cs="宋体"/>
          <w:iCs/>
          <w:color w:val="auto"/>
          <w:sz w:val="24"/>
          <w:szCs w:val="24"/>
          <w:highlight w:val="none"/>
        </w:rPr>
        <w:t xml:space="preserve">3.本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right="840"/>
        <w:rPr>
          <w:color w:val="auto"/>
          <w:sz w:val="24"/>
          <w:szCs w:val="24"/>
          <w:highlight w:val="none"/>
        </w:rPr>
      </w:pPr>
      <w:r>
        <w:rPr>
          <w:color w:val="auto"/>
          <w:sz w:val="24"/>
          <w:szCs w:val="24"/>
          <w:highlight w:val="none"/>
        </w:rPr>
      </w:r>
      <w:r/>
    </w:p>
    <w:p>
      <w:pPr>
        <w:ind w:right="840"/>
        <w:rPr>
          <w:rFonts w:hint="eastAsia"/>
          <w:color w:val="auto"/>
          <w:sz w:val="24"/>
          <w:szCs w:val="24"/>
          <w:highlight w:val="none"/>
        </w:rPr>
      </w:pPr>
      <w:r>
        <w:rPr>
          <w:color w:val="auto"/>
          <w:sz w:val="24"/>
          <w:szCs w:val="24"/>
          <w:highlight w:val="none"/>
        </w:rPr>
        <w:br w:type="page" w:clear="all"/>
      </w:r>
      <w:r/>
    </w:p>
    <w:p>
      <w:pPr>
        <w:jc w:val="center"/>
        <w:rPr>
          <w:rFonts w:hint="eastAsia" w:ascii="宋体" w:hAnsi="宋体" w:cs="宋体"/>
          <w:b/>
          <w:bCs/>
          <w:color w:val="auto"/>
          <w:sz w:val="44"/>
          <w:szCs w:val="44"/>
          <w:highlight w:val="none"/>
        </w:rPr>
      </w:pPr>
      <w:r/>
      <w:bookmarkStart w:id="41" w:name="_Toc120614211"/>
      <w:r>
        <w:rPr>
          <w:rFonts w:hint="eastAsia" w:ascii="宋体" w:hAnsi="宋体" w:cs="宋体"/>
          <w:b/>
          <w:bCs/>
          <w:color w:val="auto"/>
          <w:sz w:val="44"/>
          <w:szCs w:val="44"/>
          <w:highlight w:val="none"/>
        </w:rPr>
        <w:t xml:space="preserve">第二章  </w:t>
      </w:r>
      <w:bookmarkEnd w:id="1"/>
      <w:r/>
      <w:bookmarkEnd w:id="2"/>
      <w:r/>
      <w:bookmarkEnd w:id="3"/>
      <w:r/>
      <w:bookmarkEnd w:id="4"/>
      <w:r/>
      <w:bookmarkEnd w:id="5"/>
      <w:r/>
      <w:bookmarkEnd w:id="41"/>
      <w:r/>
      <w:bookmarkStart w:id="42" w:name="_Toc513029202"/>
      <w:r/>
      <w:bookmarkStart w:id="43" w:name="_Toc120614213"/>
      <w:r/>
      <w:bookmarkStart w:id="44" w:name="_Toc20823274"/>
      <w:r/>
      <w:bookmarkStart w:id="45" w:name="_Toc16938518"/>
      <w:r>
        <w:rPr>
          <w:rFonts w:hint="eastAsia" w:ascii="宋体" w:hAnsi="宋体" w:cs="宋体"/>
          <w:b/>
          <w:bCs/>
          <w:color w:val="auto"/>
          <w:sz w:val="44"/>
          <w:szCs w:val="44"/>
          <w:highlight w:val="none"/>
        </w:rPr>
        <w:t xml:space="preserve">投标人须知</w:t>
      </w:r>
      <w:bookmarkEnd w:id="42"/>
      <w:r/>
      <w:bookmarkEnd w:id="43"/>
      <w:r/>
      <w:bookmarkEnd w:id="44"/>
      <w:r/>
      <w:bookmarkEnd w:id="45"/>
      <w:r/>
      <w:r/>
    </w:p>
    <w:p>
      <w:pPr>
        <w:ind w:firstLine="482"/>
        <w:spacing w:line="480" w:lineRule="exact"/>
        <w:rPr>
          <w:rFonts w:hint="eastAsia" w:ascii="宋体" w:hAnsi="宋体" w:cs="宋体"/>
          <w:b/>
          <w:bCs/>
          <w:color w:val="auto"/>
          <w:sz w:val="24"/>
          <w:szCs w:val="24"/>
          <w:highlight w:val="none"/>
        </w:rPr>
      </w:pPr>
      <w:r/>
      <w:bookmarkStart w:id="46" w:name="_Toc16938519"/>
      <w:r/>
      <w:bookmarkStart w:id="47" w:name="_Toc513029203"/>
      <w:r/>
      <w:bookmarkStart w:id="48" w:name="_Toc20823275"/>
      <w:r/>
      <w:bookmarkStart w:id="49" w:name="_Toc120614214"/>
      <w:r>
        <w:rPr>
          <w:rFonts w:hint="eastAsia" w:ascii="宋体" w:hAnsi="宋体" w:cs="宋体"/>
          <w:b/>
          <w:bCs/>
          <w:color w:val="auto"/>
          <w:sz w:val="24"/>
          <w:szCs w:val="24"/>
          <w:highlight w:val="none"/>
        </w:rPr>
        <w:t xml:space="preserve">一、总则</w:t>
      </w:r>
      <w:bookmarkEnd w:id="46"/>
      <w:r/>
      <w:bookmarkEnd w:id="47"/>
      <w:r/>
      <w:bookmarkEnd w:id="48"/>
      <w:r/>
      <w:bookmarkEnd w:id="49"/>
      <w:r/>
      <w:r/>
    </w:p>
    <w:p>
      <w:pPr>
        <w:ind w:firstLine="482"/>
        <w:spacing w:line="480" w:lineRule="exact"/>
        <w:rPr>
          <w:rFonts w:hint="eastAsia" w:ascii="宋体" w:hAnsi="宋体" w:cs="宋体"/>
          <w:b/>
          <w:bCs/>
          <w:color w:val="auto"/>
          <w:sz w:val="24"/>
          <w:szCs w:val="24"/>
          <w:highlight w:val="none"/>
        </w:rPr>
      </w:pPr>
      <w:r/>
      <w:bookmarkStart w:id="50" w:name="_Hlt16619475"/>
      <w:r/>
      <w:bookmarkEnd w:id="50"/>
      <w:r/>
      <w:bookmarkStart w:id="51" w:name="_Toc458694821"/>
      <w:r/>
      <w:bookmarkStart w:id="52" w:name="_Toc513029204"/>
      <w:r/>
      <w:bookmarkStart w:id="53" w:name="_Toc16938520"/>
      <w:r/>
      <w:bookmarkStart w:id="54" w:name="_Toc20823276"/>
      <w:r>
        <w:rPr>
          <w:rFonts w:hint="eastAsia" w:ascii="宋体" w:hAnsi="宋体" w:cs="宋体"/>
          <w:b/>
          <w:bCs/>
          <w:color w:val="auto"/>
          <w:sz w:val="24"/>
          <w:szCs w:val="24"/>
          <w:highlight w:val="none"/>
        </w:rPr>
        <w:t xml:space="preserve">1</w:t>
      </w:r>
      <w:bookmarkEnd w:id="51"/>
      <w:r>
        <w:rPr>
          <w:rFonts w:hint="eastAsia" w:ascii="宋体" w:hAnsi="宋体" w:cs="宋体"/>
          <w:b/>
          <w:bCs/>
          <w:color w:val="auto"/>
          <w:sz w:val="24"/>
          <w:szCs w:val="24"/>
          <w:highlight w:val="none"/>
        </w:rPr>
        <w:t xml:space="preserve">、招标方式</w:t>
      </w:r>
      <w:bookmarkEnd w:id="52"/>
      <w:r/>
      <w:bookmarkEnd w:id="53"/>
      <w:r/>
      <w:bookmarkEnd w:id="54"/>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iCs/>
          <w:color w:val="auto"/>
          <w:sz w:val="24"/>
          <w:szCs w:val="24"/>
          <w:highlight w:val="none"/>
        </w:rPr>
        <w:t xml:space="preserve">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firstLine="482"/>
        <w:spacing w:line="480" w:lineRule="exact"/>
        <w:rPr>
          <w:rFonts w:hint="eastAsia" w:ascii="宋体" w:hAnsi="宋体" w:cs="宋体"/>
          <w:b/>
          <w:bCs/>
          <w:color w:val="auto"/>
          <w:sz w:val="24"/>
          <w:szCs w:val="24"/>
          <w:highlight w:val="none"/>
        </w:rPr>
      </w:pPr>
      <w:r/>
      <w:bookmarkStart w:id="55" w:name="_Toc513029205"/>
      <w:r/>
      <w:bookmarkStart w:id="56" w:name="_Toc20823277"/>
      <w:r/>
      <w:bookmarkStart w:id="57" w:name="_Toc16938521"/>
      <w:r>
        <w:rPr>
          <w:rFonts w:hint="eastAsia" w:ascii="宋体" w:hAnsi="宋体" w:cs="宋体"/>
          <w:b/>
          <w:bCs/>
          <w:color w:val="auto"/>
          <w:sz w:val="24"/>
          <w:szCs w:val="24"/>
          <w:highlight w:val="none"/>
        </w:rPr>
        <w:t xml:space="preserve">2、合格的投标人</w:t>
      </w:r>
      <w:bookmarkEnd w:id="55"/>
      <w:r/>
      <w:bookmarkEnd w:id="56"/>
      <w:r/>
      <w:bookmarkEnd w:id="5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ind w:firstLine="482"/>
        <w:spacing w:line="480" w:lineRule="exact"/>
        <w:rPr>
          <w:rFonts w:hint="eastAsia" w:ascii="宋体" w:hAnsi="宋体" w:cs="宋体"/>
          <w:color w:val="auto"/>
          <w:sz w:val="24"/>
          <w:szCs w:val="24"/>
          <w:highlight w:val="none"/>
        </w:rPr>
      </w:pPr>
      <w:r/>
      <w:bookmarkStart w:id="58" w:name="_Toc16938522"/>
      <w:r/>
      <w:bookmarkStart w:id="59" w:name="_Toc513029206"/>
      <w:r/>
      <w:bookmarkStart w:id="60" w:name="_Toc20823278"/>
      <w:r>
        <w:rPr>
          <w:rFonts w:hint="eastAsia" w:ascii="宋体" w:hAnsi="宋体" w:cs="宋体"/>
          <w:b/>
          <w:bCs/>
          <w:color w:val="auto"/>
          <w:sz w:val="24"/>
          <w:szCs w:val="24"/>
          <w:highlight w:val="none"/>
        </w:rPr>
        <w:t xml:space="preserve">3、适用法律</w:t>
      </w:r>
      <w:bookmarkEnd w:id="58"/>
      <w:r/>
      <w:bookmarkEnd w:id="59"/>
      <w:r/>
      <w:bookmarkEnd w:id="60"/>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2"/>
        <w:spacing w:line="480" w:lineRule="exact"/>
        <w:rPr>
          <w:rFonts w:hint="eastAsia" w:ascii="宋体" w:hAnsi="宋体" w:cs="宋体"/>
          <w:b/>
          <w:bCs/>
          <w:color w:val="auto"/>
          <w:sz w:val="24"/>
          <w:szCs w:val="24"/>
          <w:highlight w:val="none"/>
        </w:rPr>
      </w:pPr>
      <w:r/>
      <w:bookmarkStart w:id="61" w:name="_Toc513029207"/>
      <w:r/>
      <w:bookmarkStart w:id="62" w:name="_Toc16938523"/>
      <w:r/>
      <w:bookmarkStart w:id="63" w:name="_Toc462564067"/>
      <w:r/>
      <w:bookmarkStart w:id="64" w:name="_Toc20823279"/>
      <w:r>
        <w:rPr>
          <w:rFonts w:hint="eastAsia" w:ascii="宋体" w:hAnsi="宋体" w:cs="宋体"/>
          <w:b/>
          <w:bCs/>
          <w:color w:val="auto"/>
          <w:sz w:val="24"/>
          <w:szCs w:val="24"/>
          <w:highlight w:val="none"/>
        </w:rPr>
        <w:t xml:space="preserve">4、投标费用</w:t>
      </w:r>
      <w:bookmarkEnd w:id="61"/>
      <w:r/>
      <w:bookmarkEnd w:id="62"/>
      <w:r/>
      <w:bookmarkEnd w:id="63"/>
      <w:r/>
      <w:bookmarkEnd w:id="64"/>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w:t>
      </w:r>
      <w:r>
        <w:rPr>
          <w:rFonts w:hint="eastAsia" w:ascii="宋体" w:hAnsi="宋体" w:cs="宋体"/>
          <w:color w:val="auto"/>
          <w:sz w:val="24"/>
          <w:szCs w:val="24"/>
          <w:highlight w:val="none"/>
          <w:u w:val="single"/>
          <w:lang w:eastAsia="zh-CN"/>
        </w:rPr>
        <w:t xml:space="preserve">江苏普和建设项目咨询有限公司</w:t>
      </w:r>
      <w:r>
        <w:rPr>
          <w:rFonts w:hint="eastAsia" w:ascii="宋体" w:hAnsi="宋体" w:cs="宋体"/>
          <w:color w:val="auto"/>
          <w:sz w:val="24"/>
          <w:szCs w:val="24"/>
          <w:highlight w:val="none"/>
        </w:rPr>
        <w:t xml:space="preserve">（以下简称采购代理机构）在任何情况下均无义务和责任承担这些费用。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4.2代理费用收取方式及标准：按以下第</w:t>
      </w:r>
      <w:r>
        <w:rPr>
          <w:rFonts w:hint="eastAsia" w:ascii="宋体" w:hAnsi="宋体" w:cs="宋体"/>
          <w:color w:val="auto"/>
          <w:sz w:val="24"/>
          <w:szCs w:val="24"/>
          <w:highlight w:val="none"/>
          <w:u w:val="single"/>
        </w:rPr>
        <w:t xml:space="preserve">4.2.2</w:t>
      </w:r>
      <w:r>
        <w:rPr>
          <w:rFonts w:hint="eastAsia" w:ascii="宋体" w:hAnsi="宋体" w:cs="宋体"/>
          <w:color w:val="auto"/>
          <w:sz w:val="24"/>
          <w:szCs w:val="24"/>
          <w:highlight w:val="none"/>
        </w:rPr>
        <w:t xml:space="preserve">种方式执行</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4.2.1无需支付；</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本项目代理服务费</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val="zh-CN"/>
        </w:rPr>
        <w:t xml:space="preserve">0000元。可使用数字人民币支付。</w:t>
      </w:r>
      <w:r>
        <w:rPr>
          <w:rFonts w:hint="eastAsia" w:ascii="宋体" w:hAnsi="宋体" w:eastAsia="宋体" w:cs="宋体"/>
          <w:color w:val="auto"/>
          <w:sz w:val="24"/>
          <w:szCs w:val="24"/>
          <w:highlight w:val="none"/>
          <w:lang w:val="en-US"/>
        </w:rPr>
        <w:t xml:space="preserve"> </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5、招标文件的约束力</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ind w:firstLine="482"/>
        <w:spacing w:line="480" w:lineRule="exact"/>
        <w:rPr>
          <w:rFonts w:hint="eastAsia" w:ascii="宋体" w:hAnsi="宋体" w:cs="宋体"/>
          <w:b/>
          <w:bCs/>
          <w:color w:val="auto"/>
          <w:sz w:val="24"/>
          <w:szCs w:val="24"/>
          <w:highlight w:val="none"/>
        </w:rPr>
      </w:pPr>
      <w:r/>
      <w:bookmarkStart w:id="65" w:name="_Toc513029209"/>
      <w:r/>
      <w:bookmarkStart w:id="66" w:name="_Toc120614215"/>
      <w:r/>
      <w:bookmarkStart w:id="67" w:name="_Toc20823281"/>
      <w:r/>
      <w:bookmarkStart w:id="68" w:name="_Toc16938525"/>
      <w:r>
        <w:rPr>
          <w:rFonts w:hint="eastAsia" w:ascii="宋体" w:hAnsi="宋体" w:cs="宋体"/>
          <w:b/>
          <w:bCs/>
          <w:color w:val="auto"/>
          <w:sz w:val="24"/>
          <w:szCs w:val="24"/>
          <w:highlight w:val="none"/>
        </w:rPr>
        <w:t xml:space="preserve">二、招标文件</w:t>
      </w:r>
      <w:bookmarkEnd w:id="65"/>
      <w:r/>
      <w:bookmarkEnd w:id="66"/>
      <w:r/>
      <w:bookmarkEnd w:id="67"/>
      <w:r/>
      <w:bookmarkEnd w:id="68"/>
      <w:r/>
      <w:r/>
    </w:p>
    <w:p>
      <w:pPr>
        <w:ind w:firstLine="482"/>
        <w:spacing w:line="480" w:lineRule="exact"/>
        <w:rPr>
          <w:rFonts w:hint="eastAsia" w:ascii="宋体" w:hAnsi="宋体" w:cs="宋体"/>
          <w:b/>
          <w:bCs/>
          <w:color w:val="auto"/>
          <w:sz w:val="24"/>
          <w:szCs w:val="24"/>
          <w:highlight w:val="none"/>
        </w:rPr>
      </w:pPr>
      <w:r/>
      <w:bookmarkStart w:id="69" w:name="_Toc16938526"/>
      <w:r/>
      <w:bookmarkStart w:id="70" w:name="_Toc513029210"/>
      <w:r/>
      <w:bookmarkStart w:id="71" w:name="_Toc20823282"/>
      <w:r>
        <w:rPr>
          <w:rFonts w:hint="eastAsia" w:ascii="宋体" w:hAnsi="宋体" w:cs="宋体"/>
          <w:b/>
          <w:bCs/>
          <w:color w:val="auto"/>
          <w:sz w:val="24"/>
          <w:szCs w:val="24"/>
          <w:highlight w:val="none"/>
        </w:rPr>
        <w:t xml:space="preserve">6、招标文件构成</w:t>
      </w:r>
      <w:bookmarkEnd w:id="69"/>
      <w:r/>
      <w:bookmarkEnd w:id="70"/>
      <w:r/>
      <w:bookmarkEnd w:id="71"/>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招标文件由以下部分组成：</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宋体" w:hAnsi="宋体" w:cs="宋体"/>
          <w:b/>
          <w:bCs/>
          <w:color w:val="auto"/>
          <w:sz w:val="24"/>
          <w:szCs w:val="24"/>
          <w:highlight w:val="none"/>
        </w:rPr>
      </w:pPr>
      <w:r/>
      <w:bookmarkStart w:id="72" w:name="_Toc16938527"/>
      <w:r/>
      <w:bookmarkStart w:id="73" w:name="_Toc20823283"/>
      <w:r/>
      <w:bookmarkStart w:id="74" w:name="_Toc513029211"/>
      <w:r/>
      <w:bookmarkStart w:id="75" w:name="_Toc462564070"/>
      <w:r>
        <w:rPr>
          <w:rFonts w:hint="eastAsia" w:ascii="宋体" w:hAnsi="宋体" w:cs="宋体"/>
          <w:b/>
          <w:bCs/>
          <w:color w:val="auto"/>
          <w:sz w:val="24"/>
          <w:szCs w:val="24"/>
          <w:highlight w:val="none"/>
        </w:rPr>
        <w:t xml:space="preserve">7、招标文件的澄清</w:t>
      </w:r>
      <w:bookmarkEnd w:id="72"/>
      <w:r/>
      <w:bookmarkEnd w:id="73"/>
      <w:r/>
      <w:bookmarkEnd w:id="74"/>
      <w:r/>
      <w:bookmarkEnd w:id="75"/>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前按招标公告中的通讯地址，以书面形式通知采购代理机构。</w:t>
      </w:r>
      <w:r/>
    </w:p>
    <w:p>
      <w:pPr>
        <w:ind w:firstLine="482"/>
        <w:spacing w:line="480" w:lineRule="exact"/>
        <w:rPr>
          <w:rFonts w:hint="eastAsia" w:ascii="宋体" w:hAnsi="宋体" w:cs="宋体"/>
          <w:b/>
          <w:bCs/>
          <w:color w:val="auto"/>
          <w:sz w:val="24"/>
          <w:szCs w:val="24"/>
          <w:highlight w:val="none"/>
        </w:rPr>
      </w:pPr>
      <w:r/>
      <w:bookmarkStart w:id="76" w:name="_Toc462564071"/>
      <w:r/>
      <w:bookmarkStart w:id="77" w:name="_Toc16938528"/>
      <w:r/>
      <w:bookmarkStart w:id="78" w:name="_Toc513029212"/>
      <w:r/>
      <w:bookmarkStart w:id="79" w:name="_Toc20823284"/>
      <w:r>
        <w:rPr>
          <w:rFonts w:hint="eastAsia" w:ascii="宋体" w:hAnsi="宋体" w:cs="宋体"/>
          <w:b/>
          <w:bCs/>
          <w:color w:val="auto"/>
          <w:sz w:val="24"/>
          <w:szCs w:val="24"/>
          <w:highlight w:val="none"/>
        </w:rPr>
        <w:t xml:space="preserve">8、招标文件的修改</w:t>
      </w:r>
      <w:bookmarkEnd w:id="76"/>
      <w:r/>
      <w:bookmarkEnd w:id="77"/>
      <w:r/>
      <w:bookmarkEnd w:id="78"/>
      <w:r/>
      <w:bookmarkEnd w:id="79"/>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 在投标截止时间前，采购代理机构可以对招标文件进行修改。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8.3 采购代理机构有权按照法定的要求推迟投标截止日期和开标日期。</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宋体" w:hAnsi="宋体" w:cs="宋体"/>
          <w:b/>
          <w:bCs/>
          <w:color w:val="auto"/>
          <w:sz w:val="24"/>
          <w:szCs w:val="24"/>
          <w:highlight w:val="none"/>
        </w:rPr>
      </w:pPr>
      <w:r/>
      <w:bookmarkStart w:id="80" w:name="_Toc20823285"/>
      <w:r/>
      <w:bookmarkStart w:id="81" w:name="_Toc513029213"/>
      <w:r/>
      <w:bookmarkStart w:id="82" w:name="_Toc16938529"/>
      <w:r/>
      <w:bookmarkStart w:id="83" w:name="_Toc462564072"/>
      <w:r/>
      <w:bookmarkStart w:id="84" w:name="_Toc120614216"/>
      <w:r>
        <w:rPr>
          <w:rFonts w:hint="eastAsia" w:ascii="宋体" w:hAnsi="宋体" w:cs="宋体"/>
          <w:b/>
          <w:bCs/>
          <w:color w:val="auto"/>
          <w:sz w:val="24"/>
          <w:szCs w:val="24"/>
          <w:highlight w:val="none"/>
        </w:rPr>
        <w:t xml:space="preserve">三、投标文件的编制</w:t>
      </w:r>
      <w:bookmarkEnd w:id="80"/>
      <w:r/>
      <w:bookmarkEnd w:id="81"/>
      <w:r/>
      <w:bookmarkEnd w:id="82"/>
      <w:r/>
      <w:bookmarkEnd w:id="83"/>
      <w:r/>
      <w:bookmarkEnd w:id="84"/>
      <w:r/>
      <w:r/>
    </w:p>
    <w:p>
      <w:pPr>
        <w:ind w:firstLine="482"/>
        <w:spacing w:line="480" w:lineRule="exact"/>
        <w:rPr>
          <w:rFonts w:hint="eastAsia" w:ascii="宋体" w:hAnsi="宋体" w:cs="宋体"/>
          <w:b/>
          <w:bCs/>
          <w:color w:val="auto"/>
          <w:sz w:val="24"/>
          <w:szCs w:val="24"/>
          <w:highlight w:val="none"/>
        </w:rPr>
      </w:pPr>
      <w:r/>
      <w:bookmarkStart w:id="85" w:name="_Toc16938530"/>
      <w:r/>
      <w:bookmarkStart w:id="86" w:name="_Toc462564073"/>
      <w:r/>
      <w:bookmarkStart w:id="87" w:name="_Toc20823286"/>
      <w:r/>
      <w:bookmarkStart w:id="88" w:name="_Toc513029214"/>
      <w:r>
        <w:rPr>
          <w:rFonts w:hint="eastAsia" w:ascii="宋体" w:hAnsi="宋体" w:cs="宋体"/>
          <w:b/>
          <w:bCs/>
          <w:color w:val="auto"/>
          <w:sz w:val="24"/>
          <w:szCs w:val="24"/>
          <w:highlight w:val="none"/>
        </w:rPr>
        <w:t xml:space="preserve">9、投标文件的语言及度量衡单位</w:t>
      </w:r>
      <w:bookmarkEnd w:id="85"/>
      <w:r/>
      <w:bookmarkEnd w:id="86"/>
      <w:r/>
      <w:bookmarkEnd w:id="87"/>
      <w:r/>
      <w:bookmarkEnd w:id="88"/>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2"/>
        <w:spacing w:line="480" w:lineRule="exact"/>
        <w:rPr>
          <w:rFonts w:hint="eastAsia" w:ascii="宋体" w:hAnsi="宋体" w:cs="宋体"/>
          <w:b/>
          <w:bCs/>
          <w:color w:val="auto"/>
          <w:sz w:val="24"/>
          <w:szCs w:val="24"/>
          <w:highlight w:val="none"/>
        </w:rPr>
      </w:pPr>
      <w:r/>
      <w:bookmarkStart w:id="89" w:name="_Toc513029215"/>
      <w:r/>
      <w:bookmarkStart w:id="90" w:name="_Toc462564074"/>
      <w:r/>
      <w:bookmarkStart w:id="91" w:name="_Toc16938531"/>
      <w:r/>
      <w:bookmarkStart w:id="92" w:name="_Toc20823287"/>
      <w:r>
        <w:rPr>
          <w:rFonts w:hint="eastAsia" w:ascii="宋体" w:hAnsi="宋体" w:cs="宋体"/>
          <w:b/>
          <w:bCs/>
          <w:color w:val="auto"/>
          <w:sz w:val="24"/>
          <w:szCs w:val="24"/>
          <w:highlight w:val="none"/>
        </w:rPr>
        <w:t xml:space="preserve">10、投标文件构成</w:t>
      </w:r>
      <w:bookmarkEnd w:id="89"/>
      <w:r/>
      <w:bookmarkEnd w:id="90"/>
      <w:r/>
      <w:bookmarkEnd w:id="91"/>
      <w:r/>
      <w:bookmarkEnd w:id="92"/>
      <w:r/>
      <w:r/>
    </w:p>
    <w:p>
      <w:pPr>
        <w:ind w:firstLine="480"/>
        <w:jc w:val="left"/>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各投标人在编制投标文件时请按照招标文件第六</w:t>
      </w:r>
      <w:r>
        <w:rPr>
          <w:rFonts w:hint="eastAsia" w:ascii="宋体" w:hAnsi="宋体" w:cs="宋体"/>
          <w:bCs/>
          <w:color w:val="auto"/>
          <w:sz w:val="24"/>
          <w:szCs w:val="24"/>
          <w:highlight w:val="none"/>
        </w:rPr>
        <w:t xml:space="preserve">章</w:t>
      </w:r>
      <w:r>
        <w:rPr>
          <w:rFonts w:hint="eastAsia" w:ascii="宋体" w:hAnsi="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10.6中标后按相关要求提供与电子投标文件一致的纸质打印投标文件3份。 </w:t>
      </w:r>
      <w:r/>
    </w:p>
    <w:p>
      <w:pPr>
        <w:ind w:firstLine="480"/>
        <w:spacing w:line="480" w:lineRule="exact"/>
        <w:rPr>
          <w:rFonts w:hint="eastAsia" w:ascii="宋体" w:hAnsi="宋体" w:cs="宋体"/>
          <w:bCs/>
          <w:color w:val="auto"/>
          <w:sz w:val="24"/>
          <w:szCs w:val="24"/>
          <w:highlight w:val="none"/>
        </w:rPr>
      </w:pPr>
      <w:r/>
      <w:bookmarkStart w:id="93" w:name="EBc50e2bb832bb43068403b10c1cce6141"/>
      <w:r>
        <w:rPr>
          <w:rFonts w:hint="eastAsia" w:ascii="宋体" w:hAnsi="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3"/>
      <w:r/>
      <w:r/>
    </w:p>
    <w:p>
      <w:pPr>
        <w:ind w:firstLine="482"/>
        <w:spacing w:line="480" w:lineRule="exact"/>
        <w:rPr>
          <w:rFonts w:hint="eastAsia" w:ascii="宋体" w:hAnsi="宋体" w:cs="宋体"/>
          <w:b/>
          <w:bCs/>
          <w:color w:val="auto"/>
          <w:sz w:val="24"/>
          <w:szCs w:val="24"/>
          <w:highlight w:val="none"/>
        </w:rPr>
      </w:pPr>
      <w:r/>
      <w:bookmarkStart w:id="94" w:name="_Hlt26670360"/>
      <w:r/>
      <w:bookmarkEnd w:id="94"/>
      <w:r/>
      <w:bookmarkStart w:id="95" w:name="_Hlt26668975"/>
      <w:r/>
      <w:bookmarkEnd w:id="95"/>
      <w:r/>
      <w:bookmarkStart w:id="96" w:name="_Hlt26954838"/>
      <w:r/>
      <w:bookmarkEnd w:id="96"/>
      <w:r/>
      <w:bookmarkStart w:id="97" w:name="_Toc49090509"/>
      <w:r/>
      <w:bookmarkStart w:id="98" w:name="_Toc14577357"/>
      <w:r/>
      <w:bookmarkStart w:id="99" w:name="_Toc513029219"/>
      <w:r/>
      <w:bookmarkStart w:id="100" w:name="_Toc49090507"/>
      <w:r/>
      <w:bookmarkStart w:id="101" w:name="_Toc513029216"/>
      <w:r/>
      <w:bookmarkStart w:id="102" w:name="_Toc14577354"/>
      <w:r>
        <w:rPr>
          <w:rFonts w:hint="eastAsia" w:ascii="宋体" w:hAnsi="宋体" w:cs="宋体"/>
          <w:b/>
          <w:bCs/>
          <w:color w:val="auto"/>
          <w:sz w:val="24"/>
          <w:szCs w:val="24"/>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480" w:lineRule="exact"/>
        <w:rPr>
          <w:rFonts w:hint="eastAsia" w:ascii="宋体" w:hAnsi="宋体" w:cs="宋体"/>
          <w:color w:val="auto"/>
          <w:sz w:val="24"/>
          <w:szCs w:val="24"/>
          <w:highlight w:val="none"/>
        </w:rPr>
      </w:pPr>
      <w:r/>
      <w:bookmarkStart w:id="103" w:name="_Toc14577355"/>
      <w:r/>
      <w:bookmarkStart w:id="104" w:name="_Toc49090508"/>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12、投标分项报价</w:t>
      </w:r>
      <w:bookmarkEnd w:id="103"/>
      <w:r/>
      <w:bookmarkStart w:id="105" w:name="_Hlt26670373"/>
      <w:r/>
      <w:bookmarkEnd w:id="105"/>
      <w:r>
        <w:rPr>
          <w:rFonts w:hint="eastAsia" w:ascii="宋体" w:hAnsi="宋体" w:cs="宋体"/>
          <w:b/>
          <w:bCs/>
          <w:color w:val="auto"/>
          <w:sz w:val="24"/>
          <w:szCs w:val="24"/>
          <w:highlight w:val="none"/>
        </w:rPr>
        <w:t xml:space="preserve">表</w:t>
      </w:r>
      <w:bookmarkEnd w:id="104"/>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w:t>
      </w:r>
      <w:bookmarkStart w:id="106" w:name="_Hlt26954840"/>
      <w:r/>
      <w:bookmarkEnd w:id="106"/>
      <w:r>
        <w:rPr>
          <w:rFonts w:hint="eastAsia" w:ascii="宋体" w:hAnsi="宋体" w:cs="宋体"/>
          <w:color w:val="auto"/>
          <w:sz w:val="24"/>
          <w:szCs w:val="24"/>
          <w:highlight w:val="none"/>
        </w:rPr>
        <w:t xml:space="preserve">标人应按照招标文件规定格式填报投标分项报价表</w:t>
      </w:r>
      <w:bookmarkStart w:id="107" w:name="_Hlt26670399"/>
      <w:r/>
      <w:bookmarkEnd w:id="107"/>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12.3本项目不接受备选的投标方案或有选择的报价，只允许有一个报价。投标报价内容包括：</w:t>
      </w:r>
      <w:r>
        <w:rPr>
          <w:rFonts w:hint="eastAsia" w:ascii="Times New Roman" w:hAnsi="Times New Roman" w:eastAsia="宋体" w:cs="Times New Roman"/>
          <w:bCs/>
          <w:caps w:val="0"/>
          <w:color w:val="auto"/>
          <w:sz w:val="24"/>
          <w:highlight w:val="none"/>
          <w:lang w:val="en-US" w:eastAsia="zh-CN"/>
        </w:rPr>
        <w:t xml:space="preserve">货款、标准附件、备品备件、专用工具、包装、运输、装卸、保险、税金、货到就位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p>
    <w:p>
      <w:pPr>
        <w:ind w:firstLine="482"/>
        <w:spacing w:line="480" w:lineRule="exact"/>
        <w:rPr>
          <w:rFonts w:hint="eastAsia" w:ascii="宋体" w:hAnsi="宋体" w:cs="宋体"/>
          <w:color w:val="auto"/>
          <w:sz w:val="24"/>
          <w:szCs w:val="24"/>
          <w:highlight w:val="none"/>
        </w:rPr>
      </w:pPr>
      <w:r/>
      <w:bookmarkStart w:id="108" w:name="_Hlt26670403"/>
      <w:r/>
      <w:bookmarkEnd w:id="108"/>
      <w:r/>
      <w:bookmarkStart w:id="109" w:name="_Hlt26670482"/>
      <w:r/>
      <w:bookmarkEnd w:id="109"/>
      <w:r/>
      <w:bookmarkStart w:id="110" w:name="_Hlt26954844"/>
      <w:r/>
      <w:bookmarkEnd w:id="110"/>
      <w:r/>
      <w:bookmarkStart w:id="111" w:name="_Hlt26670425"/>
      <w:r/>
      <w:bookmarkEnd w:id="111"/>
      <w:r/>
      <w:bookmarkStart w:id="112" w:name="_Hlt26954846"/>
      <w:r/>
      <w:bookmarkEnd w:id="112"/>
      <w:r/>
      <w:bookmarkStart w:id="113" w:name="_Hlt26670486"/>
      <w:r/>
      <w:bookmarkEnd w:id="113"/>
      <w:r/>
      <w:bookmarkStart w:id="114" w:name="_Hlt26954842"/>
      <w:r/>
      <w:bookmarkEnd w:id="114"/>
      <w:r/>
      <w:bookmarkStart w:id="115" w:name="_Hlt26954848"/>
      <w:r/>
      <w:bookmarkEnd w:id="115"/>
      <w:r/>
      <w:bookmarkStart w:id="116" w:name="_Hlt26954731"/>
      <w:r/>
      <w:bookmarkEnd w:id="116"/>
      <w:r/>
      <w:bookmarkStart w:id="117" w:name="_Hlt26668983"/>
      <w:r/>
      <w:bookmarkEnd w:id="117"/>
      <w:r/>
      <w:bookmarkStart w:id="118" w:name="_Toc14577359"/>
      <w:r/>
      <w:bookmarkStart w:id="119" w:name="_Toc49090510"/>
      <w:r>
        <w:rPr>
          <w:rFonts w:hint="eastAsia" w:ascii="宋体" w:hAnsi="宋体" w:cs="宋体"/>
          <w:b/>
          <w:bCs/>
          <w:color w:val="auto"/>
          <w:sz w:val="24"/>
          <w:szCs w:val="24"/>
          <w:highlight w:val="none"/>
        </w:rPr>
        <w:t xml:space="preserve">13、技术要求响应及偏离表、商务要求响应及偏离表</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13.1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14、服务承诺、培训计划、人员安排及其他</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14.2投标人需根据招标文件要求提供培训计划。</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14.3投标人需根据招标文件要求提供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15、投标声明及承诺函和开标一览表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投标人应按照招标文件中提供的格式完整、正确填写投标声明及承诺函、开标一览表。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s="宋体"/>
          <w:color w:val="auto"/>
          <w:sz w:val="24"/>
          <w:szCs w:val="24"/>
          <w:highlight w:val="none"/>
        </w:rPr>
        <w:t xml:space="preserve">对于采用货币报价的项目，</w:t>
      </w:r>
      <w:r>
        <w:rPr>
          <w:rFonts w:hint="eastAsia" w:ascii="宋体" w:hAnsi="宋体" w:cs="宋体"/>
          <w:bCs/>
          <w:color w:val="auto"/>
          <w:sz w:val="24"/>
          <w:szCs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szCs w:val="24"/>
          <w:highlight w:val="none"/>
        </w:rPr>
        <w:t xml:space="preserve">，但评标时按开标一览表中价格为准</w:t>
      </w:r>
      <w:r>
        <w:rPr>
          <w:rFonts w:hint="eastAsia" w:ascii="宋体" w:hAnsi="宋体" w:cs="宋体"/>
          <w:b/>
          <w:bCs/>
          <w:color w:val="auto"/>
          <w:sz w:val="24"/>
          <w:szCs w:val="24"/>
          <w:highlight w:val="none"/>
        </w:rPr>
        <w:t xml:space="preserve">。</w:t>
      </w:r>
      <w:bookmarkEnd w:id="118"/>
      <w:r/>
      <w:bookmarkEnd w:id="119"/>
      <w:r/>
      <w:r/>
    </w:p>
    <w:p>
      <w:pPr>
        <w:ind w:firstLine="482"/>
        <w:spacing w:line="480" w:lineRule="exact"/>
        <w:rPr>
          <w:rFonts w:hint="eastAsia" w:ascii="宋体" w:hAnsi="宋体" w:cs="宋体"/>
          <w:b/>
          <w:bCs/>
          <w:color w:val="auto"/>
          <w:sz w:val="24"/>
          <w:szCs w:val="24"/>
          <w:highlight w:val="none"/>
        </w:rPr>
      </w:pPr>
      <w:r/>
      <w:bookmarkStart w:id="120" w:name="_Hlt26670489"/>
      <w:r/>
      <w:bookmarkEnd w:id="120"/>
      <w:r/>
      <w:bookmarkStart w:id="121" w:name="_Hlt26954850"/>
      <w:r/>
      <w:bookmarkEnd w:id="121"/>
      <w:r/>
      <w:bookmarkStart w:id="122" w:name="_Hlt26954734"/>
      <w:r/>
      <w:bookmarkEnd w:id="122"/>
      <w:r/>
      <w:bookmarkStart w:id="123" w:name="_Toc14577360"/>
      <w:r/>
      <w:bookmarkStart w:id="124" w:name="_Toc49090511"/>
      <w:r>
        <w:rPr>
          <w:rFonts w:hint="eastAsia" w:ascii="宋体" w:hAnsi="宋体" w:cs="宋体"/>
          <w:b/>
          <w:bCs/>
          <w:color w:val="auto"/>
          <w:sz w:val="24"/>
          <w:szCs w:val="24"/>
          <w:highlight w:val="none"/>
        </w:rPr>
        <w:t xml:space="preserve">16、投标有效期</w:t>
      </w:r>
      <w:bookmarkEnd w:id="123"/>
      <w:r/>
      <w:bookmarkEnd w:id="124"/>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16.1</w:t>
      </w:r>
      <w:r>
        <w:rPr>
          <w:rFonts w:hint="eastAsia" w:ascii="宋体" w:hAnsi="宋体" w:cs="宋体"/>
          <w:bCs/>
          <w:color w:val="auto"/>
          <w:sz w:val="24"/>
          <w:szCs w:val="24"/>
          <w:highlight w:val="none"/>
        </w:rPr>
        <w:t xml:space="preserve">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17、投标有效期的延长</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17.2中标人的投标文件作为项目合同的附件，其有效期至中标人全部合同义务履行完毕为止。 </w:t>
      </w:r>
      <w:r/>
    </w:p>
    <w:p>
      <w:pPr>
        <w:ind w:firstLine="482"/>
        <w:spacing w:line="480" w:lineRule="exact"/>
        <w:rPr>
          <w:rFonts w:hint="eastAsia" w:ascii="宋体" w:hAnsi="宋体" w:cs="宋体"/>
          <w:b/>
          <w:bCs/>
          <w:color w:val="auto"/>
          <w:sz w:val="24"/>
          <w:szCs w:val="24"/>
          <w:highlight w:val="none"/>
        </w:rPr>
      </w:pPr>
      <w:r/>
      <w:bookmarkStart w:id="125" w:name="_Hlt26954852"/>
      <w:r/>
      <w:bookmarkEnd w:id="125"/>
      <w:r/>
      <w:bookmarkStart w:id="126" w:name="_Hlt26954739"/>
      <w:r/>
      <w:bookmarkEnd w:id="126"/>
      <w:r/>
      <w:bookmarkStart w:id="127" w:name="_Toc120614217"/>
      <w:r/>
      <w:bookmarkStart w:id="128" w:name="_Toc16938540"/>
      <w:r/>
      <w:bookmarkStart w:id="129" w:name="_Toc513029224"/>
      <w:r/>
      <w:bookmarkStart w:id="130" w:name="_Toc20823296"/>
      <w:r>
        <w:rPr>
          <w:rFonts w:hint="eastAsia" w:ascii="宋体" w:hAnsi="宋体" w:cs="宋体"/>
          <w:b/>
          <w:bCs/>
          <w:color w:val="auto"/>
          <w:sz w:val="24"/>
          <w:szCs w:val="24"/>
          <w:highlight w:val="none"/>
        </w:rPr>
        <w:t xml:space="preserve">四、投标文件的递交</w:t>
      </w:r>
      <w:bookmarkEnd w:id="127"/>
      <w:r/>
      <w:bookmarkEnd w:id="128"/>
      <w:r/>
      <w:bookmarkEnd w:id="129"/>
      <w:r/>
      <w:bookmarkEnd w:id="130"/>
      <w:r/>
      <w:r/>
    </w:p>
    <w:p>
      <w:pPr>
        <w:ind w:firstLine="482"/>
        <w:spacing w:line="480" w:lineRule="exact"/>
        <w:rPr>
          <w:rFonts w:hint="eastAsia" w:ascii="宋体" w:hAnsi="宋体" w:cs="宋体"/>
          <w:b/>
          <w:bCs/>
          <w:color w:val="auto"/>
          <w:sz w:val="24"/>
          <w:szCs w:val="24"/>
          <w:highlight w:val="none"/>
        </w:rPr>
      </w:pPr>
      <w:r/>
      <w:bookmarkStart w:id="131" w:name="_Toc20823297"/>
      <w:r/>
      <w:bookmarkStart w:id="132" w:name="_Toc16938541"/>
      <w:r/>
      <w:bookmarkStart w:id="133" w:name="_Toc462564084"/>
      <w:r/>
      <w:bookmarkStart w:id="134" w:name="_Toc513029225"/>
      <w:r>
        <w:rPr>
          <w:rFonts w:hint="eastAsia" w:ascii="宋体" w:hAnsi="宋体" w:cs="宋体"/>
          <w:b/>
          <w:bCs/>
          <w:color w:val="auto"/>
          <w:sz w:val="24"/>
          <w:szCs w:val="24"/>
          <w:highlight w:val="none"/>
        </w:rPr>
        <w:t xml:space="preserve">18、投标文件</w:t>
      </w:r>
      <w:bookmarkEnd w:id="131"/>
      <w:r/>
      <w:bookmarkEnd w:id="132"/>
      <w:r/>
      <w:bookmarkEnd w:id="133"/>
      <w:r/>
      <w:bookmarkEnd w:id="134"/>
      <w:r>
        <w:rPr>
          <w:rFonts w:hint="eastAsia" w:ascii="宋体" w:hAnsi="宋体" w:cs="宋体"/>
          <w:b/>
          <w:bCs/>
          <w:color w:val="auto"/>
          <w:sz w:val="24"/>
          <w:szCs w:val="24"/>
          <w:highlight w:val="none"/>
        </w:rPr>
        <w:t xml:space="preserve">的递交</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18.1投标人应当按照《操作手册》规定，在投标截止时间前制作并上传电子投标文件。</w:t>
      </w:r>
      <w:bookmarkStart w:id="135" w:name="_Toc513029226"/>
      <w:r/>
      <w:bookmarkStart w:id="136" w:name="_Toc20823298"/>
      <w:r/>
      <w:bookmarkStart w:id="137" w:name="_Toc16938542"/>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19、投标截止</w:t>
      </w:r>
      <w:bookmarkEnd w:id="135"/>
      <w:r/>
      <w:bookmarkEnd w:id="136"/>
      <w:r/>
      <w:bookmarkEnd w:id="137"/>
      <w:r>
        <w:rPr>
          <w:rFonts w:hint="eastAsia" w:ascii="宋体" w:hAnsi="宋体" w:cs="宋体"/>
          <w:b/>
          <w:color w:val="auto"/>
          <w:sz w:val="24"/>
          <w:szCs w:val="24"/>
          <w:highlight w:val="none"/>
        </w:rPr>
        <w:t xml:space="preserve">时间</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19.1投标人上传电子投标文件的时间不得迟于招标公告中规定的投标截止时间。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宋体" w:hAnsi="宋体" w:cs="宋体"/>
          <w:b/>
          <w:bCs/>
          <w:color w:val="auto"/>
          <w:sz w:val="24"/>
          <w:szCs w:val="24"/>
          <w:highlight w:val="none"/>
        </w:rPr>
      </w:pPr>
      <w:r/>
      <w:bookmarkStart w:id="138" w:name="_Toc513029227"/>
      <w:r/>
      <w:bookmarkStart w:id="139" w:name="_Toc20823299"/>
      <w:r/>
      <w:bookmarkStart w:id="140" w:name="_Toc16938543"/>
      <w:r>
        <w:rPr>
          <w:rFonts w:hint="eastAsia" w:ascii="宋体" w:hAnsi="宋体" w:cs="宋体"/>
          <w:b/>
          <w:bCs/>
          <w:color w:val="auto"/>
          <w:sz w:val="24"/>
          <w:szCs w:val="24"/>
          <w:highlight w:val="none"/>
        </w:rPr>
        <w:t xml:space="preserve">20、投标文件</w:t>
      </w:r>
      <w:bookmarkEnd w:id="138"/>
      <w:r/>
      <w:bookmarkEnd w:id="139"/>
      <w:r/>
      <w:bookmarkEnd w:id="140"/>
      <w:r>
        <w:rPr>
          <w:rFonts w:hint="eastAsia" w:ascii="宋体" w:hAnsi="宋体" w:cs="宋体"/>
          <w:b/>
          <w:bCs/>
          <w:color w:val="auto"/>
          <w:sz w:val="24"/>
          <w:szCs w:val="24"/>
          <w:highlight w:val="none"/>
        </w:rPr>
        <w:t xml:space="preserve">的拒收</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bCs/>
          <w:color w:val="auto"/>
          <w:sz w:val="24"/>
          <w:szCs w:val="24"/>
          <w:highlight w:val="none"/>
        </w:rPr>
        <w:t xml:space="preserve">采购代理机构拒绝接收在其规定的投标截止时间后上传的任何投标文件。</w:t>
      </w:r>
      <w:r/>
    </w:p>
    <w:p>
      <w:pPr>
        <w:ind w:firstLine="482"/>
        <w:spacing w:line="480" w:lineRule="exact"/>
        <w:rPr>
          <w:rFonts w:hint="eastAsia" w:ascii="宋体" w:hAnsi="宋体" w:cs="宋体"/>
          <w:b/>
          <w:bCs/>
          <w:color w:val="auto"/>
          <w:sz w:val="24"/>
          <w:szCs w:val="24"/>
          <w:highlight w:val="none"/>
        </w:rPr>
      </w:pPr>
      <w:r/>
      <w:bookmarkStart w:id="141" w:name="_Toc513029228"/>
      <w:r/>
      <w:bookmarkStart w:id="142" w:name="_Toc16938544"/>
      <w:r/>
      <w:bookmarkStart w:id="143" w:name="_Toc20823300"/>
      <w:r/>
      <w:bookmarkStart w:id="144" w:name="_Toc20823301"/>
      <w:r/>
      <w:bookmarkStart w:id="145" w:name="_Toc120614218"/>
      <w:r/>
      <w:bookmarkStart w:id="146" w:name="_Toc16938545"/>
      <w:r/>
      <w:bookmarkStart w:id="147" w:name="_Toc513029229"/>
      <w:r>
        <w:rPr>
          <w:rFonts w:hint="eastAsia" w:ascii="宋体" w:hAnsi="宋体" w:cs="宋体"/>
          <w:b/>
          <w:bCs/>
          <w:color w:val="auto"/>
          <w:sz w:val="24"/>
          <w:szCs w:val="24"/>
          <w:highlight w:val="none"/>
        </w:rPr>
        <w:t xml:space="preserve">21、投标文件的撤回和修改</w:t>
      </w:r>
      <w:bookmarkEnd w:id="141"/>
      <w:r/>
      <w:bookmarkEnd w:id="142"/>
      <w:r/>
      <w:bookmarkEnd w:id="143"/>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21.2.1投标人可在投标截止时间前，对其电子投标文件进行修改，具体操作方法见《操作手册》。</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五、开标与评标</w:t>
      </w:r>
      <w:bookmarkEnd w:id="144"/>
      <w:r/>
      <w:bookmarkEnd w:id="145"/>
      <w:r/>
      <w:bookmarkEnd w:id="146"/>
      <w:r/>
      <w:bookmarkEnd w:id="147"/>
      <w:r/>
      <w:r/>
    </w:p>
    <w:p>
      <w:pPr>
        <w:ind w:firstLine="482"/>
        <w:spacing w:line="480" w:lineRule="exact"/>
        <w:rPr>
          <w:rFonts w:hint="eastAsia" w:ascii="宋体" w:hAnsi="宋体" w:cs="宋体"/>
          <w:b/>
          <w:bCs/>
          <w:color w:val="auto"/>
          <w:sz w:val="24"/>
          <w:szCs w:val="24"/>
          <w:highlight w:val="none"/>
        </w:rPr>
      </w:pPr>
      <w:r/>
      <w:bookmarkStart w:id="148" w:name="_Toc16938546"/>
      <w:r/>
      <w:bookmarkStart w:id="149" w:name="_Toc20823302"/>
      <w:r/>
      <w:bookmarkStart w:id="150" w:name="_Toc513029230"/>
      <w:r/>
      <w:bookmarkStart w:id="151" w:name="_Toc20823303"/>
      <w:r/>
      <w:bookmarkStart w:id="152" w:name="_Toc513029231"/>
      <w:r/>
      <w:bookmarkStart w:id="153" w:name="_Toc16938547"/>
      <w:r>
        <w:rPr>
          <w:rFonts w:hint="eastAsia" w:ascii="宋体" w:hAnsi="宋体" w:cs="宋体"/>
          <w:b/>
          <w:bCs/>
          <w:color w:val="auto"/>
          <w:sz w:val="24"/>
          <w:szCs w:val="24"/>
          <w:highlight w:val="none"/>
        </w:rPr>
        <w:t xml:space="preserve">22、开标</w:t>
      </w:r>
      <w:bookmarkEnd w:id="148"/>
      <w:r/>
      <w:bookmarkEnd w:id="149"/>
      <w:r/>
      <w:bookmarkEnd w:id="150"/>
      <w:r/>
      <w:r/>
    </w:p>
    <w:p>
      <w:pPr>
        <w:pStyle w:val="1206"/>
        <w:spacing w:line="480" w:lineRule="exact"/>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采购代理机构将在招标公告中规定的时间和地点组织公开开标</w:t>
      </w:r>
      <w:r>
        <w:rPr>
          <w:rFonts w:hint="eastAsia" w:ascii="宋体" w:hAnsi="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22.3投标人在开标过程中涉及到的投标文件解密、开标结果确认等工作，应按照《操作手册》规定执行。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23、评标委员会</w:t>
      </w:r>
      <w:r/>
    </w:p>
    <w:p>
      <w:pPr>
        <w:ind w:firstLine="480"/>
        <w:keepLines/>
        <w:keepNext/>
        <w:spacing w:line="48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23.1开标后，采购代理机构将立即组织评标委员会（以下简称评委会）进行评标。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24、评标过程的保密与公正</w:t>
      </w:r>
      <w:bookmarkEnd w:id="151"/>
      <w:r/>
      <w:bookmarkEnd w:id="152"/>
      <w:r/>
      <w:bookmarkEnd w:id="153"/>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24.2在评标过程中，投标人不得以任何行为影响评标过程，否则其投标文件将被作为无效投标文件。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24.3采购代理机构和评委会不向未中标的投标人解释未中标原因，也不公布评标过程中的相关细节。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宋体" w:hAnsi="宋体" w:cs="宋体"/>
          <w:b/>
          <w:bCs/>
          <w:color w:val="auto"/>
          <w:sz w:val="24"/>
          <w:szCs w:val="24"/>
          <w:highlight w:val="none"/>
        </w:rPr>
      </w:pPr>
      <w:r/>
      <w:bookmarkStart w:id="154" w:name="_Toc16938548"/>
      <w:r/>
      <w:bookmarkStart w:id="155" w:name="_Toc513029232"/>
      <w:r/>
      <w:bookmarkStart w:id="156" w:name="_Toc20823304"/>
      <w:r>
        <w:rPr>
          <w:rFonts w:hint="eastAsia" w:ascii="宋体" w:hAnsi="宋体" w:cs="宋体"/>
          <w:b/>
          <w:bCs/>
          <w:color w:val="auto"/>
          <w:sz w:val="24"/>
          <w:szCs w:val="24"/>
          <w:highlight w:val="none"/>
        </w:rPr>
        <w:t xml:space="preserve">25、投标文件的澄清</w:t>
      </w:r>
      <w:bookmarkEnd w:id="154"/>
      <w:r/>
      <w:bookmarkEnd w:id="155"/>
      <w:r/>
      <w:bookmarkEnd w:id="156"/>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.2需要投标人进行澄清、说明和补正的，</w:t>
      </w:r>
      <w:r>
        <w:rPr>
          <w:rFonts w:hint="eastAsia" w:ascii="宋体" w:hAnsi="宋体" w:cs="宋体"/>
          <w:color w:val="auto"/>
          <w:sz w:val="24"/>
          <w:szCs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szCs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szCs w:val="24"/>
          <w:highlight w:val="none"/>
          <w:lang w:val="en-US"/>
        </w:rPr>
        <w:t xml:space="preserve">在规定时间内通过“苏采云”系统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25.3接到评委会澄清、说明和补正要求的投标人如未按规定做出澄清、说明和补正，其风险由投标人自行承担。</w:t>
      </w:r>
      <w:r/>
    </w:p>
    <w:p>
      <w:pPr>
        <w:ind w:firstLine="482"/>
        <w:spacing w:line="480" w:lineRule="exact"/>
        <w:rPr>
          <w:rFonts w:hint="eastAsia" w:ascii="宋体" w:hAnsi="宋体" w:cs="宋体"/>
          <w:b/>
          <w:bCs/>
          <w:color w:val="auto"/>
          <w:sz w:val="24"/>
          <w:szCs w:val="24"/>
          <w:highlight w:val="none"/>
        </w:rPr>
      </w:pPr>
      <w:r/>
      <w:bookmarkStart w:id="157" w:name="_Toc513029233"/>
      <w:r/>
      <w:bookmarkStart w:id="158" w:name="_Toc16938549"/>
      <w:r/>
      <w:bookmarkStart w:id="159" w:name="_Toc20823305"/>
      <w:r>
        <w:rPr>
          <w:rFonts w:hint="eastAsia" w:ascii="宋体" w:hAnsi="宋体" w:cs="宋体"/>
          <w:b/>
          <w:bCs/>
          <w:color w:val="auto"/>
          <w:sz w:val="24"/>
          <w:szCs w:val="24"/>
          <w:highlight w:val="none"/>
        </w:rPr>
        <w:t xml:space="preserve">26、对投标文件的初审</w:t>
      </w:r>
      <w:bookmarkEnd w:id="157"/>
      <w:r/>
      <w:bookmarkEnd w:id="158"/>
      <w:r/>
      <w:bookmarkEnd w:id="159"/>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投标文件初审分为资格审查和符合性审查。</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26.1.1资格审查：依据法律法规和招标文件的规定，</w:t>
      </w:r>
      <w:r>
        <w:rPr>
          <w:rFonts w:hint="eastAsia" w:ascii="宋体" w:hAnsi="宋体" w:cs="宋体"/>
          <w:color w:val="auto"/>
          <w:sz w:val="24"/>
          <w:szCs w:val="24"/>
          <w:highlight w:val="none"/>
        </w:rPr>
        <w:t xml:space="preserve">由采购人或其委托的代理机构对投标文件中的资格证明文件进行审查，以确定投标人是否具备投标资格。</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cs="宋体"/>
          <w:color w:val="auto"/>
          <w:sz w:val="24"/>
          <w:szCs w:val="24"/>
          <w:highlight w:val="none"/>
        </w:rPr>
      </w:pPr>
      <w:r/>
      <w:bookmarkStart w:id="160" w:name="_Toc513029234"/>
      <w:r/>
      <w:bookmarkStart w:id="161" w:name="_Toc20823306"/>
      <w:r/>
      <w:bookmarkStart w:id="162" w:name="_Toc16938550"/>
      <w:r>
        <w:rPr>
          <w:rFonts w:hint="eastAsia" w:ascii="宋体" w:hAnsi="宋体" w:cs="宋体"/>
          <w:color w:val="auto"/>
          <w:sz w:val="24"/>
          <w:szCs w:val="24"/>
          <w:highlight w:val="none"/>
        </w:rPr>
        <w:t xml:space="preserve">26.7投标人在开、评标全过程中应随时保持系统在线，及时在“苏采云”系统查阅、答复相关信息。</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w:t>
      </w:r>
      <w:bookmarkEnd w:id="160"/>
      <w:r/>
      <w:bookmarkEnd w:id="161"/>
      <w:r/>
      <w:bookmarkEnd w:id="162"/>
      <w:r>
        <w:rPr>
          <w:rFonts w:hint="eastAsia" w:ascii="宋体" w:hAnsi="宋体" w:cs="宋体"/>
          <w:b/>
          <w:bCs/>
          <w:color w:val="auto"/>
          <w:sz w:val="24"/>
          <w:szCs w:val="24"/>
          <w:highlight w:val="none"/>
        </w:rPr>
        <w:t xml:space="preserve">无效投标条款和废标条款</w:t>
      </w:r>
      <w:r/>
    </w:p>
    <w:p>
      <w:pPr>
        <w:ind w:firstLine="480"/>
        <w:spacing w:line="480" w:lineRule="exact"/>
        <w:rPr>
          <w:rFonts w:hint="eastAsia" w:ascii="宋体" w:hAnsi="宋体" w:cs="宋体"/>
          <w:bCs/>
          <w:color w:val="auto"/>
          <w:sz w:val="24"/>
          <w:szCs w:val="24"/>
          <w:highlight w:val="none"/>
        </w:rPr>
      </w:pPr>
      <w:r/>
      <w:bookmarkStart w:id="163" w:name="_Toc16938551"/>
      <w:r/>
      <w:bookmarkStart w:id="164" w:name="_Toc513029235"/>
      <w:r/>
      <w:bookmarkStart w:id="165" w:name="_Toc20823307"/>
      <w:r>
        <w:rPr>
          <w:rFonts w:hint="eastAsia" w:ascii="宋体" w:hAnsi="宋体" w:cs="宋体"/>
          <w:bCs/>
          <w:color w:val="auto"/>
          <w:sz w:val="24"/>
          <w:szCs w:val="24"/>
          <w:highlight w:val="none"/>
        </w:rPr>
        <w:t xml:space="preserve">27.1无效投标条款</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27.1.3同一投标人提交两个（含两个）以上不同的投标报价的。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27.1.4投标人不具备招标文件中规定资格要求的。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27.1.5投标人的报价超过了采购预算或最高限价的。</w:t>
      </w:r>
      <w:r/>
    </w:p>
    <w:p>
      <w:pPr>
        <w:ind w:firstLine="480"/>
        <w:spacing w:line="480" w:lineRule="exact"/>
        <w:rPr>
          <w:rFonts w:hint="eastAsia" w:ascii="宋体" w:hAnsi="宋体" w:cs="宋体"/>
          <w:bCs/>
          <w:i/>
          <w:color w:val="auto"/>
          <w:sz w:val="24"/>
          <w:szCs w:val="24"/>
          <w:highlight w:val="none"/>
          <w:u w:val="single"/>
        </w:rPr>
      </w:pPr>
      <w:r>
        <w:rPr>
          <w:rFonts w:hint="eastAsia" w:ascii="宋体" w:hAnsi="宋体" w:cs="宋体"/>
          <w:bCs/>
          <w:color w:val="auto"/>
          <w:sz w:val="24"/>
          <w:szCs w:val="24"/>
          <w:highlight w:val="none"/>
        </w:rPr>
        <w:t xml:space="preserve">27.1.6未通过符合性审查的。</w:t>
      </w:r>
      <w:r/>
    </w:p>
    <w:p>
      <w:pPr>
        <w:ind w:firstLine="480"/>
        <w:spacing w:line="480" w:lineRule="exact"/>
        <w:rPr>
          <w:rFonts w:hint="eastAsia" w:ascii="宋体" w:hAnsi="宋体" w:cs="宋体"/>
          <w:b/>
          <w:bCs w:val="0"/>
          <w:i/>
          <w:color w:val="auto"/>
          <w:sz w:val="24"/>
          <w:szCs w:val="24"/>
          <w:highlight w:val="none"/>
          <w:u w:val="single"/>
        </w:rPr>
      </w:pPr>
      <w:r>
        <w:rPr>
          <w:rFonts w:hint="eastAsia" w:ascii="宋体" w:hAnsi="宋体" w:cs="宋体"/>
          <w:b/>
          <w:bCs w:val="0"/>
          <w:color w:val="auto"/>
          <w:sz w:val="24"/>
          <w:szCs w:val="24"/>
          <w:highlight w:val="none"/>
        </w:rPr>
        <w:t xml:space="preserve">27.1.7不符合招标文件中规定的实质性要求和条件的（</w:t>
      </w:r>
      <w:r>
        <w:rPr>
          <w:rFonts w:hint="eastAsia" w:ascii="宋体" w:hAnsi="宋体" w:cs="宋体"/>
          <w:b/>
          <w:bCs w:val="0"/>
          <w:i/>
          <w:color w:val="auto"/>
          <w:sz w:val="24"/>
          <w:szCs w:val="24"/>
          <w:highlight w:val="none"/>
          <w:u w:val="single"/>
        </w:rPr>
        <w:t xml:space="preserve">加斜体下划线内容或打“★”内容为实质性要求和条件）。</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所</w:t>
      </w:r>
      <w:r>
        <w:rPr>
          <w:rFonts w:hint="eastAsia" w:ascii="宋体" w:hAnsi="宋体" w:cs="宋体"/>
          <w:color w:val="auto"/>
          <w:sz w:val="24"/>
          <w:szCs w:val="24"/>
          <w:highlight w:val="none"/>
        </w:rPr>
        <w:t xml:space="preserve">投</w:t>
      </w:r>
      <w:r>
        <w:rPr>
          <w:rFonts w:hint="eastAsia" w:ascii="宋体" w:hAnsi="宋体" w:cs="宋体"/>
          <w:color w:val="auto"/>
          <w:sz w:val="24"/>
          <w:szCs w:val="24"/>
          <w:highlight w:val="none"/>
          <w:lang w:val="zh-CN"/>
        </w:rPr>
        <w:t xml:space="preserve">产品不在强制采购范围内的。（</w:t>
      </w:r>
      <w:r>
        <w:rPr>
          <w:rFonts w:hint="eastAsia" w:ascii="宋体" w:hAnsi="宋体" w:cs="宋体"/>
          <w:color w:val="auto"/>
          <w:sz w:val="24"/>
          <w:szCs w:val="24"/>
          <w:highlight w:val="none"/>
        </w:rPr>
        <w:t xml:space="preserve">所投</w:t>
      </w:r>
      <w:r>
        <w:rPr>
          <w:rFonts w:hint="eastAsia" w:ascii="宋体" w:hAnsi="宋体" w:cs="宋体"/>
          <w:color w:val="auto"/>
          <w:sz w:val="24"/>
          <w:szCs w:val="24"/>
          <w:highlight w:val="none"/>
          <w:lang w:val="zh-CN"/>
        </w:rPr>
        <w:t xml:space="preserve">产品如属于政府强制采购节能产品品目清单范围内，</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w:t>
      </w:r>
      <w:r>
        <w:rPr>
          <w:rFonts w:hint="eastAsia" w:ascii="宋体" w:hAnsi="宋体" w:cs="宋体"/>
          <w:bCs/>
          <w:color w:val="auto"/>
          <w:sz w:val="24"/>
          <w:szCs w:val="24"/>
          <w:highlight w:val="none"/>
          <w:lang w:val="zh-CN"/>
        </w:rPr>
        <w:t xml:space="preserve">必须提供国家确定的认证机构出具的、处于有效期之内的该节能产品认证证书图片）。</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27.1.13其他法律、法规及本招标文件规定的属无效投标的。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27.2废标条款</w:t>
      </w:r>
      <w:r/>
    </w:p>
    <w:p>
      <w:pPr>
        <w:ind w:left="479"/>
        <w:spacing w:line="48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27.2.1符合专业条件的投标人或者对招标文件作实质响应的投标人不足三家的</w:t>
      </w:r>
      <w:r>
        <w:rPr>
          <w:rFonts w:hint="eastAsia" w:ascii="宋体" w:hAnsi="宋体" w:cs="宋体"/>
          <w:bCs/>
          <w:color w:val="auto"/>
          <w:sz w:val="24"/>
          <w:szCs w:val="24"/>
          <w:highlight w:val="none"/>
          <w:lang w:eastAsia="zh-CN"/>
        </w:rPr>
        <w:t xml:space="preserve">。</w:t>
      </w:r>
      <w:r/>
    </w:p>
    <w:p>
      <w:pPr>
        <w:ind w:left="479"/>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27.2.2出现影响采购公正的违法、违规行为的。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27.2.3因重大变故，采购任务取消的。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27.2.4评委会认定招标文件存在歧义、重大缺陷导致评审工作无法进行。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 投标截止时间结束后参加投标的投标人不足三家的处理：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宋体" w:hAnsi="宋体" w:cs="宋体"/>
          <w:b/>
          <w:bCs/>
          <w:color w:val="auto"/>
          <w:sz w:val="24"/>
          <w:szCs w:val="24"/>
          <w:highlight w:val="none"/>
        </w:rPr>
      </w:pPr>
      <w:r/>
      <w:bookmarkStart w:id="166" w:name="_Toc120614219"/>
      <w:r>
        <w:rPr>
          <w:rFonts w:hint="eastAsia" w:ascii="宋体" w:hAnsi="宋体" w:cs="宋体"/>
          <w:b/>
          <w:bCs/>
          <w:color w:val="auto"/>
          <w:sz w:val="24"/>
          <w:szCs w:val="24"/>
          <w:highlight w:val="none"/>
        </w:rPr>
        <w:t xml:space="preserve">六、</w:t>
      </w:r>
      <w:bookmarkEnd w:id="163"/>
      <w:r/>
      <w:bookmarkEnd w:id="164"/>
      <w:r/>
      <w:bookmarkEnd w:id="165"/>
      <w:r>
        <w:rPr>
          <w:rFonts w:hint="eastAsia" w:ascii="宋体" w:hAnsi="宋体" w:cs="宋体"/>
          <w:b/>
          <w:bCs/>
          <w:color w:val="auto"/>
          <w:sz w:val="24"/>
          <w:szCs w:val="24"/>
          <w:highlight w:val="none"/>
        </w:rPr>
        <w:t xml:space="preserve">定标</w:t>
      </w:r>
      <w:bookmarkEnd w:id="166"/>
      <w:r/>
      <w:r/>
    </w:p>
    <w:p>
      <w:pPr>
        <w:ind w:firstLine="482"/>
        <w:spacing w:line="480" w:lineRule="exact"/>
        <w:rPr>
          <w:rFonts w:hint="eastAsia" w:ascii="宋体" w:hAnsi="宋体" w:cs="宋体"/>
          <w:b/>
          <w:color w:val="auto"/>
          <w:sz w:val="24"/>
          <w:szCs w:val="24"/>
          <w:highlight w:val="none"/>
        </w:rPr>
      </w:pPr>
      <w:r/>
      <w:bookmarkStart w:id="167" w:name="_Toc513029238"/>
      <w:r/>
      <w:bookmarkStart w:id="168" w:name="_Toc16938554"/>
      <w:r/>
      <w:bookmarkStart w:id="169" w:name="_Toc20823310"/>
      <w:r>
        <w:rPr>
          <w:rFonts w:hint="eastAsia" w:ascii="宋体" w:hAnsi="宋体" w:cs="宋体"/>
          <w:b/>
          <w:color w:val="auto"/>
          <w:sz w:val="24"/>
          <w:szCs w:val="24"/>
          <w:highlight w:val="none"/>
        </w:rPr>
        <w:t xml:space="preserve">28、</w:t>
      </w:r>
      <w:bookmarkEnd w:id="167"/>
      <w:r>
        <w:rPr>
          <w:rFonts w:hint="eastAsia" w:ascii="宋体" w:hAnsi="宋体" w:cs="宋体"/>
          <w:b/>
          <w:color w:val="auto"/>
          <w:sz w:val="24"/>
          <w:szCs w:val="24"/>
          <w:highlight w:val="none"/>
        </w:rPr>
        <w:t xml:space="preserve">确定</w:t>
      </w:r>
      <w:bookmarkEnd w:id="168"/>
      <w:r/>
      <w:bookmarkEnd w:id="169"/>
      <w:r>
        <w:rPr>
          <w:rFonts w:hint="eastAsia" w:ascii="宋体" w:hAnsi="宋体" w:cs="宋体"/>
          <w:b/>
          <w:color w:val="auto"/>
          <w:sz w:val="24"/>
          <w:szCs w:val="24"/>
          <w:highlight w:val="none"/>
        </w:rPr>
        <w:t xml:space="preserve">中标单位</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28.1中标候选人的选取原则和数量见招标文件第五章规定。 </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.2 按以下第</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rPr>
        <w:t xml:space="preserve"> 2 </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lang w:val="zh-CN"/>
        </w:rPr>
        <w:t xml:space="preserve">种方式确定中标人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（1）评委会直接确定排名第一的中标候选人为中标人；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（2）采购人在评委会推荐的中标候选人中按顺序确定中标人。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按第</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种方式确定中标人的，</w:t>
      </w:r>
      <w:r>
        <w:rPr>
          <w:rFonts w:hint="eastAsia" w:ascii="宋体" w:hAnsi="宋体" w:cs="宋体"/>
          <w:bCs/>
          <w:color w:val="auto"/>
          <w:sz w:val="24"/>
          <w:szCs w:val="24"/>
          <w:highlight w:val="none"/>
        </w:rPr>
        <w:t xml:space="preserve">采购代理机构</w:t>
      </w:r>
      <w:r>
        <w:rPr>
          <w:rFonts w:hint="eastAsia" w:ascii="宋体" w:hAnsi="宋体" w:cs="宋体"/>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28.3</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28.4若有充分证据证明，中标人出现下列情况之一的，一经查实，将被取消中标资格：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28.4.2向采购人、采购代理机构行贿或者提供其他不正当利益的。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28.4.4与采购人或者其他投标人恶意串通的。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28.4.5采取不正当手段诋毁、排挤其他投标人的。</w:t>
      </w:r>
      <w:r/>
    </w:p>
    <w:p>
      <w:pPr>
        <w:ind w:firstLine="480"/>
        <w:spacing w:line="480" w:lineRule="exact"/>
        <w:rPr>
          <w:rFonts w:hint="eastAsia" w:ascii="宋体" w:hAnsi="宋体" w:cs="宋体"/>
          <w:color w:val="auto"/>
          <w:sz w:val="24"/>
          <w:szCs w:val="24"/>
          <w:highlight w:val="none"/>
        </w:rPr>
      </w:pPr>
      <w:r/>
      <w:bookmarkStart w:id="170"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29、质疑处理</w:t>
      </w:r>
      <w:bookmarkEnd w:id="170"/>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联系部门：</w:t>
      </w:r>
      <w:bookmarkStart w:id="171" w:name="EB587bd491a3fd493c8e729d1eaa56203a"/>
      <w:r>
        <w:rPr>
          <w:rFonts w:hint="eastAsia" w:ascii="宋体" w:hAnsi="宋体" w:cs="宋体"/>
          <w:color w:val="auto"/>
          <w:sz w:val="24"/>
          <w:szCs w:val="24"/>
          <w:highlight w:val="none"/>
          <w:u w:val="single"/>
          <w:lang w:eastAsia="zh-CN"/>
        </w:rPr>
        <w:t xml:space="preserve">泗洪县畜牧兽医站</w:t>
      </w:r>
      <w:r>
        <w:rPr>
          <w:rFonts w:hint="eastAsia" w:ascii="宋体" w:hAnsi="宋体" w:cs="宋体"/>
          <w:color w:val="auto"/>
          <w:sz w:val="24"/>
          <w:szCs w:val="24"/>
          <w:highlight w:val="none"/>
          <w:u w:val="single"/>
        </w:rPr>
        <w:t xml:space="preserve">、</w:t>
      </w:r>
      <w:bookmarkEnd w:id="171"/>
      <w:r>
        <w:rPr>
          <w:rFonts w:hint="eastAsia" w:ascii="宋体" w:hAnsi="宋体" w:cs="宋体"/>
          <w:color w:val="auto"/>
          <w:sz w:val="24"/>
          <w:szCs w:val="24"/>
          <w:highlight w:val="none"/>
          <w:u w:val="single"/>
          <w:lang w:eastAsia="zh-CN"/>
        </w:rPr>
        <w:t xml:space="preserve">江苏普和建设项目咨询有限公司</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15896080821、</w:t>
      </w:r>
      <w:r>
        <w:rPr>
          <w:rFonts w:hint="eastAsia" w:ascii="宋体" w:hAnsi="宋体" w:eastAsia="宋体" w:cs="宋体"/>
          <w:caps w:val="0"/>
          <w:color w:val="auto"/>
          <w:sz w:val="24"/>
          <w:szCs w:val="24"/>
          <w:highlight w:val="none"/>
          <w:u w:val="single"/>
          <w:lang w:eastAsia="zh-CN"/>
        </w:rPr>
        <w:t xml:space="preserve">17552661415</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通讯地址：</w:t>
      </w:r>
      <w:r>
        <w:rPr>
          <w:rFonts w:hint="eastAsia" w:ascii="宋体" w:hAnsi="宋体" w:cs="宋体"/>
          <w:color w:val="auto"/>
          <w:sz w:val="24"/>
          <w:szCs w:val="24"/>
          <w:highlight w:val="none"/>
          <w:u w:val="single"/>
          <w:lang w:val="en-US" w:eastAsia="zh-CN"/>
        </w:rPr>
        <w:t xml:space="preserve">泗洪县人民北路10号</w:t>
      </w:r>
      <w:r>
        <w:rPr>
          <w:rFonts w:hint="eastAsia" w:ascii="宋体" w:hAnsi="宋体" w:cs="宋体"/>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泗洪县和谐路永昌财富广场4楼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29.5.4未参加投标活动的投标人或在投标活动中自身权益未受到损害的投标人所提出的质疑。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29.5.5投标人组成联合体参加投标，联合体中任何一方或多方未按要求签字、盖章、加盖公章的质疑。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30、中标通知书</w:t>
      </w:r>
      <w:r/>
    </w:p>
    <w:p>
      <w:pPr>
        <w:ind w:firstLine="480"/>
        <w:spacing w:line="480" w:lineRule="exact"/>
        <w:rPr>
          <w:rFonts w:hint="eastAsia" w:ascii="宋体" w:hAnsi="宋体" w:cs="宋体"/>
          <w:color w:val="auto"/>
          <w:sz w:val="24"/>
          <w:szCs w:val="24"/>
          <w:highlight w:val="none"/>
        </w:rPr>
      </w:pPr>
      <w:r/>
      <w:bookmarkStart w:id="172" w:name="_Toc20823308"/>
      <w:r/>
      <w:bookmarkStart w:id="173" w:name="_Toc16938552"/>
      <w:r/>
      <w:bookmarkStart w:id="174" w:name="_Toc513029236"/>
      <w:r/>
      <w:bookmarkStart w:id="175" w:name="_Toc120614220"/>
      <w:r>
        <w:rPr>
          <w:rFonts w:hint="eastAsia" w:ascii="宋体" w:hAnsi="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七、授予合同</w:t>
      </w:r>
      <w:bookmarkEnd w:id="172"/>
      <w:r/>
      <w:bookmarkEnd w:id="173"/>
      <w:r/>
      <w:bookmarkEnd w:id="174"/>
      <w:r/>
      <w:bookmarkEnd w:id="175"/>
      <w:r/>
      <w:r/>
    </w:p>
    <w:p>
      <w:pPr>
        <w:ind w:firstLine="482"/>
        <w:spacing w:line="480" w:lineRule="exact"/>
        <w:rPr>
          <w:rFonts w:hint="eastAsia" w:ascii="宋体" w:hAnsi="宋体" w:cs="宋体"/>
          <w:b/>
          <w:color w:val="auto"/>
          <w:sz w:val="24"/>
          <w:szCs w:val="24"/>
          <w:highlight w:val="none"/>
        </w:rPr>
      </w:pPr>
      <w:r/>
      <w:bookmarkStart w:id="176" w:name="_Toc16938553"/>
      <w:r/>
      <w:bookmarkStart w:id="177" w:name="_Toc20823309"/>
      <w:r/>
      <w:bookmarkStart w:id="178" w:name="_Toc513029237"/>
      <w:r>
        <w:rPr>
          <w:rFonts w:hint="eastAsia" w:ascii="宋体" w:hAnsi="宋体" w:cs="宋体"/>
          <w:b/>
          <w:color w:val="auto"/>
          <w:sz w:val="24"/>
          <w:szCs w:val="24"/>
          <w:highlight w:val="none"/>
        </w:rPr>
        <w:t xml:space="preserve">31. 签订合同</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31.3本项目的非主体、非关键性工作是否允许分包按以下第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31.4履约保证金</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cs="Times New Roman"/>
          <w:bCs/>
          <w:caps w:val="0"/>
          <w:color w:val="auto"/>
          <w:sz w:val="24"/>
          <w:highlight w:val="none"/>
          <w:u w:val="single"/>
          <w:lang w:val="en-US" w:eastAsia="zh-CN"/>
        </w:rPr>
        <w:t xml:space="preserve">2</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firstLine="480"/>
        <w:spacing w:line="480" w:lineRule="exact"/>
        <w:rPr>
          <w:rFonts w:hint="eastAsia"/>
          <w:bCs/>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bCs/>
          <w:color w:val="auto"/>
          <w:sz w:val="24"/>
          <w:highlight w:val="none"/>
          <w:lang w:val="zh-CN"/>
        </w:rPr>
        <w:t xml:space="preserve">履约保证金应在采购合同签订前提交，履约保证金的金额：按采购合同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w:t>
      </w:r>
      <w:r>
        <w:rPr>
          <w:rFonts w:hint="eastAsia"/>
          <w:bCs/>
          <w:color w:val="auto"/>
          <w:sz w:val="24"/>
          <w:highlight w:val="none"/>
          <w:u w:val="single"/>
          <w:lang w:val="en-US" w:eastAsia="zh-CN"/>
        </w:rPr>
        <w:t xml:space="preserve"> 2 </w:t>
      </w:r>
      <w:r>
        <w:rPr>
          <w:rFonts w:hint="eastAsia"/>
          <w:bCs/>
          <w:color w:val="auto"/>
          <w:sz w:val="24"/>
          <w:highlight w:val="none"/>
          <w:u w:val="single"/>
        </w:rPr>
        <w:t xml:space="preserve"> </w:t>
      </w:r>
      <w:r>
        <w:rPr>
          <w:rFonts w:hint="eastAsia"/>
          <w:bCs/>
          <w:color w:val="auto"/>
          <w:sz w:val="24"/>
          <w:highlight w:val="none"/>
          <w:lang w:val="zh-CN"/>
        </w:rPr>
        <w:t xml:space="preserve">%（使用江苏政府采购电子履约保函（保险）代替缴纳履约保证金，按采购合同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的1.2%）计取。除银行电汇、网上银行、数字人民币外，投标人还可选用银行保函、担保公司的保证担保或保险公司的保证保险、等多种形式向采购人缴纳；</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履约保证金退还的条件：按以下第</w:t>
      </w:r>
      <w:r>
        <w:rPr>
          <w:rFonts w:hint="eastAsia"/>
          <w:bCs/>
          <w:color w:val="auto"/>
          <w:sz w:val="24"/>
          <w:highlight w:val="none"/>
          <w:u w:val="single"/>
        </w:rPr>
        <w:t xml:space="preserve"> a </w:t>
      </w:r>
      <w:r>
        <w:rPr>
          <w:rFonts w:hint="eastAsia"/>
          <w:bCs/>
          <w:color w:val="auto"/>
          <w:sz w:val="24"/>
          <w:highlight w:val="none"/>
          <w:lang w:val="zh-CN"/>
        </w:rPr>
        <w:t xml:space="preserve">种方式实行：</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a、货物类项目，项目验收合格，出具验收报告及履约保证金收据申请退付；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b、服务类项目，项目履约期满评价合格，出具履约评价报告及履约保证金收据申请退付；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c、工程类项目，项目完工验收合格，出具完工证明及履约保证金收据申请退付；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480" w:lineRule="exact"/>
        <w:rPr>
          <w:b/>
          <w:color w:val="auto"/>
          <w:sz w:val="24"/>
          <w:highlight w:val="none"/>
        </w:rPr>
      </w:pPr>
      <w:r>
        <w:rPr>
          <w:b/>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keepLines/>
        <w:keepNext/>
        <w:pageBreakBefore w:val="0"/>
        <w:spacing w:line="360" w:lineRule="auto"/>
        <w:widowControl w:val="off"/>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32、货物（包含与货物相关的服务）的追加</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p>
    <w:p>
      <w:pPr>
        <w:ind w:firstLine="482"/>
        <w:pageBreakBefore w:val="0"/>
        <w:spacing w:line="360" w:lineRule="auto"/>
        <w:widowControl w:val="off"/>
        <w:rPr>
          <w:rFonts w:hint="eastAsia" w:ascii="宋体" w:hAnsi="宋体" w:cs="宋体"/>
          <w:b/>
          <w:color w:val="auto"/>
          <w:sz w:val="24"/>
          <w:szCs w:val="24"/>
          <w:highlight w:val="none"/>
        </w:rPr>
      </w:pPr>
      <w:r/>
      <w:bookmarkStart w:id="179" w:name="_Toc513029242"/>
      <w:r/>
      <w:bookmarkStart w:id="180" w:name="_Toc479757207"/>
      <w:r/>
      <w:bookmarkStart w:id="181" w:name="_Toc20823314"/>
      <w:r/>
      <w:bookmarkStart w:id="182" w:name="_Toc120614221"/>
      <w:r/>
      <w:bookmarkStart w:id="183" w:name="_Toc16938558"/>
      <w:r>
        <w:rPr>
          <w:rFonts w:hint="eastAsia" w:ascii="宋体" w:hAnsi="宋体" w:cs="宋体"/>
          <w:b/>
          <w:color w:val="auto"/>
          <w:sz w:val="24"/>
          <w:szCs w:val="24"/>
          <w:highlight w:val="none"/>
        </w:rPr>
        <w:t xml:space="preserve">33、政府采购履约资金扶持政策</w:t>
      </w:r>
      <w:r/>
    </w:p>
    <w:p>
      <w:pPr>
        <w:pStyle w:val="943"/>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33.1依</w:t>
      </w:r>
      <w:r>
        <w:rPr>
          <w:rFonts w:hint="eastAsia" w:ascii="宋体" w:hAnsi="宋体" w:cs="宋体"/>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34、验收及付款</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35、付款</w:t>
      </w:r>
      <w:r/>
    </w:p>
    <w:p>
      <w:pPr>
        <w:ind w:firstLine="480"/>
        <w:pageBreakBefore w:val="0"/>
        <w:spacing w:line="360" w:lineRule="auto"/>
        <w:widowControl w:val="off"/>
        <w:rPr>
          <w:rFonts w:hint="eastAsia" w:ascii="宋体" w:hAnsi="宋体" w:cs="宋体"/>
          <w:bCs/>
          <w:color w:val="auto"/>
          <w:sz w:val="24"/>
          <w:szCs w:val="24"/>
          <w:highlight w:val="none"/>
        </w:rPr>
      </w:pPr>
      <w:r/>
      <w:bookmarkStart w:id="184"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4"/>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进度款：</w:t>
      </w:r>
      <w:bookmarkStart w:id="185" w:name="EBf1f8b954f7504a2cb44cef25707c76a6"/>
      <w:r/>
      <w:bookmarkEnd w:id="185"/>
      <w:r/>
      <w:r/>
    </w:p>
    <w:p>
      <w:pPr>
        <w:ind w:firstLine="480"/>
        <w:pageBreakBefore w:val="0"/>
        <w:spacing w:line="360" w:lineRule="auto"/>
        <w:widowControl w:val="off"/>
        <w:rPr>
          <w:rFonts w:hint="eastAsia"/>
          <w:bCs/>
          <w:color w:val="auto"/>
          <w:sz w:val="24"/>
          <w:highlight w:val="none"/>
          <w:lang w:val="zh-CN"/>
        </w:rPr>
      </w:pPr>
      <w:r/>
      <w:bookmarkStart w:id="186" w:name="EB11398ec6946f4019bc4c35221e27b04f"/>
      <w:r>
        <w:rPr>
          <w:rFonts w:hint="eastAsia"/>
          <w:bCs/>
          <w:color w:val="auto"/>
          <w:sz w:val="24"/>
          <w:highlight w:val="none"/>
          <w:lang w:val="zh-CN"/>
        </w:rPr>
        <w:t xml:space="preserve">中标货物根据甲方要求送达甲方指定地点，以年度实际发货数量一次性结算余款。（采购人可以采用数字人民币方式支付合同价款）。</w:t>
      </w:r>
      <w:r/>
    </w:p>
    <w:p>
      <w:pPr>
        <w:ind w:firstLine="480"/>
        <w:pageBreakBefore w:val="0"/>
        <w:spacing w:line="360" w:lineRule="auto"/>
        <w:widowControl w:val="off"/>
        <w:rPr>
          <w:rFonts w:hint="eastAsia"/>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186"/>
      <w:r/>
      <w:r/>
    </w:p>
    <w:p>
      <w:pPr>
        <w:pageBreakBefore w:val="0"/>
        <w:spacing w:line="360" w:lineRule="auto"/>
        <w:widowControl w:val="off"/>
        <w:rPr>
          <w:rFonts w:hint="eastAsia"/>
          <w:color w:val="auto"/>
          <w:highlight w:val="none"/>
        </w:rPr>
      </w:pPr>
      <w:r>
        <w:rPr>
          <w:rFonts w:hint="eastAsia"/>
          <w:color w:val="auto"/>
          <w:highlight w:val="none"/>
        </w:rPr>
      </w:r>
      <w:r/>
    </w:p>
    <w:p>
      <w:pPr>
        <w:pageBreakBefore w:val="0"/>
        <w:spacing w:line="360" w:lineRule="auto"/>
        <w:widowControl w:val="off"/>
        <w:rPr>
          <w:color w:val="auto"/>
          <w:highlight w:val="none"/>
        </w:rPr>
      </w:pPr>
      <w:r>
        <w:rPr>
          <w:color w:val="auto"/>
          <w:highlight w:val="none"/>
        </w:rPr>
      </w:r>
      <w:r/>
    </w:p>
    <w:p>
      <w:pPr>
        <w:pageBreakBefore w:val="0"/>
        <w:spacing w:line="360" w:lineRule="auto"/>
        <w:widowControl w:val="off"/>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79"/>
      <w:r/>
      <w:bookmarkEnd w:id="180"/>
      <w:r/>
      <w:bookmarkEnd w:id="181"/>
      <w:r/>
      <w:bookmarkEnd w:id="182"/>
      <w:r/>
      <w:bookmarkEnd w:id="183"/>
      <w:r/>
      <w:r/>
    </w:p>
    <w:p>
      <w:pPr>
        <w:rPr>
          <w:color w:val="auto"/>
          <w:highlight w:val="none"/>
        </w:rPr>
      </w:pPr>
      <w:r>
        <w:rPr>
          <w:color w:val="auto"/>
          <w:highlight w:val="none"/>
        </w:rPr>
      </w:r>
      <w:r/>
    </w:p>
    <w:p>
      <w:pPr>
        <w:jc w:val="center"/>
        <w:keepLines w:val="0"/>
        <w:keepNext w:val="0"/>
        <w:pageBreakBefore w:val="0"/>
        <w:spacing w:line="360" w:lineRule="auto"/>
        <w:widowControl w:val="off"/>
        <w:rPr>
          <w:rFonts w:eastAsia="黑体"/>
          <w:b/>
          <w:color w:val="auto"/>
          <w:sz w:val="44"/>
          <w:szCs w:val="28"/>
          <w:highlight w:val="none"/>
        </w:rPr>
      </w:pPr>
      <w:r/>
      <w:bookmarkStart w:id="187" w:name="_Toc104802328"/>
      <w:r/>
      <w:bookmarkStart w:id="188" w:name="_Toc118461986"/>
      <w:r/>
      <w:bookmarkStart w:id="189" w:name="_Toc155086566"/>
      <w:r/>
      <w:bookmarkStart w:id="190" w:name="_Hlt16619350"/>
      <w:r/>
      <w:bookmarkStart w:id="191" w:name="_Toc16938590"/>
      <w:r/>
      <w:bookmarkStart w:id="192" w:name="_Toc20823346"/>
      <w:r/>
      <w:bookmarkStart w:id="193" w:name="_Toc120614244"/>
      <w:r/>
      <w:bookmarkStart w:id="194" w:name="_Toc462564139"/>
      <w:r/>
      <w:bookmarkStart w:id="195" w:name="_Toc479757211"/>
      <w:r>
        <w:rPr>
          <w:rFonts w:ascii="宋体" w:hAnsi="宋体" w:cs="宋体"/>
          <w:b/>
          <w:color w:val="auto"/>
          <w:sz w:val="44"/>
          <w:szCs w:val="28"/>
          <w:highlight w:val="none"/>
        </w:rPr>
        <w:br w:type="page" w:clear="all"/>
      </w:r>
      <w:r>
        <w:rPr>
          <w:rFonts w:hint="eastAsia" w:ascii="宋体" w:hAnsi="宋体" w:cs="宋体"/>
          <w:b/>
          <w:color w:val="auto"/>
          <w:sz w:val="44"/>
          <w:szCs w:val="28"/>
          <w:highlight w:val="none"/>
        </w:rPr>
        <w:t xml:space="preserve">第三章  合同文本</w:t>
      </w:r>
      <w:bookmarkEnd w:id="187"/>
      <w:r/>
      <w:bookmarkEnd w:id="188"/>
      <w:r/>
      <w:bookmarkEnd w:id="189"/>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91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2020" w:hanging="160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lang w:eastAsia="zh-CN"/>
        </w:rPr>
        <w:t xml:space="preserve">泗洪县2024年度重大动物疫病免疫补助项目（疫苗、标识）</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泗洪县畜牧兽医站</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2024年  月  日</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hint="eastAsia" w:ascii="黑体" w:hAnsi="黑体" w:eastAsia="黑体"/>
          <w:color w:val="auto"/>
          <w:sz w:val="28"/>
          <w:szCs w:val="28"/>
          <w:highlight w:val="none"/>
        </w:rPr>
      </w:pPr>
      <w:r>
        <w:rPr>
          <w:rFonts w:eastAsia="黑体"/>
          <w:color w:val="auto"/>
          <w:sz w:val="44"/>
          <w:szCs w:val="44"/>
          <w:highlight w:val="none"/>
        </w:rPr>
        <w:br w:type="page" w:clear="all"/>
      </w:r>
      <w:bookmarkStart w:id="196" w:name="_Toc22209"/>
      <w:r/>
      <w:bookmarkEnd w:id="196"/>
      <w:r/>
      <w:r/>
    </w:p>
    <w:p>
      <w:pPr>
        <w:pStyle w:val="901"/>
        <w:jc w:val="center"/>
        <w:spacing w:line="400" w:lineRule="exact"/>
        <w:rPr>
          <w:color w:val="auto"/>
          <w:highlight w:val="none"/>
        </w:rPr>
      </w:pPr>
      <w:r>
        <w:rPr>
          <w:rFonts w:ascii="Times New Roman" w:hAnsi="Times New Roman" w:eastAsia="黑体" w:cs="Times New Roman"/>
          <w:color w:val="auto"/>
          <w:sz w:val="28"/>
          <w:szCs w:val="28"/>
          <w:highlight w:val="none"/>
        </w:rPr>
        <w:t xml:space="preserve">第一节 政府采购合同协议书</w:t>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spacing w:line="400" w:lineRule="exact"/>
        <w:rPr>
          <w:color w:val="auto"/>
          <w:highlight w:val="none"/>
        </w:rPr>
      </w:pPr>
      <w:r>
        <w:rPr>
          <w:color w:val="auto"/>
          <w:highlight w:val="none"/>
        </w:rPr>
      </w:r>
      <w:r/>
    </w:p>
    <w:p>
      <w:pPr>
        <w:pStyle w:val="918"/>
        <w:ind w:left="0" w:firstLine="42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b/>
          <w:color w:val="auto"/>
          <w:highlight w:val="none"/>
        </w:rPr>
      </w:pPr>
      <w:r>
        <w:rPr>
          <w:b/>
          <w:color w:val="auto"/>
          <w:highlight w:val="none"/>
        </w:rPr>
        <w:t xml:space="preserve">项目信息</w:t>
      </w:r>
      <w:r/>
    </w:p>
    <w:p>
      <w:pPr>
        <w:pStyle w:val="918"/>
        <w:numPr>
          <w:ilvl w:val="0"/>
          <w:numId w:val="0"/>
        </w:numPr>
        <w:spacing w:after="0" w:line="400" w:lineRule="exact"/>
        <w:rPr>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采购项目名称：</w:t>
      </w:r>
      <w:r>
        <w:rPr>
          <w:color w:val="auto"/>
          <w:highlight w:val="none"/>
          <w:u w:val="single"/>
        </w:rPr>
        <w:t xml:space="preserve">                                          </w:t>
      </w:r>
      <w:r/>
    </w:p>
    <w:p>
      <w:pPr>
        <w:pStyle w:val="918"/>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918"/>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ind w:firstLine="420"/>
        <w:spacing w:line="400" w:lineRule="exact"/>
        <w:rPr>
          <w:color w:val="auto"/>
          <w:highlight w:val="none"/>
        </w:rPr>
      </w:pPr>
      <w:r>
        <w:rPr>
          <w:color w:val="auto"/>
          <w:highlight w:val="none"/>
        </w:rPr>
        <w:t xml:space="preserve">（3）项目内容：</w:t>
      </w:r>
      <w:r/>
    </w:p>
    <w:p>
      <w:pPr>
        <w:ind w:firstLine="420"/>
        <w:spacing w:line="400" w:lineRule="exact"/>
        <w:rPr>
          <w:color w:val="auto"/>
          <w:highlight w:val="none"/>
        </w:rPr>
      </w:pPr>
      <w:r>
        <w:rPr>
          <w:color w:val="auto"/>
          <w:highlight w:val="none"/>
        </w:rPr>
        <w:t xml:space="preserve">     采购标的及数量（台/套</w:t>
      </w:r>
      <w:r>
        <w:rPr>
          <w:color w:val="auto"/>
          <w:highlight w:val="none"/>
          <w:lang w:val="en"/>
        </w:rPr>
        <w:t xml:space="preserve">/个/架/组等</w:t>
      </w:r>
      <w:r>
        <w:rPr>
          <w:color w:val="auto"/>
          <w:highlight w:val="none"/>
        </w:rPr>
        <w:t xml:space="preserve">）：</w:t>
      </w:r>
      <w:r>
        <w:rPr>
          <w:color w:val="auto"/>
          <w:highlight w:val="none"/>
          <w:u w:val="single"/>
        </w:rPr>
        <w:t xml:space="preserve">                    </w:t>
      </w:r>
      <w:r>
        <w:rPr>
          <w:color w:val="auto"/>
          <w:highlight w:val="none"/>
        </w:rPr>
        <w:t xml:space="preserve">          </w:t>
      </w:r>
      <w:r/>
    </w:p>
    <w:p>
      <w:pPr>
        <w:numPr>
          <w:ilvl w:val="255"/>
          <w:numId w:val="0"/>
        </w:numPr>
        <w:ind w:firstLine="420"/>
        <w:spacing w:line="400" w:lineRule="exact"/>
        <w:rPr>
          <w:color w:val="auto"/>
          <w:highlight w:val="none"/>
          <w:lang w:val="en"/>
        </w:rPr>
      </w:pPr>
      <w:r>
        <w:rPr>
          <w:color w:val="auto"/>
          <w:highlight w:val="none"/>
        </w:rPr>
        <w:t xml:space="preserve">     品牌：</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lang w:val="en"/>
        </w:rPr>
        <w:t xml:space="preserve">     </w:t>
      </w:r>
      <w:r>
        <w:rPr>
          <w:color w:val="auto"/>
          <w:highlight w:val="none"/>
        </w:rPr>
        <w:t xml:space="preserve">规格型号：</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u w:val="single"/>
          <w:lang w:val="en"/>
        </w:rPr>
        <w:t xml:space="preserve">   </w:t>
      </w:r>
      <w:r/>
    </w:p>
    <w:p>
      <w:pPr>
        <w:ind w:firstLine="945"/>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ind w:firstLine="945"/>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ind w:firstLine="420"/>
        <w:spacing w:line="400" w:lineRule="exact"/>
        <w:rPr>
          <w:color w:val="auto"/>
          <w:highlight w:val="none"/>
          <w:u w:val="single"/>
        </w:rPr>
      </w:pPr>
      <w:r>
        <w:rPr>
          <w:color w:val="auto"/>
          <w:highlight w:val="none"/>
        </w:rPr>
        <w:t xml:space="preserve">     标的名称：</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p>
    <w:p>
      <w:pPr>
        <w:numPr>
          <w:ilvl w:val="255"/>
          <w:numId w:val="0"/>
        </w:numPr>
        <w:ind w:firstLine="420"/>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Times New Roman" w:hAnsi="Times New Roman" w:cs="Times New Roman" w:eastAsiaTheme="minorEastAsia"/>
          <w:color w:val="auto"/>
          <w:sz w:val="21"/>
          <w:highlight w:val="none"/>
          <w:lang w:val="en"/>
        </w:rPr>
        <w:t xml:space="preserve">4</w:t>
      </w:r>
      <w:r>
        <w:rPr>
          <w:rFonts w:ascii="Times New Roman" w:hAnsi="Times New Roman" w:cs="Times New Roman" w:eastAsia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分散采购</w:t>
      </w:r>
      <w:r/>
    </w:p>
    <w:p>
      <w:pPr>
        <w:pStyle w:val="1253"/>
        <w:numPr>
          <w:ilvl w:val="255"/>
          <w:numId w:val="0"/>
        </w:numPr>
        <w:ind w:firstLine="420"/>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w:t>
      </w:r>
      <w:r>
        <w:rPr>
          <w:rFonts w:ascii="Times New Roman" w:hAnsi="Times New Roman" w:cs="Times New Roman" w:eastAsiaTheme="minorEastAsia"/>
          <w:color w:val="auto"/>
          <w:sz w:val="21"/>
          <w:highlight w:val="none"/>
          <w:lang w:val="en"/>
        </w:rPr>
        <w:t xml:space="preserve">5</w:t>
      </w:r>
      <w:r>
        <w:rPr>
          <w:rFonts w:ascii="Times New Roman" w:hAnsi="Times New Roman" w:cs="Times New Roman" w:eastAsia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253"/>
        <w:numPr>
          <w:ilvl w:val="255"/>
          <w:numId w:val="0"/>
        </w:numPr>
        <w:ind w:firstLine="420"/>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253"/>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eastAsia="仿宋_GB2312" w:cs="Times New Roman"/>
          <w:color w:val="auto"/>
          <w:sz w:val="32"/>
          <w:szCs w:val="32"/>
          <w:highlight w:val="none"/>
        </w:rPr>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253"/>
        <w:numPr>
          <w:ilvl w:val="255"/>
          <w:numId w:val="0"/>
        </w:numPr>
        <w:ind w:firstLine="220"/>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highlight w:val="none"/>
          <w:lang w:val="en"/>
        </w:rPr>
        <w:t xml:space="preserve">6</w:t>
      </w:r>
      <w:r>
        <w:rPr>
          <w:rFonts w:ascii="Times New Roman" w:hAnsi="Times New Roman" w:cs="Times New Roman"/>
          <w:color w:val="auto"/>
          <w:highlight w:val="none"/>
        </w:rPr>
        <w:t xml:space="preserve">）</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þ</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ind w:firstLine="420"/>
        <w:spacing w:line="400" w:lineRule="exact"/>
        <w:rPr>
          <w:color w:val="auto"/>
          <w:highlight w:val="none"/>
        </w:rPr>
      </w:pPr>
      <w:r>
        <w:rPr>
          <w:color w:val="auto"/>
          <w:highlight w:val="none"/>
        </w:rPr>
        <w:t xml:space="preserve">（</w:t>
      </w:r>
      <w:r>
        <w:rPr>
          <w:color w:val="auto"/>
          <w:highlight w:val="none"/>
          <w:lang w:val="en"/>
        </w:rPr>
        <w:t xml:space="preserve">7</w:t>
      </w:r>
      <w:r>
        <w:rPr>
          <w:color w:val="auto"/>
          <w:highlight w:val="none"/>
        </w:rPr>
        <w:t xml:space="preserve">）合同是否分包：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þ</w:t>
      </w:r>
      <w:r>
        <w:rPr>
          <w:iCs/>
          <w:color w:val="auto"/>
          <w:highlight w:val="none"/>
        </w:rPr>
        <w:t xml:space="preserve">否</w:t>
      </w:r>
      <w:r/>
    </w:p>
    <w:p>
      <w:pPr>
        <w:ind w:firstLine="840"/>
        <w:spacing w:line="400" w:lineRule="exact"/>
        <w:rPr>
          <w:color w:val="auto"/>
          <w:highlight w:val="none"/>
          <w:u w:val="single"/>
        </w:rPr>
      </w:pPr>
      <w:r>
        <w:rPr>
          <w:color w:val="auto"/>
          <w:highlight w:val="none"/>
        </w:rPr>
        <w:t xml:space="preserve"> 分包主要内容：</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分包供应商/制造商名称（如供应商和制造商不同，请分别填写）：</w:t>
      </w:r>
      <w:r/>
    </w:p>
    <w:p>
      <w:pPr>
        <w:ind w:firstLine="840"/>
        <w:spacing w:line="400" w:lineRule="exact"/>
        <w:rPr>
          <w:color w:val="auto"/>
          <w:highlight w:val="none"/>
          <w:u w:val="single"/>
        </w:rPr>
      </w:pPr>
      <w:r>
        <w:rPr>
          <w:color w:val="auto"/>
          <w:highlight w:val="none"/>
        </w:rPr>
        <w:t xml:space="preserve"> </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分包供应商/制造商类型（如果供应商和制造商不同，只填写制造商类型）：</w:t>
      </w:r>
      <w:r/>
    </w:p>
    <w:p>
      <w:pPr>
        <w:ind w:firstLine="840"/>
        <w:spacing w:line="400" w:lineRule="exact"/>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大型企业  </w:t>
      </w:r>
      <w:r>
        <w:rPr>
          <w:rFonts w:ascii="Wingdings" w:hAnsi="Wingdings" w:eastAsia="Wingdings" w:cs="Wingdings"/>
          <w:iCs/>
          <w:color w:val="auto"/>
          <w:highlight w:val="none"/>
        </w:rPr>
        <w:t xml:space="preserve">¨</w:t>
      </w:r>
      <w:r>
        <w:rPr>
          <w:iCs/>
          <w:color w:val="auto"/>
          <w:highlight w:val="none"/>
        </w:rPr>
        <w:t xml:space="preserve">中型企业  </w:t>
      </w:r>
      <w:r>
        <w:rPr>
          <w:rFonts w:ascii="Wingdings" w:hAnsi="Wingdings" w:eastAsia="Wingdings" w:cs="Wingdings"/>
          <w:iCs/>
          <w:color w:val="auto"/>
          <w:highlight w:val="none"/>
        </w:rPr>
        <w:t xml:space="preserve">¨</w:t>
      </w:r>
      <w:r>
        <w:rPr>
          <w:iCs/>
          <w:color w:val="auto"/>
          <w:highlight w:val="none"/>
        </w:rPr>
        <w:t xml:space="preserve">小微型企业  </w:t>
      </w:r>
      <w:r/>
    </w:p>
    <w:p>
      <w:pPr>
        <w:ind w:firstLine="840"/>
        <w:spacing w:line="400" w:lineRule="exact"/>
        <w:rPr>
          <w:rFonts w:eastAsia="华文楷体"/>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残疾人福利性单位 </w:t>
      </w:r>
      <w:r>
        <w:rPr>
          <w:rFonts w:ascii="Wingdings" w:hAnsi="Wingdings" w:eastAsia="Wingdings" w:cs="Wingdings"/>
          <w:iCs/>
          <w:color w:val="auto"/>
          <w:highlight w:val="none"/>
        </w:rPr>
        <w:t xml:space="preserve">¨</w:t>
      </w:r>
      <w:r>
        <w:rPr>
          <w:iCs/>
          <w:color w:val="auto"/>
          <w:highlight w:val="none"/>
        </w:rPr>
        <w:t xml:space="preserve">监狱企业 </w:t>
      </w:r>
      <w:r>
        <w:rPr>
          <w:rFonts w:ascii="Wingdings" w:hAnsi="Wingdings" w:eastAsia="Wingdings" w:cs="Wingdings"/>
          <w:iCs/>
          <w:color w:val="auto"/>
          <w:highlight w:val="none"/>
        </w:rPr>
        <w:t xml:space="preserve">¨</w:t>
      </w:r>
      <w:r>
        <w:rPr>
          <w:iCs/>
          <w:color w:val="auto"/>
          <w:highlight w:val="none"/>
        </w:rPr>
        <w:t xml:space="preserve">其他</w:t>
      </w:r>
      <w:r/>
    </w:p>
    <w:p>
      <w:pPr>
        <w:numPr>
          <w:ilvl w:val="255"/>
          <w:numId w:val="0"/>
        </w:numPr>
        <w:spacing w:line="400" w:lineRule="exact"/>
        <w:rPr>
          <w:iCs/>
          <w:color w:val="auto"/>
          <w:highlight w:val="none"/>
        </w:rPr>
      </w:pPr>
      <w:r>
        <w:rPr>
          <w:color w:val="auto"/>
          <w:highlight w:val="none"/>
        </w:rPr>
        <w:t xml:space="preserve">    （</w:t>
      </w:r>
      <w:r>
        <w:rPr>
          <w:color w:val="auto"/>
          <w:highlight w:val="none"/>
          <w:lang w:val="en"/>
        </w:rPr>
        <w:t xml:space="preserve">8</w:t>
      </w:r>
      <w:r>
        <w:rPr>
          <w:color w:val="auto"/>
          <w:highlight w:val="none"/>
        </w:rPr>
        <w:t xml:space="preserve">）中标（成交）供应商是否为外商投资企业：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253"/>
        <w:ind w:firstLine="42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ind w:firstLine="420"/>
        <w:spacing w:line="400" w:lineRule="exact"/>
        <w:rPr>
          <w:color w:val="auto"/>
          <w:highlight w:val="none"/>
        </w:rPr>
      </w:pPr>
      <w:r>
        <w:rPr>
          <w:color w:val="auto"/>
          <w:highlight w:val="none"/>
        </w:rPr>
        <w:t xml:space="preserve">（</w:t>
      </w:r>
      <w:r>
        <w:rPr>
          <w:color w:val="auto"/>
          <w:highlight w:val="none"/>
          <w:lang w:val="en"/>
        </w:rPr>
        <w:t xml:space="preserve">9</w:t>
      </w:r>
      <w:r>
        <w:rPr>
          <w:color w:val="auto"/>
          <w:highlight w:val="none"/>
        </w:rPr>
        <w:t xml:space="preserve">）是否涉及进口产品：</w:t>
      </w:r>
      <w:r/>
    </w:p>
    <w:p>
      <w:pPr>
        <w:numPr>
          <w:ilvl w:val="255"/>
          <w:numId w:val="0"/>
        </w:numPr>
        <w:ind w:firstLine="840"/>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ind w:firstLine="840"/>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ind w:firstLine="840"/>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w:t>
      </w:r>
      <w:r>
        <w:rPr>
          <w:color w:val="auto"/>
          <w:highlight w:val="none"/>
          <w:lang w:val="en"/>
        </w:rPr>
        <w:t xml:space="preserve">0</w:t>
      </w:r>
      <w:r>
        <w:rPr>
          <w:color w:val="auto"/>
          <w:highlight w:val="none"/>
        </w:rPr>
        <w:t xml:space="preserve">）是否涉及节能产品：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253"/>
        <w:ind w:firstLine="42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w:t>
      </w:r>
      <w:r>
        <w:rPr>
          <w:color w:val="auto"/>
          <w:highlight w:val="none"/>
          <w:lang w:val="en"/>
        </w:rPr>
        <w:t xml:space="preserve">1</w:t>
      </w:r>
      <w:r>
        <w:rPr>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5"/>
        </w:numPr>
        <w:ind w:firstLine="422"/>
        <w:spacing w:line="400" w:lineRule="exact"/>
        <w:rPr>
          <w:b/>
          <w:color w:val="auto"/>
          <w:highlight w:val="none"/>
        </w:rPr>
      </w:pPr>
      <w:r>
        <w:rPr>
          <w:b/>
          <w:color w:val="auto"/>
          <w:highlight w:val="none"/>
        </w:rPr>
        <w:t xml:space="preserve">合同金额</w:t>
      </w:r>
      <w:r/>
    </w:p>
    <w:p>
      <w:pPr>
        <w:ind w:firstLine="420"/>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ind w:firstLine="420"/>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þ</w:t>
      </w:r>
      <w:r>
        <w:rPr>
          <w:iCs/>
          <w:color w:val="auto"/>
          <w:highlight w:val="none"/>
        </w:rPr>
        <w:t xml:space="preserve">固定单价 </w:t>
      </w:r>
      <w:r>
        <w:rPr>
          <w:rFonts w:ascii="Wingdings" w:hAnsi="Wingdings" w:eastAsia="Wingdings" w:cs="Wingdings"/>
          <w:iCs/>
          <w:color w:val="auto"/>
          <w:highlight w:val="none"/>
        </w:rPr>
        <w:t xml:space="preserve">¨</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分期付款：</w:t>
      </w:r>
      <w:r>
        <w:rPr>
          <w:rFonts w:hint="eastAsia"/>
          <w:color w:val="auto"/>
          <w:highlight w:val="none"/>
          <w:u w:val="single"/>
        </w:rPr>
        <w:t xml:space="preserve">中标货物根据甲方要求送达甲方指定地点，以年度实际发货数量一次性结算余款</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w:t>
      </w:r>
      <w:r>
        <w:rPr>
          <w:rFonts w:hint="eastAsia"/>
          <w:color w:val="auto"/>
          <w:highlight w:val="none"/>
          <w:u w:val="single"/>
          <w:lang w:val="en-US" w:eastAsia="zh-CN"/>
        </w:rPr>
        <w:t xml:space="preserve">预算金额</w:t>
      </w:r>
      <w:r>
        <w:rPr>
          <w:color w:val="auto"/>
          <w:highlight w:val="none"/>
          <w:u w:val="single"/>
          <w:lang w:val="zh-CN"/>
        </w:rPr>
        <w:t xml:space="preserve">的30%</w:t>
      </w:r>
      <w:r>
        <w:rPr>
          <w:color w:val="auto"/>
          <w:highlight w:val="none"/>
          <w:u w:val="single"/>
        </w:rPr>
        <w:t xml:space="preserve"> </w:t>
      </w:r>
      <w:r>
        <w:rPr>
          <w:color w:val="auto"/>
          <w:highlight w:val="none"/>
        </w:rPr>
        <w:t xml:space="preserve">。</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（4）甲方根据乙方的实际供货数量按实结算，且不超过每分包总预算金额。</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ind w:firstLine="630"/>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5"/>
        </w:numPr>
        <w:ind w:firstLine="422"/>
        <w:spacing w:line="400" w:lineRule="exact"/>
        <w:rPr>
          <w:b/>
          <w:color w:val="auto"/>
          <w:highlight w:val="none"/>
          <w:u w:val="single"/>
        </w:rPr>
      </w:pPr>
      <w:r>
        <w:rPr>
          <w:b/>
          <w:color w:val="auto"/>
          <w:highlight w:val="none"/>
        </w:rPr>
        <w:t xml:space="preserve">合同履行</w:t>
      </w:r>
      <w:r/>
    </w:p>
    <w:p>
      <w:pPr>
        <w:ind w:firstLine="420"/>
        <w:spacing w:line="400" w:lineRule="exact"/>
        <w:rPr>
          <w:color w:val="auto"/>
          <w:highlight w:val="none"/>
        </w:rPr>
      </w:pPr>
      <w:r>
        <w:rPr>
          <w:color w:val="auto"/>
          <w:highlight w:val="none"/>
        </w:rPr>
        <w:t xml:space="preserve">（1）起始日期：</w:t>
      </w:r>
      <w:r>
        <w:rPr>
          <w:rFonts w:hint="eastAsia"/>
          <w:color w:val="auto"/>
          <w:highlight w:val="none"/>
          <w:u w:val="single"/>
          <w:lang w:val="en-US" w:eastAsia="zh-CN"/>
        </w:rPr>
        <w:t xml:space="preserve">自合同签订之日起一年</w:t>
      </w:r>
      <w:r>
        <w:rPr>
          <w:color w:val="auto"/>
          <w:highlight w:val="none"/>
        </w:rPr>
        <w:t xml:space="preserve">。</w:t>
      </w:r>
      <w:r/>
    </w:p>
    <w:p>
      <w:pPr>
        <w:ind w:firstLine="420"/>
        <w:spacing w:line="400" w:lineRule="exact"/>
        <w:rPr>
          <w:color w:val="auto"/>
          <w:highlight w:val="none"/>
          <w:u w:val="single"/>
        </w:rPr>
      </w:pPr>
      <w:r>
        <w:rPr>
          <w:color w:val="auto"/>
          <w:highlight w:val="none"/>
        </w:rPr>
        <w:t xml:space="preserve">（2）</w:t>
      </w:r>
      <w:r>
        <w:rPr>
          <w:rFonts w:hint="eastAsia"/>
          <w:color w:val="auto"/>
          <w:highlight w:val="none"/>
          <w:lang w:val="en-US" w:eastAsia="zh-CN"/>
        </w:rPr>
        <w:t xml:space="preserve">交货</w:t>
      </w:r>
      <w:r>
        <w:rPr>
          <w:color w:val="auto"/>
          <w:highlight w:val="none"/>
        </w:rPr>
        <w:t xml:space="preserve">地点</w:t>
      </w:r>
      <w:r>
        <w:rPr>
          <w:bCs/>
          <w:color w:val="auto"/>
          <w:highlight w:val="none"/>
        </w:rPr>
        <w:t xml:space="preserve">：</w:t>
      </w:r>
      <w:r>
        <w:rPr>
          <w:rFonts w:hint="eastAsia"/>
          <w:color w:val="auto"/>
          <w:highlight w:val="none"/>
          <w:u w:val="single"/>
          <w:lang w:val="en-US" w:eastAsia="zh-CN"/>
        </w:rPr>
        <w:t xml:space="preserve">收货方</w:t>
      </w:r>
      <w:r>
        <w:rPr>
          <w:color w:val="auto"/>
          <w:highlight w:val="none"/>
          <w:u w:val="single"/>
        </w:rPr>
        <w:t xml:space="preserve">指定地点 </w:t>
      </w:r>
      <w:r>
        <w:rPr>
          <w:color w:val="auto"/>
          <w:highlight w:val="none"/>
        </w:rPr>
        <w:t xml:space="preserve">。</w:t>
      </w:r>
      <w:r/>
    </w:p>
    <w:p>
      <w:pPr>
        <w:ind w:firstLine="420"/>
        <w:spacing w:line="400" w:lineRule="exact"/>
        <w:rPr>
          <w:color w:val="auto"/>
          <w:highlight w:val="non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w:t>
      </w:r>
      <w:r/>
    </w:p>
    <w:p>
      <w:pPr>
        <w:pStyle w:val="1253"/>
        <w:rPr>
          <w:rFonts w:ascii="Times New Roman" w:hAnsi="Times New Roman" w:eastAsia="宋体" w:cs="Times New Roman"/>
          <w:color w:val="auto"/>
          <w:sz w:val="21"/>
          <w:highlight w:val="none"/>
        </w:rPr>
      </w:pPr>
      <w:r>
        <w:rPr>
          <w:rFonts w:ascii="Times New Roman" w:hAnsi="Times New Roman" w:cs="Times New Roman"/>
          <w:bCs/>
          <w:color w:val="auto"/>
          <w:highlight w:val="none"/>
        </w:rPr>
        <w:t xml:space="preserve">  </w:t>
      </w:r>
      <w:r>
        <w:rPr>
          <w:rFonts w:ascii="Times New Roman" w:hAnsi="Times New Roman" w:eastAsia="宋体" w:cs="Times New Roman"/>
          <w:color w:val="auto"/>
          <w:sz w:val="21"/>
          <w:highlight w:val="none"/>
        </w:rPr>
        <w:t xml:space="preserve">  收取履约保证金形式：</w:t>
      </w:r>
      <w:r>
        <w:rPr>
          <w:rFonts w:ascii="Times New Roman" w:hAnsi="Times New Roman" w:eastAsia="宋体" w:cs="Times New Roman"/>
          <w:bCs/>
          <w:color w:val="auto"/>
          <w:sz w:val="21"/>
          <w:highlight w:val="none"/>
          <w:u w:val="single"/>
        </w:rPr>
        <w:t xml:space="preserve">                            </w:t>
      </w:r>
      <w:r/>
    </w:p>
    <w:p>
      <w:pPr>
        <w:pStyle w:val="1253"/>
        <w:ind w:firstLine="420"/>
        <w:rPr>
          <w:rFonts w:hint="default" w:ascii="Times New Roman" w:hAnsi="Times New Roman" w:eastAsia="宋体" w:cs="Times New Roman"/>
          <w:color w:val="auto"/>
          <w:sz w:val="21"/>
          <w:highlight w:val="none"/>
          <w:lang w:val="en-US"/>
        </w:rPr>
      </w:pPr>
      <w:r>
        <w:rPr>
          <w:rFonts w:ascii="Times New Roman" w:hAnsi="Times New Roman" w:eastAsia="宋体" w:cs="Times New Roman"/>
          <w:color w:val="auto"/>
          <w:sz w:val="21"/>
          <w:highlight w:val="none"/>
        </w:rPr>
        <w:t xml:space="preserve">    收取履约保证金金额：</w:t>
      </w:r>
      <w:r>
        <w:rPr>
          <w:rFonts w:hint="eastAsia" w:ascii="Times New Roman" w:hAnsi="Times New Roman" w:eastAsia="宋体" w:cs="Times New Roman"/>
          <w:color w:val="auto"/>
          <w:sz w:val="21"/>
          <w:highlight w:val="none"/>
          <w:u w:val="single"/>
          <w:lang w:val="en-US" w:eastAsia="zh-CN"/>
        </w:rPr>
        <w:t xml:space="preserve">                            </w:t>
      </w:r>
      <w:r/>
    </w:p>
    <w:p>
      <w:pPr>
        <w:ind w:firstLine="420"/>
        <w:spacing w:line="400" w:lineRule="exact"/>
        <w:rPr>
          <w:bCs/>
          <w:color w:val="auto"/>
          <w:highlight w:val="none"/>
          <w:u w:val="single"/>
        </w:rPr>
      </w:pPr>
      <w:r>
        <w:rPr>
          <w:bCs/>
          <w:color w:val="auto"/>
          <w:highlight w:val="none"/>
        </w:rPr>
        <w:t xml:space="preserve">    履约担保期限：</w:t>
      </w:r>
      <w:r>
        <w:rPr>
          <w:bCs/>
          <w:color w:val="auto"/>
          <w:highlight w:val="none"/>
          <w:u w:val="single"/>
        </w:rPr>
        <w:t xml:space="preserve">                                  </w:t>
      </w:r>
      <w:r/>
    </w:p>
    <w:p>
      <w:pPr>
        <w:numPr>
          <w:ilvl w:val="0"/>
          <w:numId w:val="6"/>
        </w:numPr>
        <w:ind w:firstLine="420"/>
        <w:spacing w:line="400" w:lineRule="exact"/>
        <w:rPr>
          <w:rFonts w:hint="eastAsia"/>
          <w:bCs/>
          <w:color w:val="auto"/>
          <w:highlight w:val="none"/>
          <w:u w:val="none"/>
          <w:lang w:val="en-US" w:eastAsia="zh-CN"/>
        </w:rPr>
      </w:pPr>
      <w:r>
        <w:rPr>
          <w:rFonts w:hint="eastAsia"/>
          <w:bCs/>
          <w:color w:val="auto"/>
          <w:highlight w:val="none"/>
          <w:u w:val="none"/>
          <w:lang w:eastAsia="zh-CN"/>
        </w:rPr>
        <w:t xml:space="preserve">交货时间：</w:t>
      </w:r>
      <w:r>
        <w:rPr>
          <w:rFonts w:hint="eastAsia"/>
          <w:bCs/>
          <w:color w:val="auto"/>
          <w:highlight w:val="none"/>
          <w:u w:val="single"/>
          <w:lang w:val="en-US" w:eastAsia="zh-CN"/>
        </w:rPr>
        <w:t xml:space="preserve">疫苗：接供货通知后五日内发货</w:t>
      </w:r>
      <w:r>
        <w:rPr>
          <w:rFonts w:hint="eastAsia"/>
          <w:bCs/>
          <w:color w:val="auto"/>
          <w:highlight w:val="none"/>
          <w:u w:val="none"/>
          <w:lang w:val="en-US" w:eastAsia="zh-CN"/>
        </w:rPr>
        <w:t xml:space="preserve">。</w:t>
      </w:r>
      <w:r/>
    </w:p>
    <w:p>
      <w:pPr>
        <w:numPr>
          <w:ilvl w:val="0"/>
          <w:numId w:val="6"/>
        </w:numPr>
        <w:ind w:firstLine="420"/>
        <w:spacing w:line="400" w:lineRule="exact"/>
        <w:rPr>
          <w:rFonts w:hint="default"/>
          <w:bCs/>
          <w:color w:val="auto"/>
          <w:highlight w:val="none"/>
          <w:u w:val="none"/>
          <w:lang w:val="en-US" w:eastAsia="zh-CN"/>
        </w:rPr>
      </w:pPr>
      <w:r>
        <w:rPr>
          <w:rFonts w:hint="default"/>
          <w:bCs/>
          <w:color w:val="auto"/>
          <w:highlight w:val="none"/>
          <w:u w:val="none"/>
          <w:lang w:val="en-US" w:eastAsia="zh-CN"/>
        </w:rPr>
        <w:t xml:space="preserve">交货方式：</w:t>
      </w:r>
      <w:r>
        <w:rPr>
          <w:rFonts w:hint="eastAsia"/>
          <w:bCs/>
          <w:color w:val="auto"/>
          <w:highlight w:val="none"/>
          <w:u w:val="single"/>
          <w:lang w:val="en-US" w:eastAsia="zh-CN"/>
        </w:rPr>
        <w:t xml:space="preserve">疫苗：</w:t>
      </w:r>
      <w:r>
        <w:rPr>
          <w:rFonts w:hint="default"/>
          <w:bCs/>
          <w:color w:val="auto"/>
          <w:highlight w:val="none"/>
          <w:u w:val="single"/>
          <w:lang w:val="en-US" w:eastAsia="zh-CN"/>
        </w:rPr>
        <w:t xml:space="preserve">按照各类疫苗的具体要求，采用冷链运输的交货方式，确保疫苗质量</w:t>
      </w:r>
      <w:r>
        <w:rPr>
          <w:rFonts w:hint="eastAsia"/>
          <w:bCs/>
          <w:color w:val="auto"/>
          <w:highlight w:val="none"/>
          <w:u w:val="none"/>
          <w:lang w:val="en-US" w:eastAsia="zh-CN"/>
        </w:rPr>
        <w:t xml:space="preserve">。</w:t>
      </w:r>
      <w:r/>
    </w:p>
    <w:p>
      <w:pPr>
        <w:numPr>
          <w:ilvl w:val="0"/>
          <w:numId w:val="5"/>
        </w:numPr>
        <w:ind w:firstLine="422"/>
        <w:spacing w:line="400" w:lineRule="exact"/>
        <w:rPr>
          <w:b/>
          <w:color w:val="auto"/>
          <w:highlight w:val="none"/>
        </w:rPr>
      </w:pPr>
      <w:r>
        <w:rPr>
          <w:b/>
          <w:color w:val="auto"/>
          <w:highlight w:val="none"/>
        </w:rPr>
        <w:t xml:space="preserve">合同验收</w:t>
      </w:r>
      <w:r/>
    </w:p>
    <w:p>
      <w:pPr>
        <w:numPr>
          <w:ilvl w:val="0"/>
          <w:numId w:val="7"/>
        </w:numPr>
        <w:ind w:firstLine="420"/>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þ</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rPr>
        <w:t xml:space="preserve">泗洪县畜牧兽医站</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ind w:firstLine="840"/>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ind w:firstLine="420"/>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ind w:firstLine="420"/>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þ</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w:t>
      </w:r>
      <w:r>
        <w:rPr>
          <w:bCs/>
          <w:color w:val="auto"/>
          <w:highlight w:val="none"/>
          <w:u w:val="single"/>
          <w:lang w:val="en"/>
        </w:rPr>
        <w:t xml:space="preserve">/分项验收的工作安排</w:t>
      </w:r>
      <w:r>
        <w:rPr>
          <w:bCs/>
          <w:color w:val="auto"/>
          <w:highlight w:val="none"/>
          <w:u w:val="single"/>
        </w:rPr>
        <w:t xml:space="preserve">）  </w:t>
      </w:r>
      <w:r/>
    </w:p>
    <w:p>
      <w:pPr>
        <w:numPr>
          <w:ilvl w:val="0"/>
          <w:numId w:val="8"/>
        </w:numPr>
        <w:ind w:firstLine="420"/>
        <w:spacing w:line="400" w:lineRule="exact"/>
        <w:rPr>
          <w:bCs/>
          <w:color w:val="auto"/>
          <w:highlight w:val="none"/>
        </w:rPr>
      </w:pPr>
      <w:r>
        <w:rPr>
          <w:bCs/>
          <w:color w:val="auto"/>
          <w:highlight w:val="none"/>
        </w:rPr>
        <w:t xml:space="preserve">履约验收程序：</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4.1甲方</w:t>
      </w:r>
      <w:r>
        <w:rPr>
          <w:rFonts w:hint="eastAsia" w:eastAsia="宋体"/>
          <w:color w:val="auto"/>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.2 乙方交货前应对产品作出全面检查和对验收文件进行整理，并列出清单，作为县用户收货验收和使用的技术条件依据，检验的结果应随货物交县用户。</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.3 乙方提供的货物，在</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使用前，需由乙方提供相关技术培训，并在使用的前三个月为</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提供必要的协助，直到符合有关要求，</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才做最终验收。</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.4 对技术复杂的货物，</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可申请国家认可的专业检测机构参与初步验收及最终验收，并由其出具质量检测报告。</w:t>
      </w:r>
      <w:r/>
    </w:p>
    <w:p>
      <w:pPr>
        <w:ind w:firstLine="420"/>
        <w:spacing w:line="400" w:lineRule="exact"/>
        <w:rPr>
          <w:rFonts w:hint="eastAsia" w:eastAsia="宋体"/>
          <w:color w:val="auto"/>
          <w:highlight w:val="none"/>
          <w:u w:val="none"/>
          <w:lang w:eastAsia="zh-CN"/>
        </w:rPr>
      </w:pPr>
      <w:r>
        <w:rPr>
          <w:rFonts w:hint="eastAsia"/>
          <w:color w:val="auto"/>
          <w:highlight w:val="none"/>
          <w:u w:val="none"/>
          <w:lang w:eastAsia="zh-CN"/>
        </w:rPr>
        <w:t xml:space="preserve">（</w:t>
      </w:r>
      <w:r>
        <w:rPr>
          <w:rFonts w:hint="eastAsia"/>
          <w:color w:val="auto"/>
          <w:highlight w:val="none"/>
          <w:u w:val="none"/>
          <w:lang w:val="en-US" w:eastAsia="zh-CN"/>
        </w:rPr>
        <w:t xml:space="preserve">5</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履约验收的内容:按照采购合同的约定对每一项技术、服务、安全标准的履约情况进行确认。</w:t>
      </w:r>
      <w:r/>
    </w:p>
    <w:p>
      <w:pPr>
        <w:pStyle w:val="1253"/>
        <w:ind w:firstLine="420"/>
        <w:rPr>
          <w:rFonts w:ascii="Times New Roman" w:hAnsi="Times New Roman" w:eastAsia="宋体" w:cs="Times New Roman"/>
          <w:bCs/>
          <w:color w:val="auto"/>
          <w:sz w:val="21"/>
          <w:highlight w:val="none"/>
          <w:u w:val="none"/>
        </w:rPr>
      </w:pPr>
      <w:r>
        <w:rPr>
          <w:rFonts w:hint="eastAsia"/>
          <w:color w:val="auto"/>
          <w:highlight w:val="none"/>
          <w:u w:val="none"/>
          <w:lang w:eastAsia="zh-CN"/>
        </w:rPr>
        <w:t xml:space="preserve">（</w:t>
      </w:r>
      <w:r>
        <w:rPr>
          <w:rFonts w:hint="eastAsia"/>
          <w:color w:val="auto"/>
          <w:highlight w:val="none"/>
          <w:u w:val="none"/>
          <w:lang w:val="en-US" w:eastAsia="zh-CN"/>
        </w:rPr>
        <w:t xml:space="preserve">6</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履约验收标准:依据招标文件上的技术规格要求和国家有关质量标准，同时服丛甲方安排要求。</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þ</w:t>
      </w:r>
      <w:r>
        <w:rPr>
          <w:rFonts w:ascii="Times New Roman" w:hAnsi="Times New Roman" w:eastAsia="宋体" w:cs="Times New Roman"/>
          <w:bCs/>
          <w:color w:val="auto"/>
          <w:sz w:val="21"/>
          <w:highlight w:val="none"/>
        </w:rPr>
        <w:t xml:space="preserve">否</w:t>
      </w:r>
      <w:r/>
    </w:p>
    <w:p>
      <w:pPr>
        <w:ind w:firstLine="420"/>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5"/>
        </w:numPr>
        <w:ind w:firstLine="422"/>
        <w:spacing w:line="400" w:lineRule="exact"/>
        <w:rPr>
          <w:b/>
          <w:color w:val="auto"/>
          <w:highlight w:val="none"/>
        </w:rPr>
      </w:pPr>
      <w:r>
        <w:rPr>
          <w:b/>
          <w:color w:val="auto"/>
          <w:highlight w:val="none"/>
        </w:rPr>
        <w:t xml:space="preserve">组成合同的文件</w:t>
      </w:r>
      <w:r/>
    </w:p>
    <w:p>
      <w:pPr>
        <w:ind w:firstLine="420"/>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ind w:firstLine="420"/>
        <w:spacing w:line="400" w:lineRule="exact"/>
        <w:rPr>
          <w:color w:val="auto"/>
          <w:highlight w:val="none"/>
        </w:rPr>
      </w:pPr>
      <w:r>
        <w:rPr>
          <w:color w:val="auto"/>
          <w:highlight w:val="none"/>
        </w:rPr>
        <w:t xml:space="preserve">（1）政府采购合同协议书及其变更、补充协议</w:t>
      </w:r>
      <w:r/>
    </w:p>
    <w:p>
      <w:pPr>
        <w:ind w:firstLine="420"/>
        <w:spacing w:line="400" w:lineRule="exact"/>
        <w:rPr>
          <w:color w:val="auto"/>
          <w:highlight w:val="none"/>
        </w:rPr>
      </w:pPr>
      <w:r>
        <w:rPr>
          <w:color w:val="auto"/>
          <w:highlight w:val="none"/>
        </w:rPr>
        <w:t xml:space="preserve">（2）政府采购合同专用条款</w:t>
      </w:r>
      <w:r/>
    </w:p>
    <w:p>
      <w:pPr>
        <w:ind w:firstLine="420"/>
        <w:spacing w:line="400" w:lineRule="exact"/>
        <w:rPr>
          <w:color w:val="auto"/>
          <w:highlight w:val="none"/>
        </w:rPr>
      </w:pPr>
      <w:r>
        <w:rPr>
          <w:color w:val="auto"/>
          <w:highlight w:val="none"/>
        </w:rPr>
        <w:t xml:space="preserve">（3）政府采购合同通用条款</w:t>
      </w:r>
      <w:r/>
    </w:p>
    <w:p>
      <w:pPr>
        <w:ind w:firstLine="420"/>
        <w:spacing w:line="400" w:lineRule="exact"/>
        <w:rPr>
          <w:color w:val="auto"/>
          <w:highlight w:val="none"/>
        </w:rPr>
      </w:pPr>
      <w:r>
        <w:rPr>
          <w:color w:val="auto"/>
          <w:highlight w:val="none"/>
        </w:rPr>
        <w:t xml:space="preserve">（4）中标（成交）通知书</w:t>
      </w:r>
      <w:r/>
    </w:p>
    <w:p>
      <w:pPr>
        <w:ind w:firstLine="420"/>
        <w:spacing w:line="400" w:lineRule="exact"/>
        <w:rPr>
          <w:color w:val="auto"/>
          <w:highlight w:val="none"/>
        </w:rPr>
      </w:pPr>
      <w:r>
        <w:rPr>
          <w:color w:val="auto"/>
          <w:highlight w:val="none"/>
        </w:rPr>
        <w:t xml:space="preserve">（5）投标（响应）文件</w:t>
      </w:r>
      <w:r/>
    </w:p>
    <w:p>
      <w:pPr>
        <w:ind w:firstLine="420"/>
        <w:spacing w:line="400" w:lineRule="exact"/>
        <w:rPr>
          <w:color w:val="auto"/>
          <w:highlight w:val="none"/>
        </w:rPr>
      </w:pPr>
      <w:r>
        <w:rPr>
          <w:color w:val="auto"/>
          <w:highlight w:val="none"/>
        </w:rPr>
        <w:t xml:space="preserve">（6）采购文件</w:t>
      </w:r>
      <w:r/>
    </w:p>
    <w:p>
      <w:pPr>
        <w:ind w:firstLine="420"/>
        <w:spacing w:line="400" w:lineRule="exact"/>
        <w:rPr>
          <w:color w:val="auto"/>
          <w:highlight w:val="none"/>
        </w:rPr>
      </w:pPr>
      <w:r>
        <w:rPr>
          <w:color w:val="auto"/>
          <w:highlight w:val="none"/>
        </w:rPr>
        <w:t xml:space="preserve">（7）有关技术文件，图纸</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5"/>
        </w:numPr>
        <w:ind w:firstLine="422"/>
        <w:spacing w:line="400" w:lineRule="exact"/>
        <w:rPr>
          <w:b/>
          <w:color w:val="auto"/>
          <w:highlight w:val="none"/>
        </w:rPr>
      </w:pPr>
      <w:r>
        <w:rPr>
          <w:b/>
          <w:color w:val="auto"/>
          <w:highlight w:val="none"/>
        </w:rPr>
        <w:t xml:space="preserve">合同生效</w:t>
      </w:r>
      <w:r/>
    </w:p>
    <w:p>
      <w:pPr>
        <w:ind w:firstLine="420"/>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5"/>
        </w:numPr>
        <w:ind w:firstLine="422"/>
        <w:spacing w:line="400" w:lineRule="exact"/>
        <w:rPr>
          <w:b/>
          <w:color w:val="auto"/>
          <w:highlight w:val="none"/>
        </w:rPr>
      </w:pPr>
      <w:r>
        <w:rPr>
          <w:b/>
          <w:color w:val="auto"/>
          <w:highlight w:val="none"/>
        </w:rPr>
        <w:t xml:space="preserve">合同份数</w:t>
      </w:r>
      <w:r/>
    </w:p>
    <w:p>
      <w:pPr>
        <w:ind w:firstLine="420"/>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ind w:firstLine="420"/>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ind w:firstLine="420"/>
        <w:spacing w:line="400" w:lineRule="exact"/>
        <w:rPr>
          <w:color w:val="auto"/>
          <w:highlight w:val="none"/>
        </w:rPr>
      </w:pPr>
      <w:r>
        <w:rPr>
          <w:color w:val="auto"/>
          <w:highlight w:val="none"/>
        </w:rPr>
        <w:t xml:space="preserve">附件：具体标的及其技术要求和商务要求、联合协议、分包意向协议等。</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pStyle w:val="901"/>
        <w:spacing w:line="400" w:lineRule="exact"/>
        <w:rPr>
          <w:rFonts w:ascii="Times New Roman" w:hAnsi="Times New Roman" w:cs="Times New Roman"/>
          <w:color w:val="auto"/>
          <w:sz w:val="21"/>
          <w:highlight w:val="none"/>
        </w:rPr>
      </w:pPr>
      <w:r>
        <w:rPr>
          <w:rFonts w:ascii="Times New Roman" w:hAnsi="Times New Roman" w:cs="Times New Roman"/>
          <w:color w:val="auto"/>
          <w:highlight w:val="none"/>
          <w:lang w:val="en"/>
        </w:rPr>
        <w:t xml:space="preserve">   </w:t>
      </w:r>
      <w:r/>
    </w:p>
    <w:p>
      <w:pPr>
        <w:rPr>
          <w:color w:val="auto"/>
          <w:highlight w:val="none"/>
        </w:rPr>
      </w:pPr>
      <w:r>
        <w:rPr>
          <w:color w:val="auto"/>
          <w:highlight w:val="none"/>
        </w:rPr>
        <w:br w:type="page" w:clear="all"/>
      </w:r>
      <w:r/>
    </w:p>
    <w:p>
      <w:pPr>
        <w:pStyle w:val="1167"/>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9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rFonts w:hint="eastAsia"/>
                <w:color w:val="auto"/>
                <w:highlight w:val="none"/>
              </w:rPr>
              <w:t xml:space="preserve">泗洪县畜牧兽医站</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918"/>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901"/>
        <w:jc w:val="center"/>
        <w:spacing w:before="120"/>
        <w:rPr>
          <w:rFonts w:ascii="Times New Roman" w:hAnsi="Times New Roman" w:eastAsia="黑体" w:cs="Times New Roman"/>
          <w:color w:val="auto"/>
          <w:sz w:val="28"/>
          <w:szCs w:val="28"/>
          <w:highlight w:val="none"/>
        </w:rPr>
      </w:pPr>
      <w:r>
        <w:rPr>
          <w:rFonts w:ascii="Times New Roman" w:hAnsi="Times New Roman" w:cs="Times New Roman"/>
          <w:color w:val="auto"/>
          <w:sz w:val="21"/>
          <w:highlight w:val="none"/>
          <w:u w:val="single"/>
        </w:rPr>
        <w:br w:type="page" w:clear="all"/>
      </w:r>
      <w:bookmarkStart w:id="197" w:name="_Toc27624"/>
      <w:r>
        <w:rPr>
          <w:rFonts w:ascii="Times New Roman" w:hAnsi="Times New Roman" w:eastAsia="黑体" w:cs="Times New Roman"/>
          <w:color w:val="auto"/>
          <w:sz w:val="28"/>
          <w:szCs w:val="28"/>
          <w:highlight w:val="none"/>
        </w:rPr>
        <w:t xml:space="preserve">第二节 政府采购合同通用条款</w:t>
      </w:r>
      <w:bookmarkEnd w:id="197"/>
      <w:r/>
      <w:r/>
    </w:p>
    <w:p>
      <w:pPr>
        <w:jc w:val="left"/>
        <w:spacing w:line="400" w:lineRule="exact"/>
        <w:tabs>
          <w:tab w:val="left" w:pos="8820" w:leader="none"/>
          <w:tab w:val="left" w:pos="9345" w:leader="none"/>
          <w:tab w:val="left" w:pos="9765" w:leader="none"/>
        </w:tabs>
        <w:rPr>
          <w:b/>
          <w:bCs/>
          <w:color w:val="auto"/>
          <w:sz w:val="24"/>
          <w:highlight w:val="none"/>
        </w:rPr>
      </w:pPr>
      <w:r>
        <w:rPr>
          <w:b/>
          <w:color w:val="auto"/>
          <w:sz w:val="24"/>
          <w:highlight w:val="none"/>
        </w:rPr>
        <w:t xml:space="preserve">1. </w:t>
      </w:r>
      <w:r>
        <w:rPr>
          <w:b/>
          <w:bCs/>
          <w:color w:val="auto"/>
          <w:sz w:val="24"/>
          <w:highlight w:val="none"/>
        </w:rPr>
        <w:t xml:space="preserve">定义</w:t>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w:t>
      </w:r>
      <w:r>
        <w:rPr>
          <w:color w:val="auto"/>
          <w:highlight w:val="none"/>
          <w:lang w:val="en"/>
        </w:rPr>
        <w:t xml:space="preserve">其他</w:t>
      </w:r>
      <w:r>
        <w:rPr>
          <w:color w:val="auto"/>
          <w:highlight w:val="none"/>
        </w:rPr>
        <w:t xml:space="preserve">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w:t>
      </w:r>
      <w:r>
        <w:rPr>
          <w:color w:val="auto"/>
          <w:highlight w:val="none"/>
          <w:lang w:val="en"/>
        </w:rPr>
        <w:t xml:space="preserve">其他</w:t>
      </w:r>
      <w:r>
        <w:rPr>
          <w:color w:val="auto"/>
          <w:highlight w:val="none"/>
        </w:rPr>
        <w:t xml:space="preserve">服务，包括但不限于：管理和质量保证、运输、保险、检验、现场准备、安装、集成、调试、培训、维修、废弃处置、技术支持等以及合同中规定乙方应承担的</w:t>
      </w:r>
      <w:r>
        <w:rPr>
          <w:color w:val="auto"/>
          <w:highlight w:val="none"/>
          <w:lang w:val="en"/>
        </w:rPr>
        <w:t xml:space="preserve">其他</w:t>
      </w:r>
      <w:r>
        <w:rPr>
          <w:color w:val="auto"/>
          <w:highlight w:val="none"/>
        </w:rPr>
        <w:t xml:space="preserve">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9"/>
        </w:numPr>
        <w:jc w:val="left"/>
        <w:spacing w:line="400" w:lineRule="exact"/>
        <w:rPr>
          <w:b/>
          <w:bCs/>
          <w:color w:val="auto"/>
          <w:sz w:val="24"/>
          <w:highlight w:val="none"/>
        </w:rPr>
      </w:pPr>
      <w:r>
        <w:rPr>
          <w:b/>
          <w:color w:val="auto"/>
          <w:sz w:val="24"/>
          <w:highlight w:val="none"/>
        </w:rPr>
        <w:t xml:space="preserve">合同标的及金额</w:t>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w:t>
      </w:r>
      <w:r>
        <w:rPr>
          <w:color w:val="auto"/>
          <w:highlight w:val="none"/>
          <w:lang w:val="en"/>
        </w:rPr>
        <w:t xml:space="preserve">其他</w:t>
      </w:r>
      <w:r>
        <w:rPr>
          <w:color w:val="auto"/>
          <w:highlight w:val="none"/>
        </w:rPr>
        <w:t xml:space="preserve">任何费用。</w:t>
      </w:r>
      <w:r/>
    </w:p>
    <w:p>
      <w:pPr>
        <w:jc w:val="left"/>
        <w:spacing w:line="400" w:lineRule="exact"/>
        <w:rPr>
          <w:b/>
          <w:color w:val="auto"/>
          <w:sz w:val="24"/>
          <w:highlight w:val="none"/>
        </w:rPr>
      </w:pPr>
      <w:r>
        <w:rPr>
          <w:b/>
          <w:color w:val="auto"/>
          <w:sz w:val="24"/>
          <w:highlight w:val="none"/>
        </w:rPr>
        <w:t xml:space="preserve">3. 履行合同的时间、地点和方式</w:t>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pPr>
      <w:r>
        <w:rPr>
          <w:b/>
          <w:bCs/>
          <w:color w:val="auto"/>
          <w:sz w:val="24"/>
          <w:highlight w:val="none"/>
        </w:rPr>
        <w:t xml:space="preserve">4. 甲方的权利和义务</w:t>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pPr>
      <w:r>
        <w:rPr>
          <w:b/>
          <w:bCs/>
          <w:color w:val="auto"/>
          <w:sz w:val="24"/>
          <w:highlight w:val="none"/>
        </w:rPr>
        <w:t xml:space="preserve">5. 乙方的权利和义务</w:t>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10"/>
        </w:numPr>
        <w:jc w:val="left"/>
        <w:spacing w:line="400" w:lineRule="exact"/>
        <w:rPr>
          <w:b/>
          <w:bCs/>
          <w:color w:val="auto"/>
          <w:sz w:val="24"/>
          <w:highlight w:val="none"/>
        </w:rPr>
      </w:pPr>
      <w:r>
        <w:rPr>
          <w:b/>
          <w:bCs/>
          <w:color w:val="auto"/>
          <w:sz w:val="24"/>
          <w:highlight w:val="none"/>
        </w:rPr>
        <w:t xml:space="preserve">合同履行</w:t>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pPr>
      <w:r>
        <w:rPr>
          <w:b/>
          <w:bCs/>
          <w:color w:val="auto"/>
          <w:sz w:val="24"/>
          <w:highlight w:val="none"/>
        </w:rPr>
        <w:t xml:space="preserve">7. 货物包装、运输、保险和交付要求</w:t>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pPr>
      <w:r>
        <w:rPr>
          <w:b/>
          <w:color w:val="auto"/>
          <w:sz w:val="24"/>
          <w:highlight w:val="none"/>
        </w:rPr>
        <w:t xml:space="preserve">8. 质量标准和保证</w:t>
      </w:r>
      <w:r/>
    </w:p>
    <w:p>
      <w:pPr>
        <w:pStyle w:val="921"/>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pPr>
      <w:r>
        <w:rPr>
          <w:b/>
          <w:bCs/>
          <w:color w:val="auto"/>
          <w:sz w:val="24"/>
          <w:highlight w:val="none"/>
        </w:rPr>
        <w:t xml:space="preserve">9. 权利瑕疵担保</w:t>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pPr>
      <w:r>
        <w:rPr>
          <w:b/>
          <w:bCs/>
          <w:color w:val="auto"/>
          <w:sz w:val="24"/>
          <w:highlight w:val="none"/>
        </w:rPr>
        <w:t xml:space="preserve">10. 知识产权保护</w:t>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198"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98"/>
      <w:r>
        <w:rPr>
          <w:color w:val="auto"/>
          <w:highlight w:val="none"/>
        </w:rPr>
        <w:t xml:space="preserve">。</w:t>
      </w:r>
      <w:r/>
    </w:p>
    <w:p>
      <w:pPr>
        <w:jc w:val="left"/>
        <w:spacing w:line="400" w:lineRule="exact"/>
        <w:rPr>
          <w:b/>
          <w:bCs/>
          <w:color w:val="auto"/>
          <w:sz w:val="24"/>
          <w:highlight w:val="none"/>
        </w:rPr>
      </w:pPr>
      <w:r>
        <w:rPr>
          <w:b/>
          <w:bCs/>
          <w:color w:val="auto"/>
          <w:sz w:val="24"/>
          <w:highlight w:val="none"/>
        </w:rPr>
        <w:t xml:space="preserve">11. 保密义务</w:t>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pPr>
      <w:r>
        <w:rPr>
          <w:b/>
          <w:bCs/>
          <w:color w:val="auto"/>
          <w:sz w:val="24"/>
          <w:highlight w:val="none"/>
        </w:rPr>
        <w:t xml:space="preserve">12. 合同价款支付</w:t>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917"/>
        <w:spacing w:line="400" w:lineRule="exact"/>
        <w:rPr>
          <w:rFonts w:ascii="Times New Roman" w:eastAsia="宋体"/>
          <w:b/>
          <w:bCs/>
          <w:color w:val="auto"/>
          <w:sz w:val="24"/>
          <w:highlight w:val="none"/>
        </w:rPr>
      </w:pPr>
      <w:r>
        <w:rPr>
          <w:rFonts w:ascii="Times New Roman" w:eastAsia="宋体"/>
          <w:b/>
          <w:bCs/>
          <w:color w:val="auto"/>
          <w:sz w:val="24"/>
          <w:highlight w:val="none"/>
        </w:rPr>
        <w:t xml:space="preserve">13. 履约保证金</w:t>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pPr>
      <w:r>
        <w:rPr>
          <w:b/>
          <w:bCs/>
          <w:color w:val="auto"/>
          <w:sz w:val="24"/>
          <w:highlight w:val="none"/>
        </w:rPr>
        <w:t xml:space="preserve">14. </w:t>
      </w:r>
      <w:r>
        <w:rPr>
          <w:b/>
          <w:color w:val="auto"/>
          <w:sz w:val="24"/>
          <w:highlight w:val="none"/>
        </w:rPr>
        <w:t xml:space="preserve">售后服务</w:t>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pPr>
      <w:r>
        <w:rPr>
          <w:b/>
          <w:bCs/>
          <w:color w:val="auto"/>
          <w:sz w:val="24"/>
          <w:highlight w:val="none"/>
        </w:rPr>
        <w:t xml:space="preserve">15. 违约责任</w:t>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1"/>
        </w:numPr>
        <w:jc w:val="left"/>
        <w:spacing w:line="400" w:lineRule="exact"/>
        <w:rPr>
          <w:b/>
          <w:color w:val="auto"/>
          <w:sz w:val="24"/>
          <w:highlight w:val="none"/>
        </w:rPr>
      </w:pPr>
      <w:r>
        <w:rPr>
          <w:b/>
          <w:color w:val="auto"/>
          <w:sz w:val="24"/>
          <w:highlight w:val="none"/>
        </w:rPr>
        <w:t xml:space="preserve">合同变更、中止与终止</w:t>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pPr>
      <w:r>
        <w:rPr>
          <w:b/>
          <w:bCs/>
          <w:color w:val="auto"/>
          <w:sz w:val="24"/>
          <w:highlight w:val="none"/>
        </w:rPr>
        <w:t xml:space="preserve">17. 合同分包</w:t>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pPr>
      <w:r>
        <w:rPr>
          <w:b/>
          <w:bCs/>
          <w:color w:val="auto"/>
          <w:sz w:val="24"/>
          <w:highlight w:val="none"/>
        </w:rPr>
        <w:t xml:space="preserve">18. 不可抗力</w:t>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pPr>
      <w:r>
        <w:rPr>
          <w:b/>
          <w:bCs/>
          <w:color w:val="auto"/>
          <w:sz w:val="24"/>
          <w:highlight w:val="none"/>
        </w:rPr>
        <w:t xml:space="preserve">19. 解决争议的方法</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pPr>
      <w:r>
        <w:rPr>
          <w:b/>
          <w:color w:val="auto"/>
          <w:sz w:val="24"/>
          <w:highlight w:val="none"/>
        </w:rPr>
        <w:t xml:space="preserve">20. 政府采购政策</w:t>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917"/>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pPr>
      <w:r>
        <w:rPr>
          <w:b/>
          <w:color w:val="auto"/>
          <w:sz w:val="24"/>
          <w:highlight w:val="none"/>
        </w:rPr>
        <w:t xml:space="preserve">21. 法律适用</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b/>
          <w:color w:val="auto"/>
          <w:sz w:val="24"/>
          <w:highlight w:val="none"/>
        </w:rPr>
      </w:pPr>
      <w:r>
        <w:rPr>
          <w:b/>
          <w:color w:val="auto"/>
          <w:sz w:val="24"/>
          <w:highlight w:val="none"/>
        </w:rPr>
        <w:t xml:space="preserve">22. 通知</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53"/>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2"/>
        </w:numPr>
        <w:jc w:val="left"/>
        <w:spacing w:line="400" w:lineRule="exact"/>
        <w:rPr>
          <w:b/>
          <w:bCs/>
          <w:color w:val="auto"/>
          <w:sz w:val="24"/>
          <w:highlight w:val="none"/>
        </w:rPr>
      </w:pPr>
      <w:r>
        <w:rPr>
          <w:b/>
          <w:bCs/>
          <w:color w:val="auto"/>
          <w:sz w:val="24"/>
          <w:highlight w:val="none"/>
        </w:rPr>
        <w:t xml:space="preserve">合同未尽事项</w:t>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199"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901"/>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 xml:space="preserve">第三节 政府采购合同专用条款</w:t>
      </w:r>
      <w:bookmarkEnd w:id="199"/>
      <w:r/>
      <w:r/>
    </w:p>
    <w:tbl>
      <w:tblPr>
        <w:tblStyle w:val="910"/>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1742" w:type="dxa"/>
            <w:vAlign w:val="center"/>
            <w:textDirection w:val="lrTb"/>
            <w:noWrap w:val="false"/>
          </w:tcPr>
          <w:p>
            <w:pPr>
              <w:jc w:val="left"/>
              <w:rPr>
                <w:color w:val="auto"/>
                <w:highlight w:val="none"/>
              </w:rPr>
            </w:pPr>
            <w:r>
              <w:rPr>
                <w:color w:val="auto"/>
                <w:highlight w:val="none"/>
              </w:rPr>
              <w:t xml:space="preserve">联合体具体要求</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0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1742" w:type="dxa"/>
            <w:vAlign w:val="center"/>
            <w:textDirection w:val="lrTb"/>
            <w:noWrap w:val="false"/>
          </w:tcPr>
          <w:p>
            <w:pPr>
              <w:jc w:val="left"/>
              <w:rPr>
                <w:color w:val="auto"/>
                <w:highlight w:val="none"/>
              </w:rPr>
            </w:pPr>
            <w:r>
              <w:rPr>
                <w:color w:val="auto"/>
                <w:highlight w:val="none"/>
              </w:rPr>
              <w:t xml:space="preserve">其他术语解释</w:t>
            </w:r>
            <w:r/>
          </w:p>
        </w:tc>
        <w:tc>
          <w:tcPr>
            <w:tcW w:w="5634" w:type="dxa"/>
            <w:vAlign w:val="center"/>
            <w:textDirection w:val="lrTb"/>
            <w:noWrap w:val="false"/>
          </w:tcPr>
          <w:p>
            <w:pPr>
              <w:ind w:firstLine="420"/>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1742" w:type="dxa"/>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5634" w:type="dxa"/>
            <w:vAlign w:val="center"/>
            <w:textDirection w:val="lrTb"/>
            <w:noWrap w:val="false"/>
          </w:tcPr>
          <w:p>
            <w:pPr>
              <w:ind w:firstLine="420"/>
              <w:jc w:val="left"/>
              <w:rPr>
                <w:color w:val="auto"/>
                <w:highlight w:val="none"/>
              </w:rPr>
            </w:pPr>
            <w:r>
              <w:rPr>
                <w:color w:val="auto"/>
                <w:highlight w:val="none"/>
              </w:rPr>
              <w:t xml:space="preserve">履约验收中甲方提出异议的期限：3个工作日。</w:t>
            </w:r>
            <w:r/>
          </w:p>
          <w:p>
            <w:pPr>
              <w:pStyle w:val="1253"/>
              <w:ind w:firstLine="42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1742" w:type="dxa"/>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1742" w:type="dxa"/>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1742" w:type="dxa"/>
            <w:vAlign w:val="center"/>
            <w:textDirection w:val="lrTb"/>
            <w:noWrap w:val="false"/>
          </w:tcPr>
          <w:p>
            <w:pPr>
              <w:jc w:val="left"/>
              <w:rPr>
                <w:color w:val="auto"/>
                <w:highlight w:val="none"/>
              </w:rPr>
            </w:pPr>
            <w:r>
              <w:rPr>
                <w:color w:val="auto"/>
                <w:highlight w:val="none"/>
              </w:rPr>
              <w:t xml:space="preserve">履行合同义务的顺序</w:t>
            </w:r>
            <w:r/>
          </w:p>
        </w:tc>
        <w:tc>
          <w:tcPr>
            <w:tcW w:w="5634" w:type="dxa"/>
            <w:vAlign w:val="center"/>
            <w:textDirection w:val="lrTb"/>
            <w:noWrap w:val="false"/>
          </w:tcPr>
          <w:p>
            <w:pPr>
              <w:ind w:firstLine="420"/>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1607" w:type="dxa"/>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1742" w:type="dxa"/>
            <w:vAlign w:val="center"/>
            <w:textDirection w:val="lrTb"/>
            <w:noWrap w:val="false"/>
          </w:tcPr>
          <w:p>
            <w:pPr>
              <w:jc w:val="left"/>
              <w:rPr>
                <w:color w:val="auto"/>
                <w:highlight w:val="none"/>
              </w:rPr>
            </w:pPr>
            <w:r>
              <w:rPr>
                <w:color w:val="auto"/>
                <w:highlight w:val="none"/>
              </w:rPr>
              <w:t xml:space="preserve">包装特殊要求</w:t>
            </w:r>
            <w:r/>
          </w:p>
        </w:tc>
        <w:tc>
          <w:tcPr>
            <w:tcW w:w="5634" w:type="dxa"/>
            <w:vAlign w:val="center"/>
            <w:textDirection w:val="lrTb"/>
            <w:noWrap w:val="false"/>
          </w:tcPr>
          <w:p>
            <w:pPr>
              <w:ind w:firstLine="420"/>
              <w:rPr>
                <w:rFonts w:hint="eastAsia"/>
                <w:color w:val="auto"/>
                <w:highlight w:val="none"/>
                <w:u w:val="none"/>
              </w:rPr>
            </w:pPr>
            <w:r>
              <w:rPr>
                <w:rFonts w:hint="eastAsia"/>
                <w:color w:val="auto"/>
                <w:highlight w:val="none"/>
                <w:u w:val="none"/>
              </w:rPr>
              <w:t xml:space="preserve">商品包装、快递包装政府采购需求标准</w:t>
            </w:r>
            <w:r/>
          </w:p>
          <w:p>
            <w:pPr>
              <w:ind w:firstLine="420"/>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rPr>
                <w:rFonts w:hint="eastAsia"/>
                <w:color w:val="auto"/>
                <w:highlight w:val="none"/>
                <w:u w:val="none"/>
              </w:rPr>
            </w:pPr>
            <w:r>
              <w:rPr>
                <w:rFonts w:hint="eastAsia"/>
                <w:color w:val="auto"/>
                <w:highlight w:val="none"/>
                <w:u w:val="none"/>
              </w:rPr>
              <w:t xml:space="preserve">（1）商品包装层数不得超过 3 层，空隙率不大于 40%； </w:t>
            </w:r>
            <w:r/>
          </w:p>
          <w:p>
            <w:pPr>
              <w:ind w:firstLine="420"/>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ind w:firstLine="420"/>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rPr>
                <w:rFonts w:hint="eastAsia"/>
                <w:color w:val="auto"/>
                <w:highlight w:val="none"/>
                <w:u w:val="none"/>
              </w:rPr>
            </w:pPr>
            <w:r>
              <w:rPr>
                <w:rFonts w:hint="eastAsia"/>
                <w:color w:val="auto"/>
                <w:highlight w:val="none"/>
                <w:u w:val="none"/>
              </w:rPr>
              <w:t xml:space="preserve">（8）快递中应使用幅宽不大于45mm 的生物降解胶带；</w:t>
            </w:r>
            <w:r/>
          </w:p>
          <w:p>
            <w:pPr>
              <w:ind w:firstLine="420"/>
              <w:rPr>
                <w:rFonts w:hint="eastAsia"/>
                <w:color w:val="auto"/>
                <w:highlight w:val="none"/>
                <w:u w:val="none"/>
              </w:rPr>
            </w:pPr>
            <w:r>
              <w:rPr>
                <w:rFonts w:hint="eastAsia"/>
                <w:color w:val="auto"/>
                <w:highlight w:val="none"/>
                <w:u w:val="none"/>
              </w:rPr>
              <w:t xml:space="preserve">（9）快递包装中不得使用溶剂型胶粘剂；</w:t>
            </w:r>
            <w:r/>
          </w:p>
          <w:p>
            <w:pPr>
              <w:ind w:firstLine="420"/>
              <w:rPr>
                <w:rFonts w:hint="eastAsia"/>
                <w:color w:val="auto"/>
                <w:highlight w:val="none"/>
                <w:u w:val="none"/>
              </w:rPr>
            </w:pPr>
            <w:r>
              <w:rPr>
                <w:rFonts w:hint="eastAsia"/>
                <w:color w:val="auto"/>
                <w:highlight w:val="none"/>
                <w:u w:val="none"/>
              </w:rPr>
              <w:t xml:space="preserve">（10）快递应使用电子面单；</w:t>
            </w:r>
            <w:r/>
          </w:p>
          <w:p>
            <w:pPr>
              <w:ind w:firstLine="420"/>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color w:val="auto"/>
                <w:highlight w:val="none"/>
              </w:rPr>
            </w:pPr>
            <w:r>
              <w:rPr>
                <w:color w:val="auto"/>
                <w:highlight w:val="none"/>
              </w:rPr>
            </w:r>
            <w:r/>
          </w:p>
        </w:tc>
        <w:tc>
          <w:tcPr>
            <w:tcW w:w="1742" w:type="dxa"/>
            <w:vAlign w:val="center"/>
            <w:textDirection w:val="lrTb"/>
            <w:noWrap w:val="false"/>
          </w:tcPr>
          <w:p>
            <w:pPr>
              <w:jc w:val="left"/>
              <w:rPr>
                <w:color w:val="auto"/>
                <w:highlight w:val="none"/>
              </w:rPr>
            </w:pPr>
            <w:r>
              <w:rPr>
                <w:color w:val="auto"/>
                <w:highlight w:val="none"/>
              </w:rPr>
              <w:t xml:space="preserve">指定现场</w:t>
            </w:r>
            <w:r/>
          </w:p>
        </w:tc>
        <w:tc>
          <w:tcPr>
            <w:tcW w:w="5634" w:type="dxa"/>
            <w:vAlign w:val="center"/>
            <w:textDirection w:val="lrTb"/>
            <w:noWrap w:val="false"/>
          </w:tcPr>
          <w:p>
            <w:pPr>
              <w:ind w:firstLine="420"/>
              <w:rPr>
                <w:color w:val="auto"/>
                <w:highlight w:val="none"/>
              </w:rPr>
            </w:pPr>
            <w:r>
              <w:rPr>
                <w:color w:val="auto"/>
                <w:highlight w:val="none"/>
              </w:rPr>
              <w:t xml:space="preserve">甲方指定地点。</w:t>
            </w:r>
            <w:r/>
          </w:p>
        </w:tc>
      </w:tr>
      <w:tr>
        <w:trPr>
          <w:trHeight w:val="772"/>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1742" w:type="dxa"/>
            <w:vAlign w:val="center"/>
            <w:textDirection w:val="lrTb"/>
            <w:noWrap w:val="false"/>
          </w:tcPr>
          <w:p>
            <w:pPr>
              <w:jc w:val="left"/>
              <w:rPr>
                <w:color w:val="auto"/>
                <w:highlight w:val="none"/>
              </w:rPr>
            </w:pPr>
            <w:r>
              <w:rPr>
                <w:color w:val="auto"/>
                <w:highlight w:val="none"/>
              </w:rPr>
              <w:t xml:space="preserve">运输特殊要求</w:t>
            </w:r>
            <w:r/>
          </w:p>
        </w:tc>
        <w:tc>
          <w:tcPr>
            <w:tcW w:w="5634" w:type="dxa"/>
            <w:vAlign w:val="center"/>
            <w:textDirection w:val="lrTb"/>
            <w:noWrap w:val="false"/>
          </w:tcPr>
          <w:p>
            <w:pPr>
              <w:ind w:firstLine="420"/>
              <w:rPr>
                <w:color w:val="auto"/>
                <w:highlight w:val="none"/>
              </w:rPr>
            </w:pPr>
            <w:r>
              <w:rPr>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1742" w:type="dxa"/>
            <w:vAlign w:val="center"/>
            <w:textDirection w:val="lrTb"/>
            <w:noWrap w:val="false"/>
          </w:tcPr>
          <w:p>
            <w:pPr>
              <w:jc w:val="left"/>
              <w:rPr>
                <w:color w:val="auto"/>
                <w:highlight w:val="none"/>
              </w:rPr>
            </w:pPr>
            <w:r>
              <w:rPr>
                <w:color w:val="auto"/>
                <w:highlight w:val="none"/>
              </w:rPr>
              <w:t xml:space="preserve">保险要求</w:t>
            </w:r>
            <w:r/>
          </w:p>
        </w:tc>
        <w:tc>
          <w:tcPr>
            <w:tcW w:w="5634" w:type="dxa"/>
            <w:vAlign w:val="center"/>
            <w:textDirection w:val="lrTb"/>
            <w:noWrap w:val="false"/>
          </w:tcPr>
          <w:p>
            <w:pPr>
              <w:ind w:firstLine="420"/>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1742" w:type="dxa"/>
            <w:vAlign w:val="center"/>
            <w:textDirection w:val="lrTb"/>
            <w:noWrap w:val="false"/>
          </w:tcPr>
          <w:p>
            <w:pPr>
              <w:jc w:val="left"/>
              <w:rPr>
                <w:color w:val="auto"/>
                <w:highlight w:val="none"/>
              </w:rPr>
            </w:pPr>
            <w:r>
              <w:rPr>
                <w:color w:val="auto"/>
                <w:highlight w:val="none"/>
              </w:rPr>
              <w:t xml:space="preserve">质量保证期</w:t>
            </w:r>
            <w:r/>
          </w:p>
        </w:tc>
        <w:tc>
          <w:tcPr>
            <w:tcW w:w="5634" w:type="dxa"/>
            <w:vAlign w:val="center"/>
            <w:textDirection w:val="lrTb"/>
            <w:noWrap w:val="false"/>
          </w:tcPr>
          <w:p>
            <w:pPr>
              <w:numPr>
                <w:ilvl w:val="0"/>
                <w:numId w:val="0"/>
              </w:numPr>
              <w:jc w:val="left"/>
              <w:rPr>
                <w:rFonts w:hint="eastAsia"/>
                <w:color w:val="auto"/>
                <w:highlight w:val="none"/>
                <w:lang w:val="en-US" w:eastAsia="zh-CN"/>
              </w:rPr>
            </w:pPr>
            <w:r>
              <w:rPr>
                <w:rFonts w:hint="eastAsia"/>
                <w:color w:val="auto"/>
                <w:highlight w:val="none"/>
                <w:lang w:val="en-US" w:eastAsia="zh-CN"/>
              </w:rPr>
              <w:t xml:space="preserve">1、疫苗：产品最终交到采购人的有效期在7个月（疫苗有效期为12个月的）和11个月（疫苗有效期为18个月的）以上（自交货验收合格之日起计）。</w:t>
            </w:r>
            <w:r/>
          </w:p>
        </w:tc>
      </w:tr>
      <w:tr>
        <w:trPr>
          <w:trHeight w:val="9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1742" w:type="dxa"/>
            <w:vAlign w:val="center"/>
            <w:textDirection w:val="lrTb"/>
            <w:noWrap w:val="false"/>
          </w:tcPr>
          <w:p>
            <w:pPr>
              <w:jc w:val="left"/>
              <w:rPr>
                <w:color w:val="auto"/>
                <w:highlight w:val="none"/>
              </w:rPr>
            </w:pPr>
            <w:r>
              <w:rPr>
                <w:color w:val="auto"/>
                <w:highlight w:val="none"/>
              </w:rPr>
              <w:t xml:space="preserve">货物质量缺陷</w:t>
            </w:r>
            <w:r/>
          </w:p>
          <w:p>
            <w:pPr>
              <w:jc w:val="left"/>
              <w:rPr>
                <w:color w:val="auto"/>
                <w:highlight w:val="none"/>
              </w:rPr>
            </w:pPr>
            <w:r>
              <w:rPr>
                <w:color w:val="auto"/>
                <w:highlight w:val="none"/>
              </w:rPr>
              <w:t xml:space="preserve">响应时间</w:t>
            </w:r>
            <w:r/>
          </w:p>
        </w:tc>
        <w:tc>
          <w:tcPr>
            <w:tcW w:w="5634" w:type="dxa"/>
            <w:vAlign w:val="center"/>
            <w:textDirection w:val="lrTb"/>
            <w:noWrap w:val="false"/>
          </w:tcPr>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 乙方应按招标文件规定的货物性能、技术要求、质量标准向甲方提供未经使用的全新产品。</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lang w:val="en-US" w:eastAsia="zh-CN" w:bidi="ar-SA"/>
              </w:rPr>
              <w:t xml:space="preserve"> 乙方提供的货物在有效期内因货物本身的质量问题发生故障，乙方应负责免费更换。对达不到技术要求者，根据实际情况，经双方协商，可按以下办法处理：</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（1）更换：由乙方承担所发生的全部费用。</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（2）贬值处理：由用户与乙双方合议定价。</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（3）退货处理：乙方应退还用户支付的合同款，同时应承担该货物的直接费用（运输、保险、检验、货款利息及银行手续费等）。</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如在使用过程中发生质量问题，乙方在接到用户通知后在48小时内到达县用户指定现场研究解决方案并负责实施。</w:t>
            </w:r>
            <w:r/>
          </w:p>
          <w:p>
            <w:pPr>
              <w:pStyle w:val="942"/>
              <w:ind w:firstLine="420"/>
              <w:rPr>
                <w:rFonts w:hint="default"/>
                <w:color w:val="auto"/>
                <w:highlight w:val="none"/>
                <w:lang w:val="en-US"/>
              </w:rPr>
            </w:pP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pStyle w:val="1253"/>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1742" w:type="dxa"/>
            <w:vAlign w:val="center"/>
            <w:textDirection w:val="lrTb"/>
            <w:noWrap w:val="false"/>
          </w:tcPr>
          <w:p>
            <w:pPr>
              <w:rPr>
                <w:color w:val="auto"/>
                <w:highlight w:val="none"/>
              </w:rPr>
            </w:pPr>
            <w:r>
              <w:rPr>
                <w:color w:val="auto"/>
                <w:highlight w:val="none"/>
              </w:rPr>
              <w:t xml:space="preserve">其他应当保密的信息</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1742" w:type="dxa"/>
            <w:vAlign w:val="center"/>
            <w:textDirection w:val="lrTb"/>
            <w:noWrap w:val="false"/>
          </w:tcPr>
          <w:p>
            <w:pPr>
              <w:jc w:val="left"/>
              <w:rPr>
                <w:color w:val="auto"/>
                <w:highlight w:val="none"/>
              </w:rPr>
            </w:pPr>
            <w:r>
              <w:rPr>
                <w:color w:val="auto"/>
                <w:highlight w:val="none"/>
              </w:rPr>
              <w:t xml:space="preserve">合同价款支付时间</w:t>
            </w:r>
            <w:r/>
          </w:p>
        </w:tc>
        <w:tc>
          <w:tcPr>
            <w:tcW w:w="5634" w:type="dxa"/>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1742" w:type="dxa"/>
            <w:vAlign w:val="center"/>
            <w:textDirection w:val="lrTb"/>
            <w:noWrap w:val="false"/>
          </w:tcPr>
          <w:p>
            <w:pPr>
              <w:jc w:val="left"/>
              <w:rPr>
                <w:color w:val="auto"/>
                <w:highlight w:val="none"/>
              </w:rPr>
            </w:pPr>
            <w:r>
              <w:rPr>
                <w:color w:val="auto"/>
                <w:highlight w:val="none"/>
              </w:rPr>
              <w:t xml:space="preserve">履约保证金不予退还的情形</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不涉及</w:t>
            </w:r>
            <w:r/>
          </w:p>
        </w:tc>
      </w:tr>
      <w:tr>
        <w:trPr>
          <w:trHeight w:val="35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1742" w:type="dxa"/>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color w:val="auto"/>
                <w:highlight w:val="none"/>
              </w:rPr>
            </w:pPr>
            <w:r>
              <w:rPr>
                <w:rFonts w:hint="eastAsia"/>
                <w:color w:val="auto"/>
                <w:highlight w:val="none"/>
                <w:lang w:val="en-US" w:eastAsia="zh-CN"/>
              </w:rPr>
              <w:t xml:space="preserve">不涉及</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1742" w:type="dxa"/>
            <w:vAlign w:val="center"/>
            <w:textDirection w:val="lrTb"/>
            <w:noWrap w:val="false"/>
          </w:tcPr>
          <w:p>
            <w:pPr>
              <w:jc w:val="left"/>
              <w:rPr>
                <w:color w:val="auto"/>
                <w:highlight w:val="none"/>
              </w:rPr>
            </w:pPr>
            <w:r>
              <w:rPr>
                <w:color w:val="auto"/>
                <w:highlight w:val="none"/>
              </w:rPr>
              <w:t xml:space="preserve">运行监督、维修期限</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1742" w:type="dxa"/>
            <w:vAlign w:val="center"/>
            <w:textDirection w:val="lrTb"/>
            <w:noWrap w:val="false"/>
          </w:tcPr>
          <w:p>
            <w:pPr>
              <w:jc w:val="left"/>
              <w:rPr>
                <w:color w:val="auto"/>
                <w:highlight w:val="none"/>
              </w:rPr>
            </w:pPr>
            <w:r>
              <w:rPr>
                <w:color w:val="auto"/>
                <w:highlight w:val="none"/>
              </w:rPr>
              <w:t xml:space="preserve">货物回收的约定</w:t>
            </w:r>
            <w:r/>
          </w:p>
        </w:tc>
        <w:tc>
          <w:tcPr>
            <w:tcW w:w="5634" w:type="dxa"/>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1742" w:type="dxa"/>
            <w:vAlign w:val="center"/>
            <w:textDirection w:val="lrTb"/>
            <w:noWrap w:val="false"/>
          </w:tcPr>
          <w:p>
            <w:pPr>
              <w:jc w:val="left"/>
              <w:rPr>
                <w:color w:val="auto"/>
                <w:highlight w:val="none"/>
              </w:rPr>
            </w:pPr>
            <w:r>
              <w:rPr>
                <w:color w:val="auto"/>
                <w:highlight w:val="none"/>
              </w:rPr>
              <w:t xml:space="preserve">乙方提供的其他服务</w:t>
            </w:r>
            <w:r/>
          </w:p>
        </w:tc>
        <w:tc>
          <w:tcPr>
            <w:tcW w:w="5634" w:type="dxa"/>
            <w:vAlign w:val="center"/>
            <w:textDirection w:val="lrTb"/>
            <w:noWrap w:val="false"/>
          </w:tcPr>
          <w:p>
            <w:pPr>
              <w:ind w:firstLine="420"/>
              <w:jc w:val="left"/>
              <w:rPr>
                <w:color w:val="auto"/>
                <w:highlight w:val="none"/>
              </w:rPr>
            </w:pPr>
            <w:r>
              <w:rPr>
                <w:color w:val="auto"/>
                <w:highlight w:val="none"/>
              </w:rPr>
              <w:t xml:space="preserve">详见</w:t>
            </w:r>
            <w:r>
              <w:rPr>
                <w:rFonts w:hint="eastAsia"/>
                <w:color w:val="auto"/>
                <w:highlight w:val="none"/>
                <w:lang w:val="en-US" w:eastAsia="zh-CN"/>
              </w:rPr>
              <w:t xml:space="preserve">投标</w:t>
            </w:r>
            <w:r>
              <w:rPr>
                <w:color w:val="auto"/>
                <w:highlight w:val="none"/>
              </w:rPr>
              <w:t xml:space="preserve">文件。</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1742" w:type="dxa"/>
            <w:vAlign w:val="center"/>
            <w:textDirection w:val="lrTb"/>
            <w:noWrap w:val="false"/>
          </w:tcPr>
          <w:p>
            <w:pPr>
              <w:jc w:val="left"/>
              <w:rPr>
                <w:color w:val="auto"/>
                <w:highlight w:val="none"/>
              </w:rPr>
            </w:pPr>
            <w:r>
              <w:rPr>
                <w:color w:val="auto"/>
                <w:highlight w:val="none"/>
              </w:rPr>
              <w:t xml:space="preserve">修理、重作、更换相关具体规定</w:t>
            </w:r>
            <w:r/>
          </w:p>
        </w:tc>
        <w:tc>
          <w:tcPr>
            <w:tcW w:w="5634" w:type="dxa"/>
            <w:vAlign w:val="center"/>
            <w:textDirection w:val="lrTb"/>
            <w:noWrap w:val="false"/>
          </w:tcPr>
          <w:p>
            <w:pPr>
              <w:ind w:firstLine="420"/>
              <w:jc w:val="left"/>
              <w:rPr>
                <w:rFonts w:hint="eastAsia" w:eastAsia="宋体"/>
                <w:color w:val="auto"/>
                <w:highlight w:val="none"/>
                <w:lang w:eastAsia="zh-CN"/>
              </w:rPr>
            </w:pPr>
            <w:r>
              <w:rPr>
                <w:rFonts w:hint="eastAsia"/>
                <w:color w:val="auto"/>
                <w:highlight w:val="none"/>
                <w:lang w:val="en-US" w:eastAsia="zh-CN"/>
              </w:rPr>
              <w:t xml:space="preserve">/</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1742" w:type="dxa"/>
            <w:vAlign w:val="center"/>
            <w:textDirection w:val="lrTb"/>
            <w:noWrap w:val="false"/>
          </w:tcPr>
          <w:p>
            <w:pPr>
              <w:jc w:val="left"/>
              <w:rPr>
                <w:color w:val="auto"/>
                <w:highlight w:val="none"/>
              </w:rPr>
            </w:pPr>
            <w:r>
              <w:rPr>
                <w:color w:val="auto"/>
                <w:highlight w:val="none"/>
              </w:rPr>
              <w:t xml:space="preserve">迟延交货赔偿费</w:t>
            </w:r>
            <w:r/>
          </w:p>
        </w:tc>
        <w:tc>
          <w:tcPr>
            <w:tcW w:w="5634" w:type="dxa"/>
            <w:vAlign w:val="center"/>
            <w:textDirection w:val="lrTb"/>
            <w:noWrap w:val="false"/>
          </w:tcPr>
          <w:p>
            <w:pPr>
              <w:ind w:firstLine="420"/>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color w:val="auto"/>
                <w:highlight w:val="none"/>
              </w:rPr>
              <w:t xml:space="preserve">分之一支付违约金，违约金可直接从</w:t>
            </w:r>
            <w:r>
              <w:rPr>
                <w:rFonts w:hint="eastAsia"/>
                <w:color w:val="auto"/>
                <w:highlight w:val="none"/>
              </w:rPr>
              <w:t xml:space="preserve">待付货款</w:t>
            </w:r>
            <w:r>
              <w:rPr>
                <w:color w:val="auto"/>
                <w:highlight w:val="none"/>
              </w:rPr>
              <w:t xml:space="preserve">中扣除；延期超过10 日，甲方有权强制解除合同。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1742" w:type="dxa"/>
            <w:vAlign w:val="center"/>
            <w:textDirection w:val="lrTb"/>
            <w:noWrap w:val="false"/>
          </w:tcPr>
          <w:p>
            <w:pPr>
              <w:jc w:val="left"/>
              <w:rPr>
                <w:color w:val="auto"/>
                <w:highlight w:val="none"/>
              </w:rPr>
            </w:pPr>
            <w:r>
              <w:rPr>
                <w:color w:val="auto"/>
                <w:highlight w:val="none"/>
              </w:rPr>
              <w:t xml:space="preserve">逾期付款利息</w:t>
            </w:r>
            <w:r/>
          </w:p>
        </w:tc>
        <w:tc>
          <w:tcPr>
            <w:tcW w:w="5634" w:type="dxa"/>
            <w:vAlign w:val="center"/>
            <w:textDirection w:val="lrTb"/>
            <w:noWrap w:val="false"/>
          </w:tcPr>
          <w:p>
            <w:pPr>
              <w:ind w:firstLine="420"/>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lang w:val="en-US" w:eastAsia="zh-CN"/>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w:t>
            </w:r>
            <w:r>
              <w:rPr>
                <w:rFonts w:hint="eastAsia"/>
                <w:color w:val="auto"/>
                <w:highlight w:val="none"/>
              </w:rPr>
              <w:t xml:space="preserve">和国家有关质量标准</w:t>
            </w:r>
            <w:r>
              <w:rPr>
                <w:color w:val="auto"/>
                <w:highlight w:val="none"/>
              </w:rPr>
              <w:t xml:space="preserve">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iCs/>
                <w:color w:val="auto"/>
                <w:highlight w:val="none"/>
                <w:u w:val="single"/>
              </w:rPr>
              <w:t xml:space="preserve">泗洪县</w:t>
            </w:r>
            <w:r>
              <w:rPr>
                <w:rFonts w:hint="eastAsia"/>
                <w:iCs/>
                <w:color w:val="auto"/>
                <w:highlight w:val="none"/>
                <w:u w:val="single"/>
              </w:rPr>
              <w:t xml:space="preserve"> </w:t>
            </w:r>
            <w:r>
              <w:rPr>
                <w:iCs/>
                <w:color w:val="auto"/>
                <w:highlight w:val="none"/>
              </w:rPr>
              <w:t xml:space="preserve">人民法院起诉。</w:t>
            </w:r>
            <w:r/>
          </w:p>
        </w:tc>
      </w:tr>
      <w:tr>
        <w:trPr>
          <w:trHeight w:val="77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1742" w:type="dxa"/>
            <w:vAlign w:val="center"/>
            <w:textDirection w:val="lrTb"/>
            <w:noWrap w:val="false"/>
          </w:tcPr>
          <w:p>
            <w:pPr>
              <w:jc w:val="left"/>
              <w:rPr>
                <w:color w:val="auto"/>
                <w:highlight w:val="none"/>
              </w:rPr>
            </w:pPr>
            <w:r>
              <w:rPr>
                <w:bCs/>
                <w:color w:val="auto"/>
                <w:highlight w:val="none"/>
              </w:rPr>
              <w:t xml:space="preserve">其他专用条款</w:t>
            </w:r>
            <w:r/>
          </w:p>
        </w:tc>
        <w:tc>
          <w:tcPr>
            <w:tcW w:w="5634" w:type="dxa"/>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color w:val="auto"/>
          <w:sz w:val="24"/>
          <w:szCs w:val="24"/>
          <w:highlight w:val="none"/>
        </w:rPr>
      </w:pPr>
      <w:r>
        <w:rPr>
          <w:bCs/>
          <w:color w:val="auto"/>
          <w:sz w:val="24"/>
          <w:szCs w:val="24"/>
          <w:highlight w:val="none"/>
        </w:rPr>
      </w:r>
      <w:r/>
    </w:p>
    <w:p>
      <w:pPr>
        <w:pStyle w:val="1127"/>
        <w:jc w:val="center"/>
        <w:spacing w:line="360" w:lineRule="auto"/>
        <w:rPr>
          <w:rFonts w:hint="eastAsia" w:hAnsi="宋体" w:cs="宋体"/>
          <w:b/>
          <w:color w:val="auto"/>
          <w:sz w:val="44"/>
          <w:highlight w:val="none"/>
        </w:rPr>
      </w:pPr>
      <w:r>
        <w:rPr>
          <w:rFonts w:hint="eastAsia" w:hAnsi="宋体" w:cs="宋体"/>
          <w:b/>
          <w:color w:val="auto"/>
          <w:sz w:val="44"/>
          <w:highlight w:val="none"/>
        </w:rPr>
      </w:r>
      <w:r/>
    </w:p>
    <w:p>
      <w:pPr>
        <w:pStyle w:val="1127"/>
        <w:jc w:val="center"/>
        <w:spacing w:line="360" w:lineRule="auto"/>
        <w:rPr>
          <w:rFonts w:hint="eastAsia" w:ascii="Times New Roman" w:hAnsi="Times New Roman"/>
          <w:color w:val="auto"/>
          <w:sz w:val="24"/>
          <w:szCs w:val="24"/>
          <w:highlight w:val="none"/>
        </w:rPr>
      </w:pPr>
      <w:r>
        <w:rPr>
          <w:rFonts w:hint="eastAsia" w:hAnsi="宋体" w:cs="宋体"/>
          <w:b/>
          <w:color w:val="auto"/>
          <w:sz w:val="44"/>
          <w:highlight w:val="none"/>
        </w:rPr>
        <w:t xml:space="preserve">第</w:t>
      </w:r>
      <w:bookmarkEnd w:id="190"/>
      <w:r>
        <w:rPr>
          <w:rFonts w:hint="eastAsia" w:hAnsi="宋体" w:cs="宋体"/>
          <w:b/>
          <w:color w:val="auto"/>
          <w:sz w:val="44"/>
          <w:highlight w:val="none"/>
        </w:rPr>
        <w:t xml:space="preserve">四章 采购需求</w:t>
      </w:r>
      <w:bookmarkEnd w:id="191"/>
      <w:r/>
      <w:bookmarkEnd w:id="192"/>
      <w:r/>
      <w:bookmarkEnd w:id="193"/>
      <w:r/>
      <w:r/>
    </w:p>
    <w:p>
      <w:pPr>
        <w:spacing w:before="120" w:after="120" w:line="0" w:lineRule="atLeast"/>
        <w:rPr>
          <w:rFonts w:hint="eastAsia" w:cs="Courier New"/>
          <w:b/>
          <w:bCs/>
          <w:color w:val="auto"/>
          <w:sz w:val="24"/>
          <w:szCs w:val="24"/>
          <w:highlight w:val="none"/>
        </w:rPr>
      </w:pPr>
      <w:r/>
      <w:bookmarkStart w:id="200" w:name="_Toc49090575"/>
      <w:r/>
      <w:bookmarkStart w:id="201" w:name="_Toc26554093"/>
      <w:r>
        <w:rPr>
          <w:rFonts w:hint="eastAsia" w:cs="Courier New"/>
          <w:b/>
          <w:bCs/>
          <w:color w:val="auto"/>
          <w:sz w:val="24"/>
          <w:szCs w:val="24"/>
          <w:highlight w:val="none"/>
        </w:rPr>
        <w:t xml:space="preserve">项目属性：</w:t>
      </w:r>
      <w:r>
        <w:rPr>
          <w:rFonts w:hint="eastAsia" w:cs="Courier New"/>
          <w:b/>
          <w:bCs/>
          <w:color w:val="auto"/>
          <w:sz w:val="24"/>
          <w:szCs w:val="24"/>
          <w:highlight w:val="none"/>
          <w:u w:val="single"/>
        </w:rPr>
        <w:t xml:space="preserve">货物类项目</w:t>
      </w:r>
      <w:r/>
    </w:p>
    <w:p>
      <w:pPr>
        <w:spacing w:before="120" w:after="120" w:line="0" w:lineRule="atLeast"/>
        <w:rPr>
          <w:rFonts w:hint="eastAsia" w:cs="Courier New"/>
          <w:b/>
          <w:bCs/>
          <w:color w:val="auto"/>
          <w:sz w:val="24"/>
          <w:szCs w:val="24"/>
          <w:highlight w:val="none"/>
          <w:u w:val="single"/>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rPr>
        <w:t xml:space="preserve">工业</w:t>
      </w:r>
      <w:r/>
    </w:p>
    <w:p>
      <w:pPr>
        <w:spacing w:before="120" w:after="120" w:line="0" w:lineRule="atLeast"/>
        <w:rPr>
          <w:rFonts w:hint="eastAsia" w:cs="Courier New"/>
          <w:b/>
          <w:bCs/>
          <w:color w:val="auto"/>
          <w:sz w:val="24"/>
          <w:szCs w:val="24"/>
          <w:highlight w:val="none"/>
        </w:rPr>
      </w:pPr>
      <w:r>
        <w:rPr>
          <w:rFonts w:hint="eastAsia" w:cs="Courier New"/>
          <w:b/>
          <w:bCs/>
          <w:color w:val="auto"/>
          <w:sz w:val="24"/>
          <w:szCs w:val="24"/>
          <w:highlight w:val="none"/>
        </w:rPr>
        <w:t xml:space="preserve">本项目</w:t>
      </w:r>
      <w:r>
        <w:rPr>
          <w:rFonts w:hint="eastAsia" w:cs="Courier New"/>
          <w:b/>
          <w:bCs/>
          <w:color w:val="auto"/>
          <w:sz w:val="24"/>
          <w:szCs w:val="24"/>
          <w:highlight w:val="none"/>
          <w:u w:val="single"/>
        </w:rPr>
        <w:t xml:space="preserve"> </w:t>
      </w:r>
      <w:r>
        <w:rPr>
          <w:rFonts w:hint="eastAsia" w:cs="Courier New"/>
          <w:b/>
          <w:bCs/>
          <w:color w:val="auto"/>
          <w:sz w:val="24"/>
          <w:szCs w:val="24"/>
          <w:highlight w:val="none"/>
          <w:u w:val="single"/>
          <w:lang w:val="en-US" w:eastAsia="zh-CN"/>
        </w:rPr>
        <w:t xml:space="preserve">不</w:t>
      </w:r>
      <w:r>
        <w:rPr>
          <w:rFonts w:hint="eastAsia" w:cs="Courier New"/>
          <w:b/>
          <w:bCs/>
          <w:color w:val="auto"/>
          <w:sz w:val="24"/>
          <w:szCs w:val="24"/>
          <w:highlight w:val="none"/>
          <w:u w:val="single"/>
        </w:rPr>
        <w:t xml:space="preserve">接受 </w:t>
      </w:r>
      <w:r>
        <w:rPr>
          <w:rFonts w:hint="eastAsia" w:cs="Courier New"/>
          <w:b/>
          <w:bCs/>
          <w:color w:val="auto"/>
          <w:sz w:val="24"/>
          <w:szCs w:val="24"/>
          <w:highlight w:val="none"/>
        </w:rPr>
        <w:t xml:space="preserve">进口产品。</w:t>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一、项目概况</w:t>
      </w:r>
      <w:r/>
    </w:p>
    <w:p>
      <w:pPr>
        <w:pStyle w:val="1224"/>
        <w:ind w:firstLine="482"/>
        <w:jc w:val="left"/>
        <w:spacing w:line="480" w:lineRule="exact"/>
        <w:rPr>
          <w:rFonts w:hint="eastAsia" w:ascii="宋体" w:hAnsi="宋体" w:eastAsia="宋体" w:cs="宋体"/>
          <w:color w:val="auto"/>
          <w:sz w:val="24"/>
          <w:highlight w:val="none"/>
          <w:lang w:eastAsia="zh-CN"/>
        </w:rPr>
      </w:pPr>
      <w:r/>
      <w:bookmarkStart w:id="202" w:name="_Toc120614281"/>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泗洪县2024年度重大动物疫病免疫补助项目（疫苗、标识）</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（二）预算金额</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万元，共分为</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个分包。</w:t>
      </w:r>
      <w:r/>
    </w:p>
    <w:p>
      <w:pPr>
        <w:pStyle w:val="1224"/>
        <w:ind w:firstLine="482"/>
        <w:jc w:val="left"/>
        <w:spacing w:line="48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采购包</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预算金额为10万元；采购包</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预算金额为20万元。</w:t>
      </w:r>
      <w:r/>
    </w:p>
    <w:p>
      <w:pPr>
        <w:pStyle w:val="1224"/>
        <w:ind w:firstLine="482"/>
        <w:jc w:val="left"/>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t xml:space="preserve">（三）采购内容：</w:t>
      </w:r>
      <w:r>
        <w:rPr>
          <w:rFonts w:hint="eastAsia" w:ascii="宋体" w:hAnsi="宋体" w:cs="宋体"/>
          <w:color w:val="auto"/>
          <w:sz w:val="24"/>
          <w:szCs w:val="24"/>
          <w:highlight w:val="none"/>
          <w:lang w:eastAsia="zh-CN"/>
        </w:rPr>
        <w:t xml:space="preserve">泗洪县畜牧兽医站</w:t>
      </w:r>
      <w:r>
        <w:rPr>
          <w:rFonts w:hint="eastAsia" w:ascii="宋体" w:hAnsi="宋体" w:cs="宋体"/>
          <w:color w:val="auto"/>
          <w:sz w:val="24"/>
          <w:szCs w:val="24"/>
          <w:highlight w:val="none"/>
        </w:rPr>
        <w:t xml:space="preserve">拟</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泗洪县2024年度重大动物疫病免疫所需的疫苗一批及相关配套服务、疫苗配套稀释液等。</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合同履行期限：</w:t>
      </w:r>
      <w:r>
        <w:rPr>
          <w:rFonts w:hint="eastAsia" w:ascii="宋体" w:hAnsi="宋体" w:cs="宋体"/>
          <w:b w:val="0"/>
          <w:bCs w:val="0"/>
          <w:color w:val="auto"/>
          <w:sz w:val="24"/>
          <w:highlight w:val="none"/>
        </w:rPr>
        <w:t xml:space="preserve">合同签订后1年。</w:t>
      </w:r>
      <w:r/>
    </w:p>
    <w:p>
      <w:pPr>
        <w:pStyle w:val="1224"/>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进度款：中标货物根据甲方要求送达甲方指定地点，以年度实际发货数量一次性结算余款。</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（1）可以采用数字人民币支付。</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（2）资金支付的时间：收到供应商发票10个工作日内。</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（3）资金支付的条件：满足相应阶段的要求且收到供应商发票。</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（4）甲方根据乙方的实际供货数量按实结算，且不超过每分包总预算金额。</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（5）在签订合同时，供应商明确表示无需预付款或者主动要求降低预付款比例的，采购人可不适用前述规定。</w:t>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二、采购清单</w:t>
      </w:r>
      <w:r/>
    </w:p>
    <w:tbl>
      <w:tblPr>
        <w:tblStyle w:val="910"/>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175"/>
        <w:gridCol w:w="1275"/>
        <w:gridCol w:w="909"/>
        <w:gridCol w:w="1260"/>
        <w:gridCol w:w="1229"/>
        <w:gridCol w:w="1628"/>
      </w:tblGrid>
      <w:tr>
        <w:trPr>
          <w:jc w:val="center"/>
          <w:trHeight w:val="695"/>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widowControl/>
              <w:rPr>
                <w:rFonts w:hint="default" w:eastAsia="宋体" w:asciiTheme="minorEastAsia" w:hAnsi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采购包号</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cstheme="minorEastAsia"/>
                <w:b/>
                <w:bCs/>
                <w:color w:val="auto"/>
                <w:sz w:val="21"/>
                <w:szCs w:val="21"/>
                <w:highlight w:val="none"/>
                <w:lang w:val="en-US" w:eastAsia="zh-CN"/>
              </w:rPr>
              <w:t xml:space="preserve">采购包</w:t>
            </w:r>
            <w:r>
              <w:rPr>
                <w:rFonts w:hint="eastAsia" w:asciiTheme="minorEastAsia" w:hAnsiTheme="minorEastAsia" w:eastAsiaTheme="minorEastAsia" w:cstheme="minorEastAsia"/>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最高限价单价（元）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预算金额</w:t>
            </w:r>
            <w:r/>
          </w:p>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240" w:lineRule="exact"/>
              <w:widowControl/>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主要配置或技术参数</w:t>
            </w:r>
            <w:r/>
          </w:p>
        </w:tc>
      </w:tr>
      <w:tr>
        <w:trPr>
          <w:jc w:val="center"/>
          <w:trHeight w:val="868"/>
        </w:trPr>
        <w:tc>
          <w:tcPr>
            <w:tcBorders>
              <w:top w:val="single" w:color="auto" w:sz="4" w:space="0"/>
              <w:left w:val="single" w:color="auto" w:sz="4" w:space="0"/>
              <w:right w:val="single" w:color="auto" w:sz="4" w:space="0"/>
            </w:tcBorders>
            <w:tcW w:w="885" w:type="dxa"/>
            <w:vAlign w:val="center"/>
            <w:textDirection w:val="lrTb"/>
            <w:noWrap w:val="false"/>
          </w:tcPr>
          <w:p>
            <w:pPr>
              <w:jc w:val="center"/>
              <w:spacing w:line="240" w:lineRule="exact"/>
              <w:widowControl/>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1</w:t>
            </w:r>
            <w:r/>
          </w:p>
        </w:tc>
        <w:tc>
          <w:tcPr>
            <w:tcBorders>
              <w:top w:val="single" w:color="auto" w:sz="4" w:space="0"/>
              <w:left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猪口蹄疫O型合成肽疫苗</w:t>
            </w:r>
            <w:r/>
          </w:p>
        </w:tc>
        <w:tc>
          <w:tcPr>
            <w:tcBorders>
              <w:top w:val="single" w:color="auto" w:sz="4" w:space="0"/>
              <w:left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50、100毫升/瓶</w:t>
            </w:r>
            <w:r/>
          </w:p>
        </w:tc>
        <w:tc>
          <w:tcPr>
            <w:tcBorders>
              <w:top w:val="single" w:color="auto" w:sz="4" w:space="0"/>
              <w:left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10</w:t>
            </w:r>
            <w:r/>
          </w:p>
        </w:tc>
        <w:tc>
          <w:tcPr>
            <w:tcBorders>
              <w:top w:val="single" w:color="auto" w:sz="4" w:space="0"/>
              <w:left w:val="single" w:color="auto" w:sz="4" w:space="0"/>
              <w:right w:val="single" w:color="auto" w:sz="4" w:space="0"/>
            </w:tcBorders>
            <w:tcW w:w="1628" w:type="dxa"/>
            <w:vAlign w:val="center"/>
            <w:vMerge w:val="restart"/>
            <w:textDirection w:val="lrTb"/>
            <w:noWrap w:val="false"/>
          </w:tcPr>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农业农村部规定标准</w:t>
            </w:r>
            <w:r/>
          </w:p>
        </w:tc>
      </w:tr>
      <w:tr>
        <w:trPr>
          <w:jc w:val="center"/>
          <w:trHeight w:val="786"/>
        </w:trPr>
        <w:tc>
          <w:tcPr>
            <w:tcBorders>
              <w:top w:val="single" w:color="auto" w:sz="4" w:space="0"/>
              <w:left w:val="single" w:color="auto" w:sz="4" w:space="0"/>
              <w:right w:val="single" w:color="auto" w:sz="4" w:space="0"/>
            </w:tcBorders>
            <w:tcW w:w="885" w:type="dxa"/>
            <w:vAlign w:val="center"/>
            <w:textDirection w:val="lrTb"/>
            <w:noWrap w:val="false"/>
          </w:tcPr>
          <w:p>
            <w:pPr>
              <w:jc w:val="center"/>
              <w:spacing w:line="240" w:lineRule="exac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口蹄疫O型、A型二价灭活疫苗</w:t>
            </w:r>
            <w:r/>
          </w:p>
        </w:tc>
        <w:tc>
          <w:tcPr>
            <w:tcBorders>
              <w:top w:val="single" w:color="auto" w:sz="4" w:space="0"/>
              <w:left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50、100毫升/瓶</w:t>
            </w:r>
            <w:r/>
          </w:p>
        </w:tc>
        <w:tc>
          <w:tcPr>
            <w:tcBorders>
              <w:top w:val="single" w:color="auto" w:sz="4" w:space="0"/>
              <w:left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20</w:t>
            </w:r>
            <w:r/>
          </w:p>
        </w:tc>
        <w:tc>
          <w:tcPr>
            <w:tcBorders>
              <w:left w:val="single" w:color="auto" w:sz="4" w:space="0"/>
              <w:right w:val="single" w:color="auto" w:sz="4" w:space="0"/>
            </w:tcBorders>
            <w:tcW w:w="1628" w:type="dxa"/>
            <w:vAlign w:val="center"/>
            <w:vMerge w:val="continue"/>
            <w:textDirection w:val="lrTb"/>
            <w:noWrap w:val="false"/>
          </w:tcPr>
          <w:p>
            <w:pPr>
              <w:jc w:val="left"/>
              <w:widowControl/>
              <w:rPr>
                <w:rFonts w:ascii="Times New Roman" w:hAnsi="Times New Roman"/>
                <w:bCs/>
                <w:color w:val="auto"/>
                <w:szCs w:val="21"/>
                <w:highlight w:val="none"/>
              </w:rPr>
            </w:pPr>
            <w:r>
              <w:rPr>
                <w:rFonts w:ascii="Times New Roman" w:hAnsi="Times New Roman"/>
                <w:bCs/>
                <w:color w:val="auto"/>
                <w:szCs w:val="21"/>
                <w:highlight w:val="none"/>
              </w:rPr>
            </w:r>
            <w:r/>
          </w:p>
        </w:tc>
      </w:tr>
    </w:tbl>
    <w:p>
      <w:pPr>
        <w:pStyle w:val="1228"/>
        <w:keepLines w:val="0"/>
        <w:keepNext w:val="0"/>
        <w:pageBreakBefore w:val="0"/>
        <w:spacing w:line="360" w:lineRule="auto"/>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1228"/>
        <w:keepLines w:val="0"/>
        <w:keepNext w:val="0"/>
        <w:pageBreakBefore w:val="0"/>
        <w:spacing w:line="360" w:lineRule="auto"/>
        <w:widowControl w:val="off"/>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注：1.供应数量以采购人实际需求为准，除上表要求外，还有购买上述疫苗后的配套服务、疫苗配套稀释液。</w:t>
      </w:r>
      <w:r/>
    </w:p>
    <w:p>
      <w:pPr>
        <w:ind w:firstLine="482"/>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szCs w:val="24"/>
          <w:highlight w:val="none"/>
          <w:lang w:val="en-US" w:eastAsia="zh-CN" w:bidi="ar-SA"/>
        </w:rPr>
        <w:t xml:space="preserve">采购包1为原招标项目：泗洪县2024年度重大动物疫病免疫补助项目（疫苗、标识）中的采购包2；采购包2为原招标项目：泗洪县2024年度重大动物疫病免疫补助项目（疫苗、标识）中的采购包3。</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、技术条款</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.1.1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符合农业农村部对动物疫苗的现行相关质量要求</w:t>
      </w:r>
      <w:r>
        <w:rPr>
          <w:rFonts w:hint="eastAsia" w:ascii="宋体" w:hAnsi="宋体" w:eastAsia="宋体" w:cs="宋体"/>
          <w:i w:val="0"/>
          <w:iCs/>
          <w:color w:val="auto"/>
          <w:sz w:val="24"/>
          <w:szCs w:val="21"/>
          <w:highlight w:val="none"/>
          <w:u w:val="none"/>
        </w:rPr>
        <w:t xml:space="preserve">。</w:t>
      </w:r>
      <w:r/>
    </w:p>
    <w:p>
      <w:pPr>
        <w:ind w:firstLine="482"/>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b/>
          <w:bCs/>
          <w:iCs/>
          <w:color w:val="auto"/>
          <w:sz w:val="24"/>
          <w:szCs w:val="21"/>
          <w:highlight w:val="none"/>
        </w:rPr>
        <w:t xml:space="preserve">口蹄疫疫苗：</w:t>
      </w:r>
      <w:r>
        <w:rPr>
          <w:rFonts w:hint="eastAsia" w:ascii="宋体" w:hAnsi="宋体" w:eastAsia="宋体" w:cs="宋体"/>
          <w:iCs/>
          <w:color w:val="auto"/>
          <w:sz w:val="24"/>
          <w:szCs w:val="21"/>
          <w:highlight w:val="none"/>
        </w:rPr>
        <w:t xml:space="preserve">效力检验每头份疫苗各毒株的效力应≥10个PD50。</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其中</w:t>
      </w:r>
      <w:r>
        <w:rPr>
          <w:rFonts w:hint="eastAsia" w:ascii="宋体" w:hAnsi="宋体" w:eastAsia="宋体" w:cs="宋体"/>
          <w:bCs/>
          <w:i w:val="0"/>
          <w:iCs/>
          <w:color w:val="auto"/>
          <w:sz w:val="24"/>
          <w:szCs w:val="24"/>
          <w:highlight w:val="none"/>
          <w:u w:val="single"/>
        </w:rPr>
        <w:t xml:space="preserve">猪口蹄疫O型灭活疫苗由缅甸98谱系单毒株，或缅甸98谱系毒株+其他流行毒株制成，或农业农村部批准的其他流行毒株，且符合农业农村部的相应质量标准</w:t>
      </w:r>
      <w:r>
        <w:rPr>
          <w:rFonts w:hint="eastAsia" w:ascii="宋体" w:hAnsi="宋体" w:eastAsia="宋体" w:cs="宋体"/>
          <w:bCs/>
          <w:i w:val="0"/>
          <w:iCs/>
          <w:color w:val="auto"/>
          <w:sz w:val="24"/>
          <w:szCs w:val="24"/>
          <w:highlight w:val="none"/>
          <w:u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.1.2 产品质量控制。</w:t>
      </w:r>
      <w:r>
        <w:rPr>
          <w:rFonts w:hint="eastAsia" w:ascii="宋体" w:hAnsi="宋体" w:eastAsia="宋体" w:cs="宋体"/>
          <w:color w:val="auto"/>
          <w:sz w:val="24"/>
          <w:szCs w:val="24"/>
          <w:highlight w:val="none"/>
        </w:rPr>
        <w:t xml:space="preserve">针对自身产品开展调查；为提升产品质量开展产品控制、经费投入、</w:t>
      </w:r>
      <w:bookmarkStart w:id="217" w:name="_GoBack"/>
      <w:r/>
      <w:bookmarkEnd w:id="217"/>
      <w:r>
        <w:rPr>
          <w:rFonts w:hint="eastAsia" w:ascii="宋体" w:hAnsi="宋体" w:eastAsia="宋体" w:cs="宋体"/>
          <w:color w:val="auto"/>
          <w:sz w:val="24"/>
          <w:szCs w:val="24"/>
          <w:highlight w:val="none"/>
        </w:rPr>
        <w:t xml:space="preserve">创新研究、技术合作等措施。品控后产品质量提高，免疫副反应降低，抗体合格率提高，更能满足市场需求。</w:t>
      </w:r>
      <w:r>
        <w:rPr>
          <w:rFonts w:hint="eastAsia" w:ascii="宋体" w:hAnsi="宋体" w:eastAsia="宋体" w:cs="宋体"/>
          <w:color w:val="auto"/>
          <w:sz w:val="24"/>
          <w:szCs w:val="21"/>
          <w:highlight w:val="none"/>
        </w:rPr>
        <w:t xml:space="preserve">投标企业在管理中的软、硬件设施，生产环节管理，原、辅料把控等方面进行综合质量控制。</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.1.3 投标人</w:t>
      </w:r>
      <w:r>
        <w:rPr>
          <w:rFonts w:hint="eastAsia" w:ascii="宋体" w:hAnsi="宋体" w:cs="宋体"/>
          <w:color w:val="auto"/>
          <w:sz w:val="24"/>
          <w:szCs w:val="21"/>
          <w:highlight w:val="none"/>
          <w:lang w:val="en-US" w:eastAsia="zh-CN"/>
        </w:rPr>
        <w:t xml:space="preserve">所投疫苗品种应具有产品</w:t>
      </w:r>
      <w:r>
        <w:rPr>
          <w:rFonts w:hint="eastAsia" w:ascii="宋体" w:hAnsi="宋体" w:eastAsia="宋体" w:cs="宋体"/>
          <w:color w:val="auto"/>
          <w:sz w:val="24"/>
          <w:szCs w:val="21"/>
          <w:highlight w:val="none"/>
        </w:rPr>
        <w:t xml:space="preserve">检测报告</w:t>
      </w:r>
      <w:r>
        <w:rPr>
          <w:rFonts w:hint="eastAsia" w:ascii="宋体" w:hAnsi="宋体" w:cs="宋体"/>
          <w:color w:val="auto"/>
          <w:sz w:val="24"/>
          <w:szCs w:val="21"/>
          <w:highlight w:val="none"/>
          <w:lang w:val="en-US" w:eastAsia="zh-CN"/>
        </w:rPr>
        <w:t xml:space="preserve">或</w:t>
      </w:r>
      <w:r>
        <w:rPr>
          <w:rFonts w:hint="eastAsia" w:ascii="宋体" w:hAnsi="宋体" w:eastAsia="宋体" w:cs="宋体"/>
          <w:color w:val="auto"/>
          <w:sz w:val="24"/>
          <w:szCs w:val="21"/>
          <w:highlight w:val="none"/>
        </w:rPr>
        <w:t xml:space="preserve">批签发报告。</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.1.4 招标之前或之后，如遇农业农村部政策调整，有关疫苗品种、毒株变更，相应产品直接变更。</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lang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.1.5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1"/>
          <w:highlight w:val="none"/>
          <w:u w:val="single"/>
        </w:rPr>
        <w:t xml:space="preserve">疫苗投标供应商根据“</w:t>
      </w:r>
      <w:r>
        <w:rPr>
          <w:rFonts w:hint="eastAsia" w:ascii="宋体" w:hAnsi="宋体" w:eastAsia="宋体" w:cs="宋体"/>
          <w:i w:val="0"/>
          <w:iCs w:val="0"/>
          <w:color w:val="auto"/>
          <w:spacing w:val="6"/>
          <w:sz w:val="24"/>
          <w:szCs w:val="21"/>
          <w:highlight w:val="none"/>
          <w:u w:val="single"/>
        </w:rPr>
        <w:t xml:space="preserve">农办牧</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2018</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74号</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文件规定，其所投的口蹄疫疫苗需提供本企业生产工艺、固化控制指标</w:t>
      </w:r>
      <w:r>
        <w:rPr>
          <w:rFonts w:hint="eastAsia" w:ascii="宋体" w:hAnsi="宋体" w:eastAsia="宋体" w:cs="宋体"/>
          <w:i w:val="0"/>
          <w:iCs w:val="0"/>
          <w:color w:val="auto"/>
          <w:sz w:val="24"/>
          <w:szCs w:val="21"/>
          <w:highlight w:val="none"/>
          <w:u w:val="single"/>
        </w:rPr>
        <w:t xml:space="preserve">〔包含但不限于如下内容：培养方法、抗原含量、佐剂类型等〕承诺。不得擅自改变疫苗生产工艺。</w:t>
      </w:r>
      <w:r>
        <w:rPr>
          <w:rFonts w:hint="eastAsia" w:ascii="宋体" w:hAnsi="宋体" w:eastAsia="宋体" w:cs="宋体"/>
          <w:i w:val="0"/>
          <w:iCs w:val="0"/>
          <w:color w:val="auto"/>
          <w:sz w:val="24"/>
          <w:szCs w:val="21"/>
          <w:highlight w:val="none"/>
          <w:u w:val="single"/>
          <w:lang w:eastAsia="zh-CN"/>
        </w:rPr>
        <w:t xml:space="preserve">（</w:t>
      </w:r>
      <w:r>
        <w:rPr>
          <w:rFonts w:hint="eastAsia" w:ascii="宋体" w:hAnsi="宋体" w:eastAsia="宋体" w:cs="宋体"/>
          <w:b/>
          <w:bCs/>
          <w:i w:val="0"/>
          <w:iCs w:val="0"/>
          <w:color w:val="auto"/>
          <w:sz w:val="24"/>
          <w:szCs w:val="21"/>
          <w:highlight w:val="none"/>
          <w:u w:val="single"/>
          <w:lang w:val="en-US" w:eastAsia="zh-CN"/>
        </w:rPr>
        <w:t xml:space="preserve">投标文件中提供</w:t>
      </w:r>
      <w:r>
        <w:rPr>
          <w:rFonts w:hint="eastAsia" w:ascii="宋体" w:hAnsi="宋体" w:eastAsia="宋体" w:cs="宋体"/>
          <w:b/>
          <w:bCs/>
          <w:i w:val="0"/>
          <w:iCs w:val="0"/>
          <w:color w:val="auto"/>
          <w:spacing w:val="6"/>
          <w:sz w:val="24"/>
          <w:szCs w:val="21"/>
          <w:highlight w:val="none"/>
          <w:u w:val="single"/>
        </w:rPr>
        <w:t xml:space="preserve">企业生产工艺、固化控制指标</w:t>
      </w:r>
      <w:r>
        <w:rPr>
          <w:rFonts w:hint="eastAsia" w:ascii="宋体" w:hAnsi="宋体" w:eastAsia="宋体" w:cs="宋体"/>
          <w:b/>
          <w:bCs/>
          <w:i w:val="0"/>
          <w:iCs w:val="0"/>
          <w:color w:val="auto"/>
          <w:sz w:val="24"/>
          <w:szCs w:val="21"/>
          <w:highlight w:val="none"/>
          <w:u w:val="single"/>
          <w:lang w:val="en-US" w:eastAsia="zh-CN"/>
        </w:rPr>
        <w:t xml:space="preserve">承诺</w:t>
      </w:r>
      <w:r>
        <w:rPr>
          <w:rFonts w:hint="eastAsia" w:ascii="宋体" w:hAnsi="宋体" w:cs="宋体"/>
          <w:b/>
          <w:bCs/>
          <w:i w:val="0"/>
          <w:iCs w:val="0"/>
          <w:color w:val="auto"/>
          <w:sz w:val="24"/>
          <w:szCs w:val="21"/>
          <w:highlight w:val="none"/>
          <w:u w:val="single"/>
          <w:lang w:val="en-US" w:eastAsia="zh-CN"/>
        </w:rPr>
        <w:t xml:space="preserve">书，格式详见第五章</w:t>
      </w:r>
      <w:r>
        <w:rPr>
          <w:rFonts w:hint="eastAsia" w:ascii="宋体" w:hAnsi="宋体" w:eastAsia="宋体" w:cs="宋体"/>
          <w:i w:val="0"/>
          <w:iCs w:val="0"/>
          <w:color w:val="auto"/>
          <w:sz w:val="24"/>
          <w:szCs w:val="21"/>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b/>
          <w:i/>
          <w:iCs w:val="0"/>
          <w:color w:val="auto"/>
          <w:sz w:val="30"/>
          <w:szCs w:val="30"/>
          <w:highlight w:val="none"/>
          <w:u w:val="single"/>
          <w:lang w:val="en-US" w:eastAsia="zh-CN"/>
        </w:rPr>
      </w:pPr>
      <w:r>
        <w:rPr>
          <w:rFonts w:hint="eastAsia" w:ascii="宋体" w:hAnsi="宋体" w:eastAsia="宋体" w:cs="宋体"/>
          <w:iCs/>
          <w:color w:val="auto"/>
          <w:sz w:val="24"/>
          <w:szCs w:val="21"/>
          <w:highlight w:val="none"/>
          <w:lang w:val="en-US" w:eastAsia="zh-CN"/>
        </w:rPr>
        <w:t xml:space="preserve">3</w:t>
      </w:r>
      <w:r>
        <w:rPr>
          <w:rFonts w:hint="eastAsia" w:ascii="宋体" w:hAnsi="宋体" w:eastAsia="宋体" w:cs="宋体"/>
          <w:iCs/>
          <w:color w:val="auto"/>
          <w:sz w:val="24"/>
          <w:szCs w:val="21"/>
          <w:highlight w:val="none"/>
        </w:rPr>
        <w:t xml:space="preserve">.1.6 </w:t>
      </w:r>
      <w:r>
        <w:rPr>
          <w:rFonts w:hint="eastAsia" w:ascii="宋体" w:hAnsi="宋体" w:eastAsia="宋体" w:cs="宋体"/>
          <w:color w:val="auto"/>
          <w:sz w:val="24"/>
          <w:szCs w:val="21"/>
          <w:highlight w:val="none"/>
        </w:rPr>
        <w:t xml:space="preserve">按规定具有完备的检测设备和人员，并能按规定标准和方法实施正常检测，各项制度、记录规范、齐全。</w:t>
      </w:r>
      <w:bookmarkStart w:id="203" w:name="_Toc504995980"/>
      <w:r/>
      <w:r/>
    </w:p>
    <w:p>
      <w:pPr>
        <w:keepLines w:val="0"/>
        <w:keepNext w:val="0"/>
        <w:pageBreakBefore w:val="0"/>
        <w:spacing w:line="360" w:lineRule="auto"/>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四、商务条款</w:t>
      </w:r>
      <w:bookmarkEnd w:id="203"/>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.1 质保期</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rPr>
        <w:t xml:space="preserve">投标人承诺投标产品最终交到</w:t>
      </w:r>
      <w:r>
        <w:rPr>
          <w:rFonts w:hint="eastAsia" w:ascii="宋体" w:hAnsi="宋体" w:cs="宋体"/>
          <w:iCs/>
          <w:color w:val="auto"/>
          <w:sz w:val="24"/>
          <w:szCs w:val="21"/>
          <w:highlight w:val="none"/>
          <w:lang w:val="en-US" w:eastAsia="zh-CN"/>
        </w:rPr>
        <w:t xml:space="preserve">采购人</w:t>
      </w:r>
      <w:r>
        <w:rPr>
          <w:rFonts w:hint="eastAsia" w:ascii="宋体" w:hAnsi="宋体" w:eastAsia="宋体" w:cs="宋体"/>
          <w:iCs/>
          <w:color w:val="auto"/>
          <w:sz w:val="24"/>
          <w:szCs w:val="21"/>
          <w:highlight w:val="none"/>
        </w:rPr>
        <w:t xml:space="preserve">的有效期在7个月（疫苗有效期为12个月的）和11个月（疫苗有效期为18个月的）以上（自交货验收合格之日起计）。</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.2 服务与培训</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.2.3 投标人提供包含冷链运输方式、全程温度管理、突发事件处理等方面的冷链运输方案。重点服务项目明确、服务内容量化，有利于冷链运输管理，可操作性较强。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.2.4 投标人提供废弃疫苗瓶回收、处理方案。包括回收的品种、数量等，如何处理回收的废弃疫苗瓶。重点服务项目明确、内容量化，符合环保部门要求，可操作性较强。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.2.5 投标人提供培训方案。内容包括培训的内容、师资力量、区域、计划等。培训内容符合当前重大动物疫病防控需求，内容新颖实用，服务内容量化，可操作性较强。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auto"/>
          <w:sz w:val="24"/>
          <w:szCs w:val="24"/>
          <w:highlight w:val="none"/>
        </w:rPr>
        <w:t xml:space="preserve">能积极配合</w:t>
      </w:r>
      <w:r>
        <w:rPr>
          <w:rFonts w:hint="eastAsia" w:ascii="宋体" w:hAnsi="宋体" w:eastAsia="宋体" w:cs="宋体"/>
          <w:color w:val="auto"/>
          <w:sz w:val="24"/>
          <w:szCs w:val="24"/>
          <w:highlight w:val="none"/>
          <w:lang w:val="en-US" w:eastAsia="zh-CN"/>
        </w:rPr>
        <w:t xml:space="preserve">泗洪县</w:t>
      </w:r>
      <w:r>
        <w:rPr>
          <w:rFonts w:hint="eastAsia" w:ascii="宋体" w:hAnsi="宋体" w:eastAsia="宋体" w:cs="宋体"/>
          <w:color w:val="auto"/>
          <w:sz w:val="24"/>
          <w:szCs w:val="24"/>
          <w:highlight w:val="none"/>
        </w:rPr>
        <w:t xml:space="preserve">强制免疫先打后补工作。</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p>
    <w:p>
      <w:pPr>
        <w:ind w:firstLine="482"/>
        <w:keepLines w:val="0"/>
        <w:keepNext w:val="0"/>
        <w:pageBreakBefore w:val="0"/>
        <w:spacing w:line="360" w:lineRule="auto"/>
        <w:rPr>
          <w:rFonts w:hint="eastAsia" w:ascii="宋体" w:hAnsi="宋体" w:eastAsia="宋体" w:cs="宋体"/>
          <w:b w:val="0"/>
          <w:bCs w:val="0"/>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4.3</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val="0"/>
          <w:i w:val="0"/>
          <w:iCs w:val="0"/>
          <w:color w:val="auto"/>
          <w:sz w:val="24"/>
          <w:szCs w:val="21"/>
          <w:highlight w:val="none"/>
          <w:u w:val="single"/>
          <w:lang w:val="en-US" w:eastAsia="zh-CN"/>
        </w:rPr>
        <w:t xml:space="preserve">根据“农办牧〔2018〕74号”文件规定，投标人必须对其自身市场行为自律做出郑重承诺：同一批准文号的入围品种疫苗在江苏省不得出现不同标签和说明书的产品，一经发现，立即终止合同并承担约定的违约金。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auto"/>
          <w:sz w:val="24"/>
          <w:szCs w:val="21"/>
          <w:highlight w:val="none"/>
          <w:u w:val="single"/>
          <w:lang w:val="en-US" w:eastAsia="zh-CN"/>
        </w:rPr>
        <w:t xml:space="preserve">（</w:t>
      </w:r>
      <w:r>
        <w:rPr>
          <w:rFonts w:hint="eastAsia" w:ascii="宋体" w:hAnsi="宋体" w:cs="宋体"/>
          <w:b/>
          <w:bCs/>
          <w:i w:val="0"/>
          <w:iCs w:val="0"/>
          <w:color w:val="auto"/>
          <w:sz w:val="24"/>
          <w:szCs w:val="21"/>
          <w:highlight w:val="none"/>
          <w:u w:val="single"/>
          <w:lang w:val="en-US" w:eastAsia="zh-CN"/>
        </w:rPr>
        <w:t xml:space="preserve">提供市场行为自律承诺书，格式详见第五章</w:t>
      </w:r>
      <w:r>
        <w:rPr>
          <w:rFonts w:hint="eastAsia" w:ascii="宋体" w:hAnsi="宋体" w:cs="宋体"/>
          <w:b w:val="0"/>
          <w:bCs w:val="0"/>
          <w:i w:val="0"/>
          <w:iCs w:val="0"/>
          <w:color w:val="auto"/>
          <w:sz w:val="24"/>
          <w:szCs w:val="21"/>
          <w:highlight w:val="none"/>
          <w:u w:val="singl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w:t>
      </w:r>
      <w:r>
        <w:rPr>
          <w:rFonts w:hint="eastAsia" w:ascii="宋体" w:hAnsi="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 货物验收</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rPr>
        <w:t xml:space="preserve">动物疫苗的验收，由</w:t>
      </w: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根据动物疫苗有关质量要求等实施验收，并出具验收合格书面证明；交货时收货方</w:t>
      </w:r>
      <w:r>
        <w:rPr>
          <w:rFonts w:hint="eastAsia" w:ascii="宋体" w:hAnsi="宋体" w:eastAsia="宋体" w:cs="宋体"/>
          <w:color w:val="auto"/>
          <w:sz w:val="24"/>
          <w:szCs w:val="21"/>
          <w:highlight w:val="none"/>
          <w:lang w:val="en-US" w:eastAsia="zh-CN"/>
        </w:rPr>
        <w:t xml:space="preserve">有权</w:t>
      </w:r>
      <w:r>
        <w:rPr>
          <w:rFonts w:hint="eastAsia" w:ascii="宋体" w:hAnsi="宋体" w:eastAsia="宋体" w:cs="宋体"/>
          <w:color w:val="auto"/>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w:t>
      </w:r>
      <w:r>
        <w:rPr>
          <w:rFonts w:hint="eastAsia" w:ascii="宋体" w:hAnsi="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合同部分内容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 交货期、交货方式及交货地点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交货期：接供货通知后，五日内发货；</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交货方式：按照疫苗的运输管理具体要求，快速送达交货地点。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交货地点：收货方指定地点。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 投标货币：人民币</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五、注意</w:t>
      </w:r>
      <w:r/>
    </w:p>
    <w:p>
      <w:pPr>
        <w:pStyle w:val="1224"/>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lang w:val="en-US" w:eastAsia="zh-CN"/>
        </w:rPr>
        <w:t xml:space="preserve">投标报价一次报定</w:t>
      </w:r>
      <w:r>
        <w:rPr>
          <w:rFonts w:hint="eastAsia" w:ascii="宋体" w:hAnsi="宋体" w:cs="宋体"/>
          <w:color w:val="auto"/>
          <w:sz w:val="24"/>
        </w:rPr>
        <w:t xml:space="preserve">。报价内容包括: </w:t>
      </w:r>
      <w:r>
        <w:rPr>
          <w:rFonts w:hint="eastAsia" w:ascii="Times New Roman" w:hAnsi="Times New Roman" w:eastAsia="宋体" w:cs="Times New Roman"/>
          <w:bCs/>
          <w:caps w:val="0"/>
          <w:color w:val="auto"/>
          <w:sz w:val="24"/>
          <w:highlight w:val="none"/>
          <w:lang w:val="en-US" w:eastAsia="zh-CN"/>
        </w:rPr>
        <w:t xml:space="preserve">货款、标准附件、备品备件、</w:t>
      </w:r>
      <w:r>
        <w:rPr>
          <w:rFonts w:hint="eastAsia" w:ascii="Times New Roman" w:hAnsi="Times New Roman" w:cs="Times New Roman"/>
          <w:bCs/>
          <w:caps w:val="0"/>
          <w:color w:val="auto"/>
          <w:sz w:val="24"/>
          <w:highlight w:val="none"/>
          <w:lang w:val="en-US" w:eastAsia="zh-CN"/>
        </w:rPr>
        <w:t xml:space="preserve">配套服务、</w:t>
      </w:r>
      <w:r>
        <w:rPr>
          <w:rFonts w:hint="eastAsia" w:ascii="Times New Roman" w:hAnsi="Times New Roman" w:eastAsia="宋体" w:cs="Times New Roman"/>
          <w:bCs/>
          <w:caps w:val="0"/>
          <w:color w:val="auto"/>
          <w:sz w:val="24"/>
          <w:highlight w:val="none"/>
          <w:lang w:val="en-US" w:eastAsia="zh-CN"/>
        </w:rPr>
        <w:t xml:space="preserve">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rPr>
          <w:rFonts w:hint="eastAsia" w:ascii="宋体" w:hAnsi="宋体" w:cs="宋体"/>
          <w:color w:val="auto"/>
          <w:sz w:val="24"/>
        </w:rPr>
        <w:t xml:space="preserve">。 </w:t>
      </w:r>
      <w:r/>
    </w:p>
    <w:p>
      <w:pPr>
        <w:pStyle w:val="1224"/>
        <w:ind w:firstLine="480"/>
        <w:keepLines w:val="0"/>
        <w:keepNext w:val="0"/>
        <w:pageBreakBefore w:val="0"/>
        <w:spacing w:line="360" w:lineRule="auto"/>
        <w:rPr>
          <w:rFonts w:hint="eastAsia" w:ascii="宋体" w:hAnsi="宋体" w:cs="宋体"/>
          <w:sz w:val="24"/>
        </w:rPr>
      </w:pPr>
      <w:r>
        <w:rPr>
          <w:rFonts w:hint="eastAsia" w:ascii="宋体" w:hAnsi="宋体" w:cs="宋体"/>
          <w:color w:val="auto"/>
          <w:sz w:val="24"/>
        </w:rPr>
        <w:t xml:space="preserve">（二）供应商报价时应充分考虑所有可能影响到报价的因素，一旦最终中标，总价将包定。不予调整。如发生漏、缺</w:t>
      </w:r>
      <w:r>
        <w:rPr>
          <w:rFonts w:hint="eastAsia" w:ascii="宋体" w:hAnsi="宋体" w:cs="宋体"/>
          <w:sz w:val="24"/>
        </w:rPr>
        <w:t xml:space="preserve">、少项，都将被认为是成交人的报价让利行为，损失自负。</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六、商品包装环保要求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层，空隙率不大于40%；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 需求必需使用不同材质，不同材质间应便于分离；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 100mg/kg；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七、快递包装环保要求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 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pStyle w:val="1225"/>
        <w:rPr>
          <w:rFonts w:hint="eastAsia" w:ascii="宋体" w:hAnsi="宋体" w:eastAsia="宋体" w:cs="宋体"/>
          <w:sz w:val="24"/>
          <w:szCs w:val="24"/>
        </w:rPr>
      </w:pPr>
      <w:r>
        <w:rPr>
          <w:rFonts w:hint="eastAsia" w:ascii="宋体" w:hAnsi="宋体" w:eastAsia="宋体" w:cs="宋体"/>
          <w:sz w:val="24"/>
          <w:szCs w:val="24"/>
        </w:rPr>
      </w:r>
      <w:r/>
    </w:p>
    <w:p>
      <w:pPr>
        <w:pStyle w:val="1225"/>
        <w:rPr>
          <w:rFonts w:hint="eastAsia" w:ascii="宋体" w:hAnsi="宋体" w:eastAsia="宋体" w:cs="宋体"/>
        </w:rPr>
      </w:pPr>
      <w:r>
        <w:rPr>
          <w:rFonts w:hint="eastAsia" w:ascii="宋体" w:hAnsi="宋体" w:eastAsia="宋体" w:cs="宋体"/>
        </w:rPr>
      </w:r>
      <w:r/>
    </w:p>
    <w:p>
      <w:pPr>
        <w:jc w:val="center"/>
        <w:rPr>
          <w:rFonts w:hint="eastAsia" w:eastAsia="黑体"/>
          <w:bCs/>
          <w:sz w:val="44"/>
        </w:rPr>
      </w:pPr>
      <w:r>
        <w:rPr>
          <w:rFonts w:eastAsia="黑体"/>
          <w:bCs/>
          <w:sz w:val="44"/>
        </w:rPr>
        <w:br w:type="page" w:clear="all"/>
      </w:r>
      <w:r>
        <w:rPr>
          <w:rFonts w:hint="eastAsia" w:eastAsia="黑体"/>
          <w:bCs/>
          <w:sz w:val="44"/>
        </w:rPr>
        <w:t xml:space="preserve">第五章  </w:t>
      </w:r>
      <w:r>
        <w:rPr>
          <w:rFonts w:hint="eastAsia" w:eastAsia="黑体"/>
          <w:b/>
          <w:bCs/>
          <w:sz w:val="44"/>
        </w:rPr>
        <w:t xml:space="preserve">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910"/>
        <w:tblW w:w="502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1"/>
        <w:gridCol w:w="4184"/>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rHeight w:val="90"/>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ascii="Times New Roman" w:hAnsi="Times New Roman" w:eastAsia="宋体" w:cs="Times New Roman"/>
                <w:sz w:val="21"/>
                <w:szCs w:val="22"/>
                <w:lang w:val="en-US" w:eastAsia="zh-CN" w:bidi="ar-SA"/>
              </w:rPr>
            </w:pPr>
            <w:r>
              <w:rPr>
                <w:rFonts w:hint="eastAsia"/>
                <w:szCs w:val="22"/>
              </w:rPr>
              <w:t xml:space="preserve">资格要求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ascii="Times New Roman" w:hAnsi="Times New Roman" w:eastAsia="宋体" w:cs="Times New Roman"/>
                <w:sz w:val="21"/>
                <w:szCs w:val="22"/>
                <w:lang w:val="en-US" w:eastAsia="zh-CN" w:bidi="ar-SA"/>
              </w:rPr>
            </w:pPr>
            <w:r>
              <w:rPr>
                <w:szCs w:val="22"/>
              </w:rPr>
              <w:t xml:space="preserve">符合招标文件要求</w:t>
            </w:r>
            <w:r/>
          </w:p>
        </w:tc>
      </w:tr>
      <w:tr>
        <w:trPr>
          <w:trHeight w:val="9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eastAsia="宋体"/>
                <w:szCs w:val="22"/>
                <w:lang w:val="en-US" w:eastAsia="zh-CN"/>
              </w:rPr>
            </w:pPr>
            <w:r>
              <w:rPr>
                <w:rFonts w:hint="eastAsia"/>
                <w:szCs w:val="22"/>
                <w:lang w:val="en-US" w:eastAsia="zh-CN"/>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91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w:t>
      </w:r>
      <w:r>
        <w:rPr>
          <w:rFonts w:hint="eastAsia" w:ascii="Times New Roman" w:hAnsi="Times New Roman" w:eastAsia="仿宋_GB2312" w:cs="Times New Roman"/>
          <w:b/>
          <w:caps w:val="0"/>
          <w:color w:val="auto"/>
          <w:sz w:val="28"/>
          <w:szCs w:val="22"/>
          <w:highlight w:val="white"/>
          <w:lang w:val="en-US" w:eastAsia="zh-CN"/>
        </w:rPr>
        <w:t xml:space="preserve">综合评分法</w:t>
      </w:r>
      <w:r/>
    </w:p>
    <w:p>
      <w:pPr>
        <w:ind w:firstLine="241"/>
        <w:jc w:val="both"/>
        <w:spacing w:line="500" w:lineRule="exact"/>
        <w:rPr>
          <w:rFonts w:hint="eastAsia" w:ascii="Times New Roman" w:hAnsi="Times New Roman" w:eastAsia="宋体" w:cs="Times New Roman"/>
          <w:caps w:val="0"/>
          <w:color w:val="auto"/>
          <w:sz w:val="24"/>
          <w:highlight w:val="white"/>
        </w:rPr>
      </w:pPr>
      <w:r>
        <w:rPr>
          <w:rFonts w:hint="eastAsia" w:eastAsia="仿宋_GB2312"/>
          <w:b/>
          <w:sz w:val="24"/>
          <w:highlight w:val="white"/>
        </w:rPr>
        <w:t xml:space="preserve">（一）评标办法：</w:t>
      </w:r>
      <w:r>
        <w:rPr>
          <w:rFonts w:hint="eastAsia" w:ascii="Times New Roman" w:hAnsi="Times New Roman" w:eastAsia="宋体" w:cs="Times New Roman"/>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white"/>
        </w:rPr>
      </w:pPr>
      <w:r>
        <w:rPr>
          <w:rFonts w:hint="eastAsia" w:ascii="Times New Roman" w:hAnsi="Times New Roman" w:eastAsia="宋体" w:cs="Times New Roman"/>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sz w:val="24"/>
          <w:highlight w:val="white"/>
        </w:rPr>
      </w:pPr>
      <w:r>
        <w:rPr>
          <w:rFonts w:hint="eastAsia" w:ascii="Times New Roman" w:hAnsi="Times New Roman" w:eastAsia="宋体" w:cs="Times New Roman"/>
          <w:caps w:val="0"/>
          <w:color w:val="auto"/>
          <w:sz w:val="24"/>
          <w:highlight w:val="white"/>
        </w:rPr>
        <w:t xml:space="preserve">综合评分保留至小数点后两位。</w:t>
      </w:r>
      <w:r>
        <w:rPr>
          <w:rFonts w:hint="eastAsia"/>
          <w:sz w:val="24"/>
          <w:highlight w:val="white"/>
        </w:rPr>
        <w:t xml:space="preserve"> </w:t>
      </w:r>
      <w:r/>
    </w:p>
    <w:p>
      <w:pPr>
        <w:ind w:firstLine="241"/>
        <w:jc w:val="left"/>
        <w:spacing w:line="500" w:lineRule="exact"/>
        <w:rPr>
          <w:rFonts w:hint="eastAsia" w:ascii="宋体" w:hAnsi="宋体" w:eastAsia="宋体" w:cs="宋体"/>
          <w:caps w:val="0"/>
          <w:color w:val="auto"/>
          <w:sz w:val="24"/>
          <w:highlight w:val="white"/>
        </w:rPr>
      </w:pPr>
      <w:r>
        <w:rPr>
          <w:rFonts w:hint="eastAsia" w:eastAsia="仿宋_GB2312"/>
          <w:b/>
          <w:sz w:val="24"/>
          <w:highlight w:val="white"/>
        </w:rPr>
        <w:t xml:space="preserve">（二）详细评审。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spacing w:line="500" w:lineRule="exact"/>
        <w:rPr>
          <w:rFonts w:hint="default" w:ascii="宋体" w:hAnsi="宋体" w:eastAsia="宋体" w:cs="宋体"/>
          <w:b/>
          <w:bCs/>
          <w:caps w:val="0"/>
          <w:color w:val="auto"/>
          <w:sz w:val="24"/>
          <w:highlight w:val="white"/>
          <w:lang w:val="en-US" w:eastAsia="zh-CN"/>
        </w:rPr>
      </w:pPr>
      <w:r>
        <w:rPr>
          <w:rFonts w:hint="eastAsia" w:ascii="宋体" w:hAnsi="宋体" w:cs="宋体"/>
          <w:b/>
          <w:bCs/>
          <w:caps w:val="0"/>
          <w:color w:val="auto"/>
          <w:sz w:val="24"/>
          <w:highlight w:val="white"/>
          <w:lang w:val="en-US" w:eastAsia="zh-CN"/>
        </w:rPr>
        <w:t xml:space="preserve">采购包1至采购包2评分标准：</w:t>
      </w:r>
      <w:r/>
    </w:p>
    <w:tbl>
      <w:tblPr>
        <w:tblStyle w:val="910"/>
        <w:tblW w:w="5287" w:type="pct"/>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66"/>
        <w:gridCol w:w="2090"/>
        <w:gridCol w:w="897"/>
        <w:gridCol w:w="3661"/>
      </w:tblGrid>
      <w:tr>
        <w:trPr>
          <w:trHeight w:val="422"/>
        </w:trPr>
        <w:tc>
          <w:tcPr>
            <w:gridSpan w:val="2"/>
            <w:tcW w:w="424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评审因素</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分数</w:t>
            </w:r>
            <w:r/>
          </w:p>
        </w:tc>
        <w:tc>
          <w:tcPr>
            <w:tcW w:w="3648"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评审标准</w:t>
            </w:r>
            <w:r/>
          </w:p>
        </w:tc>
      </w:tr>
      <w:tr>
        <w:trPr>
          <w:trHeight w:val="90"/>
        </w:trPr>
        <w:tc>
          <w:tcPr>
            <w:tcW w:w="2159"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报价分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30分</w:t>
            </w:r>
            <w:r>
              <w:rPr>
                <w:rFonts w:hint="eastAsia" w:ascii="宋体" w:hAnsi="宋体" w:cs="宋体"/>
                <w:sz w:val="21"/>
                <w:szCs w:val="21"/>
                <w:highlight w:val="none"/>
                <w:lang w:eastAsia="zh-CN"/>
              </w:rPr>
              <w:t xml:space="preserve">）</w:t>
            </w:r>
            <w:r/>
          </w:p>
        </w:tc>
        <w:tc>
          <w:tcPr>
            <w:tcW w:w="2083"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投标报价</w:t>
            </w:r>
            <w:r/>
          </w:p>
        </w:tc>
        <w:tc>
          <w:tcPr>
            <w:tcW w:w="894" w:type="dxa"/>
            <w:vAlign w:val="center"/>
            <w:textDirection w:val="lrTb"/>
            <w:noWrap w:val="false"/>
          </w:tcPr>
          <w:p>
            <w:pPr>
              <w:jc w:val="center"/>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0.00</w:t>
            </w:r>
            <w:r/>
          </w:p>
        </w:tc>
        <w:tc>
          <w:tcPr>
            <w:tcW w:w="3648"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价格分采用低价优先法，即满足招标文件要求且投标价格最低的投标报价为评标基准价，其价格为满分30分，其他投标人的价格分别按照下列公式计算：</w:t>
            </w:r>
            <w:r/>
          </w:p>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投标报价得分=（评标基准价/投标报价）×30，小数点保留2位。</w:t>
            </w:r>
            <w:r/>
          </w:p>
        </w:tc>
      </w:tr>
      <w:tr>
        <w:trPr>
          <w:trHeight w:val="90"/>
        </w:trPr>
        <w:tc>
          <w:tcPr>
            <w:tcW w:w="2159" w:type="dxa"/>
            <w:vAlign w:val="center"/>
            <w:vMerge w:val="restart"/>
            <w:textDirection w:val="lrTb"/>
            <w:noWrap w:val="false"/>
          </w:tcPr>
          <w:p>
            <w:pPr>
              <w:jc w:val="both"/>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产品质量控制</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8分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设备与工艺</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投标人提供主要生产设备清单和照片，提供关键技术创新案例和创新产品工艺佐证材料。提供满足生产的设备清单和照片得1分，提供关键技术创新案例和创新产品工艺佐证材料得1分。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原、辅材料</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使用原、辅料购买发票和供货合同</w:t>
            </w:r>
            <w:r>
              <w:rPr>
                <w:rFonts w:hint="eastAsia" w:ascii="宋体" w:hAnsi="宋体" w:cs="宋体"/>
                <w:color w:val="auto"/>
                <w:sz w:val="21"/>
                <w:szCs w:val="21"/>
                <w:lang w:val="en-US" w:eastAsia="zh-CN"/>
              </w:rPr>
              <w:t xml:space="preserve">扫描件的</w:t>
            </w:r>
            <w:r>
              <w:rPr>
                <w:rFonts w:hint="eastAsia" w:ascii="宋体" w:hAnsi="宋体" w:eastAsia="宋体" w:cs="宋体"/>
                <w:color w:val="auto"/>
                <w:sz w:val="21"/>
                <w:szCs w:val="21"/>
              </w:rPr>
              <w:t xml:space="preserve">得1分；提供原辅料足量用于实际生产的佐证资料，得1分。</w:t>
            </w:r>
            <w:r/>
          </w:p>
        </w:tc>
      </w:tr>
      <w:tr>
        <w:trPr>
          <w:trHeight w:val="1435"/>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自检与后续要求</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投标人提供企业202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实施批批检测佐证资料，提供对不符合质量要求产品实行一票否决实际案例或者相关评估记录资料，得1分；提供运输、储存、使用等环节风险调查报告和对有关风险采取预防或整改措施的实际案例</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 产品情况调查</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投标人对产品使用情况进行专项调查佐证材料。提供调查报告得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质量检测结果</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10分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CMA检测报告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的CMA检测报告，报告合格得5分，不合格不得分；或提供该品种疫苗202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连续批次批签发报告（显示质量合格），连续1批次得1分，最高5分。</w:t>
            </w:r>
            <w:r/>
          </w:p>
        </w:tc>
      </w:tr>
      <w:tr>
        <w:trPr>
          <w:trHeight w:val="1312"/>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抗体检测合格报告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5</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1月1日以来第三方机构</w:t>
            </w:r>
            <w:r>
              <w:rPr>
                <w:rFonts w:hint="eastAsia" w:ascii="宋体" w:hAnsi="宋体" w:eastAsia="宋体" w:cs="宋体"/>
                <w:color w:val="auto"/>
                <w:sz w:val="21"/>
                <w:szCs w:val="21"/>
                <w:highlight w:val="none"/>
              </w:rPr>
              <w:t xml:space="preserve">出具的抗体检测合格报告或履约证明，</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rHeight w:val="312"/>
        </w:trPr>
        <w:tc>
          <w:tcPr>
            <w:tcBorders>
              <w:top w:val="single" w:color="auto" w:sz="4" w:space="0"/>
            </w:tcBorders>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产品使用效果</w:t>
            </w:r>
            <w:r>
              <w:rPr>
                <w:rFonts w:hint="eastAsia" w:ascii="宋体" w:hAnsi="宋体" w:cs="宋体"/>
                <w:caps w:val="0"/>
                <w:color w:val="000000"/>
                <w:sz w:val="21"/>
                <w:szCs w:val="21"/>
                <w:highlight w:val="none"/>
                <w:lang w:val="en-US" w:eastAsia="zh-CN" w:bidi="ar-SA"/>
              </w:rPr>
              <w:t xml:space="preserve">（12分）</w:t>
            </w:r>
            <w:r/>
          </w:p>
        </w:tc>
        <w:tc>
          <w:tcPr>
            <w:tcW w:w="2083" w:type="dxa"/>
            <w:vAlign w:val="center"/>
            <w:textDirection w:val="lrTb"/>
            <w:noWrap w:val="false"/>
          </w:tcPr>
          <w:p>
            <w:pPr>
              <w:jc w:val="left"/>
              <w:spacing w:after="0" w:afterAutospacing="0"/>
              <w:widowControl w:val="off"/>
              <w:rPr>
                <w:rFonts w:hint="default"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6.00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cs="宋体"/>
                <w:caps w:val="0"/>
                <w:color w:val="auto"/>
                <w:sz w:val="21"/>
                <w:szCs w:val="21"/>
                <w:highlight w:val="none"/>
                <w:lang w:val="en-US" w:eastAsia="zh-CN" w:bidi="ar-SA"/>
              </w:rPr>
              <w:t xml:space="preserve">用户</w:t>
            </w:r>
            <w:r>
              <w:rPr>
                <w:rFonts w:hint="eastAsia" w:ascii="宋体" w:hAnsi="宋体" w:eastAsia="宋体" w:cs="宋体"/>
                <w:caps w:val="0"/>
                <w:color w:val="auto"/>
                <w:sz w:val="21"/>
                <w:szCs w:val="21"/>
                <w:highlight w:val="none"/>
                <w:lang w:val="en-US" w:eastAsia="zh-CN" w:bidi="ar-SA"/>
              </w:rPr>
              <w:t xml:space="preserve">（畜牧兽医部门或委托第三方检测机构）出具的该产品使用效果优良的检测报告（内容包括疫苗品种、检测数量、免疫抗体合格率等情况），</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用户评价</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6</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投标人提供用户（畜牧兽医部门</w:t>
            </w:r>
            <w:r>
              <w:rPr>
                <w:rFonts w:hint="eastAsia" w:ascii="宋体" w:hAnsi="宋体" w:cs="宋体"/>
                <w:caps w:val="0"/>
                <w:color w:val="auto"/>
                <w:sz w:val="21"/>
                <w:szCs w:val="21"/>
                <w:highlight w:val="none"/>
                <w:lang w:val="en-US" w:eastAsia="zh-CN" w:bidi="ar-SA"/>
              </w:rPr>
              <w:t xml:space="preserve">或</w:t>
            </w:r>
            <w:r>
              <w:rPr>
                <w:rFonts w:hint="eastAsia" w:ascii="宋体" w:hAnsi="宋体" w:eastAsia="宋体" w:cs="宋体"/>
                <w:caps w:val="0"/>
                <w:color w:val="auto"/>
                <w:sz w:val="21"/>
                <w:szCs w:val="21"/>
                <w:highlight w:val="none"/>
                <w:lang w:val="en-US" w:eastAsia="zh-CN" w:bidi="ar-SA"/>
              </w:rPr>
              <w:t xml:space="preserve">养殖场）对企业所提供服务合格的证明材料</w:t>
            </w:r>
            <w:r>
              <w:rPr>
                <w:rFonts w:hint="eastAsia" w:ascii="宋体" w:hAnsi="宋体" w:cs="宋体"/>
                <w:caps w:val="0"/>
                <w:color w:val="auto"/>
                <w:sz w:val="21"/>
                <w:szCs w:val="21"/>
                <w:highlight w:val="none"/>
                <w:lang w:val="en-US" w:eastAsia="zh-CN" w:bidi="ar-SA"/>
              </w:rPr>
              <w:t xml:space="preserve">扫描件</w:t>
            </w:r>
            <w:r>
              <w:rPr>
                <w:rFonts w:hint="eastAsia" w:ascii="宋体" w:hAnsi="宋体" w:eastAsia="宋体" w:cs="宋体"/>
                <w:cap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b w:val="0"/>
                <w:bCs/>
                <w:color w:val="auto"/>
                <w:sz w:val="21"/>
                <w:szCs w:val="21"/>
              </w:rPr>
              <w:t xml:space="preserve">服务与培训</w:t>
            </w: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35分</w:t>
            </w:r>
            <w:r>
              <w:rPr>
                <w:rFonts w:hint="eastAsia" w:ascii="宋体" w:hAnsi="宋体" w:cs="宋体"/>
                <w:b w:val="0"/>
                <w:bCs/>
                <w:color w:val="auto"/>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服务方案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供应商根据招标文件“第四章、采购需求-四、商务部分-4.2.1，</w:t>
            </w:r>
            <w:r>
              <w:rPr>
                <w:rFonts w:hint="eastAsia" w:ascii="宋体" w:hAnsi="宋体" w:eastAsia="宋体" w:cs="宋体"/>
                <w:caps w:val="0"/>
                <w:color w:val="auto"/>
                <w:sz w:val="21"/>
                <w:szCs w:val="21"/>
                <w:highlight w:val="none"/>
                <w:lang w:val="en-US" w:eastAsia="zh-CN" w:bidi="ar-SA"/>
              </w:rPr>
              <w:t xml:space="preserve">投标人提供其产品售前、售中、售后（包括小批量和小规格疫苗发货、有效期、储存和使用等环节）服务和免疫效果跟踪评价方案。优于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应急处理方案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供应商根据招标文件“第四章、采购需求-四、商务部分-4.2.2，</w:t>
            </w:r>
            <w:r>
              <w:rPr>
                <w:rFonts w:hint="eastAsia" w:ascii="宋体" w:hAnsi="宋体" w:eastAsia="宋体" w:cs="宋体"/>
                <w:color w:val="auto"/>
                <w:sz w:val="21"/>
                <w:szCs w:val="21"/>
              </w:rPr>
              <w:t xml:space="preserve">投标人提供快速便捷的免疫副反应理赔、用户反映问题处理、用户走访等方面的工作方案。优于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冷链运输方案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供应商根据招标文件“第四章、采购需求-四、商务部分-4.2.3，</w:t>
            </w:r>
            <w:r>
              <w:rPr>
                <w:rFonts w:hint="eastAsia" w:ascii="宋体" w:hAnsi="宋体" w:eastAsia="宋体" w:cs="宋体"/>
                <w:color w:val="auto"/>
                <w:sz w:val="21"/>
                <w:szCs w:val="21"/>
              </w:rPr>
              <w:t xml:space="preserve">投标人提供包含冷链运输方式、全程温度管理、突发事件处理等方面内容的冷链运输方案。优于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废弃疫苗瓶回收方案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供应商根据招标文件“第四章、采购需求-四、商务部分-4.2.4，</w:t>
            </w:r>
            <w:r>
              <w:rPr>
                <w:rFonts w:hint="eastAsia" w:ascii="宋体" w:hAnsi="宋体" w:eastAsia="宋体" w:cs="宋体"/>
                <w:color w:val="auto"/>
                <w:sz w:val="21"/>
                <w:szCs w:val="21"/>
              </w:rPr>
              <w:t xml:space="preserve">投标人提供协助废弃疫苗瓶回收、处理方案。优于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且有实际回收案例得5分；满足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培训方案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供应商根据招标文件“第四章、采购需求-四、商务部分-4.2.5，</w:t>
            </w:r>
            <w:r>
              <w:rPr>
                <w:rFonts w:hint="eastAsia" w:ascii="宋体" w:hAnsi="宋体" w:eastAsia="宋体" w:cs="宋体"/>
                <w:color w:val="auto"/>
                <w:sz w:val="21"/>
                <w:szCs w:val="21"/>
              </w:rPr>
              <w:t xml:space="preserve">投标人提供包括培训计划、培训内容、培训人次、师资力量、培训案例等方面内容的培训方案。优于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强制免疫“先打后补”实施方案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供应商根据招标文件“第四章、采购需求-四、商务部分-4.2.6，</w:t>
            </w:r>
            <w:r>
              <w:rPr>
                <w:rFonts w:hint="eastAsia" w:ascii="宋体" w:hAnsi="宋体" w:eastAsia="宋体" w:cs="宋体"/>
                <w:color w:val="auto"/>
                <w:sz w:val="21"/>
                <w:szCs w:val="21"/>
              </w:rPr>
              <w:t xml:space="preserve">投标人针对强制免疫“先打后补”政策实施过程中提供的落实措施，配套方案，成功案例（需同时提供当地动物防疫机构（部门）出具的相关证明），能积极配合</w:t>
            </w:r>
            <w:r>
              <w:rPr>
                <w:rFonts w:hint="eastAsia" w:ascii="宋体" w:hAnsi="宋体" w:cs="宋体"/>
                <w:color w:val="auto"/>
                <w:sz w:val="21"/>
                <w:szCs w:val="21"/>
                <w:lang w:val="en-US" w:eastAsia="zh-CN"/>
              </w:rPr>
              <w:t xml:space="preserve">泗洪县</w:t>
            </w:r>
            <w:r>
              <w:rPr>
                <w:rFonts w:hint="eastAsia" w:ascii="宋体" w:hAnsi="宋体" w:eastAsia="宋体" w:cs="宋体"/>
                <w:color w:val="auto"/>
                <w:sz w:val="21"/>
                <w:szCs w:val="21"/>
              </w:rPr>
              <w:t xml:space="preserve">各地强制免疫先打后补工作。优于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产品控制</w:t>
            </w:r>
            <w:r>
              <w:rPr>
                <w:rFonts w:hint="eastAsia" w:ascii="宋体" w:hAnsi="宋体" w:cs="宋体"/>
                <w:sz w:val="21"/>
                <w:szCs w:val="21"/>
                <w:lang w:val="en-US" w:eastAsia="zh-CN"/>
              </w:rPr>
              <w:t xml:space="preserve">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应商根据招标文件“第四章、采购需求-四、商务部分-4.2.</w:t>
            </w:r>
            <w:r>
              <w:rPr>
                <w:rFonts w:hint="eastAsia" w:ascii="宋体" w:hAnsi="宋体" w:cs="宋体"/>
                <w:color w:val="auto"/>
                <w:sz w:val="21"/>
                <w:szCs w:val="22"/>
                <w:highlight w:val="none"/>
                <w:rtl w:val="0"/>
                <w:lang w:val="en-US" w:eastAsia="zh-CN" w:bidi="ar-SA"/>
              </w:rPr>
              <w:t xml:space="preserve">7</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提供其所投产品的产品控制方案，包括但不限于</w:t>
            </w:r>
            <w:r>
              <w:rPr>
                <w:rFonts w:hint="eastAsia" w:ascii="宋体" w:hAnsi="宋体" w:eastAsia="宋体" w:cs="宋体"/>
                <w:color w:val="auto"/>
                <w:sz w:val="21"/>
                <w:szCs w:val="21"/>
                <w:highlight w:val="none"/>
              </w:rPr>
              <w:t xml:space="preserve">产品质量、创新研究、技术合作等品控措施</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c>
          <w:tcPr>
            <w:tcW w:w="2159"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企业业绩</w:t>
            </w:r>
            <w:r>
              <w:rPr>
                <w:rFonts w:hint="eastAsia" w:ascii="宋体" w:hAnsi="宋体" w:cs="宋体"/>
                <w:caps w:val="0"/>
                <w:color w:val="000000"/>
                <w:sz w:val="21"/>
                <w:szCs w:val="21"/>
                <w:highlight w:val="none"/>
                <w:lang w:val="en-US" w:eastAsia="zh-CN" w:bidi="ar-SA"/>
              </w:rPr>
              <w:t xml:space="preserve">（5分）</w:t>
            </w:r>
            <w:r/>
          </w:p>
        </w:tc>
        <w:tc>
          <w:tcPr>
            <w:tcW w:w="2083" w:type="dxa"/>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类似业绩</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cs="宋体"/>
                <w:caps w:val="0"/>
                <w:color w:val="000000"/>
                <w:sz w:val="21"/>
                <w:szCs w:val="21"/>
                <w:highlight w:val="none"/>
                <w:lang w:val="en-US" w:eastAsia="zh-CN" w:bidi="ar-SA"/>
              </w:rPr>
              <w:t xml:space="preserve">5</w:t>
            </w:r>
            <w:r>
              <w:rPr>
                <w:rFonts w:hint="eastAsia" w:ascii="宋体" w:hAnsi="宋体" w:eastAsia="宋体" w:cs="宋体"/>
                <w:caps w:val="0"/>
                <w:color w:val="000000"/>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1月1日以来（以合同签订时间为准）类似项目业绩的，每有一个得1分，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投标文件中提供</w:t>
            </w:r>
            <w:r>
              <w:rPr>
                <w:rFonts w:hint="eastAsia" w:ascii="宋体" w:hAnsi="宋体" w:eastAsia="宋体" w:cs="宋体"/>
                <w:color w:val="auto"/>
                <w:sz w:val="21"/>
                <w:szCs w:val="21"/>
                <w:highlight w:val="none"/>
              </w:rPr>
              <w:t xml:space="preserve">采购中标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扫描件及验收通过材料，三者缺一不可</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注：投标人提供的业绩将随中标结果公告同步公开。</w:t>
            </w:r>
            <w:r/>
          </w:p>
        </w:tc>
      </w:tr>
    </w:tbl>
    <w:p>
      <w:pPr>
        <w:spacing w:line="400" w:lineRule="exact"/>
        <w:rPr>
          <w:rFonts w:hint="eastAsia" w:eastAsia="仿宋_GB2312"/>
          <w:b/>
          <w:sz w:val="24"/>
          <w:highlight w:val="none"/>
        </w:rPr>
      </w:pPr>
      <w:r>
        <w:rPr>
          <w:rFonts w:hint="eastAsia" w:eastAsia="仿宋_GB2312"/>
          <w:b/>
          <w:sz w:val="24"/>
          <w:highlight w:val="none"/>
        </w:rPr>
      </w:r>
      <w:r/>
    </w:p>
    <w:p>
      <w:pPr>
        <w:ind w:firstLine="482"/>
        <w:spacing w:line="400" w:lineRule="exact"/>
        <w:rPr>
          <w:rFonts w:hint="eastAsia" w:ascii="宋体" w:hAnsi="宋体" w:cs="宋体"/>
          <w:sz w:val="24"/>
          <w:highlight w:val="whit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w:t>
      </w:r>
      <w:r>
        <w:rPr>
          <w:rFonts w:hint="eastAsia" w:ascii="宋体" w:hAnsi="宋体" w:cs="宋体"/>
          <w:sz w:val="24"/>
          <w:highlight w:val="white"/>
        </w:rPr>
        <w:t xml:space="preserve">告。</w:t>
      </w:r>
      <w:r/>
    </w:p>
    <w:p>
      <w:pPr>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numPr>
          <w:ilvl w:val="0"/>
          <w:numId w:val="0"/>
        </w:numPr>
        <w:ind w:firstLine="480"/>
        <w:spacing w:line="460" w:lineRule="exact"/>
        <w:rPr>
          <w:rFonts w:hint="eastAsia" w:cs="仿宋_GB2312"/>
          <w:sz w:val="24"/>
          <w:highlight w:val="white"/>
        </w:rPr>
      </w:pPr>
      <w:r>
        <w:rPr>
          <w:rFonts w:hint="eastAsia"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lang w:val="en-US" w:eastAsia="zh-CN"/>
        </w:rPr>
        <w:t xml:space="preserve">1</w:t>
      </w:r>
      <w:r>
        <w:rPr>
          <w:rFonts w:hint="eastAsia"/>
          <w:b/>
          <w:bCs/>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highlight w:val="green"/>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b/>
          <w:bCs/>
          <w:sz w:val="24"/>
          <w:u w:val="single"/>
        </w:rPr>
        <w:t xml:space="preserve"> </w:t>
      </w:r>
      <w:r>
        <w:rPr>
          <w:rFonts w:hint="eastAsia" w:cs="仿宋_GB2312"/>
          <w:b/>
          <w:bCs/>
          <w:sz w:val="24"/>
          <w:u w:val="single"/>
          <w:lang w:val="en-US" w:eastAsia="zh-CN"/>
        </w:rPr>
        <w:t xml:space="preserve">/ </w:t>
      </w:r>
      <w:r>
        <w:rPr>
          <w:rFonts w:hint="eastAsia" w:cs="仿宋_GB2312"/>
          <w:sz w:val="24"/>
        </w:rPr>
        <w:t xml:space="preserve">的扣</w:t>
      </w:r>
      <w:r>
        <w:rPr>
          <w:rFonts w:hint="eastAsia" w:cs="仿宋_GB2312"/>
          <w:sz w:val="24"/>
          <w:highlight w:val="white"/>
        </w:rPr>
        <w:t xml:space="preserve">除，用扣除后的价格参加评审。</w:t>
      </w:r>
      <w:r/>
    </w:p>
    <w:p>
      <w:pPr>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bookmarkEnd w:id="200"/>
      <w:r/>
      <w:bookmarkEnd w:id="201"/>
      <w:r/>
      <w:bookmarkEnd w:id="202"/>
      <w:r/>
      <w:r/>
    </w:p>
    <w:p>
      <w:pPr>
        <w:pStyle w:val="1162"/>
        <w:rPr>
          <w:rFonts w:hint="eastAsia" w:ascii="Times New Roman" w:hAnsi="Times New Roman"/>
        </w:rPr>
      </w:pPr>
      <w:r>
        <w:rPr>
          <w:rFonts w:hint="eastAsia" w:ascii="Times New Roman" w:hAnsi="Times New Roman"/>
        </w:rPr>
      </w:r>
      <w:r/>
    </w:p>
    <w:p>
      <w:pPr>
        <w:rPr>
          <w:sz w:val="20"/>
          <w:highlight w:val="white"/>
        </w:rPr>
      </w:pPr>
      <w:r/>
      <w:bookmarkStart w:id="204" w:name="_Toc120614284"/>
      <w:r>
        <w:rPr>
          <w:rFonts w:hint="eastAsia"/>
          <w:sz w:val="20"/>
          <w:highlight w:val="white"/>
        </w:rPr>
        <w:t xml:space="preserve"> </w:t>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t xml:space="preserve">第六章  投标文件格式</w:t>
      </w:r>
      <w:r/>
    </w:p>
    <w:p>
      <w:pPr>
        <w:jc w:val="center"/>
        <w:rPr>
          <w:rFonts w:hint="eastAsia"/>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964"/>
        <w:rPr>
          <w:b/>
          <w:bCs/>
          <w:sz w:val="32"/>
          <w:szCs w:val="32"/>
        </w:rPr>
      </w:pPr>
      <w:r>
        <w:rPr>
          <w:b/>
          <w:bCs/>
          <w:sz w:val="32"/>
          <w:szCs w:val="32"/>
        </w:rPr>
      </w:r>
      <w:r/>
    </w:p>
    <w:p>
      <w:pPr>
        <w:jc w:val="center"/>
        <w:spacing w:line="440" w:lineRule="exact"/>
        <w:rPr>
          <w:rFonts w:hint="eastAsia" w:ascii="宋体" w:hAnsi="宋体" w:eastAsia="宋体" w:cs="宋体"/>
          <w:b/>
          <w:bCs/>
          <w:sz w:val="32"/>
          <w:szCs w:val="32"/>
        </w:rPr>
      </w:pPr>
      <w:r>
        <w:rPr>
          <w:b/>
          <w:bCs/>
          <w:sz w:val="32"/>
          <w:szCs w:val="32"/>
        </w:rPr>
        <w:br w:type="page" w:clear="all"/>
      </w: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一、投标人响应承诺函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七、中小企业声明函</w:t>
      </w:r>
      <w:r>
        <w:rPr>
          <w:rFonts w:hint="eastAsia" w:ascii="宋体" w:hAnsi="宋体" w:cs="宋体"/>
          <w:sz w:val="28"/>
          <w:szCs w:val="28"/>
          <w:lang w:val="en-US" w:eastAsia="zh-CN"/>
        </w:rPr>
        <w:t xml:space="preserve">或</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九、所提供产品技术资料或样本等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十、投标货物、品牌规格、性能、交货期说明表</w:t>
      </w:r>
      <w:r/>
    </w:p>
    <w:p>
      <w:pPr>
        <w:ind w:firstLine="560"/>
        <w:spacing w:line="6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十一</w:t>
      </w:r>
      <w:r>
        <w:rPr>
          <w:rFonts w:hint="eastAsia" w:ascii="宋体" w:hAnsi="宋体" w:eastAsia="宋体" w:cs="宋体"/>
          <w:sz w:val="28"/>
          <w:szCs w:val="28"/>
          <w:lang w:val="en-US" w:eastAsia="zh-CN"/>
        </w:rPr>
        <w:t xml:space="preserve">、售后服务承诺书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rPr>
        <w:t xml:space="preserve">、项目组</w:t>
      </w:r>
      <w:r>
        <w:rPr>
          <w:rFonts w:hint="eastAsia" w:ascii="宋体" w:hAnsi="宋体" w:cs="宋体"/>
          <w:sz w:val="28"/>
          <w:szCs w:val="28"/>
          <w:lang w:val="en-US" w:eastAsia="zh-CN"/>
        </w:rPr>
        <w:t xml:space="preserve">人</w:t>
      </w:r>
      <w:r>
        <w:rPr>
          <w:rFonts w:hint="eastAsia" w:ascii="宋体" w:hAnsi="宋体" w:eastAsia="宋体" w:cs="宋体"/>
          <w:sz w:val="28"/>
          <w:szCs w:val="28"/>
        </w:rPr>
        <w:t xml:space="preserve">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十四、企业生产工艺、固化控制指标承诺书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十五、市场行为自律承诺书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、投标所需其他材料</w:t>
      </w:r>
      <w:r/>
    </w:p>
    <w:p>
      <w:pPr>
        <w:pStyle w:val="926"/>
        <w:rPr>
          <w:rFonts w:hint="eastAsia" w:ascii="宋体" w:hAnsi="宋体" w:eastAsia="宋体" w:cs="宋体"/>
          <w:caps w:val="0"/>
          <w:lang w:val="en-US" w:eastAsia="zh-CN"/>
        </w:rPr>
      </w:pPr>
      <w:r>
        <w:rPr>
          <w:rFonts w:hint="eastAsia" w:ascii="宋体" w:hAnsi="宋体" w:eastAsia="宋体" w:cs="宋体"/>
          <w:caps w:val="0"/>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bookmarkEnd w:id="207"/>
      <w:r/>
      <w:bookmarkEnd w:id="208"/>
      <w:r/>
      <w:bookmarkEnd w:id="209"/>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b/>
          <w:sz w:val="32"/>
          <w:szCs w:val="32"/>
        </w:rPr>
      </w:pPr>
      <w:r>
        <w:rPr>
          <w:rFonts w:hint="eastAsia" w:ascii="宋体" w:hAnsi="宋体" w:eastAsia="宋体" w:cs="宋体"/>
          <w:b/>
          <w:sz w:val="32"/>
          <w:szCs w:val="32"/>
        </w:rPr>
        <w:t xml:space="preserve">一、投标声明及承诺函</w:t>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1200"/>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1200"/>
        <w:ind w:firstLine="480"/>
        <w:rPr>
          <w:rFonts w:hint="eastAsia" w:ascii="宋体" w:hAnsi="宋体" w:eastAsia="宋体" w:cs="宋体"/>
        </w:rPr>
      </w:pPr>
      <w:r>
        <w:rPr>
          <w:rFonts w:hint="eastAsia" w:ascii="宋体" w:hAnsi="宋体" w:eastAsia="宋体" w:cs="宋体"/>
          <w:sz w:val="24"/>
          <w:szCs w:val="24"/>
        </w:rPr>
        <w:t xml:space="preserve">日期：    年    月   日</w:t>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二、投标人基本情况</w:t>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投标人基本情况表</w:t>
      </w:r>
      <w:r/>
    </w:p>
    <w:tbl>
      <w:tblPr>
        <w:tblStyle w:val="9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203"/>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20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四、法人授权书</w:t>
      </w:r>
      <w:r/>
    </w:p>
    <w:p>
      <w:pPr>
        <w:ind w:left="0" w:right="0" w:firstLine="482"/>
        <w:jc w:val="left"/>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jc w:val="left"/>
        <w:spacing w:before="240" w:after="24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注： 后附授权委托人身份证</w:t>
      </w:r>
      <w:r>
        <w:rPr>
          <w:rFonts w:hint="eastAsia" w:ascii="宋体" w:hAnsi="宋体" w:cs="宋体"/>
          <w:color w:val="auto"/>
          <w:sz w:val="24"/>
          <w:highlight w:val="none"/>
          <w:lang w:val="en-US" w:eastAsia="zh-CN"/>
        </w:rPr>
        <w:t xml:space="preserve">扫描件</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jc w:val="left"/>
        <w:spacing w:before="240" w:after="24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right="0"/>
        <w:jc w:val="left"/>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rPr>
          <w:rFonts w:hint="eastAsia" w:ascii="宋体" w:hAnsi="宋体" w:eastAsia="宋体" w:cs="宋体"/>
          <w:b/>
          <w:i/>
          <w:sz w:val="32"/>
          <w:szCs w:val="32"/>
          <w:u w:val="singl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rPr>
          <w:rFonts w:hint="eastAsia" w:ascii="宋体" w:hAnsi="宋体" w:eastAsia="宋体" w:cs="宋体"/>
          <w:sz w:val="24"/>
          <w:szCs w:val="20"/>
        </w:rPr>
      </w:pPr>
      <w:r>
        <w:rPr>
          <w:rFonts w:hint="eastAsia" w:ascii="宋体" w:hAnsi="宋体" w:eastAsia="宋体" w:cs="宋体"/>
          <w:b/>
          <w:i/>
          <w:sz w:val="32"/>
          <w:szCs w:val="32"/>
          <w:u w:val="single"/>
        </w:rPr>
        <w:br w:type="page" w:clear="all"/>
      </w:r>
      <w:r>
        <w:rPr>
          <w:rFonts w:hint="eastAsia" w:ascii="宋体" w:hAnsi="宋体" w:eastAsia="宋体" w:cs="宋体"/>
          <w:b/>
          <w:i/>
          <w:sz w:val="32"/>
          <w:szCs w:val="32"/>
          <w:u w:val="single"/>
        </w:rPr>
        <w:t xml:space="preserve">五、开标一览表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投标人全称（加盖CA电子签章）：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分包号：</w:t>
      </w:r>
      <w:r/>
    </w:p>
    <w:tbl>
      <w:tblPr>
        <w:tblStyle w:val="9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5960"/>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lang w:val="en-US" w:eastAsia="zh-CN"/>
              </w:rPr>
              <w:t xml:space="preserve">招标</w:t>
            </w:r>
            <w:r>
              <w:rPr>
                <w:rFonts w:hint="default" w:eastAsia="宋体" w:cs="宋体" w:asciiTheme="majorAscii" w:hAnsiTheme="majorAscii"/>
                <w:color w:val="000000"/>
                <w:sz w:val="24"/>
                <w:szCs w:val="24"/>
              </w:rPr>
              <w:t xml:space="preserve">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240" w:lineRule="auto"/>
              <w:rPr>
                <w:rFonts w:hint="default" w:eastAsia="宋体" w:cs="宋体" w:asciiTheme="majorAscii" w:hAnsiTheme="majorAscii"/>
                <w:sz w:val="24"/>
                <w:szCs w:val="24"/>
                <w:lang w:eastAsia="zh-CN"/>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sz w:val="24"/>
                <w:szCs w:val="24"/>
                <w:lang w:eastAsia="zh-CN"/>
              </w:rPr>
              <w:t xml:space="preserve">单价（元/毫升）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315"/>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1、开标一览表必须加盖投标人CA电子公章。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2、投标人投任何一个包的标的，都需单独填写开标一览表。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color w:val="000000"/>
          <w:sz w:val="24"/>
          <w:szCs w:val="24"/>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六、投标报价明细表</w:t>
      </w:r>
      <w:r/>
    </w:p>
    <w:p>
      <w:pPr>
        <w:rPr>
          <w:rFonts w:ascii="Times New Roman" w:hAnsi="Times New Roman"/>
          <w:sz w:val="24"/>
          <w:szCs w:val="24"/>
        </w:rPr>
      </w:pPr>
      <w:r>
        <w:rPr>
          <w:rFonts w:ascii="Times New Roman" w:hAnsi="Times New Roman"/>
          <w:sz w:val="24"/>
          <w:szCs w:val="24"/>
        </w:rPr>
      </w:r>
      <w:r/>
    </w:p>
    <w:p>
      <w:pPr>
        <w:rPr>
          <w:rFonts w:hint="default" w:ascii="Times New Roman" w:hAnsi="Times New Roman" w:eastAsia="宋体"/>
          <w:sz w:val="24"/>
          <w:szCs w:val="24"/>
          <w:lang w:val="en-US" w:eastAsia="zh-CN"/>
        </w:rPr>
      </w:pPr>
      <w:r>
        <w:rPr>
          <w:rFonts w:ascii="Times New Roman" w:hAnsi="Times New Roman"/>
          <w:sz w:val="24"/>
          <w:szCs w:val="24"/>
        </w:rPr>
        <w:t xml:space="preserve">投标人全称（加盖CA公章）：               </w:t>
      </w:r>
      <w:r>
        <w:rPr>
          <w:rFonts w:hint="eastAsia" w:ascii="Times New Roman" w:hAnsi="Times New Roman"/>
          <w:sz w:val="24"/>
          <w:szCs w:val="24"/>
          <w:lang w:val="en-US" w:eastAsia="zh-CN"/>
        </w:rPr>
        <w:t xml:space="preserve">                 分包号：</w:t>
      </w:r>
      <w:r/>
    </w:p>
    <w:tbl>
      <w:tblPr>
        <w:tblStyle w:val="910"/>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2126"/>
        <w:gridCol w:w="1701"/>
        <w:gridCol w:w="2097"/>
      </w:tblGrid>
      <w:tr>
        <w:trPr>
          <w:cantSplit/>
          <w:trHeight w:val="523"/>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p>
        </w:tc>
      </w:tr>
      <w:tr>
        <w:trPr>
          <w:cantSplit/>
          <w:trHeight w:val="282"/>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产品名称、品牌</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规格、型号</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产地</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单价（元/毫升）</w:t>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bl>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t xml:space="preserve">七、中小（微）企业声明函（货物）</w:t>
      </w:r>
      <w:r/>
    </w:p>
    <w:p>
      <w:pPr>
        <w:pStyle w:val="1216"/>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16"/>
        <w:jc w:val="center"/>
        <w:rPr>
          <w:rFonts w:hint="eastAsia" w:ascii="宋体" w:hAnsi="宋体" w:eastAsia="宋体" w:cs="宋体"/>
          <w:b/>
          <w:sz w:val="32"/>
          <w:szCs w:val="32"/>
        </w:rPr>
      </w:pPr>
      <w:r>
        <w:rPr>
          <w:rFonts w:hint="eastAsia" w:ascii="宋体" w:hAnsi="宋体" w:eastAsia="宋体" w:cs="宋体"/>
          <w:b/>
          <w:sz w:val="32"/>
          <w:szCs w:val="32"/>
          <w:lang w:val="en-US" w:eastAsia="zh-CN" w:bidi="ar-SA"/>
        </w:rPr>
        <w:t xml:space="preserve">中小（微）企业声明函（货物）</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采购活动，提供的货物</w:t>
      </w:r>
      <w:r>
        <w:rPr>
          <w:rFonts w:hint="eastAsia" w:ascii="宋体" w:hAnsi="宋体" w:eastAsia="宋体" w:cs="宋体"/>
          <w:b/>
          <w:bCs/>
          <w:sz w:val="24"/>
          <w:szCs w:val="24"/>
          <w:u w:val="single"/>
        </w:rPr>
        <w:t xml:space="preserve">全部</w:t>
      </w:r>
      <w:r>
        <w:rPr>
          <w:rFonts w:hint="eastAsia" w:ascii="宋体" w:hAnsi="宋体" w:eastAsia="宋体" w:cs="宋体"/>
          <w:sz w:val="24"/>
          <w:szCs w:val="24"/>
        </w:rPr>
        <w:t xml:space="preserve">由符合政策要求的中小企业制造。相关企业（含联合体中的中小企业、签订分包意向协议的中小企业）的具体情况如下：</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1、投标单位需声明出产品制造商的所属行业和中小企业情况（</w:t>
      </w:r>
      <w:r>
        <w:rPr>
          <w:rFonts w:hint="eastAsia" w:ascii="宋体" w:hAnsi="宋体" w:eastAsia="宋体" w:cs="宋体"/>
          <w:b/>
          <w:bCs/>
          <w:color w:val="auto"/>
          <w:sz w:val="21"/>
          <w:szCs w:val="21"/>
          <w:highlight w:val="none"/>
        </w:rPr>
        <w:t xml:space="preserve">中型企业、小型企业、微型企业</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；投标人如不提供此声明函，不得参加专门面向中小企业采购项目，</w:t>
      </w:r>
      <w:r>
        <w:rPr>
          <w:rFonts w:hint="eastAsia" w:ascii="宋体" w:hAnsi="宋体" w:eastAsia="宋体" w:cs="宋体"/>
          <w:b/>
          <w:bCs/>
          <w:color w:val="auto"/>
          <w:sz w:val="21"/>
          <w:szCs w:val="21"/>
          <w:highlight w:val="none"/>
          <w:lang w:val="en-US" w:eastAsia="zh-CN"/>
        </w:rPr>
        <w:t xml:space="preserve">此声明函将随成交结果同时公告，接受社会监督</w:t>
      </w:r>
      <w:r>
        <w:rPr>
          <w:rFonts w:hint="eastAsia" w:ascii="宋体" w:hAnsi="宋体" w:cs="宋体"/>
          <w:b/>
          <w:bCs/>
          <w:color w:val="auto"/>
          <w:sz w:val="21"/>
          <w:szCs w:val="21"/>
          <w:highlight w:val="none"/>
          <w:lang w:val="en-US" w:eastAsia="zh-CN"/>
        </w:rPr>
        <w:t xml:space="preserve">。</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从业人员、营业收入、资产总额填报上一年度数据，无上一年度数据的新成立企业可不填报。行业划分标准依据工信部联企业[2011]300号文的规定填写。</w:t>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18"/>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1204"/>
        <w:spacing w:line="360" w:lineRule="auto"/>
        <w:rPr>
          <w:rFonts w:hint="eastAsia" w:ascii="宋体" w:hAnsi="宋体" w:eastAsia="宋体" w:cs="宋体"/>
        </w:rPr>
      </w:pPr>
      <w:r>
        <w:rPr>
          <w:rFonts w:hint="eastAsia" w:ascii="宋体" w:hAnsi="宋体" w:eastAsia="宋体" w:cs="宋体"/>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八</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技术要求响应及偏离表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tbl>
      <w:tblPr>
        <w:tblStyle w:val="910"/>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1900"/>
      </w:tblGrid>
      <w:tr>
        <w:trPr>
          <w:trHeight w:val="570"/>
        </w:trPr>
        <w:tc>
          <w:tcPr>
            <w:tcW w:w="749"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82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投标货物技术要求</w:t>
            </w:r>
            <w:r/>
          </w:p>
        </w:tc>
        <w:tc>
          <w:tcPr>
            <w:tcW w:w="190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选择项（正偏离或符合或负偏离）</w:t>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88" w:lineRule="exact"/>
        <w:rPr>
          <w:rFonts w:hint="eastAsia" w:ascii="宋体" w:hAnsi="宋体" w:eastAsia="宋体" w:cs="宋体"/>
          <w:sz w:val="24"/>
        </w:rPr>
      </w:pPr>
      <w:r>
        <w:rPr>
          <w:rFonts w:hint="eastAsia" w:ascii="宋体" w:hAnsi="宋体" w:eastAsia="宋体" w:cs="宋体"/>
          <w:sz w:val="24"/>
        </w:rPr>
        <w:t xml:space="preserve">1.凡</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文件中所投货物或服务，均应在此表中“偏离内容及说明”一栏中详细列出并说明理由（内容较多的可以标注见</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文件第几页）。响应偏离情况使用：正偏离、负偏离或</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标明。</w:t>
      </w:r>
      <w:r/>
    </w:p>
    <w:p>
      <w:pPr>
        <w:spacing w:line="488" w:lineRule="exact"/>
        <w:rPr>
          <w:rFonts w:hint="eastAsia" w:ascii="宋体" w:hAnsi="宋体" w:eastAsia="宋体" w:cs="宋体"/>
          <w:sz w:val="24"/>
        </w:rPr>
      </w:pPr>
      <w:r>
        <w:rPr>
          <w:rFonts w:hint="eastAsia" w:ascii="宋体" w:hAnsi="宋体" w:eastAsia="宋体" w:cs="宋体"/>
          <w:sz w:val="24"/>
        </w:rPr>
        <w:t xml:space="preserve">2.投标人必须对技术要求和商务要求中的实质性要求做出明确响应，否则作无效</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处理。</w:t>
      </w:r>
      <w:r/>
    </w:p>
    <w:p>
      <w:pPr>
        <w:spacing w:line="488"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w:t>
      </w:r>
      <w:r>
        <w:rPr>
          <w:rFonts w:hint="eastAsia" w:ascii="宋体" w:hAnsi="宋体" w:cs="宋体"/>
          <w:sz w:val="24"/>
          <w:lang w:val="en-US" w:eastAsia="zh-CN"/>
        </w:rPr>
        <w:t xml:space="preserve">如</w:t>
      </w:r>
      <w:r>
        <w:rPr>
          <w:rFonts w:hint="eastAsia" w:ascii="宋体" w:hAnsi="宋体" w:eastAsia="宋体" w:cs="宋体"/>
          <w:sz w:val="24"/>
        </w:rPr>
        <w:t xml:space="preserve">要求提供证明材料</w:t>
      </w:r>
      <w:r>
        <w:rPr>
          <w:rFonts w:hint="eastAsia" w:ascii="宋体" w:hAnsi="宋体" w:cs="宋体"/>
          <w:sz w:val="24"/>
          <w:lang w:val="en-US" w:eastAsia="zh-CN"/>
        </w:rPr>
        <w:t xml:space="preserve">的</w:t>
      </w:r>
      <w:r>
        <w:rPr>
          <w:rFonts w:hint="eastAsia" w:ascii="宋体" w:hAnsi="宋体" w:eastAsia="宋体" w:cs="宋体"/>
          <w:sz w:val="24"/>
        </w:rPr>
        <w:t xml:space="preserve">，投标人</w:t>
      </w:r>
      <w:r>
        <w:rPr>
          <w:rFonts w:hint="eastAsia" w:ascii="宋体" w:hAnsi="宋体" w:cs="宋体"/>
          <w:sz w:val="24"/>
          <w:lang w:val="en-US" w:eastAsia="zh-CN"/>
        </w:rPr>
        <w:t xml:space="preserve">需</w:t>
      </w:r>
      <w:r>
        <w:rPr>
          <w:rFonts w:hint="eastAsia" w:ascii="宋体" w:hAnsi="宋体" w:eastAsia="宋体" w:cs="宋体"/>
          <w:sz w:val="24"/>
        </w:rPr>
        <w:t xml:space="preserve">将证明材料列于该表之下。</w:t>
      </w:r>
      <w:r/>
    </w:p>
    <w:p>
      <w:pPr>
        <w:spacing w:line="488" w:lineRule="exact"/>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.上述表格行数不够，可自行添加。</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sectPr>
          <w:headerReference w:type="default" r:id="rId12"/>
          <w:footerReference w:type="default" r:id="rId16"/>
          <w:footerReference w:type="first" r:id="rId17"/>
          <w:footnotePr/>
          <w:endnotePr/>
          <w:type w:val="nextPage"/>
          <w:pgSz w:w="11906" w:h="16838" w:orient="portrait"/>
          <w:pgMar w:top="1440" w:right="1800" w:bottom="1440" w:left="1800" w:header="851" w:footer="907" w:gutter="0"/>
          <w:cols w:num="1" w:sep="0" w:space="720" w:equalWidth="1"/>
          <w:docGrid w:linePitch="360"/>
        </w:sect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九、所提供产品技术资料或样本等</w:t>
      </w:r>
      <w:r/>
    </w:p>
    <w:p>
      <w:pPr>
        <w:jc w:val="center"/>
        <w:spacing w:line="360" w:lineRule="auto"/>
        <w:rPr>
          <w:rFonts w:hint="eastAsia" w:ascii="宋体" w:hAnsi="宋体" w:eastAsia="宋体" w:cs="宋体"/>
          <w:b/>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sz w:val="32"/>
          <w:szCs w:val="24"/>
          <w:lang w:val="en-US" w:eastAsia="zh-CN" w:bidi="ar-SA"/>
        </w:rPr>
        <w:t xml:space="preserve">格式自拟，可附相关产品技术彩页</w:t>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十、投标货物、品牌规格、性能、交货期说明表</w:t>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sz w:val="32"/>
          <w:szCs w:val="32"/>
        </w:rPr>
        <w:t xml:space="preserve">投标货物和服务数量、品牌规格、性能、交货期说明表</w:t>
      </w:r>
      <w:r/>
    </w:p>
    <w:tbl>
      <w:tblPr>
        <w:tblStyle w:val="910"/>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670"/>
        <w:gridCol w:w="1740"/>
        <w:gridCol w:w="945"/>
        <w:gridCol w:w="1770"/>
        <w:gridCol w:w="1215"/>
      </w:tblGrid>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spacing w:line="48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cs="宋体"/>
          <w:b/>
          <w:sz w:val="32"/>
          <w:szCs w:val="24"/>
          <w:lang w:val="en-US" w:eastAsia="zh-CN" w:bidi="ar-SA"/>
        </w:rPr>
        <w:t xml:space="preserve">十一</w:t>
      </w:r>
      <w:r>
        <w:rPr>
          <w:rFonts w:hint="eastAsia" w:ascii="宋体" w:hAnsi="宋体" w:eastAsia="宋体" w:cs="宋体"/>
          <w:b/>
          <w:sz w:val="32"/>
          <w:szCs w:val="24"/>
          <w:lang w:val="en-US" w:eastAsia="zh-CN" w:bidi="ar-SA"/>
        </w:rPr>
        <w:t xml:space="preserve">、售后服务承诺书</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售后服务承诺书</w:t>
      </w:r>
      <w:r/>
    </w:p>
    <w:tbl>
      <w:tblPr>
        <w:tblStyle w:val="910"/>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其中：免费更换</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79"/>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优惠更换或维修</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其他</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52"/>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ind w:firstLine="420"/>
        <w:spacing w:before="25" w:after="25" w:line="360" w:lineRule="auto"/>
        <w:rPr>
          <w:rFonts w:hint="eastAsia" w:ascii="宋体" w:hAnsi="宋体" w:cs="宋体"/>
          <w:szCs w:val="21"/>
        </w:rPr>
      </w:pPr>
      <w:r>
        <w:rPr>
          <w:rFonts w:hint="eastAsia" w:ascii="宋体" w:hAnsi="宋体" w:cs="宋体"/>
          <w:szCs w:val="21"/>
        </w:rPr>
        <w:t xml:space="preserve">注：1、上述1、2、3条请明确期限，4、5条请明确时间；</w:t>
      </w:r>
      <w:r/>
    </w:p>
    <w:p>
      <w:pPr>
        <w:ind w:firstLine="896"/>
        <w:spacing w:before="25" w:after="25" w:line="360" w:lineRule="auto"/>
        <w:rPr>
          <w:rFonts w:hint="eastAsia" w:ascii="宋体" w:hAnsi="宋体" w:cs="宋体"/>
          <w:szCs w:val="21"/>
        </w:rPr>
      </w:pPr>
      <w:r>
        <w:rPr>
          <w:rFonts w:hint="eastAsia" w:ascii="宋体" w:hAnsi="宋体" w:cs="宋体"/>
          <w:szCs w:val="21"/>
        </w:rPr>
        <w:t xml:space="preserve">2、免费质保期内更换及维修服务，均包含了人工、交通费、材料、运输等一切费用；</w:t>
      </w:r>
      <w:r/>
    </w:p>
    <w:p>
      <w:pPr>
        <w:ind w:firstLine="896"/>
        <w:spacing w:before="25" w:after="25" w:line="360" w:lineRule="auto"/>
        <w:rPr>
          <w:rFonts w:hint="eastAsia" w:ascii="宋体" w:hAnsi="宋体" w:cs="宋体"/>
          <w:szCs w:val="21"/>
        </w:rPr>
      </w:pPr>
      <w:r>
        <w:rPr>
          <w:rFonts w:hint="eastAsia" w:ascii="宋体" w:hAnsi="宋体" w:cs="宋体"/>
          <w:szCs w:val="21"/>
        </w:rPr>
        <w:t xml:space="preserve">3、针对服务内容有必须说明的事项，请在“备注”栏目内注明；</w:t>
      </w:r>
      <w:r/>
    </w:p>
    <w:p>
      <w:pPr>
        <w:ind w:firstLine="896"/>
        <w:spacing w:before="25" w:after="25" w:line="360" w:lineRule="auto"/>
        <w:rPr>
          <w:rFonts w:hint="eastAsia" w:ascii="宋体" w:hAnsi="宋体" w:cs="宋体"/>
          <w:szCs w:val="21"/>
        </w:rPr>
      </w:pPr>
      <w:r>
        <w:rPr>
          <w:rFonts w:hint="eastAsia" w:ascii="宋体" w:hAnsi="宋体" w:cs="宋体"/>
          <w:szCs w:val="21"/>
        </w:rPr>
        <w:t xml:space="preserve">4、如有其它售后服务内容，可自行参照填写。</w:t>
      </w:r>
      <w:r/>
    </w:p>
    <w:p>
      <w:pPr>
        <w:ind w:firstLine="96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lang w:val="en-US" w:eastAsia="zh-CN"/>
        </w:rPr>
        <w:t xml:space="preserve">十二</w:t>
      </w:r>
      <w:r>
        <w:rPr>
          <w:rFonts w:hint="eastAsia" w:ascii="宋体" w:hAnsi="宋体" w:eastAsia="宋体" w:cs="宋体"/>
        </w:rPr>
        <w:t xml:space="preserve">、项目组人员</w:t>
      </w:r>
      <w:r/>
    </w:p>
    <w:p>
      <w:pPr>
        <w:pStyle w:val="1145"/>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w:t>
      </w:r>
      <w:r>
        <w:rPr>
          <w:rFonts w:hint="eastAsia" w:cs="宋体"/>
          <w:b/>
          <w:bCs/>
          <w:sz w:val="32"/>
          <w:szCs w:val="32"/>
          <w:lang w:val="en-US" w:eastAsia="zh-CN" w:bidi="ar"/>
        </w:rPr>
        <w:t xml:space="preserve">人</w:t>
      </w:r>
      <w:r>
        <w:rPr>
          <w:rFonts w:hint="eastAsia" w:ascii="宋体" w:hAnsi="宋体" w:eastAsia="宋体" w:cs="宋体"/>
          <w:b/>
          <w:bCs/>
          <w:sz w:val="32"/>
          <w:szCs w:val="32"/>
          <w:lang w:bidi="ar"/>
        </w:rPr>
        <w:t xml:space="preserve">员</w:t>
      </w:r>
      <w:r/>
    </w:p>
    <w:tbl>
      <w:tblPr>
        <w:tblStyle w:val="91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280"/>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lang w:eastAsia="zh-CN"/>
              </w:rPr>
            </w:pPr>
            <w:r>
              <w:rPr>
                <w:rFonts w:hint="eastAsia" w:ascii="宋体" w:hAnsi="宋体" w:eastAsia="宋体" w:cs="宋体"/>
                <w:sz w:val="24"/>
                <w:szCs w:val="24"/>
                <w:lang w:bidi="ar"/>
              </w:rPr>
              <w:t xml:space="preserve">项目</w:t>
            </w:r>
            <w:r>
              <w:rPr>
                <w:rFonts w:hint="eastAsia" w:cs="宋体"/>
                <w:sz w:val="24"/>
                <w:szCs w:val="24"/>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ind w:firstLine="280"/>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1145"/>
        <w:ind w:firstLine="398"/>
        <w:spacing w:line="460" w:lineRule="exact"/>
        <w:rPr>
          <w:rFonts w:hint="eastAsia" w:ascii="宋体" w:hAnsi="宋体" w:eastAsia="宋体" w:cs="宋体"/>
        </w:rPr>
      </w:pPr>
      <w:r>
        <w:rPr>
          <w:rFonts w:hint="eastAsia" w:ascii="宋体" w:hAnsi="宋体" w:eastAsia="宋体" w:cs="宋体"/>
          <w:b/>
          <w:lang w:bidi="ar"/>
        </w:rPr>
        <w:t xml:space="preserve">注：如供应商中标，项目组成员必须按本表承诺人员操作，不得随意更换。</w:t>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209"/>
        <w:spacing w:line="500" w:lineRule="exact"/>
        <w:rPr>
          <w:rFonts w:hint="eastAsia" w:ascii="宋体" w:hAnsi="宋体" w:eastAsia="宋体" w:cs="宋体"/>
          <w:b/>
          <w:sz w:val="32"/>
        </w:rPr>
      </w:pPr>
      <w:r/>
      <w:bookmarkStart w:id="210" w:name="_Toc11176"/>
      <w:r/>
      <w:r/>
    </w:p>
    <w:p>
      <w:pPr>
        <w:pStyle w:val="1209"/>
        <w:spacing w:line="500" w:lineRule="exact"/>
        <w:rPr>
          <w:rFonts w:hint="eastAsia" w:ascii="宋体" w:hAnsi="宋体" w:eastAsia="宋体" w:cs="宋体"/>
          <w:b/>
          <w:sz w:val="32"/>
        </w:rPr>
      </w:pPr>
      <w:r>
        <w:rPr>
          <w:rFonts w:hint="eastAsia" w:ascii="宋体" w:hAnsi="宋体" w:eastAsia="宋体" w:cs="宋体"/>
          <w:b/>
          <w:sz w:val="32"/>
        </w:rPr>
      </w:r>
      <w:r/>
    </w:p>
    <w:p>
      <w:pPr>
        <w:pStyle w:val="1209"/>
        <w:spacing w:line="500" w:lineRule="exact"/>
        <w:rPr>
          <w:rFonts w:hint="eastAsia" w:ascii="宋体" w:hAnsi="宋体" w:eastAsia="宋体" w:cs="宋体"/>
        </w:rPr>
      </w:pPr>
      <w:r>
        <w:rPr>
          <w:rFonts w:hint="eastAsia" w:ascii="宋体" w:hAnsi="宋体" w:eastAsia="宋体" w:cs="宋体"/>
          <w:b/>
          <w:sz w:val="32"/>
        </w:rPr>
        <w:t xml:space="preserve">十</w:t>
      </w:r>
      <w:r>
        <w:rPr>
          <w:rFonts w:hint="eastAsia" w:ascii="宋体" w:hAnsi="宋体" w:cs="宋体"/>
          <w:b/>
          <w:sz w:val="32"/>
          <w:lang w:val="en-US" w:eastAsia="zh-CN"/>
        </w:rPr>
        <w:t xml:space="preserve">三</w:t>
      </w:r>
      <w:r>
        <w:rPr>
          <w:rFonts w:hint="eastAsia" w:ascii="宋体" w:hAnsi="宋体" w:eastAsia="宋体" w:cs="宋体"/>
          <w:b/>
          <w:sz w:val="32"/>
        </w:rPr>
        <w:t xml:space="preserve">、</w:t>
      </w:r>
      <w:bookmarkEnd w:id="210"/>
      <w:r>
        <w:rPr>
          <w:rFonts w:hint="eastAsia" w:ascii="宋体" w:hAnsi="宋体" w:eastAsia="宋体" w:cs="宋体"/>
          <w:b/>
          <w:sz w:val="32"/>
        </w:rPr>
        <w:t xml:space="preserve">企业业绩</w:t>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9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合同金额</w:t>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10"/>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pStyle w:val="1212"/>
        <w:rPr>
          <w:rFonts w:hint="eastAsia" w:ascii="宋体" w:hAnsi="宋体" w:eastAsia="宋体" w:cs="宋体"/>
        </w:rPr>
      </w:pPr>
      <w:r/>
      <w:bookmarkStart w:id="211" w:name="_Toc28140"/>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sectPr>
          <w:footerReference w:type="default" r:id="rId18"/>
          <w:footerReference w:type="first" r:id="rId19"/>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rPr>
        <w:br w:type="page" w:clear="all"/>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十四、企业生产工艺、固化控制指标承诺书</w:t>
      </w:r>
      <w:r/>
    </w:p>
    <w:p>
      <w:pPr>
        <w:pStyle w:val="1212"/>
        <w:rPr>
          <w:rFonts w:hint="eastAsia" w:ascii="宋体" w:hAnsi="宋体" w:eastAsia="宋体" w:cs="宋体"/>
          <w:lang w:val="en-US" w:eastAsia="zh-CN"/>
        </w:rPr>
      </w:pPr>
      <w:r>
        <w:rPr>
          <w:rFonts w:hint="eastAsia" w:ascii="宋体" w:hAnsi="宋体" w:eastAsia="宋体" w:cs="宋体"/>
          <w:lang w:val="en-US" w:eastAsia="zh-CN"/>
        </w:rPr>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企业生产工艺、固化控制指标承诺书</w:t>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项目名称：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分包号：</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本单位对所投产品提供以下承诺：</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 培养方法：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 抗原含量：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 佐剂类型:</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本单位若擅自改变疫苗生产工艺，一经发现，立即终止合同并承担约定的违约金。</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 </w:t>
      </w:r>
      <w:r/>
    </w:p>
    <w:p>
      <w:pPr>
        <w:pStyle w:val="1212"/>
        <w:rPr>
          <w:rFonts w:hint="eastAsia" w:ascii="宋体" w:hAnsi="宋体" w:eastAsia="宋体" w:cs="宋体"/>
          <w:sz w:val="24"/>
          <w:szCs w:val="24"/>
        </w:rPr>
      </w:pPr>
      <w:r>
        <w:rPr>
          <w:rFonts w:hint="eastAsia" w:ascii="宋体" w:hAnsi="宋体" w:eastAsia="宋体" w:cs="宋体"/>
          <w:sz w:val="24"/>
          <w:szCs w:val="24"/>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sz w:val="24"/>
          <w:szCs w:val="24"/>
        </w:rPr>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十五、市场行为自律承诺书</w:t>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t xml:space="preserve">市场行为自律承诺书</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ind w:firstLine="24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本单位在同一批准文号的入围品种疫苗在江苏省不得出现不同标签和说明书的产品，一经发现，立即终止合同并承担约定的违约金。</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07"/>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12"/>
        <w:rPr>
          <w:rFonts w:hint="eastAsia" w:ascii="宋体" w:hAnsi="宋体" w:eastAsia="宋体" w:cs="宋体"/>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六</w:t>
      </w:r>
      <w:r>
        <w:rPr>
          <w:rFonts w:hint="eastAsia" w:ascii="宋体" w:hAnsi="宋体" w:eastAsia="宋体" w:cs="宋体"/>
        </w:rPr>
        <w:t xml:space="preserve">、投标所需其他材料</w:t>
      </w:r>
      <w:bookmarkEnd w:id="211"/>
      <w:r/>
      <w:r/>
    </w:p>
    <w:p>
      <w:pPr>
        <w:pStyle w:val="1213"/>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04"/>
      <w:r/>
      <w:r/>
    </w:p>
    <w:p>
      <w:pPr>
        <w:rPr>
          <w:rFonts w:hint="eastAsia" w:eastAsia="黑体"/>
          <w:sz w:val="32"/>
        </w:rPr>
      </w:pPr>
      <w:r>
        <w:rPr>
          <w:rFonts w:hint="eastAsia" w:eastAsia="黑体"/>
          <w:sz w:val="32"/>
        </w:rPr>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943"/>
        <w:ind w:firstLine="0"/>
        <w:rPr>
          <w:rFonts w:hint="eastAsia"/>
          <w:sz w:val="24"/>
        </w:rPr>
      </w:pPr>
      <w:r/>
      <w:bookmarkStart w:id="212" w:name="_Hlt26955066"/>
      <w:r/>
      <w:bookmarkEnd w:id="212"/>
      <w:r/>
      <w:bookmarkStart w:id="213" w:name="_Hlt26671374"/>
      <w:r/>
      <w:bookmarkEnd w:id="213"/>
      <w:r/>
      <w:bookmarkStart w:id="214" w:name="_Hlt26609389"/>
      <w:r/>
      <w:bookmarkEnd w:id="214"/>
      <w:r/>
      <w:bookmarkStart w:id="215" w:name="_Toc462564146"/>
      <w:r/>
      <w:r/>
    </w:p>
    <w:p>
      <w:pPr>
        <w:rPr>
          <w:rFonts w:hint="eastAsia"/>
          <w:sz w:val="24"/>
        </w:rPr>
      </w:pPr>
      <w:r>
        <w:rPr>
          <w:rFonts w:hint="eastAsia"/>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bookmarkEnd w:id="194"/>
      <w:r/>
      <w:bookmarkEnd w:id="195"/>
      <w:r/>
      <w:bookmarkEnd w:id="215"/>
      <w:r/>
      <w:r/>
    </w:p>
    <w:p>
      <w:pPr>
        <w:pStyle w:val="1160"/>
        <w:ind w:firstLine="480"/>
        <w:rPr>
          <w:rFonts w:hint="eastAsia" w:ascii="Times New Roman" w:hAnsi="Times New Roman"/>
          <w:sz w:val="24"/>
        </w:rPr>
      </w:pPr>
      <w:r>
        <w:rPr>
          <w:rFonts w:hint="eastAsia" w:ascii="Times New Roman" w:hAnsi="Times New Roman"/>
          <w:sz w:val="24"/>
        </w:rPr>
      </w:r>
      <w:r/>
    </w:p>
    <w:p>
      <w:pPr>
        <w:jc w:val="center"/>
        <w:rPr>
          <w:rFonts w:cs="仿宋"/>
          <w:b/>
          <w:bCs/>
          <w:sz w:val="32"/>
          <w:szCs w:val="32"/>
        </w:rPr>
      </w:pPr>
      <w:r/>
      <w:bookmarkStart w:id="216" w:name="_格式2__法定代表人授权书"/>
      <w:r/>
      <w:bookmarkEnd w:id="216"/>
      <w:r/>
      <w:r/>
    </w:p>
    <w:p>
      <w:pPr>
        <w:jc w:val="center"/>
        <w:rPr>
          <w:rFonts w:cs="仿宋"/>
          <w:b/>
          <w:bCs/>
          <w:sz w:val="32"/>
          <w:szCs w:val="32"/>
        </w:rPr>
      </w:pPr>
      <w:r>
        <w:rPr>
          <w:rFonts w:cs="仿宋"/>
          <w:b/>
          <w:bCs/>
          <w:sz w:val="32"/>
          <w:szCs w:val="32"/>
        </w:rPr>
      </w:r>
      <w:r/>
    </w:p>
    <w:p>
      <w:pPr>
        <w:jc w:val="center"/>
        <w:rPr>
          <w:rFonts w:cs="仿宋"/>
          <w:b/>
          <w:bCs/>
          <w:sz w:val="32"/>
          <w:szCs w:val="32"/>
          <w:highlight w:val="yellow"/>
        </w:rPr>
      </w:pPr>
      <w:r>
        <w:rPr>
          <w:rFonts w:cs="仿宋"/>
          <w:b/>
          <w:bCs/>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3"/>
        <w:rPr>
          <w:rFonts w:hint="eastAsia"/>
          <w:sz w:val="24"/>
          <w:szCs w:val="24"/>
        </w:rPr>
      </w:pPr>
      <w:r>
        <w:rPr>
          <w:rFonts w:hint="eastAsia"/>
          <w:sz w:val="24"/>
          <w:szCs w:val="24"/>
        </w:rPr>
      </w:r>
      <w:r/>
    </w:p>
    <w:p>
      <w:pPr>
        <w:pStyle w:val="943"/>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9"/>
      <w:isLgl w:val="false"/>
      <w:suff w:val="nothing"/>
      <w:lvlText w:val=""/>
      <w:lvlJc w:val="left"/>
      <w:pPr>
        <w:ind w:left="0" w:firstLine="0"/>
      </w:pPr>
      <w:rPr>
        <w:rFonts w:hint="eastAsia"/>
      </w:rPr>
    </w:lvl>
    <w:lvl w:ilvl="6">
      <w:start w:val="1"/>
      <w:numFmt w:val="decimal"/>
      <w:pStyle w:val="1100"/>
      <w:isLgl w:val="false"/>
      <w:suff w:val="nothing"/>
      <w:lvlText w:val=""/>
      <w:lvlJc w:val="left"/>
      <w:pPr>
        <w:ind w:left="0" w:firstLine="0"/>
      </w:pPr>
      <w:rPr>
        <w:rFonts w:hint="eastAsia"/>
      </w:rPr>
    </w:lvl>
    <w:lvl w:ilvl="7">
      <w:start w:val="1"/>
      <w:numFmt w:val="decimal"/>
      <w:pStyle w:val="1101"/>
      <w:isLgl w:val="false"/>
      <w:suff w:val="nothing"/>
      <w:lvlText w:val=""/>
      <w:lvlJc w:val="left"/>
      <w:pPr>
        <w:ind w:left="0" w:firstLine="0"/>
      </w:pPr>
      <w:rPr>
        <w:rFonts w:hint="eastAsia"/>
      </w:rPr>
    </w:lvl>
    <w:lvl w:ilvl="8">
      <w:start w:val="1"/>
      <w:numFmt w:val="decimal"/>
      <w:pStyle w:val="1102"/>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default="1">
    <w:name w:val="Normal"/>
    <w:link w:val="12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0">
    <w:name w:val="Heading 1"/>
    <w:basedOn w:val="899"/>
    <w:next w:val="899"/>
    <w:link w:val="946"/>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947"/>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948"/>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911"/>
    <w:next w:val="912"/>
    <w:link w:val="949"/>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950"/>
    <w:uiPriority w:val="9"/>
    <w:unhideWhenUsed/>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951"/>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953"/>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954"/>
    <w:uiPriority w:val="9"/>
    <w:unhideWhenUsed/>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customStyle="1">
    <w:name w:val="Normal_22"/>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912">
    <w:name w:val="Normal Indent"/>
    <w:basedOn w:val="899"/>
    <w:next w:val="899"/>
    <w:uiPriority w:val="0"/>
    <w:qFormat/>
    <w:pPr>
      <w:ind w:firstLine="420"/>
    </w:pPr>
  </w:style>
  <w:style w:type="paragraph" w:styleId="913">
    <w:name w:val="toc 7"/>
    <w:basedOn w:val="899"/>
    <w:next w:val="899"/>
    <w:uiPriority w:val="0"/>
    <w:semiHidden/>
    <w:qFormat/>
    <w:pPr>
      <w:ind w:left="1260"/>
      <w:jc w:val="left"/>
    </w:pPr>
  </w:style>
  <w:style w:type="paragraph" w:styleId="914">
    <w:name w:val="Caption"/>
    <w:basedOn w:val="899"/>
    <w:next w:val="8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Document Map"/>
    <w:basedOn w:val="899"/>
    <w:uiPriority w:val="0"/>
    <w:semiHidden/>
    <w:qFormat/>
    <w:pPr>
      <w:shd w:val="clear" w:color="auto" w:fill="000080"/>
    </w:pPr>
  </w:style>
  <w:style w:type="paragraph" w:styleId="916">
    <w:name w:val="annotation text"/>
    <w:basedOn w:val="899"/>
    <w:uiPriority w:val="99"/>
    <w:semiHidden/>
    <w:unhideWhenUsed/>
    <w:qFormat/>
    <w:pPr>
      <w:jc w:val="left"/>
    </w:pPr>
  </w:style>
  <w:style w:type="paragraph" w:styleId="917">
    <w:name w:val="Body Text"/>
    <w:basedOn w:val="899"/>
    <w:next w:val="912"/>
    <w:uiPriority w:val="0"/>
    <w:qFormat/>
    <w:rPr>
      <w:rFonts w:ascii="楷体_GB2312" w:hAnsi="Arial" w:eastAsia="楷体_GB2312"/>
      <w:sz w:val="28"/>
      <w:szCs w:val="28"/>
    </w:rPr>
  </w:style>
  <w:style w:type="paragraph" w:styleId="918">
    <w:name w:val="Body Text Indent"/>
    <w:basedOn w:val="899"/>
    <w:uiPriority w:val="0"/>
    <w:qFormat/>
    <w:pPr>
      <w:ind w:left="420"/>
      <w:spacing w:after="120"/>
    </w:pPr>
  </w:style>
  <w:style w:type="paragraph" w:styleId="919">
    <w:name w:val="toc 5"/>
    <w:basedOn w:val="899"/>
    <w:next w:val="899"/>
    <w:uiPriority w:val="0"/>
    <w:semiHidden/>
    <w:qFormat/>
    <w:pPr>
      <w:ind w:left="840"/>
      <w:jc w:val="left"/>
    </w:pPr>
  </w:style>
  <w:style w:type="paragraph" w:styleId="920">
    <w:name w:val="toc 3"/>
    <w:basedOn w:val="899"/>
    <w:next w:val="899"/>
    <w:uiPriority w:val="0"/>
    <w:semiHidden/>
    <w:qFormat/>
    <w:pPr>
      <w:ind w:left="420"/>
      <w:jc w:val="left"/>
    </w:pPr>
    <w:rPr>
      <w:i/>
      <w:iCs/>
      <w:szCs w:val="24"/>
    </w:rPr>
  </w:style>
  <w:style w:type="paragraph" w:styleId="921">
    <w:name w:val="Plain Text"/>
    <w:basedOn w:val="899"/>
    <w:uiPriority w:val="0"/>
    <w:qFormat/>
    <w:rPr>
      <w:rFonts w:ascii="宋体" w:hAnsi="Courier New" w:cs="Courier New"/>
      <w:szCs w:val="21"/>
    </w:rPr>
  </w:style>
  <w:style w:type="paragraph" w:styleId="922">
    <w:name w:val="toc 8"/>
    <w:basedOn w:val="899"/>
    <w:next w:val="899"/>
    <w:uiPriority w:val="0"/>
    <w:semiHidden/>
    <w:qFormat/>
    <w:pPr>
      <w:ind w:left="1470"/>
      <w:jc w:val="left"/>
    </w:pPr>
  </w:style>
  <w:style w:type="paragraph" w:styleId="923">
    <w:name w:val="endnote text"/>
    <w:basedOn w:val="899"/>
    <w:link w:val="1092"/>
    <w:uiPriority w:val="99"/>
    <w:semiHidden/>
    <w:unhideWhenUsed/>
    <w:qFormat/>
    <w:pPr>
      <w:spacing w:after="0" w:line="240" w:lineRule="auto"/>
    </w:pPr>
    <w:rPr>
      <w:sz w:val="20"/>
    </w:rPr>
  </w:style>
  <w:style w:type="paragraph" w:styleId="924">
    <w:name w:val="Footer"/>
    <w:basedOn w:val="899"/>
    <w:link w:val="965"/>
    <w:uiPriority w:val="99"/>
    <w:unhideWhenUsed/>
    <w:qFormat/>
    <w:pPr>
      <w:spacing w:after="0" w:line="240" w:lineRule="auto"/>
      <w:tabs>
        <w:tab w:val="center" w:pos="7143" w:leader="none"/>
        <w:tab w:val="right" w:pos="14287" w:leader="none"/>
      </w:tabs>
    </w:pPr>
  </w:style>
  <w:style w:type="paragraph" w:styleId="925">
    <w:name w:val="Header"/>
    <w:basedOn w:val="899"/>
    <w:link w:val="963"/>
    <w:uiPriority w:val="99"/>
    <w:unhideWhenUsed/>
    <w:qFormat/>
    <w:pPr>
      <w:spacing w:after="0" w:line="240" w:lineRule="auto"/>
      <w:tabs>
        <w:tab w:val="center" w:pos="7143" w:leader="none"/>
        <w:tab w:val="right" w:pos="14287" w:leader="none"/>
      </w:tabs>
    </w:pPr>
  </w:style>
  <w:style w:type="paragraph" w:styleId="926">
    <w:name w:val="toc 1"/>
    <w:basedOn w:val="899"/>
    <w:next w:val="899"/>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name w:val="toc 4"/>
    <w:basedOn w:val="899"/>
    <w:next w:val="899"/>
    <w:uiPriority w:val="0"/>
    <w:semiHidden/>
    <w:qFormat/>
    <w:pPr>
      <w:ind w:left="630"/>
      <w:jc w:val="left"/>
    </w:pPr>
  </w:style>
  <w:style w:type="paragraph" w:styleId="928">
    <w:name w:val="Subtitle"/>
    <w:basedOn w:val="899"/>
    <w:next w:val="899"/>
    <w:link w:val="958"/>
    <w:uiPriority w:val="11"/>
    <w:qFormat/>
    <w:pPr>
      <w:spacing w:before="200" w:after="200"/>
    </w:pPr>
    <w:rPr>
      <w:sz w:val="24"/>
      <w:szCs w:val="24"/>
    </w:rPr>
  </w:style>
  <w:style w:type="paragraph" w:styleId="929">
    <w:name w:val="footnote text"/>
    <w:basedOn w:val="899"/>
    <w:link w:val="1091"/>
    <w:uiPriority w:val="99"/>
    <w:semiHidden/>
    <w:unhideWhenUsed/>
    <w:qFormat/>
    <w:pPr>
      <w:spacing w:after="40" w:line="240" w:lineRule="auto"/>
    </w:pPr>
    <w:rPr>
      <w:sz w:val="18"/>
    </w:rPr>
  </w:style>
  <w:style w:type="paragraph" w:styleId="930">
    <w:name w:val="toc 6"/>
    <w:basedOn w:val="899"/>
    <w:next w:val="899"/>
    <w:uiPriority w:val="0"/>
    <w:semiHidden/>
    <w:qFormat/>
    <w:pPr>
      <w:ind w:left="1050"/>
      <w:jc w:val="left"/>
    </w:pPr>
  </w:style>
  <w:style w:type="paragraph" w:styleId="931">
    <w:name w:val="table of figures"/>
    <w:basedOn w:val="899"/>
    <w:next w:val="899"/>
    <w:uiPriority w:val="99"/>
    <w:unhideWhenUsed/>
    <w:qFormat/>
    <w:pPr>
      <w:spacing w:after="0" w:afterAutospacing="0"/>
    </w:pPr>
  </w:style>
  <w:style w:type="paragraph" w:styleId="932">
    <w:name w:val="toc 2"/>
    <w:basedOn w:val="899"/>
    <w:next w:val="899"/>
    <w:uiPriority w:val="0"/>
    <w:semiHidden/>
    <w:qFormat/>
    <w:pPr>
      <w:ind w:left="210"/>
      <w:jc w:val="left"/>
    </w:pPr>
    <w:rPr>
      <w:smallCaps/>
      <w:szCs w:val="24"/>
    </w:rPr>
  </w:style>
  <w:style w:type="paragraph" w:styleId="933">
    <w:name w:val="toc 9"/>
    <w:basedOn w:val="899"/>
    <w:next w:val="899"/>
    <w:uiPriority w:val="0"/>
    <w:semiHidden/>
    <w:qFormat/>
    <w:pPr>
      <w:ind w:left="1680"/>
      <w:jc w:val="left"/>
    </w:pPr>
  </w:style>
  <w:style w:type="paragraph" w:styleId="934">
    <w:name w:val="List Continue 2"/>
    <w:basedOn w:val="899"/>
    <w:next w:val="899"/>
    <w:uiPriority w:val="0"/>
    <w:qFormat/>
    <w:pPr>
      <w:ind w:left="840"/>
      <w:spacing w:after="120"/>
    </w:pPr>
  </w:style>
  <w:style w:type="paragraph" w:styleId="935">
    <w:name w:val="Normal (Web)"/>
    <w:basedOn w:val="899"/>
    <w:uiPriority w:val="99"/>
    <w:semiHidden/>
    <w:unhideWhenUsed/>
    <w:qFormat/>
    <w:pPr>
      <w:ind w:left="0" w:right="0"/>
      <w:jc w:val="left"/>
      <w:spacing w:before="0" w:beforeAutospacing="1" w:after="0" w:afterAutospacing="1"/>
    </w:pPr>
    <w:rPr>
      <w:sz w:val="24"/>
      <w:lang w:val="en-US" w:eastAsia="zh-CN" w:bidi="ar"/>
    </w:rPr>
  </w:style>
  <w:style w:type="paragraph" w:styleId="936">
    <w:name w:val="Title"/>
    <w:basedOn w:val="899"/>
    <w:next w:val="899"/>
    <w:link w:val="957"/>
    <w:uiPriority w:val="10"/>
    <w:qFormat/>
    <w:pPr>
      <w:contextualSpacing/>
      <w:spacing w:before="300" w:after="200"/>
    </w:pPr>
    <w:rPr>
      <w:sz w:val="48"/>
      <w:szCs w:val="48"/>
    </w:rPr>
  </w:style>
  <w:style w:type="paragraph" w:styleId="937">
    <w:name w:val="Body Text First Indent"/>
    <w:basedOn w:val="917"/>
    <w:uiPriority w:val="0"/>
    <w:qFormat/>
    <w:pPr>
      <w:ind w:firstLine="420"/>
      <w:spacing w:after="120"/>
    </w:pPr>
    <w:rPr>
      <w:rFonts w:ascii="Calibri"/>
    </w:rPr>
  </w:style>
  <w:style w:type="table" w:styleId="9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正文文本11"/>
    <w:basedOn w:val="899"/>
    <w:next w:val="943"/>
    <w:uiPriority w:val="0"/>
    <w:qFormat/>
    <w:rPr>
      <w:rFonts w:ascii="楷体_GB2312" w:hAnsi="Arial" w:eastAsia="楷体_GB2312"/>
      <w:sz w:val="28"/>
      <w:szCs w:val="28"/>
    </w:rPr>
  </w:style>
  <w:style w:type="paragraph" w:styleId="943" w:customStyle="1">
    <w:name w:val="正文缩进1"/>
    <w:basedOn w:val="899"/>
    <w:next w:val="899"/>
    <w:link w:val="1108"/>
    <w:uiPriority w:val="0"/>
    <w:qFormat/>
    <w:pPr>
      <w:ind w:firstLine="420"/>
    </w:pPr>
  </w:style>
  <w:style w:type="paragraph" w:styleId="944"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45" w:customStyle="1">
    <w:name w:val="Normal_0_1"/>
    <w:next w:val="912"/>
    <w:uiPriority w:val="0"/>
    <w:qFormat/>
    <w:pPr>
      <w:jc w:val="both"/>
      <w:widowControl w:val="off"/>
    </w:pPr>
    <w:rPr>
      <w:rFonts w:hint="default" w:ascii="Times New Roman" w:hAnsi="Times New Roman" w:eastAsia="宋体" w:cs="Times New Roman"/>
      <w:lang w:val="en-US" w:eastAsia="zh-CN" w:bidi="ar-SA"/>
    </w:rPr>
  </w:style>
  <w:style w:type="character" w:styleId="946" w:customStyle="1">
    <w:name w:val="Heading 1 Char"/>
    <w:link w:val="900"/>
    <w:uiPriority w:val="9"/>
    <w:qFormat/>
    <w:rPr>
      <w:rFonts w:ascii="Arial" w:hAnsi="Arial" w:eastAsia="Arial" w:cs="Arial"/>
      <w:sz w:val="40"/>
      <w:szCs w:val="40"/>
    </w:rPr>
  </w:style>
  <w:style w:type="character" w:styleId="947" w:customStyle="1">
    <w:name w:val="Heading 2 Char"/>
    <w:link w:val="901"/>
    <w:uiPriority w:val="9"/>
    <w:qFormat/>
    <w:rPr>
      <w:rFonts w:ascii="Arial" w:hAnsi="Arial" w:eastAsia="Arial" w:cs="Arial"/>
      <w:sz w:val="34"/>
    </w:rPr>
  </w:style>
  <w:style w:type="character" w:styleId="948" w:customStyle="1">
    <w:name w:val="Heading 3 Char"/>
    <w:link w:val="902"/>
    <w:uiPriority w:val="9"/>
    <w:qFormat/>
    <w:rPr>
      <w:rFonts w:ascii="Arial" w:hAnsi="Arial" w:eastAsia="Arial" w:cs="Arial"/>
      <w:sz w:val="30"/>
      <w:szCs w:val="30"/>
    </w:rPr>
  </w:style>
  <w:style w:type="character" w:styleId="949" w:customStyle="1">
    <w:name w:val="Heading 4 Char"/>
    <w:link w:val="903"/>
    <w:uiPriority w:val="9"/>
    <w:qFormat/>
    <w:rPr>
      <w:rFonts w:ascii="Arial" w:hAnsi="Arial" w:eastAsia="Arial" w:cs="Arial"/>
      <w:b/>
      <w:bCs/>
      <w:sz w:val="26"/>
      <w:szCs w:val="26"/>
    </w:rPr>
  </w:style>
  <w:style w:type="character" w:styleId="950" w:customStyle="1">
    <w:name w:val="Heading 5 Char"/>
    <w:link w:val="904"/>
    <w:uiPriority w:val="9"/>
    <w:qFormat/>
    <w:rPr>
      <w:rFonts w:ascii="Arial" w:hAnsi="Arial" w:eastAsia="Arial" w:cs="Arial"/>
      <w:b/>
      <w:bCs/>
      <w:sz w:val="24"/>
      <w:szCs w:val="24"/>
    </w:rPr>
  </w:style>
  <w:style w:type="character" w:styleId="951" w:customStyle="1">
    <w:name w:val="Heading 6 Char"/>
    <w:link w:val="905"/>
    <w:uiPriority w:val="9"/>
    <w:qFormat/>
    <w:rPr>
      <w:rFonts w:ascii="Arial" w:hAnsi="Arial" w:eastAsia="Arial" w:cs="Arial"/>
      <w:b/>
      <w:bCs/>
      <w:sz w:val="22"/>
      <w:szCs w:val="22"/>
    </w:rPr>
  </w:style>
  <w:style w:type="character" w:styleId="952" w:customStyle="1">
    <w:name w:val="Heading 7 Char"/>
    <w:link w:val="906"/>
    <w:uiPriority w:val="9"/>
    <w:qFormat/>
    <w:rPr>
      <w:rFonts w:ascii="Arial" w:hAnsi="Arial" w:eastAsia="Arial" w:cs="Arial"/>
      <w:b/>
      <w:bCs/>
      <w:i/>
      <w:iCs/>
      <w:sz w:val="22"/>
      <w:szCs w:val="22"/>
    </w:rPr>
  </w:style>
  <w:style w:type="character" w:styleId="953" w:customStyle="1">
    <w:name w:val="Heading 8 Char"/>
    <w:link w:val="907"/>
    <w:uiPriority w:val="9"/>
    <w:qFormat/>
    <w:rPr>
      <w:rFonts w:ascii="Arial" w:hAnsi="Arial" w:eastAsia="Arial" w:cs="Arial"/>
      <w:i/>
      <w:iCs/>
      <w:sz w:val="22"/>
      <w:szCs w:val="22"/>
    </w:rPr>
  </w:style>
  <w:style w:type="character" w:styleId="954" w:customStyle="1">
    <w:name w:val="Heading 9 Char"/>
    <w:link w:val="908"/>
    <w:uiPriority w:val="9"/>
    <w:qFormat/>
    <w:rPr>
      <w:rFonts w:ascii="Arial" w:hAnsi="Arial" w:eastAsia="Arial" w:cs="Arial"/>
      <w:i/>
      <w:iCs/>
      <w:sz w:val="21"/>
      <w:szCs w:val="21"/>
    </w:rPr>
  </w:style>
  <w:style w:type="paragraph" w:styleId="955">
    <w:name w:val="List Paragraph"/>
    <w:basedOn w:val="899"/>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6"/>
    <w:uiPriority w:val="10"/>
    <w:qFormat/>
    <w:rPr>
      <w:sz w:val="48"/>
      <w:szCs w:val="48"/>
    </w:rPr>
  </w:style>
  <w:style w:type="character" w:styleId="958" w:customStyle="1">
    <w:name w:val="Subtitle Char"/>
    <w:link w:val="928"/>
    <w:uiPriority w:val="11"/>
    <w:qFormat/>
    <w:rPr>
      <w:sz w:val="24"/>
      <w:szCs w:val="24"/>
    </w:rPr>
  </w:style>
  <w:style w:type="paragraph" w:styleId="959">
    <w:name w:val="Quote"/>
    <w:basedOn w:val="899"/>
    <w:next w:val="899"/>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9"/>
    <w:next w:val="899"/>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5"/>
    <w:uiPriority w:val="99"/>
    <w:qFormat/>
  </w:style>
  <w:style w:type="character" w:styleId="964" w:customStyle="1">
    <w:name w:val="Footer Char"/>
    <w:link w:val="924"/>
    <w:uiPriority w:val="99"/>
    <w:qFormat/>
  </w:style>
  <w:style w:type="character" w:styleId="965" w:customStyle="1">
    <w:name w:val="Caption Char"/>
    <w:link w:val="924"/>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9"/>
    <w:uiPriority w:val="99"/>
    <w:qFormat/>
    <w:rPr>
      <w:sz w:val="18"/>
    </w:rPr>
  </w:style>
  <w:style w:type="character" w:styleId="1092" w:customStyle="1">
    <w:name w:val="Endnote Text Char"/>
    <w:link w:val="923"/>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9"/>
    <w:next w:val="899"/>
    <w:link w:val="1105"/>
    <w:uiPriority w:val="0"/>
    <w:qFormat/>
    <w:pPr>
      <w:jc w:val="center"/>
      <w:keepNext/>
      <w:outlineLvl w:val="0"/>
    </w:pPr>
    <w:rPr>
      <w:rFonts w:ascii="楷体_GB2312" w:eastAsia="楷体_GB2312"/>
      <w:sz w:val="28"/>
      <w:szCs w:val="28"/>
    </w:rPr>
  </w:style>
  <w:style w:type="paragraph" w:styleId="1095" w:customStyle="1">
    <w:name w:val="标题 21"/>
    <w:basedOn w:val="899"/>
    <w:next w:val="899"/>
    <w:link w:val="11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6" w:customStyle="1">
    <w:name w:val="标题 31"/>
    <w:basedOn w:val="899"/>
    <w:next w:val="943"/>
    <w:link w:val="1107"/>
    <w:uiPriority w:val="0"/>
    <w:qFormat/>
    <w:pPr>
      <w:keepLines/>
      <w:keepNext/>
      <w:spacing w:before="260" w:after="260" w:line="416" w:lineRule="auto"/>
      <w:outlineLvl w:val="2"/>
    </w:pPr>
    <w:rPr>
      <w:b/>
      <w:bCs/>
      <w:sz w:val="32"/>
      <w:szCs w:val="32"/>
    </w:rPr>
  </w:style>
  <w:style w:type="paragraph" w:styleId="1097" w:customStyle="1">
    <w:name w:val="标题 41"/>
    <w:basedOn w:val="899"/>
    <w:next w:val="943"/>
    <w:link w:val="1109"/>
    <w:uiPriority w:val="0"/>
    <w:qFormat/>
    <w:pPr>
      <w:keepLines/>
      <w:keepNext/>
      <w:spacing w:before="280" w:after="290" w:line="376" w:lineRule="auto"/>
      <w:outlineLvl w:val="3"/>
    </w:pPr>
    <w:rPr>
      <w:rFonts w:ascii="Arial" w:hAnsi="Arial" w:eastAsia="黑体" w:cs="Arial"/>
      <w:b/>
      <w:bCs/>
      <w:sz w:val="28"/>
      <w:szCs w:val="28"/>
    </w:rPr>
  </w:style>
  <w:style w:type="paragraph" w:styleId="1098" w:customStyle="1">
    <w:name w:val="标题 51"/>
    <w:basedOn w:val="899"/>
    <w:next w:val="943"/>
    <w:link w:val="1110"/>
    <w:uiPriority w:val="0"/>
    <w:qFormat/>
    <w:pPr>
      <w:keepNext/>
      <w:outlineLvl w:val="4"/>
    </w:pPr>
    <w:rPr>
      <w:rFonts w:ascii="宋体"/>
      <w:color w:val="000000"/>
      <w:sz w:val="28"/>
      <w:szCs w:val="28"/>
    </w:rPr>
  </w:style>
  <w:style w:type="paragraph" w:styleId="1099" w:customStyle="1">
    <w:name w:val="标题 61"/>
    <w:basedOn w:val="899"/>
    <w:next w:val="899"/>
    <w:link w:val="11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0" w:customStyle="1">
    <w:name w:val="标题 71"/>
    <w:basedOn w:val="899"/>
    <w:next w:val="899"/>
    <w:link w:val="1112"/>
    <w:uiPriority w:val="0"/>
    <w:qFormat/>
    <w:pPr>
      <w:numPr>
        <w:ilvl w:val="6"/>
        <w:numId w:val="1"/>
      </w:numPr>
      <w:keepLines/>
      <w:keepNext/>
      <w:spacing w:before="240" w:after="64" w:line="320" w:lineRule="auto"/>
      <w:outlineLvl w:val="6"/>
    </w:pPr>
    <w:rPr>
      <w:b/>
      <w:bCs/>
      <w:sz w:val="24"/>
      <w:szCs w:val="24"/>
    </w:rPr>
  </w:style>
  <w:style w:type="paragraph" w:styleId="1101" w:customStyle="1">
    <w:name w:val="标题 81"/>
    <w:basedOn w:val="899"/>
    <w:next w:val="899"/>
    <w:link w:val="11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2" w:customStyle="1">
    <w:name w:val="标题 91"/>
    <w:basedOn w:val="899"/>
    <w:next w:val="899"/>
    <w:link w:val="1114"/>
    <w:uiPriority w:val="0"/>
    <w:qFormat/>
    <w:pPr>
      <w:numPr>
        <w:ilvl w:val="8"/>
        <w:numId w:val="1"/>
      </w:numPr>
      <w:keepLines/>
      <w:keepNext/>
      <w:spacing w:before="240" w:after="64" w:line="320" w:lineRule="auto"/>
      <w:outlineLvl w:val="8"/>
    </w:pPr>
    <w:rPr>
      <w:rFonts w:ascii="Arial" w:hAnsi="Arial" w:eastAsia="黑体"/>
    </w:rPr>
  </w:style>
  <w:style w:type="character" w:styleId="1103" w:customStyle="1">
    <w:name w:val="默认段落字体1"/>
    <w:link w:val="899"/>
    <w:uiPriority w:val="1"/>
    <w:unhideWhenUsed/>
    <w:qFormat/>
  </w:style>
  <w:style w:type="table" w:styleId="1104" w:customStyle="1">
    <w:name w:val="普通表格1"/>
    <w:uiPriority w:val="99"/>
    <w:unhideWhenUsed/>
    <w:qFormat/>
    <w:tblPr/>
  </w:style>
  <w:style w:type="character" w:styleId="1105" w:customStyle="1">
    <w:name w:val="标题 1 字符"/>
    <w:link w:val="1094"/>
    <w:uiPriority w:val="0"/>
    <w:qFormat/>
    <w:rPr>
      <w:rFonts w:ascii="楷体_GB2312" w:hAnsi="Times New Roman" w:eastAsia="楷体_GB2312" w:cs="Times New Roman"/>
      <w:sz w:val="28"/>
      <w:szCs w:val="28"/>
    </w:rPr>
  </w:style>
  <w:style w:type="character" w:styleId="1106" w:customStyle="1">
    <w:name w:val="标题 2 字符"/>
    <w:link w:val="1095"/>
    <w:uiPriority w:val="0"/>
    <w:qFormat/>
    <w:rPr>
      <w:rFonts w:ascii="Arial" w:hAnsi="Arial" w:eastAsia="幼圆" w:cs="Arial"/>
      <w:b/>
      <w:bCs/>
      <w:sz w:val="44"/>
      <w:szCs w:val="44"/>
    </w:rPr>
  </w:style>
  <w:style w:type="character" w:styleId="1107" w:customStyle="1">
    <w:name w:val="标题 3 字符"/>
    <w:link w:val="1096"/>
    <w:uiPriority w:val="0"/>
    <w:qFormat/>
    <w:rPr>
      <w:rFonts w:ascii="Times New Roman" w:hAnsi="Times New Roman" w:eastAsia="宋体" w:cs="Times New Roman"/>
      <w:b/>
      <w:bCs/>
      <w:sz w:val="32"/>
      <w:szCs w:val="32"/>
    </w:rPr>
  </w:style>
  <w:style w:type="character" w:styleId="1108" w:customStyle="1">
    <w:name w:val="正文缩进 字符"/>
    <w:link w:val="943"/>
    <w:uiPriority w:val="0"/>
    <w:qFormat/>
    <w:rPr>
      <w:rFonts w:ascii="Times New Roman" w:hAnsi="Times New Roman" w:eastAsia="宋体" w:cs="Times New Roman"/>
      <w:szCs w:val="21"/>
    </w:rPr>
  </w:style>
  <w:style w:type="character" w:styleId="1109" w:customStyle="1">
    <w:name w:val="标题 4 字符"/>
    <w:link w:val="1097"/>
    <w:uiPriority w:val="0"/>
    <w:qFormat/>
    <w:rPr>
      <w:rFonts w:ascii="Arial" w:hAnsi="Arial" w:eastAsia="黑体" w:cs="Arial"/>
      <w:b/>
      <w:bCs/>
      <w:sz w:val="28"/>
      <w:szCs w:val="28"/>
    </w:rPr>
  </w:style>
  <w:style w:type="character" w:styleId="1110" w:customStyle="1">
    <w:name w:val="标题 5 字符"/>
    <w:link w:val="1098"/>
    <w:uiPriority w:val="0"/>
    <w:qFormat/>
    <w:rPr>
      <w:rFonts w:ascii="宋体" w:hAnsi="Times New Roman" w:eastAsia="宋体" w:cs="Times New Roman"/>
      <w:color w:val="000000"/>
      <w:sz w:val="28"/>
      <w:szCs w:val="28"/>
    </w:rPr>
  </w:style>
  <w:style w:type="character" w:styleId="1111" w:customStyle="1">
    <w:name w:val="标题 6 字符"/>
    <w:link w:val="1099"/>
    <w:uiPriority w:val="0"/>
    <w:qFormat/>
    <w:rPr>
      <w:rFonts w:ascii="Arial" w:hAnsi="Arial" w:eastAsia="黑体" w:cs="Times New Roman"/>
      <w:b/>
      <w:bCs/>
      <w:sz w:val="24"/>
      <w:szCs w:val="24"/>
    </w:rPr>
  </w:style>
  <w:style w:type="character" w:styleId="1112" w:customStyle="1">
    <w:name w:val="标题 7 字符"/>
    <w:link w:val="1100"/>
    <w:uiPriority w:val="0"/>
    <w:qFormat/>
    <w:rPr>
      <w:rFonts w:ascii="Times New Roman" w:hAnsi="Times New Roman" w:eastAsia="宋体" w:cs="Times New Roman"/>
      <w:b/>
      <w:bCs/>
      <w:sz w:val="24"/>
      <w:szCs w:val="24"/>
    </w:rPr>
  </w:style>
  <w:style w:type="character" w:styleId="1113" w:customStyle="1">
    <w:name w:val="标题 8 字符"/>
    <w:link w:val="1101"/>
    <w:uiPriority w:val="0"/>
    <w:qFormat/>
    <w:rPr>
      <w:rFonts w:ascii="Arial" w:hAnsi="Arial" w:eastAsia="黑体" w:cs="Times New Roman"/>
      <w:sz w:val="24"/>
      <w:szCs w:val="24"/>
    </w:rPr>
  </w:style>
  <w:style w:type="character" w:styleId="1114" w:customStyle="1">
    <w:name w:val="标题 9 字符"/>
    <w:link w:val="1102"/>
    <w:uiPriority w:val="0"/>
    <w:qFormat/>
    <w:rPr>
      <w:rFonts w:ascii="Arial" w:hAnsi="Arial" w:eastAsia="黑体" w:cs="Times New Roman"/>
      <w:szCs w:val="21"/>
    </w:rPr>
  </w:style>
  <w:style w:type="paragraph" w:styleId="1115" w:customStyle="1">
    <w:name w:val="列表 31"/>
    <w:basedOn w:val="899"/>
    <w:uiPriority w:val="0"/>
    <w:qFormat/>
    <w:pPr>
      <w:ind w:left="100" w:hanging="200"/>
    </w:pPr>
  </w:style>
  <w:style w:type="paragraph" w:styleId="1116" w:customStyle="1">
    <w:name w:val="文档结构图1"/>
    <w:basedOn w:val="899"/>
    <w:link w:val="1117"/>
    <w:uiPriority w:val="0"/>
    <w:semiHidden/>
    <w:qFormat/>
    <w:pPr>
      <w:shd w:val="clear" w:color="auto" w:fill="000080"/>
    </w:pPr>
  </w:style>
  <w:style w:type="character" w:styleId="1117" w:customStyle="1">
    <w:name w:val="文档结构图 字符"/>
    <w:link w:val="1116"/>
    <w:uiPriority w:val="0"/>
    <w:semiHidden/>
    <w:qFormat/>
    <w:rPr>
      <w:rFonts w:ascii="Times New Roman" w:hAnsi="Times New Roman" w:eastAsia="宋体" w:cs="Times New Roman"/>
      <w:szCs w:val="21"/>
      <w:shd w:val="clear" w:color="auto" w:fill="000080"/>
    </w:rPr>
  </w:style>
  <w:style w:type="paragraph" w:styleId="1118" w:customStyle="1">
    <w:name w:val="批注文字1"/>
    <w:basedOn w:val="899"/>
    <w:link w:val="1119"/>
    <w:uiPriority w:val="0"/>
    <w:semiHidden/>
    <w:qFormat/>
    <w:pPr>
      <w:jc w:val="left"/>
    </w:pPr>
  </w:style>
  <w:style w:type="character" w:styleId="1119" w:customStyle="1">
    <w:name w:val="批注文字 字符"/>
    <w:link w:val="1118"/>
    <w:uiPriority w:val="0"/>
    <w:semiHidden/>
    <w:qFormat/>
    <w:rPr>
      <w:rFonts w:ascii="Times New Roman" w:hAnsi="Times New Roman" w:eastAsia="宋体" w:cs="Times New Roman"/>
      <w:szCs w:val="21"/>
    </w:rPr>
  </w:style>
  <w:style w:type="paragraph" w:styleId="1120" w:customStyle="1">
    <w:name w:val="正文文本 31"/>
    <w:basedOn w:val="899"/>
    <w:link w:val="1121"/>
    <w:uiPriority w:val="0"/>
    <w:qFormat/>
    <w:rPr>
      <w:rFonts w:ascii="仿宋_GB2312" w:hAnsi="Arial" w:eastAsia="仿宋_GB2312"/>
      <w:sz w:val="32"/>
      <w:szCs w:val="32"/>
    </w:rPr>
  </w:style>
  <w:style w:type="character" w:styleId="1121" w:customStyle="1">
    <w:name w:val="正文文本 3 字符"/>
    <w:link w:val="1120"/>
    <w:uiPriority w:val="0"/>
    <w:qFormat/>
    <w:rPr>
      <w:rFonts w:ascii="仿宋_GB2312" w:hAnsi="Arial" w:eastAsia="仿宋_GB2312" w:cs="Times New Roman"/>
      <w:sz w:val="32"/>
      <w:szCs w:val="32"/>
    </w:rPr>
  </w:style>
  <w:style w:type="paragraph" w:styleId="1122" w:customStyle="1">
    <w:name w:val="正文文本1"/>
    <w:basedOn w:val="899"/>
    <w:link w:val="1123"/>
    <w:uiPriority w:val="0"/>
    <w:qFormat/>
    <w:rPr>
      <w:rFonts w:ascii="楷体_GB2312" w:hAnsi="Arial" w:eastAsia="楷体_GB2312"/>
      <w:sz w:val="28"/>
      <w:szCs w:val="28"/>
    </w:rPr>
  </w:style>
  <w:style w:type="character" w:styleId="1123" w:customStyle="1">
    <w:name w:val="正文文本 字符"/>
    <w:link w:val="1122"/>
    <w:uiPriority w:val="0"/>
    <w:qFormat/>
    <w:rPr>
      <w:rFonts w:ascii="楷体_GB2312" w:hAnsi="Arial" w:eastAsia="楷体_GB2312" w:cs="Times New Roman"/>
      <w:sz w:val="28"/>
      <w:szCs w:val="28"/>
    </w:rPr>
  </w:style>
  <w:style w:type="paragraph" w:styleId="1124" w:customStyle="1">
    <w:name w:val="正文文本缩进1"/>
    <w:basedOn w:val="899"/>
    <w:next w:val="899"/>
    <w:link w:val="1125"/>
    <w:uiPriority w:val="0"/>
    <w:qFormat/>
    <w:pPr>
      <w:ind w:firstLine="645"/>
    </w:pPr>
    <w:rPr>
      <w:rFonts w:ascii="楷体_GB2312" w:eastAsia="楷体_GB2312"/>
      <w:sz w:val="32"/>
      <w:szCs w:val="32"/>
    </w:rPr>
  </w:style>
  <w:style w:type="character" w:styleId="1125" w:customStyle="1">
    <w:name w:val="正文文本缩进 字符"/>
    <w:link w:val="1124"/>
    <w:uiPriority w:val="0"/>
    <w:qFormat/>
    <w:rPr>
      <w:rFonts w:ascii="楷体_GB2312" w:hAnsi="Times New Roman" w:eastAsia="楷体_GB2312" w:cs="Times New Roman"/>
      <w:sz w:val="32"/>
      <w:szCs w:val="32"/>
    </w:rPr>
  </w:style>
  <w:style w:type="paragraph" w:styleId="1126" w:customStyle="1">
    <w:name w:val="列表 21"/>
    <w:basedOn w:val="899"/>
    <w:uiPriority w:val="0"/>
    <w:qFormat/>
    <w:pPr>
      <w:ind w:left="100" w:hanging="200"/>
    </w:pPr>
  </w:style>
  <w:style w:type="paragraph" w:styleId="1127" w:customStyle="1">
    <w:name w:val="纯文本1"/>
    <w:basedOn w:val="899"/>
    <w:link w:val="1128"/>
    <w:uiPriority w:val="0"/>
    <w:qFormat/>
    <w:rPr>
      <w:rFonts w:ascii="宋体" w:hAnsi="Courier New" w:cs="Courier New"/>
    </w:rPr>
  </w:style>
  <w:style w:type="character" w:styleId="1128" w:customStyle="1">
    <w:name w:val="纯文本 字符"/>
    <w:link w:val="1127"/>
    <w:uiPriority w:val="0"/>
    <w:qFormat/>
    <w:rPr>
      <w:rFonts w:ascii="宋体" w:hAnsi="Courier New" w:eastAsia="宋体" w:cs="Courier New"/>
      <w:szCs w:val="21"/>
    </w:rPr>
  </w:style>
  <w:style w:type="paragraph" w:styleId="1129" w:customStyle="1">
    <w:name w:val="日期1"/>
    <w:basedOn w:val="899"/>
    <w:next w:val="899"/>
    <w:link w:val="1130"/>
    <w:uiPriority w:val="0"/>
    <w:qFormat/>
    <w:rPr>
      <w:sz w:val="24"/>
      <w:szCs w:val="24"/>
    </w:rPr>
  </w:style>
  <w:style w:type="character" w:styleId="1130" w:customStyle="1">
    <w:name w:val="日期 字符"/>
    <w:link w:val="1129"/>
    <w:uiPriority w:val="0"/>
    <w:qFormat/>
    <w:rPr>
      <w:rFonts w:ascii="Times New Roman" w:hAnsi="Times New Roman" w:eastAsia="宋体" w:cs="Times New Roman"/>
      <w:sz w:val="24"/>
      <w:szCs w:val="24"/>
    </w:rPr>
  </w:style>
  <w:style w:type="paragraph" w:styleId="1131" w:customStyle="1">
    <w:name w:val="正文文本缩进 21"/>
    <w:basedOn w:val="899"/>
    <w:link w:val="1132"/>
    <w:uiPriority w:val="0"/>
    <w:qFormat/>
    <w:pPr>
      <w:ind w:left="630" w:firstLine="645"/>
    </w:pPr>
    <w:rPr>
      <w:rFonts w:ascii="Arial" w:hAnsi="Arial" w:eastAsia="仿宋_GB2312" w:cs="Arial"/>
      <w:sz w:val="32"/>
      <w:szCs w:val="32"/>
    </w:rPr>
  </w:style>
  <w:style w:type="character" w:styleId="1132" w:customStyle="1">
    <w:name w:val="正文文本缩进 2 字符"/>
    <w:link w:val="1131"/>
    <w:uiPriority w:val="0"/>
    <w:qFormat/>
    <w:rPr>
      <w:rFonts w:ascii="Arial" w:hAnsi="Arial" w:eastAsia="仿宋_GB2312" w:cs="Arial"/>
      <w:sz w:val="32"/>
      <w:szCs w:val="32"/>
    </w:rPr>
  </w:style>
  <w:style w:type="paragraph" w:styleId="1133" w:customStyle="1">
    <w:name w:val="批注框文本1"/>
    <w:basedOn w:val="899"/>
    <w:link w:val="1134"/>
    <w:uiPriority w:val="0"/>
    <w:semiHidden/>
    <w:qFormat/>
    <w:rPr>
      <w:sz w:val="18"/>
      <w:szCs w:val="18"/>
    </w:rPr>
  </w:style>
  <w:style w:type="character" w:styleId="1134" w:customStyle="1">
    <w:name w:val="批注框文本 字符"/>
    <w:link w:val="1133"/>
    <w:uiPriority w:val="0"/>
    <w:semiHidden/>
    <w:qFormat/>
    <w:rPr>
      <w:rFonts w:ascii="Times New Roman" w:hAnsi="Times New Roman" w:eastAsia="宋体" w:cs="Times New Roman"/>
      <w:sz w:val="18"/>
      <w:szCs w:val="18"/>
    </w:rPr>
  </w:style>
  <w:style w:type="paragraph" w:styleId="1135" w:customStyle="1">
    <w:name w:val="页脚1"/>
    <w:basedOn w:val="899"/>
    <w:link w:val="1136"/>
    <w:uiPriority w:val="99"/>
    <w:qFormat/>
    <w:pPr>
      <w:jc w:val="left"/>
      <w:tabs>
        <w:tab w:val="center" w:pos="4153" w:leader="none"/>
        <w:tab w:val="right" w:pos="8306" w:leader="none"/>
      </w:tabs>
    </w:pPr>
    <w:rPr>
      <w:sz w:val="18"/>
      <w:szCs w:val="18"/>
    </w:rPr>
  </w:style>
  <w:style w:type="character" w:styleId="1136" w:customStyle="1">
    <w:name w:val="页脚 字符"/>
    <w:link w:val="1135"/>
    <w:uiPriority w:val="99"/>
    <w:qFormat/>
    <w:rPr>
      <w:rFonts w:ascii="Times New Roman" w:hAnsi="Times New Roman" w:eastAsia="宋体" w:cs="Times New Roman"/>
      <w:sz w:val="18"/>
      <w:szCs w:val="18"/>
    </w:rPr>
  </w:style>
  <w:style w:type="paragraph" w:styleId="1137" w:customStyle="1">
    <w:name w:val="页眉1"/>
    <w:basedOn w:val="899"/>
    <w:link w:val="1138"/>
    <w:uiPriority w:val="0"/>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眉 字符"/>
    <w:link w:val="1137"/>
    <w:uiPriority w:val="0"/>
    <w:qFormat/>
    <w:rPr>
      <w:rFonts w:ascii="Times New Roman" w:hAnsi="Times New Roman" w:eastAsia="宋体" w:cs="Times New Roman"/>
      <w:sz w:val="18"/>
      <w:szCs w:val="18"/>
    </w:rPr>
  </w:style>
  <w:style w:type="paragraph" w:styleId="1139" w:customStyle="1">
    <w:name w:val="列表1"/>
    <w:basedOn w:val="899"/>
    <w:uiPriority w:val="0"/>
    <w:qFormat/>
    <w:pPr>
      <w:ind w:left="200" w:hanging="200"/>
    </w:pPr>
  </w:style>
  <w:style w:type="paragraph" w:styleId="1140" w:customStyle="1">
    <w:name w:val="正文文本缩进 31"/>
    <w:basedOn w:val="899"/>
    <w:link w:val="1141"/>
    <w:uiPriority w:val="0"/>
    <w:qFormat/>
    <w:pPr>
      <w:ind w:left="645" w:firstLine="645"/>
    </w:pPr>
    <w:rPr>
      <w:rFonts w:ascii="Arial" w:hAnsi="Arial" w:eastAsia="仿宋_GB2312" w:cs="Arial"/>
      <w:color w:val="ffff00"/>
      <w:sz w:val="32"/>
      <w:szCs w:val="32"/>
    </w:rPr>
  </w:style>
  <w:style w:type="character" w:styleId="1141" w:customStyle="1">
    <w:name w:val="正文文本缩进 3 字符"/>
    <w:link w:val="1140"/>
    <w:uiPriority w:val="0"/>
    <w:qFormat/>
    <w:rPr>
      <w:rFonts w:ascii="Arial" w:hAnsi="Arial" w:eastAsia="仿宋_GB2312" w:cs="Arial"/>
      <w:color w:val="ffff00"/>
      <w:sz w:val="32"/>
      <w:szCs w:val="32"/>
    </w:rPr>
  </w:style>
  <w:style w:type="paragraph" w:styleId="1142" w:customStyle="1">
    <w:name w:val="图表目录1"/>
    <w:basedOn w:val="899"/>
    <w:next w:val="899"/>
    <w:uiPriority w:val="0"/>
    <w:semiHidden/>
    <w:qFormat/>
    <w:pPr>
      <w:ind w:left="840" w:hanging="420"/>
    </w:pPr>
  </w:style>
  <w:style w:type="paragraph" w:styleId="1143" w:customStyle="1">
    <w:name w:val="正文文本 21"/>
    <w:basedOn w:val="899"/>
    <w:link w:val="1144"/>
    <w:uiPriority w:val="0"/>
    <w:qFormat/>
    <w:pPr>
      <w:jc w:val="center"/>
      <w:widowControl/>
    </w:pPr>
    <w:rPr>
      <w:rFonts w:ascii="楷体_GB2312" w:eastAsia="楷体_GB2312"/>
      <w:sz w:val="28"/>
      <w:szCs w:val="28"/>
    </w:rPr>
  </w:style>
  <w:style w:type="character" w:styleId="1144" w:customStyle="1">
    <w:name w:val="正文文本 2 字符"/>
    <w:link w:val="1143"/>
    <w:uiPriority w:val="0"/>
    <w:qFormat/>
    <w:rPr>
      <w:rFonts w:ascii="楷体_GB2312" w:hAnsi="Times New Roman" w:eastAsia="楷体_GB2312" w:cs="Times New Roman"/>
      <w:sz w:val="28"/>
      <w:szCs w:val="28"/>
    </w:rPr>
  </w:style>
  <w:style w:type="paragraph" w:styleId="1145" w:customStyle="1">
    <w:name w:val="普通(网站)1"/>
    <w:basedOn w:val="899"/>
    <w:uiPriority w:val="99"/>
    <w:qFormat/>
    <w:pPr>
      <w:jc w:val="left"/>
      <w:spacing w:before="100" w:beforeAutospacing="1" w:after="100" w:afterAutospacing="1"/>
      <w:widowControl/>
    </w:pPr>
    <w:rPr>
      <w:rFonts w:ascii="宋体" w:hAnsi="宋体" w:cs="宋体"/>
      <w:sz w:val="24"/>
      <w:szCs w:val="24"/>
    </w:rPr>
  </w:style>
  <w:style w:type="paragraph" w:styleId="1146" w:customStyle="1">
    <w:name w:val="索引 11"/>
    <w:basedOn w:val="899"/>
    <w:next w:val="899"/>
    <w:uiPriority w:val="0"/>
    <w:semiHidden/>
    <w:qFormat/>
    <w:pPr>
      <w:spacing w:line="240" w:lineRule="atLeast"/>
    </w:pPr>
    <w:rPr>
      <w:b/>
      <w:bCs/>
    </w:rPr>
  </w:style>
  <w:style w:type="paragraph" w:styleId="1147" w:customStyle="1">
    <w:name w:val="批注主题1"/>
    <w:basedOn w:val="1118"/>
    <w:next w:val="1118"/>
    <w:link w:val="1148"/>
    <w:uiPriority w:val="0"/>
    <w:semiHidden/>
    <w:qFormat/>
    <w:rPr>
      <w:b/>
      <w:bCs/>
    </w:rPr>
  </w:style>
  <w:style w:type="character" w:styleId="1148" w:customStyle="1">
    <w:name w:val="批注主题 字符"/>
    <w:link w:val="1147"/>
    <w:uiPriority w:val="0"/>
    <w:semiHidden/>
    <w:qFormat/>
    <w:rPr>
      <w:rFonts w:ascii="Times New Roman" w:hAnsi="Times New Roman" w:eastAsia="宋体" w:cs="Times New Roman"/>
      <w:b/>
      <w:bCs/>
      <w:szCs w:val="21"/>
    </w:rPr>
  </w:style>
  <w:style w:type="paragraph" w:styleId="1149" w:customStyle="1">
    <w:name w:val="正文文本首行缩进"/>
    <w:basedOn w:val="899"/>
    <w:link w:val="1150"/>
    <w:uiPriority w:val="0"/>
    <w:qFormat/>
    <w:pPr>
      <w:ind w:firstLine="200"/>
      <w:spacing w:line="360" w:lineRule="auto"/>
    </w:pPr>
    <w:rPr>
      <w:rFonts w:ascii="仿宋_GB2312" w:eastAsia="仿宋_GB2312"/>
      <w:sz w:val="30"/>
      <w:szCs w:val="30"/>
    </w:rPr>
  </w:style>
  <w:style w:type="character" w:styleId="1150" w:customStyle="1">
    <w:name w:val="正文文本首行缩进 字符"/>
    <w:link w:val="1149"/>
    <w:uiPriority w:val="0"/>
    <w:qFormat/>
    <w:rPr>
      <w:rFonts w:ascii="仿宋_GB2312" w:hAnsi="Times New Roman" w:eastAsia="仿宋_GB2312" w:cs="Times New Roman"/>
      <w:sz w:val="30"/>
      <w:szCs w:val="30"/>
    </w:rPr>
  </w:style>
  <w:style w:type="paragraph" w:styleId="1151" w:customStyle="1">
    <w:name w:val="正文文本首行缩进 2"/>
    <w:basedOn w:val="1124"/>
    <w:link w:val="1152"/>
    <w:uiPriority w:val="0"/>
    <w:qFormat/>
    <w:pPr>
      <w:ind w:firstLine="420"/>
      <w:spacing w:line="360" w:lineRule="auto"/>
    </w:pPr>
    <w:rPr>
      <w:rFonts w:ascii="宋体" w:hAnsi="宋体" w:eastAsia="宋体"/>
      <w:sz w:val="21"/>
      <w:szCs w:val="20"/>
    </w:rPr>
  </w:style>
  <w:style w:type="character" w:styleId="1152" w:customStyle="1">
    <w:name w:val="正文文本首行缩进 2 字符"/>
    <w:link w:val="1151"/>
    <w:uiPriority w:val="0"/>
    <w:qFormat/>
    <w:rPr>
      <w:rFonts w:ascii="宋体" w:hAnsi="宋体" w:eastAsia="宋体" w:cs="Times New Roman"/>
      <w:sz w:val="32"/>
      <w:szCs w:val="20"/>
    </w:rPr>
  </w:style>
  <w:style w:type="table" w:styleId="1153" w:customStyle="1">
    <w:name w:val="网格型1"/>
    <w:basedOn w:val="1104"/>
    <w:uiPriority w:val="0"/>
    <w:qFormat/>
    <w:pPr>
      <w:jc w:val="both"/>
      <w:widowControl w:val="off"/>
    </w:pPr>
    <w:rPr>
      <w:rFonts w:ascii="Times New Roman" w:hAnsi="Times New Roman" w:eastAsia="宋体" w:cs="Times New Roman"/>
      <w:sz w:val="20"/>
      <w:szCs w:val="20"/>
    </w:rPr>
    <w:tblPr/>
  </w:style>
  <w:style w:type="character" w:styleId="1154" w:customStyle="1">
    <w:name w:val="要点1"/>
    <w:link w:val="899"/>
    <w:uiPriority w:val="0"/>
    <w:qFormat/>
    <w:rPr>
      <w:b/>
      <w:bCs/>
    </w:rPr>
  </w:style>
  <w:style w:type="character" w:styleId="1155" w:customStyle="1">
    <w:name w:val="页码1"/>
    <w:link w:val="899"/>
    <w:uiPriority w:val="0"/>
    <w:qFormat/>
  </w:style>
  <w:style w:type="character" w:styleId="1156" w:customStyle="1">
    <w:name w:val="访问过的超链接"/>
    <w:link w:val="899"/>
    <w:uiPriority w:val="0"/>
    <w:qFormat/>
    <w:rPr>
      <w:color w:val="800080"/>
      <w:u w:val="single"/>
    </w:rPr>
  </w:style>
  <w:style w:type="character" w:styleId="1157" w:customStyle="1">
    <w:name w:val="超链接1"/>
    <w:link w:val="899"/>
    <w:uiPriority w:val="0"/>
    <w:qFormat/>
    <w:rPr>
      <w:color w:val="0000ff"/>
      <w:u w:val="single"/>
    </w:rPr>
  </w:style>
  <w:style w:type="character" w:styleId="1158" w:customStyle="1">
    <w:name w:val="批注引用1"/>
    <w:link w:val="899"/>
    <w:uiPriority w:val="0"/>
    <w:semiHidden/>
    <w:qFormat/>
    <w:rPr>
      <w:sz w:val="21"/>
      <w:szCs w:val="21"/>
    </w:rPr>
  </w:style>
  <w:style w:type="paragraph" w:styleId="1159" w:customStyle="1">
    <w:name w:val="标题二、"/>
    <w:basedOn w:val="899"/>
    <w:uiPriority w:val="99"/>
    <w:qFormat/>
    <w:pPr>
      <w:ind w:firstLine="200"/>
      <w:spacing w:line="360" w:lineRule="auto"/>
      <w:outlineLvl w:val="2"/>
    </w:pPr>
    <w:rPr>
      <w:rFonts w:ascii="宋体" w:hAnsi="宋体"/>
      <w:b/>
      <w:szCs w:val="21"/>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hint="default" w:ascii="Calibri" w:hAnsi="Calibri" w:eastAsia="仿宋_GB2312" w:cs="Calibri"/>
      <w:sz w:val="32"/>
      <w:szCs w:val="32"/>
      <w:lang w:val="en-US" w:eastAsia="zh-CN" w:bidi="ar-SA"/>
    </w:rPr>
  </w:style>
  <w:style w:type="paragraph" w:styleId="1162" w:customStyle="1">
    <w:name w:val="索引 41"/>
    <w:basedOn w:val="899"/>
    <w:next w:val="899"/>
    <w:uiPriority w:val="0"/>
    <w:semiHidden/>
    <w:qFormat/>
    <w:pPr>
      <w:ind w:left="1260"/>
    </w:pPr>
    <w:rPr>
      <w:rFonts w:ascii="Calibri" w:hAnsi="Calibri" w:eastAsia="Calibri" w:cs="宋体"/>
      <w:sz w:val="20"/>
      <w:lang w:val="zh-CN"/>
    </w:rPr>
  </w:style>
  <w:style w:type="character" w:styleId="1163" w:customStyle="1">
    <w:name w:val="font5 Char"/>
    <w:link w:val="899"/>
    <w:uiPriority w:val="0"/>
    <w:qFormat/>
    <w:rPr>
      <w:rFonts w:ascii="宋体" w:hAnsi="宋体" w:eastAsia="宋体"/>
      <w:sz w:val="28"/>
      <w:szCs w:val="28"/>
      <w:lang w:val="en-US" w:eastAsia="zh-CN" w:bidi="ar-SA"/>
    </w:rPr>
  </w:style>
  <w:style w:type="character" w:styleId="1164" w:customStyle="1">
    <w:name w:val="二级目录 Char"/>
    <w:link w:val="1165"/>
    <w:uiPriority w:val="0"/>
    <w:qFormat/>
    <w:rPr>
      <w:b/>
      <w:sz w:val="30"/>
      <w:szCs w:val="28"/>
    </w:rPr>
  </w:style>
  <w:style w:type="paragraph" w:styleId="1165" w:customStyle="1">
    <w:name w:val="二级目录"/>
    <w:next w:val="899"/>
    <w:link w:val="11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6" w:customStyle="1">
    <w:name w:val="列出段落 Char"/>
    <w:link w:val="1167"/>
    <w:uiPriority w:val="0"/>
    <w:qFormat/>
    <w:rPr>
      <w:rFonts w:ascii="Calibri" w:hAnsi="Calibri"/>
      <w:sz w:val="24"/>
      <w:szCs w:val="24"/>
      <w:lang w:eastAsia="en-US" w:bidi="en-US"/>
    </w:rPr>
  </w:style>
  <w:style w:type="paragraph" w:styleId="1167" w:customStyle="1">
    <w:name w:val="列出段落1"/>
    <w:basedOn w:val="899"/>
    <w:link w:val="1166"/>
    <w:uiPriority w:val="0"/>
    <w:qFormat/>
    <w:pPr>
      <w:contextualSpacing/>
      <w:ind w:left="720"/>
      <w:jc w:val="left"/>
      <w:widowControl/>
    </w:pPr>
    <w:rPr>
      <w:rFonts w:ascii="Calibri" w:hAnsi="Calibri" w:eastAsia="宋体" w:cs="Times New Roman"/>
      <w:sz w:val="24"/>
      <w:szCs w:val="24"/>
      <w:lang w:eastAsia="en-US" w:bidi="en-US"/>
    </w:rPr>
  </w:style>
  <w:style w:type="paragraph" w:styleId="1168" w:customStyle="1">
    <w:name w:val="Body Text(ch)"/>
    <w:basedOn w:val="899"/>
    <w:next w:val="1122"/>
    <w:uiPriority w:val="0"/>
    <w:qFormat/>
    <w:pPr>
      <w:spacing w:after="120"/>
    </w:pPr>
    <w:rPr>
      <w:rFonts w:ascii="宋体" w:hAnsi="Arial"/>
      <w:bCs/>
      <w:iCs/>
      <w:szCs w:val="24"/>
    </w:rPr>
  </w:style>
  <w:style w:type="paragraph" w:styleId="1169" w:customStyle="1">
    <w:name w:val="xl27"/>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0" w:customStyle="1">
    <w:name w:val="xl26"/>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1" w:customStyle="1">
    <w:name w:val="Char"/>
    <w:basedOn w:val="899"/>
    <w:uiPriority w:val="0"/>
    <w:qFormat/>
    <w:pPr>
      <w:ind w:firstLine="200"/>
      <w:tabs>
        <w:tab w:val="left" w:pos="360" w:leader="none"/>
      </w:tabs>
    </w:pPr>
    <w:rPr>
      <w:sz w:val="28"/>
      <w:szCs w:val="30"/>
    </w:rPr>
  </w:style>
  <w:style w:type="paragraph" w:styleId="1172" w:customStyle="1">
    <w:name w:val=" Char"/>
    <w:basedOn w:val="1116"/>
    <w:uiPriority w:val="0"/>
    <w:qFormat/>
    <w:rPr>
      <w:rFonts w:ascii="Tahoma" w:hAnsi="Tahoma"/>
      <w:sz w:val="24"/>
      <w:szCs w:val="24"/>
    </w:rPr>
  </w:style>
  <w:style w:type="paragraph" w:styleId="1173" w:customStyle="1">
    <w:name w:val="普通正文"/>
    <w:basedOn w:val="899"/>
    <w:uiPriority w:val="0"/>
    <w:qFormat/>
    <w:pPr>
      <w:ind w:firstLine="480"/>
      <w:jc w:val="left"/>
      <w:spacing w:before="120" w:after="120" w:line="360" w:lineRule="auto"/>
    </w:pPr>
    <w:rPr>
      <w:rFonts w:ascii="Arial" w:hAnsi="Arial"/>
      <w:sz w:val="24"/>
      <w:szCs w:val="24"/>
    </w:rPr>
  </w:style>
  <w:style w:type="paragraph" w:styleId="1174" w:customStyle="1">
    <w:name w:val="table_lines"/>
    <w:basedOn w:val="899"/>
    <w:uiPriority w:val="0"/>
    <w:qFormat/>
    <w:pPr>
      <w:jc w:val="left"/>
      <w:widowControl/>
    </w:pPr>
    <w:rPr>
      <w:sz w:val="20"/>
      <w:szCs w:val="20"/>
      <w:lang w:val="de-DE" w:eastAsia="de-DE"/>
    </w:rPr>
  </w:style>
  <w:style w:type="paragraph" w:styleId="11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6" w:customStyle="1">
    <w:name w:val="font7"/>
    <w:basedOn w:val="899"/>
    <w:uiPriority w:val="0"/>
    <w:qFormat/>
    <w:pPr>
      <w:jc w:val="left"/>
      <w:spacing w:before="100" w:beforeAutospacing="1" w:after="100" w:afterAutospacing="1"/>
      <w:widowControl/>
    </w:pPr>
    <w:rPr>
      <w:rFonts w:hint="eastAsia" w:ascii="宋体" w:hAnsi="宋体"/>
      <w:sz w:val="18"/>
      <w:szCs w:val="18"/>
    </w:rPr>
  </w:style>
  <w:style w:type="paragraph" w:styleId="1177" w:customStyle="1">
    <w:name w:val=" Char Char Char Char"/>
    <w:basedOn w:val="1116"/>
    <w:uiPriority w:val="0"/>
    <w:qFormat/>
    <w:pPr>
      <w:spacing w:line="360" w:lineRule="auto"/>
    </w:pPr>
    <w:rPr>
      <w:rFonts w:ascii="Tahoma" w:hAnsi="Tahoma"/>
      <w:sz w:val="24"/>
      <w:szCs w:val="24"/>
    </w:rPr>
  </w:style>
  <w:style w:type="paragraph" w:styleId="1178" w:customStyle="1">
    <w:name w:val="列表段落"/>
    <w:basedOn w:val="899"/>
    <w:uiPriority w:val="0"/>
    <w:qFormat/>
    <w:pPr>
      <w:contextualSpacing/>
      <w:ind w:left="720"/>
      <w:jc w:val="left"/>
      <w:widowControl/>
    </w:pPr>
    <w:rPr>
      <w:rFonts w:ascii="Calibri" w:hAnsi="Calibri"/>
      <w:sz w:val="24"/>
      <w:szCs w:val="24"/>
      <w:lang w:eastAsia="en-US" w:bidi="en-US"/>
    </w:rPr>
  </w:style>
  <w:style w:type="paragraph" w:styleId="1179" w:customStyle="1">
    <w:name w:val="4"/>
    <w:basedOn w:val="899"/>
    <w:next w:val="1140"/>
    <w:uiPriority w:val="0"/>
    <w:qFormat/>
    <w:pPr>
      <w:ind w:firstLine="420"/>
      <w:spacing w:line="360" w:lineRule="auto"/>
    </w:pPr>
    <w:rPr>
      <w:color w:val="ff0000"/>
      <w:sz w:val="24"/>
      <w:szCs w:val="24"/>
    </w:rPr>
  </w:style>
  <w:style w:type="paragraph" w:styleId="1180" w:customStyle="1">
    <w:name w:val="普通 (Web)"/>
    <w:basedOn w:val="899"/>
    <w:uiPriority w:val="0"/>
    <w:qFormat/>
    <w:pPr>
      <w:jc w:val="left"/>
      <w:spacing w:before="100" w:beforeAutospacing="1" w:after="100" w:afterAutospacing="1"/>
      <w:widowControl/>
    </w:pPr>
    <w:rPr>
      <w:rFonts w:ascii="宋体" w:hAnsi="宋体"/>
      <w:sz w:val="24"/>
      <w:szCs w:val="24"/>
    </w:rPr>
  </w:style>
  <w:style w:type="paragraph" w:styleId="1181" w:customStyle="1">
    <w:name w:val=" Char Char Char Char Char Char Char Char Char Char"/>
    <w:basedOn w:val="899"/>
    <w:uiPriority w:val="0"/>
    <w:qFormat/>
    <w:pPr>
      <w:spacing w:line="360" w:lineRule="auto"/>
    </w:pPr>
    <w:rPr>
      <w:sz w:val="24"/>
      <w:szCs w:val="20"/>
    </w:rPr>
  </w:style>
  <w:style w:type="paragraph" w:styleId="1182" w:customStyle="1">
    <w:name w:val="样式1"/>
    <w:basedOn w:val="899"/>
    <w:uiPriority w:val="0"/>
    <w:qFormat/>
    <w:pPr>
      <w:numPr>
        <w:ilvl w:val="0"/>
        <w:numId w:val="3"/>
      </w:numPr>
    </w:pPr>
    <w:rPr>
      <w:rFonts w:ascii="宋体" w:hAnsi="宋体"/>
    </w:rPr>
  </w:style>
  <w:style w:type="paragraph" w:styleId="1183" w:customStyle="1">
    <w:name w:val="font6"/>
    <w:basedOn w:val="899"/>
    <w:uiPriority w:val="0"/>
    <w:qFormat/>
    <w:pPr>
      <w:jc w:val="left"/>
      <w:spacing w:before="100" w:beforeAutospacing="1" w:after="100" w:afterAutospacing="1"/>
      <w:widowControl/>
    </w:pPr>
    <w:rPr>
      <w:rFonts w:hint="eastAsia" w:ascii="宋体" w:hAnsi="宋体"/>
      <w:sz w:val="28"/>
      <w:szCs w:val="28"/>
      <w:u w:val="single"/>
    </w:rPr>
  </w:style>
  <w:style w:type="paragraph" w:styleId="1184" w:customStyle="1">
    <w:name w:val="xl25"/>
    <w:basedOn w:val="8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5" w:customStyle="1">
    <w:name w:val="图标"/>
    <w:basedOn w:val="899"/>
    <w:next w:val="89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标题3"/>
    <w:basedOn w:val="899"/>
    <w:next w:val="899"/>
    <w:uiPriority w:val="0"/>
    <w:qFormat/>
    <w:pPr>
      <w:ind w:firstLine="624"/>
      <w:spacing w:line="590" w:lineRule="atLeast"/>
    </w:pPr>
    <w:rPr>
      <w:rFonts w:ascii="方正黑体_GBK" w:eastAsia="方正黑体_GBK"/>
      <w:sz w:val="32"/>
      <w:szCs w:val="32"/>
    </w:rPr>
  </w:style>
  <w:style w:type="paragraph" w:styleId="1187" w:customStyle="1">
    <w:name w:val="xl24"/>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9"/>
    <w:basedOn w:val="89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9" w:customStyle="1">
    <w:name w:val="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0" w:customStyle="1">
    <w:name w:val="xl28"/>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1" w:customStyle="1">
    <w:name w:val=" 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2" w:customStyle="1">
    <w:name w:val="xl30"/>
    <w:basedOn w:val="899"/>
    <w:uiPriority w:val="0"/>
    <w:qFormat/>
    <w:pPr>
      <w:jc w:val="center"/>
      <w:spacing w:before="100" w:beforeAutospacing="1" w:after="100" w:afterAutospacing="1"/>
      <w:widowControl/>
    </w:pPr>
    <w:rPr>
      <w:rFonts w:ascii="宋体" w:hAnsi="宋体"/>
      <w:b/>
      <w:bCs/>
      <w:sz w:val="36"/>
      <w:szCs w:val="36"/>
    </w:rPr>
  </w:style>
  <w:style w:type="paragraph" w:styleId="1193" w:customStyle="1">
    <w:name w:val="Char Char Char Char"/>
    <w:basedOn w:val="1116"/>
    <w:uiPriority w:val="0"/>
    <w:qFormat/>
    <w:pPr>
      <w:spacing w:line="360" w:lineRule="auto"/>
    </w:pPr>
    <w:rPr>
      <w:rFonts w:ascii="Tahoma" w:hAnsi="Tahoma"/>
      <w:sz w:val="24"/>
      <w:szCs w:val="24"/>
    </w:rPr>
  </w:style>
  <w:style w:type="paragraph" w:styleId="1194" w:customStyle="1">
    <w:name w:val="table_1stline"/>
    <w:basedOn w:val="899"/>
    <w:uiPriority w:val="0"/>
    <w:qFormat/>
    <w:pPr>
      <w:jc w:val="left"/>
      <w:spacing w:before="120"/>
      <w:widowControl/>
    </w:pPr>
    <w:rPr>
      <w:bCs/>
      <w:sz w:val="20"/>
      <w:szCs w:val="20"/>
      <w:lang w:val="de-DE" w:eastAsia="de-DE"/>
    </w:rPr>
  </w:style>
  <w:style w:type="paragraph" w:styleId="1195" w:customStyle="1">
    <w:name w:val="font5"/>
    <w:basedOn w:val="899"/>
    <w:uiPriority w:val="0"/>
    <w:qFormat/>
    <w:pPr>
      <w:jc w:val="left"/>
      <w:spacing w:before="100" w:beforeAutospacing="1" w:after="100" w:afterAutospacing="1"/>
      <w:widowControl/>
    </w:pPr>
    <w:rPr>
      <w:rFonts w:hint="eastAsia" w:ascii="宋体" w:hAnsi="宋体"/>
      <w:sz w:val="28"/>
      <w:szCs w:val="28"/>
    </w:rPr>
  </w:style>
  <w:style w:type="paragraph" w:styleId="1196" w:customStyle="1">
    <w:name w:val="标题1"/>
    <w:basedOn w:val="899"/>
    <w:next w:val="89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99" w:customStyle="1">
    <w:name w:val="Table Normal"/>
    <w:uiPriority w:val="0"/>
    <w:qFormat/>
    <w:rPr>
      <w:lang w:val="en-US" w:eastAsia="zh-CN" w:bidi="ar-SA"/>
    </w:rPr>
    <w:tblPr/>
  </w:style>
  <w:style w:type="paragraph" w:styleId="12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Normal_6_0"/>
    <w:uiPriority w:val="0"/>
    <w:qFormat/>
    <w:rPr>
      <w:rFonts w:hint="default" w:ascii="黑体" w:hAnsi="黑体" w:eastAsia="黑体" w:cs="黑体"/>
      <w:b/>
      <w:sz w:val="32"/>
      <w:szCs w:val="24"/>
      <w:lang w:val="en-US" w:eastAsia="zh-CN" w:bidi="ar-SA"/>
    </w:rPr>
  </w:style>
  <w:style w:type="paragraph" w:styleId="120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文本12"/>
    <w:basedOn w:val="899"/>
    <w:uiPriority w:val="1"/>
    <w:qFormat/>
    <w:pPr>
      <w:ind w:left="120"/>
    </w:pPr>
    <w:rPr>
      <w:rFonts w:ascii="宋体" w:hAnsi="宋体" w:eastAsia="宋体" w:cs="宋体"/>
      <w:sz w:val="21"/>
      <w:szCs w:val="21"/>
      <w:lang w:val="zh-CN" w:eastAsia="zh-CN" w:bidi="zh-CN"/>
    </w:rPr>
  </w:style>
  <w:style w:type="paragraph" w:styleId="1205" w:customStyle="1">
    <w:name w:val="正文2"/>
    <w:basedOn w:val="899"/>
    <w:uiPriority w:val="0"/>
    <w:qFormat/>
    <w:pPr>
      <w:ind w:firstLine="510"/>
      <w:spacing w:before="156" w:line="360" w:lineRule="auto"/>
    </w:pPr>
    <w:rPr>
      <w:sz w:val="24"/>
      <w:szCs w:val="20"/>
    </w:rPr>
  </w:style>
  <w:style w:type="paragraph" w:styleId="1206" w:customStyle="1">
    <w:name w:val="首行缩进"/>
    <w:basedOn w:val="899"/>
    <w:uiPriority w:val="0"/>
    <w:qFormat/>
    <w:pPr>
      <w:ind w:firstLine="480"/>
    </w:pPr>
    <w:rPr>
      <w:rFonts w:ascii="Times New Roman" w:hAnsi="Times New Roman" w:cs="Times New Roman"/>
      <w:lang w:val="zh-CN"/>
    </w:rPr>
  </w:style>
  <w:style w:type="paragraph" w:styleId="1207" w:customStyle="1">
    <w:name w:val="Normal_18_0"/>
    <w:uiPriority w:val="0"/>
    <w:qFormat/>
    <w:rPr>
      <w:rFonts w:hint="default" w:ascii="黑体" w:hAnsi="黑体" w:eastAsia="黑体" w:cs="黑体"/>
      <w:b/>
      <w:sz w:val="32"/>
      <w:szCs w:val="24"/>
      <w:lang w:val="en-US" w:eastAsia="zh-CN" w:bidi="ar-SA"/>
    </w:rPr>
  </w:style>
  <w:style w:type="paragraph" w:styleId="1208" w:customStyle="1">
    <w:name w:val="正文_12_0_0_0_0"/>
    <w:basedOn w:val="899"/>
    <w:uiPriority w:val="0"/>
    <w:qFormat/>
    <w:rPr>
      <w:rFonts w:ascii="Times New Roman" w:hAnsi="Times New Roman"/>
      <w:szCs w:val="24"/>
    </w:rPr>
  </w:style>
  <w:style w:type="paragraph" w:styleId="12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20"/>
    <w:uiPriority w:val="0"/>
    <w:qFormat/>
    <w:rPr>
      <w:rFonts w:hint="default" w:ascii="黑体" w:hAnsi="黑体" w:eastAsia="黑体" w:cs="黑体"/>
      <w:b/>
      <w:sz w:val="32"/>
      <w:szCs w:val="24"/>
      <w:lang w:val="en-US" w:eastAsia="zh-CN" w:bidi="ar-SA"/>
    </w:rPr>
  </w:style>
  <w:style w:type="paragraph" w:styleId="121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Normal_0"/>
    <w:uiPriority w:val="0"/>
    <w:qFormat/>
    <w:rPr>
      <w:rFonts w:hint="default" w:ascii="黑体" w:hAnsi="黑体" w:eastAsia="黑体" w:cs="Times New Roman"/>
      <w:b/>
      <w:sz w:val="32"/>
      <w:szCs w:val="24"/>
      <w:lang w:val="en-US" w:eastAsia="zh-CN" w:bidi="ar-SA"/>
    </w:rPr>
  </w:style>
  <w:style w:type="paragraph" w:styleId="1215" w:customStyle="1">
    <w:name w:val="部分1"/>
    <w:basedOn w:val="899"/>
    <w:uiPriority w:val="0"/>
    <w:qFormat/>
    <w:pPr>
      <w:jc w:val="center"/>
      <w:keepNext/>
      <w:pageBreakBefore/>
      <w:spacing w:line="360" w:lineRule="auto"/>
      <w:tabs>
        <w:tab w:val="left" w:pos="720" w:leader="none"/>
      </w:tabs>
      <w:outlineLvl w:val="0"/>
    </w:pPr>
    <w:rPr>
      <w:rFonts w:eastAsia="黑体"/>
      <w:b/>
      <w:sz w:val="36"/>
      <w:szCs w:val="20"/>
    </w:rPr>
  </w:style>
  <w:style w:type="paragraph" w:styleId="121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20" w:customStyle="1">
    <w:name w:val="列出段落_2"/>
    <w:basedOn w:val="1218"/>
    <w:uiPriority w:val="34"/>
    <w:qFormat/>
    <w:pPr>
      <w:ind w:firstLine="420"/>
    </w:pPr>
    <w:rPr>
      <w:rFonts w:ascii="Calibri" w:hAnsi="Calibri" w:eastAsia="宋体"/>
    </w:rPr>
  </w:style>
  <w:style w:type="paragraph" w:styleId="1221" w:customStyle="1">
    <w:name w:val="Normal_13_0"/>
    <w:uiPriority w:val="0"/>
    <w:qFormat/>
    <w:rPr>
      <w:rFonts w:hint="default" w:ascii="黑体" w:hAnsi="黑体" w:eastAsia="黑体" w:cs="黑体"/>
      <w:b/>
      <w:sz w:val="32"/>
      <w:szCs w:val="24"/>
      <w:lang w:val="en-US" w:eastAsia="zh-CN" w:bidi="ar-SA"/>
    </w:rPr>
  </w:style>
  <w:style w:type="paragraph" w:styleId="122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24" w:customStyle="1">
    <w:name w:val="正文_16"/>
    <w:next w:val="1225"/>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 2_0"/>
    <w:basedOn w:val="1224"/>
    <w:uiPriority w:val="0"/>
    <w:qFormat/>
    <w:rPr>
      <w:rFonts w:ascii="仿宋_GB2312" w:eastAsia="仿宋_GB2312"/>
      <w:sz w:val="28"/>
    </w:rPr>
  </w:style>
  <w:style w:type="paragraph" w:styleId="1226" w:customStyle="1">
    <w:name w:val="正文_3_0"/>
    <w:next w:val="1227"/>
    <w:uiPriority w:val="0"/>
    <w:qFormat/>
    <w:pPr>
      <w:jc w:val="both"/>
      <w:widowControl w:val="off"/>
    </w:pPr>
    <w:rPr>
      <w:rFonts w:hint="default" w:ascii="Calibri" w:hAnsi="Calibri" w:eastAsia="宋体" w:cs="Times New Roman"/>
      <w:sz w:val="21"/>
      <w:szCs w:val="24"/>
      <w:lang w:val="en-US" w:eastAsia="zh-CN" w:bidi="ar-SA"/>
    </w:rPr>
  </w:style>
  <w:style w:type="paragraph" w:styleId="1227" w:customStyle="1">
    <w:name w:val="正文文本缩进_0"/>
    <w:basedOn w:val="1226"/>
    <w:uiPriority w:val="99"/>
    <w:qFormat/>
    <w:pPr>
      <w:ind w:firstLine="225"/>
    </w:pPr>
    <w:rPr>
      <w:rFonts w:ascii="仿宋_GB2312" w:eastAsia="仿宋_GB2312"/>
      <w:sz w:val="32"/>
    </w:rPr>
  </w:style>
  <w:style w:type="paragraph" w:styleId="1228" w:customStyle="1">
    <w:name w:val="纯文本_1"/>
    <w:basedOn w:val="1224"/>
    <w:uiPriority w:val="99"/>
    <w:qFormat/>
    <w:rPr>
      <w:rFonts w:ascii="宋体" w:hAnsi="Courier New"/>
      <w:szCs w:val="20"/>
    </w:rPr>
  </w:style>
  <w:style w:type="paragraph" w:styleId="1229" w:customStyle="1">
    <w:name w:val="正文文本_0"/>
    <w:basedOn w:val="1224"/>
    <w:next w:val="1230"/>
    <w:uiPriority w:val="0"/>
    <w:qFormat/>
    <w:pPr>
      <w:spacing w:after="120" w:afterAutospacing="0"/>
    </w:pPr>
  </w:style>
  <w:style w:type="paragraph" w:styleId="1230" w:customStyle="1">
    <w:name w:val="正文首行缩进_0"/>
    <w:basedOn w:val="1229"/>
    <w:uiPriority w:val="0"/>
    <w:qFormat/>
    <w:pPr>
      <w:ind w:firstLine="420"/>
      <w:spacing w:after="120"/>
    </w:pPr>
    <w:rPr>
      <w:rFonts w:ascii="Times New Roman" w:hAnsi="Times New Roman" w:eastAsia="宋体"/>
      <w:sz w:val="21"/>
      <w:szCs w:val="24"/>
    </w:rPr>
  </w:style>
  <w:style w:type="character" w:styleId="1231" w:customStyle="1">
    <w:name w:val="font31"/>
    <w:link w:val="899"/>
    <w:uiPriority w:val="0"/>
    <w:qFormat/>
    <w:rPr>
      <w:rFonts w:hint="eastAsia" w:ascii="等线" w:hAnsi="等线" w:eastAsia="等线" w:cs="等线"/>
      <w:color w:val="000000"/>
      <w:sz w:val="20"/>
      <w:szCs w:val="20"/>
      <w:u w:val="none"/>
    </w:rPr>
  </w:style>
  <w:style w:type="table" w:styleId="1232" w:customStyle="1">
    <w:name w:val="网格型_0"/>
    <w:basedOn w:val="1104"/>
    <w:uiPriority w:val="0"/>
    <w:qFormat/>
    <w:pPr>
      <w:jc w:val="both"/>
      <w:widowControl w:val="off"/>
    </w:pPr>
    <w:tblPr/>
  </w:style>
  <w:style w:type="paragraph" w:styleId="1233" w:customStyle="1">
    <w:name w:val="Normal_19"/>
    <w:basedOn w:val="1234"/>
    <w:uiPriority w:val="0"/>
    <w:qFormat/>
    <w:pPr>
      <w:jc w:val="both"/>
      <w:widowControl w:val="off"/>
    </w:pPr>
    <w:rPr>
      <w:rFonts w:ascii="Calibri" w:hAnsi="Calibri" w:eastAsia="宋体" w:cs="Calibri"/>
      <w:szCs w:val="21"/>
    </w:rPr>
  </w:style>
  <w:style w:type="paragraph" w:styleId="1234" w:customStyle="1">
    <w:name w:val="正文_2_0"/>
    <w:basedOn w:val="1235"/>
    <w:next w:val="1235"/>
    <w:uiPriority w:val="0"/>
    <w:qFormat/>
    <w:rPr>
      <w:rFonts w:eastAsia="Times New Roman"/>
    </w:rPr>
  </w:style>
  <w:style w:type="paragraph" w:styleId="1235"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36" w:customStyle="1">
    <w:name w:val="Normal1"/>
    <w:next w:val="1237"/>
    <w:uiPriority w:val="0"/>
    <w:qFormat/>
    <w:pPr>
      <w:jc w:val="both"/>
      <w:widowControl w:val="off"/>
    </w:pPr>
    <w:rPr>
      <w:rFonts w:hint="default" w:ascii="Calibri" w:hAnsi="Calibri" w:eastAsia="宋体" w:cs="宋体"/>
      <w:sz w:val="21"/>
      <w:szCs w:val="24"/>
      <w:lang w:val="en-US" w:eastAsia="zh-CN" w:bidi="ar-SA"/>
    </w:rPr>
  </w:style>
  <w:style w:type="paragraph" w:styleId="1237" w:customStyle="1">
    <w:name w:val="样式 首行缩进:  2 字符"/>
    <w:basedOn w:val="1238"/>
    <w:uiPriority w:val="0"/>
    <w:qFormat/>
    <w:pPr>
      <w:ind w:firstLine="560"/>
    </w:pPr>
    <w:rPr>
      <w:rFonts w:ascii="等线" w:hAnsi="等线" w:eastAsia="等线" w:cs="宋体"/>
      <w:sz w:val="24"/>
    </w:rPr>
  </w:style>
  <w:style w:type="paragraph" w:styleId="1238" w:customStyle="1">
    <w:name w:val="Normal_0_3"/>
    <w:next w:val="1237"/>
    <w:uiPriority w:val="0"/>
    <w:qFormat/>
    <w:pPr>
      <w:jc w:val="both"/>
      <w:widowControl w:val="off"/>
    </w:pPr>
    <w:rPr>
      <w:rFonts w:hint="default" w:ascii="Calibri" w:hAnsi="Calibri" w:eastAsia="宋体" w:cs="宋体"/>
      <w:sz w:val="21"/>
      <w:szCs w:val="24"/>
      <w:lang w:val="en-US" w:eastAsia="zh-CN" w:bidi="ar-SA"/>
    </w:rPr>
  </w:style>
  <w:style w:type="character" w:styleId="1239" w:customStyle="1">
    <w:name w:val="font71"/>
    <w:basedOn w:val="909"/>
    <w:uiPriority w:val="0"/>
    <w:qFormat/>
    <w:rPr>
      <w:rFonts w:hint="eastAsia" w:ascii="宋体" w:hAnsi="宋体" w:eastAsia="宋体" w:cs="宋体"/>
      <w:color w:val="000000"/>
      <w:sz w:val="22"/>
      <w:szCs w:val="22"/>
      <w:u w:val="none"/>
    </w:rPr>
  </w:style>
  <w:style w:type="character" w:styleId="1240" w:customStyle="1">
    <w:name w:val="font81"/>
    <w:basedOn w:val="909"/>
    <w:uiPriority w:val="0"/>
    <w:qFormat/>
    <w:rPr>
      <w:rFonts w:hint="default" w:ascii="Times New Roman" w:hAnsi="Times New Roman" w:cs="Times New Roman"/>
      <w:color w:val="000000"/>
      <w:sz w:val="24"/>
      <w:szCs w:val="24"/>
      <w:u w:val="none"/>
    </w:rPr>
  </w:style>
  <w:style w:type="character" w:styleId="1241" w:customStyle="1">
    <w:name w:val="font91"/>
    <w:basedOn w:val="909"/>
    <w:uiPriority w:val="0"/>
    <w:qFormat/>
    <w:rPr>
      <w:rFonts w:hint="default" w:ascii="Times New Roman" w:hAnsi="Times New Roman" w:cs="Times New Roman"/>
      <w:color w:val="000000"/>
      <w:sz w:val="22"/>
      <w:szCs w:val="22"/>
      <w:u w:val="none"/>
    </w:rPr>
  </w:style>
  <w:style w:type="paragraph" w:styleId="1242" w:customStyle="1">
    <w:name w:val="Body Text_0"/>
    <w:basedOn w:val="911"/>
    <w:next w:val="1243"/>
    <w:uiPriority w:val="0"/>
    <w:qFormat/>
    <w:pPr>
      <w:spacing w:line="60" w:lineRule="auto"/>
    </w:pPr>
    <w:rPr>
      <w:rFonts w:ascii="仿宋_GB2312" w:eastAsia="仿宋_GB2312"/>
      <w:sz w:val="32"/>
    </w:rPr>
  </w:style>
  <w:style w:type="paragraph" w:styleId="1243" w:customStyle="1">
    <w:name w:val="Body Text First Indent_0"/>
    <w:basedOn w:val="1242"/>
    <w:uiPriority w:val="99"/>
    <w:unhideWhenUsed/>
    <w:qFormat/>
    <w:pPr>
      <w:ind w:firstLine="420"/>
      <w:spacing w:after="120" w:line="240" w:lineRule="auto"/>
    </w:pPr>
    <w:rPr>
      <w:rFonts w:ascii="Times New Roman" w:eastAsia="宋体"/>
      <w:sz w:val="21"/>
    </w:rPr>
  </w:style>
  <w:style w:type="paragraph" w:styleId="1244" w:customStyle="1">
    <w:name w:val="List Paragraph_0"/>
    <w:basedOn w:val="911"/>
    <w:uiPriority w:val="34"/>
    <w:qFormat/>
    <w:pPr>
      <w:ind w:firstLine="420"/>
    </w:pPr>
    <w:rPr>
      <w:rFonts w:eastAsia="Times New Roman"/>
    </w:rPr>
  </w:style>
  <w:style w:type="paragraph" w:styleId="124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正文首行缩进 21"/>
    <w:basedOn w:val="1124"/>
    <w:uiPriority w:val="0"/>
    <w:qFormat/>
    <w:pPr>
      <w:ind w:firstLine="420"/>
      <w:spacing w:line="360" w:lineRule="auto"/>
    </w:pPr>
    <w:rPr>
      <w:rFonts w:ascii="宋体" w:hAnsi="宋体" w:eastAsia="宋体"/>
      <w:sz w:val="21"/>
      <w:szCs w:val="20"/>
    </w:rPr>
  </w:style>
  <w:style w:type="character" w:styleId="1248" w:customStyle="1">
    <w:name w:val="font21"/>
    <w:basedOn w:val="909"/>
    <w:uiPriority w:val="0"/>
    <w:qFormat/>
    <w:rPr>
      <w:rFonts w:hint="default" w:ascii="Times New Roman" w:hAnsi="Times New Roman" w:cs="Times New Roman"/>
      <w:color w:val="000000"/>
      <w:sz w:val="22"/>
      <w:szCs w:val="22"/>
      <w:u w:val="none"/>
    </w:rPr>
  </w:style>
  <w:style w:type="character" w:styleId="1249" w:customStyle="1">
    <w:name w:val="font11"/>
    <w:basedOn w:val="909"/>
    <w:uiPriority w:val="0"/>
    <w:qFormat/>
    <w:rPr>
      <w:rFonts w:hint="eastAsia" w:ascii="宋体" w:hAnsi="宋体" w:eastAsia="宋体" w:cs="宋体"/>
      <w:color w:val="000000"/>
      <w:sz w:val="22"/>
      <w:szCs w:val="22"/>
      <w:u w:val="none"/>
    </w:rPr>
  </w:style>
  <w:style w:type="character" w:styleId="1250" w:customStyle="1">
    <w:name w:val="font41"/>
    <w:basedOn w:val="909"/>
    <w:uiPriority w:val="0"/>
    <w:qFormat/>
    <w:rPr>
      <w:rFonts w:hint="default" w:ascii="Times New Roman" w:hAnsi="Times New Roman" w:cs="Times New Roman"/>
      <w:color w:val="000000"/>
      <w:sz w:val="24"/>
      <w:szCs w:val="24"/>
      <w:u w:val="none"/>
    </w:rPr>
  </w:style>
  <w:style w:type="character" w:styleId="1251" w:customStyle="1">
    <w:name w:val="font01"/>
    <w:basedOn w:val="909"/>
    <w:uiPriority w:val="0"/>
    <w:qFormat/>
    <w:rPr>
      <w:rFonts w:hint="eastAsia" w:ascii="宋体" w:hAnsi="宋体" w:eastAsia="宋体" w:cs="宋体"/>
      <w:color w:val="000000"/>
      <w:sz w:val="24"/>
      <w:szCs w:val="24"/>
      <w:u w:val="none"/>
    </w:rPr>
  </w:style>
  <w:style w:type="character" w:styleId="1252" w:customStyle="1">
    <w:name w:val="NormalCharacter"/>
    <w:link w:val="899"/>
    <w:uiPriority w:val="0"/>
    <w:qFormat/>
  </w:style>
  <w:style w:type="paragraph" w:styleId="12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罗浩林</cp:lastModifiedBy>
  <cp:revision>11</cp:revision>
  <dcterms:created xsi:type="dcterms:W3CDTF">2023-03-16T02:16:00Z</dcterms:created>
  <dcterms:modified xsi:type="dcterms:W3CDTF">2024-11-22T09:32:01Z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65497A596F8548E287C80100CBC9BFF9_13</vt:lpwstr>
  </property>
</Properties>
</file>