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643"/>
        <w:jc w:val="both"/>
        <w:spacing w:before="120" w:after="120" w:line="85" w:lineRule="atLeast"/>
        <w:rPr>
          <w:rFonts w:hint="default"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项目名称：</w:t>
      </w:r>
      <w:r>
        <w:rPr>
          <w:rFonts w:hint="default" w:ascii="宋体" w:hAnsi="宋体" w:cs="宋体"/>
          <w:b/>
          <w:color w:val="000000"/>
          <w:sz w:val="32"/>
          <w:lang w:eastAsia="zh-CN"/>
        </w:rPr>
        <w:t xml:space="preserve">盱眙县人民医院信息标准化及智慧医院建设财务相关软件采购项目</w:t>
      </w:r>
      <w:r/>
    </w:p>
    <w:p>
      <w:pPr>
        <w:ind w:left="0" w:right="0" w:firstLine="643"/>
        <w:jc w:val="both"/>
        <w:spacing w:before="120" w:after="12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采购人：</w:t>
      </w:r>
      <w:r>
        <w:rPr>
          <w:rFonts w:hint="eastAsia" w:ascii="宋体" w:hAnsi="宋体" w:cs="宋体"/>
          <w:b/>
          <w:color w:val="000000"/>
          <w:sz w:val="32"/>
          <w:lang w:eastAsia="zh-CN"/>
        </w:rPr>
        <w:t xml:space="preserve">盱眙县人民医院</w:t>
      </w:r>
      <w:r/>
    </w:p>
    <w:p>
      <w:pPr>
        <w:ind w:left="0" w:right="0" w:firstLine="643"/>
        <w:jc w:val="both"/>
        <w:spacing w:before="120" w:after="12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采购代理机构：</w:t>
      </w:r>
      <w:r>
        <w:rPr>
          <w:rFonts w:hint="eastAsia" w:ascii="宋体" w:hAnsi="宋体" w:eastAsia="宋体" w:cs="宋体"/>
          <w:b/>
          <w:color w:val="000000"/>
          <w:sz w:val="32"/>
          <w:lang w:eastAsia="zh-CN"/>
        </w:rPr>
        <w:t xml:space="preserve">正军项目管理集团有限公司</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二〇二四年</w:t>
      </w:r>
      <w:r>
        <w:rPr>
          <w:rFonts w:hint="eastAsia" w:ascii="宋体" w:hAnsi="宋体" w:cs="宋体"/>
          <w:b/>
          <w:color w:val="000000"/>
          <w:sz w:val="32"/>
          <w:lang w:val="en-US" w:eastAsia="zh-CN"/>
        </w:rPr>
        <w:t xml:space="preserve">八</w:t>
      </w:r>
      <w:r>
        <w:rPr>
          <w:rFonts w:ascii="宋体" w:hAnsi="宋体" w:eastAsia="宋体" w:cs="宋体"/>
          <w:b/>
          <w:color w:val="000000"/>
          <w:sz w:val="32"/>
        </w:rPr>
        <w:t xml:space="preserve">月</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1"/>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p>
    <w:p>
      <w:pPr>
        <w:numPr>
          <w:ilvl w:val="0"/>
          <w:numId w:val="1"/>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 </w:t>
      </w:r>
      <w:r/>
    </w:p>
    <w:p>
      <w:pPr>
        <w:numPr>
          <w:ilvl w:val="0"/>
          <w:numId w:val="1"/>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p>
    <w:p>
      <w:pPr>
        <w:numPr>
          <w:ilvl w:val="0"/>
          <w:numId w:val="1"/>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p>
    <w:p>
      <w:pPr>
        <w:numPr>
          <w:ilvl w:val="0"/>
          <w:numId w:val="1"/>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p>
    <w:p>
      <w:pPr>
        <w:numPr>
          <w:ilvl w:val="0"/>
          <w:numId w:val="1"/>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0"/>
        <w:jc w:val="both"/>
        <w:spacing w:before="0" w:after="0"/>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r>
      <w:r>
        <w:rPr>
          <w:rFonts w:ascii="宋体" w:hAnsi="宋体" w:eastAsia="宋体" w:cs="宋体"/>
          <w:color w:val="000000"/>
          <w:sz w:val="22"/>
          <w:highlight w:val="none"/>
        </w:rP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第一章 投标邀请</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cs="宋体"/>
          <w:color w:val="000000"/>
          <w:sz w:val="24"/>
          <w:lang w:eastAsia="zh-CN"/>
        </w:rPr>
        <w:t xml:space="preserve">盱眙县人民医院</w:t>
      </w:r>
      <w:r>
        <w:rPr>
          <w:rFonts w:ascii="宋体" w:hAnsi="宋体" w:eastAsia="宋体" w:cs="宋体"/>
          <w:color w:val="000000"/>
          <w:sz w:val="24"/>
        </w:rPr>
        <w:t xml:space="preserve">的委托，</w:t>
      </w:r>
      <w:r>
        <w:rPr>
          <w:rFonts w:hint="eastAsia" w:ascii="宋体" w:hAnsi="宋体" w:eastAsia="宋体" w:cs="宋体"/>
          <w:color w:val="000000"/>
          <w:sz w:val="24"/>
          <w:lang w:eastAsia="zh-CN"/>
        </w:rPr>
        <w:t xml:space="preserve">正军项目管理集团有限公司</w:t>
      </w:r>
      <w:r>
        <w:rPr>
          <w:rFonts w:ascii="宋体" w:hAnsi="宋体" w:eastAsia="宋体" w:cs="宋体"/>
          <w:color w:val="000000"/>
          <w:sz w:val="24"/>
        </w:rPr>
        <w:t xml:space="preserve">就</w:t>
      </w:r>
      <w:r>
        <w:rPr>
          <w:rFonts w:hint="default" w:ascii="宋体" w:hAnsi="宋体" w:cs="宋体"/>
          <w:color w:val="000000"/>
          <w:sz w:val="24"/>
          <w:lang w:eastAsia="zh-CN"/>
        </w:rPr>
        <w:t xml:space="preserve">盱眙县人民医院信息标准化及智慧医院建设财务相关软件采购项目</w:t>
      </w:r>
      <w:r>
        <w:rPr>
          <w:rFonts w:ascii="宋体" w:hAnsi="宋体" w:eastAsia="宋体" w:cs="宋体"/>
          <w:color w:val="000000"/>
          <w:sz w:val="24"/>
        </w:rPr>
        <w:t xml:space="preserve">(</w:t>
      </w:r>
      <w:r>
        <w:rPr>
          <w:rFonts w:ascii="Segoe UI" w:hAnsi="Segoe UI" w:eastAsia="Segoe UI" w:cs="Segoe UI"/>
          <w:i w:val="0"/>
          <w:iCs w:val="0"/>
          <w:caps w:val="0"/>
          <w:spacing w:val="0"/>
          <w:sz w:val="21"/>
          <w:szCs w:val="21"/>
          <w:shd w:val="clear" w:color="auto" w:fill="ffffff"/>
        </w:rPr>
        <w:t xml:space="preserve">JSZC-320830-HAZJ-G2024-0028</w:t>
      </w:r>
      <w:r>
        <w:rPr>
          <w:rFonts w:hint="eastAsia" w:ascii="宋体" w:hAnsi="宋体" w:cs="宋体"/>
          <w:color w:val="000000"/>
          <w:sz w:val="24"/>
          <w:lang w:val="en-US" w:eastAsia="zh-CN"/>
        </w:rPr>
        <w:t xml:space="preserve">  </w:t>
      </w:r>
      <w:r>
        <w:rPr>
          <w:rFonts w:ascii="宋体" w:hAnsi="宋体" w:eastAsia="宋体" w:cs="宋体"/>
          <w:color w:val="000000"/>
          <w:sz w:val="28"/>
        </w:rPr>
        <w:t xml:space="preserve">）</w:t>
      </w:r>
      <w:r>
        <w:rPr>
          <w:rFonts w:ascii="宋体" w:hAnsi="宋体" w:eastAsia="宋体" w:cs="宋体"/>
          <w:color w:val="000000"/>
          <w:sz w:val="24"/>
        </w:rPr>
        <w:t xml:space="preserve">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560"/>
        <w:jc w:val="both"/>
        <w:spacing w:before="0" w:after="0"/>
        <w:pBdr>
          <w:top w:val="single" w:color="000000" w:sz="4" w:space="0"/>
          <w:left w:val="single" w:color="000000" w:sz="4" w:space="0"/>
          <w:bottom w:val="single" w:color="000000" w:sz="4" w:space="0"/>
          <w:right w:val="single" w:color="000000" w:sz="4" w:space="0"/>
        </w:pBdr>
      </w:pPr>
      <w:r>
        <w:rPr>
          <w:rFonts w:hint="default" w:ascii="仿宋" w:hAnsi="仿宋" w:eastAsia="仿宋" w:cs="仿宋"/>
          <w:color w:val="000000"/>
          <w:sz w:val="28"/>
          <w:highlight w:val="none"/>
          <w:lang w:eastAsia="zh-CN"/>
        </w:rPr>
        <w:t xml:space="preserve">盱眙县人民医院信息标准化及智慧医院建设财务相关软件采购项目</w:t>
      </w:r>
      <w:r>
        <w:rPr>
          <w:rFonts w:ascii="仿宋" w:hAnsi="仿宋" w:eastAsia="仿宋" w:cs="仿宋"/>
          <w:color w:val="000000"/>
          <w:sz w:val="28"/>
        </w:rPr>
        <w:t xml:space="preserve">的潜在投标人应在</w:t>
      </w:r>
      <w:r>
        <w:rPr>
          <w:rFonts w:ascii="仿宋" w:hAnsi="仿宋" w:eastAsia="仿宋" w:cs="仿宋"/>
          <w:color w:val="000000"/>
          <w:sz w:val="28"/>
          <w:highlight w:val="none"/>
        </w:rPr>
        <w:t xml:space="preserve">江苏省政府采购网或淮安市政府采购网</w:t>
      </w:r>
      <w:r>
        <w:rPr>
          <w:rFonts w:ascii="仿宋" w:hAnsi="仿宋" w:eastAsia="仿宋" w:cs="仿宋"/>
          <w:color w:val="000000"/>
          <w:sz w:val="28"/>
        </w:rPr>
        <w:t xml:space="preserve"> 获取招标文件，并于</w:t>
      </w:r>
      <w:r>
        <w:rPr>
          <w:rFonts w:ascii="仿宋" w:hAnsi="仿宋" w:eastAsia="仿宋" w:cs="仿宋"/>
          <w:color w:val="000000"/>
          <w:sz w:val="28"/>
          <w:highlight w:val="none"/>
        </w:rPr>
        <w:t xml:space="preserve">2024-</w:t>
      </w:r>
      <w:r>
        <w:rPr>
          <w:rFonts w:hint="eastAsia" w:ascii="仿宋" w:hAnsi="仿宋" w:eastAsia="仿宋" w:cs="仿宋"/>
          <w:color w:val="000000"/>
          <w:sz w:val="28"/>
          <w:highlight w:val="none"/>
          <w:lang w:val="en-US" w:eastAsia="zh-CN"/>
        </w:rPr>
        <w:t xml:space="preserve">9-23 </w:t>
      </w:r>
      <w:r>
        <w:rPr>
          <w:rFonts w:ascii="仿宋" w:hAnsi="仿宋" w:eastAsia="仿宋" w:cs="仿宋"/>
          <w:color w:val="000000"/>
          <w:sz w:val="28"/>
          <w:highlight w:val="none"/>
        </w:rPr>
        <w:t xml:space="preserve">09:00</w:t>
      </w:r>
      <w:r>
        <w:rPr>
          <w:rFonts w:ascii="仿宋" w:hAnsi="仿宋" w:eastAsia="仿宋" w:cs="仿宋"/>
          <w:color w:val="000000"/>
          <w:sz w:val="28"/>
        </w:rPr>
        <w:t xml:space="preserve"> （北京时间）前递交投标文件。</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一、项目基本情况</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1.项目编号：JSZC-320830-HAZJ-G2024-0028</w:t>
      </w:r>
      <w:r/>
    </w:p>
    <w:p>
      <w:pPr>
        <w:ind w:left="0" w:right="0" w:firstLine="480"/>
        <w:spacing w:before="0" w:after="0" w:line="85" w:lineRule="atLeast"/>
        <w:rPr>
          <w:rFonts w:hint="default"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default" w:ascii="宋体" w:hAnsi="宋体" w:cs="宋体"/>
          <w:color w:val="000000"/>
          <w:sz w:val="24"/>
          <w:lang w:eastAsia="zh-CN"/>
        </w:rPr>
        <w:t xml:space="preserve">盱眙县人民医院信息标准化及智慧医院建设财务相关软件采购项目</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rPr>
          <w:rFonts w:hint="eastAsia" w:ascii="宋体" w:hAnsi="宋体" w:cs="宋体"/>
          <w:color w:val="000000"/>
          <w:sz w:val="24"/>
          <w:lang w:val="en-US" w:eastAsia="zh-CN"/>
        </w:rPr>
        <w:t xml:space="preserve">110</w:t>
      </w:r>
      <w:r>
        <w:rPr>
          <w:rFonts w:ascii="宋体" w:hAnsi="宋体" w:eastAsia="宋体" w:cs="宋体"/>
          <w:color w:val="000000"/>
          <w:sz w:val="24"/>
        </w:rPr>
        <w:t xml:space="preserve">万元</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4.最高限价（如有）：</w:t>
      </w:r>
      <w:r>
        <w:rPr>
          <w:rFonts w:hint="eastAsia" w:ascii="宋体" w:hAnsi="宋体" w:cs="宋体"/>
          <w:color w:val="000000"/>
          <w:sz w:val="24"/>
          <w:lang w:val="en-US" w:eastAsia="zh-CN"/>
        </w:rPr>
        <w:t xml:space="preserve">110</w:t>
      </w:r>
      <w:r>
        <w:rPr>
          <w:rFonts w:ascii="宋体" w:hAnsi="宋体" w:eastAsia="宋体" w:cs="宋体"/>
          <w:color w:val="000000"/>
          <w:sz w:val="24"/>
        </w:rPr>
        <w:t xml:space="preserve">万元</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w:t>
      </w:r>
      <w:r>
        <w:rPr>
          <w:rFonts w:hint="default" w:ascii="宋体" w:hAnsi="宋体" w:cs="宋体"/>
          <w:color w:val="000000"/>
          <w:sz w:val="24"/>
          <w:lang w:eastAsia="zh-CN"/>
        </w:rPr>
        <w:t xml:space="preserve">盱眙县人民医院信息标准化及智慧医院建设财务相关软件采购项目</w:t>
      </w:r>
      <w:r>
        <w:rPr>
          <w:rFonts w:ascii="宋体" w:hAnsi="宋体" w:eastAsia="宋体" w:cs="宋体"/>
          <w:color w:val="000000"/>
          <w:sz w:val="24"/>
        </w:rPr>
        <w:t xml:space="preserve">。（详细内容见本招标文件第四章）</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rPr>
          <w:rFonts w:hint="eastAsia" w:ascii="宋体" w:hAnsi="宋体" w:cs="宋体"/>
          <w:color w:val="000000"/>
          <w:sz w:val="24"/>
          <w:lang w:val="en-US" w:eastAsia="zh-CN"/>
        </w:rPr>
        <w:t xml:space="preserve">工期</w:t>
      </w:r>
      <w:r>
        <w:rPr>
          <w:rFonts w:ascii="宋体" w:hAnsi="宋体" w:eastAsia="宋体" w:cs="宋体"/>
          <w:color w:val="000000"/>
          <w:sz w:val="24"/>
        </w:rPr>
        <w:t xml:space="preserve">：</w:t>
      </w:r>
      <w:r>
        <w:rPr>
          <w:rFonts w:hint="eastAsia" w:ascii="宋体" w:hAnsi="宋体" w:eastAsia="宋体" w:cs="宋体"/>
          <w:color w:val="000000"/>
          <w:sz w:val="24"/>
        </w:rPr>
        <w:t xml:space="preserve">合同签订后60天内完成项目实施并验收合格</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本项目（是/否）接受联合体：不接受联合体 </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二、申请人的资格要求：</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（一）满足《中华人民共和国政府采购法》第二十二条规定：</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1.供应商可任选以下其中1项提供材料，2选1（扫描件上传至电子标书）：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（1）法定代表人资格证明（格式按照示范格式一要求）和法定代表人身份证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（2）授权委托书（格式按照示范格式二要求）和受托人身份证</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2.有效的营业执照（扫描件上传至电子标书）</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3.承诺书（格式按照示范格式三要求，扫描件上传至电子标书）</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4.符合《政府采购法》第二十二条规定条件的声明函（具备履行合同所必需的设备和专业技术能力、财务状况、缴纳税收和社会保障资金等证明材料（格式按照示范格式四要求，扫描件上传至电子标书）</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供应商未被“信用中国”网（https：//www.creditchina.gov.cn/）列入失信被执行人、重大税收违法案件当事人名单、政府采购严重违法失信行为记录名单。供应商未被“中国政府采购网”（http：//www.ccgp.gov.cn/）列入政府采购严重违法失信行为记录名单（由采购人在资格审查时查询，一旦被查询存在上述失信行为记录名单的，将视为资格审查不通过）</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（二）落实政府采购政策需满足的资格要求：</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本项目按照以下第</w:t>
      </w:r>
      <w:r>
        <w:rPr>
          <w:rFonts w:ascii="宋体" w:hAnsi="宋体" w:eastAsia="宋体" w:cs="宋体"/>
          <w:color w:val="000000"/>
          <w:sz w:val="24"/>
          <w:highlight w:val="none"/>
          <w:u w:val="single"/>
        </w:rPr>
        <w:t xml:space="preserve">1.</w:t>
      </w:r>
      <w:r>
        <w:rPr>
          <w:rFonts w:hint="eastAsia" w:ascii="宋体" w:hAnsi="宋体" w:eastAsia="宋体" w:cs="宋体"/>
          <w:color w:val="000000"/>
          <w:sz w:val="24"/>
          <w:highlight w:val="none"/>
          <w:u w:val="single"/>
          <w:lang w:val="en-US" w:eastAsia="zh-CN"/>
        </w:rPr>
        <w:t xml:space="preserve">3</w:t>
      </w:r>
      <w:r>
        <w:rPr>
          <w:rFonts w:ascii="宋体" w:hAnsi="宋体" w:eastAsia="宋体" w:cs="宋体"/>
          <w:color w:val="000000"/>
          <w:sz w:val="24"/>
          <w:highlight w:val="none"/>
        </w:rPr>
        <w:t xml:space="preserve">种</w:t>
      </w:r>
      <w:r>
        <w:rPr>
          <w:rFonts w:ascii="宋体" w:hAnsi="宋体" w:eastAsia="宋体" w:cs="宋体"/>
          <w:color w:val="000000"/>
          <w:sz w:val="24"/>
        </w:rPr>
        <w:t xml:space="preserve">方式落实政府采购促进中小企业发展的要求：</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1.1本项目为专门面向中小企业采购的项目，供应商必须为中小微企业，不接受非中小型企业参与本项目投标。</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1.2本项目通过以下第（）种方式预留部分采购份额采购中小企业服务：</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（1）本项目要求供应商以联合体形式参加，中小企业合同金额应当达到的比例为</w:t>
      </w:r>
      <w:r>
        <w:rPr>
          <w:rFonts w:ascii="宋体" w:hAnsi="宋体" w:eastAsia="宋体" w:cs="宋体"/>
          <w:color w:val="000000"/>
          <w:sz w:val="24"/>
          <w:u w:val="single"/>
        </w:rPr>
        <w:t xml:space="preserve">    </w:t>
      </w:r>
      <w:r>
        <w:rPr>
          <w:rFonts w:ascii="宋体" w:hAnsi="宋体" w:eastAsia="宋体" w:cs="宋体"/>
          <w:color w:val="000000"/>
          <w:sz w:val="24"/>
        </w:rPr>
        <w:t xml:space="preserve">%，其中小微企业所占比例应为</w:t>
      </w:r>
      <w:r>
        <w:rPr>
          <w:rFonts w:ascii="宋体" w:hAnsi="宋体" w:eastAsia="宋体" w:cs="宋体"/>
          <w:color w:val="000000"/>
          <w:sz w:val="24"/>
          <w:u w:val="single"/>
        </w:rPr>
        <w:t xml:space="preserve">    </w:t>
      </w:r>
      <w:r>
        <w:rPr>
          <w:rFonts w:ascii="宋体" w:hAnsi="宋体" w:eastAsia="宋体" w:cs="宋体"/>
          <w:color w:val="000000"/>
          <w:sz w:val="24"/>
        </w:rPr>
        <w:t xml:space="preserve">%（两项比例均应符合《政府采购促进中小企业发展管理办法》第八条规定）。</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（2）本项目要求供应商进行合同分包，中小企业合同金额应当达到的比例为</w:t>
      </w:r>
      <w:r>
        <w:rPr>
          <w:rFonts w:ascii="宋体" w:hAnsi="宋体" w:eastAsia="宋体" w:cs="宋体"/>
          <w:color w:val="000000"/>
          <w:sz w:val="24"/>
          <w:u w:val="single"/>
        </w:rPr>
        <w:t xml:space="preserve">   </w:t>
      </w:r>
      <w:r>
        <w:rPr>
          <w:rFonts w:ascii="宋体" w:hAnsi="宋体" w:eastAsia="宋体" w:cs="宋体"/>
          <w:color w:val="000000"/>
          <w:sz w:val="24"/>
        </w:rPr>
        <w:t xml:space="preserve">%，其中小微企业所占比例应为</w:t>
      </w:r>
      <w:r>
        <w:rPr>
          <w:rFonts w:ascii="宋体" w:hAnsi="宋体" w:eastAsia="宋体" w:cs="宋体"/>
          <w:color w:val="000000"/>
          <w:sz w:val="24"/>
          <w:u w:val="single"/>
        </w:rPr>
        <w:t xml:space="preserve">   </w:t>
      </w:r>
      <w:r>
        <w:rPr>
          <w:rFonts w:ascii="宋体" w:hAnsi="宋体" w:eastAsia="宋体" w:cs="宋体"/>
          <w:color w:val="000000"/>
          <w:sz w:val="24"/>
        </w:rPr>
        <w:t xml:space="preserve">%（两项比例均应符合《政府采购促进中小企业发展管理办法》第八条规定）。</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1.3本项目为非预留份额的采购项目，对小微企业报价给予扣除，用扣除后的价格参加评审。</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注：监狱企业、残疾人福利性单位视同小微企业。</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1.4本项目采购标的对应的中小企业划分标准所属行业为</w:t>
      </w:r>
      <w:r>
        <w:rPr>
          <w:rFonts w:ascii="宋体" w:hAnsi="宋体" w:eastAsia="宋体" w:cs="宋体"/>
          <w:color w:val="000000"/>
          <w:sz w:val="24"/>
          <w:u w:val="single"/>
        </w:rPr>
        <w:t xml:space="preserve">其他未列明行业</w:t>
      </w:r>
      <w:r>
        <w:rPr>
          <w:rFonts w:ascii="宋体" w:hAnsi="宋体" w:eastAsia="宋体" w:cs="宋体"/>
          <w:color w:val="000000"/>
          <w:sz w:val="24"/>
        </w:rPr>
        <w:t xml:space="preserve">。</w:t>
      </w:r>
      <w:r/>
    </w:p>
    <w:p>
      <w:pPr>
        <w:ind w:left="0" w:right="0" w:firstLine="480"/>
        <w:spacing w:before="0" w:after="0" w:line="85"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（三）本项目的特定资格要求：</w:t>
      </w:r>
      <w:r>
        <w:rPr>
          <w:rFonts w:hint="eastAsia" w:ascii="宋体" w:hAnsi="宋体" w:cs="宋体"/>
          <w:sz w:val="24"/>
        </w:rPr>
        <w:t xml:space="preserve">具备电子与智能化工程专业承包二级及以上资质</w:t>
      </w:r>
      <w:r>
        <w:rPr>
          <w:rFonts w:hint="eastAsia" w:ascii="宋体" w:hAnsi="宋体" w:cs="宋体"/>
          <w:sz w:val="24"/>
          <w:lang w:eastAsia="zh-CN"/>
        </w:rPr>
        <w:t xml:space="preserve">（</w:t>
      </w:r>
      <w:r>
        <w:rPr>
          <w:rFonts w:ascii="宋体" w:hAnsi="宋体" w:eastAsia="宋体" w:cs="宋体"/>
          <w:color w:val="000000"/>
          <w:sz w:val="24"/>
        </w:rPr>
        <w:t xml:space="preserve">扫描件上传至电子标书</w:t>
      </w:r>
      <w:r>
        <w:rPr>
          <w:rFonts w:hint="eastAsia" w:ascii="宋体" w:hAnsi="宋体" w:cs="宋体"/>
          <w:sz w:val="24"/>
          <w:lang w:eastAsia="zh-CN"/>
        </w:rPr>
        <w:t xml:space="preserve">）</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三、获取招标文件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时间：</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2024年</w:t>
      </w:r>
      <w:r>
        <w:rPr>
          <w:rFonts w:hint="eastAsia" w:ascii="宋体" w:hAnsi="宋体" w:cs="宋体"/>
          <w:color w:val="000000"/>
          <w:sz w:val="24"/>
          <w:lang w:val="en-US" w:eastAsia="zh-CN"/>
        </w:rPr>
        <w:t xml:space="preserve"> 8</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30 </w:t>
      </w:r>
      <w:r>
        <w:rPr>
          <w:rFonts w:ascii="宋体" w:hAnsi="宋体" w:eastAsia="宋体" w:cs="宋体"/>
          <w:color w:val="000000"/>
          <w:sz w:val="24"/>
        </w:rPr>
        <w:t xml:space="preserve">日至2024年</w:t>
      </w:r>
      <w:r>
        <w:rPr>
          <w:rFonts w:hint="eastAsia" w:ascii="宋体" w:hAnsi="宋体" w:cs="宋体"/>
          <w:color w:val="000000"/>
          <w:sz w:val="24"/>
          <w:lang w:val="en-US" w:eastAsia="zh-CN"/>
        </w:rPr>
        <w:t xml:space="preserve">9 </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5 </w:t>
      </w:r>
      <w:r>
        <w:rPr>
          <w:rFonts w:ascii="宋体" w:hAnsi="宋体" w:eastAsia="宋体" w:cs="宋体"/>
          <w:color w:val="000000"/>
          <w:sz w:val="24"/>
        </w:rPr>
        <w:t xml:space="preserve">日，每天上午00:00-12:00，下午12:00-23:59（北京时间，法定节假日除外）</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地点：江苏省政府采购网或淮安市政府采购网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式：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售价：0.00元 </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四、提交投标文件截止时间、开标时间和地点</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时间：2024-</w:t>
      </w:r>
      <w:r>
        <w:rPr>
          <w:rFonts w:hint="eastAsia" w:ascii="宋体" w:hAnsi="宋体" w:cs="宋体"/>
          <w:color w:val="000000"/>
          <w:sz w:val="24"/>
          <w:u w:val="none"/>
          <w:lang w:val="en-US" w:eastAsia="zh-CN"/>
        </w:rPr>
        <w:t xml:space="preserve"> 9 </w:t>
      </w:r>
      <w:r>
        <w:rPr>
          <w:rFonts w:ascii="宋体" w:hAnsi="宋体" w:eastAsia="宋体" w:cs="宋体"/>
          <w:color w:val="000000"/>
          <w:sz w:val="24"/>
        </w:rPr>
        <w:t xml:space="preserve">-</w:t>
      </w:r>
      <w:r>
        <w:rPr>
          <w:rFonts w:hint="eastAsia" w:ascii="宋体" w:hAnsi="宋体" w:cs="宋体"/>
          <w:color w:val="000000"/>
          <w:sz w:val="24"/>
          <w:lang w:val="en-US" w:eastAsia="zh-CN"/>
        </w:rPr>
        <w:t xml:space="preserve"> 23</w:t>
      </w:r>
      <w:r>
        <w:rPr>
          <w:rFonts w:ascii="宋体" w:hAnsi="宋体" w:eastAsia="宋体" w:cs="宋体"/>
          <w:color w:val="000000"/>
          <w:sz w:val="24"/>
        </w:rPr>
        <w:t xml:space="preserve"> 09:00 （北京时间）</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地点：http://jszfcg.jscz.gov.cn/jszc/login江苏省政府采购一体化不见面开标（采购）大厅 </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五、公告期限</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自本公告发布之日起5个工作日。</w:t>
      </w:r>
      <w:r/>
    </w:p>
    <w:p>
      <w:pPr>
        <w:numPr>
          <w:ilvl w:val="0"/>
          <w:numId w:val="2"/>
        </w:numPr>
        <w:ind w:left="0" w:right="0" w:firstLine="482"/>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其他补充事宜</w:t>
      </w:r>
      <w:r/>
    </w:p>
    <w:p>
      <w:pPr>
        <w:numPr>
          <w:ilvl w:val="0"/>
          <w:numId w:val="0"/>
        </w:numPr>
        <w:ind w:left="482" w:right="0"/>
        <w:spacing w:before="0" w:after="0" w:line="85" w:lineRule="atLeast"/>
        <w:rPr>
          <w:rFonts w:hint="default" w:ascii="宋体" w:hAnsi="宋体" w:eastAsia="宋体" w:cs="宋体"/>
          <w:b w:val="0"/>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lang w:val="en-US" w:eastAsia="zh-CN"/>
        </w:rPr>
        <w:t xml:space="preserve">1、本项目不收取履约保证金</w:t>
      </w:r>
      <w:r/>
    </w:p>
    <w:p>
      <w:pPr>
        <w:ind w:left="0" w:right="0" w:firstLine="480"/>
        <w:spacing w:before="0" w:after="0" w:line="85"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本项目采用“全流程电子化交易”模式，通过“苏采云政府采购一体化平台”及相应的配套硬件设备（摄像头、话筒、麦克风等）完成远程解密、公布报价、澄清等交互环节。采购人或代理机构组织本项目的“不见面交易”活动。供应商仅需在任意地点登录“苏采云”系统，进入江苏省政府采购一体化不见面开标（采购）大厅观看项目的活动组织。</w:t>
      </w:r>
      <w:r/>
    </w:p>
    <w:p>
      <w:pPr>
        <w:ind w:left="0" w:right="0" w:firstLine="480"/>
        <w:spacing w:before="0" w:after="0" w:line="85"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3、供应商在制作上传电子响应文件、观看活动组织、响应文件解密等技术方面遇到问题时，请与软件公司技术人员咨询，联系电话:0517-83638013。</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七、本次招标联系方式</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采购人联系方式</w:t>
      </w:r>
      <w:r/>
    </w:p>
    <w:p>
      <w:pPr>
        <w:ind w:left="0" w:right="0" w:firstLine="480"/>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盱眙县人民医院</w:t>
      </w:r>
      <w:r/>
    </w:p>
    <w:p>
      <w:pPr>
        <w:ind w:left="0" w:right="0" w:firstLine="480"/>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联系人：姚佰顺</w:t>
      </w:r>
      <w:r/>
    </w:p>
    <w:p>
      <w:pPr>
        <w:ind w:left="0" w:right="0" w:firstLine="480"/>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联系电话:0517-80811332</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eastAsia="zh-Hans"/>
        </w:rPr>
        <w:t xml:space="preserve">盱眙县人民医院洪武大道28号（新院区）</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采购代理机构信息</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名称：正军项目管理集团有限公司</w:t>
      </w:r>
      <w:r/>
    </w:p>
    <w:p>
      <w:pPr>
        <w:ind w:left="0" w:right="0" w:firstLine="480"/>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联系人：</w:t>
      </w:r>
      <w:r>
        <w:rPr>
          <w:rFonts w:hint="eastAsia" w:ascii="宋体" w:hAnsi="宋体" w:eastAsia="宋体" w:cs="宋体"/>
          <w:color w:val="000000"/>
          <w:sz w:val="24"/>
          <w:lang w:val="en-US" w:eastAsia="zh-CN"/>
        </w:rPr>
        <w:t xml:space="preserve">王莹</w:t>
      </w:r>
      <w:r/>
    </w:p>
    <w:p>
      <w:pPr>
        <w:ind w:left="0" w:right="0" w:firstLine="480"/>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w:t>
      </w:r>
      <w:r>
        <w:rPr>
          <w:rFonts w:hint="eastAsia" w:ascii="宋体" w:hAnsi="宋体" w:eastAsia="宋体" w:cs="宋体"/>
          <w:color w:val="000000"/>
          <w:sz w:val="24"/>
          <w:lang w:val="en-US" w:eastAsia="zh-CN"/>
        </w:rPr>
        <w:t xml:space="preserve">电话</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15152349979</w:t>
      </w:r>
      <w:r/>
    </w:p>
    <w:p>
      <w:pPr>
        <w:ind w:left="0" w:right="0" w:firstLine="480"/>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地址：盱眙县山水大道88号中澳生态城商业区52号楼210室</w:t>
      </w:r>
      <w:r/>
    </w:p>
    <w:p>
      <w:r/>
      <w:r/>
    </w:p>
    <w:p>
      <w:r/>
      <w:r/>
    </w:p>
    <w:p>
      <w:pPr>
        <w:pStyle w:val="842"/>
        <w:jc w:val="right"/>
        <w:rPr>
          <w:rFonts w:hint="eastAsia" w:eastAsia="宋体"/>
          <w:lang w:eastAsia="zh-CN"/>
        </w:rPr>
      </w:pPr>
      <w:r>
        <w:rPr>
          <w:rFonts w:hint="eastAsia"/>
          <w:lang w:eastAsia="zh-CN"/>
        </w:rPr>
        <w:t xml:space="preserve">盱眙县人民医院</w:t>
      </w:r>
      <w:r/>
    </w:p>
    <w:p>
      <w:pPr>
        <w:pStyle w:val="842"/>
        <w:jc w:val="right"/>
        <w:rPr>
          <w:rFonts w:hint="eastAsia" w:ascii="宋体" w:hAnsi="宋体" w:cs="宋体"/>
          <w:b/>
          <w:bCs/>
          <w:sz w:val="32"/>
          <w:szCs w:val="32"/>
        </w:rPr>
      </w:pPr>
      <w:r>
        <w:t xml:space="preserve">202</w:t>
      </w:r>
      <w:r>
        <w:rPr>
          <w:rFonts w:hint="eastAsia"/>
          <w:lang w:val="en-US" w:eastAsia="zh-CN"/>
        </w:rPr>
        <w:t xml:space="preserve">4</w:t>
      </w:r>
      <w:r>
        <w:t xml:space="preserve">年</w:t>
      </w:r>
      <w:r>
        <w:rPr>
          <w:rFonts w:hint="eastAsia"/>
          <w:lang w:val="en-US" w:eastAsia="zh-CN"/>
        </w:rPr>
        <w:t xml:space="preserve">8</w:t>
      </w:r>
      <w:r>
        <w:t xml:space="preserve">月</w:t>
      </w:r>
      <w:r>
        <w:rPr>
          <w:rFonts w:hint="eastAsia"/>
          <w:lang w:val="en-US" w:eastAsia="zh-CN"/>
        </w:rPr>
        <w:t xml:space="preserve">29</w:t>
      </w:r>
      <w:r>
        <w:t xml:space="preserve">日</w:t>
      </w:r>
      <w:r/>
    </w:p>
    <w:p>
      <w:r/>
      <w:r/>
    </w:p>
    <w:p>
      <w:r/>
      <w:r/>
    </w:p>
    <w:p>
      <w:r/>
      <w:r/>
    </w:p>
    <w:p>
      <w:r/>
      <w:r/>
    </w:p>
    <w:p>
      <w:r/>
      <w:r/>
    </w:p>
    <w:p>
      <w:r/>
      <w:r/>
    </w:p>
    <w:p>
      <w:r/>
      <w:r/>
    </w:p>
    <w:p>
      <w:r/>
      <w:r/>
    </w:p>
    <w:p>
      <w:r/>
      <w:r/>
    </w:p>
    <w:p>
      <w:r/>
      <w:r/>
    </w:p>
    <w:p>
      <w:r/>
      <w:r/>
    </w:p>
    <w:p>
      <w:r/>
      <w:r/>
    </w:p>
    <w:p>
      <w:r/>
      <w:r/>
    </w:p>
    <w:p>
      <w:r/>
      <w:r/>
    </w:p>
    <w:p>
      <w:r/>
      <w:r/>
    </w:p>
    <w:p>
      <w:r/>
      <w:r/>
    </w:p>
    <w:p>
      <w:r/>
      <w:r/>
    </w:p>
    <w:p>
      <w:r/>
      <w:r/>
    </w:p>
    <w:p>
      <w:r/>
      <w:r/>
    </w:p>
    <w:p>
      <w:pPr>
        <w:pStyle w:val="652"/>
      </w:pPr>
      <w:r/>
      <w:r/>
    </w:p>
    <w:p>
      <w:r/>
      <w:r/>
    </w:p>
    <w:p>
      <w:pPr>
        <w:pStyle w:val="652"/>
      </w:pPr>
      <w:r/>
      <w:r/>
    </w:p>
    <w:p>
      <w:r/>
      <w:r/>
    </w:p>
    <w:p>
      <w:pPr>
        <w:pStyle w:val="652"/>
      </w:pPr>
      <w:r/>
      <w:r/>
    </w:p>
    <w:p>
      <w:r/>
      <w:r/>
    </w:p>
    <w:p>
      <w:r/>
      <w:r/>
    </w:p>
    <w:p>
      <w:r/>
      <w:r/>
    </w:p>
    <w:p>
      <w:r/>
      <w:r/>
    </w:p>
    <w:p>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ind w:left="0" w:right="0" w:firstLine="2429"/>
        <w:jc w:val="both"/>
        <w:spacing w:before="260" w:after="260" w:line="98"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第二章投标人须知</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一、总则</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1</w:t>
      </w:r>
      <w:r>
        <w:rPr>
          <w:rFonts w:ascii="黑体" w:hAnsi="黑体" w:eastAsia="黑体" w:cs="黑体"/>
          <w:color w:val="000000"/>
          <w:sz w:val="24"/>
        </w:rPr>
        <w:t xml:space="preserve">、招标方式</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2</w:t>
      </w:r>
      <w:r>
        <w:rPr>
          <w:rFonts w:ascii="黑体" w:hAnsi="黑体" w:eastAsia="黑体" w:cs="黑体"/>
          <w:color w:val="000000"/>
          <w:sz w:val="24"/>
          <w:u w:val="none"/>
        </w:rPr>
        <w:t xml:space="preserve">、合格的投标人</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满足本文件实质性要求和条件的规定。</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3</w:t>
      </w:r>
      <w:r>
        <w:rPr>
          <w:rFonts w:ascii="黑体" w:hAnsi="黑体" w:eastAsia="黑体" w:cs="黑体"/>
          <w:color w:val="000000"/>
          <w:sz w:val="24"/>
          <w:u w:val="none"/>
        </w:rPr>
        <w:t xml:space="preserve">、适用法律</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4</w:t>
      </w:r>
      <w:r>
        <w:rPr>
          <w:rFonts w:ascii="黑体" w:hAnsi="黑体" w:eastAsia="黑体" w:cs="黑体"/>
          <w:color w:val="000000"/>
          <w:sz w:val="24"/>
          <w:u w:val="none"/>
        </w:rPr>
        <w:t xml:space="preserve">、投标费用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4.1投标人应自行承担所有与参加投标有关的费用，无论投标过程中的做法和结果如何，采购人在任何情况下均无义务和责任承担这些费用。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4.2本次招标不收取标书工本费与中标服务费。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4.3本次项目招标代理费参照《江苏省招标代理服务收费的指导意见》的通知》(苏招协【2022】002号文)规定收费标准</w:t>
      </w:r>
      <w:r>
        <w:rPr>
          <w:rFonts w:hint="eastAsia" w:ascii="宋体" w:hAnsi="宋体" w:cs="宋体"/>
          <w:color w:val="000000"/>
          <w:sz w:val="24"/>
          <w:lang w:val="en-US" w:eastAsia="zh-CN"/>
        </w:rPr>
        <w:t xml:space="preserve">优惠</w:t>
      </w:r>
      <w:r>
        <w:rPr>
          <w:rFonts w:ascii="宋体" w:hAnsi="宋体" w:eastAsia="宋体" w:cs="宋体"/>
          <w:color w:val="000000"/>
          <w:sz w:val="24"/>
        </w:rPr>
        <w:t xml:space="preserve">收取；供应商在报价时综合考虑，由成交供应商在领取中标通知书时向代理机构一次性付清。</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w:t>
      </w:r>
      <w:r>
        <w:rPr>
          <w:rFonts w:ascii="黑体" w:hAnsi="黑体" w:eastAsia="黑体" w:cs="黑体"/>
          <w:b/>
          <w:color w:val="000000"/>
          <w:sz w:val="24"/>
        </w:rPr>
        <w:t xml:space="preserve">、</w:t>
      </w:r>
      <w:r>
        <w:rPr>
          <w:rFonts w:ascii="黑体" w:hAnsi="黑体" w:eastAsia="黑体" w:cs="黑体"/>
          <w:color w:val="000000"/>
          <w:sz w:val="24"/>
        </w:rPr>
        <w:t xml:space="preserve">招标文件的约束力</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二、招标文件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6</w:t>
      </w:r>
      <w:r>
        <w:rPr>
          <w:rFonts w:ascii="黑体" w:hAnsi="黑体" w:eastAsia="黑体" w:cs="黑体"/>
          <w:color w:val="000000"/>
          <w:sz w:val="24"/>
          <w:u w:val="none"/>
        </w:rPr>
        <w:t xml:space="preserve">、招标文件构成</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6.1招标文件由以下部分组成：</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请仔细检查招标文件是否齐全，如有缺漏请立即与代理机构联系解决。</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7</w:t>
      </w:r>
      <w:r>
        <w:rPr>
          <w:rFonts w:ascii="黑体" w:hAnsi="黑体" w:eastAsia="黑体" w:cs="黑体"/>
          <w:color w:val="000000"/>
          <w:sz w:val="24"/>
          <w:u w:val="none"/>
        </w:rPr>
        <w:t xml:space="preserve">、招标文件的澄清</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任何对招标文件要求进行澄清的投标人，均应在投标截止时间前十五日按招标公告中的通讯地址，以书面形式（如信件、传真等）送达采购单位，采购人对投标截止时间前十五日收到的任何澄清要求将以书面形式予以答复（邮寄或传真）。由于投标人所留联系方式有问题而导致采购人无法通知的，其责任由投标人自行承担。（逾期递交对招标文件要求进行澄清的，采购人不予受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8</w:t>
      </w:r>
      <w:r>
        <w:rPr>
          <w:rFonts w:ascii="黑体" w:hAnsi="黑体" w:eastAsia="黑体" w:cs="黑体"/>
          <w:color w:val="000000"/>
          <w:sz w:val="24"/>
          <w:u w:val="none"/>
        </w:rPr>
        <w:t xml:space="preserve">、招标文件的修改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8.1在投标截止时间十五日前，采购人可主动地或在解答投标人提出的澄清问题时对招标文件进行修改。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招标文件的修改将以公告的形式进行发布，投标人应持续关注淮安市政府采购网、江苏政府采购网信息。补充文件将作为招标文件的组成部分，对所有投标人都具有约束力。</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 投标人在收到补充通知后，应于一个工作日内正式书面回函采购人。逾期不回的，采购人视同投标人已收到补充通知。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8.4 采购人有权酌情推迟投标截止时间和开标日期，并在淮安市政府采购网、江苏政府采购网公告。</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三、投标文件的编制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9</w:t>
      </w:r>
      <w:r>
        <w:rPr>
          <w:rFonts w:ascii="黑体" w:hAnsi="黑体" w:eastAsia="黑体" w:cs="黑体"/>
          <w:color w:val="000000"/>
          <w:sz w:val="24"/>
          <w:u w:val="none"/>
        </w:rPr>
        <w:t xml:space="preserve">、投标文件的语言及度量衡单位</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9.1投标人提交的投标文件以及投标人与采购人就有关投标的所有来往通知、函件和文件均应使用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9.2除技术性能另有规定外，投标文件所使用的度量衡单位，均须采用国家法定计量单位。</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10</w:t>
      </w:r>
      <w:r>
        <w:rPr>
          <w:rFonts w:ascii="黑体" w:hAnsi="黑体" w:eastAsia="黑体" w:cs="黑体"/>
          <w:color w:val="000000"/>
          <w:sz w:val="24"/>
          <w:u w:val="none"/>
        </w:rPr>
        <w:t xml:space="preserve">、投标文件构成</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10.1投标人编写的投标文件应包括资格证明文件、报价表、技术要求响应及偏离表、投标函、开标一览表等部分。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11</w:t>
      </w:r>
      <w:r>
        <w:rPr>
          <w:rFonts w:ascii="黑体" w:hAnsi="黑体" w:eastAsia="黑体" w:cs="黑体"/>
          <w:color w:val="000000"/>
          <w:sz w:val="24"/>
          <w:u w:val="none"/>
        </w:rPr>
        <w:t xml:space="preserve">、证明投标人及投标标的符合招标文件规定的文件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投标人应按照招标文件要求提交证明文件，证明其及投标标的符合招标文件规定。</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11.2招标文件对证明文件无明确形式要求的，证明文件可以以文字资料、图纸和数据等形式提交。</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12</w:t>
      </w:r>
      <w:r>
        <w:rPr>
          <w:rFonts w:ascii="黑体" w:hAnsi="黑体" w:eastAsia="黑体" w:cs="黑体"/>
          <w:color w:val="000000"/>
          <w:sz w:val="24"/>
        </w:rPr>
        <w:t xml:space="preserve">、投标分项报价表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12.1投标人应按照招标文件规定格式填报投标分项报价表。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13</w:t>
      </w:r>
      <w:r>
        <w:rPr>
          <w:rFonts w:ascii="黑体" w:hAnsi="黑体" w:eastAsia="黑体" w:cs="黑体"/>
          <w:color w:val="000000"/>
          <w:sz w:val="24"/>
        </w:rPr>
        <w:t xml:space="preserve">、技术要求响应及偏离表、商务要求响应及偏离表（如有）</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13.1投标人需对招标文件中的技术要求与商务要求逐项作出响应或偏离，并说明原因。</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投标人可在投标文件中提供认为需要的其他技术文件或说明。</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14</w:t>
      </w:r>
      <w:r>
        <w:rPr>
          <w:rFonts w:ascii="黑体" w:hAnsi="黑体" w:eastAsia="黑体" w:cs="黑体"/>
          <w:color w:val="000000"/>
          <w:sz w:val="24"/>
        </w:rPr>
        <w:t xml:space="preserve">、服务承诺</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投标人的服务承诺应按不低于招标文件中基本服务要求的标准，并作出响应。</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15</w:t>
      </w:r>
      <w:r>
        <w:rPr>
          <w:rFonts w:ascii="黑体" w:hAnsi="黑体" w:eastAsia="黑体" w:cs="黑体"/>
          <w:color w:val="000000"/>
          <w:sz w:val="24"/>
          <w:u w:val="none"/>
        </w:rPr>
        <w:t xml:space="preserve">、投标函和开标一览表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15.1投标人应按照招标文件中提供的格式完整、正确填写投标函、开标一览表。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16</w:t>
      </w:r>
      <w:r>
        <w:rPr>
          <w:rFonts w:ascii="黑体" w:hAnsi="黑体" w:eastAsia="黑体" w:cs="黑体"/>
          <w:color w:val="000000"/>
          <w:sz w:val="24"/>
        </w:rPr>
        <w:t xml:space="preserve">、投标有效期</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16.1投标有效期为采购人规定的开标之日后</w:t>
      </w:r>
      <w:r>
        <w:rPr>
          <w:rFonts w:ascii="宋体" w:hAnsi="宋体" w:eastAsia="宋体" w:cs="宋体"/>
          <w:b/>
          <w:color w:val="000000"/>
          <w:sz w:val="24"/>
        </w:rPr>
        <w:t xml:space="preserve">九十（</w:t>
      </w:r>
      <w:r>
        <w:rPr>
          <w:rFonts w:ascii="仿宋" w:hAnsi="仿宋" w:eastAsia="仿宋" w:cs="仿宋"/>
          <w:b/>
          <w:color w:val="000000"/>
          <w:sz w:val="24"/>
        </w:rPr>
        <w:t xml:space="preserve">90</w:t>
      </w:r>
      <w:r>
        <w:rPr>
          <w:rFonts w:ascii="宋体" w:hAnsi="宋体" w:eastAsia="宋体" w:cs="宋体"/>
          <w:b/>
          <w:color w:val="000000"/>
          <w:sz w:val="24"/>
        </w:rPr>
        <w:t xml:space="preserve">）天</w:t>
      </w:r>
      <w:r>
        <w:rPr>
          <w:rFonts w:ascii="宋体" w:hAnsi="宋体" w:eastAsia="宋体" w:cs="宋体"/>
          <w:color w:val="000000"/>
          <w:sz w:val="24"/>
        </w:rPr>
        <w:t xml:space="preserve">。投标有效期比规定短的将被视为未实质性响应招标文件而予以拒绝。</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17</w:t>
      </w:r>
      <w:r>
        <w:rPr>
          <w:rFonts w:ascii="黑体" w:hAnsi="黑体" w:eastAsia="黑体" w:cs="黑体"/>
          <w:color w:val="000000"/>
          <w:sz w:val="24"/>
        </w:rPr>
        <w:t xml:space="preserve">、投标有效期的延长</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四、投标文件的递交</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1</w:t>
      </w:r>
      <w:r>
        <w:rPr>
          <w:rFonts w:ascii="Arial" w:hAnsi="Arial" w:eastAsia="Arial" w:cs="Arial"/>
          <w:color w:val="000000"/>
          <w:sz w:val="24"/>
        </w:rPr>
        <w:t xml:space="preserve">8</w:t>
      </w:r>
      <w:r>
        <w:rPr>
          <w:rFonts w:ascii="黑体" w:hAnsi="黑体" w:eastAsia="黑体" w:cs="黑体"/>
          <w:color w:val="000000"/>
          <w:sz w:val="24"/>
        </w:rPr>
        <w:t xml:space="preserve">、电子投标文件的递交</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18.1投标人应当按照《操作手册》规定，在投标截止时间前制作并上传电子投标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文件（中标公示结束中标供应商打印3套提交,纸质投标文件须打印并加盖投标人公章）。</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19</w:t>
      </w:r>
      <w:r>
        <w:rPr>
          <w:rFonts w:ascii="黑体" w:hAnsi="黑体" w:eastAsia="黑体" w:cs="黑体"/>
          <w:color w:val="000000"/>
          <w:sz w:val="24"/>
        </w:rPr>
        <w:t xml:space="preserve">、投标截止日期</w:t>
      </w:r>
      <w:r/>
    </w:p>
    <w:p>
      <w:pPr>
        <w:ind w:left="0" w:right="0" w:firstLine="480"/>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19.1投标人上传电子投标文件的时间不得迟于招标公告中规定的投标截止时间</w:t>
      </w:r>
      <w:r>
        <w:rPr>
          <w:rFonts w:hint="eastAsia" w:ascii="宋体" w:hAnsi="宋体" w:cs="宋体"/>
          <w:color w:val="000000"/>
          <w:sz w:val="24"/>
          <w:lang w:eastAsia="zh-CN"/>
        </w:rPr>
        <w:t xml:space="preserve">。</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19.2采购人可以按照规定，通过修改招标文件酌情延长投标截止日期，在此情况下，投标人的所有权利和义务以及投标人受制的截止日期均应以延长后新的截止日期为准。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2</w:t>
      </w:r>
      <w:r>
        <w:rPr>
          <w:rFonts w:ascii="Arial" w:hAnsi="Arial" w:eastAsia="Arial" w:cs="Arial"/>
          <w:color w:val="000000"/>
          <w:sz w:val="24"/>
        </w:rPr>
        <w:t xml:space="preserve">0</w:t>
      </w:r>
      <w:r>
        <w:rPr>
          <w:rFonts w:ascii="黑体" w:hAnsi="黑体" w:eastAsia="黑体" w:cs="黑体"/>
          <w:color w:val="000000"/>
          <w:sz w:val="24"/>
        </w:rPr>
        <w:t xml:space="preserve">、投标文件的拒收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采购人拒绝接收在其规定的投标截止时间后上传的任何投标文件。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2</w:t>
      </w:r>
      <w:r>
        <w:rPr>
          <w:rFonts w:ascii="Arial" w:hAnsi="Arial" w:eastAsia="Arial" w:cs="Arial"/>
          <w:color w:val="000000"/>
          <w:sz w:val="24"/>
        </w:rPr>
        <w:t xml:space="preserve">1</w:t>
      </w:r>
      <w:r>
        <w:rPr>
          <w:rFonts w:ascii="黑体" w:hAnsi="黑体" w:eastAsia="黑体" w:cs="黑体"/>
          <w:color w:val="000000"/>
          <w:sz w:val="24"/>
        </w:rPr>
        <w:t xml:space="preserve">、投标文件的撤回和修改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 投标文件的撤回</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21.1.1 电子投标文件的撤回</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21.1.2投标人撤回电子投标文件，则认为其不再参与本项目投标活动。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 投标文件的修改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21.2.1投标人可在投标截止时间前，对其电子投标文件进行修改，具体操作方法见《操作手册》。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21.2.2在投标截止时间之后，投标人不得对其电子投标文件作任何修改。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21.3在投标截止时间至招标文件中规定的投标有效期满之间的这段时间内，投标人不得撤回其投标。</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五、开标与评标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22</w:t>
      </w:r>
      <w:r>
        <w:rPr>
          <w:rFonts w:ascii="黑体" w:hAnsi="黑体" w:eastAsia="黑体" w:cs="黑体"/>
          <w:color w:val="000000"/>
          <w:sz w:val="24"/>
          <w:u w:val="none"/>
        </w:rPr>
        <w:t xml:space="preserve">、开标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22.2开标仪式由采购代理机构组织。苏采云系统将自动对项目进行开标，并宣布各投标人名称和投标价格。</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22.3投标人在开标过程中涉及到的投标文件解密、开标结果确认等工作，应按照《操作手册》规定执行。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22.4投标人如果对开标过程和开标记录有疑义，应当根据《操作手册》规定提出，如苏采云系统中《开标记录表》宣布后5分钟内未提出的，视同认可开标结果。</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2</w:t>
      </w:r>
      <w:r>
        <w:rPr>
          <w:rFonts w:ascii="Arial" w:hAnsi="Arial" w:eastAsia="Arial" w:cs="Arial"/>
          <w:color w:val="000000"/>
          <w:sz w:val="24"/>
        </w:rPr>
        <w:t xml:space="preserve">3</w:t>
      </w:r>
      <w:r>
        <w:rPr>
          <w:rFonts w:ascii="黑体" w:hAnsi="黑体" w:eastAsia="黑体" w:cs="黑体"/>
          <w:color w:val="000000"/>
          <w:sz w:val="24"/>
        </w:rPr>
        <w:t xml:space="preserve">、评标委员会</w:t>
      </w:r>
      <w:r/>
    </w:p>
    <w:p>
      <w:pPr>
        <w:ind w:right="0" w:firstLine="24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23.1开标后，采购人将立即组织评标委员会（以下简称评委会）进行评标。</w:t>
      </w:r>
      <w:r/>
    </w:p>
    <w:p>
      <w:pPr>
        <w:ind w:right="0" w:firstLine="24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23.2 评委会由五人或以上单数的行业专家、采购人代表（限1人）组成。</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23.3评委会独立工作，负责评审所有投标文件并确定中标侯选人。</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 评委会应对投标人的商业、技术秘密予以保密。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24．评标过程的保密与公正</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24.1凡是与审查、澄清、评价和比较投标的有关资料以及授标建议等，采购人、评委、采购代理机构均不得向投标人或与评标无关的其他人员透露。</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24.2在评标过程中，投标人不得以任何行为影响评标过程，否则其投标文件将被作为无效投标文件。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24.3采购人和评标委员会不向未中标的投标人解释未中标原因，也不公布评标过程中的相关细节。</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24.4采用综合评分法的项目，未中标的投标人可于中标结果公告期限届满之日起通过苏采云系统查看自己的评审得分及排序情况。</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2</w:t>
      </w:r>
      <w:r>
        <w:rPr>
          <w:rFonts w:ascii="Arial" w:hAnsi="Arial" w:eastAsia="Arial" w:cs="Arial"/>
          <w:color w:val="000000"/>
          <w:sz w:val="24"/>
        </w:rPr>
        <w:t xml:space="preserve">5</w:t>
      </w:r>
      <w:r>
        <w:rPr>
          <w:rFonts w:ascii="黑体" w:hAnsi="黑体" w:eastAsia="黑体" w:cs="黑体"/>
          <w:color w:val="000000"/>
          <w:sz w:val="24"/>
        </w:rPr>
        <w:t xml:space="preserve">．投标文件的澄清</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接到评委会澄清、说明和补正要求的投标人如未按规定做出澄清、说明和补正，其风险由投标人自行承担。</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26</w:t>
      </w:r>
      <w:r>
        <w:rPr>
          <w:rFonts w:ascii="黑体" w:hAnsi="黑体" w:eastAsia="黑体" w:cs="黑体"/>
          <w:color w:val="000000"/>
          <w:sz w:val="24"/>
        </w:rPr>
        <w:t xml:space="preserve">、对投标文件的初审</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26.1投标文件初审分为资格审查和符合性审查。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w:t>
      </w:r>
      <w:r>
        <w:rPr>
          <w:rFonts w:ascii="宋体" w:hAnsi="宋体" w:eastAsia="宋体" w:cs="宋体"/>
          <w:color w:val="000000"/>
          <w:sz w:val="24"/>
        </w:rPr>
        <w:t xml:space="preserve">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26.7投标人在开、评标全过程中应保持通讯畅通，及时登录苏采云系统查阅、答复相关信息，并安排专人与评标委员会联系。</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27</w:t>
      </w:r>
      <w:r>
        <w:rPr>
          <w:rFonts w:ascii="黑体" w:hAnsi="黑体" w:eastAsia="黑体" w:cs="黑体"/>
          <w:color w:val="000000"/>
          <w:sz w:val="24"/>
        </w:rPr>
        <w:t xml:space="preserve">、无效投标条款和废标条款</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w:t>
      </w:r>
      <w:r>
        <w:rPr>
          <w:rFonts w:ascii="宋体" w:hAnsi="宋体" w:eastAsia="宋体" w:cs="宋体"/>
          <w:color w:val="000000"/>
          <w:sz w:val="24"/>
        </w:rPr>
        <w:t xml:space="preserve">7.1无效投标条款，投标文件有下列情况之一的，应当在符合性审查时按照无效投标处理：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 投标人在苏采云系统规定的时间内未成功解密电子投标文件的。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 投标人未按照招标文件要求上传电子投标文件的。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27.1.3同一投标人提交两个（含两个）以上不同的投标报价的。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27.1.4投标人不具备招标文件中规定资格要求的。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27.1.5投标人的报价超过了采购预算或最高限价的。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27.1.6未通过符合性审查的，不符合招标文件中规定的实质性要求和条件的。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27.1.8投标文件含有采购人不能接受的附加条件的。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27.1.10投标文件未按照招标文件要求加盖CA电子公章的。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27.1.11其他法律、法规及本招标文件规定的属无效投标的情形。</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27.2废标条款</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27.2.1符合专业条件的供应商或者对招标文件作实质响应的供应商不足三家的。27.2.2出现影响采购公正的违法、违规行为的。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27.2.3因重大变故，采购任务取消的。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27.2.4评标委员会认定招标文件存在歧义、重大缺陷导致评审工作无法进行。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27.2.5 因苏采云系统系统故障原因造成开标不成功的。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 投标截止时间结束后参加投标的供应商不足三家的处理：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六、定标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u w:val="none"/>
        </w:rPr>
        <w:t xml:space="preserve">2</w:t>
      </w:r>
      <w:r>
        <w:rPr>
          <w:rFonts w:ascii="黑体" w:hAnsi="黑体" w:eastAsia="黑体" w:cs="黑体"/>
          <w:color w:val="000000"/>
          <w:sz w:val="24"/>
        </w:rPr>
        <w:t xml:space="preserve">8、确定中标单位</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28.1中标候选人的选取原则和数量见招标文件第五章规定。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 采购人应根据评委会推荐的中标候选人确定中标人。</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 将在“江苏政府采购网”发布中标公告，公告期限为1个工作日。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 若有充分证据证明，中标人出现下列情况之一的，一经查实，将被取消中标资格：</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28.4.1提供虚假材料谋取中标的。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28.4.2向采购人、采购代理机构行贿或者提供其他不正当利益的。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28.4.3属于本文件规定的无效条件，但在评标过程中又未被评委会发现的。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28.4.4与采购人或者其他供应商恶意串通的。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28.4.5采取不正当手段诋毁、排挤其他供应商的。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28.5.有下列情形之一的，视为投标人串通投标，投标无效：</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28.5.1不同投标人的投标文件由同一单位或者个人编制；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28.5.2不同投标人委托同一单位或者个人办理投标事宜；</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 不同投标人的投标文件载明的项目管理成员或者联系人员为同一人；</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28.5.4不同投标人的投标文件异常一致或者投标报价呈规律性差异；</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29、质疑处理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供应商认为采购文件、采购过程和采购结果使自己的权益受到损害的，可以在知道或应知其权益受到损害之日起七个工作日内，以电子文件形式从通过“苏采云平台”-&gt;“供应商“登录，从”项目质疑申请”模块提出质疑，同时必须将质疑函的原件邮寄至采购人或采购代理机构处。未通过交易平台提交的及邮寄原件、七个工作日之外以及匿名的质疑均不予受理，上述应知其权益受到损害之日，是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29.2.1对可以质疑的采购文件提出质疑的，为收到采购文件之日或者采购文件公告期限届满之日；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29.2.2对采购过程提出质疑的，为各采购程序环节结束之日；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29.2.3对中标或者成交结果提出质疑的，为中标或者成交结果公告期限届满之日。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29.3质疑函应当包括以下主要内容，附上相关证明材料。否则，采购人不予受理。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（1）质疑投标人的名称、地址、邮编、联系人及联系电话；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（2）质疑项目的名称、编号；</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（3）具体、明确的质疑事项和与质疑事实相关的请求；</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（4）事实依据；</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（5）必要的法律依据；</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（6）提起质疑的日期；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（7）质疑函应当署名:应当由法定代表人签字并加盖单位公章。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 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收到质疑函后，将对质疑的形式和内容进行审查，如质疑函内容、格式不符合规定，采购人或招标代理将告知质疑人进行补正。质疑人应当在法定质疑期限内进行补正并重新提交质疑函，拒不补正或者超过法定期限后未重新提交质疑函的，为无效质疑，采购人有权不予受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对于内容、格式符合规定的质疑函，采购人将在五个工作日内以书面形式或者电子文件形式作出答复，但质疑答复的内容不涉及商业秘密。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采购人质疑接收人及联系方式见招标文件第一章。</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 以下情形的质疑不予受理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 内容不符合《政府采购质疑和投诉办法》第十二条规定的质疑。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 超出政府采购法定期限的质疑。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29.5.3 以传真、电子邮件等方式递交的非原件形式的质疑。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29.5.4 未参加投标活动的供应商或在投标活动中自身权益未受到损害的供应商所提出的质疑。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29.5.5供应商组成联合体参加投标，联合体中任何一方或多方未按要求签字、盖章、加盖公章的质疑。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30、中标通知书</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30.l</w:t>
      </w:r>
      <w:r>
        <w:rPr>
          <w:rFonts w:ascii="宋体" w:hAnsi="宋体" w:eastAsia="宋体" w:cs="宋体"/>
          <w:b/>
          <w:color w:val="000000"/>
          <w:sz w:val="24"/>
        </w:rPr>
        <w:t xml:space="preserve"> </w:t>
      </w:r>
      <w:r>
        <w:rPr>
          <w:rFonts w:ascii="宋体" w:hAnsi="宋体" w:eastAsia="宋体" w:cs="宋体"/>
          <w:color w:val="000000"/>
          <w:sz w:val="24"/>
        </w:rPr>
        <w:t xml:space="preserve">中标结果确定后，采购人将向中标人发出中标通知书。</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七、授予合同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31. 签订合同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31.l中标人应当在中标通知书发出之日起十二日内，按照招标文件确定的事项与采购人签订政府采购合同。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w:t>
      </w:r>
      <w:r>
        <w:rPr>
          <w:rFonts w:ascii="宋体" w:hAnsi="宋体" w:eastAsia="宋体" w:cs="宋体"/>
          <w:b/>
          <w:color w:val="000000"/>
          <w:sz w:val="24"/>
        </w:rPr>
        <w:t xml:space="preserve"> </w:t>
      </w:r>
      <w:r>
        <w:rPr>
          <w:rFonts w:ascii="宋体" w:hAnsi="宋体" w:eastAsia="宋体" w:cs="宋体"/>
          <w:color w:val="000000"/>
          <w:sz w:val="24"/>
        </w:rPr>
        <w:t xml:space="preserve">招标文件、中标人的投标文件及招标过程中有关澄清、承诺文件均应作为合同附件。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80"/>
        <w:jc w:val="both"/>
        <w:spacing w:before="0" w:after="0" w:line="519"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31.4履约保证金</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本项目不收取履约保证金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32、货物（包含与货物相关的服务）的追加</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u w:val="none"/>
        </w:rPr>
        <w:t xml:space="preserve">3</w:t>
      </w:r>
      <w:r>
        <w:rPr>
          <w:rFonts w:ascii="黑体" w:hAnsi="黑体" w:eastAsia="黑体" w:cs="黑体"/>
          <w:color w:val="000000"/>
          <w:sz w:val="24"/>
        </w:rPr>
        <w:t xml:space="preserve">3、政府采购履约资金扶持政策</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34、政府采购政策功能落实</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34.1政策功能落实</w:t>
      </w:r>
      <w:r/>
    </w:p>
    <w:p>
      <w:pPr>
        <w:ind w:left="0" w:right="0" w:firstLine="480"/>
        <w:spacing w:before="240" w:after="24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.1小微型企业价格扣除</w:t>
      </w:r>
      <w:r/>
    </w:p>
    <w:p>
      <w:pPr>
        <w:ind w:left="0" w:right="0" w:firstLine="480"/>
        <w:spacing w:before="240" w:after="24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.1.1对于未预留份额专门面向中小企业采购的采购项目，供应商提供的货物或者服务符合下列情形的，享受本办法规定的中小企业扶持政策给予小微企业报价20%的扣除，用扣除后的价格参与评审：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480"/>
        <w:spacing w:before="240" w:after="24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（1）在货物采购项目中，货物由中小企业制造，即货物由中小企业生产且使用该中小企业商号或者注册商标；</w:t>
      </w:r>
      <w:r/>
    </w:p>
    <w:p>
      <w:pPr>
        <w:ind w:left="0" w:right="0" w:firstLine="480"/>
        <w:spacing w:before="240" w:after="24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（2）在服务采购项目中，服务由中小企业承接，即提供服务的人员为中小企业依照《中华人民共和国民法典》订立劳动合同的从业人员。</w:t>
      </w:r>
      <w:r/>
    </w:p>
    <w:p>
      <w:pPr>
        <w:ind w:left="0" w:right="0" w:firstLine="480"/>
        <w:spacing w:before="240" w:after="24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.1.2在货物采购项目中，供应商提供的货物既有中小企业制造货物，也有大型企业制造货物的，不享受本办法规定的中小企业扶持政策。</w:t>
      </w:r>
      <w:r/>
    </w:p>
    <w:p>
      <w:pPr>
        <w:ind w:left="0" w:right="0" w:firstLine="480"/>
        <w:spacing w:before="240" w:after="24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.2联合体及分包</w:t>
      </w:r>
      <w:r/>
    </w:p>
    <w:p>
      <w:pPr>
        <w:ind w:left="0" w:right="0" w:firstLine="480"/>
        <w:spacing w:before="240" w:after="24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.2.1以联合体形式参加政府采购活动，联合体各方均为中小企业的，联合体视同中小企业。其中，联合体各方均为小微企业的，联合体视同小微企业。</w:t>
      </w:r>
      <w:r/>
    </w:p>
    <w:p>
      <w:pPr>
        <w:ind w:left="0" w:right="0" w:firstLine="480"/>
        <w:spacing w:before="240" w:after="24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.2.2享受扶持政策获得政府采购合同的，小微企业不得将合同分包给大中型企业，中型企业不得将合同分包给大型企业。</w:t>
      </w:r>
      <w:r/>
    </w:p>
    <w:p>
      <w:pPr>
        <w:ind w:left="0" w:right="0" w:firstLine="480"/>
        <w:spacing w:before="240" w:after="24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3%的扣除，用扣除后的价格参加评审。</w:t>
      </w:r>
      <w:r/>
    </w:p>
    <w:p>
      <w:pPr>
        <w:ind w:left="0" w:right="0" w:firstLine="480"/>
        <w:spacing w:before="240" w:after="24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34.3中小微型企业</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（1）投标人须按照招标文件的要求提供相应的《企业声明函》，详见招标文件示范格式。</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（2）企业标准请参照《政府采购促进中小企业发展管理办法》（财库【2020】46号）文件规定自行填写。</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34.4残疾人福利单位</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（1）残疾人福利单位需按照招标文件的要求提供《残疾人福利性单位声明函》，详见招标文件示范格式。</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（2）残疾人福利单位标准请参照《关于促进残疾人就业政府采购政策的通知》（财库〔2017〕141号）。</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34.5监狱和戒毒企业</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（1）监狱企业参加政府采购活动时，需提供由省级以上监狱管理局、戒毒管理局（含新疆生产建设兵团）出具的属于监狱企业的证明文件）（投标文件中编入加盖出具单位公章的件）。</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（2）监狱企业标准请参照《关于政府采购支持监狱企业发展有关问题的通知》（财库[2014]68号）。</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34.6对于同时属于小型、微型企业、残疾人福利单位、监狱企业的，不重复享受政策。</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34.7符合中小企业划分标准的个体工商户，在政府采购活动中视同中小企业，享受政府采购支持中小企业发展。</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34.8.节能、环保价格扣除</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在满足采购基本要求的前提下，所报产品在财政部、生态环境部公布的“环境标志产品政府采购品目清单”内，且提供国家市场监督管理局确定的列入“参与实施政府采购环境标志产品认证机构名录”内的认证机构出具的有效期内的该产品环境标志产品认证证书电子件的给予投标报价1%价格扣除。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满足采购基本要求的前提下，所报产品在财政部、发展改革委公布的“节能产品政府采购品目清单”内，且提供国家市场监督管理局确定的列入“参与实施政府采购节能产品认证机构名录”内的认证机构出具的、有效期内的该产品的节能产品认证证书电子件的给予投标报价1%价格扣除。</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br w:type="page" w:clear="all"/>
      </w:r>
      <w:r/>
    </w:p>
    <w:p>
      <w:pPr>
        <w:jc w:val="center"/>
        <w:pBdr>
          <w:top w:val="none" w:color="000000" w:sz="0" w:space="0"/>
          <w:left w:val="none" w:color="000000" w:sz="0" w:space="0"/>
          <w:bottom w:val="none" w:color="000000" w:sz="0" w:space="0"/>
          <w:right w:val="none" w:color="000000" w:sz="0" w:space="0"/>
        </w:pBdr>
      </w:pPr>
      <w:r/>
      <w:bookmarkStart w:id="0" w:name="_Toc3995"/>
      <w:r>
        <w:rPr>
          <w:rFonts w:ascii="黑体" w:hAnsi="黑体" w:eastAsia="黑体" w:cs="黑体"/>
          <w:color w:val="000000"/>
          <w:sz w:val="44"/>
        </w:rPr>
        <w:t xml:space="preserve">第三章合同文本</w:t>
      </w:r>
      <w:r/>
    </w:p>
    <w:p>
      <w:pPr>
        <w:pStyle w:val="672"/>
      </w:pPr>
      <w:r>
        <w:rPr>
          <w:rFonts w:hint="eastAsia"/>
        </w:rPr>
        <w:t xml:space="preserve">一、合同前附表</w:t>
      </w:r>
      <w:r/>
    </w:p>
    <w:tbl>
      <w:tblPr>
        <w:tblStyle w:val="651"/>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5"/>
        <w:gridCol w:w="7547"/>
      </w:tblGrid>
      <w:tr>
        <w:trPr>
          <w:jc w:val="center"/>
          <w:tblCellSpacing w:w="0" w:type="dxa"/>
          <w:trHeight w:val="52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72"/>
            </w:pPr>
            <w:r>
              <w:rPr>
                <w:rFonts w:hint="eastAsia"/>
              </w:rPr>
              <w:t xml:space="preserve">序 号</w:t>
            </w:r>
            <w:r/>
          </w:p>
        </w:tc>
        <w:tc>
          <w:tcPr>
            <w:shd w:val="clear" w:color="auto" w:fill="auto"/>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pStyle w:val="672"/>
            </w:pPr>
            <w:r>
              <w:rPr>
                <w:rFonts w:hint="eastAsia"/>
              </w:rPr>
              <w:t xml:space="preserve">内           容</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72"/>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pStyle w:val="672"/>
              <w:rPr>
                <w:highlight w:val="none"/>
              </w:rPr>
            </w:pPr>
            <w:r>
              <w:rPr>
                <w:rFonts w:hint="eastAsia"/>
                <w:highlight w:val="none"/>
              </w:rPr>
              <w:t xml:space="preserve">付款均应按下列条件进行:</w:t>
            </w:r>
            <w:r>
              <w:rPr>
                <w:rFonts w:hint="eastAsia"/>
                <w:highlight w:val="none"/>
                <w:lang w:val="en-US" w:eastAsia="zh-CN"/>
              </w:rPr>
              <w:t xml:space="preserve">合同签订后</w:t>
            </w:r>
            <w:r>
              <w:rPr>
                <w:rFonts w:hint="eastAsia"/>
                <w:highlight w:val="none"/>
              </w:rPr>
              <w:t xml:space="preserve">付合同价的40%，</w:t>
            </w:r>
            <w:r>
              <w:rPr>
                <w:rFonts w:hint="eastAsia"/>
                <w:highlight w:val="none"/>
                <w:lang w:val="en-US" w:eastAsia="zh-CN"/>
              </w:rPr>
              <w:t xml:space="preserve">所投产品</w:t>
            </w:r>
            <w:r>
              <w:rPr>
                <w:rFonts w:hint="eastAsia"/>
                <w:highlight w:val="none"/>
              </w:rPr>
              <w:t xml:space="preserve">完成验收合格，且交付正常使用后</w:t>
            </w:r>
            <w:r>
              <w:rPr>
                <w:rFonts w:hint="eastAsia"/>
                <w:highlight w:val="none"/>
                <w:lang w:val="en-US" w:eastAsia="zh-CN"/>
              </w:rPr>
              <w:t xml:space="preserve">一次性付清。</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72"/>
            </w:pPr>
            <w:r>
              <w:rPr>
                <w:rFonts w:hint="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pStyle w:val="672"/>
              <w:rPr>
                <w:rFonts w:hint="default" w:eastAsia="宋体"/>
                <w:highlight w:val="none"/>
                <w:lang w:val="en-US" w:eastAsia="zh-CN"/>
              </w:rPr>
            </w:pPr>
            <w:r>
              <w:rPr>
                <w:rFonts w:hint="eastAsia"/>
                <w:highlight w:val="none"/>
              </w:rPr>
              <w:t xml:space="preserve">工期:</w:t>
            </w:r>
            <w:r>
              <w:rPr>
                <w:rFonts w:hint="eastAsia" w:ascii="宋体" w:hAnsi="宋体" w:cs="宋体"/>
                <w:spacing w:val="8"/>
                <w:szCs w:val="21"/>
              </w:rPr>
              <w:t xml:space="preserve">合同签订后60天内完成项目实施并验收合格。</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72"/>
            </w:pPr>
            <w:r>
              <w:rPr>
                <w:rFonts w:hint="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pStyle w:val="672"/>
            </w:pPr>
            <w:r>
              <w:rPr>
                <w:rFonts w:hint="eastAsia"/>
              </w:rPr>
              <w:t xml:space="preserve">供货地点:由采购人指定</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72"/>
            </w:pPr>
            <w:r>
              <w:rPr>
                <w:rFonts w:hint="eastAsi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pStyle w:val="672"/>
              <w:rPr>
                <w:rFonts w:hint="eastAsia" w:eastAsia="宋体"/>
                <w:highlight w:val="none"/>
                <w:lang w:val="en-US" w:eastAsia="zh-CN"/>
              </w:rPr>
            </w:pPr>
            <w:r>
              <w:rPr>
                <w:rFonts w:hint="eastAsia"/>
                <w:highlight w:val="none"/>
              </w:rPr>
              <w:t xml:space="preserve">质保期：</w:t>
            </w:r>
            <w:r>
              <w:rPr>
                <w:rFonts w:hint="eastAsia"/>
                <w:highlight w:val="none"/>
                <w:lang w:val="en-US" w:eastAsia="zh-CN"/>
              </w:rPr>
              <w:t xml:space="preserve">五年</w:t>
            </w:r>
            <w:r/>
          </w:p>
        </w:tc>
      </w:tr>
    </w:tbl>
    <w:p>
      <w:pPr>
        <w:pStyle w:val="655"/>
        <w:jc w:val="both"/>
        <w:spacing w:after="0"/>
        <w:rPr>
          <w:rFonts w:ascii="宋体" w:hAnsi="宋体" w:cs="宋体"/>
          <w:b/>
          <w:bCs/>
          <w:spacing w:val="-20"/>
          <w:sz w:val="48"/>
          <w:szCs w:val="48"/>
        </w:rPr>
      </w:pPr>
      <w:r>
        <w:rPr>
          <w:rFonts w:ascii="宋体" w:hAnsi="宋体" w:cs="宋体"/>
          <w:b/>
          <w:bCs/>
          <w:spacing w:val="-20"/>
          <w:sz w:val="48"/>
          <w:szCs w:val="48"/>
        </w:rPr>
      </w:r>
      <w:r/>
    </w:p>
    <w:p>
      <w:pPr>
        <w:pStyle w:val="655"/>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655"/>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p>
    <w:p>
      <w:pPr>
        <w:ind w:firstLine="640"/>
        <w:rPr>
          <w:rFonts w:eastAsia="黑体"/>
          <w:sz w:val="44"/>
          <w:szCs w:val="44"/>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bookmarkEnd w:id="0"/>
      <w:r/>
    </w:p>
    <w:p>
      <w:pPr>
        <w:pStyle w:val="642"/>
        <w:jc w:val="both"/>
        <w:spacing w:line="400" w:lineRule="exact"/>
        <w:rPr>
          <w:rFonts w:hint="eastAsia" w:ascii="黑体" w:hAnsi="黑体" w:eastAsia="黑体"/>
          <w:sz w:val="28"/>
          <w:szCs w:val="28"/>
        </w:rPr>
      </w:pPr>
      <w:r/>
      <w:bookmarkStart w:id="1" w:name="_Toc22209"/>
      <w:r/>
      <w:r/>
    </w:p>
    <w:p>
      <w:pPr>
        <w:pStyle w:val="642"/>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1"/>
      <w:r/>
      <w:r/>
    </w:p>
    <w:p>
      <w:pPr>
        <w:pStyle w:val="642"/>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w:t>
      </w:r>
      <w:r>
        <w:rPr>
          <w:rFonts w:hint="eastAsia" w:ascii="宋体" w:hAnsi="宋体"/>
          <w:szCs w:val="21"/>
          <w:lang w:val="en-US" w:eastAsia="zh-CN"/>
        </w:rPr>
        <w:tab/>
      </w:r>
      <w:r>
        <w:rPr>
          <w:rFonts w:hint="eastAsia" w:ascii="宋体" w:hAnsi="宋体"/>
          <w:szCs w:val="21"/>
          <w:lang w:val="en-US" w:eastAsia="zh-CN"/>
        </w:rPr>
        <w:t xml:space="preserve">                                   </w:t>
      </w:r>
      <w:r>
        <w:rPr>
          <w:rFonts w:hint="eastAsia" w:ascii="宋体" w:hAnsi="宋体"/>
          <w:szCs w:val="21"/>
        </w:rPr>
        <w:t xml:space="preserve">文件约定的合同甲方）</w:t>
      </w:r>
      <w:r/>
    </w:p>
    <w:p>
      <w:pPr>
        <w:spacing w:before="0" w:line="400" w:lineRule="exact"/>
        <w:rPr>
          <w:rFonts w:ascii="宋体" w:hAnsi="宋体"/>
          <w:szCs w:val="21"/>
        </w:rPr>
      </w:pPr>
      <w:r>
        <w:rPr>
          <w:rFonts w:hint="eastAsia" w:ascii="宋体" w:hAnsi="宋体"/>
          <w:szCs w:val="21"/>
        </w:rPr>
        <w:t xml:space="preserve">乙方</w:t>
      </w:r>
      <w:r>
        <w:rPr>
          <w:rFonts w:hint="eastAsia" w:ascii="宋体" w:hAnsi="宋体"/>
          <w:szCs w:val="21"/>
          <w:lang w:val="en-US" w:eastAsia="zh-CN"/>
        </w:rPr>
        <w:t xml:space="preserve">1</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（供应商）</w:t>
      </w:r>
      <w:r/>
    </w:p>
    <w:p>
      <w:pPr>
        <w:spacing w:before="0"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before="0" w:line="400" w:lineRule="exact"/>
        <w:rPr>
          <w:rFonts w:hint="eastAsia" w:ascii="宋体" w:hAnsi="宋体"/>
          <w:szCs w:val="21"/>
        </w:rPr>
      </w:pPr>
      <w:r>
        <w:rPr>
          <w:rFonts w:hint="eastAsia"/>
          <w:lang w:eastAsia="zh-CN"/>
        </w:rPr>
        <w:t xml:space="preserve">乙方</w:t>
      </w:r>
      <w:r>
        <w:rPr>
          <w:rFonts w:hint="eastAsia" w:ascii="宋体" w:hAnsi="宋体"/>
          <w:szCs w:val="21"/>
          <w:lang w:val="en-US" w:eastAsia="zh-CN"/>
        </w:rPr>
        <w:t xml:space="preserve">3</w:t>
      </w:r>
      <w:r>
        <w:rPr>
          <w:rFonts w:hint="eastAsia"/>
          <w:lang w:val="en-US" w:eastAsia="zh-C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default" w:eastAsia="宋体"/>
          <w:lang w:val="en-US" w:eastAsia="zh-CN"/>
        </w:rPr>
      </w:pPr>
      <w:r>
        <w:rPr>
          <w:rFonts w:hint="default" w:eastAsia="宋体"/>
          <w:lang w:val="en-US" w:eastAsia="zh-CN"/>
        </w:rPr>
      </w:r>
      <w:r/>
    </w:p>
    <w:p>
      <w:pPr>
        <w:pStyle w:val="656"/>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p>
    <w:p>
      <w:pPr>
        <w:numPr>
          <w:ilvl w:val="0"/>
          <w:numId w:val="3"/>
        </w:numPr>
        <w:ind w:firstLine="422"/>
        <w:spacing w:before="0" w:line="400" w:lineRule="exact"/>
        <w:rPr>
          <w:rFonts w:ascii="宋体" w:hAnsi="宋体"/>
          <w:b/>
          <w:szCs w:val="21"/>
        </w:rPr>
      </w:pPr>
      <w:r>
        <w:rPr>
          <w:rFonts w:hint="eastAsia" w:ascii="宋体" w:hAnsi="宋体"/>
          <w:b/>
          <w:szCs w:val="21"/>
        </w:rPr>
        <w:t xml:space="preserve">项目信息</w:t>
      </w:r>
      <w:r/>
    </w:p>
    <w:p>
      <w:pPr>
        <w:pStyle w:val="656"/>
        <w:numPr>
          <w:ilvl w:val="0"/>
          <w:numId w:val="4"/>
        </w:numPr>
        <w:ind w:left="0" w:firstLine="420"/>
        <w:spacing w:before="0"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656"/>
        <w:numPr>
          <w:ilvl w:val="-1"/>
          <w:numId w:val="0"/>
        </w:numPr>
        <w:ind w:left="0" w:firstLine="0"/>
        <w:spacing w:before="0" w:after="0" w:line="400" w:lineRule="exact"/>
        <w:tabs>
          <w:tab w:val="left" w:pos="999" w:leader="none"/>
        </w:tabs>
        <w:rPr>
          <w:rFonts w:hint="default"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p>
    <w:p>
      <w:pPr>
        <w:pStyle w:val="656"/>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before="0" w:line="400" w:lineRule="exact"/>
        <w:rPr>
          <w:rFonts w:hint="eastAsia" w:ascii="宋体" w:hAnsi="宋体"/>
          <w:szCs w:val="21"/>
        </w:rPr>
      </w:pPr>
      <w:r>
        <w:rPr>
          <w:rFonts w:hint="eastAsia" w:ascii="宋体" w:hAnsi="宋体"/>
          <w:szCs w:val="21"/>
        </w:rPr>
        <w:t xml:space="preserve">（3）项目内容：</w:t>
      </w:r>
      <w:r/>
    </w:p>
    <w:p>
      <w:pPr>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20"/>
        <w:spacing w:before="0" w:line="400" w:lineRule="exact"/>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p>
    <w:p>
      <w:pPr>
        <w:numPr>
          <w:ilvl w:val="-1"/>
          <w:numId w:val="0"/>
        </w:numPr>
        <w:ind w:firstLine="42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p>
    <w:p>
      <w:pPr>
        <w:numPr>
          <w:ilvl w:val="-1"/>
          <w:numId w:val="0"/>
        </w:numPr>
        <w:ind w:firstLine="42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p>
    <w:p>
      <w:pPr>
        <w:pStyle w:val="8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82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829"/>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829"/>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p>
    <w:p>
      <w:pPr>
        <w:pStyle w:val="829"/>
        <w:numPr>
          <w:ilvl w:val="-1"/>
          <w:numId w:val="0"/>
        </w:numPr>
        <w:ind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rPr>
        <w:t xml:space="preserve">是</w:t>
      </w:r>
      <w:r>
        <w:rPr>
          <w:rFonts w:hint="eastAsia" w:asciiTheme="minorEastAsia" w:hAnsiTheme="minorEastAsia" w:eastAsiaTheme="minorEastAsia" w:cstheme="minorEastAsia"/>
          <w:iCs w:val="0"/>
          <w:sz w:val="21"/>
          <w:szCs w:val="21"/>
          <w:lang w:eastAsia="zh-CN"/>
        </w:rPr>
        <w:t xml:space="preserve">，《政府采购品目分类目录》底级品目名称</w:t>
      </w:r>
      <w:r>
        <w:rPr>
          <w:rFonts w:hint="eastAsia" w:asciiTheme="minorEastAsia" w:hAnsiTheme="minorEastAsia" w:eastAsiaTheme="minorEastAsia" w:cstheme="minorEastAsia"/>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r/>
    </w:p>
    <w:p>
      <w:pPr>
        <w:pStyle w:val="829"/>
        <w:numPr>
          <w:ilvl w:val="-1"/>
          <w:numId w:val="0"/>
        </w:numPr>
        <w:ind w:firstLine="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否</w:t>
      </w:r>
      <w:r/>
    </w:p>
    <w:p>
      <w:pPr>
        <w:pStyle w:val="829"/>
        <w:numPr>
          <w:ilvl w:val="-1"/>
          <w:numId w:val="0"/>
        </w:numPr>
        <w:ind w:left="0"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 xml:space="preserve">4</w:t>
      </w:r>
      <w:r>
        <w:rPr>
          <w:rFonts w:hint="eastAsia" w:asciiTheme="minorEastAsia" w:hAnsiTheme="minorEastAsia" w:eastAsiaTheme="minorEastAsia" w:cstheme="minorEastAsia"/>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政府集中采购</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分散采购</w:t>
      </w:r>
      <w:r/>
    </w:p>
    <w:p>
      <w:pPr>
        <w:pStyle w:val="829"/>
        <w:numPr>
          <w:ilvl w:val="-1"/>
          <w:numId w:val="0"/>
        </w:numPr>
        <w:ind w:left="0" w:firstLine="42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w:t>
      </w:r>
      <w:r>
        <w:rPr>
          <w:rFonts w:hint="default" w:asciiTheme="minorEastAsia" w:hAnsiTheme="minorEastAsia" w:eastAsiaTheme="minorEastAsia" w:cstheme="minorEastAsia"/>
          <w:iCs w:val="0"/>
          <w:sz w:val="21"/>
          <w:szCs w:val="21"/>
          <w:lang w:val="en" w:eastAsia="zh-CN"/>
        </w:rPr>
        <w:t xml:space="preserve">5</w:t>
      </w:r>
      <w:r>
        <w:rPr>
          <w:rFonts w:hint="eastAsia" w:asciiTheme="minorEastAsia" w:hAnsiTheme="minorEastAsia" w:eastAsiaTheme="minorEastAsia" w:cstheme="minorEastAsia"/>
          <w:iCs w:val="0"/>
          <w:sz w:val="21"/>
          <w:szCs w:val="21"/>
          <w:lang w:val="en-US" w:eastAsia="zh-CN"/>
        </w:rPr>
        <w:t xml:space="preserve">）政府采购方式：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公开招标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邀请招标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竞争性谈判</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竞争性磋商</w:t>
      </w:r>
      <w:r/>
    </w:p>
    <w:p>
      <w:pPr>
        <w:pStyle w:val="829"/>
        <w:numPr>
          <w:ilvl w:val="-1"/>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询价</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单一来源</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框架协议</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829"/>
        <w:numPr>
          <w:ilvl w:val="-1"/>
          <w:numId w:val="0"/>
        </w:numPr>
        <w:ind w:left="0" w:firstLine="420"/>
        <w:spacing w:before="0" w:line="400" w:lineRule="exact"/>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p>
    <w:p>
      <w:pPr>
        <w:pStyle w:val="829"/>
        <w:numPr>
          <w:ilvl w:val="-1"/>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1"/>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lang w:eastAsia="zh-CN"/>
        </w:rPr>
        <w:t xml:space="preserve">购</w:t>
      </w:r>
      <w:r>
        <w:rPr>
          <w:rFonts w:hint="eastAsia" w:ascii="宋体" w:hAnsi="宋体"/>
          <w:szCs w:val="21"/>
          <w:shd w:val="clear" w:color="auto"/>
        </w:rPr>
        <w:t xml:space="preserve">合同</w:t>
      </w:r>
      <w:r>
        <w:rPr>
          <w:rFonts w:hint="eastAsia" w:ascii="宋体" w:hAnsi="宋体"/>
          <w:szCs w:val="21"/>
          <w:shd w:val="clear" w:color="auto"/>
          <w:lang w:eastAsia="zh-CN"/>
        </w:rPr>
        <w:t xml:space="preserve">（中小企业预留合同）</w:t>
      </w:r>
      <w:r>
        <w:rPr>
          <w:rFonts w:hint="eastAsia" w:ascii="宋体" w:hAnsi="宋体"/>
          <w:szCs w:val="21"/>
          <w:shd w:val="clear" w:color="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ind w:firstLine="0"/>
        <w:spacing w:line="400" w:lineRule="exact"/>
        <w:rPr>
          <w:rFonts w:hint="default"/>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before="0" w:line="400" w:lineRule="exact"/>
        <w:rPr>
          <w:rFonts w:ascii="宋体" w:hAnsi="宋体"/>
          <w:szCs w:val="21"/>
        </w:rPr>
      </w:pPr>
      <w:r>
        <w:rPr>
          <w:rFonts w:hint="eastAsia" w:ascii="宋体" w:hAnsi="宋体"/>
          <w:szCs w:val="21"/>
        </w:rPr>
        <w:t xml:space="preserve">（</w:t>
      </w:r>
      <w:r>
        <w:rPr>
          <w:rFonts w:hint="default"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p>
    <w:p>
      <w:pPr>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p>
    <w:p>
      <w:pPr>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p>
    <w:p>
      <w:pPr>
        <w:ind w:firstLine="840"/>
        <w:spacing w:line="400" w:lineRule="exact"/>
        <w:rPr>
          <w:rFonts w:hint="default"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p>
    <w:p>
      <w:pPr>
        <w:numPr>
          <w:ilvl w:val="-1"/>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829"/>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default"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p>
    <w:p>
      <w:pPr>
        <w:numPr>
          <w:ilvl w:val="-1"/>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p>
    <w:p>
      <w:pPr>
        <w:numPr>
          <w:ilvl w:val="-1"/>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p>
    <w:p>
      <w:pPr>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pStyle w:val="829"/>
        <w:numPr>
          <w:ilvl w:val="-1"/>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p>
    <w:p>
      <w:pPr>
        <w:pStyle w:val="829"/>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pStyle w:val="829"/>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p>
    <w:p>
      <w:pPr>
        <w:numPr>
          <w:ilvl w:val="-1"/>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p>
    <w:p>
      <w:pPr>
        <w:numPr>
          <w:ilvl w:val="-1"/>
          <w:numId w:val="0"/>
        </w:numPr>
        <w:ind w:firstLine="84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p>
    <w:p>
      <w:pPr>
        <w:numPr>
          <w:ilvl w:val="0"/>
          <w:numId w:val="3"/>
        </w:numPr>
        <w:ind w:firstLine="422"/>
        <w:spacing w:before="0"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p>
    <w:p>
      <w:pPr>
        <w:ind w:firstLine="42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p>
    <w:p>
      <w:pPr>
        <w:pStyle w:val="830"/>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3"/>
        </w:numPr>
        <w:ind w:firstLine="422"/>
        <w:spacing w:before="0" w:line="400" w:lineRule="exact"/>
        <w:rPr>
          <w:rFonts w:ascii="宋体" w:hAnsi="宋体"/>
          <w:b/>
          <w:bCs w:val="0"/>
          <w:szCs w:val="21"/>
          <w:u w:val="single"/>
        </w:rPr>
      </w:pPr>
      <w:r>
        <w:rPr>
          <w:rFonts w:hint="eastAsia" w:ascii="宋体" w:hAnsi="宋体"/>
          <w:b/>
          <w:bCs w:val="0"/>
          <w:szCs w:val="21"/>
        </w:rPr>
        <w:t xml:space="preserve">合同履行</w:t>
      </w:r>
      <w:r/>
    </w:p>
    <w:p>
      <w:pPr>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p>
    <w:p>
      <w:pPr>
        <w:ind w:firstLine="42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p>
    <w:p>
      <w:pPr>
        <w:pStyle w:val="829"/>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r/>
    </w:p>
    <w:p>
      <w:pPr>
        <w:pStyle w:val="829"/>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r/>
    </w:p>
    <w:p>
      <w:pPr>
        <w:ind w:firstLine="420"/>
        <w:spacing w:line="400" w:lineRule="exact"/>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p>
    <w:p>
      <w:pPr>
        <w:ind w:firstLine="42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2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3"/>
        </w:numPr>
        <w:ind w:firstLine="422"/>
        <w:spacing w:before="0" w:line="400" w:lineRule="exact"/>
        <w:rPr>
          <w:rFonts w:ascii="宋体" w:hAnsi="宋体"/>
          <w:b/>
          <w:szCs w:val="21"/>
        </w:rPr>
      </w:pPr>
      <w:r>
        <w:rPr>
          <w:rFonts w:hint="eastAsia" w:ascii="宋体" w:hAnsi="宋体"/>
          <w:b/>
          <w:szCs w:val="21"/>
        </w:rPr>
        <w:t xml:space="preserve">合同验收</w:t>
      </w:r>
      <w:r/>
    </w:p>
    <w:p>
      <w:pPr>
        <w:numPr>
          <w:ilvl w:val="0"/>
          <w:numId w:val="5"/>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p>
    <w:p>
      <w:pPr>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p>
    <w:p>
      <w:pPr>
        <w:ind w:firstLine="84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p>
    <w:p>
      <w:pPr>
        <w:ind w:firstLine="84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p>
    <w:p>
      <w:pPr>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p>
    <w:p>
      <w:pPr>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hint="default"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p>
    <w:p>
      <w:pPr>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829"/>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2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p>
    <w:p>
      <w:pPr>
        <w:numPr>
          <w:ilvl w:val="0"/>
          <w:numId w:val="3"/>
        </w:numPr>
        <w:ind w:firstLine="422"/>
        <w:spacing w:before="0" w:line="400" w:lineRule="exact"/>
        <w:rPr>
          <w:rFonts w:hint="eastAsia" w:ascii="宋体" w:hAnsi="宋体"/>
          <w:b/>
          <w:szCs w:val="21"/>
        </w:rPr>
      </w:pPr>
      <w:r>
        <w:rPr>
          <w:rFonts w:hint="eastAsia" w:ascii="宋体" w:hAnsi="宋体"/>
          <w:b/>
          <w:szCs w:val="21"/>
        </w:rPr>
        <w:t xml:space="preserve">组成合同的文件</w:t>
      </w:r>
      <w:r/>
    </w:p>
    <w:p>
      <w:pPr>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auto"/>
          <w:szCs w:val="21"/>
          <w:lang w:eastAsia="zh-CN"/>
        </w:rPr>
      </w:pPr>
      <w:r>
        <w:rPr>
          <w:rFonts w:hint="eastAsia" w:ascii="宋体" w:hAnsi="宋体"/>
          <w:color w:val="auto"/>
          <w:szCs w:val="21"/>
        </w:rPr>
        <w:t xml:space="preserve">（1）</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p>
    <w:p>
      <w:pPr>
        <w:ind w:firstLine="420"/>
        <w:spacing w:before="0" w:line="400" w:lineRule="exact"/>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4</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p>
    <w:p>
      <w:pPr>
        <w:ind w:firstLine="420"/>
        <w:spacing w:before="0" w:line="400" w:lineRule="exact"/>
        <w:rPr>
          <w:rFonts w:ascii="宋体" w:hAnsi="宋体"/>
          <w:szCs w:val="21"/>
        </w:rPr>
      </w:pPr>
      <w:r>
        <w:rPr>
          <w:rFonts w:hint="eastAsia" w:ascii="宋体" w:hAnsi="宋体"/>
          <w:szCs w:val="21"/>
        </w:rPr>
        <w:t xml:space="preserve">（6）采购文件</w:t>
      </w:r>
      <w:r/>
    </w:p>
    <w:p>
      <w:pPr>
        <w:ind w:firstLine="420"/>
        <w:spacing w:before="0" w:line="400" w:lineRule="exact"/>
        <w:rPr>
          <w:rFonts w:ascii="宋体" w:hAnsi="宋体"/>
          <w:szCs w:val="21"/>
        </w:rPr>
      </w:pPr>
      <w:r>
        <w:rPr>
          <w:rFonts w:hint="eastAsia" w:ascii="宋体" w:hAnsi="宋体"/>
          <w:szCs w:val="21"/>
        </w:rPr>
        <w:t xml:space="preserve">（7）有关技术文件，图纸</w:t>
      </w:r>
      <w:r/>
    </w:p>
    <w:p>
      <w:pPr>
        <w:pStyle w:val="829"/>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3"/>
        </w:numPr>
        <w:ind w:firstLine="422"/>
        <w:spacing w:before="0" w:line="400" w:lineRule="exact"/>
        <w:rPr>
          <w:rFonts w:hint="eastAsia" w:ascii="宋体" w:hAnsi="宋体"/>
          <w:b/>
          <w:szCs w:val="21"/>
        </w:rPr>
      </w:pPr>
      <w:r>
        <w:rPr>
          <w:rFonts w:hint="eastAsia" w:ascii="宋体" w:hAnsi="宋体"/>
          <w:b/>
          <w:szCs w:val="21"/>
        </w:rPr>
        <w:t xml:space="preserve">合同生效</w:t>
      </w:r>
      <w:r/>
    </w:p>
    <w:p>
      <w:pPr>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3"/>
        </w:numPr>
        <w:ind w:firstLine="422"/>
        <w:spacing w:before="0" w:line="400" w:lineRule="exact"/>
        <w:rPr>
          <w:rFonts w:hint="eastAsia" w:ascii="宋体" w:hAnsi="宋体"/>
          <w:b/>
          <w:szCs w:val="21"/>
        </w:rPr>
      </w:pPr>
      <w:r>
        <w:rPr>
          <w:rFonts w:hint="eastAsia" w:ascii="宋体" w:hAnsi="宋体"/>
          <w:b/>
          <w:szCs w:val="21"/>
        </w:rPr>
        <w:t xml:space="preserve">合同份数</w:t>
      </w:r>
      <w:r/>
    </w:p>
    <w:p>
      <w:pPr>
        <w:ind w:firstLine="42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830"/>
        <w:spacing w:line="400" w:lineRule="exact"/>
      </w:pPr>
      <w:r/>
      <w:r/>
    </w:p>
    <w:p>
      <w:pPr>
        <w:pStyle w:val="642"/>
        <w:spacing w:line="400" w:lineRule="exact"/>
        <w:rPr>
          <w:rFonts w:hint="eastAsia" w:ascii="宋体" w:hAnsi="宋体" w:cs="Times New Roman"/>
          <w:b w:val="0"/>
          <w:bCs w:val="0"/>
          <w:sz w:val="21"/>
          <w:szCs w:val="21"/>
          <w:highlight w:val="none"/>
          <w:lang w:val="en-US" w:eastAsia="zh-CN"/>
        </w:rPr>
      </w:pPr>
      <w:r>
        <w:rPr>
          <w:rFonts w:hint="default"/>
          <w:lang w:val="en"/>
        </w:rPr>
        <w:t xml:space="preserve">   </w:t>
      </w:r>
      <w:r/>
    </w:p>
    <w:p>
      <w:pPr>
        <w:rPr>
          <w:rFonts w:hint="eastAsia"/>
        </w:rPr>
      </w:pPr>
      <w:r>
        <w:rPr>
          <w:rFonts w:hint="eastAsia"/>
        </w:rPr>
        <w:br w:type="page" w:clear="all"/>
      </w:r>
      <w:r/>
    </w:p>
    <w:p>
      <w:pPr>
        <w:pStyle w:val="830"/>
        <w:rPr>
          <w:rFonts w:hint="eastAsia"/>
        </w:rPr>
      </w:pPr>
      <w:r>
        <w:rPr>
          <w:rFonts w:hint="eastAsia"/>
        </w:rPr>
      </w:r>
      <w:r/>
    </w:p>
    <w:tbl>
      <w:tblPr>
        <w:tblStyle w:val="65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6"/>
        <w:gridCol w:w="2596"/>
        <w:gridCol w:w="2130"/>
        <w:gridCol w:w="227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65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642"/>
        <w:jc w:val="center"/>
        <w:spacing w:before="156"/>
        <w:rPr>
          <w:rFonts w:ascii="黑体" w:hAnsi="黑体" w:eastAsia="黑体"/>
          <w:sz w:val="28"/>
          <w:szCs w:val="28"/>
        </w:rPr>
      </w:pPr>
      <w:r>
        <w:rPr>
          <w:rFonts w:ascii="宋体" w:hAnsi="宋体"/>
          <w:sz w:val="21"/>
          <w:szCs w:val="21"/>
          <w:u w:val="single"/>
        </w:rPr>
        <w:br w:type="page" w:clear="all"/>
      </w:r>
      <w:bookmarkStart w:id="2" w:name="_Toc27624"/>
      <w:r>
        <w:rPr>
          <w:rFonts w:hint="eastAsia" w:ascii="黑体" w:hAnsi="黑体" w:eastAsia="黑体"/>
          <w:b w:val="0"/>
          <w:bCs w:val="0"/>
          <w:sz w:val="28"/>
          <w:szCs w:val="28"/>
        </w:rPr>
        <w:t xml:space="preserve">第二节 政府采购合同通用条款</w:t>
      </w:r>
      <w:bookmarkEnd w:id="2"/>
      <w:r/>
      <w:r/>
    </w:p>
    <w:p>
      <w:pPr>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（2）供应商（以下称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rPr>
          <w:rFonts w:hint="eastAsia" w:ascii="宋体" w:hAnsi="宋体"/>
          <w:color w:val="auto"/>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包括软件）及相关的其备品备件、工具、手册及</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w:t>
      </w:r>
      <w:r>
        <w:rPr>
          <w:rFonts w:hint="eastAsia" w:ascii="宋体" w:hAnsi="宋体"/>
          <w:color w:val="000000" w:themeColor="text1"/>
          <w:szCs w:val="21"/>
          <w:highlight w:val="none"/>
          <w:lang w:eastAsia="zh-CN"/>
          <w14:textFill>
            <w14:solidFill>
              <w14:schemeClr w14:val="tx1"/>
            </w14:solidFill>
          </w14:textFill>
        </w:rPr>
        <w:t xml:space="preserve">等</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auto"/>
          <w:szCs w:val="21"/>
          <w:highlight w:val="none"/>
          <w:lang w:val="en-US" w:eastAsia="zh-CN"/>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color w:val="000000" w:themeColor="text1"/>
          <w:szCs w:val="21"/>
          <w:highlight w:val="none"/>
          <w14:textFill>
            <w14:solidFill>
              <w14:schemeClr w14:val="tx1"/>
            </w14:solidFill>
          </w14:textFill>
        </w:rPr>
        <w:t xml:space="preserve">技术、管理和</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 xml:space="preserve">废弃处置、</w:t>
      </w:r>
      <w:r>
        <w:rPr>
          <w:rFonts w:hint="eastAsia" w:ascii="宋体" w:hAnsi="宋体"/>
          <w:color w:val="000000" w:themeColor="text1"/>
          <w:szCs w:val="21"/>
          <w:highlight w:val="none"/>
          <w14:textFill>
            <w14:solidFill>
              <w14:schemeClr w14:val="tx1"/>
            </w14:solidFill>
          </w14:textFill>
        </w:rPr>
        <w:t xml:space="preserve">技术支持等以及合同中规定乙方应承担的</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）“分包”系指中标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6"/>
        </w:num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中，甲方不再另行支付</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before="0"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hint="eastAsia" w:eastAsia="华文楷体"/>
          <w:lang w:val="en-US" w:eastAsia="zh-CN"/>
        </w:rPr>
      </w:pPr>
      <w:r>
        <w:rPr>
          <w:rFonts w:hint="default" w:ascii="宋体" w:hAnsi="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s="宋体"/>
          <w:b w:val="0"/>
          <w:bCs w:val="0"/>
          <w:szCs w:val="21"/>
          <w:highlight w:val="none"/>
          <w:lang w:eastAsia="zh-CN"/>
        </w:rPr>
        <w:t xml:space="preserve">未</w:t>
      </w:r>
      <w:r>
        <w:rPr>
          <w:rFonts w:hint="eastAsia" w:ascii="宋体" w:hAnsi="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default" w:ascii="宋体" w:hAnsi="宋体"/>
          <w:color w:val="000000" w:themeColor="text1"/>
          <w:szCs w:val="21"/>
          <w:highlight w:val="none"/>
          <w:lang w:val="en-US" w:eastAsia="zh-CN"/>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甲方应当根据合同约定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color w:val="000000" w:themeColor="text1"/>
          <w:szCs w:val="21"/>
          <w:highlight w:val="none"/>
          <w14:textFill>
            <w14:solidFill>
              <w14:schemeClr w14:val="tx1"/>
            </w14:solidFill>
          </w14:textFill>
        </w:rPr>
        <w:t xml:space="preserve">时向乙方支付</w:t>
      </w:r>
      <w:r>
        <w:rPr>
          <w:rFonts w:hint="eastAsia" w:ascii="宋体" w:hAnsi="宋体"/>
          <w:color w:val="000000" w:themeColor="text1"/>
          <w:szCs w:val="21"/>
          <w:highlight w:val="none"/>
          <w:lang w:eastAsia="zh-CN"/>
          <w14:textFill>
            <w14:solidFill>
              <w14:schemeClr w14:val="tx1"/>
            </w14:solidFill>
          </w14:textFill>
        </w:rPr>
        <w:t xml:space="preserve">合同价款</w:t>
      </w:r>
      <w:r>
        <w:rPr>
          <w:rFonts w:hint="default" w:ascii="宋体" w:hAnsi="宋体"/>
          <w:color w:val="000000" w:themeColor="text1"/>
          <w:szCs w:val="21"/>
          <w:highlight w:val="none"/>
          <w:lang w:eastAsia="zh-CN"/>
          <w14:textFill>
            <w14:solidFill>
              <w14:schemeClr w14:val="tx1"/>
            </w14:solidFill>
          </w14:textFill>
        </w:rPr>
        <w:t xml:space="preserve">，不得以内部人员变更、履行内部付款流程等为由，拒绝或迟延支付。</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lang w:eastAsia="zh-CN"/>
          <w14:textFill>
            <w14:solidFill>
              <w14:schemeClr w14:val="tx1"/>
            </w14:solidFill>
          </w14:textFill>
        </w:rPr>
        <w:t xml:space="preserve">约定应</w:t>
      </w:r>
      <w:r>
        <w:rPr>
          <w:rFonts w:hint="eastAsia" w:ascii="宋体" w:hAnsi="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w:t>
      </w:r>
      <w:r>
        <w:rPr>
          <w:rFonts w:hint="eastAsia" w:ascii="宋体" w:hAnsi="宋体"/>
          <w:color w:val="000000" w:themeColor="text1"/>
          <w:szCs w:val="21"/>
          <w:highlight w:val="none"/>
          <w:lang w:eastAsia="zh-CN"/>
          <w14:textFill>
            <w14:solidFill>
              <w14:schemeClr w14:val="tx1"/>
            </w14:solidFill>
          </w14:textFill>
        </w:rPr>
        <w:t xml:space="preserve">及相关</w:t>
      </w:r>
      <w:r>
        <w:rPr>
          <w:rFonts w:hint="eastAsia" w:ascii="宋体" w:hAnsi="宋体"/>
          <w:color w:val="000000" w:themeColor="text1"/>
          <w:szCs w:val="21"/>
          <w:highlight w:val="none"/>
          <w14:textFill>
            <w14:solidFill>
              <w14:schemeClr w14:val="tx1"/>
            </w14:solidFill>
          </w14:textFill>
        </w:rPr>
        <w:t xml:space="preserve">服务符合合同</w:t>
      </w:r>
      <w:r>
        <w:rPr>
          <w:rFonts w:hint="eastAsia" w:ascii="宋体" w:hAnsi="宋体"/>
          <w:color w:val="000000" w:themeColor="text1"/>
          <w:szCs w:val="21"/>
          <w:highlight w:val="none"/>
          <w:lang w:eastAsia="zh-CN"/>
          <w14:textFill>
            <w14:solidFill>
              <w14:schemeClr w14:val="tx1"/>
            </w14:solidFill>
          </w14:textFill>
        </w:rPr>
        <w:t xml:space="preserve">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 xml:space="preserve">及验收</w:t>
      </w:r>
      <w:r>
        <w:rPr>
          <w:rFonts w:hint="eastAsia" w:ascii="宋体" w:hAnsi="宋体"/>
          <w:color w:val="000000" w:themeColor="text1"/>
          <w:szCs w:val="21"/>
          <w:highlight w:val="none"/>
          <w14:textFill>
            <w14:solidFill>
              <w14:schemeClr w14:val="tx1"/>
            </w14:solidFill>
          </w14:textFill>
        </w:rPr>
        <w:t xml:space="preserve">，并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pStyle w:val="655"/>
        <w:ind w:firstLine="369"/>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w:t>
      </w:r>
      <w:r>
        <w:rPr>
          <w:rFonts w:hint="eastAsia" w:ascii="宋体" w:hAnsi="宋体" w:cs="宋体"/>
          <w:color w:val="000000" w:themeColor="text1"/>
          <w:szCs w:val="21"/>
          <w:highlight w:val="none"/>
          <w:lang w:eastAsia="zh-CN"/>
          <w14:textFill>
            <w14:solidFill>
              <w14:schemeClr w14:val="tx1"/>
            </w14:solidFill>
          </w14:textFill>
        </w:rPr>
        <w:t xml:space="preserve">合同价款</w:t>
      </w:r>
      <w:r>
        <w:rPr>
          <w:rFonts w:hint="eastAsia" w:ascii="宋体" w:hAnsi="宋体" w:cs="宋体"/>
          <w:color w:val="000000" w:themeColor="text1"/>
          <w:szCs w:val="21"/>
          <w:highlight w:val="none"/>
          <w14:textFill>
            <w14:solidFill>
              <w14:schemeClr w14:val="tx1"/>
            </w14:solidFill>
          </w14:textFill>
        </w:rPr>
        <w:t xml:space="preserve">。</w:t>
      </w:r>
      <w:r/>
    </w:p>
    <w:p>
      <w:pPr>
        <w:pStyle w:val="655"/>
        <w:ind w:firstLine="369"/>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7"/>
        </w:numPr>
        <w:jc w:val="left"/>
        <w:spacing w:before="0"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w:t>
      </w:r>
      <w:r>
        <w:rPr>
          <w:rFonts w:hint="eastAsia" w:ascii="宋体" w:hAnsi="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货物包装、运输</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保险</w:t>
      </w:r>
      <w:r>
        <w:rPr>
          <w:rFonts w:hint="eastAsia" w:ascii="宋体" w:hAnsi="宋体"/>
          <w:b/>
          <w:bCs/>
          <w:color w:val="000000" w:themeColor="text1"/>
          <w:sz w:val="24"/>
          <w:highlight w:val="none"/>
          <w:lang w:eastAsia="zh-CN"/>
          <w14:textFill>
            <w14:solidFill>
              <w14:schemeClr w14:val="tx1"/>
            </w14:solidFill>
          </w14:textFill>
        </w:rPr>
        <w:t xml:space="preserve">和交付</w:t>
      </w:r>
      <w:r>
        <w:rPr>
          <w:rFonts w:hint="eastAsia" w:ascii="宋体" w:hAnsi="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.1 本合同</w:t>
      </w:r>
      <w:r>
        <w:rPr>
          <w:rFonts w:hint="eastAsia" w:ascii="宋体" w:hAnsi="宋体"/>
          <w:bCs/>
          <w:color w:val="000000" w:themeColor="text1"/>
          <w:szCs w:val="21"/>
          <w:highlight w:val="none"/>
          <w14:textFill>
            <w14:solidFill>
              <w14:schemeClr w14:val="tx1"/>
            </w14:solidFill>
          </w14:textFill>
        </w:rPr>
        <w:t xml:space="preserve">涉及商品包装</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 w:val="0"/>
          <w:bCs/>
          <w:color w:val="000000" w:themeColor="text1"/>
          <w:szCs w:val="21"/>
          <w:highlight w:val="none"/>
          <w:lang w:eastAsia="zh-CN"/>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 xml:space="preserve">，并装卸、交付至甲方</w:t>
      </w:r>
      <w:r>
        <w:rPr>
          <w:rFonts w:hint="eastAsia" w:ascii="宋体" w:hAnsi="宋体"/>
          <w:color w:val="000000" w:themeColor="text1"/>
          <w:szCs w:val="21"/>
          <w:highlight w:val="none"/>
          <w14:textFill>
            <w14:solidFill>
              <w14:schemeClr w14:val="tx1"/>
            </w14:solidFill>
          </w14:textFill>
        </w:rPr>
        <w:t xml:space="preserve">的一切运输事项，相关费用应</w:t>
      </w:r>
      <w:r>
        <w:rPr>
          <w:rFonts w:hint="eastAsia" w:ascii="宋体" w:hAnsi="宋体"/>
          <w:color w:val="000000" w:themeColor="text1"/>
          <w:szCs w:val="21"/>
          <w:highlight w:val="none"/>
          <w:lang w:eastAsia="zh-CN"/>
          <w14:textFill>
            <w14:solidFill>
              <w14:schemeClr w14:val="tx1"/>
            </w14:solidFill>
          </w14:textFill>
        </w:rPr>
        <w:t xml:space="preserve">包含</w:t>
      </w:r>
      <w:r>
        <w:rPr>
          <w:rFonts w:hint="eastAsia" w:ascii="宋体" w:hAnsi="宋体"/>
          <w:color w:val="000000" w:themeColor="text1"/>
          <w:szCs w:val="21"/>
          <w:highlight w:val="none"/>
          <w14:textFill>
            <w14:solidFill>
              <w14:schemeClr w14:val="tx1"/>
            </w14:solidFill>
          </w14:textFill>
        </w:rPr>
        <w:t xml:space="preserve">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 xml:space="preserve">除采购活动</w:t>
      </w:r>
      <w:r>
        <w:rPr>
          <w:rFonts w:hint="eastAsia" w:ascii="宋体" w:hAnsi="宋体"/>
          <w:color w:val="000000" w:themeColor="text1"/>
          <w:szCs w:val="21"/>
          <w:highlight w:val="none"/>
          <w14:textFill>
            <w14:solidFill>
              <w14:schemeClr w14:val="tx1"/>
            </w14:solidFill>
          </w14:textFill>
        </w:rPr>
        <w:t xml:space="preserve">对商品包装</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w:t>
      </w:r>
      <w:r>
        <w:rPr>
          <w:rFonts w:hint="eastAsia" w:ascii="宋体" w:hAnsi="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color w:val="000000" w:themeColor="text1"/>
          <w:szCs w:val="21"/>
          <w:highlight w:val="none"/>
          <w14:textFill>
            <w14:solidFill>
              <w14:schemeClr w14:val="tx1"/>
            </w14:solidFill>
          </w14:textFill>
        </w:rPr>
        <w:t xml:space="preserve">，乙方提供产品及相关快递服务</w:t>
      </w:r>
      <w:r>
        <w:rPr>
          <w:rFonts w:hint="eastAsia" w:ascii="宋体" w:hAnsi="宋体"/>
          <w:color w:val="000000" w:themeColor="text1"/>
          <w:szCs w:val="21"/>
          <w:highlight w:val="none"/>
          <w:lang w:val="en-US" w:eastAsia="zh-CN"/>
          <w14:textFill>
            <w14:solidFill>
              <w14:schemeClr w14:val="tx1"/>
            </w14:solidFill>
          </w14:textFill>
        </w:rPr>
        <w:t xml:space="preserve">涉及到</w:t>
      </w:r>
      <w:r>
        <w:rPr>
          <w:rFonts w:hint="eastAsia" w:ascii="宋体" w:hAnsi="宋体"/>
          <w:color w:val="000000" w:themeColor="text1"/>
          <w:szCs w:val="21"/>
          <w:highlight w:val="none"/>
          <w14:textFill>
            <w14:solidFill>
              <w14:schemeClr w14:val="tx1"/>
            </w14:solidFill>
          </w14:textFill>
        </w:rPr>
        <w:t xml:space="preserve">具体包装要求</w:t>
      </w:r>
      <w:r>
        <w:rPr>
          <w:rFonts w:hint="eastAsia" w:ascii="宋体" w:hAnsi="宋体"/>
          <w:color w:val="000000" w:themeColor="text1"/>
          <w:szCs w:val="21"/>
          <w:highlight w:val="none"/>
          <w:lang w:val="en-US"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应</w:t>
      </w:r>
      <w:r>
        <w:rPr>
          <w:rFonts w:hint="eastAsia" w:ascii="宋体" w:hAnsi="宋体"/>
          <w:color w:val="000000" w:themeColor="text1"/>
          <w:szCs w:val="21"/>
          <w:highlight w:val="none"/>
          <w:lang w:val="en-US" w:eastAsia="zh-CN"/>
          <w14:textFill>
            <w14:solidFill>
              <w14:schemeClr w14:val="tx1"/>
            </w14:solidFill>
          </w14:textFill>
        </w:rPr>
        <w:t xml:space="preserve">不低于</w:t>
      </w:r>
      <w:r>
        <w:rPr>
          <w:rFonts w:hint="eastAsia" w:ascii="宋体" w:hAnsi="宋体"/>
          <w:color w:val="000000" w:themeColor="text1"/>
          <w:szCs w:val="21"/>
          <w:highlight w:val="none"/>
          <w14:textFill>
            <w14:solidFill>
              <w14:schemeClr w14:val="tx1"/>
            </w14:solidFill>
          </w14:textFill>
        </w:rPr>
        <w:t xml:space="preserve">《商品包装政府采购需求标准（试行）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 xml:space="preserve">标准</w:t>
      </w:r>
      <w:r>
        <w:rPr>
          <w:rFonts w:hint="eastAsia" w:ascii="宋体" w:hAnsi="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p>
    <w:p>
      <w:pPr>
        <w:pStyle w:val="829"/>
        <w:rPr>
          <w:rFonts w:hint="default" w:eastAsia="华文楷体"/>
          <w:sz w:val="21"/>
          <w:lang w:val="en-US" w:eastAsia="zh-CN"/>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p>
    <w:p>
      <w:pPr>
        <w:jc w:val="left"/>
        <w:spacing w:before="0" w:line="400" w:lineRule="exac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 xml:space="preserve">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 xml:space="preserve">质量标准和保证</w:t>
      </w:r>
      <w:r/>
    </w:p>
    <w:p>
      <w:pPr>
        <w:pStyle w:val="659"/>
        <w:ind w:firstLine="420"/>
        <w:jc w:val="left"/>
        <w:spacing w:before="0" w:line="400" w:lineRule="exact"/>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p>
    <w:p>
      <w:pPr>
        <w:pStyle w:val="659"/>
        <w:ind w:firstLine="420"/>
        <w:jc w:val="left"/>
        <w:spacing w:before="0"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auto"/>
          <w:szCs w:val="21"/>
          <w:highlight w:val="none"/>
        </w:rPr>
        <w:t xml:space="preserve">.1条规定以书面形式</w:t>
      </w:r>
      <w:r>
        <w:rPr>
          <w:rFonts w:hint="eastAsia" w:ascii="宋体" w:hAnsi="宋体"/>
          <w:color w:val="000000" w:themeColor="text1"/>
          <w:szCs w:val="21"/>
          <w:highlight w:val="none"/>
          <w:lang w:eastAsia="zh-CN"/>
          <w14:textFill>
            <w14:solidFill>
              <w14:schemeClr w14:val="tx1"/>
            </w14:solidFill>
          </w14:textFill>
        </w:rPr>
        <w:t xml:space="preserve">追究</w:t>
      </w:r>
      <w:r>
        <w:rPr>
          <w:rFonts w:hint="eastAsia" w:ascii="宋体" w:hAnsi="宋体"/>
          <w:color w:val="auto"/>
          <w:szCs w:val="21"/>
          <w:highlight w:val="none"/>
        </w:rPr>
        <w:t xml:space="preserve">乙方</w:t>
      </w:r>
      <w:r>
        <w:rPr>
          <w:rFonts w:hint="eastAsia" w:ascii="宋体" w:hAnsi="宋体"/>
          <w:color w:val="000000" w:themeColor="text1"/>
          <w:szCs w:val="21"/>
          <w:highlight w:val="none"/>
          <w:lang w:eastAsia="zh-CN"/>
          <w14:textFill>
            <w14:solidFill>
              <w14:schemeClr w14:val="tx1"/>
            </w14:solidFill>
          </w14:textFill>
        </w:rPr>
        <w:t xml:space="preserve">的违约责任</w:t>
      </w:r>
      <w:r>
        <w:rPr>
          <w:rFonts w:hint="eastAsia" w:ascii="宋体" w:hAnsi="宋体"/>
          <w:color w:val="auto"/>
          <w:szCs w:val="21"/>
          <w:highlight w:val="none"/>
        </w:rPr>
        <w:t xml:space="preserve">。</w:t>
      </w:r>
      <w:r/>
    </w:p>
    <w:p>
      <w:pPr>
        <w:ind w:firstLine="420"/>
        <w:jc w:val="left"/>
        <w:spacing w:before="0"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p>
    <w:p>
      <w:pPr>
        <w:jc w:val="left"/>
        <w:spacing w:before="0" w:line="400" w:lineRule="exac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 xml:space="preserve">9</w:t>
      </w:r>
      <w:r>
        <w:rPr>
          <w:rFonts w:hint="eastAsia" w:ascii="宋体" w:hAnsi="宋体"/>
          <w:b/>
          <w:bCs/>
          <w:color w:val="auto"/>
          <w:sz w:val="24"/>
          <w:highlight w:val="none"/>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 xml:space="preserve">权利瑕疵担保</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.3 如甲方使用</w:t>
      </w:r>
      <w:r>
        <w:rPr>
          <w:rFonts w:hint="eastAsia" w:ascii="宋体" w:hAnsi="宋体"/>
          <w:color w:val="000000" w:themeColor="text1"/>
          <w:szCs w:val="21"/>
          <w:highlight w:val="none"/>
          <w:lang w:val="en-US" w:eastAsia="zh-CN"/>
          <w14:textFill>
            <w14:solidFill>
              <w14:schemeClr w14:val="tx1"/>
            </w14:solidFill>
          </w14:textFill>
        </w:rPr>
        <w:t xml:space="preserve">上述</w:t>
      </w:r>
      <w:r>
        <w:rPr>
          <w:rFonts w:hint="eastAsia" w:ascii="宋体" w:hAnsi="宋体"/>
          <w:color w:val="000000" w:themeColor="text1"/>
          <w:szCs w:val="21"/>
          <w:highlight w:val="none"/>
          <w14:textFill>
            <w14:solidFill>
              <w14:schemeClr w14:val="tx1"/>
            </w14:solidFill>
          </w14:textFill>
        </w:rPr>
        <w:t xml:space="preserve">货物构成</w:t>
      </w:r>
      <w:r>
        <w:rPr>
          <w:rFonts w:hint="eastAsia" w:ascii="宋体" w:hAnsi="宋体"/>
          <w:color w:val="000000" w:themeColor="text1"/>
          <w:szCs w:val="21"/>
          <w:highlight w:val="none"/>
          <w:lang w:val="en-US" w:eastAsia="zh-CN"/>
          <w14:textFill>
            <w14:solidFill>
              <w14:schemeClr w14:val="tx1"/>
            </w14:solidFill>
          </w14:textFill>
        </w:rPr>
        <w:t xml:space="preserve">对第三人</w:t>
      </w:r>
      <w:r>
        <w:rPr>
          <w:rFonts w:hint="eastAsia" w:ascii="宋体" w:hAnsi="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lang w:eastAsia="zh-CN"/>
          <w14:textFill>
            <w14:solidFill>
              <w14:schemeClr w14:val="tx1"/>
            </w14:solidFill>
          </w14:textFill>
        </w:rPr>
        <w:t xml:space="preserve">0</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3"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3"/>
      <w:r>
        <w:rPr>
          <w:rFonts w:hint="eastAsia" w:ascii="宋体" w:hAnsi="宋体"/>
          <w:color w:val="auto"/>
          <w:szCs w:val="21"/>
          <w:highlight w:val="none"/>
        </w:rPr>
        <w:t xml:space="preserve">。</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p>
    <w:p>
      <w:pPr>
        <w:ind w:firstLine="42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p>
    <w:p>
      <w:pPr>
        <w:ind w:firstLine="420"/>
        <w:jc w:val="left"/>
        <w:spacing w:before="0" w:line="400" w:lineRule="exact"/>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655"/>
        <w:spacing w:after="0" w:line="400" w:lineRule="exact"/>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本项目不收取履约保证金</w:t>
      </w:r>
      <w:r/>
    </w:p>
    <w:p>
      <w:pPr>
        <w:jc w:val="left"/>
        <w:spacing w:before="0" w:line="400" w:lineRule="exact"/>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szCs w:val="15"/>
          <w:lang w:eastAsia="zh-CN"/>
        </w:rPr>
        <w:t xml:space="preserve">；</w:t>
      </w:r>
      <w:r/>
    </w:p>
    <w:p>
      <w:pPr>
        <w:pStyle w:val="829"/>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p>
    <w:p>
      <w:pPr>
        <w:ind w:firstLine="420"/>
        <w:jc w:val="left"/>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before="0" w:line="400" w:lineRule="exact"/>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8"/>
        </w:numPr>
        <w:jc w:val="left"/>
        <w:spacing w:before="0" w:line="400" w:lineRule="exact"/>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ind w:firstLine="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p>
    <w:p>
      <w:pPr>
        <w:pStyle w:val="829"/>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20"/>
        <w:jc w:val="left"/>
        <w:spacing w:line="400" w:lineRule="exact"/>
        <w:rPr>
          <w:sz w:val="21"/>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eastAsia="宋体" w:cs="宋体"/>
          <w:szCs w:val="21"/>
          <w:lang w:eastAsia="zh-CN"/>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auto"/>
          <w:szCs w:val="21"/>
          <w:highlight w:val="none"/>
        </w:rPr>
        <w:t xml:space="preserve">。</w:t>
      </w:r>
      <w:r/>
    </w:p>
    <w:p>
      <w:pPr>
        <w:pStyle w:val="829"/>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p>
    <w:p>
      <w:pPr>
        <w:pStyle w:val="829"/>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p>
    <w:p>
      <w:p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p>
    <w:p>
      <w:pPr>
        <w:pStyle w:val="829"/>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829"/>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29"/>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p>
    <w:p>
      <w:pPr>
        <w:ind w:firstLine="420"/>
        <w:jc w:val="left"/>
        <w:spacing w:before="0"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20"/>
        <w:jc w:val="left"/>
        <w:spacing w:before="0"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655"/>
        <w:ind w:firstLine="420"/>
        <w:spacing w:after="0" w:line="400" w:lineRule="exact"/>
        <w:rPr>
          <w:color w:val="auto"/>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 对于</w:t>
      </w:r>
      <w:r>
        <w:rPr>
          <w:rFonts w:hint="eastAsia" w:ascii="宋体" w:hAnsi="宋体"/>
          <w:color w:val="auto"/>
          <w:szCs w:val="21"/>
          <w:highlight w:val="none"/>
          <w:lang w:eastAsia="zh-CN"/>
        </w:rPr>
        <w:t xml:space="preserve">为落实中小企业支持政策，</w:t>
      </w:r>
      <w:r>
        <w:rPr>
          <w:rFonts w:hint="eastAsia" w:ascii="宋体" w:hAnsi="宋体"/>
          <w:color w:val="auto"/>
          <w:szCs w:val="21"/>
          <w:highlight w:val="none"/>
        </w:rPr>
        <w:t xml:space="preserve">通过采购项目</w:t>
      </w:r>
      <w:r>
        <w:rPr>
          <w:rFonts w:hint="eastAsia" w:ascii="宋体" w:hAnsi="宋体"/>
          <w:color w:val="auto"/>
          <w:szCs w:val="21"/>
          <w:highlight w:val="none"/>
          <w:lang w:eastAsia="zh-CN"/>
        </w:rPr>
        <w:t xml:space="preserve">整体</w:t>
      </w:r>
      <w:r>
        <w:rPr>
          <w:rFonts w:hint="eastAsia" w:ascii="宋体" w:hAnsi="宋体"/>
          <w:color w:val="auto"/>
          <w:szCs w:val="21"/>
          <w:highlight w:val="none"/>
        </w:rPr>
        <w:t xml:space="preserve">预留、</w:t>
      </w:r>
      <w:r>
        <w:rPr>
          <w:rFonts w:hint="eastAsia" w:ascii="宋体" w:hAnsi="宋体"/>
          <w:color w:val="auto"/>
          <w:szCs w:val="21"/>
          <w:highlight w:val="none"/>
          <w:lang w:eastAsia="zh-CN"/>
        </w:rPr>
        <w:t xml:space="preserve">设置</w:t>
      </w:r>
      <w:r>
        <w:rPr>
          <w:rFonts w:hint="eastAsia" w:ascii="宋体" w:hAnsi="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p>
    <w:p>
      <w:pPr>
        <w:pStyle w:val="829"/>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829"/>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p>
    <w:p>
      <w:pPr>
        <w:pStyle w:val="829"/>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829"/>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p>
    <w:p>
      <w:pPr>
        <w:numPr>
          <w:ilvl w:val="0"/>
          <w:numId w:val="9"/>
        </w:num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0"/>
        <w:jc w:val="left"/>
        <w:spacing w:line="400" w:lineRule="exac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4"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642"/>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4"/>
      <w:r/>
      <w:r/>
    </w:p>
    <w:tbl>
      <w:tblPr>
        <w:tblStyle w:val="65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829"/>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pPr>
            <w:r>
              <w:rPr>
                <w:rFonts w:hint="eastAsia" w:ascii="宋体" w:hAnsi="宋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pPr>
            <w:r>
              <w:rPr>
                <w:rFonts w:hint="default" w:ascii="宋体" w:hAnsi="宋体" w:eastAsia="宋体"/>
                <w:szCs w:val="21"/>
                <w:lang w:val="en-US" w:eastAsia="zh-CN"/>
              </w:rPr>
            </w:r>
            <w:r/>
          </w:p>
        </w:tc>
      </w:tr>
    </w:tbl>
    <w:p>
      <w:r/>
      <w:r/>
    </w:p>
    <w:p>
      <w:pPr>
        <w:ind w:left="0" w:right="0" w:firstLine="0"/>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pStyle w:val="829"/>
        <w:rPr>
          <w:rFonts w:ascii="黑体" w:hAnsi="黑体" w:eastAsia="黑体" w:cs="黑体"/>
          <w:color w:val="000000"/>
          <w:sz w:val="44"/>
        </w:rPr>
      </w:pPr>
      <w:r>
        <w:rPr>
          <w:rFonts w:ascii="黑体" w:hAnsi="黑体" w:eastAsia="黑体" w:cs="黑体"/>
          <w:color w:val="000000"/>
          <w:sz w:val="44"/>
        </w:rPr>
      </w:r>
      <w:r/>
    </w:p>
    <w:p>
      <w:pPr>
        <w:pStyle w:val="829"/>
        <w:rPr>
          <w:rFonts w:ascii="黑体" w:hAnsi="黑体" w:eastAsia="黑体" w:cs="黑体"/>
          <w:color w:val="000000"/>
          <w:sz w:val="44"/>
        </w:rPr>
      </w:pPr>
      <w:r>
        <w:rPr>
          <w:rFonts w:ascii="黑体" w:hAnsi="黑体" w:eastAsia="黑体" w:cs="黑体"/>
          <w:color w:val="000000"/>
          <w:sz w:val="44"/>
        </w:rPr>
      </w:r>
      <w:r/>
    </w:p>
    <w:p>
      <w:pPr>
        <w:pStyle w:val="829"/>
        <w:rPr>
          <w:rFonts w:ascii="黑体" w:hAnsi="黑体" w:eastAsia="黑体" w:cs="黑体"/>
          <w:color w:val="000000"/>
          <w:sz w:val="44"/>
        </w:rPr>
      </w:pPr>
      <w:r>
        <w:rPr>
          <w:rFonts w:ascii="黑体" w:hAnsi="黑体" w:eastAsia="黑体" w:cs="黑体"/>
          <w:color w:val="000000"/>
          <w:sz w:val="44"/>
        </w:rPr>
      </w:r>
      <w:r/>
    </w:p>
    <w:p>
      <w:pPr>
        <w:pStyle w:val="672"/>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72"/>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72"/>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72"/>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72"/>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72"/>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72"/>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72"/>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72"/>
        <w:jc w:val="both"/>
        <w:keepLines w:val="0"/>
        <w:keepNext w:val="0"/>
        <w:spacing w:before="12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72"/>
        <w:jc w:val="both"/>
        <w:keepLines w:val="0"/>
        <w:keepNext w:val="0"/>
        <w:spacing w:before="12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72"/>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第四章 采购需求</w:t>
      </w:r>
      <w:r/>
    </w:p>
    <w:p>
      <w:pPr>
        <w:ind w:left="0" w:right="0" w:firstLine="0"/>
        <w:jc w:val="both"/>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一、</w:t>
      </w:r>
      <w:r>
        <w:rPr>
          <w:rFonts w:hint="eastAsia" w:ascii="宋体" w:hAnsi="宋体" w:cs="宋体"/>
          <w:b/>
          <w:color w:val="000000"/>
          <w:sz w:val="24"/>
          <w:u w:val="none"/>
          <w:lang w:val="en-US" w:eastAsia="zh-CN"/>
        </w:rPr>
        <w:t xml:space="preserve">采购需求及技术参数</w:t>
      </w:r>
      <w:r/>
    </w:p>
    <w:p>
      <w:pPr>
        <w:ind w:right="0"/>
        <w:jc w:val="both"/>
        <w:spacing w:before="0" w:after="0" w:line="85"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一、项目概况</w:t>
      </w:r>
      <w:r/>
    </w:p>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 项目说明</w:t>
      </w:r>
      <w:r/>
    </w:p>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本项目定位于建立符合公立医院改革精神与医院管理特色的现代医院综合运营精细化管理，体现现代医院一体化运营管理的流程化、精细化、智能化应用诉求。从医院宏观管理的大局视角出发，基于顶层设计、分步实施的思路对医院综合运营精细化、财务一体化、成本一体化、业务一体化等进行系统性的项目实施建设。</w:t>
      </w:r>
      <w:r/>
    </w:p>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2. 项目建设原则</w:t>
      </w:r>
      <w:r/>
    </w:p>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本项目的建设应从全局出发，按照顶层设计要求，统一标准，广覆盖、突重点、重实效，对医院未来可持续发展提供信息化管理的技术支撑。</w:t>
      </w:r>
      <w:r/>
    </w:p>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①总体规划，分步实施</w:t>
      </w:r>
      <w:r/>
    </w:p>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医院信息化建设是一个长期而复杂的过程，在硬件设备、网络架构、系统平台和应用软件等方面都必须先进行整体的调研和规划。在明确需求、统一规划的基础上，采用循序渐进，阶段实施的原则，有步骤地推进实施。同时，总体规划也要切合国情、省情、院情，最大化利用成熟可靠的技术，以节约资金并保证系统的稳定性。</w:t>
      </w:r>
      <w:r/>
    </w:p>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②顶层设计，有限目标</w:t>
      </w:r>
      <w:r/>
    </w:p>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结合医院中长期发展要求，从医院业务与管理目标出发，进行医院信息化建设的整体规划设计，满足医院未来5年的可持续发展需要。</w:t>
      </w:r>
      <w:r/>
    </w:p>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同时医院的信息化建设也要切合实际需要，既要考虑尽量采用先进的、具有一定前瞻性的技术，也要兼顾医院自身的业务实际需要和经营管理水平，不盲目求大求全，客观选择有限目标，高质高效地完成医院项目第一阶段建设任务。</w:t>
      </w:r>
      <w:r/>
    </w:p>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③开放互联、信息共享</w:t>
      </w:r>
      <w:r/>
    </w:p>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医院的信息化建设要在统一规划的基础上，统一标准，实现互联互通、信息共享与数据综合利用。整个系统建设应遵循集成整合的基本思路，各子系统的软、硬件设计均应统筹考虑，按符合项目要求的规范进行建设，尽量参考国际国内的标准化成果，积极推动医学信息标准化（如HL7、ICD-10、SNOMED、DICOM3.0等）的使用，并在此基础上架构一个具有开放性和扩展性的灵活的信息基础框架环境，使得医院的信息化建设在一个标准化、结构化的灵活框架下展开，保障医院的信息化建设面对未来有一个可持续发展的架构体系。</w:t>
      </w:r>
      <w:r/>
    </w:p>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bookmarkStart w:id="5" w:name="_Toc530822845"/>
      <w:r>
        <w:rPr>
          <w:rFonts w:hint="eastAsia" w:ascii="宋体" w:hAnsi="宋体" w:eastAsia="宋体" w:cs="宋体"/>
          <w:b w:val="0"/>
          <w:bCs/>
          <w:color w:val="000000"/>
          <w:sz w:val="24"/>
        </w:rPr>
        <w:t xml:space="preserve">3.项目建设</w:t>
      </w:r>
      <w:bookmarkEnd w:id="5"/>
      <w:r>
        <w:rPr>
          <w:rFonts w:hint="eastAsia" w:ascii="宋体" w:hAnsi="宋体" w:eastAsia="宋体" w:cs="宋体"/>
          <w:b w:val="0"/>
          <w:bCs/>
          <w:color w:val="000000"/>
          <w:sz w:val="24"/>
        </w:rPr>
        <w:t xml:space="preserve">目标</w:t>
      </w:r>
      <w:r/>
    </w:p>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本项目建设的主要目标是：以医院价值运营管理为导向，将财务管理、预算管理、成本管理等延伸到医院日常运营管理过程中，实现业财融合、财务信息共享，为医院高效运营提供实时、动态、可量化的数据，为医院各层级管理提供决策依据，提高医院运营管理能力。</w:t>
      </w:r>
      <w:r/>
    </w:p>
    <w:tbl>
      <w:tblPr>
        <w:tblStyle w:val="651"/>
        <w:tblW w:w="8623" w:type="dxa"/>
        <w:tblInd w:w="113" w:type="dxa"/>
        <w:tblLayout w:type="fixed"/>
        <w:tblCellMar>
          <w:left w:w="108" w:type="dxa"/>
          <w:top w:w="0" w:type="dxa"/>
          <w:right w:w="108" w:type="dxa"/>
          <w:bottom w:w="0" w:type="dxa"/>
        </w:tblCellMar>
        <w:tblLook w:val="04A0" w:firstRow="1" w:lastRow="0" w:firstColumn="1" w:lastColumn="0" w:noHBand="0" w:noVBand="1"/>
      </w:tblPr>
      <w:tblGrid>
        <w:gridCol w:w="696"/>
        <w:gridCol w:w="1284"/>
        <w:gridCol w:w="5015"/>
        <w:gridCol w:w="696"/>
        <w:gridCol w:w="696"/>
        <w:gridCol w:w="236"/>
      </w:tblGrid>
      <w:tr>
        <w:trPr>
          <w:gridAfter w:val="1"/>
          <w:trHeight w:val="375"/>
        </w:trPr>
        <w:tc>
          <w:tcPr>
            <w:gridSpan w:val="5"/>
            <w:tcBorders>
              <w:top w:val="single" w:color="000000" w:sz="4" w:space="0"/>
              <w:left w:val="single" w:color="000000" w:sz="4" w:space="0"/>
              <w:bottom w:val="single" w:color="000000" w:sz="4" w:space="0"/>
              <w:right w:val="none" w:color="000000" w:sz="4" w:space="0"/>
            </w:tcBorders>
            <w:tcW w:w="8387" w:type="dxa"/>
            <w:vAlign w:val="center"/>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采购需求清单</w:t>
            </w:r>
            <w:r/>
          </w:p>
        </w:tc>
      </w:tr>
      <w:tr>
        <w:trPr>
          <w:gridAfter w:val="1"/>
          <w:trHeight w:val="285"/>
        </w:trPr>
        <w:tc>
          <w:tcPr>
            <w:tcBorders>
              <w:top w:val="none" w:color="000000" w:sz="4" w:space="0"/>
              <w:left w:val="single" w:color="000000" w:sz="4" w:space="0"/>
              <w:bottom w:val="single" w:color="000000" w:sz="4" w:space="0"/>
              <w:right w:val="single" w:color="000000" w:sz="4" w:space="0"/>
            </w:tcBorders>
            <w:tcW w:w="69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序号</w:t>
            </w:r>
            <w:r/>
          </w:p>
        </w:tc>
        <w:tc>
          <w:tcPr>
            <w:tcBorders>
              <w:top w:val="none" w:color="000000" w:sz="4" w:space="0"/>
              <w:left w:val="single" w:color="000000" w:sz="4" w:space="0"/>
              <w:bottom w:val="single" w:color="000000" w:sz="4" w:space="0"/>
              <w:right w:val="single" w:color="000000" w:sz="4" w:space="0"/>
            </w:tcBorders>
            <w:tcW w:w="1284" w:type="dxa"/>
            <w:vAlign w:val="center"/>
            <w:textDirection w:val="lrTb"/>
            <w:noWrap w:val="false"/>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业务模块</w:t>
            </w:r>
            <w:r/>
          </w:p>
        </w:tc>
        <w:tc>
          <w:tcPr>
            <w:tcBorders>
              <w:top w:val="none" w:color="000000" w:sz="4" w:space="0"/>
              <w:left w:val="single" w:color="000000" w:sz="4" w:space="0"/>
              <w:bottom w:val="single" w:color="000000" w:sz="4" w:space="0"/>
              <w:right w:val="none" w:color="000000" w:sz="4" w:space="0"/>
            </w:tcBorders>
            <w:tcW w:w="5015" w:type="dxa"/>
            <w:vAlign w:val="center"/>
            <w:textDirection w:val="lrTb"/>
            <w:noWrap w:val="false"/>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功能描述</w:t>
            </w:r>
            <w:r/>
          </w:p>
        </w:tc>
        <w:tc>
          <w:tcPr>
            <w:tcBorders>
              <w:top w:val="none" w:color="000000" w:sz="4" w:space="0"/>
              <w:left w:val="single" w:color="000000" w:sz="4" w:space="0"/>
              <w:bottom w:val="single" w:color="000000" w:sz="4" w:space="0"/>
              <w:right w:val="single" w:color="000000" w:sz="4" w:space="0"/>
            </w:tcBorders>
            <w:tcW w:w="69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单位</w:t>
            </w:r>
            <w:r/>
          </w:p>
        </w:tc>
        <w:tc>
          <w:tcPr>
            <w:tcBorders>
              <w:top w:val="none" w:color="000000" w:sz="4" w:space="0"/>
              <w:left w:val="single" w:color="000000" w:sz="4" w:space="0"/>
              <w:bottom w:val="single" w:color="000000" w:sz="4" w:space="0"/>
              <w:right w:val="single" w:color="000000" w:sz="4" w:space="0"/>
            </w:tcBorders>
            <w:tcW w:w="69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数量</w:t>
            </w:r>
            <w:r/>
          </w:p>
        </w:tc>
      </w:tr>
      <w:tr>
        <w:trPr>
          <w:gridAfter w:val="1"/>
          <w:trHeight w:val="6000"/>
        </w:trPr>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284"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系统管理平台</w:t>
            </w:r>
            <w:r/>
          </w:p>
        </w:tc>
        <w:tc>
          <w:tcPr>
            <w:tcBorders>
              <w:top w:val="single" w:color="000000" w:sz="4" w:space="0"/>
              <w:left w:val="single" w:color="000000" w:sz="4" w:space="0"/>
              <w:bottom w:val="single" w:color="000000" w:sz="4" w:space="0"/>
              <w:right w:val="single" w:color="000000" w:sz="4" w:space="0"/>
            </w:tcBorders>
            <w:tcW w:w="5015" w:type="dxa"/>
            <w:vAlign w:val="center"/>
            <w:vMerge w:val="restart"/>
            <w:textDirection w:val="lrTb"/>
            <w:noWrap w:val="false"/>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作为系统运行的底层平台，实现系统设置、用户及权限管理、基础数据字典管理、应用建模以及使用监控等应用，支持面向服务的业务应用快速构建和装配，具备随需应变的业务处理能力，深度满足医院管理需求。</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业务基础平台</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系统设置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系统参数</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对系统内各编码规则进行设置、说明、查询及修改。</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系统联用</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▲对各系统间是否联用进行设置，便于系统间集成和控制。</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字典自定义验证</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设置系统内各字典验证规则的启用和禁用。 </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参数设置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对单位参数、单据号、自动编码规则等进行设置。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系统字典</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会计科目体系</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支持多种会计科目体系。</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职工属性</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对职工的各类属性字典进行维护，包括：学历、学位、政治面貌、职称、职级等。</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标准科室字典</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▲内置国家标准科室字典，以便后续上报数据对照使用。</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政府收支分类</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内置支出功能分类字典和支出经济分类字典。</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医院字典管理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账套管理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支持医院账套和会计期间的维护。</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组织架构体系</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▲支持包括部门类型、部门、院区、诊疗组、虚拟部门业务关系等的维护。</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职工信息</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支持医院内职工类别和职工信息的维护。</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收入信息</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支持收入项目、收费类别、收费项目等的维护。</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成本信息</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支持对成本项目、成本要素的维护。</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物资信息</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支持对物资字典、物资分类、物资财务分类、物资卫健委分类、局端分类、装备协会分类等的维护。</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资产信息</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支持对资产分类、资产财务分类、资产字典的维护。</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供应商信息</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支持对供应商分类、供应商字典、供应商名称变更、证件分类、变更审核等的维护。</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基础字典</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支持对银行信息、客户信息、仓库信息、资金来源、结算信息、送货地址等的维护。</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系统管理平台</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用户权限管理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支持对用户、角色、按钮权限、用户权限、角色权限、数据权限等的维护。</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业务日志</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提供用户操作日志的自动记录和查询功能。</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任务调度</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▲支持对系统自动任务的定时设置及查看追踪。</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应用建模平台</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分析平台</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通过定义数据模型、可视化模型，用户可以自定义数据源、分析模型和指标，自定义页面布局和展示内容，为用户多元化展示数据提供可视化工具。</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流程平台</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▲支持对各系统审批流程的自定义设置，满足医院相关业务应用的个性化流程审批管理要求。</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打印模板管理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▲提供打印模板的定义设计、修改、删除功能。</w:t>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w:t>
            </w:r>
            <w:r/>
          </w:p>
        </w:tc>
      </w:tr>
      <w:tr>
        <w:trPr>
          <w:trHeight w:val="600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r>
            <w:r/>
          </w:p>
        </w:tc>
      </w:tr>
      <w:tr>
        <w:trPr>
          <w:trHeight w:val="600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6000"/>
        </w:trPr>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1284"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会计管理系统</w:t>
            </w:r>
            <w:r/>
          </w:p>
        </w:tc>
        <w:tc>
          <w:tcPr>
            <w:tcBorders>
              <w:top w:val="single" w:color="000000" w:sz="4" w:space="0"/>
              <w:left w:val="single" w:color="000000" w:sz="4" w:space="0"/>
              <w:bottom w:val="none" w:color="000000" w:sz="4" w:space="0"/>
              <w:right w:val="single" w:color="000000" w:sz="4" w:space="0"/>
            </w:tcBorders>
            <w:tcW w:w="5015" w:type="dxa"/>
            <w:vAlign w:val="center"/>
            <w:vMerge w:val="restart"/>
            <w:textDirection w:val="lrTb"/>
            <w:noWrap w:val="false"/>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财务管理主要包括账务处理、现金银行管理、往来账管理、薪酬发放、票据管理、财务分析、报表管理、领导查询等功能。</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制度符合性</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应完全符合财政部《政府会计制度——行政事业单位会计科目和报表》（财会[2017]25号）的科目、核算原则与报表要求。并应重点实现以下制度性要求：</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①会计系统中须同时实现财务会计和预算会计双重功能</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②财务会计采用权责发生制，预算会计采用收付实现制</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③财务会计核算形成财务报告，预算会计核算形成决算报告</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④整合基建会计核算</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⑤支持现金流量管理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⑥支持科研、教学项目核算</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⑦支持医保结算差额的自动分摊</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⑧支持医疗风险基金的自动提取</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⑨支持新会计制度下的往来管理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⑩支持凭证自动审核，对于该记账未记账的预算会计凭证进行审核</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账务处理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实现从原始凭证，到凭证录入、审核、记账，以及各种辅助核算信息的输入和输出，支持部门核算、供应商核算、往来核算等多种辅助核算，同时生成总账、明细账、辅助账等会计账簿备查。</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支持通过数据交换实现自动提取HIS中医疗收入数据生成会计凭证。</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支持通过业务基础平台自动提取物资入出库单、固定资产折旧维修。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支持期末处理支持导航结账，能够对于结账中过程进行修改</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支持成本拆分业务处理可以根据医院的要求对于关注的成本进行拆分凭证处理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账簿中心</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支持科目总账、三栏明细账、多练明细账的查询；</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支持辅助核算项账查询功能，支持辅助核算总账、明细账、多栏明细账、项目账、部门账的查询；</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支持备查簿的查询，包含固定资产出租出借备查簿、应付票据应收票据备查簿、其他相关备查簿的查询；</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支持账簿打印，按照科目账、辅助核算明细账的分页格式进行打印；</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业务对账</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支持固定资产、物资、无形资产的业务对账功能，与各个子系统进行关联直接与业务数据进行对账；</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现金银行管理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包括现金银行出纳流水账登记、现金银行日记账管理、出纳对账、银行对账等日常工作处理。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往来处理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包括应收、应付款项的登记、核销、账龄分析和往来核销明细查询和核销清册数据。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支持政府会计制度规定的坏账提取范围和方法自动提取坏账准备。</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薪酬发放</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包括薪资的录入、计算、发放、查询、转账，提供一个简便、易用的薪酬计算和发放的管理工具；</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报表管理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财政部门等上级主管单位规定的格式化的报表，如资产负债、收入支出表、现金流量表等，支持自由定制报表的格式、类型，自动生成报表；支持各种类型的会计取数函数，支持各种关系的审核定义和汇总定义；可以自动生成报表、查询、审核、汇总。</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财务分析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提供财务报表分析、财务结构分析、财务预算分析、现金收支分析、指标分析和杜邦分析功能，支持绝对数、环比、定基、对比和结构等多种分析方法，支持图形、表格的展现方式；提供对医院净资产收益率和医疗风险基金的核算和分析。</w:t>
            </w:r>
            <w:r/>
          </w:p>
        </w:tc>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项</w:t>
            </w:r>
            <w:r/>
          </w:p>
        </w:tc>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w:t>
            </w:r>
            <w:r/>
          </w:p>
        </w:tc>
        <w:tc>
          <w:tcPr>
            <w:tcW w:w="236" w:type="dxa"/>
            <w:vAlign w:val="center"/>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5202"/>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r>
            <w:r/>
          </w:p>
        </w:tc>
      </w:tr>
      <w:tr>
        <w:trPr>
          <w:trHeight w:val="5202"/>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2258"/>
        </w:trPr>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1284"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合同管理系统</w:t>
            </w:r>
            <w:r/>
          </w:p>
        </w:tc>
        <w:tc>
          <w:tcPr>
            <w:tcBorders>
              <w:top w:val="single" w:color="000000" w:sz="4" w:space="0"/>
              <w:left w:val="single" w:color="000000" w:sz="4" w:space="0"/>
              <w:bottom w:val="none" w:color="000000" w:sz="4" w:space="0"/>
              <w:right w:val="single" w:color="000000" w:sz="4" w:space="0"/>
            </w:tcBorders>
            <w:tcW w:w="5015" w:type="dxa"/>
            <w:vAlign w:val="center"/>
            <w:vMerge w:val="restart"/>
            <w:textDirection w:val="lrTb"/>
            <w:noWrap w:val="false"/>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合同管理系统包括有合同、协议的签订、履行、变更、违约、 索赔、结算、归档等合同全过程管理内容，并与医院的固定资产、无形资产、物流管理、会计核算等系统实现一体化业 </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务整合，结合强大的预警功能，根据合同编制时指定的审批流程提供系统审批功能，提供对合同附件的管理，支持添加水印功能，充分体现“合同与实物的一致性监管”、“合同与账务的一致性监管”、“合同履行情况的全过程追踪监管”、“合同往来账款的追踪监管”、“合同全阶段资料文档的监管”等先进管理思想，进一步提高医院精细化管理水平。 </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付款合同 </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对付款合同的签订、审核、履行、归档全生命周期进行管理，合同签订实现专项预算控制，实现了合同的无极变更、付款金额变动管理，对合同的全部生命周期数据进行跟踪分析。实现付款合同的违约、索赔管理。 </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针对履约保证金管理的合同实现收款、付款管理，针对履约银行保函管理进行管理。 </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对固定资产、无形资产采购数据进行汇总、明细分析。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实现合同的付款管理，对应付账款按照总账、明细账进行分析，实现付款计划的实际付款、未付款查询。对付款合同履行截止日期进行提醒，对近期应归还质保金进行提醒，对临近保修期进行提醒，对近期应付款进行提醒。 </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收款合同 </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对收款合同的签订、审核、履行、归档全生命周期进行管理，实现了合同的无极变更、收款金额变动管理，对合同的全部生命周期数据进行跟踪分析。 </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实现收款合同的违约、索赔管理。 </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针对履约保证金管理的合同实现付款、收回管理，针对履约银行保函管理进行管理。 </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实现合同的收款管理，对应收账款按照总账、明细账进行分析，实现收款计划的实际收款、未收款查询。 </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对收款合同履行截止日期进行提醒，对近期应收回质保金进行提醒，对近期应收款进行提醒。 </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付款协议 </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实现各种供货、付款服务协议的管理功能，对即将到期协议进行预警。 </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对物流协议供货数据按照总账、明细账方式进行统计分析，对物流供货协议进行应付款总账、明细账分析。 </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4. 收款协议 </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实现各种收款服务协议的管理功能，对即将到期协议进行预警。 </w:t>
            </w:r>
            <w:r/>
          </w:p>
        </w:tc>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项</w:t>
            </w:r>
            <w:r/>
          </w:p>
        </w:tc>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w:t>
            </w:r>
            <w:r/>
          </w:p>
        </w:tc>
        <w:tc>
          <w:tcPr>
            <w:tcW w:w="236" w:type="dxa"/>
            <w:vAlign w:val="center"/>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r>
            <w:r/>
          </w:p>
        </w:tc>
      </w:tr>
      <w:tr>
        <w:trPr>
          <w:trHeight w:val="4002"/>
        </w:trPr>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1284"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预算管理系统（HRP）</w:t>
            </w:r>
            <w:r/>
          </w:p>
        </w:tc>
        <w:tc>
          <w:tcPr>
            <w:tcBorders>
              <w:top w:val="single" w:color="000000" w:sz="4" w:space="0"/>
              <w:left w:val="single" w:color="000000" w:sz="4" w:space="0"/>
              <w:bottom w:val="none" w:color="000000" w:sz="4" w:space="0"/>
              <w:right w:val="single" w:color="000000" w:sz="4" w:space="0"/>
            </w:tcBorders>
            <w:tcW w:w="5015" w:type="dxa"/>
            <w:vAlign w:val="center"/>
            <w:vMerge w:val="restart"/>
            <w:textDirection w:val="lrTb"/>
            <w:noWrap w:val="false"/>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预算管理是医院根据事业发展计划和医疗任务计划编制的年度财务计划，它反映了医院卫生事业和工作任务的规模和方向，是医院控制支出的工具。在把预算计划变成现实的过程中，以全面编制为核心，加强预算的执行和管理，是构建医院全面预算管理组织体系的关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全面预算管理系统需融合管理会计和责任会计的理论方法，必须符合《医院会计制度》和《医院财务制度》。以医院事业计划、收入预算为核心，全面覆盖支出预算、项目预算、物资采购预算、物资消耗预算、资金预算等功能，围绕医院的战略目标，真正实现医院的全面预算管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1.预算方案设置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年度预算编制前，对预算模板、历史数据、增长比例等内容进行预置；对预算的分解进行定义；并以此为依据进行预算编制初始化。</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预算模板可分为：院级、科室级以及归口部门级。</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历史数据维护：对科室以往的计划数据和预算数据进行导入、查询、编辑等。</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科室增长比例：根据模板的计算方式，对各科室的每一个指标和预算科目的比例系数进行设置。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2.事件项目管理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事件项目管理分为事件项目申请和事件项目审批。</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事件项目申请：编制事件项目预算前需先申请生成此事件的项目目录。</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事件项目审批：归口部门对各业务科室编制的事件项目进行审批。</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3.预算编制</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根据医院预算管理的惯例及要求，可分别进行医院级别的预算代编、归口部门的预算代编以及业务科室的预算编制。</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医院级别预算代编：自上而下的预算编制模式，由医院预算编制机构代编全院预算，完成后直接下达全院执行。</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归口部门预算代编：归口部门代全院编制预算，编制完成后提交到院级，院级审核后下达全院预算</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业务科室预算编制：两上两下的预算编制模式，医院的总体预算目标以各个科室的预算目标为重要参考依据进行调整；各个科室（或者职能科室）根据自己的的医疗计划、事业计划，如：门急诊人次、住院床日、科室面积、人员编制、项目立项情况等，核定均次费用，编制科室的收入、支出预算和项目预算，报给归口部门，归口部门审核通过后再提交到全院，院级汇总平衡后，将预算批复意见下达科室，科室进行二次上报，二上院级批复后年度预算正式下达，进入预算执行阶段；医院的最终预算审议机构通过后，各个科室开始执行。</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事件项目编制：通过事件项目编制维护每个项目的明细科目、预算金额、报销次数等。</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4.预算审批</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预算审批适用于两上两下的编制模式，具体分为两种，一种是由业务科室进行年度预算编制并上报，归口部门和院级进行年度预算审批；第二种是由归口科室进行年度预算代编并上报，医院预算编制机构进行年度预算审批。</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5.预算调整</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预算调整分为事件项目预算调整和业务科室预算调整，调整结果由归口部门和院级进行预算调整审批。</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6.分解与查询</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医院预算编制机构代编全院预算并下达后，由各科室将年度预算分解到月度；归口科室预算代编全院预算，医院预算编制机构审批完后并下达，由各科室将年度预算分解到月度；医院预算编制机构和归口科室可进行预算查询。</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7.预算执行</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对预算的计划指标本年执行数据和预算科目的本年执行数据进行维护。</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计划执行数据维护：对计划指标的本年执行数进行导入、查询、编辑等。</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预算执行数据维护：对预算科目的本年执行数进行导入、查询、编辑；预算执行数据可以从资金支出控制系统和会计核算及财务管理系统取数。</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▲8.预算分析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预算分析分为计划执行分析和预算执行分析，各分析又可分为院级分析和科室分析。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院级计划执行分析、科室计划执行分析：对全院各月、各科室各月的执行情况分析。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医院预算执行分析、科室预算执行分析：对全院预算的执行情况和科室预算的执行情况进行分析。</w:t>
            </w:r>
            <w:r/>
          </w:p>
        </w:tc>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项</w:t>
            </w:r>
            <w:r/>
          </w:p>
        </w:tc>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w:t>
            </w:r>
            <w:r/>
          </w:p>
        </w:tc>
        <w:tc>
          <w:tcPr>
            <w:tcW w:w="236" w:type="dxa"/>
            <w:vAlign w:val="center"/>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4002"/>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r>
            <w:r/>
          </w:p>
        </w:tc>
      </w:tr>
      <w:tr>
        <w:trPr>
          <w:trHeight w:val="4399"/>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4399"/>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5202"/>
        </w:trPr>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1284"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资金支出管理系统</w:t>
            </w:r>
            <w:r/>
          </w:p>
        </w:tc>
        <w:tc>
          <w:tcPr>
            <w:tcBorders>
              <w:top w:val="single" w:color="000000" w:sz="4" w:space="0"/>
              <w:left w:val="single" w:color="000000" w:sz="4" w:space="0"/>
              <w:bottom w:val="none" w:color="000000" w:sz="4" w:space="0"/>
              <w:right w:val="single" w:color="000000" w:sz="4" w:space="0"/>
            </w:tcBorders>
            <w:tcW w:w="5015" w:type="dxa"/>
            <w:vAlign w:val="center"/>
            <w:vMerge w:val="restart"/>
            <w:textDirection w:val="lrTb"/>
            <w:noWrap w:val="false"/>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医院资金支出控制系统是有效实现支出预算目标的计算机应用程序。其主要目标是通过科室、科目、周期控制来实现对日常报销、差旅费、办公费、物资分类等项目从申请到执行核销进行控制，并对每一笔超出预算的申请和报销给予提示。</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▲1.支出控制预警</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可导出并打印经费归口部门预警和开支部门预警。</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可查询符合条件的预算项目执行预警情况，并自动对超出预警线项目进行预警提示。</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2.支出预算编制</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提供对年度和月份支出预算项目额度查看、编辑、初始化、删除零值等设置功能。</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调整年初编制预算，并查询。</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3.借款管理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支持添加、导入、查询、打印、删除、作废、取消作废借款申请。</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支持确认审核借款申请和取消审核借款申请操作。查询、打印职工借款和借款记录。</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4.报销管理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具有添加、删除、查询、作废、恢复以及审核、支付日常报销申请等功能。</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支持批量撤销支付，支持由借款申请生成报销单。查询、打印职工报销和报销记录。 </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5.报销执行查询</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可查询预算编制结果以及项目、科室、全院的报销执行情况，并可提供图形显示。 </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6.其他</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具有预算项目的添加、修改、删除、批量修改、查询、导出、打印等功能。</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支持依据资金支出控制的实际需要设置预算项目。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支持依据使用习惯自行定义预算项目的编码和名称。</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可实现预算科室定义和经费归口部门、经费开支部门、预算项目三者的对应关系设置。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可实现支付方式设置、参数设置以及预警设置。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7.与其他系统接口及数据交换</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自动生成支出单据会计凭证传入会计核算与财务管理系统。</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成本收支数据可作为当期收支预算执行数据；本年成本数据可作为第二年度预算编制依据。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与预算管理系统连用，预算科目、预算数值、预算科室及对应关系等信息可完全取自预算系统。</w:t>
            </w:r>
            <w:r/>
          </w:p>
        </w:tc>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项</w:t>
            </w:r>
            <w:r/>
          </w:p>
        </w:tc>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w:t>
            </w:r>
            <w:r/>
          </w:p>
        </w:tc>
        <w:tc>
          <w:tcPr>
            <w:tcW w:w="236" w:type="dxa"/>
            <w:vAlign w:val="center"/>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5202"/>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r>
            <w:r/>
          </w:p>
        </w:tc>
      </w:tr>
      <w:tr>
        <w:trPr>
          <w:trHeight w:val="4002"/>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医掌宝（移动报销APP）</w:t>
            </w:r>
            <w:r/>
          </w:p>
        </w:tc>
        <w:tc>
          <w:tcPr>
            <w:tcBorders>
              <w:top w:val="single" w:color="000000" w:sz="4" w:space="0"/>
              <w:left w:val="single" w:color="000000" w:sz="4" w:space="0"/>
              <w:bottom w:val="none" w:color="000000" w:sz="4" w:space="0"/>
              <w:right w:val="single" w:color="000000" w:sz="4" w:space="0"/>
            </w:tcBorders>
            <w:tcW w:w="5015" w:type="dxa"/>
            <w:vAlign w:val="center"/>
            <w:textDirection w:val="lrTb"/>
            <w:noWrap w:val="false"/>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1、支持移动事项申请、借还款、费用报账业务的申请；</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审批</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显示用户需审批的单据并仅进行审批，查看已经审批过的单据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借款</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填写借款单，查询未提交和审核中借款单据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报销</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填写报销单，查询未提交和审核中报销单据，可以筛选快速找到相应报销单据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2、支持移动采集影像信息进行OCR识别，相关发票信息收藏到员工的发票夹；</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3、支持领导移动端事项审批、借还款审批及费用报账审批；</w:t>
            </w:r>
            <w:r/>
          </w:p>
        </w:tc>
        <w:tc>
          <w:tcPr>
            <w:tcBorders>
              <w:top w:val="single" w:color="000000" w:sz="4" w:space="0"/>
              <w:left w:val="single" w:color="000000" w:sz="4" w:space="0"/>
              <w:bottom w:val="none" w:color="000000" w:sz="4" w:space="0"/>
              <w:right w:val="single" w:color="000000" w:sz="4" w:space="0"/>
            </w:tcBorders>
            <w:tcW w:w="69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项</w:t>
            </w:r>
            <w:r/>
          </w:p>
        </w:tc>
        <w:tc>
          <w:tcPr>
            <w:tcBorders>
              <w:top w:val="single" w:color="000000" w:sz="4" w:space="0"/>
              <w:left w:val="single" w:color="000000" w:sz="4" w:space="0"/>
              <w:bottom w:val="none" w:color="000000" w:sz="4" w:space="0"/>
              <w:right w:val="single" w:color="000000" w:sz="4" w:space="0"/>
            </w:tcBorders>
            <w:tcW w:w="69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w:t>
            </w:r>
            <w:r/>
          </w:p>
        </w:tc>
        <w:tc>
          <w:tcPr>
            <w:tcW w:w="236" w:type="dxa"/>
            <w:vAlign w:val="center"/>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4002"/>
        </w:trPr>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科室成本核算</w:t>
            </w:r>
            <w:r/>
          </w:p>
        </w:tc>
        <w:tc>
          <w:tcPr>
            <w:tcBorders>
              <w:top w:val="single" w:color="000000" w:sz="4" w:space="0"/>
              <w:left w:val="single" w:color="000000" w:sz="4" w:space="0"/>
              <w:bottom w:val="none" w:color="000000" w:sz="4" w:space="0"/>
              <w:right w:val="single" w:color="000000" w:sz="4" w:space="0"/>
            </w:tcBorders>
            <w:tcW w:w="5015" w:type="dxa"/>
            <w:vAlign w:val="center"/>
            <w:vMerge w:val="restart"/>
            <w:textDirection w:val="lrTb"/>
            <w:noWrap w:val="false"/>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基础数据维护</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支持收入数据一次采集，即可完成科室成本、项目成本、DRG/DIP成本一体化核算，确保数据同源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支持收入数据从HIS收费系统自动采集，按照收入日期、收入项目、开单科室、执行科室、收入金额等内容采集；收费数据可按天采集；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支持从源头系统自动采集成本，实现成本业务一体化采集科室成本；可以从工资系统、固定资产系统、物资管理系统、资金支出管控系统等业务系统自动化采集科室成本数据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4. 支持医疗业务收入按照设定的分配比例在开单科室和执行科室之间分配</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5. 支持单位上缴保险项自动计算功能</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6. 针对计算计入的成本项目（如：煤、水、电、气）消耗比较大的科室，支持按照“大用户”进行数据采集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7. 提供数据接口平台，实现外部成本数据、工作量数据、收入数据等成本核算相关数据的自动化采集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8. 支持数据质量评价，对业务数据进行质量控制和评价</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成本归集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支持成本归集数据、收入归集数据；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支持财务核算数据自动对账、平衡</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支持大用户的数据在成本归集的时归集到受益科室</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二次分配</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支持按照成本业务明细数据进行二次分配的模式；</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支持成本业务明细数据先归集到成本项目后，再将成本项目金额进行二次分配的模式</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核算模型</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支持成本分摊标准自定义，实现不同的成本项目可以采用不同的分摊标准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支持成本分摊方案建模设计，能够自行选择成本分摊顺序、，成本分摊标准、成本转移方式、摊出科室、摊出项目、摊入科室等，允许批量设置，允许设置排除条件定向分摊条件等</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支持按人数、按面积、按执行收入、按比例收入、按门诊诊次、按住院床日、按手术难度、按工作量等标准分摊成本</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4. 支持成本分摊标准自动取数与批量采集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5. 支持跨级分摊、平级分摊、定向分摊等多样化复杂的成本分摊方式</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分摊计算</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支持科室成本采用“三级四类分摊法”分摊，按照分项逐级分步结转的方式进行分摊，最终将所有科室间接成本分摊到临床服务类科室</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支持按照设定的成本分摊方案计算成本分摊结果</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支持对分摊的数据进行校验，确保分摊结果的准确性</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4. 支持按照成本核算方案，查询科室成本分摊结果，追溯成本分摊数据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成本预算</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支持工作量预测，其中门诊科室为 门急诊人次；住院科室为住院床日数；</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支持根据预测方案采用量利本、高低点、回归预测的预测方法对科室成本进行预测，并支持对预测结果的分析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支持科室的全成本预算数、直接成本预算数据的导入及录入</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成本考核</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支持绩效成本计算：可自定义设置纳入考核不同科室的成本项目及成本范围，计算绩效口径成本</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支持医疗业务收入按照设定的分配比例在开单科室和执行科室之间分配，即按照收费类别或者是收费项目设置开单、执行科室收入提取比例；支持选择纳入考核范围的收费项目范围设置；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支持按照二次分配后的收入及绩效成本口径下分析临床、医疗技术类科室收益情况</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▲成本报表</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满足《关于印发公立医院成本核算规范的通知》（国卫财务发〔2021〕4号）文件中要求的科室成本报表、诊次成本报表、床日成本报表。</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支持院级结余分析类报表，分析内容为全院收入、成本、结余的本期情况及同比、环比分析以及全院成本构成情况；</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院级结余分析类报表，分析内容为科室结余分析、科室收入构成分析、对比分析、趋势分析；科室成本结构分析、趋势分析、对比分析、构成趋势分析，并支持从成本项目、成本要素、成本类型维度看各科室占比情况以及从科室看成本项目、成本要素、成本类型、成本属性的构成情况等交叉维度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4. 支持综合类分析报表包括门诊工作量表、住院工作量表、次均费用分析表、人力、床位效率分析表、损益分析表等</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▲成本分析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支持全院、院区结余情况可视化图表分析，分析结余、结余率等指标，以及影响结余的收入和成本情况，反映医院整体结余情况</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支持全院、院区收入情况可视化图表分析，从收入角度进一步深入分析当前运营结果，聚焦影响收入的具体业务</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支持全院、院区成本情况可视化图表分析，通过成本趋势分析、结构分析、对比分析等分析方法分析医院成本现状，并支持进一步挖掘科室成本分析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4. 支持全院、院区工作量情况可视化图表分析，分析全院及科室整体的门诊住院工作量情况，以及工作量对科室收入的影响情况</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5. 支持全院、院区费用管控情况可视化图表分析，从次均费用分析患者负担情况，找到控费目标</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6. 支持全院、院区资源效率可视化图表分析，通过关键指标分析影响床位、人力资源效率的分析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7. 支持全院、院区材料资源消耗情况可视化图表分析，分析耗占比及耗材支出效率情况，并着重分析单收费材料的收入成本趋势，使用成本趋势分析、结构分析、对比分析等分析方法</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8. 支持全院、院区科室排名分析，通过多科室对比分析科室在医院的的综合影响力分析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9. 支持专科分析，面向科主任对单科室收益及关键指标详情分析成本监测</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成本监测</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支持生成国卫办财务函【2013】472号文件要求的《全国医疗服务价格和成本监测》平台所需提供的相关报表</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支持对于医疗服务项目频次、门诊工作量、住院工作量、医院各科室成本、医院一次性医用耗材等进行监测</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分析报告</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支持自定义科室分析报告设置；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支持根据分析报告模板自定义期间、成本级次以及科室体系生成或预览分析报告；</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支持对产出的分析报告进行查询和下载</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基础设置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可根据医院需求支持多套分析单元</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支持政策要求的标准科室设置，并能够建立与科室单元的对照关系</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支持科室成本分摊相关参数设置，包括：多院区模式启动设置、二次分配模式选择设置、分摊设置、定向关系自动继承、支持启用按人员考勤分配人力成本、收费数据是否启用按天管理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4. 支持成本核算所需要的字典设置：包括核算科室、技术职务、会计科目、分摊参数、资产卡片信息等字典</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5. 支持业务字典与成本项目转换的关系设置：包括与会计科目转换关系设置、物资分类、资产分类、药品分类转换关系的设置等</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6. 支持科室成本分摊前校验规则的校验级别设置</w:t>
            </w:r>
            <w:r/>
          </w:p>
        </w:tc>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项</w:t>
            </w:r>
            <w:r/>
          </w:p>
        </w:tc>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w:t>
            </w:r>
            <w:r/>
          </w:p>
        </w:tc>
        <w:tc>
          <w:tcPr>
            <w:tcW w:w="236" w:type="dxa"/>
            <w:vAlign w:val="center"/>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4002"/>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r>
            <w:r/>
          </w:p>
        </w:tc>
      </w:tr>
      <w:tr>
        <w:trPr>
          <w:trHeight w:val="4002"/>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4002"/>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4002"/>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4002"/>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4002"/>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1456"/>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5202"/>
        </w:trPr>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1284"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项目成本核算</w:t>
            </w:r>
            <w:r/>
          </w:p>
        </w:tc>
        <w:tc>
          <w:tcPr>
            <w:tcBorders>
              <w:top w:val="single" w:color="000000" w:sz="4" w:space="0"/>
              <w:left w:val="single" w:color="000000" w:sz="4" w:space="0"/>
              <w:bottom w:val="none" w:color="000000" w:sz="4" w:space="0"/>
              <w:right w:val="single" w:color="000000" w:sz="4" w:space="0"/>
            </w:tcBorders>
            <w:tcW w:w="5015" w:type="dxa"/>
            <w:vAlign w:val="center"/>
            <w:vMerge w:val="restart"/>
            <w:textDirection w:val="lrTb"/>
            <w:noWrap w:val="false"/>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基础数据维护</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支持通过接口方式从外部系统采集数据；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支持按照项目成本的核算单元对收入明细数据进行查看，包括：是否参与核算进行设置，对总收入、不纳入核算科室的总收入、核算科室不纳入核算的收入项目的收入、以及参与核算的项目收入进行统计</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支持对人力成本、物资成本、资产成本、其他成本、成本归集数据的查询</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4. 支持按月录入、EXECL导入和查询人员工时、科室人数、设备工时，维护作业工时分配、面积数据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核算模型</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支持多种核算方法模型设置，包括：作业成本法、估时作业成本法、比例系数法、当量法、RBRVS点值法，以及多种方法的整合应用。</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支持同一个核算方案下不同核算科室使用不同的核算方法模型</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支持作业成本法、估时作业成本法、比例系数法模型按照项目和资源两个维度填报作业模型，通过作业模型维护计算各个医疗服务项目的资源消耗</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4. 支持作业成本法、估时作业成本法按科室成本要素，分直接成本、管理分摊、医辅分摊三个维度设置资源动因和作业动因</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5. 支持作业成本法、估时作业成本法进行核算模型检查，即通过对人工配置模型、材料消耗模型及设备配置模型的评估，分析直接成本构成；间接成本通过对动因数据的对比分析，判断动因数据的合理性；</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6. 支持比例系数法按照多种参数设置间接成本比例</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7. 支持当量法设置项目当量值</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8. 支持协作模型维护，支持从协作管理角度计算医疗服务项目全成本和服务科室角度计算医疗服务项目成本。</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项目成本计算</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支持自定义项目成本核算的起止时间，可任意时间段，对方案所需要的动因数据的具体数据进行采集己成本数据计算</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支持科室级、院级项目成本计算，计算成功后发布支持项目成本核算数据查询，跟踪分析各个医疗服务项目的成本数据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作业成本法、比例系数法支持目标成本计算，即以项目成本的核算模型中的定额消耗为依据，不考虑实际消耗情况，计算各个医疗服务项目的成本</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4. 支持同一项目不同期间、不同科室的成本差异分析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▲成本报表</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支持查询2021年发布的《公立医院成本核算规范》中要求的报表</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支持项目成本收益分析，可查询院级、科室级成医疗服务项目本收益分析、盈亏数量分析及亏损项目分析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支持项目成本分析，可查询院级、科室级医疗服务项目成本趋势及对比分析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4. 支持项目成本结构分析，可查询科室级、院级医疗服务项目成本构成明细分析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5. 支持项目成本控制分析，可查询科室级、院级医疗服务项目按收入、工作量、收益排名分析，以及项目保本分析等</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▲成本分析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支持资源效率分析，对人员饱和度、设备使用率、物资使用率进行分析查询</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支持全院项目级成本可视化分析，对医院开展的医疗服务项目总量、盈利项目数据、亏损项目数据，以及各类项目的亏损幅度进行排名分析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支持院区级项目成本可视化分析，对比分析各院区的医疗服务项目总量、盈利项目数据、亏损项目数据，以及项目盈亏情况对比分析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4. 支持科室级项目成本可视化分析，对某一科室开展的医疗服务项目总量、盈利项目数据、亏损项目数据，以及各类项目的亏损幅度进行排名分析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5. 支持医疗服务项目保本可视化分析，对项目保本点及政策性亏损的项目进行分析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调价及补偿测算</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支持医疗服务项目补偿测算，提供按成本收费比测算、按政策性亏损测算两种测算方式；</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支持医疗服务项目调价测算，根据医疗服务价格申报模板，生成价格申报表；</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支持医疗服务项目价格测算，提供调价项目对项目、医院、科室、病种调价静态影响分析功能</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分析报告</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支持自定义项目成本分析报告设置；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支持根据分析报告模板自定义期间、成本级次生成或预览分析报告；</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支持对产出的分析报告进行查询和下载</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基础设置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支持项目成本分摊相关参数设置，包括：人员工资、物资、资产成本计算方式设置以及是否启用工作量和作业系数等设置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支持项目成本核算所需的相关字典设置，包括：核算科室、收费项目、成本项目、作业分类、作业字典、资源动因、作业动因、技术职务等字典</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支持项目成本涉及的相关字典对应关系设置，包括：项目成本核算科室与科室成本核算科室的对应关系、科室成本中收费项目关系中开单科室、执行科室转换为项目成本中、科室作业关系等设置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4. 支持标记直接计入项目设备、资产，方便作业模型填报</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5. 支持作业库初始化，即标准作业库信息初始化医院作业库功能以及维护医院字段与标准字典的映射关系功能</w:t>
            </w:r>
            <w:r/>
          </w:p>
        </w:tc>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项</w:t>
            </w:r>
            <w:r/>
          </w:p>
        </w:tc>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w:t>
            </w:r>
            <w:r/>
          </w:p>
        </w:tc>
        <w:tc>
          <w:tcPr>
            <w:tcW w:w="236" w:type="dxa"/>
            <w:vAlign w:val="center"/>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4002"/>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r>
            <w:r/>
          </w:p>
        </w:tc>
      </w:tr>
      <w:tr>
        <w:trPr>
          <w:trHeight w:val="4002"/>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4399"/>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4002"/>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4399"/>
        </w:trPr>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W w:w="1284"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DIP成本核算</w:t>
            </w:r>
            <w:r/>
          </w:p>
        </w:tc>
        <w:tc>
          <w:tcPr>
            <w:tcBorders>
              <w:top w:val="single" w:color="000000" w:sz="4" w:space="0"/>
              <w:left w:val="single" w:color="000000" w:sz="4" w:space="0"/>
              <w:bottom w:val="none" w:color="000000" w:sz="4" w:space="0"/>
              <w:right w:val="single" w:color="000000" w:sz="4" w:space="0"/>
            </w:tcBorders>
            <w:tcW w:w="5015" w:type="dxa"/>
            <w:vAlign w:val="center"/>
            <w:vMerge w:val="restart"/>
            <w:textDirection w:val="lrTb"/>
            <w:noWrap w:val="false"/>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基础数据维护</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支持通过接口方式从外部系统采集数据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支持维护DIP成本核算所需的病案首页数据、收费明细数据、病例分组情况、费用结算明细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支持对科室收治DIP病组信息进行采集维护</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成本计算</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支持自定义DIP成本核算的起止时间，可任意时间段</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支持科室级、院区级、院级DIP成本计算，计算成功后发布支持DIP成本核算数据查询，跟踪分析各个DIP成本数据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▲成本报表</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支持查询2021年发布的《公立医院成本核算规范》中要求的报表</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支持DIP成本全院、院区、科室的盈亏分析，包括病例数、入组情况、及盈亏整体情况</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支持全院、院区、科室的DIP成本收益分析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4. 支持全院、院区、科室的DIP成本的病例的盈亏情况以及DRG的病例数、病例成本、结余等趋势分析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5. 支持全院、院区、科室、责任医师的DIP成本对比分析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▲成本分析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支持病人DIP成本核算结果查询分析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支持科室DIP成本核算结果查询分析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支持院级DIP成本核算结果查询分析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分析报告</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支持自定义DIP成本分析报告设置；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支持根据分析报告模板自定义期间、成本级次生成或预览分析报告；</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支持对产出的分析报告进行查询和下载</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基础设置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 支持DIP成本核算相关的药品管理成本分摊依据设置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 支持启用多院区设置</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 支持维护加成率及DIP字典</w:t>
            </w:r>
            <w:r/>
          </w:p>
        </w:tc>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项</w:t>
            </w:r>
            <w:r/>
          </w:p>
        </w:tc>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w:t>
            </w:r>
            <w:r/>
          </w:p>
        </w:tc>
        <w:tc>
          <w:tcPr>
            <w:tcW w:w="236" w:type="dxa"/>
            <w:vAlign w:val="center"/>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4399"/>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r>
            <w:r/>
          </w:p>
        </w:tc>
      </w:tr>
      <w:tr>
        <w:trPr>
          <w:trHeight w:val="4002"/>
        </w:trPr>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W w:w="1284"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成本决策分析</w:t>
            </w:r>
            <w:r/>
          </w:p>
        </w:tc>
        <w:tc>
          <w:tcPr>
            <w:tcBorders>
              <w:top w:val="single" w:color="000000" w:sz="4" w:space="0"/>
              <w:left w:val="single" w:color="000000" w:sz="4" w:space="0"/>
              <w:bottom w:val="none" w:color="000000" w:sz="4" w:space="0"/>
              <w:right w:val="single" w:color="000000" w:sz="4" w:space="0"/>
            </w:tcBorders>
            <w:tcW w:w="5015" w:type="dxa"/>
            <w:vAlign w:val="center"/>
            <w:vMerge w:val="restart"/>
            <w:textDirection w:val="lrTb"/>
            <w:noWrap w:val="false"/>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成本决策分析面向院领导、管理人员、科室管理人员，掌握医院成本状况，及时采取管理措施优化日常临床操作。满足以上多角色、多主题的智能分析系统。</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1、经济运行分析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从科室的基本情况、医疗服务情况、医疗收入情况和全成本情况对医院、科室的经营进行分析。如：医护比、门急诊人次、住院人次、住院床日、人均收入、人均成本等。</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医疗运营：经营成本分析可反映不同类型成本的变化，成本的构成及变化趋势体现出成本控制的主要内容和方向。分析医院收入构成及占比情况。进行同比、环比对标分析，协助相关责任人更好的判断收入状况和变化走向。</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2、收入分析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从总合计、门诊和住院三个维度对医院、科室的医疗收入情况进行分析。收入（检验收入、检查收入、治疗收入、卫材收入、药品收入、诊察收入、手术收入等）构成分析，各收入类型占比及趋势分析、门诊收入占比及趋势分析、住院收入占比及趋势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3、成本分析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从医院整体方向对成本结构及重点监控等方面对成本进行分析。如：7类成本（人力成本、材料成本、药品成本、资产折旧、无形资产摊销、医疗风险基金、其他成本）结构、7类成本占比及趋势、人员支出占业务支出比例等</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4、工作量分析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分别从门诊就诊人次、住院人次、出院人次、实际占用床日、住院病人三四级手术台次、病房床位使用及科室服务的角度对服务情况进行分析。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5、控费分析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从门诊、病区两个维度分别分析科室的次均费用、次均药品、耗材费用构成，及变动趋势，科室次均费用同比增幅排名等；</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6、DIP成本分析</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提供DIP病组的数据分析，从院级、科室级、主诊医师级、DRG级分析病组的权重、病例数、平均住院日、平均成本、例均结余等数据；</w:t>
            </w:r>
            <w:r/>
          </w:p>
        </w:tc>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项</w:t>
            </w:r>
            <w:r/>
          </w:p>
        </w:tc>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w:t>
            </w:r>
            <w:r/>
          </w:p>
        </w:tc>
        <w:tc>
          <w:tcPr>
            <w:tcW w:w="236" w:type="dxa"/>
            <w:vAlign w:val="center"/>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4399"/>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5015"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r>
            <w:r/>
          </w:p>
        </w:tc>
      </w:tr>
      <w:tr>
        <w:trPr>
          <w:trHeight w:val="762"/>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对接第三方系统</w:t>
            </w:r>
            <w:r/>
          </w:p>
        </w:tc>
        <w:tc>
          <w:tcPr>
            <w:tcBorders>
              <w:top w:val="single" w:color="000000" w:sz="4" w:space="0"/>
              <w:left w:val="none" w:color="000000" w:sz="4" w:space="0"/>
              <w:bottom w:val="single" w:color="000000" w:sz="4" w:space="0"/>
              <w:right w:val="none" w:color="000000" w:sz="4" w:space="0"/>
            </w:tcBorders>
            <w:tcW w:w="5015"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对接内容</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W w:w="236" w:type="dxa"/>
            <w:vAlign w:val="center"/>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900"/>
        </w:trPr>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11</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HIS</w:t>
            </w:r>
            <w:r/>
          </w:p>
        </w:tc>
        <w:tc>
          <w:tcPr>
            <w:tcBorders>
              <w:top w:val="single" w:color="000000" w:sz="4" w:space="0"/>
              <w:left w:val="single" w:color="000000" w:sz="4" w:space="0"/>
              <w:bottom w:val="single" w:color="000000" w:sz="4" w:space="0"/>
              <w:right w:val="single" w:color="000000" w:sz="4" w:space="0"/>
            </w:tcBorders>
            <w:tcW w:w="5015" w:type="dxa"/>
            <w:vAlign w:val="center"/>
            <w:textDirection w:val="lrTb"/>
            <w:noWrap w:val="false"/>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门诊收费明细、住院收费明细；</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门诊接诊工作量、住院出入院工作量；</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收费项目类别、收费项目、HIS科室结构</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w:t>
            </w:r>
            <w:r/>
          </w:p>
        </w:tc>
        <w:tc>
          <w:tcPr>
            <w:tcW w:w="236" w:type="dxa"/>
            <w:vAlign w:val="center"/>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90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物流系统</w:t>
            </w:r>
            <w:r/>
          </w:p>
        </w:tc>
        <w:tc>
          <w:tcPr>
            <w:tcBorders>
              <w:top w:val="single" w:color="000000" w:sz="4" w:space="0"/>
              <w:left w:val="single" w:color="000000" w:sz="4" w:space="0"/>
              <w:bottom w:val="single" w:color="000000" w:sz="4" w:space="0"/>
              <w:right w:val="single" w:color="000000" w:sz="4" w:space="0"/>
            </w:tcBorders>
            <w:tcW w:w="5015" w:type="dxa"/>
            <w:vAlign w:val="center"/>
            <w:textDirection w:val="lrTb"/>
            <w:noWrap w:val="false"/>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自动凭证</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w:t>
            </w:r>
            <w:r/>
          </w:p>
        </w:tc>
        <w:tc>
          <w:tcPr>
            <w:tcW w:w="236" w:type="dxa"/>
            <w:vAlign w:val="center"/>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90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DIP分组器</w:t>
            </w:r>
            <w:r/>
          </w:p>
        </w:tc>
        <w:tc>
          <w:tcPr>
            <w:tcBorders>
              <w:top w:val="single" w:color="000000" w:sz="4" w:space="0"/>
              <w:left w:val="single" w:color="000000" w:sz="4" w:space="0"/>
              <w:bottom w:val="single" w:color="000000" w:sz="4" w:space="0"/>
              <w:right w:val="single" w:color="000000" w:sz="4" w:space="0"/>
            </w:tcBorders>
            <w:tcW w:w="5015" w:type="dxa"/>
            <w:vAlign w:val="center"/>
            <w:textDirection w:val="lrTb"/>
            <w:noWrap w:val="false"/>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病案首页（部分内容）；</w:t>
            </w:r>
            <w:r>
              <w:rPr>
                <w:rFonts w:hint="eastAsia" w:ascii="宋体" w:hAnsi="宋体" w:eastAsia="宋体" w:cs="宋体"/>
                <w:b w:val="0"/>
                <w:bCs/>
                <w:color w:val="000000"/>
                <w:sz w:val="24"/>
              </w:rPr>
              <w:br/>
            </w:r>
            <w:r>
              <w:rPr>
                <w:rFonts w:hint="eastAsia" w:ascii="宋体" w:hAnsi="宋体" w:eastAsia="宋体" w:cs="宋体"/>
                <w:b w:val="0"/>
                <w:bCs/>
                <w:color w:val="000000"/>
                <w:sz w:val="24"/>
              </w:rPr>
              <w:t xml:space="preserve">病例DIP分组结果；</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w:t>
            </w:r>
            <w:r/>
          </w:p>
        </w:tc>
        <w:tc>
          <w:tcPr>
            <w:tcW w:w="236" w:type="dxa"/>
            <w:vAlign w:val="center"/>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90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人事系统</w:t>
            </w:r>
            <w:r/>
          </w:p>
        </w:tc>
        <w:tc>
          <w:tcPr>
            <w:tcBorders>
              <w:top w:val="single" w:color="000000" w:sz="4" w:space="0"/>
              <w:left w:val="single" w:color="000000" w:sz="4" w:space="0"/>
              <w:bottom w:val="single" w:color="000000" w:sz="4" w:space="0"/>
              <w:right w:val="single" w:color="000000" w:sz="4" w:space="0"/>
            </w:tcBorders>
            <w:tcW w:w="5015"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人员基础信息</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w:t>
            </w:r>
            <w:r/>
          </w:p>
        </w:tc>
        <w:tc>
          <w:tcPr>
            <w:tcW w:w="236" w:type="dxa"/>
            <w:vAlign w:val="center"/>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r>
        <w:trPr>
          <w:trHeight w:val="90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薪酬系统或考勤系统</w:t>
            </w:r>
            <w:r/>
          </w:p>
        </w:tc>
        <w:tc>
          <w:tcPr>
            <w:tcBorders>
              <w:top w:val="single" w:color="000000" w:sz="4" w:space="0"/>
              <w:left w:val="single" w:color="000000" w:sz="4" w:space="0"/>
              <w:bottom w:val="single" w:color="000000" w:sz="4" w:space="0"/>
              <w:right w:val="single" w:color="000000" w:sz="4" w:space="0"/>
            </w:tcBorders>
            <w:tcW w:w="5015"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人员当期归属或出勤科室信息</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ind w:right="0"/>
              <w:jc w:val="both"/>
              <w:spacing w:before="0" w:after="0" w:line="85" w:lineRule="atLeas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w:t>
            </w:r>
            <w:r/>
          </w:p>
        </w:tc>
        <w:tc>
          <w:tcPr>
            <w:tcW w:w="236" w:type="dxa"/>
            <w:vAlign w:val="center"/>
            <w:textDirection w:val="lrTb"/>
            <w:noWrap w:val="false"/>
          </w:tcPr>
          <w:p>
            <w:pPr>
              <w:ind w:right="0"/>
              <w:jc w:val="both"/>
              <w:spacing w:before="0" w:after="0" w:line="85" w:lineRule="atLeast"/>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r>
            <w:r/>
          </w:p>
        </w:tc>
      </w:tr>
    </w:tbl>
    <w:p>
      <w:pPr>
        <w:ind w:right="0"/>
        <w:jc w:val="both"/>
        <w:spacing w:before="0" w:after="0" w:line="85"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4.无缝对接、平滑实施、业务不中断、数据不丢失</w:t>
      </w:r>
      <w:r/>
    </w:p>
    <w:p>
      <w:pPr>
        <w:ind w:right="0"/>
        <w:jc w:val="both"/>
        <w:spacing w:before="0" w:after="0" w:line="85"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本项目所有建设内容必须保障系统无缝对接，不影响甲方正常业务开展。如需重建系统须保证原系统数据完整迁移至新系统。如涉及接口开发（例如HIS系统、物流系统等），不得额外收取费用。（提供承诺函并加盖投标人公章，未提供作废标处理）</w:t>
      </w:r>
      <w:r/>
    </w:p>
    <w:p>
      <w:pPr>
        <w:ind w:right="0"/>
        <w:jc w:val="both"/>
        <w:spacing w:before="0" w:after="0" w:line="85"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5.安全要求</w:t>
      </w:r>
      <w:r/>
    </w:p>
    <w:p>
      <w:pPr>
        <w:ind w:right="0"/>
        <w:jc w:val="both"/>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本项目所有建设内容必须达到等保三级要求。（提供承诺函并加盖投标人公章，未提供作废标处理）</w:t>
      </w:r>
      <w:r/>
    </w:p>
    <w:p>
      <w:pPr>
        <w:ind w:right="0"/>
        <w:jc w:val="both"/>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6</w:t>
      </w:r>
      <w:r>
        <w:rPr>
          <w:rFonts w:ascii="宋体" w:hAnsi="宋体" w:eastAsia="宋体" w:cs="宋体"/>
          <w:b/>
          <w:color w:val="000000"/>
          <w:sz w:val="24"/>
        </w:rPr>
        <w:t xml:space="preserve">.</w:t>
      </w:r>
      <w:r>
        <w:rPr>
          <w:rFonts w:hint="eastAsia" w:ascii="宋体" w:hAnsi="宋体" w:eastAsia="宋体" w:cs="宋体"/>
          <w:b/>
          <w:color w:val="000000"/>
          <w:sz w:val="24"/>
        </w:rPr>
        <w:t xml:space="preserve"> 投标人须对照医院目前在用、在建系统情况进行充分认真评估后，慎重投标。本项目建设不得造成医院业务中断。供应商中标后对现有软件系统、硬件平台性能和容量等提出技术或商务上的异议将不被采购人采纳，因此造成的进度、费用上的一切损失由本项目供应商承担。（提供承诺函并加盖投标人公章，未提供作废标处理）</w:t>
      </w:r>
      <w:r/>
    </w:p>
    <w:p>
      <w:pPr>
        <w:ind w:right="0"/>
        <w:jc w:val="both"/>
        <w:spacing w:before="0" w:after="0" w:line="85"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7</w:t>
      </w:r>
      <w:r>
        <w:rPr>
          <w:rFonts w:ascii="宋体" w:hAnsi="宋体" w:eastAsia="宋体" w:cs="宋体"/>
          <w:b/>
          <w:color w:val="000000"/>
          <w:sz w:val="24"/>
        </w:rPr>
        <w:t xml:space="preserve">.</w:t>
      </w:r>
      <w:r>
        <w:rPr>
          <w:rFonts w:hint="eastAsia" w:ascii="宋体" w:hAnsi="宋体" w:eastAsia="宋体" w:cs="宋体"/>
          <w:b/>
          <w:color w:val="000000"/>
          <w:sz w:val="24"/>
        </w:rPr>
        <w:t xml:space="preserve"> 为保障医院运营数据的连续性和完整性，中标厂商需承诺将医院原有的基础资料、会计核算系统、合同管理系统、预算管理系统和科室成本核算管理系统的历史数据迁移到新的HRP系统中，满足历史数据查询的需求。（提供承诺函并加盖投标人公章，未提供作废标处理）</w:t>
      </w:r>
      <w:r/>
    </w:p>
    <w:p>
      <w:pPr>
        <w:ind w:right="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8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注：本项目要落实《江苏省财政厅关于加强政府绿色采购有关事项的通知》（苏财购〔2023〕65号）要求，具体如下：</w:t>
      </w:r>
      <w:r/>
    </w:p>
    <w:p>
      <w:pPr>
        <w:ind w:left="0" w:right="0" w:firstLine="482"/>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中标人对商品的包装应按照“财办库〔2020〕123号《关于印发《商品包装政府采购需求标准（试行）》、《快递包装政府采购需求标准（试行）》的通知》”执行。涉及设备运维参考《绿色数据中心政府采购需求标准（试行）》（财库【2023】7号文）执行。中标人在供货、安装过程中能到做到低碳物流、环保节约、提高资源利用率。</w:t>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第五章</w:t>
      </w:r>
      <w:r>
        <w:rPr>
          <w:rFonts w:ascii="黑体" w:hAnsi="黑体" w:eastAsia="黑体" w:cs="黑体"/>
          <w:b/>
          <w:color w:val="000000"/>
          <w:sz w:val="44"/>
        </w:rPr>
        <w:t xml:space="preserve">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3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采用综合评分法，评标结果按评审后得分由高到低顺序排列。得分相同的，按投标报价由低到高顺序排列。</w:t>
      </w:r>
      <w:r>
        <w:rPr>
          <w:rFonts w:ascii="宋体" w:hAnsi="宋体" w:eastAsia="宋体" w:cs="宋体"/>
          <w:color w:val="000000"/>
          <w:sz w:val="24"/>
          <w:highlight w:val="none"/>
        </w:rPr>
        <w:t xml:space="preserve">得分且投标报价相同的并列</w:t>
      </w:r>
      <w:r>
        <w:rPr>
          <w:rFonts w:hint="eastAsia" w:ascii="宋体" w:hAnsi="宋体" w:cs="宋体"/>
          <w:color w:val="000000"/>
          <w:sz w:val="24"/>
          <w:highlight w:val="none"/>
          <w:lang w:val="en-US" w:eastAsia="zh-CN"/>
        </w:rPr>
        <w:t xml:space="preserve">由甲方抽签确定</w:t>
      </w:r>
      <w:r>
        <w:rPr>
          <w:rFonts w:ascii="宋体" w:hAnsi="宋体" w:eastAsia="宋体" w:cs="宋体"/>
          <w:color w:val="000000"/>
          <w:sz w:val="24"/>
          <w:highlight w:val="none"/>
        </w:rPr>
        <w:t xml:space="preserve">。投标文件</w:t>
      </w:r>
      <w:r>
        <w:rPr>
          <w:rFonts w:ascii="宋体" w:hAnsi="宋体" w:eastAsia="宋体" w:cs="宋体"/>
          <w:color w:val="000000"/>
          <w:sz w:val="24"/>
        </w:rPr>
        <w:t xml:space="preserve">满足招标文件全部实质性要求，且按照评审因素的量化指标评审得分最高的投标人为中标候选人。本项目选取</w:t>
      </w:r>
      <w:r>
        <w:rPr>
          <w:rFonts w:ascii="Arial" w:hAnsi="Arial" w:eastAsia="Arial" w:cs="Arial"/>
          <w:color w:val="000000"/>
          <w:sz w:val="24"/>
        </w:rPr>
        <w:t xml:space="preserve">1</w:t>
      </w:r>
      <w:r>
        <w:rPr>
          <w:rFonts w:ascii="宋体" w:hAnsi="宋体" w:eastAsia="宋体" w:cs="宋体"/>
          <w:color w:val="000000"/>
          <w:sz w:val="24"/>
        </w:rPr>
        <w:t xml:space="preserve">名中标候选人。</w:t>
      </w:r>
      <w:r/>
    </w:p>
    <w:tbl>
      <w:tblPr>
        <w:tblStyle w:val="651"/>
        <w:tblW w:w="526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19"/>
        <w:gridCol w:w="1437"/>
        <w:gridCol w:w="6838"/>
        <w:gridCol w:w="772"/>
      </w:tblGrid>
      <w:tr>
        <w:trPr>
          <w:jc w:val="center"/>
          <w:trHeight w:val="335"/>
        </w:trPr>
        <w:tc>
          <w:tcPr>
            <w:tcW w:w="588" w:type="dxa"/>
            <w:vAlign w:val="center"/>
            <w:textDirection w:val="lrTb"/>
            <w:noWrap w:val="false"/>
          </w:tcPr>
          <w:p>
            <w:r>
              <w:rPr>
                <w:rFonts w:hint="eastAsia"/>
              </w:rPr>
              <w:t xml:space="preserve">序号</w:t>
            </w:r>
            <w:r/>
          </w:p>
        </w:tc>
        <w:tc>
          <w:tcPr>
            <w:tcW w:w="1366" w:type="dxa"/>
            <w:vAlign w:val="center"/>
            <w:textDirection w:val="lrTb"/>
            <w:noWrap w:val="false"/>
          </w:tcPr>
          <w:p>
            <w:r>
              <w:rPr>
                <w:rFonts w:hint="eastAsia"/>
              </w:rPr>
              <w:t xml:space="preserve">评分内容</w:t>
            </w:r>
            <w:r/>
          </w:p>
        </w:tc>
        <w:tc>
          <w:tcPr>
            <w:tcW w:w="6501" w:type="dxa"/>
            <w:vAlign w:val="center"/>
            <w:textDirection w:val="lrTb"/>
            <w:noWrap w:val="false"/>
          </w:tcPr>
          <w:p>
            <w:r>
              <w:rPr>
                <w:rFonts w:hint="eastAsia"/>
              </w:rPr>
              <w:t xml:space="preserve">细则</w:t>
            </w:r>
            <w:r/>
          </w:p>
        </w:tc>
        <w:tc>
          <w:tcPr>
            <w:tcW w:w="734" w:type="dxa"/>
            <w:vAlign w:val="center"/>
            <w:textDirection w:val="lrTb"/>
            <w:noWrap w:val="false"/>
          </w:tcPr>
          <w:p>
            <w:r>
              <w:rPr>
                <w:rFonts w:hint="eastAsia"/>
              </w:rPr>
              <w:t xml:space="preserve">分值</w:t>
            </w:r>
            <w:r/>
          </w:p>
        </w:tc>
      </w:tr>
      <w:tr>
        <w:trPr>
          <w:jc w:val="center"/>
          <w:trHeight w:val="335"/>
        </w:trPr>
        <w:tc>
          <w:tcPr>
            <w:tcW w:w="588" w:type="dxa"/>
            <w:vAlign w:val="center"/>
            <w:textDirection w:val="lrTb"/>
            <w:noWrap w:val="false"/>
          </w:tcPr>
          <w:p>
            <w:r>
              <w:rPr>
                <w:rFonts w:hint="eastAsia"/>
              </w:rPr>
              <w:t xml:space="preserve">1</w:t>
            </w:r>
            <w:r/>
          </w:p>
        </w:tc>
        <w:tc>
          <w:tcPr>
            <w:tcW w:w="1366" w:type="dxa"/>
            <w:vAlign w:val="center"/>
            <w:textDirection w:val="lrTb"/>
            <w:noWrap w:val="false"/>
          </w:tcPr>
          <w:p>
            <w:r>
              <w:rPr>
                <w:rFonts w:hint="eastAsia"/>
              </w:rPr>
              <w:t xml:space="preserve">价格</w:t>
            </w:r>
            <w:r/>
          </w:p>
          <w:p>
            <w:r>
              <w:rPr>
                <w:rFonts w:hint="eastAsia"/>
              </w:rPr>
              <w:t xml:space="preserve">（</w:t>
            </w:r>
            <w:r>
              <w:rPr>
                <w:rFonts w:hint="eastAsia"/>
                <w:lang w:val="en-US" w:eastAsia="zh-CN"/>
              </w:rPr>
              <w:t xml:space="preserve">3</w:t>
            </w:r>
            <w:r>
              <w:rPr>
                <w:rFonts w:hint="eastAsia"/>
              </w:rPr>
              <w:t xml:space="preserve">0分）</w:t>
            </w:r>
            <w:r/>
          </w:p>
        </w:tc>
        <w:tc>
          <w:tcPr>
            <w:tcW w:w="6501" w:type="dxa"/>
            <w:vAlign w:val="center"/>
            <w:textDirection w:val="lrTb"/>
            <w:noWrap w:val="false"/>
          </w:tcPr>
          <w:p>
            <w:r>
              <w:rPr>
                <w:rFonts w:hint="eastAsia"/>
              </w:rPr>
              <w:t xml:space="preserve">采用低价优先法计算，即满足招标文件要求且投标价格最低的投标报价为评标基准价，其价格分为满分。其他投标人的价格分按照下列公式计算（小数点保留一位）：投标报价得分＝（评分基准价/投标报价）×</w:t>
            </w:r>
            <w:r>
              <w:rPr>
                <w:rFonts w:hint="eastAsia"/>
                <w:lang w:val="en-US" w:eastAsia="zh-CN"/>
              </w:rPr>
              <w:t xml:space="preserve">3</w:t>
            </w:r>
            <w:r>
              <w:rPr>
                <w:rFonts w:hint="eastAsia"/>
              </w:rPr>
              <w:t xml:space="preserve">0。</w:t>
            </w:r>
            <w:r/>
          </w:p>
        </w:tc>
        <w:tc>
          <w:tcPr>
            <w:tcW w:w="734" w:type="dxa"/>
            <w:vAlign w:val="center"/>
            <w:textDirection w:val="lrTb"/>
            <w:noWrap w:val="false"/>
          </w:tcPr>
          <w:p>
            <w:r>
              <w:rPr>
                <w:rFonts w:hint="eastAsia"/>
                <w:lang w:val="en-US" w:eastAsia="zh-CN"/>
              </w:rPr>
              <w:t xml:space="preserve">3</w:t>
            </w:r>
            <w:r>
              <w:rPr>
                <w:rFonts w:hint="eastAsia"/>
              </w:rPr>
              <w:t xml:space="preserve">0</w:t>
            </w:r>
            <w:r/>
          </w:p>
        </w:tc>
      </w:tr>
      <w:tr>
        <w:trPr>
          <w:jc w:val="center"/>
          <w:trHeight w:val="335"/>
        </w:trPr>
        <w:tc>
          <w:tcPr>
            <w:tcW w:w="588" w:type="dxa"/>
            <w:vAlign w:val="center"/>
            <w:textDirection w:val="lrTb"/>
            <w:noWrap w:val="false"/>
          </w:tcPr>
          <w:p>
            <w:r>
              <w:rPr>
                <w:rFonts w:hint="eastAsia"/>
              </w:rPr>
              <w:t xml:space="preserve">2</w:t>
            </w:r>
            <w:r/>
          </w:p>
        </w:tc>
        <w:tc>
          <w:tcPr>
            <w:tcW w:w="1366" w:type="dxa"/>
            <w:vAlign w:val="center"/>
            <w:textDirection w:val="lrTb"/>
            <w:noWrap w:val="false"/>
          </w:tcPr>
          <w:p>
            <w:r>
              <w:rPr>
                <w:rFonts w:hint="eastAsia"/>
              </w:rPr>
              <w:t xml:space="preserve">技术参数（</w:t>
            </w:r>
            <w:r>
              <w:rPr>
                <w:rFonts w:hint="eastAsia"/>
                <w:lang w:val="en-US" w:eastAsia="zh-CN"/>
              </w:rPr>
              <w:t xml:space="preserve">20</w:t>
            </w:r>
            <w:r>
              <w:rPr>
                <w:rFonts w:hint="eastAsia"/>
              </w:rPr>
              <w:t xml:space="preserve">分）</w:t>
            </w:r>
            <w:r/>
          </w:p>
        </w:tc>
        <w:tc>
          <w:tcPr>
            <w:tcW w:w="6501" w:type="dxa"/>
            <w:vAlign w:val="center"/>
            <w:textDirection w:val="lrTb"/>
            <w:noWrap w:val="false"/>
          </w:tcPr>
          <w:p>
            <w:r>
              <w:rPr>
                <w:rFonts w:hint="eastAsia"/>
              </w:rPr>
              <w:t xml:space="preserve">投标人须针对招标文件中设备清单所有技术标淮和要求，结合自身实际，编制详细的技术规格响应偏离表。评委根据投标文件内容进行评分：</w:t>
            </w:r>
            <w:r/>
          </w:p>
          <w:p>
            <w:r>
              <w:rPr>
                <w:rFonts w:hint="eastAsia"/>
              </w:rPr>
              <w:t xml:space="preserve">（</w:t>
            </w:r>
            <w:r>
              <w:t xml:space="preserve">1）招标文件 “</w:t>
            </w:r>
            <w:r>
              <w:rPr>
                <w:rFonts w:hint="eastAsia"/>
              </w:rPr>
              <w:t xml:space="preserve">采购需求</w:t>
            </w:r>
            <w:r>
              <w:t xml:space="preserve">”中</w:t>
            </w:r>
            <w:r>
              <w:rPr>
                <w:rFonts w:hint="eastAsia"/>
              </w:rPr>
              <w:t xml:space="preserve">标注</w:t>
            </w:r>
            <w:r>
              <w:t xml:space="preserve"> “</w:t>
            </w:r>
            <w:r>
              <w:rPr>
                <w:rFonts w:hint="eastAsia" w:ascii="微软雅黑" w:hAnsi="微软雅黑" w:cs="微软雅黑"/>
                <w:szCs w:val="21"/>
              </w:rPr>
              <w:t xml:space="preserve">▲</w:t>
            </w:r>
            <w:r>
              <w:t xml:space="preserve">”的内容出现负偏离的，有一项扣2分，扣完为止。</w:t>
            </w:r>
            <w:r/>
          </w:p>
          <w:p>
            <w:pPr>
              <w:rPr>
                <w:rFonts w:hint="eastAsia"/>
              </w:rPr>
            </w:pPr>
            <w:r>
              <w:rPr>
                <w:rFonts w:hint="eastAsia"/>
              </w:rPr>
              <w:t xml:space="preserve">（</w:t>
            </w:r>
            <w:r>
              <w:t xml:space="preserve">2）招标文件“</w:t>
            </w:r>
            <w:r>
              <w:rPr>
                <w:rFonts w:hint="eastAsia"/>
              </w:rPr>
              <w:t xml:space="preserve">采购需求</w:t>
            </w:r>
            <w:r>
              <w:t xml:space="preserve">”中未</w:t>
            </w:r>
            <w:r>
              <w:rPr>
                <w:rFonts w:hint="eastAsia"/>
              </w:rPr>
              <w:t xml:space="preserve">标注</w:t>
            </w:r>
            <w:r>
              <w:t xml:space="preserve">“</w:t>
            </w:r>
            <w:r>
              <w:rPr>
                <w:rFonts w:hint="eastAsia" w:ascii="微软雅黑" w:hAnsi="微软雅黑" w:cs="微软雅黑"/>
                <w:szCs w:val="21"/>
              </w:rPr>
              <w:t xml:space="preserve">▲</w:t>
            </w:r>
            <w:r>
              <w:t xml:space="preserve">”的内容出现负偏离的，有一项扣</w:t>
            </w:r>
            <w:r>
              <w:rPr>
                <w:rFonts w:hint="eastAsia"/>
              </w:rPr>
              <w:t xml:space="preserve">1</w:t>
            </w:r>
            <w:r>
              <w:t xml:space="preserve">分，扣完为止。</w:t>
            </w:r>
            <w:r/>
          </w:p>
          <w:p>
            <w:pPr>
              <w:rPr>
                <w:rFonts w:hint="eastAsia"/>
              </w:rPr>
            </w:pPr>
            <w:r>
              <w:rPr>
                <w:rFonts w:hint="eastAsia"/>
              </w:rPr>
              <w:t xml:space="preserve">注：标注</w:t>
            </w:r>
            <w:r>
              <w:rPr>
                <w:rFonts w:hint="eastAsia" w:ascii="宋体" w:hAnsi="宋体" w:cs="宋体"/>
                <w:szCs w:val="21"/>
              </w:rPr>
              <w:t xml:space="preserve">▲的参数，须提供产品功能截图</w:t>
            </w:r>
            <w:r>
              <w:rPr>
                <w:rFonts w:hint="eastAsia" w:ascii="宋体" w:hAnsi="宋体" w:cs="宋体"/>
                <w:szCs w:val="21"/>
                <w:lang w:eastAsia="zh-CN"/>
              </w:rPr>
              <w:t xml:space="preserve">加盖投标人公章，</w:t>
            </w:r>
            <w:bookmarkStart w:id="8" w:name="_GoBack"/>
            <w:r/>
            <w:bookmarkEnd w:id="8"/>
            <w:r>
              <w:rPr>
                <w:rFonts w:hint="eastAsia" w:ascii="宋体" w:hAnsi="宋体" w:cs="宋体"/>
                <w:szCs w:val="21"/>
                <w:lang w:eastAsia="zh-CN"/>
              </w:rPr>
              <w:t xml:space="preserve">否则</w:t>
            </w:r>
            <w:r>
              <w:rPr>
                <w:rFonts w:hint="eastAsia"/>
              </w:rPr>
              <w:t xml:space="preserve">视作负偏离</w:t>
            </w:r>
            <w:r>
              <w:rPr>
                <w:rFonts w:hint="eastAsia" w:ascii="宋体" w:hAnsi="宋体" w:cs="宋体"/>
                <w:szCs w:val="21"/>
              </w:rPr>
              <w:t xml:space="preserve">。</w:t>
            </w:r>
            <w:r/>
          </w:p>
        </w:tc>
        <w:tc>
          <w:tcPr>
            <w:tcW w:w="734" w:type="dxa"/>
            <w:vAlign w:val="center"/>
            <w:textDirection w:val="lrTb"/>
            <w:noWrap w:val="false"/>
          </w:tcPr>
          <w:p>
            <w:pPr>
              <w:rPr>
                <w:rFonts w:hint="default" w:eastAsia="宋体"/>
                <w:lang w:val="en-US" w:eastAsia="zh-CN"/>
              </w:rPr>
            </w:pPr>
            <w:r>
              <w:rPr>
                <w:rFonts w:hint="eastAsia"/>
                <w:lang w:val="en-US" w:eastAsia="zh-CN"/>
              </w:rPr>
              <w:t xml:space="preserve">20</w:t>
            </w:r>
            <w:r/>
          </w:p>
        </w:tc>
      </w:tr>
      <w:tr>
        <w:trPr>
          <w:jc w:val="center"/>
          <w:trHeight w:val="335"/>
        </w:trPr>
        <w:tc>
          <w:tcPr>
            <w:tcW w:w="588" w:type="dxa"/>
            <w:vAlign w:val="center"/>
            <w:textDirection w:val="lrTb"/>
            <w:noWrap w:val="false"/>
          </w:tcPr>
          <w:p>
            <w:r>
              <w:rPr>
                <w:rFonts w:hint="eastAsia"/>
              </w:rPr>
              <w:t xml:space="preserve">3</w:t>
            </w:r>
            <w:r/>
          </w:p>
        </w:tc>
        <w:tc>
          <w:tcPr>
            <w:tcW w:w="1366" w:type="dxa"/>
            <w:vAlign w:val="center"/>
            <w:textDirection w:val="lrTb"/>
            <w:noWrap w:val="false"/>
          </w:tcPr>
          <w:p>
            <w:r>
              <w:rPr>
                <w:rFonts w:hint="eastAsia"/>
              </w:rPr>
              <w:t xml:space="preserve">技术方案（</w:t>
            </w:r>
            <w:r>
              <w:rPr>
                <w:rFonts w:hint="eastAsia"/>
                <w:lang w:val="en-US" w:eastAsia="zh-CN"/>
              </w:rPr>
              <w:t xml:space="preserve">20</w:t>
            </w:r>
            <w:r>
              <w:rPr>
                <w:rFonts w:hint="eastAsia"/>
              </w:rPr>
              <w:t xml:space="preserve">分）</w:t>
            </w:r>
            <w:r/>
          </w:p>
        </w:tc>
        <w:tc>
          <w:tcPr>
            <w:tcW w:w="6501" w:type="dxa"/>
            <w:vAlign w:val="center"/>
            <w:textDirection w:val="lrTb"/>
            <w:noWrap w:val="false"/>
          </w:tcPr>
          <w:p>
            <w:r>
              <w:rPr>
                <w:rFonts w:hint="eastAsia"/>
              </w:rPr>
              <w:t xml:space="preserve">评委会根据投标人提供的项目实施方案从全面性、完整性、可靠性等方面酌情评分，方案至少应具备下列要求，如无重大偏差，每项评分应不少于该项分值的60%，未提供分项方案或者经三分之二评审小组认定分项方案存在重大偏差的该分项不得分。</w:t>
            </w:r>
            <w:r/>
          </w:p>
          <w:p>
            <w:r>
              <w:rPr>
                <w:rFonts w:hint="eastAsia"/>
              </w:rPr>
              <w:t xml:space="preserve">（1）施工计划方案；（</w:t>
            </w:r>
            <w:r>
              <w:rPr>
                <w:rFonts w:hint="eastAsia"/>
                <w:lang w:val="en-US" w:eastAsia="zh-CN"/>
              </w:rPr>
              <w:t xml:space="preserve">3</w:t>
            </w:r>
            <w:r>
              <w:rPr>
                <w:rFonts w:hint="eastAsia"/>
              </w:rPr>
              <w:t xml:space="preserve">分） </w:t>
            </w:r>
            <w:r/>
          </w:p>
          <w:p>
            <w:r>
              <w:rPr>
                <w:rFonts w:hint="eastAsia"/>
              </w:rPr>
              <w:t xml:space="preserve">（2）施工进度方案；（</w:t>
            </w:r>
            <w:r>
              <w:rPr>
                <w:rFonts w:hint="eastAsia"/>
                <w:lang w:val="en-US" w:eastAsia="zh-CN"/>
              </w:rPr>
              <w:t xml:space="preserve">3</w:t>
            </w:r>
            <w:r>
              <w:rPr>
                <w:rFonts w:hint="eastAsia"/>
              </w:rPr>
              <w:t xml:space="preserve">分） </w:t>
            </w:r>
            <w:r/>
          </w:p>
          <w:p>
            <w:r>
              <w:rPr>
                <w:rFonts w:hint="eastAsia"/>
              </w:rPr>
              <w:t xml:space="preserve">（3）服务内容；（</w:t>
            </w:r>
            <w:r>
              <w:rPr>
                <w:rFonts w:hint="eastAsia"/>
                <w:lang w:val="en-US" w:eastAsia="zh-CN"/>
              </w:rPr>
              <w:t xml:space="preserve">5</w:t>
            </w:r>
            <w:r>
              <w:rPr>
                <w:rFonts w:hint="eastAsia"/>
              </w:rPr>
              <w:t xml:space="preserve">分）</w:t>
            </w:r>
            <w:r/>
          </w:p>
          <w:p>
            <w:r>
              <w:rPr>
                <w:rFonts w:hint="eastAsia"/>
              </w:rPr>
              <w:t xml:space="preserve">（4）服务体系；（</w:t>
            </w:r>
            <w:r>
              <w:rPr>
                <w:rFonts w:hint="eastAsia"/>
                <w:lang w:val="en-US" w:eastAsia="zh-CN"/>
              </w:rPr>
              <w:t xml:space="preserve">3</w:t>
            </w:r>
            <w:r>
              <w:rPr>
                <w:rFonts w:hint="eastAsia"/>
              </w:rPr>
              <w:t xml:space="preserve">分） </w:t>
            </w:r>
            <w:r/>
          </w:p>
          <w:p>
            <w:r>
              <w:rPr>
                <w:rFonts w:hint="eastAsia"/>
              </w:rPr>
              <w:t xml:space="preserve">（5）保障措施方案；（</w:t>
            </w:r>
            <w:r>
              <w:rPr>
                <w:rFonts w:hint="eastAsia"/>
                <w:lang w:val="en-US" w:eastAsia="zh-CN"/>
              </w:rPr>
              <w:t xml:space="preserve">3</w:t>
            </w:r>
            <w:r>
              <w:rPr>
                <w:rFonts w:hint="eastAsia"/>
              </w:rPr>
              <w:t xml:space="preserve">分）</w:t>
            </w:r>
            <w:r/>
          </w:p>
          <w:p>
            <w:pPr>
              <w:rPr>
                <w:rFonts w:hint="eastAsia"/>
              </w:rPr>
            </w:pPr>
            <w:r>
              <w:rPr>
                <w:rFonts w:hint="eastAsia"/>
              </w:rPr>
              <w:t xml:space="preserve">（6）应急保证措施；（</w:t>
            </w:r>
            <w:r>
              <w:rPr>
                <w:rFonts w:hint="eastAsia"/>
                <w:lang w:val="en-US" w:eastAsia="zh-CN"/>
              </w:rPr>
              <w:t xml:space="preserve">3</w:t>
            </w:r>
            <w:r>
              <w:rPr>
                <w:rFonts w:hint="eastAsia"/>
              </w:rPr>
              <w:t xml:space="preserve">分）</w:t>
            </w:r>
            <w:r/>
          </w:p>
        </w:tc>
        <w:tc>
          <w:tcPr>
            <w:tcW w:w="734" w:type="dxa"/>
            <w:vAlign w:val="center"/>
            <w:textDirection w:val="lrTb"/>
            <w:noWrap w:val="false"/>
          </w:tcPr>
          <w:p>
            <w:pPr>
              <w:rPr>
                <w:rFonts w:hint="default" w:eastAsia="宋体"/>
                <w:lang w:val="en-US" w:eastAsia="zh-CN"/>
              </w:rPr>
            </w:pPr>
            <w:r>
              <w:rPr>
                <w:rFonts w:hint="eastAsia"/>
                <w:lang w:val="en-US" w:eastAsia="zh-CN"/>
              </w:rPr>
              <w:t xml:space="preserve">20</w:t>
            </w:r>
            <w:r/>
          </w:p>
        </w:tc>
      </w:tr>
      <w:tr>
        <w:trPr>
          <w:jc w:val="center"/>
          <w:trHeight w:val="335"/>
        </w:trPr>
        <w:tc>
          <w:tcPr>
            <w:tcW w:w="588" w:type="dxa"/>
            <w:vAlign w:val="center"/>
            <w:textDirection w:val="lrTb"/>
            <w:noWrap w:val="false"/>
          </w:tcPr>
          <w:p>
            <w:r>
              <w:rPr>
                <w:rFonts w:hint="eastAsia"/>
              </w:rPr>
              <w:t xml:space="preserve">3</w:t>
            </w:r>
            <w:r/>
          </w:p>
        </w:tc>
        <w:tc>
          <w:tcPr>
            <w:tcW w:w="1366" w:type="dxa"/>
            <w:vAlign w:val="center"/>
            <w:textDirection w:val="lrTb"/>
            <w:noWrap w:val="false"/>
          </w:tcPr>
          <w:p>
            <w:r>
              <w:rPr>
                <w:rFonts w:hint="eastAsia"/>
              </w:rPr>
              <w:t xml:space="preserve">综合实力（</w:t>
            </w:r>
            <w:r>
              <w:t xml:space="preserve">17</w:t>
            </w:r>
            <w:r>
              <w:rPr>
                <w:rFonts w:hint="eastAsia"/>
              </w:rPr>
              <w:t xml:space="preserve">分）</w:t>
            </w:r>
            <w:r/>
          </w:p>
        </w:tc>
        <w:tc>
          <w:tcPr>
            <w:tcW w:w="6501" w:type="dxa"/>
            <w:vAlign w:val="center"/>
            <w:textDirection w:val="lrTb"/>
            <w:noWrap w:val="false"/>
          </w:tcPr>
          <w:p>
            <w:r>
              <w:rPr>
                <w:rFonts w:hint="eastAsia"/>
              </w:rPr>
              <w:t xml:space="preserve">（1）投标人具有I</w:t>
            </w:r>
            <w:r>
              <w:t xml:space="preserve">SO2000</w:t>
            </w:r>
            <w:r>
              <w:rPr>
                <w:rFonts w:hint="eastAsia"/>
              </w:rPr>
              <w:t xml:space="preserve">信息技术服务管理体系认证证书、I</w:t>
            </w:r>
            <w:r>
              <w:t xml:space="preserve">SO14001</w:t>
            </w:r>
            <w:r>
              <w:rPr>
                <w:rFonts w:hint="eastAsia"/>
              </w:rPr>
              <w:t xml:space="preserve">环境管理体系认证证书、I</w:t>
            </w:r>
            <w:r>
              <w:t xml:space="preserve">SO9001</w:t>
            </w:r>
            <w:r>
              <w:rPr>
                <w:rFonts w:hint="eastAsia"/>
              </w:rPr>
              <w:t xml:space="preserve">质量管理体系认证证书、I</w:t>
            </w:r>
            <w:r>
              <w:t xml:space="preserve">SO27001</w:t>
            </w:r>
            <w:r>
              <w:rPr>
                <w:rFonts w:hint="eastAsia"/>
              </w:rPr>
              <w:t xml:space="preserve">信息安全管理体系认证证书、IS027040 数据储存安全管理体系认证证书、IS038505 数据治理安全管理体系认证证书的，每提供一个得</w:t>
            </w:r>
            <w:r>
              <w:t xml:space="preserve">0.5</w:t>
            </w:r>
            <w:r>
              <w:rPr>
                <w:rFonts w:hint="eastAsia"/>
              </w:rPr>
              <w:t xml:space="preserve">分，最多</w:t>
            </w:r>
            <w:r>
              <w:t xml:space="preserve">3</w:t>
            </w:r>
            <w:r>
              <w:rPr>
                <w:rFonts w:hint="eastAsia"/>
              </w:rPr>
              <w:t xml:space="preserve">分。（提供有效期内证明材料扫描件加盖投标人电子签章）。</w:t>
            </w:r>
            <w:r/>
          </w:p>
          <w:p>
            <w:r>
              <w:rPr>
                <w:rFonts w:hint="eastAsia"/>
              </w:rPr>
              <w:t xml:space="preserve">（2）投标人具备信息系统服务交付能力一级的得2分，二级得1分（提供有效期内证明材料扫描件加盖投标人电子签章）。</w:t>
            </w:r>
            <w:r/>
          </w:p>
          <w:p>
            <w:r>
              <w:rPr>
                <w:rFonts w:hint="eastAsia"/>
              </w:rPr>
              <w:t xml:space="preserve">（3）投标人具备GB/T 37988 数据安全能力成熟度模型等级三级的得3分，三级以下得1分（提供有效期内证明材料扫描件加盖投标人电子签章）。</w:t>
            </w:r>
            <w:r/>
          </w:p>
          <w:p>
            <w:r>
              <w:rPr>
                <w:rFonts w:hint="eastAsia"/>
              </w:rPr>
              <w:t xml:space="preserve">（4）投标人所投软件厂家具有业务基础平台、会计核算系统、预算管理系统、资金支出控制系统、科室成本核算系统、项目成本核算系统、DIP成本核算系统、手机APP、运营决策分析系统的系统软著和演示功能截图的，有一项的0</w:t>
            </w:r>
            <w:r>
              <w:t xml:space="preserve">.5</w:t>
            </w:r>
            <w:r>
              <w:rPr>
                <w:rFonts w:hint="eastAsia"/>
              </w:rPr>
              <w:t xml:space="preserve">分，本项最高得4</w:t>
            </w:r>
            <w:r>
              <w:t xml:space="preserve">.5</w:t>
            </w:r>
            <w:r>
              <w:rPr>
                <w:rFonts w:hint="eastAsia"/>
              </w:rPr>
              <w:t xml:space="preserve">分。（提供证书证明材料原件扫描件加盖投标人公章）</w:t>
            </w:r>
            <w:r/>
          </w:p>
          <w:p>
            <w:r>
              <w:rPr>
                <w:rFonts w:hint="eastAsia"/>
              </w:rPr>
              <w:t xml:space="preserve">（5）投标人所投软件厂家产品包括业务基础平台、会计核算系统、预算管理系统、资金支出控制系统、科室成本核算系统、项目成本核算系统、DIP成本核算系统、手机APP、运营决策分析系统的系统测试报告的，有一项的0</w:t>
            </w:r>
            <w:r>
              <w:t xml:space="preserve">.5</w:t>
            </w:r>
            <w:r>
              <w:rPr>
                <w:rFonts w:hint="eastAsia"/>
              </w:rPr>
              <w:t xml:space="preserve">分，本项最高得4</w:t>
            </w:r>
            <w:r>
              <w:t xml:space="preserve">.5</w:t>
            </w:r>
            <w:r>
              <w:rPr>
                <w:rFonts w:hint="eastAsia"/>
              </w:rPr>
              <w:t xml:space="preserve">分。（提供证书证明材料原件扫描件加盖投标人公章）</w:t>
            </w:r>
            <w:r/>
          </w:p>
        </w:tc>
        <w:tc>
          <w:tcPr>
            <w:tcW w:w="734" w:type="dxa"/>
            <w:vAlign w:val="center"/>
            <w:textDirection w:val="lrTb"/>
            <w:noWrap w:val="false"/>
          </w:tcPr>
          <w:p>
            <w:r>
              <w:t xml:space="preserve">17</w:t>
            </w:r>
            <w:r/>
          </w:p>
        </w:tc>
      </w:tr>
      <w:tr>
        <w:trPr>
          <w:jc w:val="center"/>
          <w:trHeight w:val="335"/>
        </w:trPr>
        <w:tc>
          <w:tcPr>
            <w:tcW w:w="588" w:type="dxa"/>
            <w:vAlign w:val="center"/>
            <w:textDirection w:val="lrTb"/>
            <w:noWrap w:val="false"/>
          </w:tcPr>
          <w:p>
            <w:r>
              <w:rPr>
                <w:rFonts w:hint="eastAsia"/>
              </w:rPr>
              <w:t xml:space="preserve">4</w:t>
            </w:r>
            <w:r/>
          </w:p>
        </w:tc>
        <w:tc>
          <w:tcPr>
            <w:tcW w:w="1366" w:type="dxa"/>
            <w:vAlign w:val="center"/>
            <w:textDirection w:val="lrTb"/>
            <w:noWrap w:val="false"/>
          </w:tcPr>
          <w:p>
            <w:r>
              <w:rPr>
                <w:rFonts w:hint="eastAsia"/>
              </w:rPr>
              <w:t xml:space="preserve">业绩（</w:t>
            </w:r>
            <w:r>
              <w:t xml:space="preserve">3</w:t>
            </w:r>
            <w:r>
              <w:rPr>
                <w:rFonts w:hint="eastAsia"/>
              </w:rPr>
              <w:t xml:space="preserve">分）</w:t>
            </w:r>
            <w:r/>
          </w:p>
        </w:tc>
        <w:tc>
          <w:tcPr>
            <w:tcW w:w="6501" w:type="dxa"/>
            <w:vAlign w:val="center"/>
            <w:textDirection w:val="lrTb"/>
            <w:noWrap w:val="false"/>
          </w:tcPr>
          <w:p>
            <w:r>
              <w:rPr>
                <w:rFonts w:hint="eastAsia"/>
              </w:rPr>
              <w:t xml:space="preserve">投标人自2021年1月1日以来承接过类似项目案例的，有一个得1分，最多</w:t>
            </w:r>
            <w:r>
              <w:t xml:space="preserve">3</w:t>
            </w:r>
            <w:r>
              <w:rPr>
                <w:rFonts w:hint="eastAsia"/>
              </w:rPr>
              <w:t xml:space="preserve">分（提供合同、中标通知书、网上中标公告复印件并加盖投标人电子签章</w:t>
            </w:r>
            <w:r>
              <w:rPr>
                <w:rFonts w:hint="eastAsia"/>
                <w:highlight w:val="white"/>
                <w:lang w:eastAsia="zh-CN"/>
              </w:rPr>
              <w:t xml:space="preserve">，</w:t>
            </w:r>
            <w:r>
              <w:rPr>
                <w:rFonts w:hint="eastAsia"/>
                <w:highlight w:val="white"/>
                <w:lang w:val="en-US" w:eastAsia="zh-CN"/>
              </w:rPr>
              <w:t xml:space="preserve">三者缺一不可</w:t>
            </w:r>
            <w:r>
              <w:rPr>
                <w:rFonts w:hint="eastAsia"/>
              </w:rPr>
              <w:t xml:space="preserve">）。</w:t>
            </w:r>
            <w:r/>
          </w:p>
        </w:tc>
        <w:tc>
          <w:tcPr>
            <w:tcW w:w="734" w:type="dxa"/>
            <w:vAlign w:val="center"/>
            <w:textDirection w:val="lrTb"/>
            <w:noWrap w:val="false"/>
          </w:tcPr>
          <w:p>
            <w:r>
              <w:t xml:space="preserve">3</w:t>
            </w:r>
            <w:r/>
          </w:p>
        </w:tc>
      </w:tr>
      <w:tr>
        <w:trPr>
          <w:jc w:val="center"/>
          <w:trHeight w:val="335"/>
        </w:trPr>
        <w:tc>
          <w:tcPr>
            <w:tcW w:w="588" w:type="dxa"/>
            <w:vAlign w:val="center"/>
            <w:textDirection w:val="lrTb"/>
            <w:noWrap w:val="false"/>
          </w:tcPr>
          <w:p>
            <w:r>
              <w:rPr>
                <w:rFonts w:hint="eastAsia"/>
              </w:rPr>
              <w:t xml:space="preserve">5</w:t>
            </w:r>
            <w:r/>
          </w:p>
        </w:tc>
        <w:tc>
          <w:tcPr>
            <w:tcW w:w="1366" w:type="dxa"/>
            <w:vAlign w:val="center"/>
            <w:textDirection w:val="lrTb"/>
            <w:noWrap w:val="false"/>
          </w:tcPr>
          <w:p>
            <w:r>
              <w:rPr>
                <w:rFonts w:hint="eastAsia"/>
              </w:rPr>
              <w:t xml:space="preserve">项目管理团队（</w:t>
            </w:r>
            <w:r>
              <w:t xml:space="preserve">7</w:t>
            </w:r>
            <w:r>
              <w:rPr>
                <w:rFonts w:hint="eastAsia"/>
              </w:rPr>
              <w:t xml:space="preserve">分）</w:t>
            </w:r>
            <w:r/>
          </w:p>
        </w:tc>
        <w:tc>
          <w:tcPr>
            <w:tcW w:w="6501" w:type="dxa"/>
            <w:vAlign w:val="center"/>
            <w:textDirection w:val="lrTb"/>
            <w:noWrap w:val="false"/>
          </w:tcPr>
          <w:p>
            <w:pPr>
              <w:jc w:val="left"/>
              <w:widowControl/>
            </w:pPr>
            <w:r>
              <w:rPr>
                <w:rFonts w:hint="eastAsia"/>
              </w:rPr>
              <w:t xml:space="preserve">（1）投标人针对本项目拟派出的项目经理具有高级工程师（数字经济电子信息）、PMP、信息系统项目管理师、通信专业技术人员职业资格认证、高级系统规划与管理师、注册信息安全管理人员CISP-CISO、ITSS-信息技术应用创新服务经理、ITSS-IT 服务项目经理的有一个得0.5分，最高得</w:t>
            </w:r>
            <w:r>
              <w:t xml:space="preserve">4</w:t>
            </w:r>
            <w:r>
              <w:rPr>
                <w:rFonts w:hint="eastAsia"/>
              </w:rPr>
              <w:t xml:space="preserve">分。</w:t>
            </w:r>
            <w:r/>
          </w:p>
          <w:p>
            <w:pPr>
              <w:jc w:val="left"/>
              <w:widowControl/>
            </w:pPr>
            <w:r>
              <w:rPr>
                <w:rFonts w:hint="eastAsia"/>
              </w:rPr>
              <w:t xml:space="preserve">（2）投标人针对本项目拟派出的技术负责人具备注册信息安全工程师 CISP-CISE、高级智能化系统项目经理、ITSS-信息技术应用创新服务经理、ITSS-IT 服务项目经理、高级数据库系统工程师、PMP的有一个得</w:t>
            </w:r>
            <w:r>
              <w:t xml:space="preserve">0.5</w:t>
            </w:r>
            <w:r>
              <w:rPr>
                <w:rFonts w:hint="eastAsia"/>
              </w:rPr>
              <w:t xml:space="preserve">分，最高得3分。</w:t>
            </w:r>
            <w:r/>
          </w:p>
          <w:p>
            <w:r>
              <w:rPr>
                <w:rFonts w:hint="eastAsia"/>
              </w:rPr>
              <w:t xml:space="preserve">注：提供上述人员证书扫描件，并提供2024年1月以来连续3个月由社保部门出具的投标人为其缴纳的社保缴费证明。</w:t>
            </w:r>
            <w:r/>
          </w:p>
        </w:tc>
        <w:tc>
          <w:tcPr>
            <w:tcW w:w="734" w:type="dxa"/>
            <w:vAlign w:val="center"/>
            <w:textDirection w:val="lrTb"/>
            <w:noWrap w:val="false"/>
          </w:tcPr>
          <w:p>
            <w:r>
              <w:t xml:space="preserve">7</w:t>
            </w:r>
            <w:r/>
          </w:p>
        </w:tc>
      </w:tr>
      <w:tr>
        <w:trPr>
          <w:jc w:val="center"/>
          <w:trHeight w:val="335"/>
        </w:trPr>
        <w:tc>
          <w:tcPr>
            <w:tcW w:w="588" w:type="dxa"/>
            <w:vAlign w:val="center"/>
            <w:textDirection w:val="lrTb"/>
            <w:noWrap w:val="false"/>
          </w:tcPr>
          <w:p>
            <w:r>
              <w:rPr>
                <w:rFonts w:hint="eastAsia"/>
              </w:rPr>
              <w:t xml:space="preserve">6</w:t>
            </w:r>
            <w:r/>
          </w:p>
        </w:tc>
        <w:tc>
          <w:tcPr>
            <w:tcW w:w="1366" w:type="dxa"/>
            <w:vAlign w:val="center"/>
            <w:textDirection w:val="lrTb"/>
            <w:noWrap w:val="false"/>
          </w:tcPr>
          <w:p>
            <w:r>
              <w:rPr>
                <w:rFonts w:hint="eastAsia"/>
              </w:rPr>
              <w:t xml:space="preserve">售后服务（</w:t>
            </w:r>
            <w:r>
              <w:t xml:space="preserve">3</w:t>
            </w:r>
            <w:r>
              <w:rPr>
                <w:rFonts w:hint="eastAsia"/>
              </w:rPr>
              <w:t xml:space="preserve">分）</w:t>
            </w:r>
            <w:r/>
          </w:p>
        </w:tc>
        <w:tc>
          <w:tcPr>
            <w:tcW w:w="6501" w:type="dxa"/>
            <w:vAlign w:val="center"/>
            <w:textDirection w:val="lrTb"/>
            <w:noWrap w:val="false"/>
          </w:tcPr>
          <w:p>
            <w:r>
              <w:rPr>
                <w:rFonts w:hint="eastAsia"/>
              </w:rPr>
              <w:t xml:space="preserve">1、投标人书面承诺项目完成后提供7*24 小时的故障响应模式，做到</w:t>
            </w:r>
            <w:r>
              <w:t xml:space="preserve">0.5</w:t>
            </w:r>
            <w:r>
              <w:rPr>
                <w:rFonts w:hint="eastAsia"/>
              </w:rPr>
              <w:t xml:space="preserve">小时内响应，</w:t>
            </w:r>
            <w:r>
              <w:t xml:space="preserve">1</w:t>
            </w:r>
            <w:r>
              <w:rPr>
                <w:rFonts w:hint="eastAsia"/>
              </w:rPr>
              <w:t xml:space="preserve">小时内到达故障现场，一般故障</w:t>
            </w:r>
            <w:r>
              <w:t xml:space="preserve">3</w:t>
            </w:r>
            <w:r>
              <w:rPr>
                <w:rFonts w:hint="eastAsia"/>
              </w:rPr>
              <w:t xml:space="preserve">小时内排除，重大故障 </w:t>
            </w:r>
            <w:r>
              <w:t xml:space="preserve">6</w:t>
            </w:r>
            <w:r>
              <w:rPr>
                <w:rFonts w:hint="eastAsia"/>
              </w:rPr>
              <w:t xml:space="preserve">小时内排除的得</w:t>
            </w:r>
            <w:r>
              <w:t xml:space="preserve">3</w:t>
            </w:r>
            <w:r>
              <w:rPr>
                <w:rFonts w:hint="eastAsia"/>
              </w:rPr>
              <w:t xml:space="preserve">分；</w:t>
            </w:r>
            <w:r>
              <w:rPr>
                <w:rFonts w:hint="eastAsia"/>
                <w:highlight w:val="white"/>
                <w:lang w:val="en-US" w:eastAsia="zh-CN"/>
              </w:rPr>
              <w:t xml:space="preserve">部分承诺或</w:t>
            </w:r>
            <w:r>
              <w:rPr>
                <w:rFonts w:hint="eastAsia"/>
                <w:highlight w:val="white"/>
              </w:rPr>
              <w:t xml:space="preserve">不承诺，不</w:t>
            </w:r>
            <w:r>
              <w:rPr>
                <w:rFonts w:hint="eastAsia"/>
                <w:highlight w:val="white"/>
              </w:rPr>
              <w:t xml:space="preserve">得分</w:t>
            </w:r>
            <w:r>
              <w:rPr>
                <w:rFonts w:hint="eastAsia"/>
              </w:rPr>
              <w:t xml:space="preserve">(原件扫描件加盖投标人公章）。</w:t>
            </w:r>
            <w:r/>
          </w:p>
        </w:tc>
        <w:tc>
          <w:tcPr>
            <w:tcW w:w="734" w:type="dxa"/>
            <w:vAlign w:val="center"/>
            <w:textDirection w:val="lrTb"/>
            <w:noWrap w:val="false"/>
          </w:tcPr>
          <w:p>
            <w:r>
              <w:t xml:space="preserve">3</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rPr>
          <w:rFonts w:ascii="宋体" w:hAnsi="宋体" w:eastAsia="宋体" w:cs="宋体"/>
          <w:color w:val="000000"/>
          <w:spacing w:val="-1"/>
          <w:sz w:val="24"/>
        </w:rPr>
        <w:t xml:space="preserve">相关</w:t>
      </w:r>
      <w:r>
        <w:rPr>
          <w:rFonts w:ascii="宋体" w:hAnsi="宋体" w:eastAsia="宋体" w:cs="宋体"/>
          <w:color w:val="000000"/>
          <w:spacing w:val="-10"/>
          <w:sz w:val="24"/>
        </w:rPr>
        <w:t xml:space="preserve">材料扫描件上传投标文件，未上传</w:t>
      </w:r>
      <w:r>
        <w:rPr>
          <w:rFonts w:ascii="宋体" w:hAnsi="宋体" w:eastAsia="宋体" w:cs="宋体"/>
          <w:color w:val="000000"/>
          <w:spacing w:val="1"/>
          <w:sz w:val="24"/>
        </w:rPr>
        <w:t xml:space="preserve">不得分</w:t>
      </w:r>
      <w:r>
        <w:rPr>
          <w:rFonts w:ascii="宋体" w:hAnsi="宋体" w:eastAsia="宋体" w:cs="宋体"/>
          <w:color w:val="000000"/>
          <w:spacing w:val="-1"/>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r>
        <w:rPr>
          <w:rFonts w:ascii="宋体" w:hAnsi="宋体" w:eastAsia="宋体" w:cs="宋体"/>
          <w:color w:val="000000"/>
          <w:sz w:val="22"/>
        </w:rPr>
      </w:r>
      <w:r/>
      <w:r/>
      <w:r/>
      <w:r/>
      <w:r/>
      <w: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第六章投标文件格式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u w:val="none"/>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投标人名称 ：</w:t>
      </w:r>
      <w:r>
        <w:rPr>
          <w:rFonts w:ascii="宋体" w:hAnsi="宋体" w:eastAsia="宋体" w:cs="宋体"/>
          <w:b/>
          <w:color w:val="000000"/>
          <w:sz w:val="36"/>
          <w:u w:val="single"/>
        </w:rPr>
        <w:t xml:space="preserve">（加盖CA电子公章）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日期 ：</w:t>
      </w:r>
      <w:r>
        <w:rPr>
          <w:rFonts w:ascii="宋体" w:hAnsi="宋体" w:eastAsia="宋体" w:cs="宋体"/>
          <w:b/>
          <w:color w:val="000000"/>
          <w:sz w:val="36"/>
          <w:u w:val="single"/>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投标文件目录</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一、</w:t>
      </w:r>
      <w:r>
        <w:rPr>
          <w:rFonts w:ascii="黑体" w:hAnsi="黑体" w:eastAsia="黑体" w:cs="黑体"/>
          <w:color w:val="000000"/>
          <w:sz w:val="32"/>
          <w:u w:val="single"/>
        </w:rPr>
        <w:t xml:space="preserve">开标一览表</w:t>
      </w:r>
      <w:r/>
    </w:p>
    <w:p>
      <w:pPr>
        <w:ind w:left="0" w:right="0" w:firstLine="4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（此表以电子响应文件格式为准）</w:t>
      </w:r>
      <w:r/>
    </w:p>
    <w:p>
      <w:pPr>
        <w:ind w:left="0" w:right="0" w:firstLine="0"/>
        <w:jc w:val="center"/>
        <w:spacing w:before="260" w:after="260" w:line="98"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br w:type="page" w:clear="all"/>
      </w:r>
      <w:r/>
    </w:p>
    <w:p>
      <w:pPr>
        <w:ind w:left="0" w:right="0" w:firstLine="240"/>
        <w:jc w:val="center"/>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二</w:t>
      </w:r>
      <w:r>
        <w:rPr>
          <w:rFonts w:hint="eastAsia" w:ascii="宋体" w:hAnsi="宋体" w:eastAsia="宋体" w:cs="宋体"/>
          <w:color w:val="000000"/>
          <w:sz w:val="24"/>
        </w:rPr>
        <w:t xml:space="preserve">、投标函</w:t>
      </w:r>
      <w:r/>
    </w:p>
    <w:p>
      <w:pPr>
        <w:ind w:left="0" w:right="0" w:firstLine="240"/>
        <w:jc w:val="left"/>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盱眙县人民医院</w:t>
      </w:r>
      <w:r>
        <w:rPr>
          <w:rFonts w:hint="eastAsia" w:ascii="宋体" w:hAnsi="宋体" w:eastAsia="宋体" w:cs="宋体"/>
          <w:color w:val="000000"/>
          <w:sz w:val="24"/>
        </w:rPr>
        <w:t xml:space="preserve">：</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关于</w:t>
      </w:r>
      <w:r>
        <w:rPr>
          <w:rFonts w:hint="eastAsia" w:ascii="宋体" w:hAnsi="宋体" w:cs="宋体"/>
          <w:sz w:val="24"/>
          <w:lang w:val="en-US" w:eastAsia="zh-CN"/>
        </w:rPr>
        <w:t xml:space="preserve">项目名称：</w:t>
      </w:r>
      <w:r>
        <w:rPr>
          <w:rFonts w:hint="eastAsia" w:ascii="宋体" w:hAnsi="宋体" w:cs="宋体"/>
          <w:sz w:val="24"/>
        </w:rPr>
        <w:t xml:space="preserve">（编号：招标文件，同时正式授权下述签字人</w:t>
      </w:r>
      <w:r>
        <w:rPr>
          <w:rFonts w:hint="eastAsia" w:ascii="宋体" w:hAnsi="宋体" w:cs="宋体"/>
          <w:sz w:val="24"/>
          <w:u w:val="single"/>
        </w:rPr>
        <w:t xml:space="preserve">       </w:t>
      </w:r>
      <w:r>
        <w:rPr>
          <w:rFonts w:hint="eastAsia" w:ascii="宋体" w:hAnsi="宋体" w:cs="宋体"/>
          <w:sz w:val="24"/>
        </w:rPr>
        <w:t xml:space="preserve">（姓名和职务）代表投标人</w:t>
      </w:r>
      <w:r>
        <w:rPr>
          <w:rFonts w:hint="eastAsia" w:ascii="宋体" w:hAnsi="宋体" w:cs="宋体"/>
          <w:sz w:val="24"/>
          <w:u w:val="single"/>
        </w:rPr>
        <w:t xml:space="preserve">     </w:t>
      </w:r>
      <w:r>
        <w:rPr>
          <w:rFonts w:hint="eastAsia" w:ascii="宋体" w:hAnsi="宋体" w:cs="宋体"/>
          <w:sz w:val="24"/>
        </w:rPr>
        <w:t xml:space="preserve">（投标人名称），全权处理本次项目投标的有关事宜。</w:t>
      </w:r>
      <w:r/>
    </w:p>
    <w:p>
      <w:pPr>
        <w:pStyle w:val="835"/>
        <w:ind w:firstLine="480"/>
        <w:spacing w:line="440" w:lineRule="exact"/>
        <w:rPr>
          <w:rFonts w:hint="eastAsia" w:hAnsi="宋体" w:cs="宋体"/>
          <w:sz w:val="24"/>
          <w:szCs w:val="24"/>
        </w:rPr>
      </w:pPr>
      <w:r>
        <w:rPr>
          <w:rFonts w:hint="eastAsia" w:hAnsi="宋体" w:cs="宋体"/>
          <w:sz w:val="24"/>
          <w:szCs w:val="24"/>
        </w:rPr>
        <w:t xml:space="preserve"> （1）按照招标文件规定的各项要求，我方愿以投标报价为（大写、人民币）</w:t>
      </w:r>
      <w:r>
        <w:rPr>
          <w:rFonts w:hint="eastAsia" w:hAnsi="宋体" w:cs="宋体"/>
          <w:sz w:val="24"/>
          <w:szCs w:val="24"/>
          <w:u w:val="single"/>
        </w:rPr>
        <w:t xml:space="preserve">           </w:t>
      </w:r>
      <w:r>
        <w:rPr>
          <w:rFonts w:hint="eastAsia" w:hAnsi="宋体" w:cs="宋体"/>
          <w:sz w:val="24"/>
          <w:szCs w:val="24"/>
        </w:rPr>
        <w:t xml:space="preserve">（CNY ￥</w:t>
      </w:r>
      <w:r>
        <w:rPr>
          <w:rFonts w:hint="eastAsia" w:hAnsi="宋体" w:cs="宋体"/>
          <w:sz w:val="24"/>
          <w:szCs w:val="24"/>
          <w:u w:val="single"/>
        </w:rPr>
        <w:t xml:space="preserve">            </w:t>
      </w:r>
      <w:r>
        <w:rPr>
          <w:rFonts w:hint="eastAsia" w:hAnsi="宋体" w:cs="宋体"/>
          <w:sz w:val="24"/>
          <w:szCs w:val="24"/>
        </w:rPr>
        <w:t xml:space="preserve">元）的投标报价并按招标文件的规定要求提供所有货物及服务。</w:t>
      </w:r>
      <w:r/>
    </w:p>
    <w:p>
      <w:pPr>
        <w:pStyle w:val="835"/>
        <w:ind w:firstLine="480"/>
        <w:spacing w:line="440" w:lineRule="exact"/>
        <w:rPr>
          <w:rFonts w:hint="eastAsia" w:hAnsi="宋体" w:cs="宋体"/>
          <w:sz w:val="24"/>
          <w:szCs w:val="24"/>
        </w:rPr>
      </w:pPr>
      <w:r>
        <w:rPr>
          <w:rFonts w:hint="eastAsia" w:hAnsi="宋体" w:cs="宋体"/>
          <w:sz w:val="24"/>
          <w:szCs w:val="24"/>
        </w:rPr>
        <w:t xml:space="preserve">（2）我们完全理解贵方不一定要以最低报价确定中标。</w:t>
      </w:r>
      <w:r/>
    </w:p>
    <w:p>
      <w:pPr>
        <w:pStyle w:val="835"/>
        <w:ind w:firstLine="480"/>
        <w:spacing w:line="440" w:lineRule="exact"/>
        <w:rPr>
          <w:rFonts w:hint="eastAsia" w:hAnsi="宋体" w:cs="宋体"/>
          <w:sz w:val="24"/>
          <w:szCs w:val="24"/>
        </w:rPr>
      </w:pPr>
      <w:r>
        <w:rPr>
          <w:rFonts w:hint="eastAsia" w:hAnsi="宋体" w:cs="宋体"/>
          <w:sz w:val="24"/>
          <w:szCs w:val="24"/>
        </w:rPr>
        <w:t xml:space="preserve">（3）我们已详细审核全部招标文件及其有效补充文件（如果有），我们知道必须放弃提出含糊不清或误解的问题的权利。</w:t>
      </w:r>
      <w:r/>
    </w:p>
    <w:p>
      <w:pPr>
        <w:pStyle w:val="835"/>
        <w:ind w:firstLine="480"/>
        <w:spacing w:line="440" w:lineRule="exact"/>
        <w:rPr>
          <w:rFonts w:hint="eastAsia" w:hAnsi="宋体" w:cs="宋体"/>
          <w:sz w:val="24"/>
          <w:szCs w:val="24"/>
        </w:rPr>
      </w:pPr>
      <w:r>
        <w:rPr>
          <w:rFonts w:hint="eastAsia" w:hAnsi="宋体" w:cs="宋体"/>
          <w:sz w:val="24"/>
          <w:szCs w:val="24"/>
        </w:rPr>
        <w:t xml:space="preserve">（4）我们同意从规定的开标日期起遵循本投标文件，并在规定的投标有效期期满之前均具有约束力。</w:t>
      </w:r>
      <w:r/>
    </w:p>
    <w:p>
      <w:pPr>
        <w:pStyle w:val="835"/>
        <w:ind w:firstLine="480"/>
        <w:spacing w:line="440" w:lineRule="exact"/>
        <w:rPr>
          <w:rFonts w:hint="eastAsia" w:hAnsi="宋体" w:cs="宋体"/>
          <w:sz w:val="24"/>
          <w:szCs w:val="24"/>
        </w:rPr>
      </w:pPr>
      <w:r>
        <w:rPr>
          <w:rFonts w:hint="eastAsia" w:hAnsi="宋体" w:cs="宋体"/>
          <w:sz w:val="24"/>
          <w:szCs w:val="24"/>
        </w:rPr>
        <w:t xml:space="preserve">（5）如果在开标后规定的投标有效期内撤回投标，我们的投标保证金可被贵方不予退还。</w:t>
      </w:r>
      <w:r/>
    </w:p>
    <w:p>
      <w:pPr>
        <w:pStyle w:val="835"/>
        <w:ind w:firstLine="480"/>
        <w:spacing w:line="440" w:lineRule="exact"/>
        <w:rPr>
          <w:rFonts w:hint="eastAsia" w:hAnsi="宋体" w:cs="宋体"/>
          <w:sz w:val="24"/>
          <w:szCs w:val="24"/>
        </w:rPr>
      </w:pPr>
      <w:r>
        <w:rPr>
          <w:rFonts w:hint="eastAsia" w:hAnsi="宋体" w:cs="宋体"/>
          <w:sz w:val="24"/>
          <w:szCs w:val="24"/>
        </w:rPr>
        <w:t xml:space="preserve">（6）同意向贵方提供贵方可能要求的与投标有关的任何证据或资料。</w:t>
      </w:r>
      <w:r/>
    </w:p>
    <w:p>
      <w:pPr>
        <w:ind w:firstLine="480"/>
        <w:spacing w:line="440" w:lineRule="exact"/>
        <w:rPr>
          <w:rFonts w:hint="eastAsia" w:ascii="宋体" w:hAnsi="宋体" w:cs="宋体"/>
          <w:sz w:val="24"/>
        </w:rPr>
      </w:pPr>
      <w:r>
        <w:rPr>
          <w:rFonts w:hint="eastAsia" w:ascii="宋体" w:hAnsi="宋体" w:cs="宋体"/>
          <w:sz w:val="24"/>
        </w:rPr>
        <w:t xml:space="preserve">（7）一旦我方中标，我方将根据招标文件的规定，严格按照《合同法》履行自己的责任和义务，并保证于“合同条款前附表”中规定的时间交货，并完成项目的施工、调试、交付买方验收、使用。</w:t>
      </w:r>
      <w:r/>
    </w:p>
    <w:p>
      <w:pPr>
        <w:pStyle w:val="835"/>
        <w:ind w:firstLine="480"/>
        <w:spacing w:line="440" w:lineRule="exact"/>
        <w:rPr>
          <w:rFonts w:hint="eastAsia" w:hAnsi="宋体" w:cs="宋体"/>
          <w:sz w:val="24"/>
          <w:szCs w:val="24"/>
        </w:rPr>
      </w:pPr>
      <w:r>
        <w:rPr>
          <w:rFonts w:hint="eastAsia" w:hAnsi="宋体" w:cs="宋体"/>
          <w:sz w:val="24"/>
          <w:szCs w:val="24"/>
        </w:rPr>
        <w:t xml:space="preserve">（8）与本投标有关的正式通讯地址为：</w:t>
      </w:r>
      <w:r/>
    </w:p>
    <w:p>
      <w:pPr>
        <w:pStyle w:val="835"/>
        <w:ind w:firstLine="480"/>
        <w:spacing w:line="440" w:lineRule="exact"/>
        <w:rPr>
          <w:rFonts w:hint="eastAsia" w:hAnsi="宋体" w:cs="宋体"/>
          <w:sz w:val="24"/>
          <w:szCs w:val="24"/>
          <w:u w:val="single"/>
        </w:rPr>
      </w:pPr>
      <w:r>
        <w:rPr>
          <w:rFonts w:hint="eastAsia" w:hAnsi="宋体" w:cs="宋体"/>
          <w:sz w:val="24"/>
          <w:szCs w:val="24"/>
        </w:rPr>
        <w:t xml:space="preserve">地  址：</w:t>
      </w:r>
      <w:r>
        <w:rPr>
          <w:rFonts w:hint="eastAsia" w:hAnsi="宋体" w:cs="宋体"/>
          <w:sz w:val="24"/>
          <w:szCs w:val="24"/>
          <w:u w:val="single"/>
        </w:rPr>
        <w:t xml:space="preserve">                                  </w:t>
      </w:r>
      <w:r/>
    </w:p>
    <w:p>
      <w:pPr>
        <w:pStyle w:val="835"/>
        <w:ind w:firstLine="480"/>
        <w:spacing w:line="440" w:lineRule="exact"/>
        <w:rPr>
          <w:rFonts w:hint="eastAsia" w:hAnsi="宋体" w:cs="宋体"/>
          <w:sz w:val="24"/>
          <w:szCs w:val="24"/>
          <w:u w:val="single"/>
        </w:rPr>
      </w:pPr>
      <w:r>
        <w:rPr>
          <w:rFonts w:hint="eastAsia" w:hAnsi="宋体" w:cs="宋体"/>
          <w:sz w:val="24"/>
          <w:szCs w:val="24"/>
        </w:rPr>
        <w:t xml:space="preserve">邮  编：</w:t>
      </w:r>
      <w:r>
        <w:rPr>
          <w:rFonts w:hint="eastAsia" w:hAnsi="宋体" w:cs="宋体"/>
          <w:sz w:val="24"/>
          <w:szCs w:val="24"/>
          <w:u w:val="single"/>
        </w:rPr>
        <w:t xml:space="preserve">                                  </w:t>
      </w:r>
      <w:r/>
    </w:p>
    <w:p>
      <w:pPr>
        <w:pStyle w:val="835"/>
        <w:ind w:firstLine="480"/>
        <w:spacing w:line="440" w:lineRule="exact"/>
        <w:rPr>
          <w:rFonts w:hint="eastAsia" w:hAnsi="宋体" w:cs="宋体"/>
          <w:sz w:val="24"/>
          <w:szCs w:val="24"/>
          <w:u w:val="single"/>
        </w:rPr>
      </w:pPr>
      <w:r>
        <w:rPr>
          <w:rFonts w:hint="eastAsia" w:hAnsi="宋体" w:cs="宋体"/>
          <w:sz w:val="24"/>
          <w:szCs w:val="24"/>
        </w:rPr>
        <w:t xml:space="preserve">电  话：</w:t>
      </w:r>
      <w:r>
        <w:rPr>
          <w:rFonts w:hint="eastAsia" w:hAnsi="宋体" w:cs="宋体"/>
          <w:sz w:val="24"/>
          <w:szCs w:val="24"/>
          <w:u w:val="single"/>
        </w:rPr>
        <w:t xml:space="preserve">                                  </w:t>
      </w:r>
      <w:r/>
    </w:p>
    <w:p>
      <w:pPr>
        <w:pStyle w:val="835"/>
        <w:ind w:firstLine="480"/>
        <w:spacing w:line="440" w:lineRule="exact"/>
        <w:rPr>
          <w:rFonts w:hint="eastAsia" w:hAnsi="宋体" w:cs="宋体"/>
          <w:sz w:val="24"/>
          <w:szCs w:val="24"/>
          <w:u w:val="single"/>
        </w:rPr>
      </w:pPr>
      <w:r>
        <w:rPr>
          <w:rFonts w:hint="eastAsia" w:hAnsi="宋体" w:cs="宋体"/>
          <w:sz w:val="24"/>
          <w:szCs w:val="24"/>
        </w:rPr>
        <w:t xml:space="preserve">投标单位代表姓名（签字）：</w:t>
      </w:r>
      <w:r>
        <w:rPr>
          <w:rFonts w:hint="eastAsia" w:hAnsi="宋体" w:cs="宋体"/>
          <w:sz w:val="24"/>
          <w:szCs w:val="24"/>
          <w:u w:val="single"/>
        </w:rPr>
        <w:t xml:space="preserve">                 </w:t>
      </w:r>
      <w:r/>
    </w:p>
    <w:p>
      <w:pPr>
        <w:pStyle w:val="835"/>
        <w:ind w:firstLine="480"/>
        <w:spacing w:line="440" w:lineRule="exact"/>
        <w:rPr>
          <w:rFonts w:hint="eastAsia" w:hAnsi="宋体" w:cs="宋体"/>
          <w:sz w:val="24"/>
          <w:szCs w:val="24"/>
          <w:u w:val="single"/>
        </w:rPr>
      </w:pPr>
      <w:r>
        <w:rPr>
          <w:rFonts w:hint="eastAsia" w:hAnsi="宋体" w:cs="宋体"/>
          <w:sz w:val="24"/>
          <w:szCs w:val="24"/>
        </w:rPr>
        <w:t xml:space="preserve">投标单位名称：</w:t>
      </w:r>
      <w:r>
        <w:rPr>
          <w:rFonts w:hint="eastAsia" w:hAnsi="宋体" w:cs="宋体"/>
          <w:sz w:val="24"/>
          <w:szCs w:val="24"/>
          <w:u w:val="single"/>
        </w:rPr>
        <w:t xml:space="preserve">                            </w:t>
      </w:r>
      <w:r/>
    </w:p>
    <w:p>
      <w:pPr>
        <w:pStyle w:val="835"/>
        <w:ind w:firstLine="480"/>
        <w:spacing w:line="440" w:lineRule="exact"/>
        <w:rPr>
          <w:rFonts w:hint="eastAsia" w:hAnsi="宋体" w:cs="宋体"/>
          <w:sz w:val="24"/>
          <w:szCs w:val="24"/>
        </w:rPr>
      </w:pPr>
      <w:r>
        <w:rPr>
          <w:rFonts w:hint="eastAsia" w:hAnsi="宋体" w:cs="宋体"/>
          <w:sz w:val="24"/>
          <w:szCs w:val="24"/>
        </w:rPr>
        <w:t xml:space="preserve">公  章：</w:t>
      </w:r>
      <w:r>
        <w:rPr>
          <w:rFonts w:hint="eastAsia" w:hAnsi="宋体" w:cs="宋体"/>
          <w:sz w:val="24"/>
          <w:szCs w:val="24"/>
          <w:u w:val="single"/>
        </w:rPr>
        <w:t xml:space="preserve">                     </w:t>
      </w:r>
      <w:r/>
    </w:p>
    <w:p>
      <w:pPr>
        <w:pStyle w:val="835"/>
        <w:ind w:firstLine="480"/>
        <w:spacing w:line="440" w:lineRule="exact"/>
        <w:rPr>
          <w:rFonts w:hint="eastAsia" w:hAnsi="宋体" w:cs="宋体"/>
          <w:sz w:val="24"/>
          <w:szCs w:val="24"/>
        </w:rPr>
      </w:pPr>
      <w:r>
        <w:rPr>
          <w:rFonts w:hint="eastAsia" w:hAnsi="宋体" w:cs="宋体"/>
          <w:sz w:val="24"/>
          <w:szCs w:val="24"/>
        </w:rPr>
        <w:t xml:space="preserve">日  期：</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r/>
    </w:p>
    <w:p>
      <w:pPr>
        <w:ind w:left="0" w:right="0" w:firstLine="24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43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43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43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w:t>
      </w:r>
      <w:r>
        <w:rPr>
          <w:rFonts w:ascii="宋体" w:hAnsi="宋体" w:eastAsia="宋体" w:cs="宋体"/>
          <w:b/>
          <w:color w:val="000000"/>
          <w:sz w:val="32"/>
        </w:rPr>
        <w:t xml:space="preserve">报价明细表</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（按清单所给项目报价，每一项内容都要报价）</w:t>
      </w:r>
      <w:r/>
    </w:p>
    <w:p>
      <w:pPr>
        <w:pStyle w:val="643"/>
        <w:ind w:left="0" w:right="0" w:firstLine="0"/>
        <w:jc w:val="both"/>
        <w:spacing w:before="260" w:after="260" w:line="5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注：以上报价含所有费用，供应商不得再以其他任何理由要求采购人支付其他任何费用。</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w:t>
      </w:r>
      <w:r>
        <w:rPr>
          <w:rFonts w:ascii="宋体" w:hAnsi="宋体" w:eastAsia="宋体" w:cs="宋体"/>
          <w:color w:val="000000"/>
          <w:sz w:val="28"/>
          <w:u w:val="single"/>
        </w:rPr>
        <w:t xml:space="preserve">    （加盖公章）</w:t>
      </w:r>
      <w:r/>
    </w:p>
    <w:p>
      <w:pPr>
        <w:ind w:left="0" w:right="0" w:firstLine="0"/>
        <w:spacing w:before="12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法定代表人或其委托受托人签字：</w:t>
      </w:r>
      <w:r/>
    </w:p>
    <w:p>
      <w:pPr>
        <w:ind w:left="0" w:right="0" w:firstLine="0"/>
        <w:jc w:val="center"/>
        <w:spacing w:before="120" w:after="24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12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w:t>
      </w:r>
      <w:r>
        <w:rPr>
          <w:rFonts w:ascii="宋体" w:hAnsi="宋体" w:eastAsia="宋体" w:cs="宋体"/>
          <w:b/>
          <w:color w:val="000000"/>
          <w:sz w:val="32"/>
        </w:rPr>
        <w:t xml:space="preserve">技术响应偏离表</w:t>
      </w:r>
      <w:r/>
    </w:p>
    <w:p>
      <w:pPr>
        <w:ind w:left="0" w:right="0" w:firstLine="0"/>
        <w:jc w:val="both"/>
        <w:spacing w:before="12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981"/>
        <w:gridCol w:w="2209"/>
        <w:gridCol w:w="1030"/>
        <w:gridCol w:w="1288"/>
        <w:gridCol w:w="1056"/>
        <w:gridCol w:w="1051"/>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19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招标技术要求</w:t>
            </w:r>
            <w:r/>
          </w:p>
        </w:tc>
        <w:tc>
          <w:tcPr>
            <w:gridSpan w:val="2"/>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投标响应要求</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209"/>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w:t>
      </w:r>
      <w:r>
        <w:rPr>
          <w:rFonts w:ascii="宋体" w:hAnsi="宋体" w:eastAsia="宋体" w:cs="宋体"/>
          <w:color w:val="000000"/>
          <w:sz w:val="28"/>
          <w:u w:val="single"/>
        </w:rPr>
        <w:t xml:space="preserve">    （加盖公章）</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法定代表人或其委托受托人签字：</w:t>
      </w:r>
      <w:r/>
    </w:p>
    <w:p>
      <w:pPr>
        <w:ind w:left="0" w:right="0" w:firstLine="0"/>
        <w:spacing w:before="12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24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numPr>
          <w:ilvl w:val="0"/>
          <w:numId w:val="10"/>
        </w:numPr>
        <w:jc w:val="center"/>
        <w:spacing w:before="0" w:after="0" w:line="559" w:lineRule="atLeast"/>
        <w:pBdr>
          <w:top w:val="none" w:color="000000" w:sz="0" w:space="0"/>
          <w:left w:val="none" w:color="000000" w:sz="0" w:space="0"/>
          <w:bottom w:val="none" w:color="000000" w:sz="0" w:space="0"/>
          <w:right w:val="none" w:color="000000" w:sz="0" w:space="0"/>
        </w:pBdr>
      </w:pPr>
      <w:r>
        <w:br w:type="page" w:clear="all"/>
      </w:r>
      <w:r/>
    </w:p>
    <w:p>
      <w:pPr>
        <w:numPr>
          <w:ilvl w:val="0"/>
          <w:numId w:val="0"/>
        </w:numPr>
        <w:jc w:val="both"/>
        <w:spacing w:before="0" w:after="0" w:line="559"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val="en-US" w:eastAsia="zh-CN"/>
        </w:rPr>
        <w:t xml:space="preserve">五、</w:t>
      </w:r>
      <w:r>
        <w:rPr>
          <w:rFonts w:ascii="黑体" w:hAnsi="黑体" w:eastAsia="黑体" w:cs="黑体"/>
          <w:b/>
          <w:color w:val="000000"/>
          <w:sz w:val="32"/>
        </w:rPr>
        <w:t xml:space="preserve">服务承诺</w:t>
      </w:r>
      <w:r/>
    </w:p>
    <w:p>
      <w:pPr>
        <w:numPr>
          <w:ilvl w:val="0"/>
          <w:numId w:val="0"/>
        </w:numPr>
        <w:jc w:val="both"/>
        <w:spacing w:before="0" w:after="0" w:line="559"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val="en-US" w:eastAsia="zh-CN"/>
        </w:rPr>
        <w:t xml:space="preserve">六、</w:t>
      </w:r>
      <w:r>
        <w:rPr>
          <w:rFonts w:ascii="黑体" w:hAnsi="黑体" w:eastAsia="黑体" w:cs="黑体"/>
          <w:b/>
          <w:color w:val="000000"/>
          <w:sz w:val="32"/>
        </w:rPr>
        <w:t xml:space="preserve">投标供应商必须提交的资格证明文件</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（详见</w:t>
      </w:r>
      <w:r>
        <w:rPr>
          <w:rFonts w:hint="eastAsia" w:ascii="黑体" w:hAnsi="黑体" w:eastAsia="黑体" w:cs="黑体"/>
          <w:b/>
          <w:color w:val="000000"/>
          <w:sz w:val="32"/>
          <w:lang w:val="en-US" w:eastAsia="zh-CN"/>
        </w:rPr>
        <w:t xml:space="preserve">招标</w:t>
      </w:r>
      <w:r>
        <w:rPr>
          <w:rFonts w:ascii="黑体" w:hAnsi="黑体" w:eastAsia="黑体" w:cs="黑体"/>
          <w:b/>
          <w:color w:val="000000"/>
          <w:sz w:val="32"/>
        </w:rPr>
        <w:t xml:space="preserve">公告要求）</w:t>
      </w:r>
      <w:r/>
    </w:p>
    <w:p>
      <w:pPr>
        <w:ind w:left="0" w:right="0" w:firstLine="0"/>
        <w:jc w:val="both"/>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七、投标供应商认为有必要提供并说明的其它资料</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（格式由供应商自定、加盖公章）</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友情提醒</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投标供应商所提供的资格证明材料应真实、有效，采购人保留对投标供应商提供的资格证明材料进行核查的权利。如发现投标供应商提供虚假资格证明材料，监管部门将对其进行严肃处理。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37" w:lineRule="atLeast"/>
        <w:pBdr>
          <w:top w:val="none" w:color="000000" w:sz="0" w:space="0"/>
          <w:left w:val="none" w:color="000000" w:sz="0" w:space="0"/>
          <w:bottom w:val="none" w:color="000000" w:sz="0" w:space="0"/>
          <w:right w:val="none" w:color="000000" w:sz="0" w:space="0"/>
        </w:pBdr>
      </w:pPr>
      <w:r>
        <w:br w:type="page" w:clear="all"/>
      </w:r>
      <w:r/>
    </w:p>
    <w:p>
      <w:pPr>
        <w:pStyle w:val="834"/>
        <w:spacing w:line="400" w:lineRule="exact"/>
        <w:shd w:val="clear" w:color="auto" w:fill="ffffff"/>
        <w:rPr>
          <w:rFonts w:hAnsi="宋体" w:cs="宋体"/>
          <w:color w:val="000000"/>
          <w:sz w:val="24"/>
          <w:szCs w:val="24"/>
        </w:rPr>
      </w:pPr>
      <w:r>
        <w:rPr>
          <w:rFonts w:hint="eastAsia" w:hAnsi="宋体" w:cs="宋体"/>
          <w:color w:val="000000"/>
          <w:sz w:val="28"/>
          <w:szCs w:val="28"/>
        </w:rPr>
        <w:t xml:space="preserve">示范格式一    </w:t>
      </w:r>
      <w:r>
        <w:rPr>
          <w:rFonts w:hint="eastAsia" w:hAnsi="宋体" w:cs="宋体"/>
          <w:color w:val="000000"/>
          <w:sz w:val="24"/>
          <w:szCs w:val="24"/>
        </w:rPr>
        <w:t xml:space="preserve">             </w:t>
      </w:r>
      <w:r/>
    </w:p>
    <w:p>
      <w:pPr>
        <w:jc w:val="center"/>
        <w:keepLines/>
        <w:keepNext/>
        <w:spacing w:line="400" w:lineRule="exact"/>
        <w:shd w:val="clear" w:color="auto" w:fill="ffffff"/>
        <w:tabs>
          <w:tab w:val="left" w:pos="720" w:leader="none"/>
        </w:tabs>
        <w:rPr>
          <w:rFonts w:hAnsi="宋体" w:cs="宋体"/>
          <w:b/>
          <w:bCs/>
          <w:color w:val="000000"/>
          <w:sz w:val="24"/>
          <w:lang w:val="zh-CN"/>
        </w:rPr>
      </w:pPr>
      <w:r>
        <w:rPr>
          <w:rFonts w:hint="eastAsia" w:hAnsi="宋体" w:cs="宋体"/>
          <w:b/>
          <w:bCs/>
          <w:color w:val="000000"/>
          <w:sz w:val="24"/>
          <w:lang w:val="zh-CN"/>
        </w:rPr>
        <w:t xml:space="preserve">法定代表人资格证明</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单位名称：</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单位性质：</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地址：</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成立时间：        年    月    日</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经营期限：</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姓名：             性别：          年龄：          职务：</w:t>
      </w:r>
      <w:r/>
    </w:p>
    <w:p>
      <w:pPr>
        <w:ind w:firstLine="480"/>
        <w:spacing w:line="440" w:lineRule="exact"/>
        <w:rPr>
          <w:rFonts w:ascii="宋体" w:hAnsi="宋体" w:cs="宋体"/>
          <w:color w:val="000000"/>
          <w:sz w:val="24"/>
        </w:rPr>
      </w:pPr>
      <w:r>
        <w:rPr>
          <w:rFonts w:hint="eastAsia" w:ascii="宋体" w:hAnsi="宋体" w:cs="宋体"/>
          <w:color w:val="000000"/>
          <w:sz w:val="24"/>
          <w:lang w:val="zh-CN"/>
        </w:rPr>
        <w:t xml:space="preserve">系</w:t>
      </w:r>
      <w:r>
        <w:rPr>
          <w:rFonts w:hint="eastAsia" w:ascii="宋体" w:hAnsi="宋体" w:cs="宋体"/>
          <w:color w:val="000000"/>
          <w:sz w:val="24"/>
          <w:u w:val="single"/>
          <w:lang w:val="zh-CN"/>
        </w:rPr>
        <w:t xml:space="preserve"> （供应商单位名称）</w:t>
      </w:r>
      <w:r>
        <w:rPr>
          <w:rFonts w:hint="eastAsia" w:ascii="宋体" w:hAnsi="宋体" w:cs="宋体"/>
          <w:color w:val="000000"/>
          <w:sz w:val="24"/>
          <w:lang w:val="zh-CN"/>
        </w:rPr>
        <w:t xml:space="preserve">的法定代表人。</w:t>
      </w:r>
      <w:r>
        <w:rPr>
          <w:rFonts w:hint="eastAsia" w:ascii="宋体" w:hAnsi="宋体" w:cs="宋体"/>
          <w:color w:val="000000"/>
          <w:sz w:val="24"/>
        </w:rPr>
        <w:t xml:space="preserve">为参与项目，签署上述项目的投标文件、进行招标、签署合同和处理与之有关的一切事务。</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特此证明。</w:t>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jc w:val="center"/>
        <w:spacing w:line="300" w:lineRule="auto"/>
        <w:rPr>
          <w:rFonts w:ascii="宋体" w:hAnsi="宋体" w:cs="宋体"/>
          <w:color w:val="000000"/>
          <w:sz w:val="24"/>
          <w:lang w:val="zh-CN"/>
        </w:rPr>
      </w:pPr>
      <w:r>
        <w:rPr>
          <w:rFonts w:hint="eastAsia" w:ascii="宋体" w:hAnsi="宋体" w:cs="宋体"/>
          <w:color w:val="000000"/>
          <w:sz w:val="24"/>
          <w:lang w:val="zh-CN"/>
        </w:rPr>
        <w:t xml:space="preserve">                         供应商：             (盖章)</w:t>
      </w:r>
      <w:r/>
    </w:p>
    <w:p>
      <w:pPr>
        <w:ind w:firstLine="480"/>
        <w:jc w:val="center"/>
        <w:spacing w:line="300" w:lineRule="auto"/>
        <w:rPr>
          <w:rFonts w:ascii="宋体" w:hAnsi="宋体" w:cs="宋体"/>
          <w:color w:val="000000"/>
          <w:sz w:val="24"/>
          <w:lang w:val="zh-CN"/>
        </w:rPr>
      </w:pPr>
      <w:r>
        <w:rPr>
          <w:rFonts w:hint="eastAsia" w:ascii="宋体" w:hAnsi="宋体" w:cs="宋体"/>
          <w:color w:val="000000"/>
          <w:sz w:val="24"/>
          <w:lang w:val="zh-CN"/>
        </w:rPr>
        <w:t xml:space="preserve">                       日期：年 月</w:t>
      </w:r>
      <w:r/>
    </w:p>
    <w:p>
      <w:pPr>
        <w:pStyle w:val="826"/>
        <w:ind w:firstLine="643"/>
        <w:rPr>
          <w:rFonts w:ascii="宋体" w:hAnsi="宋体"/>
          <w:b/>
          <w:color w:val="000000"/>
          <w:sz w:val="24"/>
          <w:szCs w:val="24"/>
        </w:rPr>
        <w:sectPr>
          <w:footnotePr/>
          <w:endnotePr/>
          <w:type w:val="nextPage"/>
          <w:pgSz w:w="11906" w:h="16838" w:orient="portrait"/>
          <w:pgMar w:top="1440" w:right="1474" w:bottom="1440" w:left="1474" w:header="851" w:footer="992" w:gutter="0"/>
          <w:cols w:num="1" w:sep="0" w:space="1701" w:equalWidth="1"/>
          <w:docGrid w:linePitch="360"/>
        </w:sectPr>
      </w:pPr>
      <w:r>
        <w:rPr>
          <w:rFonts w:ascii="宋体" w:hAnsi="宋体"/>
          <w:b/>
          <w:color w:val="000000"/>
          <w:sz w:val="24"/>
          <w:szCs w:val="24"/>
        </w:rPr>
      </w:r>
      <w:r/>
    </w:p>
    <w:p>
      <w:pPr>
        <w:pStyle w:val="826"/>
        <w:ind w:firstLine="643"/>
        <w:rPr>
          <w:rFonts w:ascii="宋体" w:hAnsi="宋体"/>
          <w:b/>
          <w:color w:val="000000"/>
          <w:sz w:val="24"/>
          <w:szCs w:val="24"/>
        </w:rPr>
      </w:pPr>
      <w:r>
        <w:rPr>
          <w:rFonts w:ascii="宋体" w:hAnsi="宋体"/>
          <w:b/>
          <w:color w:val="000000"/>
          <w:sz w:val="24"/>
          <w:szCs w:val="24"/>
        </w:rPr>
      </w:r>
      <w:r/>
    </w:p>
    <w:p>
      <w:pPr>
        <w:rPr>
          <w:color w:val="000000"/>
          <w:sz w:val="24"/>
        </w:rPr>
      </w:pPr>
      <w:r>
        <w:rPr>
          <w:color w:val="000000"/>
          <w:sz w:val="24"/>
        </w:rPr>
      </w:r>
      <w:r/>
    </w:p>
    <w:p>
      <w:pPr>
        <w:pStyle w:val="834"/>
        <w:spacing w:line="400" w:lineRule="exact"/>
        <w:shd w:val="clear" w:color="auto" w:fill="ffffff"/>
        <w:rPr>
          <w:rFonts w:hint="eastAsia" w:hAnsi="宋体" w:cs="宋体"/>
          <w:color w:val="000000"/>
          <w:sz w:val="28"/>
          <w:szCs w:val="28"/>
          <w:lang w:val="zh-CN"/>
        </w:rPr>
      </w:pPr>
      <w:r>
        <w:rPr>
          <w:rFonts w:hint="eastAsia" w:hAnsi="宋体" w:cs="宋体"/>
          <w:color w:val="000000"/>
          <w:sz w:val="28"/>
          <w:szCs w:val="28"/>
        </w:rPr>
        <w:t xml:space="preserve">示范格式二</w:t>
      </w:r>
      <w:r/>
    </w:p>
    <w:p>
      <w:pPr>
        <w:ind w:firstLine="2771"/>
        <w:spacing w:line="440" w:lineRule="exact"/>
        <w:rPr>
          <w:rFonts w:ascii="宋体" w:hAnsi="宋体" w:cs="宋体"/>
          <w:b/>
          <w:bCs/>
          <w:color w:val="000000"/>
          <w:sz w:val="24"/>
        </w:rPr>
      </w:pPr>
      <w:r>
        <w:rPr>
          <w:rFonts w:hint="eastAsia" w:ascii="宋体" w:hAnsi="宋体" w:cs="宋体"/>
          <w:b/>
          <w:bCs/>
          <w:color w:val="000000"/>
          <w:sz w:val="24"/>
        </w:rPr>
        <w:t xml:space="preserve">授权委托书</w:t>
      </w:r>
      <w:r/>
    </w:p>
    <w:p>
      <w:pPr>
        <w:ind w:firstLine="482"/>
        <w:spacing w:line="440" w:lineRule="exact"/>
        <w:rPr>
          <w:rFonts w:ascii="宋体" w:hAnsi="宋体" w:cs="宋体"/>
          <w:b/>
          <w:bCs/>
          <w:color w:val="000000"/>
          <w:sz w:val="24"/>
        </w:rPr>
      </w:pPr>
      <w:r>
        <w:rPr>
          <w:rFonts w:hint="eastAsia" w:ascii="宋体" w:hAnsi="宋体" w:cs="宋体"/>
          <w:b/>
          <w:bCs/>
          <w:color w:val="000000"/>
          <w:sz w:val="24"/>
        </w:rPr>
        <w:t xml:space="preserve">致</w:t>
      </w:r>
      <w:r>
        <w:rPr>
          <w:rFonts w:hint="eastAsia" w:ascii="宋体" w:hAnsi="宋体" w:cs="宋体"/>
          <w:b/>
          <w:bCs/>
          <w:color w:val="000000"/>
          <w:sz w:val="24"/>
          <w:u w:val="single"/>
        </w:rPr>
        <w:t xml:space="preserve">        （采购单位）                    </w:t>
      </w:r>
      <w:r>
        <w:rPr>
          <w:rFonts w:hint="eastAsia" w:ascii="宋体" w:hAnsi="宋体" w:cs="宋体"/>
          <w:b/>
          <w:bCs/>
          <w:color w:val="000000"/>
          <w:sz w:val="24"/>
        </w:rPr>
        <w:t xml:space="preserve">：</w:t>
      </w:r>
      <w:r/>
    </w:p>
    <w:p>
      <w:pPr>
        <w:ind w:firstLine="480"/>
        <w:spacing w:line="440" w:lineRule="exact"/>
        <w:rPr>
          <w:rFonts w:ascii="宋体" w:hAnsi="宋体" w:cs="宋体"/>
          <w:color w:val="000000"/>
          <w:sz w:val="24"/>
        </w:rPr>
      </w:pPr>
      <w:r>
        <w:rPr>
          <w:rFonts w:hint="eastAsia" w:ascii="宋体" w:hAnsi="宋体" w:cs="宋体"/>
          <w:color w:val="000000"/>
          <w:sz w:val="24"/>
        </w:rPr>
        <w:t xml:space="preserve">本授权书宣告：</w:t>
      </w:r>
      <w:r/>
    </w:p>
    <w:p>
      <w:pPr>
        <w:ind w:firstLine="480"/>
        <w:spacing w:line="440" w:lineRule="exact"/>
        <w:rPr>
          <w:rFonts w:ascii="宋体" w:hAnsi="宋体" w:cs="宋体"/>
          <w:color w:val="000000"/>
          <w:sz w:val="24"/>
          <w:u w:val="single"/>
        </w:rPr>
      </w:pPr>
      <w:r>
        <w:rPr>
          <w:rFonts w:hint="eastAsia" w:ascii="宋体" w:hAnsi="宋体" w:cs="宋体"/>
          <w:color w:val="000000"/>
          <w:sz w:val="24"/>
        </w:rPr>
        <w:t xml:space="preserve">委托方：</w:t>
      </w:r>
      <w:r/>
    </w:p>
    <w:p>
      <w:pPr>
        <w:ind w:firstLine="480"/>
        <w:spacing w:line="440" w:lineRule="exact"/>
        <w:rPr>
          <w:rFonts w:ascii="宋体" w:hAnsi="宋体" w:cs="宋体"/>
          <w:color w:val="000000"/>
          <w:sz w:val="24"/>
        </w:rPr>
      </w:pPr>
      <w:r>
        <w:rPr>
          <w:rFonts w:hint="eastAsia" w:ascii="宋体" w:hAnsi="宋体" w:cs="宋体"/>
          <w:color w:val="000000"/>
          <w:sz w:val="24"/>
        </w:rPr>
        <w:t xml:space="preserve">地  址： 法定代表人：</w:t>
      </w:r>
      <w:r/>
    </w:p>
    <w:p>
      <w:pPr>
        <w:ind w:firstLine="480"/>
        <w:spacing w:line="440" w:lineRule="exact"/>
        <w:rPr>
          <w:rFonts w:ascii="宋体" w:hAnsi="宋体" w:cs="宋体"/>
          <w:color w:val="000000"/>
          <w:sz w:val="24"/>
        </w:rPr>
      </w:pPr>
      <w:r>
        <w:rPr>
          <w:rFonts w:hint="eastAsia" w:ascii="宋体" w:hAnsi="宋体" w:cs="宋体"/>
          <w:color w:val="000000"/>
          <w:sz w:val="24"/>
        </w:rPr>
        <w:t xml:space="preserve">受托人：姓名 性别： 出生日期：年月日</w:t>
      </w:r>
      <w:r/>
    </w:p>
    <w:p>
      <w:pPr>
        <w:ind w:firstLine="480"/>
        <w:spacing w:line="440" w:lineRule="exact"/>
        <w:rPr>
          <w:rFonts w:ascii="宋体" w:hAnsi="宋体" w:cs="宋体"/>
          <w:color w:val="000000"/>
          <w:sz w:val="24"/>
        </w:rPr>
      </w:pPr>
      <w:r>
        <w:rPr>
          <w:rFonts w:hint="eastAsia" w:ascii="宋体" w:hAnsi="宋体" w:cs="宋体"/>
          <w:color w:val="000000"/>
          <w:sz w:val="24"/>
        </w:rPr>
        <w:t xml:space="preserve">所在单位：职务：</w:t>
      </w:r>
      <w:r/>
    </w:p>
    <w:p>
      <w:pPr>
        <w:ind w:firstLine="480"/>
        <w:spacing w:line="440" w:lineRule="exact"/>
        <w:rPr>
          <w:rFonts w:ascii="宋体" w:hAnsi="宋体" w:cs="宋体"/>
          <w:color w:val="000000"/>
          <w:sz w:val="24"/>
        </w:rPr>
      </w:pPr>
      <w:r>
        <w:rPr>
          <w:rFonts w:hint="eastAsia" w:ascii="宋体" w:hAnsi="宋体" w:cs="宋体"/>
          <w:color w:val="000000"/>
          <w:sz w:val="24"/>
        </w:rPr>
        <w:t xml:space="preserve">身 份 证：联系方式：</w:t>
      </w:r>
      <w:r/>
    </w:p>
    <w:p>
      <w:pPr>
        <w:ind w:firstLine="480"/>
        <w:spacing w:line="440" w:lineRule="exact"/>
        <w:rPr>
          <w:rFonts w:ascii="宋体" w:hAnsi="宋体" w:cs="宋体"/>
          <w:color w:val="000000"/>
          <w:sz w:val="24"/>
        </w:rPr>
      </w:pPr>
      <w:r>
        <w:rPr>
          <w:rFonts w:hint="eastAsia" w:ascii="宋体" w:hAnsi="宋体" w:cs="宋体"/>
          <w:color w:val="000000"/>
          <w:sz w:val="24"/>
        </w:rPr>
        <w:t xml:space="preserve">兹委托受托人代表我单位参加</w:t>
      </w:r>
      <w:r>
        <w:rPr>
          <w:rFonts w:hint="eastAsia" w:ascii="宋体" w:hAnsi="宋体" w:cs="宋体"/>
          <w:color w:val="000000"/>
          <w:sz w:val="24"/>
          <w:u w:val="single"/>
        </w:rPr>
        <w:t xml:space="preserve">         （项目名称）</w:t>
      </w:r>
      <w:r>
        <w:rPr>
          <w:rFonts w:hint="eastAsia" w:ascii="宋体" w:hAnsi="宋体" w:cs="宋体"/>
          <w:color w:val="000000"/>
          <w:sz w:val="24"/>
        </w:rPr>
        <w:t xml:space="preserve">的政府采购活动，受托人有权在该招标活动中，以我单位的名义签署投标函和招标文件，与</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协商、澄清、解释，签订合同书并执行一切与此有关的事项。</w:t>
      </w:r>
      <w:r/>
    </w:p>
    <w:p>
      <w:pPr>
        <w:ind w:firstLine="480"/>
        <w:spacing w:line="440" w:lineRule="exact"/>
        <w:rPr>
          <w:rFonts w:ascii="宋体" w:hAnsi="宋体" w:cs="宋体"/>
          <w:color w:val="000000"/>
          <w:sz w:val="24"/>
        </w:rPr>
      </w:pPr>
      <w:r>
        <w:rPr>
          <w:rFonts w:hint="eastAsia" w:ascii="宋体" w:hAnsi="宋体" w:cs="宋体"/>
          <w:color w:val="000000"/>
          <w:sz w:val="24"/>
        </w:rPr>
        <w:t xml:space="preserve">受托人在办理上述事宜过程中以其自己的名义所签署的所有文件我方均予以承认。受托人无转委托权。</w:t>
      </w:r>
      <w:r/>
    </w:p>
    <w:p>
      <w:pPr>
        <w:ind w:firstLine="480"/>
        <w:spacing w:line="440" w:lineRule="exact"/>
        <w:rPr>
          <w:rFonts w:ascii="宋体" w:hAnsi="宋体" w:cs="宋体"/>
          <w:color w:val="000000"/>
          <w:sz w:val="24"/>
        </w:rPr>
      </w:pPr>
      <w:r>
        <w:rPr>
          <w:rFonts w:hint="eastAsia" w:ascii="宋体" w:hAnsi="宋体" w:cs="宋体"/>
          <w:color w:val="000000"/>
          <w:sz w:val="24"/>
        </w:rPr>
        <w:t xml:space="preserve">委托期限：至上述事宜处理完毕止。</w:t>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委托单位</w:t>
      </w:r>
      <w:r>
        <w:rPr>
          <w:rFonts w:hint="eastAsia" w:ascii="宋体" w:hAnsi="宋体" w:cs="宋体"/>
          <w:color w:val="000000"/>
          <w:sz w:val="24"/>
          <w:u w:val="single"/>
        </w:rPr>
        <w:t xml:space="preserve">       （公章）    </w:t>
      </w:r>
      <w:r/>
    </w:p>
    <w:p>
      <w:pPr>
        <w:ind w:firstLine="480"/>
        <w:spacing w:line="360" w:lineRule="auto"/>
        <w:rPr>
          <w:rFonts w:ascii="宋体" w:hAnsi="宋体" w:cs="宋体"/>
          <w:color w:val="000000"/>
          <w:sz w:val="24"/>
        </w:rPr>
      </w:pPr>
      <w:r>
        <w:rPr>
          <w:rFonts w:hint="eastAsia" w:ascii="宋体" w:hAnsi="宋体" w:cs="宋体"/>
          <w:color w:val="000000"/>
          <w:sz w:val="24"/>
          <w:u w:val="single"/>
        </w:rPr>
        <w:t xml:space="preserve">二0   </w:t>
      </w:r>
      <w:r>
        <w:rPr>
          <w:rFonts w:hint="eastAsia" w:ascii="宋体" w:hAnsi="宋体" w:cs="宋体"/>
          <w:color w:val="000000"/>
          <w:sz w:val="24"/>
        </w:rPr>
        <w:t xml:space="preserve">年月日</w:t>
      </w:r>
      <w:r/>
    </w:p>
    <w:p>
      <w:pPr>
        <w:ind w:firstLine="482"/>
        <w:spacing w:line="440" w:lineRule="exact"/>
        <w:rPr>
          <w:rFonts w:ascii="宋体" w:hAnsi="宋体" w:cs="宋体"/>
          <w:b/>
          <w:bCs/>
          <w:color w:val="000000"/>
          <w:sz w:val="24"/>
        </w:rPr>
      </w:pPr>
      <w:r>
        <w:rPr>
          <w:rFonts w:ascii="宋体" w:hAnsi="宋体" w:cs="宋体"/>
          <w:b/>
          <w:bCs/>
          <w:color w:val="000000"/>
          <w:sz w:val="24"/>
        </w:rPr>
      </w:r>
      <w:r/>
    </w:p>
    <w:p>
      <w:pPr>
        <w:pStyle w:val="835"/>
        <w:rPr>
          <w:rFonts w:hAnsi="宋体" w:cs="宋体"/>
          <w:b/>
          <w:color w:val="000000"/>
          <w:sz w:val="24"/>
          <w:szCs w:val="24"/>
        </w:rPr>
      </w:pPr>
      <w:r>
        <w:rPr>
          <w:rFonts w:hAnsi="宋体" w:cs="宋体"/>
          <w:b/>
          <w:color w:val="000000"/>
          <w:sz w:val="24"/>
          <w:szCs w:val="24"/>
        </w:rPr>
      </w:r>
      <w:r/>
    </w:p>
    <w:p>
      <w:pPr>
        <w:pStyle w:val="835"/>
        <w:rPr>
          <w:rFonts w:hAnsi="宋体" w:cs="宋体"/>
          <w:b/>
          <w:color w:val="000000"/>
          <w:sz w:val="24"/>
          <w:szCs w:val="24"/>
        </w:rPr>
      </w:pPr>
      <w:r>
        <w:rPr>
          <w:rFonts w:hAnsi="宋体" w:cs="宋体"/>
          <w:b/>
          <w:color w:val="000000"/>
          <w:sz w:val="24"/>
          <w:szCs w:val="24"/>
        </w:rPr>
      </w:r>
      <w:r/>
    </w:p>
    <w:p>
      <w:pPr>
        <w:pStyle w:val="835"/>
        <w:rPr>
          <w:rFonts w:hAnsi="宋体" w:cs="宋体"/>
          <w:b/>
          <w:color w:val="000000"/>
          <w:sz w:val="24"/>
          <w:szCs w:val="24"/>
        </w:rPr>
      </w:pPr>
      <w:r>
        <w:rPr>
          <w:rFonts w:hAnsi="宋体" w:cs="宋体"/>
          <w:b/>
          <w:color w:val="000000"/>
          <w:sz w:val="24"/>
          <w:szCs w:val="24"/>
        </w:rPr>
      </w:r>
      <w:r/>
    </w:p>
    <w:p>
      <w:pPr>
        <w:pStyle w:val="835"/>
        <w:rPr>
          <w:rFonts w:hAnsi="宋体" w:cs="宋体"/>
          <w:b/>
          <w:color w:val="000000"/>
          <w:sz w:val="24"/>
          <w:szCs w:val="24"/>
        </w:rPr>
      </w:pPr>
      <w:r>
        <w:rPr>
          <w:rFonts w:hAnsi="宋体" w:cs="宋体"/>
          <w:b/>
          <w:color w:val="000000"/>
          <w:sz w:val="24"/>
          <w:szCs w:val="24"/>
        </w:rPr>
      </w:r>
      <w:r/>
    </w:p>
    <w:p>
      <w:pPr>
        <w:pStyle w:val="835"/>
        <w:rPr>
          <w:rFonts w:hAnsi="宋体" w:cs="宋体"/>
          <w:b/>
          <w:color w:val="000000"/>
          <w:sz w:val="24"/>
          <w:szCs w:val="24"/>
        </w:rPr>
      </w:pPr>
      <w:r>
        <w:rPr>
          <w:rFonts w:hAnsi="宋体" w:cs="宋体"/>
          <w:b/>
          <w:color w:val="000000"/>
          <w:sz w:val="24"/>
          <w:szCs w:val="24"/>
        </w:rPr>
      </w:r>
      <w:r/>
    </w:p>
    <w:p>
      <w:pPr>
        <w:pStyle w:val="835"/>
        <w:rPr>
          <w:rFonts w:hAnsi="宋体" w:cs="宋体"/>
          <w:b/>
          <w:color w:val="000000"/>
          <w:sz w:val="24"/>
          <w:szCs w:val="24"/>
        </w:rPr>
      </w:pPr>
      <w:r>
        <w:rPr>
          <w:rFonts w:hAnsi="宋体" w:cs="宋体"/>
          <w:b/>
          <w:color w:val="000000"/>
          <w:sz w:val="24"/>
          <w:szCs w:val="24"/>
        </w:rPr>
      </w:r>
      <w:r/>
    </w:p>
    <w:p>
      <w:pPr>
        <w:pStyle w:val="835"/>
        <w:rPr>
          <w:rFonts w:hAnsi="宋体" w:cs="宋体"/>
          <w:b/>
          <w:color w:val="000000"/>
          <w:sz w:val="24"/>
          <w:szCs w:val="24"/>
        </w:rPr>
      </w:pPr>
      <w:r>
        <w:rPr>
          <w:rFonts w:hAnsi="宋体" w:cs="宋体"/>
          <w:b/>
          <w:color w:val="000000"/>
          <w:sz w:val="24"/>
          <w:szCs w:val="24"/>
        </w:rPr>
      </w:r>
      <w:r/>
    </w:p>
    <w:p>
      <w:pPr>
        <w:pStyle w:val="835"/>
        <w:rPr>
          <w:rFonts w:hAnsi="宋体" w:cs="宋体"/>
          <w:b/>
          <w:color w:val="000000"/>
          <w:sz w:val="24"/>
          <w:szCs w:val="24"/>
        </w:rPr>
      </w:pPr>
      <w:r>
        <w:rPr>
          <w:rFonts w:hAnsi="宋体" w:cs="宋体"/>
          <w:b/>
          <w:color w:val="000000"/>
          <w:sz w:val="24"/>
          <w:szCs w:val="24"/>
        </w:rPr>
      </w:r>
      <w:r/>
    </w:p>
    <w:p>
      <w:pPr>
        <w:pStyle w:val="835"/>
        <w:rPr>
          <w:rFonts w:hAnsi="宋体" w:cs="宋体"/>
          <w:b/>
          <w:color w:val="000000"/>
          <w:sz w:val="24"/>
          <w:szCs w:val="24"/>
        </w:rPr>
      </w:pPr>
      <w:r>
        <w:rPr>
          <w:rFonts w:hAnsi="宋体" w:cs="宋体"/>
          <w:b/>
          <w:color w:val="000000"/>
          <w:sz w:val="24"/>
          <w:szCs w:val="24"/>
        </w:rPr>
      </w:r>
      <w:r/>
    </w:p>
    <w:p>
      <w:pPr>
        <w:pStyle w:val="835"/>
        <w:rPr>
          <w:rFonts w:hAnsi="宋体" w:cs="宋体"/>
          <w:b/>
          <w:color w:val="000000"/>
          <w:sz w:val="24"/>
          <w:szCs w:val="24"/>
        </w:rPr>
      </w:pPr>
      <w:r>
        <w:rPr>
          <w:rFonts w:hAnsi="宋体" w:cs="宋体"/>
          <w:b/>
          <w:color w:val="000000"/>
          <w:sz w:val="24"/>
          <w:szCs w:val="24"/>
        </w:rPr>
      </w:r>
      <w:r/>
    </w:p>
    <w:p>
      <w:pPr>
        <w:pStyle w:val="835"/>
        <w:rPr>
          <w:rFonts w:hAnsi="宋体" w:cs="宋体"/>
          <w:b/>
          <w:color w:val="000000"/>
          <w:sz w:val="24"/>
          <w:szCs w:val="24"/>
        </w:rPr>
      </w:pPr>
      <w:r>
        <w:rPr>
          <w:rFonts w:hAnsi="宋体" w:cs="宋体"/>
          <w:b/>
          <w:color w:val="000000"/>
          <w:sz w:val="24"/>
          <w:szCs w:val="24"/>
        </w:rPr>
      </w:r>
      <w:r/>
    </w:p>
    <w:p>
      <w:pPr>
        <w:pStyle w:val="835"/>
        <w:rPr>
          <w:rFonts w:hAnsi="宋体" w:cs="宋体"/>
          <w:b/>
          <w:color w:val="000000"/>
          <w:sz w:val="24"/>
          <w:szCs w:val="24"/>
        </w:rPr>
      </w:pPr>
      <w:r>
        <w:rPr>
          <w:rFonts w:hAnsi="宋体" w:cs="宋体"/>
          <w:b/>
          <w:color w:val="000000"/>
          <w:sz w:val="24"/>
          <w:szCs w:val="24"/>
        </w:rPr>
      </w:r>
      <w:r/>
    </w:p>
    <w:p>
      <w:pPr>
        <w:pStyle w:val="835"/>
        <w:rPr>
          <w:rFonts w:hAnsi="宋体" w:cs="宋体"/>
          <w:b/>
          <w:color w:val="000000"/>
          <w:sz w:val="24"/>
          <w:szCs w:val="24"/>
        </w:rPr>
      </w:pPr>
      <w:r>
        <w:rPr>
          <w:rFonts w:hAnsi="宋体" w:cs="宋体"/>
          <w:b/>
          <w:color w:val="000000"/>
          <w:sz w:val="24"/>
          <w:szCs w:val="24"/>
        </w:rPr>
      </w:r>
      <w:r/>
    </w:p>
    <w:p>
      <w:pPr>
        <w:pStyle w:val="835"/>
        <w:rPr>
          <w:rFonts w:hAnsi="宋体" w:cs="宋体"/>
          <w:b/>
          <w:color w:val="000000"/>
          <w:sz w:val="24"/>
          <w:szCs w:val="24"/>
        </w:rPr>
      </w:pPr>
      <w:r>
        <w:rPr>
          <w:rFonts w:hAnsi="宋体" w:cs="宋体"/>
          <w:b/>
          <w:color w:val="000000"/>
          <w:sz w:val="24"/>
          <w:szCs w:val="24"/>
        </w:rPr>
      </w:r>
      <w:r/>
    </w:p>
    <w:p>
      <w:pPr>
        <w:pStyle w:val="835"/>
        <w:rPr>
          <w:rFonts w:hAnsi="宋体" w:cs="宋体"/>
          <w:b/>
          <w:color w:val="000000"/>
          <w:sz w:val="24"/>
          <w:szCs w:val="24"/>
        </w:rPr>
      </w:pPr>
      <w:r>
        <w:rPr>
          <w:rFonts w:hAnsi="宋体" w:cs="宋体"/>
          <w:b/>
          <w:color w:val="000000"/>
          <w:sz w:val="24"/>
          <w:szCs w:val="24"/>
        </w:rPr>
      </w:r>
      <w:r/>
    </w:p>
    <w:p>
      <w:pPr>
        <w:pStyle w:val="834"/>
        <w:spacing w:line="400" w:lineRule="exact"/>
        <w:shd w:val="clear" w:color="auto" w:fill="ffffff"/>
        <w:rPr>
          <w:rFonts w:hint="eastAsia" w:hAnsi="宋体" w:cs="宋体"/>
          <w:color w:val="000000"/>
          <w:sz w:val="28"/>
          <w:szCs w:val="28"/>
        </w:rPr>
      </w:pPr>
      <w:r>
        <w:rPr>
          <w:rFonts w:hint="eastAsia" w:hAnsi="宋体" w:cs="宋体"/>
          <w:color w:val="000000"/>
          <w:sz w:val="28"/>
          <w:szCs w:val="28"/>
        </w:rPr>
        <w:t xml:space="preserve">示范格式三</w:t>
      </w:r>
      <w:r/>
    </w:p>
    <w:p>
      <w:pPr>
        <w:jc w:val="center"/>
        <w:spacing w:line="480" w:lineRule="auto"/>
        <w:rPr>
          <w:rFonts w:ascii="宋体" w:hAnsi="宋体" w:cs="宋体"/>
          <w:b/>
          <w:bCs/>
          <w:color w:val="000000"/>
          <w:sz w:val="24"/>
          <w:lang w:val="zh-CN"/>
        </w:rPr>
      </w:pPr>
      <w:r>
        <w:rPr>
          <w:rFonts w:hint="eastAsia" w:ascii="宋体" w:hAnsi="宋体" w:cs="宋体"/>
          <w:b/>
          <w:bCs/>
          <w:color w:val="000000"/>
          <w:sz w:val="24"/>
          <w:lang w:val="zh-CN"/>
        </w:rPr>
        <w:t xml:space="preserve">承   诺  书</w:t>
      </w:r>
      <w:r/>
    </w:p>
    <w:p>
      <w:pPr>
        <w:ind w:firstLine="120"/>
        <w:jc w:val="left"/>
        <w:spacing w:line="520" w:lineRule="exact"/>
        <w:rPr>
          <w:rFonts w:ascii="宋体" w:hAnsi="宋体" w:cs="宋体"/>
          <w:color w:val="000000"/>
          <w:sz w:val="24"/>
        </w:rPr>
      </w:pPr>
      <w:r>
        <w:rPr>
          <w:rFonts w:hint="eastAsia" w:ascii="宋体" w:hAnsi="宋体" w:cs="宋体"/>
          <w:color w:val="000000"/>
          <w:sz w:val="24"/>
          <w:u w:val="single"/>
        </w:rPr>
        <w:t xml:space="preserve">  （采购单位）          </w:t>
      </w:r>
      <w:r>
        <w:rPr>
          <w:rFonts w:hint="eastAsia" w:ascii="宋体" w:hAnsi="宋体" w:cs="宋体"/>
          <w:color w:val="000000"/>
          <w:sz w:val="24"/>
        </w:rPr>
        <w:t xml:space="preserve">：</w:t>
      </w:r>
      <w:r/>
    </w:p>
    <w:p>
      <w:pPr>
        <w:spacing w:line="520" w:lineRule="exact"/>
        <w:rPr>
          <w:rFonts w:ascii="宋体" w:hAnsi="宋体" w:cs="宋体"/>
          <w:color w:val="000000"/>
          <w:sz w:val="24"/>
        </w:rPr>
      </w:pPr>
      <w:r>
        <w:rPr>
          <w:rFonts w:hint="eastAsia" w:ascii="宋体" w:hAnsi="宋体" w:cs="宋体"/>
          <w:color w:val="000000"/>
          <w:sz w:val="24"/>
        </w:rPr>
        <w:t xml:space="preserve">    我方在项目名称：                      （项目编号：       ）的招标过程中，做如下承诺：</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一、我方完全具备履行合同所必须的设备和专业技术能力；</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二、我方参加政府采购活动前3年内在经营活动中没有重大违法记录（因违法经营受到刑事处罚或者责令停产停业、吊销许可证或者执照、较大数额罚款等行政处罚）。</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三、我方与参加本次采购活动的其他单位不存在单位负责人为同一人的情况，也不存在控股、管理关系的情况；</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四、我方没有为本采购项目提供整体设计、规范编制或者项目管理、监理、检测等服务；</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五、我方保证上述信息的真实和准确，并愿意承担因我方就此弄虚作假所引起的一切法律后果，并自愿接受相关监管部门作出的任何处罚。</w:t>
      </w:r>
      <w:r/>
    </w:p>
    <w:p>
      <w:pPr>
        <w:ind w:firstLine="480"/>
        <w:spacing w:line="520" w:lineRule="exact"/>
        <w:rPr>
          <w:rFonts w:ascii="宋体" w:hAnsi="宋体" w:cs="宋体"/>
          <w:color w:val="000000"/>
          <w:sz w:val="24"/>
        </w:rPr>
      </w:pPr>
      <w:r>
        <w:rPr>
          <w:rFonts w:ascii="宋体" w:hAnsi="宋体" w:cs="宋体"/>
          <w:color w:val="000000"/>
          <w:sz w:val="24"/>
        </w:rPr>
      </w:r>
      <w:r/>
    </w:p>
    <w:p>
      <w:pPr>
        <w:ind w:firstLine="480"/>
        <w:spacing w:line="520" w:lineRule="exact"/>
        <w:rPr>
          <w:rFonts w:ascii="宋体" w:hAnsi="宋体" w:cs="宋体"/>
          <w:color w:val="000000"/>
          <w:sz w:val="24"/>
        </w:rPr>
      </w:pPr>
      <w:r>
        <w:rPr>
          <w:rFonts w:hint="eastAsia" w:ascii="宋体" w:hAnsi="宋体" w:cs="宋体"/>
          <w:color w:val="000000"/>
          <w:sz w:val="24"/>
        </w:rPr>
        <w:t xml:space="preserve">特此承诺！</w:t>
      </w:r>
      <w:r/>
    </w:p>
    <w:p>
      <w:pPr>
        <w:ind w:right="420"/>
        <w:spacing w:line="520" w:lineRule="exact"/>
        <w:rPr>
          <w:rFonts w:ascii="宋体" w:hAnsi="宋体" w:cs="宋体"/>
          <w:color w:val="000000"/>
          <w:sz w:val="24"/>
        </w:rPr>
      </w:pPr>
      <w:r>
        <w:rPr>
          <w:rFonts w:ascii="宋体" w:hAnsi="宋体" w:cs="宋体"/>
          <w:color w:val="000000"/>
          <w:sz w:val="24"/>
        </w:rPr>
      </w:r>
      <w:r/>
    </w:p>
    <w:p>
      <w:pPr>
        <w:ind w:right="420"/>
        <w:spacing w:line="520" w:lineRule="exact"/>
        <w:rPr>
          <w:rFonts w:ascii="宋体" w:hAnsi="宋体" w:cs="宋体"/>
          <w:color w:val="000000"/>
          <w:sz w:val="24"/>
        </w:rPr>
      </w:pPr>
      <w:r>
        <w:rPr>
          <w:rFonts w:hint="eastAsia" w:ascii="宋体" w:hAnsi="宋体" w:cs="宋体"/>
          <w:color w:val="000000"/>
          <w:sz w:val="24"/>
        </w:rPr>
        <w:t xml:space="preserve">                  法定代表人或委托代理人（签字）：          </w:t>
      </w:r>
      <w:r/>
    </w:p>
    <w:p>
      <w:pPr>
        <w:ind w:right="420"/>
        <w:spacing w:line="520" w:lineRule="exact"/>
        <w:rPr>
          <w:rFonts w:ascii="宋体" w:hAnsi="宋体" w:cs="宋体"/>
          <w:color w:val="000000"/>
          <w:sz w:val="24"/>
        </w:rPr>
      </w:pPr>
      <w:r>
        <w:rPr>
          <w:rFonts w:ascii="宋体" w:hAnsi="宋体" w:cs="宋体"/>
          <w:color w:val="000000"/>
          <w:sz w:val="24"/>
        </w:rPr>
      </w:r>
      <w:r/>
    </w:p>
    <w:p>
      <w:pPr>
        <w:ind w:right="420"/>
        <w:jc w:val="right"/>
        <w:spacing w:line="520" w:lineRule="exact"/>
        <w:rPr>
          <w:rFonts w:ascii="宋体" w:hAnsi="宋体" w:cs="宋体"/>
          <w:color w:val="000000"/>
          <w:sz w:val="24"/>
        </w:rPr>
      </w:pPr>
      <w:r>
        <w:rPr>
          <w:rFonts w:hint="eastAsia" w:ascii="宋体" w:hAnsi="宋体" w:cs="宋体"/>
          <w:color w:val="000000"/>
          <w:sz w:val="24"/>
        </w:rPr>
        <w:t xml:space="preserve"> 供应商：（盖单位公章）              </w:t>
      </w:r>
      <w:r/>
    </w:p>
    <w:p>
      <w:pPr>
        <w:pStyle w:val="835"/>
        <w:jc w:val="center"/>
        <w:spacing w:line="336" w:lineRule="auto"/>
        <w:widowControl/>
        <w:rPr>
          <w:rFonts w:hAnsi="宋体" w:cs="宋体"/>
          <w:color w:val="000000"/>
          <w:sz w:val="24"/>
          <w:szCs w:val="24"/>
        </w:rPr>
      </w:pPr>
      <w:r>
        <w:rPr>
          <w:rFonts w:hint="eastAsia" w:hAnsi="宋体" w:cs="宋体"/>
          <w:color w:val="000000"/>
          <w:sz w:val="24"/>
          <w:szCs w:val="24"/>
        </w:rPr>
        <w:t xml:space="preserve">                                       日期:      年   月 </w:t>
      </w:r>
      <w:r/>
    </w:p>
    <w:p>
      <w:pPr>
        <w:pStyle w:val="835"/>
        <w:jc w:val="center"/>
        <w:spacing w:line="336" w:lineRule="auto"/>
        <w:widowControl/>
        <w:rPr>
          <w:rFonts w:hAnsi="宋体" w:cs="宋体"/>
          <w:color w:val="000000"/>
          <w:sz w:val="24"/>
          <w:szCs w:val="24"/>
        </w:rPr>
      </w:pPr>
      <w:r>
        <w:rPr>
          <w:rFonts w:hAnsi="宋体" w:cs="宋体"/>
          <w:color w:val="000000"/>
          <w:sz w:val="24"/>
          <w:szCs w:val="24"/>
        </w:rPr>
      </w:r>
      <w:r/>
    </w:p>
    <w:p>
      <w:pPr>
        <w:pStyle w:val="836"/>
        <w:rPr>
          <w:rFonts w:ascii="宋体" w:hAnsi="宋体" w:eastAsia="宋体" w:cs="宋体"/>
          <w:color w:val="000000"/>
          <w:szCs w:val="24"/>
          <w:lang w:val="en-US"/>
        </w:rPr>
      </w:pPr>
      <w:r>
        <w:rPr>
          <w:rFonts w:ascii="宋体" w:hAnsi="宋体" w:eastAsia="宋体" w:cs="宋体"/>
          <w:color w:val="000000"/>
          <w:szCs w:val="24"/>
          <w:lang w:val="en-US"/>
        </w:rPr>
      </w:r>
      <w:r/>
    </w:p>
    <w:p>
      <w:pPr>
        <w:pStyle w:val="836"/>
        <w:rPr>
          <w:rFonts w:ascii="宋体" w:hAnsi="宋体" w:eastAsia="宋体" w:cs="宋体"/>
          <w:color w:val="000000"/>
          <w:szCs w:val="24"/>
          <w:lang w:val="en-US"/>
        </w:rPr>
        <w:sectPr>
          <w:footnotePr/>
          <w:endnotePr/>
          <w:type w:val="nextPage"/>
          <w:pgSz w:w="11906" w:h="16838" w:orient="portrait"/>
          <w:pgMar w:top="1440" w:right="1474" w:bottom="1440" w:left="1474" w:header="851" w:footer="992" w:gutter="0"/>
          <w:cols w:num="1" w:sep="0" w:space="1701" w:equalWidth="1"/>
          <w:docGrid w:linePitch="360"/>
        </w:sectPr>
      </w:pPr>
      <w:r>
        <w:rPr>
          <w:rFonts w:ascii="宋体" w:hAnsi="宋体" w:eastAsia="宋体" w:cs="宋体"/>
          <w:color w:val="000000"/>
          <w:szCs w:val="24"/>
          <w:lang w:val="en-US"/>
        </w:rPr>
      </w:r>
      <w:r/>
    </w:p>
    <w:p>
      <w:pPr>
        <w:pStyle w:val="835"/>
        <w:ind w:firstLine="562"/>
        <w:rPr>
          <w:rFonts w:hAnsi="宋体" w:cs="宋体"/>
          <w:b/>
          <w:color w:val="000000"/>
          <w:sz w:val="24"/>
          <w:szCs w:val="24"/>
        </w:rPr>
      </w:pPr>
      <w:r>
        <w:rPr>
          <w:rFonts w:hAnsi="宋体" w:cs="宋体"/>
          <w:b/>
          <w:color w:val="000000"/>
          <w:sz w:val="24"/>
          <w:szCs w:val="24"/>
        </w:rPr>
      </w:r>
      <w:r/>
    </w:p>
    <w:p>
      <w:pPr>
        <w:pStyle w:val="835"/>
        <w:ind w:firstLine="562"/>
        <w:rPr>
          <w:rFonts w:hint="eastAsia" w:ascii="Arial" w:hAnsi="宋体" w:cs="宋体"/>
          <w:b/>
          <w:color w:val="000000"/>
          <w:sz w:val="28"/>
          <w:szCs w:val="28"/>
        </w:rPr>
      </w:pPr>
      <w:r>
        <w:rPr>
          <w:rFonts w:hint="eastAsia" w:ascii="Arial" w:hAnsi="宋体" w:cs="宋体"/>
          <w:b/>
          <w:color w:val="000000"/>
          <w:sz w:val="28"/>
          <w:szCs w:val="28"/>
        </w:rPr>
        <w:t xml:space="preserve">示范格式四</w:t>
      </w:r>
      <w:r/>
    </w:p>
    <w:p>
      <w:pPr>
        <w:jc w:val="center"/>
        <w:spacing w:line="520" w:lineRule="exact"/>
        <w:rPr>
          <w:rFonts w:ascii="宋体" w:hAnsi="宋体" w:cs="宋体"/>
          <w:b/>
          <w:bCs/>
          <w:sz w:val="24"/>
        </w:rPr>
      </w:pPr>
      <w:r>
        <w:rPr>
          <w:rFonts w:ascii="宋体" w:hAnsi="宋体" w:cs="宋体"/>
          <w:b/>
          <w:bCs/>
          <w:sz w:val="24"/>
        </w:rPr>
      </w:r>
      <w:r/>
    </w:p>
    <w:p>
      <w:pPr>
        <w:jc w:val="center"/>
        <w:spacing w:line="520" w:lineRule="exact"/>
        <w:rPr>
          <w:rFonts w:ascii="宋体" w:hAnsi="宋体" w:cs="宋体"/>
          <w:b/>
          <w:bCs/>
          <w:sz w:val="24"/>
        </w:rPr>
      </w:pPr>
      <w:r>
        <w:rPr>
          <w:rFonts w:hint="eastAsia" w:ascii="宋体" w:hAnsi="宋体" w:cs="宋体"/>
          <w:b/>
          <w:bCs/>
          <w:sz w:val="24"/>
        </w:rPr>
        <w:t xml:space="preserve">符合《政府采购法》第二十二条规定条件的声明函</w:t>
      </w:r>
      <w:r/>
    </w:p>
    <w:p>
      <w:pPr>
        <w:pStyle w:val="835"/>
        <w:spacing w:line="400" w:lineRule="exact"/>
        <w:rPr>
          <w:rFonts w:hAnsi="宋体" w:cs="宋体"/>
          <w:sz w:val="24"/>
          <w:szCs w:val="24"/>
        </w:rPr>
      </w:pPr>
      <w:r>
        <w:rPr>
          <w:rFonts w:hAnsi="宋体" w:cs="宋体"/>
          <w:sz w:val="24"/>
          <w:szCs w:val="24"/>
        </w:rPr>
      </w:r>
      <w:r/>
    </w:p>
    <w:p>
      <w:pPr>
        <w:pStyle w:val="835"/>
        <w:spacing w:line="480" w:lineRule="auto"/>
        <w:rPr>
          <w:rFonts w:hAnsi="宋体" w:cs="宋体"/>
          <w:sz w:val="24"/>
          <w:szCs w:val="24"/>
        </w:rPr>
      </w:pPr>
      <w:r>
        <w:rPr>
          <w:rFonts w:hint="eastAsia" w:hAnsi="宋体" w:cs="宋体"/>
          <w:sz w:val="24"/>
          <w:szCs w:val="24"/>
          <w:u w:val="single"/>
        </w:rPr>
        <w:t xml:space="preserve">        （采购单位） </w:t>
      </w:r>
      <w:r>
        <w:rPr>
          <w:rFonts w:hint="eastAsia" w:hAnsi="宋体" w:cs="宋体"/>
          <w:sz w:val="24"/>
          <w:szCs w:val="24"/>
        </w:rPr>
        <w:t xml:space="preserve">：</w:t>
      </w:r>
      <w:r/>
    </w:p>
    <w:p>
      <w:pPr>
        <w:pStyle w:val="835"/>
        <w:ind w:firstLine="480"/>
        <w:spacing w:line="480" w:lineRule="auto"/>
        <w:rPr>
          <w:rFonts w:hAnsi="宋体" w:cs="宋体"/>
          <w:sz w:val="24"/>
          <w:szCs w:val="24"/>
        </w:rPr>
      </w:pPr>
      <w:r>
        <w:rPr>
          <w:rFonts w:hint="eastAsia" w:hAnsi="宋体" w:cs="宋体"/>
          <w:sz w:val="24"/>
          <w:szCs w:val="24"/>
        </w:rPr>
        <w:t xml:space="preserve">我公司在项目（编号：）投标过程中，作如下承诺：</w:t>
      </w:r>
      <w:r/>
    </w:p>
    <w:p>
      <w:pPr>
        <w:ind w:firstLine="240"/>
        <w:spacing w:line="520" w:lineRule="exact"/>
        <w:rPr>
          <w:rFonts w:ascii="宋体" w:hAnsi="宋体" w:cs="宋体"/>
          <w:sz w:val="24"/>
        </w:rPr>
      </w:pPr>
      <w:r>
        <w:rPr>
          <w:rFonts w:hint="eastAsia" w:ascii="宋体" w:hAnsi="宋体" w:cs="宋体"/>
          <w:sz w:val="24"/>
        </w:rPr>
        <w:t xml:space="preserve">1、我单位具有独立承担民事责任的能力；</w:t>
      </w:r>
      <w:r/>
    </w:p>
    <w:p>
      <w:pPr>
        <w:ind w:firstLine="480"/>
        <w:spacing w:line="520" w:lineRule="exact"/>
        <w:rPr>
          <w:rFonts w:ascii="宋体" w:hAnsi="宋体" w:cs="宋体"/>
          <w:sz w:val="24"/>
        </w:rPr>
      </w:pPr>
      <w:r>
        <w:rPr>
          <w:rFonts w:hint="eastAsia" w:ascii="宋体" w:hAnsi="宋体" w:cs="宋体"/>
          <w:sz w:val="24"/>
        </w:rPr>
        <w:t xml:space="preserve">2、我单位具有良好的商业信誉和健全的财务会计制度；</w:t>
      </w:r>
      <w:r/>
    </w:p>
    <w:p>
      <w:pPr>
        <w:ind w:firstLine="480"/>
        <w:spacing w:line="520" w:lineRule="exact"/>
        <w:rPr>
          <w:rFonts w:ascii="宋体" w:hAnsi="宋体" w:cs="宋体"/>
          <w:sz w:val="24"/>
        </w:rPr>
      </w:pPr>
      <w:r>
        <w:rPr>
          <w:rFonts w:hint="eastAsia" w:ascii="宋体" w:hAnsi="宋体" w:cs="宋体"/>
          <w:sz w:val="24"/>
        </w:rPr>
        <w:t xml:space="preserve">3、我单位具有履行合同所必需的设备和专业技术能力；</w:t>
      </w:r>
      <w:r/>
    </w:p>
    <w:p>
      <w:pPr>
        <w:ind w:firstLine="480"/>
        <w:spacing w:line="520" w:lineRule="exact"/>
        <w:rPr>
          <w:rFonts w:ascii="宋体" w:hAnsi="宋体" w:cs="宋体"/>
          <w:sz w:val="24"/>
        </w:rPr>
      </w:pPr>
      <w:r>
        <w:rPr>
          <w:rFonts w:hint="eastAsia" w:ascii="宋体" w:hAnsi="宋体" w:cs="宋体"/>
          <w:sz w:val="24"/>
        </w:rPr>
        <w:t xml:space="preserve">4、我单位有依法缴纳税收和社会保障资金的良好记录；</w:t>
      </w:r>
      <w:r/>
    </w:p>
    <w:p>
      <w:pPr>
        <w:ind w:firstLine="480"/>
        <w:jc w:val="left"/>
        <w:spacing w:line="640" w:lineRule="exact"/>
        <w:rPr>
          <w:rFonts w:ascii="宋体" w:hAnsi="宋体" w:cs="宋体"/>
          <w:sz w:val="24"/>
        </w:rPr>
      </w:pPr>
      <w:r>
        <w:rPr>
          <w:rFonts w:hint="eastAsia" w:ascii="宋体" w:hAnsi="宋体" w:cs="宋体"/>
          <w:sz w:val="24"/>
        </w:rPr>
        <w:t xml:space="preserve">5、参加本次政府采购活动前三年内，我公司在经营活动中没有因违法经营受到刑事处罚或者责令停产停业、吊销许可证或者执照、较大数额罚款等行政处罚。</w:t>
      </w:r>
      <w:r/>
    </w:p>
    <w:p>
      <w:pPr>
        <w:ind w:firstLine="547"/>
        <w:spacing w:line="520" w:lineRule="exact"/>
        <w:rPr>
          <w:rFonts w:ascii="宋体" w:hAnsi="宋体" w:cs="宋体"/>
          <w:sz w:val="24"/>
        </w:rPr>
      </w:pPr>
      <w:r>
        <w:rPr>
          <w:rFonts w:hint="eastAsia" w:ascii="宋体" w:hAnsi="宋体" w:cs="宋体"/>
          <w:sz w:val="24"/>
        </w:rPr>
        <w:t xml:space="preserve">6、我单位满足法律、行政法规规定的其他条件。</w:t>
      </w:r>
      <w:r/>
    </w:p>
    <w:p>
      <w:pPr>
        <w:pStyle w:val="835"/>
        <w:ind w:left="3960" w:hanging="3960"/>
        <w:spacing w:line="480" w:lineRule="auto"/>
        <w:rPr>
          <w:rFonts w:hAnsi="宋体" w:cs="宋体"/>
          <w:sz w:val="24"/>
          <w:szCs w:val="24"/>
        </w:rPr>
      </w:pPr>
      <w:r>
        <w:rPr>
          <w:rFonts w:hint="eastAsia" w:hAnsi="宋体" w:cs="宋体"/>
          <w:sz w:val="24"/>
          <w:szCs w:val="24"/>
        </w:rPr>
        <w:t xml:space="preserve">                                                                                   供应商（盖章）  </w:t>
      </w:r>
      <w:r/>
    </w:p>
    <w:p>
      <w:pPr>
        <w:pStyle w:val="835"/>
        <w:ind w:left="4080" w:hanging="4080"/>
        <w:spacing w:line="400" w:lineRule="exact"/>
        <w:rPr>
          <w:rFonts w:hAnsi="宋体" w:cs="宋体"/>
          <w:sz w:val="24"/>
          <w:szCs w:val="24"/>
        </w:rPr>
      </w:pPr>
      <w:r>
        <w:rPr>
          <w:rFonts w:hAnsi="宋体" w:cs="宋体"/>
          <w:sz w:val="24"/>
          <w:szCs w:val="24"/>
        </w:rPr>
      </w:r>
      <w:r/>
    </w:p>
    <w:p>
      <w:pPr>
        <w:pStyle w:val="835"/>
        <w:ind w:firstLine="480"/>
        <w:spacing w:line="400" w:lineRule="exact"/>
        <w:rPr>
          <w:rFonts w:hAnsi="宋体" w:cs="宋体"/>
          <w:sz w:val="24"/>
          <w:szCs w:val="24"/>
        </w:rPr>
      </w:pPr>
      <w:r>
        <w:rPr>
          <w:rFonts w:hint="eastAsia" w:hAnsi="宋体" w:cs="宋体"/>
          <w:sz w:val="24"/>
          <w:szCs w:val="24"/>
        </w:rPr>
        <w:t xml:space="preserve">                            日 期：  年   月   日</w:t>
      </w:r>
      <w:r/>
    </w:p>
    <w:p>
      <w:pPr>
        <w:ind w:firstLine="480"/>
        <w:spacing w:line="520" w:lineRule="exact"/>
        <w:rPr>
          <w:rFonts w:ascii="宋体" w:hAnsi="宋体" w:cs="宋体"/>
          <w:sz w:val="24"/>
        </w:rPr>
      </w:pPr>
      <w:r>
        <w:rPr>
          <w:rFonts w:ascii="宋体" w:hAnsi="宋体" w:cs="宋体"/>
          <w:sz w:val="24"/>
        </w:rPr>
      </w:r>
      <w:r/>
    </w:p>
    <w:p>
      <w:pPr>
        <w:pStyle w:val="836"/>
        <w:rPr>
          <w:rFonts w:ascii="宋体" w:hAnsi="宋体" w:eastAsia="宋体" w:cs="宋体"/>
          <w:color w:val="000000"/>
          <w:szCs w:val="24"/>
          <w:lang w:val="en-US"/>
        </w:rPr>
      </w:pPr>
      <w:r>
        <w:rPr>
          <w:rFonts w:ascii="宋体" w:hAnsi="宋体" w:eastAsia="宋体" w:cs="宋体"/>
          <w:color w:val="000000"/>
          <w:szCs w:val="24"/>
          <w:lang w:val="en-US"/>
        </w:rPr>
      </w:r>
      <w:r/>
    </w:p>
    <w:p>
      <w:pPr>
        <w:pStyle w:val="834"/>
        <w:spacing w:line="400" w:lineRule="exact"/>
        <w:shd w:val="clear" w:color="auto" w:fill="ffffff"/>
        <w:rPr>
          <w:rFonts w:hAnsi="宋体" w:cs="宋体"/>
          <w:color w:val="000000"/>
          <w:sz w:val="24"/>
          <w:szCs w:val="24"/>
        </w:rPr>
      </w:pPr>
      <w:r/>
      <w:bookmarkStart w:id="6" w:name="_Toc49352288"/>
      <w:r/>
      <w:bookmarkStart w:id="7" w:name="_Toc12956505"/>
      <w:r/>
      <w:r/>
    </w:p>
    <w:p>
      <w:pPr>
        <w:rPr>
          <w:rFonts w:hAnsi="宋体" w:cs="宋体"/>
          <w:color w:val="000000"/>
          <w:sz w:val="24"/>
        </w:rPr>
      </w:pPr>
      <w:r>
        <w:rPr>
          <w:rFonts w:hAnsi="宋体" w:cs="宋体"/>
          <w:color w:val="000000"/>
          <w:sz w:val="24"/>
        </w:rPr>
      </w:r>
      <w:r/>
    </w:p>
    <w:p>
      <w:pPr>
        <w:pStyle w:val="837"/>
      </w:p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pStyle w:val="834"/>
        <w:spacing w:line="400" w:lineRule="exact"/>
        <w:shd w:val="clear" w:color="auto" w:fill="ffffff"/>
        <w:rPr>
          <w:rFonts w:hAnsi="宋体" w:cs="宋体"/>
          <w:color w:val="000000"/>
          <w:sz w:val="24"/>
          <w:szCs w:val="24"/>
        </w:rPr>
      </w:pPr>
      <w:r>
        <w:rPr>
          <w:rFonts w:hAnsi="宋体" w:cs="宋体"/>
          <w:color w:val="000000"/>
          <w:sz w:val="24"/>
          <w:szCs w:val="24"/>
        </w:rPr>
      </w:r>
      <w:r/>
    </w:p>
    <w:p>
      <w:pPr>
        <w:pStyle w:val="834"/>
        <w:spacing w:line="400" w:lineRule="exact"/>
        <w:shd w:val="clear" w:color="auto" w:fill="ffffff"/>
        <w:rPr>
          <w:rFonts w:hint="eastAsia" w:hAnsi="宋体" w:cs="宋体"/>
          <w:color w:val="000000"/>
          <w:sz w:val="28"/>
          <w:szCs w:val="28"/>
        </w:rPr>
      </w:pPr>
      <w:r>
        <w:rPr>
          <w:rFonts w:hint="eastAsia" w:hAnsi="宋体" w:cs="宋体"/>
          <w:color w:val="000000"/>
          <w:sz w:val="28"/>
          <w:szCs w:val="28"/>
        </w:rPr>
        <w:t xml:space="preserve">示范格式五</w:t>
      </w:r>
      <w:bookmarkEnd w:id="6"/>
      <w:r/>
      <w:bookmarkEnd w:id="7"/>
      <w:r/>
      <w:r/>
    </w:p>
    <w:p>
      <w:pPr>
        <w:ind w:firstLine="241"/>
        <w:jc w:val="center"/>
        <w:spacing w:line="560" w:lineRule="exact"/>
        <w:rPr>
          <w:rFonts w:ascii="宋体" w:hAnsi="宋体" w:cs="宋体"/>
          <w:b/>
          <w:sz w:val="24"/>
        </w:rPr>
        <w:outlineLvl w:val="0"/>
      </w:pPr>
      <w:r>
        <w:rPr>
          <w:rFonts w:hint="eastAsia" w:ascii="宋体" w:hAnsi="宋体" w:cs="宋体"/>
          <w:b/>
          <w:sz w:val="24"/>
        </w:rPr>
        <w:t xml:space="preserve">中小企业声明函</w:t>
      </w:r>
      <w:r/>
    </w:p>
    <w:p>
      <w:pPr>
        <w:ind w:firstLine="360"/>
        <w:spacing w:line="560" w:lineRule="exact"/>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采购活动，提供的货物全部由符合政策要求的中小企业制造。相关企业的具体情况如下:</w:t>
      </w:r>
      <w:r/>
    </w:p>
    <w:p>
      <w:pPr>
        <w:numPr>
          <w:ilvl w:val="0"/>
          <w:numId w:val="11"/>
        </w:numPr>
        <w:ind w:firstLine="480"/>
        <w:spacing w:line="560" w:lineRule="exact"/>
        <w:rPr>
          <w:rFonts w:ascii="宋体" w:hAnsi="宋体" w:cs="宋体"/>
          <w:sz w:val="24"/>
          <w:u w:val="single"/>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numPr>
          <w:ilvl w:val="0"/>
          <w:numId w:val="11"/>
        </w:numPr>
        <w:ind w:firstLine="480"/>
        <w:spacing w:line="560" w:lineRule="exact"/>
        <w:rPr>
          <w:rFonts w:ascii="宋体" w:hAnsi="宋体" w:cs="宋体"/>
          <w:sz w:val="24"/>
          <w:u w:val="single"/>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838"/>
        <w:ind w:left="0"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w:t>
      </w:r>
      <w:r/>
    </w:p>
    <w:p>
      <w:pPr>
        <w:pStyle w:val="838"/>
        <w:ind w:left="0"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38"/>
        <w:ind w:left="0"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firstLine="360"/>
        <w:jc w:val="center"/>
        <w:spacing w:line="560" w:lineRule="exact"/>
        <w:rPr>
          <w:rFonts w:ascii="宋体" w:hAnsi="宋体" w:cs="宋体"/>
          <w:sz w:val="24"/>
        </w:rPr>
        <w:outlineLvl w:val="2"/>
      </w:pPr>
      <w:r>
        <w:rPr>
          <w:rFonts w:hint="eastAsia" w:ascii="宋体" w:hAnsi="宋体" w:cs="宋体"/>
          <w:sz w:val="24"/>
        </w:rPr>
        <w:t xml:space="preserve">企业名称（盖章）:</w:t>
      </w:r>
      <w:r/>
    </w:p>
    <w:p>
      <w:pPr>
        <w:ind w:right="480" w:firstLine="3840"/>
        <w:spacing w:line="560" w:lineRule="exact"/>
        <w:rPr>
          <w:rFonts w:ascii="宋体" w:hAnsi="宋体" w:cs="宋体"/>
          <w:sz w:val="24"/>
        </w:rPr>
      </w:pPr>
      <w:r>
        <w:rPr>
          <w:rFonts w:hint="eastAsia" w:ascii="宋体" w:hAnsi="宋体" w:cs="宋体"/>
          <w:sz w:val="24"/>
        </w:rPr>
        <w:t xml:space="preserve">日期:</w:t>
      </w:r>
      <w:r/>
    </w:p>
    <w:p>
      <w:pPr>
        <w:ind w:firstLine="240"/>
        <w:spacing w:line="560" w:lineRule="exact"/>
        <w:rPr>
          <w:rFonts w:ascii="宋体" w:hAnsi="宋体" w:cs="宋体"/>
          <w:sz w:val="24"/>
        </w:rPr>
      </w:pPr>
      <w:r>
        <w:rPr>
          <w:rFonts w:ascii="宋体" w:hAnsi="宋体" w:cs="宋体"/>
          <w:sz w:val="24"/>
        </w:rPr>
      </w:r>
      <w:r/>
    </w:p>
    <w:p>
      <w:pPr>
        <w:ind w:firstLine="360"/>
        <w:jc w:val="center"/>
        <w:spacing w:line="400" w:lineRule="exact"/>
        <w:rPr>
          <w:rFonts w:ascii="宋体" w:hAnsi="宋体" w:cs="宋体"/>
          <w:sz w:val="24"/>
        </w:rPr>
      </w:pPr>
      <w:r>
        <w:rPr>
          <w:rFonts w:hint="eastAsia" w:ascii="宋体" w:hAnsi="宋体" w:cs="宋体"/>
          <w:sz w:val="24"/>
        </w:rPr>
        <w:t xml:space="preserve"> </w:t>
      </w:r>
      <w:r/>
    </w:p>
    <w:p>
      <w:pPr>
        <w:ind w:firstLine="240"/>
        <w:spacing w:line="400" w:lineRule="exact"/>
        <w:rPr>
          <w:rFonts w:ascii="宋体" w:hAnsi="宋体" w:cs="宋体"/>
          <w:sz w:val="24"/>
        </w:rPr>
      </w:pPr>
      <w:r>
        <w:rPr>
          <w:rFonts w:ascii="宋体" w:hAnsi="宋体" w:cs="宋体"/>
          <w:sz w:val="24"/>
        </w:rPr>
      </w:r>
      <w:r/>
    </w:p>
    <w:p>
      <w:pPr>
        <w:ind w:firstLine="240"/>
        <w:spacing w:line="400" w:lineRule="exact"/>
        <w:rPr>
          <w:rFonts w:ascii="宋体" w:hAnsi="宋体" w:cs="宋体"/>
          <w:sz w:val="24"/>
        </w:rPr>
      </w:pPr>
      <w:r>
        <w:rPr>
          <w:rFonts w:hint="eastAsia" w:ascii="宋体" w:hAnsi="宋体" w:cs="宋体"/>
          <w:sz w:val="24"/>
        </w:rPr>
        <w:t xml:space="preserve">（备注:供应商如不提供此声明函，价格将不做相应扣除）</w:t>
      </w:r>
      <w:r/>
    </w:p>
    <w:p>
      <w:pPr>
        <w:pStyle w:val="834"/>
        <w:spacing w:line="400" w:lineRule="exact"/>
        <w:shd w:val="clear" w:color="auto" w:fill="ffffff"/>
        <w:rPr>
          <w:rFonts w:hAnsi="宋体" w:cs="宋体"/>
          <w:color w:val="000000"/>
          <w:sz w:val="24"/>
          <w:szCs w:val="24"/>
        </w:rPr>
      </w:pPr>
      <w:r>
        <w:rPr>
          <w:rFonts w:hAnsi="宋体" w:cs="宋体"/>
          <w:color w:val="000000"/>
          <w:sz w:val="24"/>
          <w:szCs w:val="24"/>
        </w:rPr>
      </w:r>
      <w:r/>
    </w:p>
    <w:p>
      <w:pPr>
        <w:rPr>
          <w:rFonts w:hAnsi="宋体" w:cs="宋体"/>
          <w:color w:val="000000"/>
          <w:sz w:val="24"/>
        </w:rPr>
      </w:pPr>
      <w:r>
        <w:rPr>
          <w:rFonts w:hAnsi="宋体" w:cs="宋体"/>
          <w:color w:val="000000"/>
          <w:sz w:val="24"/>
        </w:rPr>
      </w:r>
      <w:r/>
    </w:p>
    <w:p>
      <w:pPr>
        <w:rPr>
          <w:rFonts w:hAnsi="宋体" w:cs="宋体"/>
          <w:color w:val="000000"/>
          <w:sz w:val="24"/>
        </w:rPr>
      </w:pPr>
      <w:r>
        <w:rPr>
          <w:rFonts w:hAnsi="宋体" w:cs="宋体"/>
          <w:color w:val="000000"/>
          <w:sz w:val="24"/>
        </w:rPr>
      </w:r>
      <w:r/>
    </w:p>
    <w:p>
      <w:pPr>
        <w:rPr>
          <w:rFonts w:hAnsi="宋体" w:cs="宋体"/>
          <w:color w:val="000000"/>
          <w:sz w:val="24"/>
        </w:rPr>
      </w:pPr>
      <w:r>
        <w:rPr>
          <w:rFonts w:hAnsi="宋体" w:cs="宋体"/>
          <w:color w:val="000000"/>
          <w:sz w:val="24"/>
        </w:rPr>
      </w:r>
      <w:r/>
    </w:p>
    <w:p>
      <w:pPr>
        <w:rPr>
          <w:rFonts w:hAnsi="宋体" w:cs="宋体"/>
          <w:color w:val="000000"/>
          <w:sz w:val="24"/>
        </w:rPr>
      </w:pPr>
      <w:r>
        <w:rPr>
          <w:rFonts w:hAnsi="宋体" w:cs="宋体"/>
          <w:color w:val="000000"/>
          <w:sz w:val="24"/>
        </w:rPr>
      </w:r>
      <w:r/>
    </w:p>
    <w:p>
      <w:pPr>
        <w:rPr>
          <w:rFonts w:hAnsi="宋体" w:cs="宋体"/>
          <w:color w:val="000000"/>
          <w:sz w:val="24"/>
        </w:rPr>
      </w:pPr>
      <w:r>
        <w:rPr>
          <w:rFonts w:hAnsi="宋体" w:cs="宋体"/>
          <w:color w:val="000000"/>
          <w:sz w:val="24"/>
        </w:rPr>
      </w:r>
      <w:r/>
    </w:p>
    <w:p>
      <w:pPr>
        <w:rPr>
          <w:rFonts w:hAnsi="宋体" w:cs="宋体"/>
          <w:color w:val="000000"/>
          <w:sz w:val="24"/>
        </w:rPr>
      </w:pPr>
      <w:r>
        <w:rPr>
          <w:rFonts w:hAnsi="宋体" w:cs="宋体"/>
          <w:color w:val="000000"/>
          <w:sz w:val="24"/>
        </w:rPr>
      </w:r>
      <w:r/>
    </w:p>
    <w:p>
      <w:pPr>
        <w:rPr>
          <w:rFonts w:hAnsi="宋体" w:cs="宋体"/>
          <w:color w:val="000000"/>
          <w:sz w:val="24"/>
        </w:rPr>
      </w:pPr>
      <w:r>
        <w:rPr>
          <w:rFonts w:hAnsi="宋体" w:cs="宋体"/>
          <w:color w:val="000000"/>
          <w:sz w:val="24"/>
        </w:rPr>
      </w:r>
      <w:r/>
    </w:p>
    <w:p>
      <w:pPr>
        <w:pStyle w:val="834"/>
        <w:spacing w:line="400" w:lineRule="exact"/>
        <w:shd w:val="clear" w:color="auto" w:fill="ffffff"/>
        <w:rPr>
          <w:rFonts w:hAnsi="宋体" w:cs="宋体"/>
          <w:color w:val="000000"/>
          <w:sz w:val="24"/>
          <w:szCs w:val="24"/>
        </w:rPr>
      </w:pPr>
      <w:r>
        <w:rPr>
          <w:rFonts w:hAnsi="宋体" w:cs="宋体"/>
          <w:color w:val="000000"/>
          <w:sz w:val="24"/>
          <w:szCs w:val="24"/>
        </w:rPr>
      </w:r>
      <w:r/>
    </w:p>
    <w:p>
      <w:pPr>
        <w:rPr>
          <w:sz w:val="24"/>
        </w:rPr>
      </w:pPr>
      <w:r>
        <w:rPr>
          <w:sz w:val="24"/>
        </w:rPr>
      </w:r>
      <w:r/>
    </w:p>
    <w:p>
      <w:pPr>
        <w:pStyle w:val="834"/>
        <w:spacing w:line="400" w:lineRule="exact"/>
        <w:shd w:val="clear" w:color="auto" w:fill="ffffff"/>
        <w:rPr>
          <w:rFonts w:hAnsi="宋体" w:cs="宋体"/>
          <w:color w:val="000000"/>
          <w:sz w:val="28"/>
          <w:szCs w:val="28"/>
        </w:rPr>
      </w:pPr>
      <w:r>
        <w:rPr>
          <w:rFonts w:hint="eastAsia" w:hAnsi="宋体" w:cs="宋体"/>
          <w:color w:val="000000"/>
          <w:sz w:val="28"/>
          <w:szCs w:val="28"/>
        </w:rPr>
        <w:t xml:space="preserve">示范格式六</w:t>
      </w:r>
      <w:r/>
    </w:p>
    <w:p>
      <w:pPr>
        <w:jc w:val="center"/>
        <w:spacing w:line="400" w:lineRule="exact"/>
        <w:rPr>
          <w:rFonts w:ascii="宋体" w:hAnsi="宋体" w:cs="宋体"/>
          <w:b/>
          <w:color w:val="000000"/>
          <w:sz w:val="24"/>
        </w:rPr>
      </w:pPr>
      <w:r>
        <w:rPr>
          <w:rFonts w:hint="eastAsia" w:ascii="宋体" w:hAnsi="宋体" w:cs="宋体"/>
          <w:b/>
          <w:color w:val="000000"/>
          <w:sz w:val="24"/>
        </w:rPr>
        <w:t xml:space="preserve">残疾人福利性单位声明函</w:t>
      </w:r>
      <w:r/>
    </w:p>
    <w:p>
      <w:pPr>
        <w:ind w:firstLine="504"/>
        <w:spacing w:line="400" w:lineRule="exact"/>
        <w:rPr>
          <w:rFonts w:ascii="宋体" w:hAnsi="宋体" w:cs="宋体"/>
          <w:color w:val="000000"/>
          <w:spacing w:val="6"/>
          <w:sz w:val="24"/>
        </w:rPr>
      </w:pPr>
      <w:r>
        <w:rPr>
          <w:rFonts w:ascii="宋体" w:hAnsi="宋体" w:cs="宋体"/>
          <w:color w:val="000000"/>
          <w:spacing w:val="6"/>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本单位在本次政府采购活动中提供的残疾人福利单位产品报价合计为人民币（大写）圆整（￥：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本单位对上述声明的真实性负责。如有虚假，将依法承担相应责任。</w:t>
      </w:r>
      <w:r/>
    </w:p>
    <w:p>
      <w:pPr>
        <w:ind w:firstLine="480"/>
        <w:spacing w:line="400" w:lineRule="exact"/>
        <w:rPr>
          <w:rFonts w:ascii="宋体" w:hAnsi="宋体" w:cs="宋体"/>
          <w:color w:val="000000"/>
          <w:sz w:val="24"/>
        </w:rPr>
      </w:pPr>
      <w:r>
        <w:rPr>
          <w:rFonts w:ascii="宋体" w:hAnsi="宋体" w:cs="宋体"/>
          <w:color w:val="000000"/>
          <w:sz w:val="24"/>
        </w:rPr>
      </w:r>
      <w:r/>
    </w:p>
    <w:p>
      <w:pPr>
        <w:spacing w:line="400" w:lineRule="exact"/>
        <w:rPr>
          <w:rFonts w:ascii="宋体" w:hAnsi="宋体" w:cs="宋体"/>
          <w:color w:val="000000"/>
          <w:sz w:val="24"/>
        </w:rPr>
      </w:pPr>
      <w:r>
        <w:rPr>
          <w:rFonts w:hint="eastAsia" w:ascii="宋体" w:hAnsi="宋体" w:cs="宋体"/>
          <w:color w:val="000000"/>
          <w:sz w:val="24"/>
        </w:rPr>
        <w:t xml:space="preserve">（备注：1、供应商如不提供此声明函，价格将不做相应扣除。2、中标供应商为残疾人福利单位的，此声明函将随中标结果同时公告，接受社会监督）</w:t>
      </w:r>
      <w:r/>
    </w:p>
    <w:p>
      <w:pPr>
        <w:ind w:firstLine="504"/>
        <w:spacing w:line="400" w:lineRule="exact"/>
        <w:rPr>
          <w:rFonts w:ascii="宋体" w:hAnsi="宋体" w:cs="宋体"/>
          <w:color w:val="000000"/>
          <w:spacing w:val="6"/>
          <w:sz w:val="24"/>
        </w:rPr>
      </w:pPr>
      <w:r>
        <w:rPr>
          <w:rFonts w:ascii="宋体" w:hAnsi="宋体" w:cs="宋体"/>
          <w:color w:val="000000"/>
          <w:spacing w:val="6"/>
          <w:sz w:val="24"/>
        </w:rPr>
      </w:r>
      <w:r/>
    </w:p>
    <w:p>
      <w:pPr>
        <w:ind w:right="1560" w:firstLine="480"/>
        <w:jc w:val="center"/>
        <w:spacing w:line="400" w:lineRule="exact"/>
        <w:tabs>
          <w:tab w:val="left" w:pos="4860" w:leader="none"/>
        </w:tabs>
        <w:rPr>
          <w:rFonts w:ascii="宋体" w:hAnsi="宋体" w:cs="宋体"/>
          <w:color w:val="000000"/>
          <w:sz w:val="24"/>
        </w:rPr>
      </w:pPr>
      <w:r>
        <w:rPr>
          <w:rFonts w:hint="eastAsia" w:ascii="宋体" w:hAnsi="宋体" w:cs="宋体"/>
          <w:color w:val="000000"/>
          <w:sz w:val="24"/>
        </w:rPr>
        <w:t xml:space="preserve">                   供应商全称（盖章）：</w:t>
      </w:r>
      <w:r/>
    </w:p>
    <w:p>
      <w:pPr>
        <w:ind w:right="1560" w:firstLine="480"/>
        <w:jc w:val="center"/>
        <w:spacing w:line="400" w:lineRule="exact"/>
        <w:tabs>
          <w:tab w:val="left" w:pos="4860" w:leader="none"/>
        </w:tabs>
        <w:rPr>
          <w:rFonts w:ascii="宋体" w:hAnsi="宋体" w:cs="宋体"/>
          <w:color w:val="000000"/>
          <w:sz w:val="24"/>
        </w:rPr>
      </w:pPr>
      <w:r>
        <w:rPr>
          <w:rFonts w:hint="eastAsia" w:ascii="宋体" w:hAnsi="宋体" w:cs="宋体"/>
          <w:color w:val="000000"/>
          <w:sz w:val="24"/>
        </w:rPr>
        <w:t xml:space="preserve">                              日  期：</w:t>
      </w:r>
      <w:r/>
    </w:p>
    <w:p>
      <w:pPr>
        <w:rPr>
          <w:rFonts w:ascii="宋体" w:hAnsi="宋体" w:cs="宋体"/>
          <w:color w:val="000000"/>
          <w:sz w:val="24"/>
        </w:rPr>
      </w:pPr>
      <w:r>
        <w:rPr>
          <w:rFonts w:ascii="宋体" w:hAnsi="宋体" w:cs="宋体"/>
          <w:color w:val="000000"/>
          <w:sz w:val="24"/>
        </w:rPr>
      </w:r>
      <w:r/>
    </w:p>
    <w:p>
      <w:pPr>
        <w:rPr>
          <w:sz w:val="24"/>
        </w:rPr>
      </w:pPr>
      <w:r>
        <w:rPr>
          <w:sz w:val="24"/>
        </w:r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示范格式七</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监狱单位声明函（格式自拟）</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rPr>
          <w:highlight w:val="white"/>
        </w:rPr>
      </w:pPr>
      <w:r>
        <w:rPr>
          <w:highlight w:val="white"/>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egoe UI">
    <w:panose1 w:val="020B0502040204020203"/>
  </w:font>
  <w:font w:name="仿宋">
    <w:panose1 w:val="02010609060101010101"/>
  </w:font>
  <w:font w:name="Symbol">
    <w:panose1 w:val="05050102010706020507"/>
  </w:font>
  <w:font w:name="楷体_GB2312">
    <w:panose1 w:val="02010609060101010101"/>
  </w:font>
  <w:font w:name="仿宋_GB2312">
    <w:panose1 w:val="02010609060101010101"/>
  </w:font>
  <w:font w:name="华文中宋">
    <w:panose1 w:val="02010600040101010101"/>
  </w:font>
  <w:font w:name="黑体">
    <w:panose1 w:val="02010609060101010101"/>
  </w:font>
  <w:font w:name="方正仿宋简体">
    <w:panose1 w:val="020B0503020202020204"/>
  </w:font>
  <w:font w:name="华文楷体">
    <w:panose1 w:val="02010600040101010101"/>
  </w:font>
  <w:font w:name="Wingdings">
    <w:panose1 w:val="05000000000000000000"/>
  </w:font>
  <w:font w:name="Adobe 仿宋 Std R">
    <w:panose1 w:val="020B0503020202020204"/>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ind w:left="0" w:firstLine="0"/>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10"/>
  </w:num>
  <w:num w:numId="4">
    <w:abstractNumId w:val="1"/>
  </w:num>
  <w:num w:numId="5">
    <w:abstractNumId w:val="7"/>
  </w:num>
  <w:num w:numId="6">
    <w:abstractNumId w:val="4"/>
  </w:num>
  <w:num w:numId="7">
    <w:abstractNumId w:val="3"/>
  </w:num>
  <w:num w:numId="8">
    <w:abstractNumId w:val="0"/>
  </w:num>
  <w:num w:numId="9">
    <w:abstractNumId w:val="5"/>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default="1">
    <w:name w:val="Normal"/>
    <w:next w:val="652"/>
    <w:link w:val="841"/>
    <w:uiPriority w:val="0"/>
    <w:qFormat/>
    <w:rPr>
      <w:rFonts w:ascii="Times New Roman" w:hAnsi="Times New Roman" w:eastAsia="宋体" w:cs="Times New Roman"/>
      <w:sz w:val="21"/>
      <w:szCs w:val="22"/>
    </w:rPr>
  </w:style>
  <w:style w:type="paragraph" w:styleId="641">
    <w:name w:val="Heading 1"/>
    <w:basedOn w:val="640"/>
    <w:next w:val="640"/>
    <w:link w:val="678"/>
    <w:uiPriority w:val="9"/>
    <w:qFormat/>
    <w:pPr>
      <w:keepLines/>
      <w:keepNext/>
      <w:spacing w:before="480" w:after="200"/>
      <w:outlineLvl w:val="0"/>
    </w:pPr>
    <w:rPr>
      <w:rFonts w:ascii="Arial" w:hAnsi="Arial" w:eastAsia="Arial" w:cs="Arial"/>
      <w:sz w:val="40"/>
      <w:szCs w:val="40"/>
    </w:rPr>
  </w:style>
  <w:style w:type="paragraph" w:styleId="642">
    <w:name w:val="Heading 2"/>
    <w:basedOn w:val="640"/>
    <w:next w:val="640"/>
    <w:link w:val="679"/>
    <w:uiPriority w:val="9"/>
    <w:unhideWhenUsed/>
    <w:qFormat/>
    <w:pPr>
      <w:keepLines/>
      <w:keepNext/>
      <w:spacing w:before="360" w:after="200"/>
      <w:outlineLvl w:val="1"/>
    </w:pPr>
    <w:rPr>
      <w:rFonts w:ascii="Arial" w:hAnsi="Arial" w:eastAsia="Arial" w:cs="Arial"/>
      <w:sz w:val="34"/>
      <w:szCs w:val="22"/>
    </w:rPr>
  </w:style>
  <w:style w:type="paragraph" w:styleId="643">
    <w:name w:val="Heading 3"/>
    <w:link w:val="680"/>
    <w:uiPriority w:val="9"/>
    <w:unhideWhenUsed/>
    <w:qFormat/>
    <w:pPr>
      <w:keepLines/>
      <w:keepNext/>
      <w:spacing w:before="320" w:after="200"/>
      <w:outlineLvl w:val="2"/>
    </w:pPr>
    <w:rPr>
      <w:rFonts w:ascii="Arial" w:hAnsi="Arial" w:eastAsia="Arial" w:cs="Arial"/>
      <w:sz w:val="30"/>
      <w:szCs w:val="30"/>
    </w:rPr>
  </w:style>
  <w:style w:type="paragraph" w:styleId="644">
    <w:name w:val="Heading 4"/>
    <w:link w:val="681"/>
    <w:uiPriority w:val="9"/>
    <w:unhideWhenUsed/>
    <w:qFormat/>
    <w:pPr>
      <w:keepLines/>
      <w:keepNext/>
      <w:spacing w:before="320" w:after="200"/>
      <w:outlineLvl w:val="3"/>
    </w:pPr>
    <w:rPr>
      <w:rFonts w:ascii="Arial" w:hAnsi="Arial" w:eastAsia="Arial" w:cs="Arial"/>
      <w:b/>
      <w:bCs/>
      <w:sz w:val="26"/>
      <w:szCs w:val="26"/>
    </w:rPr>
  </w:style>
  <w:style w:type="paragraph" w:styleId="645">
    <w:name w:val="Heading 5"/>
    <w:link w:val="682"/>
    <w:uiPriority w:val="9"/>
    <w:unhideWhenUsed/>
    <w:qFormat/>
    <w:pPr>
      <w:keepLines/>
      <w:keepNext/>
      <w:spacing w:before="320" w:after="200"/>
      <w:outlineLvl w:val="4"/>
    </w:pPr>
    <w:rPr>
      <w:rFonts w:ascii="Arial" w:hAnsi="Arial" w:eastAsia="Arial" w:cs="Arial"/>
      <w:b/>
      <w:bCs/>
      <w:sz w:val="24"/>
      <w:szCs w:val="24"/>
    </w:rPr>
  </w:style>
  <w:style w:type="paragraph" w:styleId="646">
    <w:name w:val="Heading 6"/>
    <w:link w:val="683"/>
    <w:uiPriority w:val="9"/>
    <w:unhideWhenUsed/>
    <w:qFormat/>
    <w:pPr>
      <w:keepLines/>
      <w:keepNext/>
      <w:spacing w:before="320" w:after="200"/>
      <w:outlineLvl w:val="5"/>
    </w:pPr>
    <w:rPr>
      <w:rFonts w:ascii="Arial" w:hAnsi="Arial" w:eastAsia="Arial" w:cs="Arial"/>
      <w:b/>
      <w:bCs/>
      <w:sz w:val="22"/>
      <w:szCs w:val="22"/>
    </w:rPr>
  </w:style>
  <w:style w:type="paragraph" w:styleId="647">
    <w:name w:val="Heading 7"/>
    <w:link w:val="684"/>
    <w:uiPriority w:val="9"/>
    <w:unhideWhenUsed/>
    <w:qFormat/>
    <w:pPr>
      <w:keepLines/>
      <w:keepNext/>
      <w:spacing w:before="320" w:after="200"/>
      <w:outlineLvl w:val="6"/>
    </w:pPr>
    <w:rPr>
      <w:rFonts w:ascii="Arial" w:hAnsi="Arial" w:eastAsia="Arial" w:cs="Arial"/>
      <w:b/>
      <w:bCs/>
      <w:i/>
      <w:iCs/>
      <w:sz w:val="22"/>
      <w:szCs w:val="22"/>
    </w:rPr>
  </w:style>
  <w:style w:type="paragraph" w:styleId="648">
    <w:name w:val="Heading 8"/>
    <w:link w:val="685"/>
    <w:uiPriority w:val="9"/>
    <w:unhideWhenUsed/>
    <w:qFormat/>
    <w:pPr>
      <w:keepLines/>
      <w:keepNext/>
      <w:spacing w:before="320" w:after="200"/>
      <w:outlineLvl w:val="7"/>
    </w:pPr>
    <w:rPr>
      <w:rFonts w:ascii="Arial" w:hAnsi="Arial" w:eastAsia="Arial" w:cs="Arial"/>
      <w:i/>
      <w:iCs/>
      <w:sz w:val="22"/>
      <w:szCs w:val="22"/>
    </w:rPr>
  </w:style>
  <w:style w:type="paragraph" w:styleId="649">
    <w:name w:val="Heading 9"/>
    <w:link w:val="686"/>
    <w:uiPriority w:val="9"/>
    <w:unhideWhenUsed/>
    <w:qFormat/>
    <w:pPr>
      <w:keepLines/>
      <w:keepNext/>
      <w:spacing w:before="320" w:after="200"/>
      <w:outlineLvl w:val="8"/>
    </w:pPr>
    <w:rPr>
      <w:rFonts w:ascii="Arial" w:hAnsi="Arial" w:eastAsia="Arial" w:cs="Arial"/>
      <w:i/>
      <w:iCs/>
      <w:sz w:val="21"/>
      <w:szCs w:val="21"/>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toa heading"/>
    <w:basedOn w:val="640"/>
    <w:next w:val="640"/>
    <w:uiPriority w:val="0"/>
    <w:qFormat/>
    <w:pPr>
      <w:spacing w:before="120"/>
    </w:pPr>
    <w:rPr>
      <w:rFonts w:ascii="Arial" w:hAnsi="Arial"/>
      <w:sz w:val="24"/>
    </w:rPr>
  </w:style>
  <w:style w:type="paragraph" w:styleId="653">
    <w:name w:val="toc 7"/>
    <w:uiPriority w:val="39"/>
    <w:unhideWhenUsed/>
    <w:qFormat/>
    <w:pPr>
      <w:ind w:left="1701" w:right="0" w:firstLine="0"/>
      <w:spacing w:after="57"/>
    </w:pPr>
    <w:rPr>
      <w:rFonts w:ascii="Times New Roman" w:hAnsi="Times New Roman" w:eastAsia="宋体" w:cs="Times New Roman"/>
      <w:sz w:val="21"/>
      <w:szCs w:val="22"/>
    </w:rPr>
  </w:style>
  <w:style w:type="paragraph" w:styleId="654">
    <w:name w:val="Caption"/>
    <w:uiPriority w:val="35"/>
    <w:semiHidden/>
    <w:unhideWhenUsed/>
    <w:qFormat/>
    <w:pPr>
      <w:spacing w:line="276" w:lineRule="auto"/>
    </w:pPr>
    <w:rPr>
      <w:rFonts w:ascii="Times New Roman" w:hAnsi="Times New Roman" w:eastAsia="宋体" w:cs="Times New Roman"/>
      <w:b/>
      <w:bCs/>
      <w:color w:val="4f81bd" w:themeColor="accent1"/>
      <w:sz w:val="18"/>
      <w:szCs w:val="18"/>
      <w14:textFill>
        <w14:solidFill>
          <w14:schemeClr w14:val="accent1"/>
        </w14:solidFill>
      </w14:textFill>
    </w:rPr>
  </w:style>
  <w:style w:type="paragraph" w:styleId="655">
    <w:name w:val="Body Text"/>
    <w:basedOn w:val="640"/>
    <w:next w:val="640"/>
    <w:uiPriority w:val="0"/>
    <w:unhideWhenUsed/>
    <w:qFormat/>
    <w:pPr>
      <w:spacing w:after="120"/>
    </w:pPr>
    <w:rPr>
      <w:rFonts w:ascii="Calibri" w:hAnsi="Calibri"/>
      <w:szCs w:val="22"/>
    </w:rPr>
  </w:style>
  <w:style w:type="paragraph" w:styleId="656">
    <w:name w:val="Body Text Indent"/>
    <w:basedOn w:val="640"/>
    <w:uiPriority w:val="0"/>
    <w:qFormat/>
    <w:pPr>
      <w:ind w:left="420"/>
      <w:spacing w:after="120"/>
    </w:pPr>
  </w:style>
  <w:style w:type="paragraph" w:styleId="657">
    <w:name w:val="toc 5"/>
    <w:uiPriority w:val="39"/>
    <w:unhideWhenUsed/>
    <w:qFormat/>
    <w:pPr>
      <w:ind w:left="1134" w:right="0" w:firstLine="0"/>
      <w:spacing w:after="57"/>
    </w:pPr>
    <w:rPr>
      <w:rFonts w:ascii="Times New Roman" w:hAnsi="Times New Roman" w:eastAsia="宋体" w:cs="Times New Roman"/>
      <w:sz w:val="21"/>
      <w:szCs w:val="22"/>
    </w:rPr>
  </w:style>
  <w:style w:type="paragraph" w:styleId="658">
    <w:name w:val="toc 3"/>
    <w:uiPriority w:val="39"/>
    <w:unhideWhenUsed/>
    <w:qFormat/>
    <w:pPr>
      <w:ind w:left="567" w:right="0" w:firstLine="0"/>
      <w:spacing w:after="57"/>
    </w:pPr>
    <w:rPr>
      <w:rFonts w:ascii="Times New Roman" w:hAnsi="Times New Roman" w:eastAsia="宋体" w:cs="Times New Roman"/>
      <w:sz w:val="21"/>
      <w:szCs w:val="22"/>
    </w:rPr>
  </w:style>
  <w:style w:type="paragraph" w:styleId="659">
    <w:name w:val="Plain Text"/>
    <w:basedOn w:val="640"/>
    <w:uiPriority w:val="0"/>
    <w:qFormat/>
    <w:rPr>
      <w:rFonts w:ascii="宋体" w:hAnsi="Courier New" w:cs="Courier New"/>
      <w:szCs w:val="21"/>
    </w:rPr>
  </w:style>
  <w:style w:type="paragraph" w:styleId="660">
    <w:name w:val="toc 8"/>
    <w:uiPriority w:val="39"/>
    <w:unhideWhenUsed/>
    <w:qFormat/>
    <w:pPr>
      <w:ind w:left="1984" w:right="0" w:firstLine="0"/>
      <w:spacing w:after="57"/>
    </w:pPr>
    <w:rPr>
      <w:rFonts w:ascii="Times New Roman" w:hAnsi="Times New Roman" w:eastAsia="宋体" w:cs="Times New Roman"/>
      <w:sz w:val="21"/>
      <w:szCs w:val="22"/>
    </w:rPr>
  </w:style>
  <w:style w:type="paragraph" w:styleId="661">
    <w:name w:val="endnote text"/>
    <w:link w:val="824"/>
    <w:uiPriority w:val="99"/>
    <w:semiHidden/>
    <w:unhideWhenUsed/>
    <w:qFormat/>
    <w:pPr>
      <w:spacing w:after="0" w:line="240" w:lineRule="auto"/>
    </w:pPr>
    <w:rPr>
      <w:rFonts w:ascii="Times New Roman" w:hAnsi="Times New Roman" w:eastAsia="宋体" w:cs="Times New Roman"/>
      <w:sz w:val="20"/>
      <w:szCs w:val="22"/>
    </w:rPr>
  </w:style>
  <w:style w:type="paragraph" w:styleId="662">
    <w:name w:val="Footer"/>
    <w:basedOn w:val="640"/>
    <w:next w:val="640"/>
    <w:link w:val="697"/>
    <w:uiPriority w:val="99"/>
    <w:unhideWhenUsed/>
    <w:qFormat/>
    <w:pPr>
      <w:spacing w:after="0" w:line="240" w:lineRule="auto"/>
      <w:tabs>
        <w:tab w:val="center" w:pos="7143" w:leader="none"/>
        <w:tab w:val="right" w:pos="14287" w:leader="none"/>
      </w:tabs>
    </w:pPr>
    <w:rPr>
      <w:sz w:val="21"/>
      <w:szCs w:val="22"/>
    </w:rPr>
  </w:style>
  <w:style w:type="paragraph" w:styleId="663">
    <w:name w:val="Header"/>
    <w:basedOn w:val="640"/>
    <w:link w:val="695"/>
    <w:uiPriority w:val="99"/>
    <w:unhideWhenUsed/>
    <w:qFormat/>
    <w:pPr>
      <w:spacing w:after="0" w:line="240" w:lineRule="auto"/>
      <w:tabs>
        <w:tab w:val="center" w:pos="7143" w:leader="none"/>
        <w:tab w:val="right" w:pos="14287" w:leader="none"/>
      </w:tabs>
    </w:pPr>
    <w:rPr>
      <w:rFonts w:ascii="Times New Roman" w:hAnsi="Times New Roman" w:eastAsia="宋体" w:cs="Times New Roman"/>
      <w:sz w:val="21"/>
      <w:szCs w:val="22"/>
    </w:rPr>
  </w:style>
  <w:style w:type="paragraph" w:styleId="664">
    <w:name w:val="toc 1"/>
    <w:uiPriority w:val="39"/>
    <w:unhideWhenUsed/>
    <w:qFormat/>
    <w:pPr>
      <w:ind w:left="0" w:right="0" w:firstLine="0"/>
      <w:spacing w:after="57"/>
    </w:pPr>
    <w:rPr>
      <w:rFonts w:ascii="Times New Roman" w:hAnsi="Times New Roman" w:eastAsia="宋体" w:cs="Times New Roman"/>
      <w:sz w:val="21"/>
      <w:szCs w:val="22"/>
    </w:rPr>
  </w:style>
  <w:style w:type="paragraph" w:styleId="665">
    <w:name w:val="toc 4"/>
    <w:uiPriority w:val="39"/>
    <w:unhideWhenUsed/>
    <w:qFormat/>
    <w:pPr>
      <w:ind w:left="850" w:right="0" w:firstLine="0"/>
      <w:spacing w:after="57"/>
    </w:pPr>
    <w:rPr>
      <w:rFonts w:ascii="Times New Roman" w:hAnsi="Times New Roman" w:eastAsia="宋体" w:cs="Times New Roman"/>
      <w:sz w:val="21"/>
      <w:szCs w:val="22"/>
    </w:rPr>
  </w:style>
  <w:style w:type="paragraph" w:styleId="666">
    <w:name w:val="Subtitle"/>
    <w:link w:val="690"/>
    <w:uiPriority w:val="11"/>
    <w:qFormat/>
    <w:pPr>
      <w:spacing w:before="200" w:after="200"/>
    </w:pPr>
    <w:rPr>
      <w:rFonts w:ascii="Times New Roman" w:hAnsi="Times New Roman" w:eastAsia="宋体" w:cs="Times New Roman"/>
      <w:sz w:val="24"/>
      <w:szCs w:val="24"/>
    </w:rPr>
  </w:style>
  <w:style w:type="paragraph" w:styleId="667">
    <w:name w:val="footnote text"/>
    <w:link w:val="823"/>
    <w:uiPriority w:val="99"/>
    <w:semiHidden/>
    <w:unhideWhenUsed/>
    <w:qFormat/>
    <w:pPr>
      <w:spacing w:after="40" w:line="240" w:lineRule="auto"/>
    </w:pPr>
    <w:rPr>
      <w:rFonts w:ascii="Times New Roman" w:hAnsi="Times New Roman" w:eastAsia="宋体" w:cs="Times New Roman"/>
      <w:sz w:val="18"/>
      <w:szCs w:val="22"/>
    </w:rPr>
  </w:style>
  <w:style w:type="paragraph" w:styleId="668">
    <w:name w:val="toc 6"/>
    <w:uiPriority w:val="39"/>
    <w:unhideWhenUsed/>
    <w:qFormat/>
    <w:pPr>
      <w:ind w:left="1417" w:right="0" w:firstLine="0"/>
      <w:spacing w:after="57"/>
    </w:pPr>
    <w:rPr>
      <w:rFonts w:ascii="Times New Roman" w:hAnsi="Times New Roman" w:eastAsia="宋体" w:cs="Times New Roman"/>
      <w:sz w:val="21"/>
      <w:szCs w:val="22"/>
    </w:rPr>
  </w:style>
  <w:style w:type="paragraph" w:styleId="669">
    <w:name w:val="table of figures"/>
    <w:uiPriority w:val="99"/>
    <w:unhideWhenUsed/>
    <w:qFormat/>
    <w:pPr>
      <w:spacing w:after="0" w:afterAutospacing="0"/>
    </w:pPr>
    <w:rPr>
      <w:rFonts w:ascii="Times New Roman" w:hAnsi="Times New Roman" w:eastAsia="宋体" w:cs="Times New Roman"/>
      <w:sz w:val="21"/>
      <w:szCs w:val="22"/>
    </w:rPr>
  </w:style>
  <w:style w:type="paragraph" w:styleId="670">
    <w:name w:val="toc 2"/>
    <w:uiPriority w:val="39"/>
    <w:unhideWhenUsed/>
    <w:qFormat/>
    <w:pPr>
      <w:ind w:left="283" w:right="0" w:firstLine="0"/>
      <w:spacing w:after="57"/>
    </w:pPr>
    <w:rPr>
      <w:rFonts w:ascii="Times New Roman" w:hAnsi="Times New Roman" w:eastAsia="宋体" w:cs="Times New Roman"/>
      <w:sz w:val="21"/>
      <w:szCs w:val="22"/>
    </w:rPr>
  </w:style>
  <w:style w:type="paragraph" w:styleId="671">
    <w:name w:val="toc 9"/>
    <w:uiPriority w:val="39"/>
    <w:unhideWhenUsed/>
    <w:qFormat/>
    <w:pPr>
      <w:ind w:left="2268" w:right="0" w:firstLine="0"/>
      <w:spacing w:after="57"/>
    </w:pPr>
    <w:rPr>
      <w:rFonts w:ascii="Times New Roman" w:hAnsi="Times New Roman" w:eastAsia="宋体" w:cs="Times New Roman"/>
      <w:sz w:val="21"/>
      <w:szCs w:val="22"/>
    </w:rPr>
  </w:style>
  <w:style w:type="paragraph" w:styleId="672">
    <w:name w:val="Normal (Web)"/>
    <w:basedOn w:val="640"/>
    <w:uiPriority w:val="99"/>
    <w:semiHidden/>
    <w:unhideWhenUsed/>
    <w:qFormat/>
    <w:pPr>
      <w:ind w:left="0" w:right="0"/>
      <w:jc w:val="left"/>
      <w:spacing w:before="0" w:beforeAutospacing="1" w:after="0" w:afterAutospacing="1"/>
    </w:pPr>
    <w:rPr>
      <w:sz w:val="24"/>
      <w:lang w:val="en-US" w:eastAsia="zh-CN" w:bidi="ar"/>
    </w:rPr>
  </w:style>
  <w:style w:type="paragraph" w:styleId="673">
    <w:name w:val="Title"/>
    <w:link w:val="689"/>
    <w:uiPriority w:val="10"/>
    <w:qFormat/>
    <w:pPr>
      <w:contextualSpacing/>
      <w:spacing w:before="300" w:after="200"/>
    </w:pPr>
    <w:rPr>
      <w:rFonts w:ascii="Times New Roman" w:hAnsi="Times New Roman" w:eastAsia="宋体" w:cs="Times New Roman"/>
      <w:sz w:val="48"/>
      <w:szCs w:val="48"/>
    </w:rPr>
  </w:style>
  <w:style w:type="table" w:styleId="6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5">
    <w:name w:val="endnote reference"/>
    <w:uiPriority w:val="99"/>
    <w:semiHidden/>
    <w:unhideWhenUsed/>
    <w:qFormat/>
    <w:rPr>
      <w:vertAlign w:val="superscript"/>
    </w:rPr>
  </w:style>
  <w:style w:type="character" w:styleId="676">
    <w:name w:val="Hyperlink"/>
    <w:uiPriority w:val="99"/>
    <w:unhideWhenUsed/>
    <w:qFormat/>
    <w:rPr>
      <w:color w:val="0000ff" w:themeColor="hyperlink"/>
      <w:u w:val="single"/>
      <w14:textFill>
        <w14:solidFill>
          <w14:schemeClr w14:val="hlink"/>
        </w14:solidFill>
      </w14:textFill>
    </w:rPr>
  </w:style>
  <w:style w:type="character" w:styleId="677">
    <w:name w:val="footnote reference"/>
    <w:uiPriority w:val="99"/>
    <w:unhideWhenUsed/>
    <w:qFormat/>
    <w:rPr>
      <w:vertAlign w:val="superscript"/>
    </w:rPr>
  </w:style>
  <w:style w:type="character" w:styleId="678" w:customStyle="1">
    <w:name w:val="Heading 1 Char"/>
    <w:link w:val="641"/>
    <w:uiPriority w:val="9"/>
    <w:qFormat/>
    <w:rPr>
      <w:rFonts w:ascii="Arial" w:hAnsi="Arial" w:eastAsia="Arial" w:cs="Arial"/>
      <w:sz w:val="40"/>
      <w:szCs w:val="40"/>
    </w:rPr>
  </w:style>
  <w:style w:type="character" w:styleId="679" w:customStyle="1">
    <w:name w:val="Heading 2 Char"/>
    <w:link w:val="642"/>
    <w:uiPriority w:val="9"/>
    <w:qFormat/>
    <w:rPr>
      <w:rFonts w:ascii="Arial" w:hAnsi="Arial" w:eastAsia="Arial" w:cs="Arial"/>
      <w:sz w:val="34"/>
    </w:rPr>
  </w:style>
  <w:style w:type="character" w:styleId="680" w:customStyle="1">
    <w:name w:val="Heading 3 Char"/>
    <w:link w:val="643"/>
    <w:uiPriority w:val="9"/>
    <w:qFormat/>
    <w:rPr>
      <w:rFonts w:ascii="Arial" w:hAnsi="Arial" w:eastAsia="Arial" w:cs="Arial"/>
      <w:sz w:val="30"/>
      <w:szCs w:val="30"/>
    </w:rPr>
  </w:style>
  <w:style w:type="character" w:styleId="681" w:customStyle="1">
    <w:name w:val="Heading 4 Char"/>
    <w:link w:val="644"/>
    <w:uiPriority w:val="9"/>
    <w:qFormat/>
    <w:rPr>
      <w:rFonts w:ascii="Arial" w:hAnsi="Arial" w:eastAsia="Arial" w:cs="Arial"/>
      <w:b/>
      <w:bCs/>
      <w:sz w:val="26"/>
      <w:szCs w:val="26"/>
    </w:rPr>
  </w:style>
  <w:style w:type="character" w:styleId="682" w:customStyle="1">
    <w:name w:val="Heading 5 Char"/>
    <w:link w:val="645"/>
    <w:uiPriority w:val="9"/>
    <w:qFormat/>
    <w:rPr>
      <w:rFonts w:ascii="Arial" w:hAnsi="Arial" w:eastAsia="Arial" w:cs="Arial"/>
      <w:b/>
      <w:bCs/>
      <w:sz w:val="24"/>
      <w:szCs w:val="24"/>
    </w:rPr>
  </w:style>
  <w:style w:type="character" w:styleId="683" w:customStyle="1">
    <w:name w:val="Heading 6 Char"/>
    <w:link w:val="646"/>
    <w:uiPriority w:val="9"/>
    <w:qFormat/>
    <w:rPr>
      <w:rFonts w:ascii="Arial" w:hAnsi="Arial" w:eastAsia="Arial" w:cs="Arial"/>
      <w:b/>
      <w:bCs/>
      <w:sz w:val="22"/>
      <w:szCs w:val="22"/>
    </w:rPr>
  </w:style>
  <w:style w:type="character" w:styleId="684" w:customStyle="1">
    <w:name w:val="Heading 7 Char"/>
    <w:link w:val="647"/>
    <w:uiPriority w:val="9"/>
    <w:qFormat/>
    <w:rPr>
      <w:rFonts w:ascii="Arial" w:hAnsi="Arial" w:eastAsia="Arial" w:cs="Arial"/>
      <w:b/>
      <w:bCs/>
      <w:i/>
      <w:iCs/>
      <w:sz w:val="22"/>
      <w:szCs w:val="22"/>
    </w:rPr>
  </w:style>
  <w:style w:type="character" w:styleId="685" w:customStyle="1">
    <w:name w:val="Heading 8 Char"/>
    <w:link w:val="648"/>
    <w:uiPriority w:val="9"/>
    <w:qFormat/>
    <w:rPr>
      <w:rFonts w:ascii="Arial" w:hAnsi="Arial" w:eastAsia="Arial" w:cs="Arial"/>
      <w:i/>
      <w:iCs/>
      <w:sz w:val="22"/>
      <w:szCs w:val="22"/>
    </w:rPr>
  </w:style>
  <w:style w:type="character" w:styleId="686" w:customStyle="1">
    <w:name w:val="Heading 9 Char"/>
    <w:link w:val="649"/>
    <w:uiPriority w:val="9"/>
    <w:qFormat/>
    <w:rPr>
      <w:rFonts w:ascii="Arial" w:hAnsi="Arial" w:eastAsia="Arial" w:cs="Arial"/>
      <w:i/>
      <w:iCs/>
      <w:sz w:val="21"/>
      <w:szCs w:val="21"/>
    </w:rPr>
  </w:style>
  <w:style w:type="paragraph" w:styleId="687">
    <w:name w:val="List Paragraph"/>
    <w:uiPriority w:val="34"/>
    <w:qFormat/>
    <w:pPr>
      <w:contextualSpacing/>
      <w:ind w:left="720"/>
    </w:pPr>
    <w:rPr>
      <w:rFonts w:ascii="Times New Roman" w:hAnsi="Times New Roman" w:eastAsia="宋体" w:cs="Times New Roman"/>
      <w:sz w:val="21"/>
      <w:szCs w:val="22"/>
    </w:rPr>
  </w:style>
  <w:style w:type="paragraph" w:styleId="688">
    <w:name w:val="No Spacing"/>
    <w:uiPriority w:val="1"/>
    <w:qFormat/>
    <w:pPr>
      <w:spacing w:before="0" w:after="0" w:line="240" w:lineRule="auto"/>
    </w:pPr>
    <w:rPr>
      <w:rFonts w:ascii="Times New Roman" w:hAnsi="Times New Roman" w:eastAsia="宋体" w:cs="Times New Roman"/>
      <w:sz w:val="21"/>
      <w:szCs w:val="22"/>
    </w:rPr>
  </w:style>
  <w:style w:type="character" w:styleId="689" w:customStyle="1">
    <w:name w:val="Title Char"/>
    <w:link w:val="673"/>
    <w:uiPriority w:val="10"/>
    <w:qFormat/>
    <w:rPr>
      <w:sz w:val="48"/>
      <w:szCs w:val="48"/>
    </w:rPr>
  </w:style>
  <w:style w:type="character" w:styleId="690" w:customStyle="1">
    <w:name w:val="Subtitle Char"/>
    <w:link w:val="666"/>
    <w:uiPriority w:val="11"/>
    <w:qFormat/>
    <w:rPr>
      <w:sz w:val="24"/>
      <w:szCs w:val="24"/>
    </w:rPr>
  </w:style>
  <w:style w:type="paragraph" w:styleId="691">
    <w:name w:val="Quote"/>
    <w:link w:val="692"/>
    <w:uiPriority w:val="29"/>
    <w:qFormat/>
    <w:pPr>
      <w:ind w:left="720" w:right="720"/>
    </w:pPr>
    <w:rPr>
      <w:rFonts w:ascii="Times New Roman" w:hAnsi="Times New Roman" w:eastAsia="宋体" w:cs="Times New Roman"/>
      <w:i/>
      <w:sz w:val="21"/>
      <w:szCs w:val="22"/>
    </w:rPr>
  </w:style>
  <w:style w:type="character" w:styleId="692" w:customStyle="1">
    <w:name w:val="Quote Char"/>
    <w:link w:val="691"/>
    <w:uiPriority w:val="29"/>
    <w:qFormat/>
    <w:rPr>
      <w:i/>
    </w:rPr>
  </w:style>
  <w:style w:type="paragraph" w:styleId="693">
    <w:name w:val="Intense Quote"/>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1"/>
      <w:szCs w:val="22"/>
    </w:rPr>
  </w:style>
  <w:style w:type="character" w:styleId="694" w:customStyle="1">
    <w:name w:val="Intense Quote Char"/>
    <w:link w:val="693"/>
    <w:uiPriority w:val="30"/>
    <w:qFormat/>
    <w:rPr>
      <w:i/>
    </w:rPr>
  </w:style>
  <w:style w:type="character" w:styleId="695" w:customStyle="1">
    <w:name w:val="Header Char"/>
    <w:link w:val="663"/>
    <w:uiPriority w:val="99"/>
    <w:qFormat/>
  </w:style>
  <w:style w:type="character" w:styleId="696" w:customStyle="1">
    <w:name w:val="Footer Char"/>
    <w:link w:val="662"/>
    <w:uiPriority w:val="99"/>
    <w:qFormat/>
  </w:style>
  <w:style w:type="character" w:styleId="697" w:customStyle="1">
    <w:name w:val="Caption Char"/>
    <w:link w:val="662"/>
    <w:uiPriority w:val="99"/>
    <w:qFormat/>
  </w:style>
  <w:style w:type="table" w:styleId="69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3" w:customStyle="1">
    <w:name w:val="Footnote Text Char"/>
    <w:link w:val="667"/>
    <w:uiPriority w:val="99"/>
    <w:qFormat/>
    <w:rPr>
      <w:sz w:val="18"/>
    </w:rPr>
  </w:style>
  <w:style w:type="character" w:styleId="824" w:customStyle="1">
    <w:name w:val="Endnote Text Char"/>
    <w:link w:val="661"/>
    <w:uiPriority w:val="99"/>
    <w:qFormat/>
    <w:rPr>
      <w:sz w:val="20"/>
    </w:rPr>
  </w:style>
  <w:style w:type="paragraph" w:styleId="825" w:customStyle="1">
    <w:name w:val="TOC Heading"/>
    <w:uiPriority w:val="39"/>
    <w:unhideWhenUsed/>
    <w:qFormat/>
    <w:rPr>
      <w:rFonts w:ascii="Times New Roman" w:hAnsi="Times New Roman" w:eastAsia="宋体" w:cs="Times New Roman"/>
      <w:sz w:val="21"/>
      <w:szCs w:val="22"/>
    </w:rPr>
  </w:style>
  <w:style w:type="paragraph" w:styleId="826" w:customStyle="1">
    <w:name w:val="正文1"/>
    <w:next w:val="640"/>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827" w:customStyle="1">
    <w:name w:val="纯文本1"/>
    <w:basedOn w:val="640"/>
    <w:uiPriority w:val="0"/>
    <w:qFormat/>
    <w:rPr>
      <w:rFonts w:ascii="宋体" w:hAnsi="Courier New"/>
      <w:szCs w:val="20"/>
    </w:rPr>
  </w:style>
  <w:style w:type="paragraph" w:styleId="828" w:customStyle="1">
    <w:name w:val="普通正文"/>
    <w:basedOn w:val="640"/>
    <w:uiPriority w:val="0"/>
    <w:qFormat/>
    <w:pPr>
      <w:ind w:firstLine="480"/>
      <w:jc w:val="left"/>
      <w:spacing w:before="120" w:after="120" w:line="360" w:lineRule="auto"/>
    </w:pPr>
    <w:rPr>
      <w:rFonts w:ascii="Arial" w:hAnsi="Arial"/>
      <w:sz w:val="24"/>
    </w:rPr>
  </w:style>
  <w:style w:type="paragraph" w:styleId="82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30" w:customStyle="1">
    <w:name w:val="列出段落1"/>
    <w:basedOn w:val="640"/>
    <w:uiPriority w:val="0"/>
    <w:qFormat/>
    <w:pPr>
      <w:ind w:firstLine="420"/>
    </w:pPr>
    <w:rPr>
      <w:szCs w:val="21"/>
    </w:rPr>
  </w:style>
  <w:style w:type="character" w:styleId="831" w:customStyle="1">
    <w:name w:val="font11"/>
    <w:basedOn w:val="650"/>
    <w:uiPriority w:val="0"/>
    <w:qFormat/>
    <w:rPr>
      <w:rFonts w:hint="eastAsia" w:ascii="宋体" w:hAnsi="宋体" w:eastAsia="宋体" w:cs="宋体"/>
      <w:color w:val="000000"/>
      <w:sz w:val="21"/>
      <w:szCs w:val="21"/>
      <w:u w:val="none"/>
    </w:rPr>
  </w:style>
  <w:style w:type="character" w:styleId="832" w:customStyle="1">
    <w:name w:val="font21"/>
    <w:basedOn w:val="650"/>
    <w:uiPriority w:val="0"/>
    <w:qFormat/>
    <w:rPr>
      <w:rFonts w:hint="default" w:ascii="Times New Roman" w:hAnsi="Times New Roman" w:cs="Times New Roman"/>
      <w:color w:val="000000"/>
      <w:sz w:val="21"/>
      <w:szCs w:val="21"/>
      <w:u w:val="none"/>
    </w:rPr>
  </w:style>
  <w:style w:type="character" w:styleId="833" w:customStyle="1">
    <w:name w:val="font31"/>
    <w:basedOn w:val="650"/>
    <w:uiPriority w:val="0"/>
    <w:qFormat/>
    <w:rPr>
      <w:rFonts w:hint="default" w:ascii="Times New Roman" w:hAnsi="Times New Roman" w:cs="Times New Roman"/>
      <w:color w:val="000000"/>
      <w:sz w:val="21"/>
      <w:szCs w:val="21"/>
      <w:u w:val="none"/>
      <w:vertAlign w:val="superscript"/>
    </w:rPr>
  </w:style>
  <w:style w:type="paragraph" w:styleId="834" w:customStyle="1">
    <w:name w:val="标题 31"/>
    <w:basedOn w:val="640"/>
    <w:next w:val="640"/>
    <w:uiPriority w:val="0"/>
    <w:qFormat/>
    <w:pPr>
      <w:keepLines/>
      <w:keepNext/>
      <w:spacing w:before="260" w:after="260" w:line="413" w:lineRule="auto"/>
      <w:outlineLvl w:val="2"/>
    </w:pPr>
    <w:rPr>
      <w:rFonts w:ascii="Arial" w:hAnsi="Arial"/>
      <w:b/>
      <w:sz w:val="32"/>
      <w:szCs w:val="20"/>
    </w:rPr>
  </w:style>
  <w:style w:type="paragraph" w:styleId="835" w:customStyle="1">
    <w:name w:val="纯文本11"/>
    <w:basedOn w:val="640"/>
    <w:uiPriority w:val="0"/>
    <w:qFormat/>
    <w:rPr>
      <w:rFonts w:ascii="宋体" w:hAnsi="Courier New"/>
      <w:szCs w:val="21"/>
    </w:rPr>
  </w:style>
  <w:style w:type="paragraph" w:styleId="836"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837" w:customStyle="1">
    <w:name w:val="引文目录标题1"/>
    <w:basedOn w:val="640"/>
    <w:next w:val="640"/>
    <w:uiPriority w:val="0"/>
    <w:qFormat/>
    <w:pPr>
      <w:spacing w:before="120"/>
    </w:pPr>
    <w:rPr>
      <w:rFonts w:ascii="Arial" w:hAnsi="Arial"/>
      <w:sz w:val="24"/>
    </w:rPr>
  </w:style>
  <w:style w:type="paragraph" w:styleId="838" w:customStyle="1">
    <w:name w:val="正文首行缩进 21"/>
    <w:basedOn w:val="839"/>
    <w:next w:val="640"/>
    <w:uiPriority w:val="0"/>
    <w:qFormat/>
    <w:pPr>
      <w:ind w:left="420" w:firstLine="420"/>
      <w:spacing w:after="120"/>
      <w:widowControl/>
    </w:pPr>
    <w:rPr>
      <w:rFonts w:ascii="仿宋_GB2312" w:eastAsia="仿宋_GB2312"/>
      <w:color w:val="ff6600"/>
      <w:sz w:val="21"/>
    </w:rPr>
  </w:style>
  <w:style w:type="paragraph" w:styleId="839" w:customStyle="1">
    <w:name w:val="正文文本缩进1"/>
    <w:basedOn w:val="640"/>
    <w:next w:val="640"/>
    <w:uiPriority w:val="0"/>
    <w:qFormat/>
    <w:pPr>
      <w:ind w:firstLine="630"/>
    </w:pPr>
    <w:rPr>
      <w:rFonts w:ascii="楷体_GB2312" w:eastAsia="楷体_GB2312"/>
      <w:sz w:val="32"/>
      <w:szCs w:val="20"/>
    </w:rPr>
  </w:style>
  <w:style w:type="paragraph" w:styleId="840" w:customStyle="1">
    <w:name w:val="页脚1"/>
    <w:basedOn w:val="640"/>
    <w:uiPriority w:val="99"/>
    <w:qFormat/>
    <w:pPr>
      <w:jc w:val="left"/>
      <w:tabs>
        <w:tab w:val="center" w:pos="4153" w:leader="none"/>
        <w:tab w:val="right" w:pos="8306" w:leader="none"/>
      </w:tabs>
    </w:pPr>
    <w:rPr>
      <w:sz w:val="18"/>
      <w:szCs w:val="18"/>
    </w:rPr>
  </w:style>
  <w:style w:type="character" w:styleId="841" w:customStyle="1">
    <w:name w:val="页码1"/>
    <w:link w:val="640"/>
    <w:uiPriority w:val="0"/>
    <w:qFormat/>
    <w:rPr>
      <w:rFonts w:ascii="Times New Roman" w:hAnsi="Times New Roman" w:eastAsia="宋体" w:cs="Times New Roman"/>
      <w:sz w:val="21"/>
      <w:szCs w:val="22"/>
    </w:rPr>
  </w:style>
  <w:style w:type="paragraph" w:styleId="842" w:customStyle="1">
    <w:name w:val="首行缩进"/>
    <w:basedOn w:val="640"/>
    <w:uiPriority w:val="99"/>
    <w:qFormat/>
    <w:pPr>
      <w:ind w:firstLine="480"/>
      <w:spacing w:line="360" w:lineRule="auto"/>
    </w:pPr>
    <w:rPr>
      <w:rFonts w:ascii="宋体" w:hAnsi="宋体" w:cs="宋体"/>
      <w:sz w:val="24"/>
    </w:rPr>
  </w:style>
  <w:style w:type="numbering" w:styleId="119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王雁</cp:lastModifiedBy>
  <cp:revision>4</cp:revision>
  <dcterms:created xsi:type="dcterms:W3CDTF">2024-06-25T02:03:00Z</dcterms:created>
  <dcterms:modified xsi:type="dcterms:W3CDTF">2024-08-29T01:10:17Z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2052-12.1.0.16364</vt:lpwstr>
  </property>
  <property fmtid="{D5CDD505-2E9C-101B-9397-08002B2CF9AE}" pid="3" name="ICV">
    <vt:lpwstr>C97156AE35944797BCAF14C90014FE14_13</vt:lpwstr>
  </property>
</Properties>
</file>