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8C4CE">
      <w:pPr>
        <w:jc w:val="center"/>
        <w:rPr>
          <w:b/>
          <w:bCs/>
          <w:sz w:val="52"/>
        </w:rPr>
      </w:pPr>
      <w:r>
        <w:rPr>
          <w:rFonts w:hint="eastAsia" w:ascii="宋体" w:hAnsi="宋体"/>
          <w:b/>
          <w:bCs/>
          <w:sz w:val="52"/>
        </w:rPr>
        <w:t>江苏省宜兴强制隔离戒毒所配餐中心局部维修改造项目</w:t>
      </w:r>
    </w:p>
    <w:p w14:paraId="39959244">
      <w:pPr>
        <w:jc w:val="center"/>
        <w:rPr>
          <w:rFonts w:ascii="宋体" w:hAnsi="宋体"/>
          <w:b/>
          <w:bCs/>
          <w:sz w:val="52"/>
        </w:rPr>
      </w:pPr>
    </w:p>
    <w:p w14:paraId="767D82BB">
      <w:pPr>
        <w:pStyle w:val="8"/>
      </w:pPr>
    </w:p>
    <w:p w14:paraId="16FAD85C">
      <w:pPr>
        <w:jc w:val="center"/>
        <w:rPr>
          <w:rFonts w:ascii="黑体" w:hAnsi="黑体" w:eastAsia="黑体"/>
          <w:sz w:val="84"/>
          <w:szCs w:val="84"/>
        </w:rPr>
      </w:pPr>
      <w:r>
        <w:rPr>
          <w:rFonts w:hint="eastAsia" w:ascii="黑体" w:hAnsi="黑体" w:eastAsia="黑体"/>
          <w:sz w:val="84"/>
          <w:szCs w:val="84"/>
        </w:rPr>
        <w:t>招</w:t>
      </w:r>
    </w:p>
    <w:p w14:paraId="327ED301">
      <w:pPr>
        <w:jc w:val="center"/>
        <w:rPr>
          <w:rFonts w:ascii="黑体" w:hAnsi="黑体" w:eastAsia="黑体"/>
          <w:sz w:val="84"/>
          <w:szCs w:val="84"/>
        </w:rPr>
      </w:pPr>
      <w:r>
        <w:rPr>
          <w:rFonts w:hint="eastAsia" w:ascii="黑体" w:hAnsi="黑体" w:eastAsia="黑体"/>
          <w:sz w:val="84"/>
          <w:szCs w:val="84"/>
        </w:rPr>
        <w:t>标</w:t>
      </w:r>
    </w:p>
    <w:p w14:paraId="55856856">
      <w:pPr>
        <w:jc w:val="center"/>
        <w:rPr>
          <w:rFonts w:ascii="黑体" w:hAnsi="黑体" w:eastAsia="黑体"/>
          <w:sz w:val="84"/>
          <w:szCs w:val="84"/>
        </w:rPr>
      </w:pPr>
      <w:r>
        <w:rPr>
          <w:rFonts w:hint="eastAsia" w:ascii="黑体" w:hAnsi="黑体" w:eastAsia="黑体"/>
          <w:sz w:val="84"/>
          <w:szCs w:val="84"/>
        </w:rPr>
        <w:t>文</w:t>
      </w:r>
    </w:p>
    <w:p w14:paraId="4BA94453">
      <w:pPr>
        <w:jc w:val="center"/>
        <w:rPr>
          <w:rFonts w:ascii="黑体" w:hAnsi="黑体" w:eastAsia="黑体"/>
          <w:sz w:val="84"/>
          <w:szCs w:val="84"/>
        </w:rPr>
      </w:pPr>
      <w:r>
        <w:rPr>
          <w:rFonts w:hint="eastAsia" w:ascii="黑体" w:hAnsi="黑体" w:eastAsia="黑体"/>
          <w:sz w:val="84"/>
          <w:szCs w:val="84"/>
        </w:rPr>
        <w:t>件</w:t>
      </w:r>
    </w:p>
    <w:p w14:paraId="4BAE8AD8">
      <w:pPr>
        <w:jc w:val="center"/>
        <w:rPr>
          <w:rFonts w:ascii="宋体" w:hAnsi="宋体"/>
          <w:sz w:val="32"/>
        </w:rPr>
      </w:pPr>
    </w:p>
    <w:p w14:paraId="03928A33">
      <w:pPr>
        <w:jc w:val="center"/>
        <w:rPr>
          <w:rFonts w:ascii="宋体" w:hAnsi="宋体"/>
          <w:b/>
          <w:bCs/>
          <w:sz w:val="84"/>
        </w:rPr>
      </w:pPr>
    </w:p>
    <w:p w14:paraId="30F0DA55">
      <w:pPr>
        <w:spacing w:line="360" w:lineRule="auto"/>
        <w:jc w:val="center"/>
        <w:rPr>
          <w:rFonts w:ascii="宋体" w:hAnsi="宋体"/>
          <w:sz w:val="32"/>
        </w:rPr>
      </w:pPr>
      <w:r>
        <w:rPr>
          <w:rFonts w:hint="eastAsia" w:ascii="宋体" w:hAnsi="宋体"/>
          <w:sz w:val="32"/>
        </w:rPr>
        <w:t>项目编号：YXJDS-JJK-2025-006</w:t>
      </w:r>
    </w:p>
    <w:p w14:paraId="7C1BC5DD">
      <w:pPr>
        <w:spacing w:line="360" w:lineRule="auto"/>
        <w:jc w:val="center"/>
        <w:rPr>
          <w:rFonts w:ascii="宋体" w:hAnsi="宋体"/>
          <w:sz w:val="32"/>
        </w:rPr>
      </w:pPr>
      <w:r>
        <w:rPr>
          <w:rFonts w:hint="eastAsia" w:ascii="宋体" w:hAnsi="宋体"/>
          <w:sz w:val="32"/>
        </w:rPr>
        <w:t>采购人：江苏省宜兴强制隔离戒毒所</w:t>
      </w:r>
    </w:p>
    <w:p w14:paraId="2028E283">
      <w:pPr>
        <w:spacing w:line="360" w:lineRule="auto"/>
        <w:jc w:val="center"/>
        <w:rPr>
          <w:rFonts w:ascii="宋体" w:hAnsi="宋体"/>
          <w:sz w:val="32"/>
        </w:rPr>
      </w:pPr>
      <w:r>
        <w:rPr>
          <w:rFonts w:hint="eastAsia" w:ascii="宋体" w:hAnsi="宋体"/>
          <w:sz w:val="32"/>
        </w:rPr>
        <w:t>项目名称：江苏省宜兴强制隔离戒毒所配餐中心局部维修改造项目</w:t>
      </w:r>
    </w:p>
    <w:p w14:paraId="772AD2EC">
      <w:pPr>
        <w:spacing w:line="360" w:lineRule="auto"/>
        <w:jc w:val="center"/>
        <w:rPr>
          <w:rFonts w:ascii="宋体" w:hAnsi="宋体"/>
          <w:sz w:val="32"/>
        </w:rPr>
      </w:pPr>
      <w:r>
        <w:rPr>
          <w:rFonts w:hint="eastAsia" w:ascii="宋体" w:hAnsi="宋体"/>
          <w:sz w:val="32"/>
        </w:rPr>
        <w:t>采购代理机构：江苏鼎坚工程咨询有限公司</w:t>
      </w:r>
    </w:p>
    <w:p w14:paraId="722774C3">
      <w:pPr>
        <w:spacing w:line="360" w:lineRule="auto"/>
        <w:jc w:val="center"/>
        <w:rPr>
          <w:rFonts w:ascii="宋体" w:hAnsi="宋体"/>
          <w:sz w:val="32"/>
        </w:rPr>
      </w:pPr>
      <w:r>
        <w:rPr>
          <w:rFonts w:hint="eastAsia" w:ascii="宋体" w:hAnsi="宋体"/>
          <w:sz w:val="32"/>
        </w:rPr>
        <w:t>二零二五年五月</w:t>
      </w:r>
    </w:p>
    <w:p w14:paraId="46C78BA2"/>
    <w:p w14:paraId="60214A09">
      <w:pPr>
        <w:jc w:val="center"/>
        <w:rPr>
          <w:rStyle w:val="25"/>
          <w:rFonts w:eastAsia="黑体"/>
          <w:bCs/>
          <w:sz w:val="48"/>
        </w:rPr>
        <w:sectPr>
          <w:footerReference r:id="rId4" w:type="first"/>
          <w:footerReference r:id="rId3" w:type="default"/>
          <w:pgSz w:w="11906" w:h="16838"/>
          <w:pgMar w:top="1134" w:right="1134" w:bottom="1134" w:left="1134" w:header="851" w:footer="992" w:gutter="0"/>
          <w:pgNumType w:fmt="numberInDash" w:start="1"/>
          <w:cols w:space="720" w:num="1"/>
          <w:docGrid w:type="lines" w:linePitch="312" w:charSpace="0"/>
        </w:sectPr>
      </w:pPr>
    </w:p>
    <w:p w14:paraId="6F4BF8B6">
      <w:pPr>
        <w:jc w:val="center"/>
        <w:rPr>
          <w:rStyle w:val="25"/>
          <w:rFonts w:eastAsia="黑体"/>
          <w:bCs/>
          <w:sz w:val="48"/>
        </w:rPr>
      </w:pPr>
    </w:p>
    <w:p w14:paraId="790F37E2">
      <w:pPr>
        <w:jc w:val="center"/>
        <w:rPr>
          <w:rStyle w:val="25"/>
          <w:rFonts w:eastAsia="黑体"/>
          <w:bCs/>
          <w:sz w:val="48"/>
        </w:rPr>
      </w:pPr>
      <w:r>
        <w:rPr>
          <w:rStyle w:val="25"/>
          <w:rFonts w:hint="eastAsia" w:eastAsia="黑体"/>
          <w:bCs/>
          <w:sz w:val="48"/>
        </w:rPr>
        <w:t>目录</w:t>
      </w:r>
    </w:p>
    <w:p w14:paraId="403CC141">
      <w:pPr>
        <w:jc w:val="center"/>
        <w:rPr>
          <w:rFonts w:ascii="黑体" w:eastAsia="黑体"/>
          <w:bCs/>
          <w:sz w:val="30"/>
        </w:rPr>
      </w:pPr>
    </w:p>
    <w:p w14:paraId="2EC8B50E">
      <w:pPr>
        <w:jc w:val="center"/>
        <w:rPr>
          <w:rFonts w:ascii="黑体" w:eastAsia="黑体"/>
          <w:bCs/>
          <w:sz w:val="30"/>
        </w:rPr>
      </w:pPr>
    </w:p>
    <w:p w14:paraId="04067212">
      <w:pPr>
        <w:pStyle w:val="16"/>
        <w:tabs>
          <w:tab w:val="right" w:leader="dot" w:pos="9628"/>
        </w:tabs>
        <w:rPr>
          <w:rFonts w:asciiTheme="minorHAnsi" w:hAnsiTheme="minorHAnsi" w:eastAsiaTheme="minorEastAsia" w:cstheme="minorBidi"/>
          <w:sz w:val="28"/>
          <w:szCs w:val="28"/>
        </w:rPr>
      </w:pPr>
      <w:bookmarkStart w:id="0" w:name="_Toc30211"/>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r>
        <w:fldChar w:fldCharType="begin"/>
      </w:r>
      <w:r>
        <w:instrText xml:space="preserve"> HYPERLINK \l "_Toc52205513" </w:instrText>
      </w:r>
      <w:r>
        <w:fldChar w:fldCharType="separate"/>
      </w:r>
      <w:r>
        <w:rPr>
          <w:rStyle w:val="27"/>
          <w:rFonts w:hint="eastAsia" w:ascii="黑体" w:hAnsi="黑体" w:eastAsia="黑体"/>
          <w:sz w:val="28"/>
          <w:szCs w:val="28"/>
        </w:rPr>
        <w:t>第一章投标邀请函</w:t>
      </w:r>
      <w:r>
        <w:rPr>
          <w:sz w:val="28"/>
          <w:szCs w:val="28"/>
        </w:rPr>
        <w:tab/>
      </w:r>
      <w:r>
        <w:rPr>
          <w:sz w:val="28"/>
          <w:szCs w:val="28"/>
        </w:rPr>
        <w:fldChar w:fldCharType="begin"/>
      </w:r>
      <w:r>
        <w:rPr>
          <w:sz w:val="28"/>
          <w:szCs w:val="28"/>
        </w:rPr>
        <w:instrText xml:space="preserve"> PAGEREF _Toc52205513 \h </w:instrText>
      </w:r>
      <w:r>
        <w:rPr>
          <w:sz w:val="28"/>
          <w:szCs w:val="28"/>
        </w:rPr>
        <w:fldChar w:fldCharType="separate"/>
      </w:r>
      <w:r>
        <w:rPr>
          <w:sz w:val="28"/>
          <w:szCs w:val="28"/>
        </w:rPr>
        <w:t>3</w:t>
      </w:r>
      <w:r>
        <w:rPr>
          <w:sz w:val="28"/>
          <w:szCs w:val="28"/>
        </w:rPr>
        <w:fldChar w:fldCharType="end"/>
      </w:r>
      <w:r>
        <w:rPr>
          <w:sz w:val="28"/>
          <w:szCs w:val="28"/>
        </w:rPr>
        <w:fldChar w:fldCharType="end"/>
      </w:r>
    </w:p>
    <w:p w14:paraId="3CA2A180">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"_Toc52205514" </w:instrText>
      </w:r>
      <w:r>
        <w:fldChar w:fldCharType="separate"/>
      </w:r>
      <w:r>
        <w:rPr>
          <w:rStyle w:val="27"/>
          <w:rFonts w:hint="eastAsia" w:ascii="黑体" w:hAnsi="黑体" w:eastAsia="黑体"/>
          <w:sz w:val="28"/>
          <w:szCs w:val="28"/>
        </w:rPr>
        <w:t>第二章投标人须知</w:t>
      </w:r>
      <w:r>
        <w:rPr>
          <w:sz w:val="28"/>
          <w:szCs w:val="28"/>
        </w:rPr>
        <w:tab/>
      </w:r>
      <w:r>
        <w:rPr>
          <w:sz w:val="28"/>
          <w:szCs w:val="28"/>
        </w:rPr>
        <w:fldChar w:fldCharType="begin"/>
      </w:r>
      <w:r>
        <w:rPr>
          <w:sz w:val="28"/>
          <w:szCs w:val="28"/>
        </w:rPr>
        <w:instrText xml:space="preserve"> PAGEREF _Toc52205514 \h </w:instrText>
      </w:r>
      <w:r>
        <w:rPr>
          <w:sz w:val="28"/>
          <w:szCs w:val="28"/>
        </w:rPr>
        <w:fldChar w:fldCharType="separate"/>
      </w:r>
      <w:r>
        <w:rPr>
          <w:sz w:val="28"/>
          <w:szCs w:val="28"/>
        </w:rPr>
        <w:t>6</w:t>
      </w:r>
      <w:r>
        <w:rPr>
          <w:sz w:val="28"/>
          <w:szCs w:val="28"/>
        </w:rPr>
        <w:fldChar w:fldCharType="end"/>
      </w:r>
      <w:r>
        <w:rPr>
          <w:sz w:val="28"/>
          <w:szCs w:val="28"/>
        </w:rPr>
        <w:fldChar w:fldCharType="end"/>
      </w:r>
    </w:p>
    <w:p w14:paraId="79871A8D">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"_Toc52205515" </w:instrText>
      </w:r>
      <w:r>
        <w:fldChar w:fldCharType="separate"/>
      </w:r>
      <w:r>
        <w:rPr>
          <w:rStyle w:val="27"/>
          <w:rFonts w:hint="eastAsia" w:ascii="黑体" w:hAnsi="黑体" w:eastAsia="黑体"/>
          <w:sz w:val="28"/>
          <w:szCs w:val="28"/>
        </w:rPr>
        <w:t>第三章评标方法和标准</w:t>
      </w:r>
      <w:r>
        <w:rPr>
          <w:sz w:val="28"/>
          <w:szCs w:val="28"/>
        </w:rPr>
        <w:tab/>
      </w:r>
      <w:r>
        <w:rPr>
          <w:sz w:val="28"/>
          <w:szCs w:val="28"/>
        </w:rPr>
        <w:fldChar w:fldCharType="begin"/>
      </w:r>
      <w:r>
        <w:rPr>
          <w:sz w:val="28"/>
          <w:szCs w:val="28"/>
        </w:rPr>
        <w:instrText xml:space="preserve"> PAGEREF _Toc52205515 \h </w:instrText>
      </w:r>
      <w:r>
        <w:rPr>
          <w:sz w:val="28"/>
          <w:szCs w:val="28"/>
        </w:rPr>
        <w:fldChar w:fldCharType="separate"/>
      </w:r>
      <w:r>
        <w:rPr>
          <w:sz w:val="28"/>
          <w:szCs w:val="28"/>
        </w:rPr>
        <w:t>17</w:t>
      </w:r>
      <w:r>
        <w:rPr>
          <w:sz w:val="28"/>
          <w:szCs w:val="28"/>
        </w:rPr>
        <w:fldChar w:fldCharType="end"/>
      </w:r>
      <w:r>
        <w:rPr>
          <w:sz w:val="28"/>
          <w:szCs w:val="28"/>
        </w:rPr>
        <w:fldChar w:fldCharType="end"/>
      </w:r>
    </w:p>
    <w:p w14:paraId="158CFD71">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"_Toc52205516" </w:instrText>
      </w:r>
      <w:r>
        <w:fldChar w:fldCharType="separate"/>
      </w:r>
      <w:r>
        <w:rPr>
          <w:rStyle w:val="27"/>
          <w:rFonts w:hint="eastAsia" w:ascii="黑体" w:hAnsi="黑体" w:eastAsia="黑体"/>
          <w:sz w:val="28"/>
          <w:szCs w:val="28"/>
        </w:rPr>
        <w:t>第四章项目技术要求和有关说明</w:t>
      </w:r>
      <w:r>
        <w:rPr>
          <w:sz w:val="28"/>
          <w:szCs w:val="28"/>
        </w:rPr>
        <w:tab/>
      </w:r>
      <w:r>
        <w:rPr>
          <w:sz w:val="28"/>
          <w:szCs w:val="28"/>
        </w:rPr>
        <w:fldChar w:fldCharType="begin"/>
      </w:r>
      <w:r>
        <w:rPr>
          <w:sz w:val="28"/>
          <w:szCs w:val="28"/>
        </w:rPr>
        <w:instrText xml:space="preserve"> PAGEREF _Toc52205516 \h </w:instrText>
      </w:r>
      <w:r>
        <w:rPr>
          <w:sz w:val="28"/>
          <w:szCs w:val="28"/>
        </w:rPr>
        <w:fldChar w:fldCharType="separate"/>
      </w:r>
      <w:r>
        <w:rPr>
          <w:sz w:val="28"/>
          <w:szCs w:val="28"/>
        </w:rPr>
        <w:t>22</w:t>
      </w:r>
      <w:r>
        <w:rPr>
          <w:sz w:val="28"/>
          <w:szCs w:val="28"/>
        </w:rPr>
        <w:fldChar w:fldCharType="end"/>
      </w:r>
      <w:r>
        <w:rPr>
          <w:sz w:val="28"/>
          <w:szCs w:val="28"/>
        </w:rPr>
        <w:fldChar w:fldCharType="end"/>
      </w:r>
    </w:p>
    <w:p w14:paraId="6AA0EADC">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"_Toc52205517" </w:instrText>
      </w:r>
      <w:r>
        <w:fldChar w:fldCharType="separate"/>
      </w:r>
      <w:r>
        <w:rPr>
          <w:rStyle w:val="27"/>
          <w:rFonts w:hint="eastAsia" w:ascii="黑体" w:hAnsi="黑体" w:eastAsia="黑体"/>
          <w:sz w:val="28"/>
          <w:szCs w:val="28"/>
        </w:rPr>
        <w:t>第五章合同书（格式文本）</w:t>
      </w:r>
      <w:r>
        <w:rPr>
          <w:sz w:val="28"/>
          <w:szCs w:val="28"/>
        </w:rPr>
        <w:tab/>
      </w:r>
      <w:r>
        <w:rPr>
          <w:sz w:val="28"/>
          <w:szCs w:val="28"/>
        </w:rPr>
        <w:fldChar w:fldCharType="begin"/>
      </w:r>
      <w:r>
        <w:rPr>
          <w:sz w:val="28"/>
          <w:szCs w:val="28"/>
        </w:rPr>
        <w:instrText xml:space="preserve"> PAGEREF _Toc52205517 \h </w:instrText>
      </w:r>
      <w:r>
        <w:rPr>
          <w:sz w:val="28"/>
          <w:szCs w:val="28"/>
        </w:rPr>
        <w:fldChar w:fldCharType="separate"/>
      </w:r>
      <w:r>
        <w:rPr>
          <w:sz w:val="28"/>
          <w:szCs w:val="28"/>
        </w:rPr>
        <w:t>22</w:t>
      </w:r>
      <w:r>
        <w:rPr>
          <w:sz w:val="28"/>
          <w:szCs w:val="28"/>
        </w:rPr>
        <w:fldChar w:fldCharType="end"/>
      </w:r>
      <w:r>
        <w:rPr>
          <w:sz w:val="28"/>
          <w:szCs w:val="28"/>
        </w:rPr>
        <w:fldChar w:fldCharType="end"/>
      </w:r>
    </w:p>
    <w:p w14:paraId="2FFE5773">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"_Toc52205519" </w:instrText>
      </w:r>
      <w:r>
        <w:fldChar w:fldCharType="separate"/>
      </w:r>
      <w:r>
        <w:rPr>
          <w:rStyle w:val="27"/>
          <w:rFonts w:hint="eastAsia" w:ascii="黑体" w:hAnsi="黑体" w:eastAsia="黑体"/>
          <w:sz w:val="28"/>
          <w:szCs w:val="28"/>
        </w:rPr>
        <w:t>第六章附件（投标文件格式）</w:t>
      </w:r>
      <w:r>
        <w:rPr>
          <w:sz w:val="28"/>
          <w:szCs w:val="28"/>
        </w:rPr>
        <w:tab/>
      </w:r>
      <w:r>
        <w:rPr>
          <w:rFonts w:hint="eastAsia"/>
          <w:sz w:val="28"/>
          <w:szCs w:val="28"/>
        </w:rPr>
        <w:t>.......</w:t>
      </w:r>
      <w:r>
        <w:rPr>
          <w:sz w:val="28"/>
          <w:szCs w:val="28"/>
        </w:rPr>
        <w:fldChar w:fldCharType="begin"/>
      </w:r>
      <w:r>
        <w:rPr>
          <w:sz w:val="28"/>
          <w:szCs w:val="28"/>
        </w:rPr>
        <w:instrText xml:space="preserve"> PAGEREF _Toc52205519 \h </w:instrText>
      </w:r>
      <w:r>
        <w:rPr>
          <w:sz w:val="28"/>
          <w:szCs w:val="28"/>
        </w:rPr>
        <w:fldChar w:fldCharType="separate"/>
      </w:r>
      <w:r>
        <w:rPr>
          <w:sz w:val="28"/>
          <w:szCs w:val="28"/>
        </w:rPr>
        <w:t>- 26 -</w:t>
      </w:r>
      <w:r>
        <w:rPr>
          <w:sz w:val="28"/>
          <w:szCs w:val="28"/>
        </w:rPr>
        <w:fldChar w:fldCharType="end"/>
      </w:r>
      <w:r>
        <w:rPr>
          <w:sz w:val="28"/>
          <w:szCs w:val="28"/>
        </w:rPr>
        <w:fldChar w:fldCharType="end"/>
      </w:r>
    </w:p>
    <w:p w14:paraId="103AE236">
      <w:pPr>
        <w:jc w:val="center"/>
        <w:rPr>
          <w:rFonts w:ascii="宋体" w:hAnsi="宋体" w:cs="宋体"/>
          <w:sz w:val="28"/>
          <w:szCs w:val="28"/>
        </w:rPr>
      </w:pPr>
      <w:r>
        <w:rPr>
          <w:rFonts w:hint="eastAsia" w:ascii="宋体" w:hAnsi="宋体" w:cs="宋体"/>
          <w:sz w:val="28"/>
          <w:szCs w:val="28"/>
        </w:rPr>
        <w:fldChar w:fldCharType="end"/>
      </w:r>
    </w:p>
    <w:p w14:paraId="0403C9F8">
      <w:pPr>
        <w:jc w:val="center"/>
        <w:outlineLvl w:val="0"/>
        <w:rPr>
          <w:rFonts w:ascii="黑体" w:hAnsi="黑体" w:eastAsia="黑体"/>
          <w:sz w:val="28"/>
        </w:rPr>
      </w:pPr>
      <w:r>
        <w:rPr>
          <w:rFonts w:hint="eastAsia" w:ascii="黑体" w:hAnsi="黑体" w:eastAsia="黑体"/>
          <w:sz w:val="28"/>
        </w:rPr>
        <w:br w:type="page"/>
      </w:r>
      <w:bookmarkStart w:id="1" w:name="_Toc32450"/>
      <w:bookmarkStart w:id="2" w:name="_Toc52205513"/>
      <w:r>
        <w:rPr>
          <w:rFonts w:hint="eastAsia" w:ascii="黑体" w:hAnsi="黑体" w:eastAsia="黑体"/>
          <w:sz w:val="28"/>
        </w:rPr>
        <w:t>第一章 投标邀请函</w:t>
      </w:r>
      <w:bookmarkEnd w:id="0"/>
      <w:bookmarkEnd w:id="1"/>
      <w:bookmarkEnd w:id="2"/>
    </w:p>
    <w:p w14:paraId="3C20D584">
      <w:pPr>
        <w:spacing w:line="360" w:lineRule="exact"/>
        <w:ind w:firstLine="480" w:firstLineChars="200"/>
        <w:rPr>
          <w:rFonts w:ascii="宋体" w:hAnsi="宋体"/>
          <w:bCs/>
          <w:sz w:val="24"/>
          <w:szCs w:val="24"/>
        </w:rPr>
      </w:pPr>
      <w:r>
        <w:rPr>
          <w:rFonts w:hint="eastAsia" w:ascii="宋体" w:hAnsi="宋体"/>
          <w:sz w:val="24"/>
          <w:szCs w:val="28"/>
        </w:rPr>
        <w:t>江苏省宜兴强制隔离戒毒所对江苏省宜兴强制隔离戒毒所配餐中心局部维修改造项目进行公开招标，欢迎你单位竞争报价并提请注意下列附表中的相关事项；同时，为贯彻落实习近平总书记重要批示和《中共中央国务院关于开展扫黑除恶专项斗争的通知》精神，加大对于恶意竞标、围标串标、虚假投标、敲诈勒索等涉黑涉恶行为的打击力度，营造公平竞争、诚实守信的采购环境，请贵单位依法依规参加本次采购活动。</w:t>
      </w:r>
    </w:p>
    <w:tbl>
      <w:tblPr>
        <w:tblStyle w:val="21"/>
        <w:tblW w:w="5146"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533"/>
        <w:gridCol w:w="3517"/>
        <w:gridCol w:w="5208"/>
      </w:tblGrid>
      <w:tr w14:paraId="2C67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485" w:type="pct"/>
            <w:vAlign w:val="center"/>
          </w:tcPr>
          <w:p w14:paraId="4431D0E2">
            <w:pPr>
              <w:spacing w:line="360" w:lineRule="exact"/>
              <w:jc w:val="center"/>
              <w:rPr>
                <w:rFonts w:ascii="宋体" w:hAnsi="宋体"/>
                <w:bCs/>
                <w:sz w:val="24"/>
                <w:szCs w:val="24"/>
              </w:rPr>
            </w:pPr>
            <w:r>
              <w:rPr>
                <w:rFonts w:hint="eastAsia" w:ascii="宋体" w:hAnsi="宋体"/>
                <w:bCs/>
                <w:sz w:val="24"/>
                <w:szCs w:val="24"/>
              </w:rPr>
              <w:t>序号</w:t>
            </w:r>
          </w:p>
        </w:tc>
        <w:tc>
          <w:tcPr>
            <w:tcW w:w="4514" w:type="pct"/>
            <w:gridSpan w:val="3"/>
            <w:vAlign w:val="center"/>
          </w:tcPr>
          <w:p w14:paraId="0D2FB14E">
            <w:pPr>
              <w:spacing w:line="360" w:lineRule="exact"/>
              <w:jc w:val="center"/>
              <w:rPr>
                <w:rFonts w:ascii="宋体" w:hAnsi="宋体"/>
                <w:bCs/>
                <w:sz w:val="24"/>
                <w:szCs w:val="24"/>
              </w:rPr>
            </w:pPr>
            <w:r>
              <w:rPr>
                <w:rFonts w:hint="eastAsia" w:ascii="宋体" w:hAnsi="宋体"/>
                <w:bCs/>
                <w:sz w:val="24"/>
                <w:szCs w:val="24"/>
              </w:rPr>
              <w:t>内容</w:t>
            </w:r>
          </w:p>
        </w:tc>
      </w:tr>
      <w:tr w14:paraId="7FCF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85" w:type="pct"/>
            <w:vAlign w:val="center"/>
          </w:tcPr>
          <w:p w14:paraId="7F7D5C1F">
            <w:pPr>
              <w:spacing w:line="360" w:lineRule="exact"/>
              <w:jc w:val="center"/>
              <w:rPr>
                <w:rFonts w:ascii="宋体" w:hAnsi="宋体"/>
                <w:bCs/>
                <w:sz w:val="24"/>
                <w:szCs w:val="24"/>
              </w:rPr>
            </w:pPr>
            <w:r>
              <w:rPr>
                <w:rFonts w:ascii="宋体" w:hAnsi="宋体"/>
                <w:bCs/>
                <w:sz w:val="24"/>
                <w:szCs w:val="24"/>
              </w:rPr>
              <w:t>1</w:t>
            </w:r>
          </w:p>
        </w:tc>
        <w:tc>
          <w:tcPr>
            <w:tcW w:w="4514" w:type="pct"/>
            <w:gridSpan w:val="3"/>
          </w:tcPr>
          <w:p w14:paraId="58F34EB5">
            <w:pPr>
              <w:spacing w:line="360" w:lineRule="exact"/>
              <w:jc w:val="left"/>
              <w:rPr>
                <w:rFonts w:ascii="宋体" w:hAnsi="宋体"/>
                <w:bCs/>
                <w:sz w:val="24"/>
                <w:szCs w:val="24"/>
              </w:rPr>
            </w:pPr>
            <w:r>
              <w:rPr>
                <w:rFonts w:hint="eastAsia" w:ascii="宋体" w:hAnsi="宋体"/>
                <w:bCs/>
                <w:sz w:val="24"/>
                <w:szCs w:val="24"/>
              </w:rPr>
              <w:t>采购人：江苏省宜兴强制隔离戒毒所</w:t>
            </w:r>
          </w:p>
          <w:p w14:paraId="685C11D9">
            <w:pPr>
              <w:spacing w:line="360" w:lineRule="exact"/>
              <w:jc w:val="left"/>
              <w:rPr>
                <w:rFonts w:ascii="宋体" w:hAnsi="宋体"/>
                <w:bCs/>
                <w:sz w:val="24"/>
                <w:szCs w:val="24"/>
              </w:rPr>
            </w:pPr>
            <w:r>
              <w:rPr>
                <w:rFonts w:hint="eastAsia" w:ascii="宋体" w:hAnsi="宋体"/>
                <w:bCs/>
                <w:sz w:val="24"/>
                <w:szCs w:val="24"/>
              </w:rPr>
              <w:t xml:space="preserve">采购代理机构：江苏鼎坚工程咨询有限公司                   </w:t>
            </w:r>
          </w:p>
          <w:p w14:paraId="689A2BD9">
            <w:pPr>
              <w:spacing w:line="360" w:lineRule="exact"/>
              <w:jc w:val="left"/>
              <w:rPr>
                <w:rFonts w:ascii="宋体" w:hAnsi="宋体"/>
                <w:bCs/>
                <w:sz w:val="24"/>
                <w:szCs w:val="24"/>
              </w:rPr>
            </w:pPr>
            <w:r>
              <w:rPr>
                <w:rFonts w:hint="eastAsia" w:ascii="宋体" w:hAnsi="宋体"/>
                <w:bCs/>
                <w:sz w:val="24"/>
                <w:szCs w:val="24"/>
              </w:rPr>
              <w:t>项目名称：江苏省宜兴强制隔离戒毒所配餐中心局部维修改造项目</w:t>
            </w:r>
          </w:p>
          <w:p w14:paraId="6D34B5BD">
            <w:pPr>
              <w:spacing w:line="360" w:lineRule="exact"/>
              <w:jc w:val="left"/>
              <w:rPr>
                <w:rFonts w:ascii="宋体" w:hAnsi="宋体"/>
                <w:bCs/>
                <w:sz w:val="24"/>
                <w:szCs w:val="24"/>
              </w:rPr>
            </w:pPr>
            <w:r>
              <w:rPr>
                <w:rFonts w:hint="eastAsia" w:ascii="宋体" w:hAnsi="宋体"/>
                <w:bCs/>
                <w:sz w:val="24"/>
                <w:szCs w:val="24"/>
              </w:rPr>
              <w:t>项目编号：YXJDS-JJK-2025-006</w:t>
            </w:r>
          </w:p>
          <w:p w14:paraId="01AD777B">
            <w:pPr>
              <w:spacing w:line="360" w:lineRule="exact"/>
              <w:jc w:val="left"/>
              <w:rPr>
                <w:rFonts w:ascii="宋体" w:hAnsi="宋体"/>
                <w:bCs/>
                <w:sz w:val="24"/>
                <w:szCs w:val="24"/>
              </w:rPr>
            </w:pPr>
            <w:r>
              <w:rPr>
                <w:rFonts w:hint="eastAsia" w:ascii="宋体" w:hAnsi="宋体"/>
                <w:bCs/>
                <w:sz w:val="24"/>
                <w:szCs w:val="24"/>
              </w:rPr>
              <w:t>本项目是否专门面向中小企业：否</w:t>
            </w:r>
          </w:p>
          <w:p w14:paraId="03D5D7D7">
            <w:pPr>
              <w:spacing w:line="360" w:lineRule="exact"/>
              <w:jc w:val="left"/>
              <w:rPr>
                <w:rFonts w:ascii="宋体" w:hAnsi="宋体"/>
                <w:bCs/>
                <w:sz w:val="24"/>
                <w:szCs w:val="24"/>
              </w:rPr>
            </w:pPr>
            <w:r>
              <w:rPr>
                <w:rFonts w:hint="eastAsia" w:ascii="宋体" w:hAnsi="宋体"/>
                <w:bCs/>
                <w:sz w:val="24"/>
                <w:szCs w:val="24"/>
              </w:rPr>
              <w:t xml:space="preserve">本项目标的所属行业：建筑业                                      </w:t>
            </w:r>
          </w:p>
          <w:p w14:paraId="2971DADA">
            <w:pPr>
              <w:spacing w:line="360" w:lineRule="exact"/>
              <w:jc w:val="left"/>
              <w:rPr>
                <w:rFonts w:ascii="宋体" w:hAnsi="宋体"/>
                <w:bCs/>
                <w:sz w:val="24"/>
                <w:szCs w:val="24"/>
              </w:rPr>
            </w:pPr>
            <w:r>
              <w:rPr>
                <w:rFonts w:hint="eastAsia" w:ascii="宋体" w:hAnsi="宋体"/>
                <w:bCs/>
                <w:sz w:val="24"/>
                <w:szCs w:val="24"/>
              </w:rPr>
              <w:t>采购方式：公开招标</w:t>
            </w:r>
          </w:p>
          <w:p w14:paraId="1E88551F">
            <w:pPr>
              <w:spacing w:line="360" w:lineRule="exact"/>
              <w:jc w:val="left"/>
              <w:rPr>
                <w:rFonts w:ascii="宋体" w:hAnsi="宋体"/>
                <w:bCs/>
                <w:sz w:val="24"/>
                <w:szCs w:val="24"/>
              </w:rPr>
            </w:pPr>
            <w:r>
              <w:rPr>
                <w:rFonts w:hint="eastAsia" w:ascii="宋体" w:hAnsi="宋体"/>
                <w:bCs/>
                <w:sz w:val="24"/>
                <w:szCs w:val="24"/>
              </w:rPr>
              <w:t xml:space="preserve">本项目预算价：119.73万元 </w:t>
            </w:r>
          </w:p>
          <w:p w14:paraId="26792EFA">
            <w:pPr>
              <w:spacing w:line="360" w:lineRule="exact"/>
              <w:jc w:val="left"/>
              <w:rPr>
                <w:rFonts w:ascii="宋体" w:hAnsi="宋体"/>
                <w:bCs/>
                <w:sz w:val="24"/>
                <w:szCs w:val="24"/>
              </w:rPr>
            </w:pPr>
            <w:r>
              <w:rPr>
                <w:rFonts w:hint="eastAsia" w:ascii="宋体" w:hAnsi="宋体"/>
                <w:sz w:val="24"/>
                <w:szCs w:val="28"/>
              </w:rPr>
              <w:t>最高限价：118.73万元</w:t>
            </w:r>
            <w:r>
              <w:rPr>
                <w:rFonts w:hint="eastAsia" w:ascii="宋体" w:hAnsi="宋体"/>
                <w:bCs/>
                <w:sz w:val="24"/>
                <w:szCs w:val="24"/>
              </w:rPr>
              <w:t xml:space="preserve">                    </w:t>
            </w:r>
          </w:p>
          <w:p w14:paraId="18D5C3AD">
            <w:pPr>
              <w:spacing w:line="360" w:lineRule="exact"/>
              <w:jc w:val="left"/>
              <w:rPr>
                <w:rFonts w:ascii="宋体" w:hAnsi="宋体"/>
                <w:bCs/>
                <w:sz w:val="24"/>
                <w:szCs w:val="24"/>
              </w:rPr>
            </w:pPr>
            <w:r>
              <w:rPr>
                <w:rFonts w:hint="eastAsia" w:ascii="宋体" w:hAnsi="宋体"/>
                <w:bCs/>
                <w:sz w:val="24"/>
                <w:szCs w:val="24"/>
              </w:rPr>
              <w:t>评标方法：综合评分法</w:t>
            </w:r>
          </w:p>
        </w:tc>
      </w:tr>
      <w:tr w14:paraId="278B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trPr>
        <w:tc>
          <w:tcPr>
            <w:tcW w:w="485" w:type="pct"/>
            <w:vMerge w:val="restart"/>
            <w:vAlign w:val="center"/>
          </w:tcPr>
          <w:p w14:paraId="2B1D61C3">
            <w:pPr>
              <w:spacing w:line="360" w:lineRule="exact"/>
              <w:jc w:val="center"/>
              <w:rPr>
                <w:rFonts w:ascii="宋体" w:hAnsi="宋体"/>
                <w:bCs/>
                <w:sz w:val="24"/>
                <w:szCs w:val="24"/>
              </w:rPr>
            </w:pPr>
            <w:r>
              <w:rPr>
                <w:rFonts w:ascii="宋体" w:hAnsi="宋体"/>
                <w:bCs/>
                <w:sz w:val="24"/>
                <w:szCs w:val="24"/>
              </w:rPr>
              <w:t>2</w:t>
            </w:r>
          </w:p>
        </w:tc>
        <w:tc>
          <w:tcPr>
            <w:tcW w:w="260" w:type="pct"/>
            <w:vMerge w:val="restart"/>
            <w:vAlign w:val="center"/>
          </w:tcPr>
          <w:p w14:paraId="4AC1FB3F">
            <w:pPr>
              <w:pStyle w:val="30"/>
              <w:spacing w:line="360" w:lineRule="exact"/>
              <w:jc w:val="center"/>
              <w:rPr>
                <w:lang w:val="zh-CN"/>
              </w:rPr>
            </w:pPr>
            <w:bookmarkStart w:id="3" w:name="OLE_LINK208"/>
            <w:r>
              <w:rPr>
                <w:rFonts w:hint="eastAsia" w:hAnsi="宋体"/>
                <w:b/>
                <w:bCs/>
                <w:lang w:val="zh-CN"/>
              </w:rPr>
              <w:t>资格审查</w:t>
            </w:r>
            <w:bookmarkEnd w:id="3"/>
          </w:p>
        </w:tc>
        <w:tc>
          <w:tcPr>
            <w:tcW w:w="4253" w:type="pct"/>
            <w:gridSpan w:val="2"/>
          </w:tcPr>
          <w:p w14:paraId="4C1F8A1A">
            <w:pPr>
              <w:pStyle w:val="30"/>
              <w:spacing w:line="360" w:lineRule="exact"/>
              <w:rPr>
                <w:rFonts w:hint="eastAsia"/>
              </w:rPr>
            </w:pPr>
            <w:r>
              <w:rPr>
                <w:rFonts w:hint="eastAsia"/>
              </w:rPr>
              <w:t>2.1投标人参加本次采购活动</w:t>
            </w:r>
            <w:r>
              <w:rPr>
                <w:rFonts w:hint="eastAsia"/>
                <w:lang w:val="zh-CN"/>
              </w:rPr>
              <w:t>应具备下列资格条件</w:t>
            </w:r>
            <w:r>
              <w:rPr>
                <w:rFonts w:hint="eastAsia"/>
              </w:rPr>
              <w:t>：</w:t>
            </w:r>
          </w:p>
          <w:p w14:paraId="4A784931">
            <w:pPr>
              <w:pStyle w:val="30"/>
              <w:spacing w:line="360" w:lineRule="exact"/>
              <w:rPr>
                <w:rFonts w:hint="eastAsia"/>
              </w:rPr>
            </w:pPr>
            <w:r>
              <w:rPr>
                <w:rFonts w:hint="eastAsia"/>
                <w:lang w:val="zh-CN"/>
              </w:rPr>
              <w:t>①</w:t>
            </w:r>
            <w:r>
              <w:rPr>
                <w:rFonts w:hint="eastAsia"/>
              </w:rPr>
              <w:t>满足《中华人民共和国政府采购法》第二十二条规定</w:t>
            </w:r>
            <w:r>
              <w:rPr>
                <w:rFonts w:hint="eastAsia"/>
                <w:lang w:val="zh-CN"/>
              </w:rPr>
              <w:t>；</w:t>
            </w:r>
          </w:p>
          <w:p w14:paraId="5C53D5AA">
            <w:pPr>
              <w:pStyle w:val="30"/>
              <w:spacing w:line="360" w:lineRule="exact"/>
              <w:rPr>
                <w:rFonts w:hint="eastAsia"/>
              </w:rPr>
            </w:pPr>
            <w:r>
              <w:rPr>
                <w:rFonts w:hint="eastAsia"/>
                <w:lang w:val="zh-CN"/>
              </w:rPr>
              <w:t>②</w:t>
            </w:r>
            <w:r>
              <w:rPr>
                <w:rFonts w:hint="eastAsia"/>
              </w:rPr>
              <w:t>落实政府采购政策需满足的资格要求：无</w:t>
            </w:r>
            <w:r>
              <w:rPr>
                <w:rFonts w:hint="eastAsia"/>
                <w:lang w:val="zh-CN"/>
              </w:rPr>
              <w:t>；</w:t>
            </w:r>
          </w:p>
          <w:p w14:paraId="32C9386A">
            <w:pPr>
              <w:pStyle w:val="30"/>
              <w:spacing w:line="360" w:lineRule="exact"/>
              <w:rPr>
                <w:rFonts w:hint="eastAsia"/>
              </w:rPr>
            </w:pPr>
            <w:r>
              <w:rPr>
                <w:rFonts w:hint="eastAsia"/>
              </w:rPr>
              <w:t>③其他要求：</w:t>
            </w:r>
          </w:p>
          <w:p w14:paraId="22D30241">
            <w:pPr>
              <w:pStyle w:val="30"/>
              <w:spacing w:line="360" w:lineRule="exact"/>
              <w:rPr>
                <w:rFonts w:hint="eastAsia"/>
              </w:rPr>
            </w:pPr>
            <w:r>
              <w:rPr>
                <w:rFonts w:hint="eastAsia"/>
                <w:lang w:val="en-US" w:eastAsia="zh-CN"/>
              </w:rPr>
              <w:t>④</w:t>
            </w:r>
            <w:r>
              <w:rPr>
                <w:rFonts w:hint="eastAsia"/>
              </w:rPr>
              <w:t>无不良</w:t>
            </w:r>
            <w:r>
              <w:rPr>
                <w:rFonts w:hint="eastAsia"/>
                <w:lang w:val="zh-CN"/>
              </w:rPr>
              <w:t>信用记录；</w:t>
            </w:r>
          </w:p>
          <w:p w14:paraId="064AB0DB">
            <w:pPr>
              <w:pStyle w:val="30"/>
              <w:spacing w:line="360" w:lineRule="exact"/>
              <w:rPr>
                <w:rFonts w:hint="eastAsia"/>
                <w:lang w:val="zh-CN"/>
              </w:rPr>
            </w:pPr>
            <w:r>
              <w:rPr>
                <w:rFonts w:hint="eastAsia"/>
                <w:lang w:val="zh-CN" w:eastAsia="zh-CN"/>
              </w:rPr>
              <w:t>⑤</w:t>
            </w:r>
            <w:r>
              <w:rPr>
                <w:rFonts w:hint="eastAsia"/>
                <w:lang w:val="zh-CN"/>
              </w:rPr>
              <w:t>接受联合体，不接受中标后分包；</w:t>
            </w:r>
          </w:p>
          <w:p w14:paraId="712C0080">
            <w:pPr>
              <w:pStyle w:val="30"/>
              <w:spacing w:line="360" w:lineRule="exact"/>
              <w:rPr>
                <w:rFonts w:hint="eastAsia"/>
                <w:lang w:val="zh-CN"/>
              </w:rPr>
            </w:pPr>
            <w:r>
              <w:rPr>
                <w:rFonts w:hint="eastAsia"/>
                <w:lang w:val="zh-CN"/>
              </w:rPr>
              <w:t>联合体投标的，应满足下列要求：（</w:t>
            </w:r>
            <w:r>
              <w:rPr>
                <w:rFonts w:hint="eastAsia"/>
                <w:lang w:val="en-US" w:eastAsia="zh-CN"/>
              </w:rPr>
              <w:t>1）</w:t>
            </w:r>
            <w:r>
              <w:rPr>
                <w:rFonts w:hint="eastAsia"/>
                <w:lang w:val="zh-CN"/>
              </w:rPr>
              <w:t>投标人联合体牵头人必须由具备施工资质的施工单位担任，组成联合体的单位数量不超过两家。项目负责人必须由牵头</w:t>
            </w:r>
            <w:r>
              <w:rPr>
                <w:rFonts w:hint="eastAsia"/>
                <w:lang w:val="en-US" w:eastAsia="zh-CN"/>
              </w:rPr>
              <w:t>人成</w:t>
            </w:r>
            <w:r>
              <w:rPr>
                <w:rFonts w:hint="eastAsia"/>
                <w:lang w:val="zh-CN"/>
              </w:rPr>
              <w:t>员担任。</w:t>
            </w:r>
          </w:p>
          <w:p w14:paraId="69320FE4">
            <w:pPr>
              <w:pStyle w:val="30"/>
              <w:spacing w:line="360" w:lineRule="exact"/>
              <w:rPr>
                <w:rFonts w:hint="eastAsia"/>
                <w:lang w:val="zh-CN"/>
              </w:rPr>
            </w:pPr>
            <w:r>
              <w:rPr>
                <w:rFonts w:hint="eastAsia"/>
                <w:lang w:val="en-US" w:eastAsia="zh-CN"/>
              </w:rPr>
              <w:t>（2）</w:t>
            </w:r>
            <w:r>
              <w:rPr>
                <w:rFonts w:hint="eastAsia"/>
                <w:lang w:val="zh-CN"/>
              </w:rPr>
              <w:t>联合体中标后，其成员不得变更。</w:t>
            </w:r>
          </w:p>
          <w:p w14:paraId="3673FBA7">
            <w:pPr>
              <w:pStyle w:val="30"/>
              <w:numPr>
                <w:ilvl w:val="0"/>
                <w:numId w:val="0"/>
              </w:numPr>
              <w:spacing w:line="360" w:lineRule="exact"/>
              <w:rPr>
                <w:lang w:val="zh-CN"/>
              </w:rPr>
            </w:pPr>
            <w:r>
              <w:rPr>
                <w:rFonts w:hint="eastAsia" w:cs="Times New Roman"/>
                <w:kern w:val="0"/>
                <w:sz w:val="24"/>
                <w:u w:color="000000"/>
                <w:lang w:val="en-US" w:eastAsia="zh-CN" w:bidi="ar-SA"/>
              </w:rPr>
              <w:t>（3</w:t>
            </w:r>
            <w:r>
              <w:rPr>
                <w:rFonts w:hint="eastAsia" w:cs="Times New Roman"/>
                <w:kern w:val="0"/>
                <w:sz w:val="24"/>
                <w:u w:color="000000"/>
                <w:lang w:val="zh-CN" w:eastAsia="zh-CN" w:bidi="ar-SA"/>
              </w:rPr>
              <w:t>）</w:t>
            </w:r>
            <w:r>
              <w:rPr>
                <w:rFonts w:hint="eastAsia"/>
                <w:lang w:val="zh-CN"/>
              </w:rPr>
              <w:t>以联合体形式参与本项目投标的，参加联合体的各方均应当具备《中华人民共和国政府采购法》第二十二条规定的条件，并提交联合体协议协议书，协议书内需明确</w:t>
            </w:r>
            <w:r>
              <w:rPr>
                <w:rFonts w:hint="eastAsia"/>
                <w:lang w:val="en-US" w:eastAsia="zh-CN"/>
              </w:rPr>
              <w:t>联合体牵头人</w:t>
            </w:r>
            <w:r>
              <w:rPr>
                <w:rFonts w:hint="eastAsia"/>
                <w:lang w:val="zh-CN"/>
              </w:rPr>
              <w:t>和</w:t>
            </w:r>
            <w:r>
              <w:rPr>
                <w:rFonts w:hint="eastAsia"/>
                <w:lang w:val="en-US" w:eastAsia="zh-CN"/>
              </w:rPr>
              <w:t>联合体成员</w:t>
            </w:r>
            <w:r>
              <w:rPr>
                <w:rFonts w:hint="eastAsia"/>
                <w:lang w:val="zh-CN"/>
              </w:rPr>
              <w:t>名称、所需承担的责任、义务。</w:t>
            </w:r>
          </w:p>
          <w:p w14:paraId="2616EC60">
            <w:pPr>
              <w:pStyle w:val="30"/>
              <w:numPr>
                <w:ilvl w:val="0"/>
                <w:numId w:val="0"/>
              </w:numPr>
              <w:spacing w:line="360" w:lineRule="exact"/>
              <w:rPr>
                <w:lang w:val="zh-CN"/>
              </w:rPr>
            </w:pPr>
            <w:r>
              <w:rPr>
                <w:rFonts w:hint="eastAsia" w:cs="Times New Roman"/>
                <w:kern w:val="0"/>
                <w:sz w:val="24"/>
                <w:u w:color="000000"/>
                <w:lang w:val="en-US" w:eastAsia="zh-CN" w:bidi="ar-SA"/>
              </w:rPr>
              <w:t>（4</w:t>
            </w:r>
            <w:r>
              <w:rPr>
                <w:rFonts w:hint="eastAsia" w:cs="Times New Roman"/>
                <w:kern w:val="0"/>
                <w:sz w:val="24"/>
                <w:u w:color="000000"/>
                <w:lang w:val="zh-CN" w:eastAsia="zh-CN" w:bidi="ar-SA"/>
              </w:rPr>
              <w:t>）</w:t>
            </w:r>
            <w:r>
              <w:rPr>
                <w:rFonts w:hint="eastAsia" w:ascii="Times New Roman" w:hAnsi="Times New Roman" w:cs="Arial"/>
                <w:kern w:val="0"/>
                <w:szCs w:val="32"/>
              </w:rPr>
              <w:t>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w:t>
            </w:r>
          </w:p>
          <w:p w14:paraId="133D3D29">
            <w:pPr>
              <w:pStyle w:val="30"/>
              <w:numPr>
                <w:ilvl w:val="0"/>
                <w:numId w:val="0"/>
              </w:numPr>
              <w:spacing w:line="360" w:lineRule="exact"/>
              <w:rPr>
                <w:lang w:val="zh-CN"/>
              </w:rPr>
            </w:pPr>
            <w:r>
              <w:rPr>
                <w:rFonts w:hint="eastAsia" w:cs="Times New Roman"/>
                <w:kern w:val="0"/>
                <w:sz w:val="24"/>
                <w:u w:color="000000"/>
                <w:lang w:val="en-US" w:eastAsia="zh-CN" w:bidi="ar-SA"/>
              </w:rPr>
              <w:t>（5</w:t>
            </w:r>
            <w:r>
              <w:rPr>
                <w:rFonts w:hint="eastAsia" w:cs="Times New Roman"/>
                <w:kern w:val="0"/>
                <w:sz w:val="24"/>
                <w:u w:color="000000"/>
                <w:lang w:val="zh-CN" w:eastAsia="zh-CN" w:bidi="ar-SA"/>
              </w:rPr>
              <w:t>）</w:t>
            </w:r>
            <w:r>
              <w:rPr>
                <w:rFonts w:hint="eastAsia"/>
                <w:lang w:val="zh-CN"/>
              </w:rPr>
              <w:t>联合体各方不得再以自己名义单独或参加其他联合体在同一标段中投标。</w:t>
            </w:r>
          </w:p>
          <w:p w14:paraId="6736BD7C">
            <w:pPr>
              <w:rPr>
                <w:rFonts w:ascii="宋体"/>
                <w:kern w:val="0"/>
                <w:sz w:val="24"/>
                <w:highlight w:val="yellow"/>
                <w:u w:color="000000"/>
              </w:rPr>
            </w:pPr>
            <w:r>
              <w:rPr>
                <w:rFonts w:hint="eastAsia" w:ascii="宋体"/>
                <w:kern w:val="0"/>
                <w:sz w:val="24"/>
                <w:u w:color="000000"/>
                <w:lang w:val="en-US" w:eastAsia="zh-CN"/>
              </w:rPr>
              <w:t>⑥</w:t>
            </w:r>
            <w:r>
              <w:rPr>
                <w:rFonts w:hint="eastAsia" w:ascii="宋体"/>
                <w:kern w:val="0"/>
                <w:sz w:val="24"/>
                <w:u w:color="000000"/>
              </w:rPr>
              <w:t>采购人特殊要求：1、投标人应当具备下列（1）项资质之一和（2）项资质</w:t>
            </w:r>
          </w:p>
          <w:p w14:paraId="7DE2E1E0">
            <w:pPr>
              <w:rPr>
                <w:rFonts w:ascii="宋体"/>
                <w:kern w:val="0"/>
                <w:sz w:val="24"/>
                <w:u w:color="000000"/>
              </w:rPr>
            </w:pPr>
            <w:r>
              <w:rPr>
                <w:rFonts w:ascii="宋体"/>
                <w:kern w:val="0"/>
                <w:sz w:val="24"/>
                <w:u w:color="000000"/>
              </w:rPr>
              <w:t>（1）设计资质要求</w:t>
            </w:r>
          </w:p>
          <w:p w14:paraId="732BFD34">
            <w:pPr>
              <w:rPr>
                <w:rFonts w:ascii="宋体"/>
                <w:kern w:val="0"/>
                <w:sz w:val="24"/>
                <w:u w:color="000000"/>
              </w:rPr>
            </w:pPr>
            <w:r>
              <w:rPr>
                <w:rFonts w:ascii="宋体"/>
                <w:kern w:val="0"/>
                <w:sz w:val="24"/>
                <w:u w:color="000000"/>
              </w:rPr>
              <w:t>具有工程设计综合甲级资质或工程设计建筑行业乙级及以上资质或工程设计建筑行业（建筑工程）乙级及以上资质</w:t>
            </w:r>
            <w:r>
              <w:rPr>
                <w:rFonts w:hint="eastAsia" w:ascii="宋体"/>
                <w:kern w:val="0"/>
                <w:sz w:val="24"/>
                <w:u w:color="000000"/>
              </w:rPr>
              <w:t>或</w:t>
            </w:r>
            <w:r>
              <w:rPr>
                <w:rFonts w:ascii="宋体"/>
                <w:kern w:val="0"/>
                <w:sz w:val="24"/>
                <w:u w:color="000000"/>
              </w:rPr>
              <w:t>建筑装饰工程设计专项乙级资质及以上资质</w:t>
            </w:r>
            <w:r>
              <w:rPr>
                <w:rFonts w:hint="eastAsia" w:ascii="宋体"/>
                <w:kern w:val="0"/>
                <w:sz w:val="24"/>
                <w:u w:color="000000"/>
              </w:rPr>
              <w:t>。</w:t>
            </w:r>
          </w:p>
          <w:p w14:paraId="13722613">
            <w:pPr>
              <w:rPr>
                <w:rFonts w:ascii="宋体"/>
                <w:kern w:val="0"/>
                <w:sz w:val="24"/>
                <w:u w:color="000000"/>
              </w:rPr>
            </w:pPr>
            <w:r>
              <w:rPr>
                <w:rFonts w:ascii="宋体"/>
                <w:kern w:val="0"/>
                <w:sz w:val="24"/>
                <w:u w:color="000000"/>
              </w:rPr>
              <w:t>（2）施工资质要求</w:t>
            </w:r>
          </w:p>
          <w:p w14:paraId="0EC47791">
            <w:pPr>
              <w:rPr>
                <w:rFonts w:ascii="宋体" w:hAnsi="宋体" w:cs="宋体"/>
                <w:color w:val="000000"/>
                <w:sz w:val="24"/>
                <w:szCs w:val="24"/>
                <w:shd w:val="clear" w:color="auto" w:fill="FFFFFF"/>
              </w:rPr>
            </w:pPr>
            <w:r>
              <w:rPr>
                <w:rFonts w:ascii="宋体"/>
                <w:kern w:val="0"/>
                <w:sz w:val="24"/>
                <w:u w:color="000000"/>
              </w:rPr>
              <w:t>建筑装修装饰工程专业承包贰级及以上资质</w:t>
            </w:r>
            <w:r>
              <w:rPr>
                <w:rFonts w:hint="eastAsia" w:ascii="宋体"/>
                <w:kern w:val="0"/>
                <w:sz w:val="24"/>
                <w:u w:color="000000"/>
              </w:rPr>
              <w:t>，取得安全生产许可证（指全国一体化政务服务平台标准电子证照，相关规定不作要求的除外）</w:t>
            </w:r>
            <w:r>
              <w:rPr>
                <w:rFonts w:hint="eastAsia" w:ascii="宋体" w:hAnsi="宋体" w:cs="宋体"/>
                <w:color w:val="000000"/>
                <w:sz w:val="24"/>
                <w:szCs w:val="24"/>
                <w:shd w:val="clear" w:color="auto" w:fill="FFFFFF"/>
              </w:rPr>
              <w:t>并在人员、设备、资金等方面具有相应的施工能力。</w:t>
            </w:r>
          </w:p>
          <w:p w14:paraId="4E2E0843">
            <w:pPr>
              <w:rPr>
                <w:rFonts w:ascii="宋体"/>
                <w:kern w:val="0"/>
                <w:sz w:val="24"/>
                <w:u w:color="000000"/>
              </w:rPr>
            </w:pPr>
            <w:r>
              <w:rPr>
                <w:rFonts w:hint="eastAsia" w:ascii="宋体"/>
                <w:kern w:val="0"/>
                <w:sz w:val="24"/>
                <w:u w:color="000000"/>
              </w:rPr>
              <w:t>2、设计负责人要求</w:t>
            </w:r>
          </w:p>
          <w:p w14:paraId="58196C00">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val="en-US" w:eastAsia="zh-CN" w:bidi="ar"/>
              </w:rPr>
              <w:t>1</w:t>
            </w: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bidi="ar"/>
              </w:rPr>
              <w:t>若以建筑装饰工程设计专项乙级及以上资质投标的，设计负责人需具备建筑工程相关专业工程师及以上职称或二级及以上注册建筑师资格；</w:t>
            </w:r>
          </w:p>
          <w:p w14:paraId="3B1E393E">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val="en-US" w:eastAsia="zh-CN" w:bidi="ar"/>
              </w:rPr>
              <w:t>2</w:t>
            </w: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bidi="ar"/>
              </w:rPr>
              <w:t>若以工程设计综合甲级资质、工程设计建筑行业（建筑工程）乙级及以上资质或工程设计建筑行业乙级及以上资质之一投标的，设计负责人需提供二级及以上注册建筑师资格。</w:t>
            </w:r>
          </w:p>
          <w:p w14:paraId="416A9F0A">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bidi="ar"/>
              </w:rPr>
              <w:t>3、项目负责人要求</w:t>
            </w:r>
          </w:p>
          <w:p w14:paraId="2024FE03">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bidi="ar"/>
              </w:rPr>
              <w:t>建筑工程专业二级及以上注册建造师执业资格，具备有效的安全生产考核合格证书，并提供投标截止日期前6个月（2024年11月-2025年4月）本单位为其办理的任意一个月社保缴费清单。</w:t>
            </w:r>
          </w:p>
          <w:p w14:paraId="421EBF70">
            <w:pPr>
              <w:widowControl/>
              <w:jc w:val="left"/>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bidi="ar"/>
              </w:rPr>
              <w:t>4、设计负责人与项目负责人不可为同一人，施工负责人为项目负责人。</w:t>
            </w:r>
          </w:p>
          <w:p w14:paraId="69719297">
            <w:pPr>
              <w:widowControl/>
              <w:jc w:val="left"/>
              <w:rPr>
                <w:rFonts w:ascii="宋体" w:hAnsi="宋体" w:cs="宋体"/>
                <w:color w:val="000000"/>
                <w:sz w:val="24"/>
                <w:szCs w:val="24"/>
                <w:shd w:val="clear" w:color="auto" w:fill="FFFFFF"/>
              </w:rPr>
            </w:pPr>
            <w:r>
              <w:rPr>
                <w:rFonts w:hint="eastAsia" w:ascii="新宋体" w:hAnsi="新宋体" w:eastAsia="新宋体" w:cs="新宋体"/>
                <w:color w:val="000000"/>
                <w:kern w:val="0"/>
                <w:sz w:val="24"/>
                <w:szCs w:val="24"/>
                <w:lang w:bidi="ar"/>
              </w:rPr>
              <w:t>4.1</w:t>
            </w:r>
            <w:r>
              <w:rPr>
                <w:rFonts w:hint="eastAsia" w:ascii="宋体" w:hAnsi="宋体" w:cs="宋体"/>
                <w:color w:val="000000"/>
                <w:sz w:val="24"/>
                <w:szCs w:val="24"/>
                <w:shd w:val="clear" w:color="auto" w:fill="FFFFFF"/>
              </w:rPr>
              <w:t>拟派项目负责人不得同时在两个或者两个以上单位受聘或者执业。</w:t>
            </w:r>
          </w:p>
          <w:p w14:paraId="21C868AA">
            <w:pPr>
              <w:widowControl/>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4.2拟派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7755F667">
            <w:pPr>
              <w:widowControl/>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4.3拟派项目负责人无行贿犯罪行为记录；或有行贿犯罪行为记录，但自记录之日起已超过5年的。</w:t>
            </w:r>
          </w:p>
          <w:p w14:paraId="2A1E5A18">
            <w:pPr>
              <w:widowControl/>
              <w:jc w:val="left"/>
              <w:rPr>
                <w:rFonts w:ascii="新宋体" w:hAnsi="新宋体" w:eastAsia="新宋体" w:cs="新宋体"/>
                <w:color w:val="000000"/>
                <w:kern w:val="0"/>
                <w:sz w:val="24"/>
                <w:szCs w:val="24"/>
                <w:lang w:bidi="ar"/>
              </w:rPr>
            </w:pPr>
            <w:r>
              <w:rPr>
                <w:rFonts w:hint="eastAsia" w:ascii="宋体" w:hAnsi="宋体" w:cs="宋体"/>
                <w:color w:val="000000"/>
                <w:sz w:val="24"/>
                <w:szCs w:val="24"/>
                <w:shd w:val="clear" w:color="auto" w:fill="FFFFFF"/>
              </w:rPr>
              <w:t>4.4项目负责人为本单位正式职工，如有人员已调出仍用于本工程的，视为弄虚作假并查处；本项目</w:t>
            </w:r>
            <w:r>
              <w:rPr>
                <w:rFonts w:hint="eastAsia" w:ascii="宋体" w:hAnsi="宋体" w:cs="宋体"/>
                <w:color w:val="000000"/>
                <w:sz w:val="24"/>
                <w:szCs w:val="24"/>
                <w:u w:val="single"/>
                <w:shd w:val="clear" w:color="auto" w:fill="FFFFFF"/>
              </w:rPr>
              <w:t>不接受</w:t>
            </w:r>
            <w:r>
              <w:rPr>
                <w:rFonts w:hint="eastAsia" w:ascii="宋体" w:hAnsi="宋体" w:cs="宋体"/>
                <w:color w:val="000000"/>
                <w:sz w:val="24"/>
                <w:szCs w:val="24"/>
                <w:shd w:val="clear" w:color="auto" w:fill="FFFFFF"/>
              </w:rPr>
              <w:t>退休续聘的项目负责人投标。</w:t>
            </w:r>
          </w:p>
        </w:tc>
      </w:tr>
      <w:tr w14:paraId="64F0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485" w:type="pct"/>
            <w:vMerge w:val="continue"/>
            <w:vAlign w:val="center"/>
          </w:tcPr>
          <w:p w14:paraId="52DC2F18">
            <w:pPr>
              <w:spacing w:line="360" w:lineRule="exact"/>
              <w:rPr>
                <w:szCs w:val="22"/>
              </w:rPr>
            </w:pPr>
          </w:p>
        </w:tc>
        <w:tc>
          <w:tcPr>
            <w:tcW w:w="260" w:type="pct"/>
            <w:vMerge w:val="continue"/>
          </w:tcPr>
          <w:p w14:paraId="018EB58A">
            <w:pPr>
              <w:spacing w:line="360" w:lineRule="exact"/>
              <w:rPr>
                <w:szCs w:val="22"/>
              </w:rPr>
            </w:pPr>
          </w:p>
        </w:tc>
        <w:tc>
          <w:tcPr>
            <w:tcW w:w="4253" w:type="pct"/>
            <w:gridSpan w:val="2"/>
          </w:tcPr>
          <w:p w14:paraId="56F17D6B">
            <w:pPr>
              <w:pStyle w:val="30"/>
              <w:spacing w:line="360" w:lineRule="exact"/>
              <w:rPr>
                <w:szCs w:val="22"/>
                <w:lang w:val="zh-CN"/>
              </w:rPr>
            </w:pPr>
            <w:r>
              <w:rPr>
                <w:rFonts w:hint="eastAsia"/>
                <w:szCs w:val="22"/>
                <w:lang w:val="zh-CN"/>
              </w:rPr>
              <w:t>2.</w:t>
            </w:r>
            <w:r>
              <w:rPr>
                <w:rFonts w:hint="eastAsia"/>
                <w:szCs w:val="22"/>
              </w:rPr>
              <w:t>2</w:t>
            </w:r>
            <w:r>
              <w:rPr>
                <w:rFonts w:hint="eastAsia"/>
                <w:szCs w:val="22"/>
                <w:lang w:val="zh-CN"/>
              </w:rPr>
              <w:t xml:space="preserve"> 拒绝下述供应商参加本次采购活动：</w:t>
            </w:r>
          </w:p>
          <w:p w14:paraId="524DA570">
            <w:pPr>
              <w:autoSpaceDE w:val="0"/>
              <w:autoSpaceDN w:val="0"/>
              <w:adjustRightInd w:val="0"/>
              <w:spacing w:line="360" w:lineRule="exact"/>
              <w:rPr>
                <w:rFonts w:ascii="宋体" w:hAnsi="宋体"/>
                <w:bCs/>
                <w:sz w:val="24"/>
                <w:szCs w:val="21"/>
              </w:rPr>
            </w:pPr>
            <w:r>
              <w:rPr>
                <w:rFonts w:hint="eastAsia" w:ascii="宋体" w:hAnsi="宋体" w:cs="宋体"/>
                <w:bCs/>
                <w:sz w:val="24"/>
                <w:szCs w:val="21"/>
              </w:rPr>
              <w:t>①</w:t>
            </w:r>
            <w:r>
              <w:rPr>
                <w:rFonts w:hint="eastAsia" w:ascii="宋体" w:hAnsi="宋体"/>
                <w:bCs/>
                <w:sz w:val="24"/>
                <w:szCs w:val="21"/>
              </w:rPr>
              <w:t>供应商</w:t>
            </w:r>
            <w:r>
              <w:rPr>
                <w:rFonts w:ascii="宋体" w:hAnsi="宋体"/>
                <w:bCs/>
                <w:sz w:val="24"/>
                <w:szCs w:val="21"/>
              </w:rPr>
              <w:t>单位负责人为同一人或者存在直接控股、管理关系的不同供应商，不得参加同一合同项下的采购活动</w:t>
            </w:r>
            <w:r>
              <w:rPr>
                <w:rFonts w:hint="eastAsia" w:ascii="宋体" w:hAnsi="宋体"/>
                <w:bCs/>
                <w:sz w:val="24"/>
                <w:szCs w:val="21"/>
              </w:rPr>
              <w:t>；</w:t>
            </w:r>
          </w:p>
          <w:p w14:paraId="5ADE80C7">
            <w:pPr>
              <w:spacing w:line="360" w:lineRule="exact"/>
              <w:rPr>
                <w:rFonts w:ascii="宋体" w:hAnsi="宋体" w:cs="宋体"/>
                <w:bCs/>
                <w:sz w:val="24"/>
                <w:szCs w:val="21"/>
              </w:rPr>
            </w:pPr>
            <w:r>
              <w:rPr>
                <w:rFonts w:hint="eastAsia" w:ascii="宋体" w:hAnsi="宋体" w:cs="宋体"/>
                <w:bCs/>
                <w:sz w:val="24"/>
                <w:szCs w:val="21"/>
              </w:rPr>
              <w:t>②</w:t>
            </w:r>
            <w:r>
              <w:rPr>
                <w:rFonts w:hint="eastAsia" w:ascii="宋体" w:hAnsi="宋体"/>
                <w:bCs/>
                <w:sz w:val="24"/>
                <w:szCs w:val="21"/>
              </w:rPr>
              <w:t>凡</w:t>
            </w:r>
            <w:r>
              <w:rPr>
                <w:rFonts w:ascii="宋体" w:hAnsi="宋体"/>
                <w:bCs/>
                <w:sz w:val="24"/>
                <w:szCs w:val="21"/>
              </w:rPr>
              <w:t>为采购项目提供规范编制或者项目管理、监理、检测等服务的供应商，不得再参加</w:t>
            </w:r>
            <w:r>
              <w:rPr>
                <w:rFonts w:hint="eastAsia" w:ascii="宋体" w:hAnsi="宋体"/>
                <w:bCs/>
                <w:sz w:val="24"/>
                <w:szCs w:val="21"/>
              </w:rPr>
              <w:t>本</w:t>
            </w:r>
            <w:r>
              <w:rPr>
                <w:rFonts w:ascii="宋体" w:hAnsi="宋体"/>
                <w:bCs/>
                <w:sz w:val="24"/>
                <w:szCs w:val="21"/>
              </w:rPr>
              <w:t>项目的采购活动。</w:t>
            </w:r>
          </w:p>
        </w:tc>
      </w:tr>
      <w:tr w14:paraId="6D5E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85" w:type="pct"/>
            <w:vAlign w:val="center"/>
          </w:tcPr>
          <w:p w14:paraId="389DEBD7">
            <w:pPr>
              <w:spacing w:line="360" w:lineRule="exact"/>
              <w:jc w:val="center"/>
              <w:rPr>
                <w:rFonts w:ascii="宋体" w:hAnsi="宋体"/>
                <w:bCs/>
                <w:sz w:val="24"/>
                <w:szCs w:val="24"/>
              </w:rPr>
            </w:pPr>
            <w:r>
              <w:rPr>
                <w:rFonts w:ascii="宋体" w:hAnsi="宋体"/>
                <w:bCs/>
                <w:sz w:val="24"/>
                <w:szCs w:val="24"/>
              </w:rPr>
              <w:t>3</w:t>
            </w:r>
          </w:p>
        </w:tc>
        <w:tc>
          <w:tcPr>
            <w:tcW w:w="4514" w:type="pct"/>
            <w:gridSpan w:val="3"/>
          </w:tcPr>
          <w:p w14:paraId="34B2CF5E">
            <w:pPr>
              <w:pStyle w:val="30"/>
              <w:spacing w:line="360" w:lineRule="exact"/>
              <w:rPr>
                <w:szCs w:val="22"/>
              </w:rPr>
            </w:pPr>
            <w:r>
              <w:rPr>
                <w:rFonts w:hint="eastAsia" w:hAnsi="宋体"/>
                <w:bCs/>
                <w:color w:val="0000FF"/>
                <w:szCs w:val="24"/>
                <w:lang w:val="zh-CN"/>
              </w:rPr>
              <w:t>集中考察或答疑：</w:t>
            </w:r>
            <w:r>
              <w:rPr>
                <w:rFonts w:hint="eastAsia" w:hAnsi="宋体"/>
                <w:bCs/>
                <w:color w:val="0000FF"/>
                <w:szCs w:val="24"/>
              </w:rPr>
              <w:t>是</w:t>
            </w:r>
            <w:r>
              <w:rPr>
                <w:rFonts w:hint="eastAsia" w:hAnsi="宋体"/>
                <w:bCs/>
                <w:color w:val="0000FF"/>
                <w:szCs w:val="24"/>
                <w:lang w:val="zh-CN"/>
              </w:rPr>
              <w:t>。</w:t>
            </w:r>
            <w:r>
              <w:rPr>
                <w:rFonts w:hint="eastAsia" w:hAnsi="宋体" w:cs="宋体"/>
                <w:color w:val="000000"/>
                <w:szCs w:val="24"/>
                <w:lang w:bidi="ar"/>
              </w:rPr>
              <w:t>本项目组织统一踏勘，踏勘结束后举行投标预备会。</w:t>
            </w:r>
            <w:r>
              <w:rPr>
                <w:rFonts w:hint="eastAsia" w:hAnsi="宋体" w:cs="宋体"/>
                <w:color w:val="000000"/>
                <w:szCs w:val="24"/>
                <w:highlight w:val="none"/>
                <w:lang w:bidi="ar"/>
              </w:rPr>
              <w:t>时间：详见招标公告   集中地点：江苏省宜兴强制隔离戒毒所</w:t>
            </w:r>
            <w:r>
              <w:rPr>
                <w:rFonts w:hint="eastAsia" w:hAnsi="宋体" w:cs="宋体"/>
                <w:color w:val="000000"/>
                <w:szCs w:val="24"/>
                <w:highlight w:val="none"/>
                <w:lang w:val="en-US" w:eastAsia="zh-CN" w:bidi="ar"/>
              </w:rPr>
              <w:t>大门口</w:t>
            </w:r>
            <w:r>
              <w:rPr>
                <w:rFonts w:hint="eastAsia" w:hAnsi="宋体" w:cs="宋体"/>
                <w:color w:val="000000"/>
                <w:szCs w:val="24"/>
                <w:highlight w:val="none"/>
                <w:lang w:eastAsia="zh-CN" w:bidi="ar"/>
              </w:rPr>
              <w:t>（</w:t>
            </w:r>
            <w:r>
              <w:rPr>
                <w:rFonts w:hint="eastAsia" w:ascii="宋体" w:hAnsi="宋体" w:cs="宋体"/>
                <w:sz w:val="24"/>
                <w:szCs w:val="24"/>
              </w:rPr>
              <w:t>宜兴市丁蜀镇洑东村成家浜188号</w:t>
            </w:r>
            <w:r>
              <w:rPr>
                <w:rFonts w:hint="eastAsia" w:hAnsi="宋体" w:cs="宋体"/>
                <w:color w:val="000000"/>
                <w:szCs w:val="24"/>
                <w:highlight w:val="none"/>
                <w:lang w:eastAsia="zh-CN" w:bidi="ar"/>
              </w:rPr>
              <w:t>）</w:t>
            </w:r>
            <w:r>
              <w:rPr>
                <w:rFonts w:hint="eastAsia" w:hAnsi="宋体" w:cs="宋体"/>
                <w:color w:val="000000"/>
                <w:szCs w:val="24"/>
                <w:highlight w:val="none"/>
                <w:lang w:bidi="ar"/>
              </w:rPr>
              <w:t xml:space="preserve"> </w:t>
            </w:r>
            <w:r>
              <w:rPr>
                <w:rFonts w:hint="eastAsia" w:hAnsi="宋体" w:cs="宋体"/>
                <w:color w:val="000000"/>
                <w:szCs w:val="24"/>
                <w:highlight w:val="none"/>
                <w:lang w:val="en-US" w:eastAsia="zh-CN" w:bidi="ar"/>
              </w:rPr>
              <w:t xml:space="preserve">  </w:t>
            </w:r>
            <w:r>
              <w:rPr>
                <w:rFonts w:hint="eastAsia" w:hAnsi="宋体" w:cs="宋体"/>
                <w:color w:val="000000"/>
                <w:szCs w:val="24"/>
                <w:highlight w:val="none"/>
                <w:lang w:bidi="ar"/>
              </w:rPr>
              <w:t>联系电话：</w:t>
            </w:r>
            <w:r>
              <w:rPr>
                <w:rFonts w:hint="eastAsia" w:ascii="宋体" w:hAnsi="宋体" w:cs="宋体"/>
                <w:sz w:val="24"/>
                <w:szCs w:val="24"/>
              </w:rPr>
              <w:t>0510-87467828</w:t>
            </w:r>
          </w:p>
        </w:tc>
      </w:tr>
      <w:tr w14:paraId="055C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5" w:type="pct"/>
            <w:vAlign w:val="center"/>
          </w:tcPr>
          <w:p w14:paraId="7270F4CC">
            <w:pPr>
              <w:spacing w:line="360" w:lineRule="exact"/>
              <w:jc w:val="center"/>
              <w:rPr>
                <w:rFonts w:ascii="宋体" w:hAnsi="宋体"/>
                <w:bCs/>
                <w:sz w:val="24"/>
                <w:szCs w:val="24"/>
              </w:rPr>
            </w:pPr>
            <w:r>
              <w:rPr>
                <w:rFonts w:hint="eastAsia" w:ascii="宋体" w:hAnsi="宋体"/>
                <w:bCs/>
                <w:sz w:val="24"/>
                <w:szCs w:val="24"/>
              </w:rPr>
              <w:t>4</w:t>
            </w:r>
          </w:p>
        </w:tc>
        <w:tc>
          <w:tcPr>
            <w:tcW w:w="4514" w:type="pct"/>
            <w:gridSpan w:val="3"/>
          </w:tcPr>
          <w:p w14:paraId="5C24B88F">
            <w:pPr>
              <w:spacing w:line="360" w:lineRule="exact"/>
              <w:rPr>
                <w:rFonts w:ascii="宋体" w:hAnsi="宋体"/>
                <w:bCs/>
                <w:sz w:val="24"/>
                <w:szCs w:val="24"/>
              </w:rPr>
            </w:pPr>
            <w:r>
              <w:rPr>
                <w:rFonts w:hint="eastAsia" w:ascii="宋体" w:hAnsi="宋体"/>
                <w:bCs/>
                <w:sz w:val="24"/>
                <w:szCs w:val="24"/>
              </w:rPr>
              <w:t>投标文件正本份数：</w:t>
            </w:r>
            <w:r>
              <w:rPr>
                <w:rFonts w:ascii="宋体" w:hAnsi="宋体"/>
                <w:bCs/>
                <w:sz w:val="24"/>
                <w:szCs w:val="24"/>
              </w:rPr>
              <w:t>1</w:t>
            </w:r>
            <w:r>
              <w:rPr>
                <w:rFonts w:hint="eastAsia" w:ascii="宋体" w:hAnsi="宋体"/>
                <w:bCs/>
                <w:sz w:val="24"/>
                <w:szCs w:val="24"/>
              </w:rPr>
              <w:t>份</w:t>
            </w:r>
          </w:p>
          <w:p w14:paraId="38B36E8B">
            <w:pPr>
              <w:spacing w:line="360" w:lineRule="exact"/>
              <w:rPr>
                <w:rFonts w:ascii="宋体" w:hAnsi="宋体"/>
                <w:bCs/>
                <w:sz w:val="24"/>
                <w:szCs w:val="24"/>
              </w:rPr>
            </w:pPr>
            <w:r>
              <w:rPr>
                <w:rFonts w:hint="eastAsia" w:ascii="宋体" w:hAnsi="宋体"/>
                <w:bCs/>
                <w:sz w:val="24"/>
                <w:szCs w:val="24"/>
              </w:rPr>
              <w:t>投标文件副本份数：4份</w:t>
            </w:r>
          </w:p>
          <w:p w14:paraId="3B7001D0">
            <w:pPr>
              <w:spacing w:line="360" w:lineRule="exact"/>
              <w:rPr>
                <w:rFonts w:ascii="宋体" w:hAnsi="宋体"/>
                <w:bCs/>
                <w:sz w:val="24"/>
                <w:szCs w:val="24"/>
              </w:rPr>
            </w:pPr>
            <w:r>
              <w:rPr>
                <w:rFonts w:hint="eastAsia" w:ascii="宋体" w:hAnsi="宋体" w:cs="宋体"/>
                <w:sz w:val="24"/>
                <w:szCs w:val="24"/>
              </w:rPr>
              <w:t>注：供应商须同时递交电子标书光盘或U盘（电子标书必须与响应文件正本内容一致的扫描件，应将电子标书光盘或U盘密封在一个封套中，并在封套的密封口处加盖供应商公章。</w:t>
            </w:r>
          </w:p>
        </w:tc>
      </w:tr>
      <w:tr w14:paraId="53E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5" w:type="pct"/>
            <w:vAlign w:val="center"/>
          </w:tcPr>
          <w:p w14:paraId="10981188">
            <w:pPr>
              <w:spacing w:line="360" w:lineRule="exact"/>
              <w:jc w:val="center"/>
              <w:rPr>
                <w:rFonts w:ascii="宋体" w:hAnsi="宋体"/>
                <w:bCs/>
                <w:sz w:val="24"/>
                <w:szCs w:val="24"/>
              </w:rPr>
            </w:pPr>
            <w:r>
              <w:rPr>
                <w:rFonts w:hint="eastAsia" w:ascii="宋体" w:hAnsi="宋体"/>
                <w:bCs/>
                <w:sz w:val="24"/>
                <w:szCs w:val="24"/>
              </w:rPr>
              <w:t>5</w:t>
            </w:r>
          </w:p>
        </w:tc>
        <w:tc>
          <w:tcPr>
            <w:tcW w:w="4514" w:type="pct"/>
            <w:gridSpan w:val="3"/>
          </w:tcPr>
          <w:p w14:paraId="49DFBE45">
            <w:pPr>
              <w:spacing w:line="360" w:lineRule="exact"/>
              <w:rPr>
                <w:rFonts w:ascii="宋体" w:hAnsi="宋体"/>
                <w:bCs/>
                <w:sz w:val="24"/>
                <w:szCs w:val="24"/>
              </w:rPr>
            </w:pPr>
            <w:r>
              <w:rPr>
                <w:rFonts w:hint="eastAsia" w:ascii="宋体" w:hAnsi="宋体"/>
                <w:bCs/>
                <w:sz w:val="24"/>
                <w:szCs w:val="24"/>
                <w:lang w:val="zh-CN"/>
              </w:rPr>
              <w:t>投标截止时间及开标时间</w:t>
            </w:r>
            <w:r>
              <w:rPr>
                <w:rFonts w:hint="eastAsia" w:ascii="宋体" w:hAnsi="宋体"/>
                <w:bCs/>
                <w:sz w:val="24"/>
                <w:szCs w:val="24"/>
              </w:rPr>
              <w:t>：详见招标公告</w:t>
            </w:r>
          </w:p>
          <w:p w14:paraId="62B65ED4">
            <w:pPr>
              <w:spacing w:line="360" w:lineRule="exact"/>
              <w:rPr>
                <w:rFonts w:ascii="宋体" w:hAnsi="宋体"/>
                <w:bCs/>
                <w:sz w:val="24"/>
                <w:szCs w:val="24"/>
              </w:rPr>
            </w:pPr>
            <w:r>
              <w:rPr>
                <w:rFonts w:hint="eastAsia" w:ascii="宋体" w:hAnsi="宋体"/>
                <w:bCs/>
                <w:sz w:val="24"/>
                <w:szCs w:val="24"/>
              </w:rPr>
              <w:t>定标时间：评标结束后</w:t>
            </w:r>
          </w:p>
          <w:p w14:paraId="6EE4498B">
            <w:pPr>
              <w:spacing w:line="360" w:lineRule="exact"/>
              <w:rPr>
                <w:rFonts w:ascii="宋体" w:hAnsi="宋体"/>
                <w:bCs/>
                <w:sz w:val="24"/>
                <w:szCs w:val="24"/>
              </w:rPr>
            </w:pPr>
            <w:r>
              <w:rPr>
                <w:rFonts w:hint="eastAsia" w:ascii="宋体" w:hAnsi="宋体"/>
                <w:bCs/>
                <w:sz w:val="24"/>
                <w:szCs w:val="24"/>
                <w:lang w:val="zh-CN"/>
              </w:rPr>
              <w:t>投标地点及开标地点：</w:t>
            </w:r>
            <w:r>
              <w:rPr>
                <w:rFonts w:hint="eastAsia" w:ascii="宋体" w:hAnsi="宋体"/>
                <w:bCs/>
                <w:sz w:val="24"/>
                <w:szCs w:val="24"/>
              </w:rPr>
              <w:t>江苏鼎坚工程咨询有限公司</w:t>
            </w:r>
            <w:r>
              <w:rPr>
                <w:rFonts w:hint="eastAsia" w:ascii="宋体" w:hAnsi="宋体" w:cs="宋体"/>
                <w:color w:val="000000"/>
                <w:sz w:val="24"/>
                <w:szCs w:val="24"/>
                <w:lang w:val="zh-CN"/>
              </w:rPr>
              <w:t>（</w:t>
            </w:r>
            <w:r>
              <w:rPr>
                <w:rFonts w:hint="eastAsia" w:ascii="宋体" w:hAnsi="宋体" w:cs="宋体"/>
                <w:color w:val="000000"/>
                <w:sz w:val="24"/>
                <w:szCs w:val="24"/>
              </w:rPr>
              <w:t>宜兴市绿园路鹏鹞大厦1101</w:t>
            </w:r>
            <w:r>
              <w:rPr>
                <w:rFonts w:hint="eastAsia" w:ascii="宋体" w:hAnsi="宋体" w:cs="宋体"/>
                <w:color w:val="000000"/>
                <w:sz w:val="24"/>
                <w:szCs w:val="24"/>
                <w:lang w:val="zh-CN"/>
              </w:rPr>
              <w:t>）</w:t>
            </w:r>
            <w:r>
              <w:rPr>
                <w:rFonts w:hint="eastAsia" w:ascii="宋体" w:hAnsi="宋体" w:cs="宋体"/>
                <w:color w:val="000000"/>
                <w:sz w:val="24"/>
                <w:szCs w:val="24"/>
              </w:rPr>
              <w:t>开标室</w:t>
            </w:r>
            <w:r>
              <w:rPr>
                <w:rFonts w:hint="eastAsia" w:ascii="宋体" w:hAnsi="宋体"/>
                <w:bCs/>
                <w:sz w:val="24"/>
                <w:szCs w:val="24"/>
                <w:lang w:val="zh-CN"/>
              </w:rPr>
              <w:t>，届时请投标人法定代表人或被授权代表人准时出席开标仪式，否则其投标文件无效。</w:t>
            </w:r>
          </w:p>
        </w:tc>
      </w:tr>
      <w:tr w14:paraId="0567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tcBorders>
              <w:top w:val="single" w:color="auto" w:sz="4" w:space="0"/>
              <w:left w:val="single" w:color="auto" w:sz="4" w:space="0"/>
              <w:bottom w:val="single" w:color="auto" w:sz="4" w:space="0"/>
              <w:right w:val="single" w:color="auto" w:sz="4" w:space="0"/>
            </w:tcBorders>
            <w:vAlign w:val="center"/>
          </w:tcPr>
          <w:p w14:paraId="54BB9335">
            <w:pPr>
              <w:spacing w:line="360" w:lineRule="exact"/>
              <w:jc w:val="center"/>
              <w:rPr>
                <w:rFonts w:ascii="宋体" w:hAnsi="宋体"/>
                <w:bCs/>
                <w:sz w:val="24"/>
                <w:szCs w:val="24"/>
              </w:rPr>
            </w:pPr>
            <w:r>
              <w:rPr>
                <w:rFonts w:hint="eastAsia" w:ascii="宋体" w:hAnsi="宋体"/>
                <w:bCs/>
                <w:sz w:val="24"/>
                <w:szCs w:val="24"/>
              </w:rPr>
              <w:t>6</w:t>
            </w:r>
          </w:p>
        </w:tc>
        <w:tc>
          <w:tcPr>
            <w:tcW w:w="1975" w:type="pct"/>
            <w:gridSpan w:val="2"/>
            <w:tcBorders>
              <w:top w:val="single" w:color="auto" w:sz="4" w:space="0"/>
              <w:left w:val="single" w:color="auto" w:sz="4" w:space="0"/>
              <w:bottom w:val="single" w:color="auto" w:sz="4" w:space="0"/>
              <w:right w:val="single" w:color="auto" w:sz="4" w:space="0"/>
            </w:tcBorders>
          </w:tcPr>
          <w:p w14:paraId="6482A14B">
            <w:pPr>
              <w:jc w:val="left"/>
              <w:rPr>
                <w:rFonts w:ascii="宋体" w:hAnsi="宋体" w:cs="宋体"/>
                <w:sz w:val="24"/>
                <w:szCs w:val="24"/>
              </w:rPr>
            </w:pPr>
            <w:r>
              <w:rPr>
                <w:rFonts w:hint="eastAsia" w:ascii="宋体" w:hAnsi="宋体" w:cs="宋体"/>
                <w:sz w:val="24"/>
                <w:szCs w:val="24"/>
              </w:rPr>
              <w:t>采购人：</w:t>
            </w:r>
            <w:r>
              <w:rPr>
                <w:rFonts w:hint="eastAsia" w:ascii="宋体" w:hAnsi="宋体"/>
                <w:bCs/>
                <w:sz w:val="24"/>
                <w:szCs w:val="24"/>
              </w:rPr>
              <w:t>江苏省宜兴强制隔离戒毒所</w:t>
            </w:r>
          </w:p>
          <w:p w14:paraId="7B55682D">
            <w:pPr>
              <w:jc w:val="left"/>
              <w:rPr>
                <w:rFonts w:ascii="宋体" w:hAnsi="宋体" w:cs="宋体"/>
                <w:sz w:val="24"/>
                <w:szCs w:val="24"/>
              </w:rPr>
            </w:pPr>
            <w:r>
              <w:rPr>
                <w:rFonts w:hint="eastAsia" w:ascii="宋体" w:hAnsi="宋体" w:cs="宋体"/>
                <w:sz w:val="24"/>
                <w:szCs w:val="24"/>
              </w:rPr>
              <w:t>联系人：蔡先生</w:t>
            </w:r>
          </w:p>
          <w:p w14:paraId="5866D5A4">
            <w:pPr>
              <w:jc w:val="left"/>
              <w:rPr>
                <w:rFonts w:ascii="宋体" w:hAnsi="宋体" w:cs="宋体"/>
                <w:sz w:val="24"/>
                <w:szCs w:val="24"/>
              </w:rPr>
            </w:pPr>
            <w:r>
              <w:rPr>
                <w:rFonts w:hint="eastAsia" w:ascii="宋体" w:hAnsi="宋体" w:cs="宋体"/>
                <w:sz w:val="24"/>
                <w:szCs w:val="24"/>
              </w:rPr>
              <w:t>联系电话：0510-87467828</w:t>
            </w:r>
          </w:p>
          <w:p w14:paraId="1718A820">
            <w:pPr>
              <w:spacing w:line="360" w:lineRule="exact"/>
              <w:jc w:val="left"/>
              <w:rPr>
                <w:rFonts w:ascii="宋体" w:hAnsi="宋体"/>
                <w:bCs/>
                <w:sz w:val="24"/>
                <w:szCs w:val="24"/>
              </w:rPr>
            </w:pPr>
            <w:r>
              <w:rPr>
                <w:rFonts w:hint="eastAsia" w:ascii="宋体" w:hAnsi="宋体" w:cs="宋体"/>
                <w:sz w:val="24"/>
                <w:szCs w:val="24"/>
              </w:rPr>
              <w:t>联系地址：宜兴市丁蜀镇洑东村成家浜188号</w:t>
            </w:r>
          </w:p>
        </w:tc>
        <w:tc>
          <w:tcPr>
            <w:tcW w:w="2538" w:type="pct"/>
            <w:tcBorders>
              <w:top w:val="single" w:color="auto" w:sz="4" w:space="0"/>
              <w:left w:val="single" w:color="auto" w:sz="4" w:space="0"/>
              <w:bottom w:val="single" w:color="auto" w:sz="4" w:space="0"/>
              <w:right w:val="single" w:color="auto" w:sz="4" w:space="0"/>
            </w:tcBorders>
          </w:tcPr>
          <w:p w14:paraId="018FCC3E">
            <w:pPr>
              <w:spacing w:line="360" w:lineRule="exact"/>
              <w:jc w:val="left"/>
              <w:rPr>
                <w:rFonts w:ascii="宋体" w:hAnsi="宋体"/>
                <w:bCs/>
                <w:sz w:val="24"/>
                <w:szCs w:val="24"/>
              </w:rPr>
            </w:pPr>
            <w:r>
              <w:rPr>
                <w:rFonts w:hint="eastAsia" w:ascii="宋体" w:hAnsi="宋体"/>
                <w:bCs/>
                <w:sz w:val="24"/>
                <w:szCs w:val="24"/>
              </w:rPr>
              <w:t>采购代理机构：江苏鼎坚工程咨询有限公司</w:t>
            </w:r>
          </w:p>
          <w:p w14:paraId="28889660">
            <w:pPr>
              <w:spacing w:line="360" w:lineRule="exact"/>
              <w:jc w:val="left"/>
              <w:rPr>
                <w:rFonts w:ascii="宋体" w:hAnsi="宋体"/>
                <w:bCs/>
                <w:sz w:val="24"/>
                <w:szCs w:val="24"/>
              </w:rPr>
            </w:pPr>
            <w:r>
              <w:rPr>
                <w:rFonts w:hint="eastAsia" w:ascii="宋体" w:hAnsi="宋体"/>
                <w:bCs/>
                <w:sz w:val="24"/>
                <w:szCs w:val="24"/>
              </w:rPr>
              <w:t>联系人：黄工</w:t>
            </w:r>
          </w:p>
          <w:p w14:paraId="372E4B1F">
            <w:pPr>
              <w:spacing w:line="360" w:lineRule="exact"/>
              <w:jc w:val="left"/>
              <w:rPr>
                <w:rFonts w:ascii="宋体" w:hAnsi="宋体"/>
                <w:bCs/>
                <w:sz w:val="24"/>
                <w:szCs w:val="24"/>
              </w:rPr>
            </w:pPr>
            <w:r>
              <w:rPr>
                <w:rFonts w:hint="eastAsia" w:ascii="宋体" w:hAnsi="宋体"/>
                <w:bCs/>
                <w:sz w:val="24"/>
                <w:szCs w:val="24"/>
              </w:rPr>
              <w:t>联系电话：18036890569</w:t>
            </w:r>
          </w:p>
          <w:p w14:paraId="7EB89F8D">
            <w:pPr>
              <w:spacing w:line="360" w:lineRule="exact"/>
              <w:jc w:val="left"/>
              <w:rPr>
                <w:rFonts w:ascii="宋体" w:hAnsi="宋体"/>
                <w:bCs/>
                <w:sz w:val="24"/>
                <w:szCs w:val="24"/>
              </w:rPr>
            </w:pPr>
            <w:r>
              <w:rPr>
                <w:rFonts w:hint="eastAsia" w:ascii="宋体" w:hAnsi="宋体"/>
                <w:bCs/>
                <w:sz w:val="24"/>
                <w:szCs w:val="24"/>
              </w:rPr>
              <w:t>联系地址：</w:t>
            </w:r>
            <w:r>
              <w:rPr>
                <w:rFonts w:hint="eastAsia" w:ascii="宋体" w:hAnsi="宋体" w:cs="宋体"/>
                <w:sz w:val="24"/>
              </w:rPr>
              <w:t>宜兴市绿园路鹏鹞大厦1101</w:t>
            </w:r>
          </w:p>
          <w:p w14:paraId="6F40231A">
            <w:pPr>
              <w:spacing w:line="360" w:lineRule="exact"/>
              <w:jc w:val="left"/>
              <w:rPr>
                <w:rFonts w:ascii="宋体" w:hAnsi="宋体"/>
                <w:bCs/>
                <w:sz w:val="24"/>
                <w:szCs w:val="24"/>
              </w:rPr>
            </w:pPr>
            <w:r>
              <w:rPr>
                <w:rFonts w:hint="eastAsia" w:ascii="宋体" w:hAnsi="宋体"/>
                <w:bCs/>
                <w:sz w:val="24"/>
                <w:szCs w:val="24"/>
              </w:rPr>
              <w:t>邮政编码：214200</w:t>
            </w:r>
          </w:p>
        </w:tc>
      </w:tr>
    </w:tbl>
    <w:p w14:paraId="60832D4D">
      <w:pPr>
        <w:spacing w:line="360" w:lineRule="exact"/>
        <w:jc w:val="center"/>
        <w:outlineLvl w:val="0"/>
        <w:rPr>
          <w:rFonts w:ascii="黑体" w:hAnsi="黑体" w:eastAsia="黑体"/>
          <w:sz w:val="28"/>
        </w:rPr>
      </w:pPr>
      <w:bookmarkStart w:id="4" w:name="_Toc29543"/>
      <w:r>
        <w:rPr>
          <w:rFonts w:ascii="黑体" w:hAnsi="黑体" w:eastAsia="黑体"/>
          <w:sz w:val="28"/>
        </w:rPr>
        <w:br w:type="page"/>
      </w:r>
      <w:bookmarkStart w:id="5" w:name="_Toc24677"/>
      <w:bookmarkStart w:id="6" w:name="_Toc52205514"/>
      <w:r>
        <w:rPr>
          <w:rFonts w:hint="eastAsia" w:ascii="黑体" w:hAnsi="黑体" w:eastAsia="黑体"/>
          <w:sz w:val="28"/>
        </w:rPr>
        <w:t>第二章 投标人须知</w:t>
      </w:r>
      <w:bookmarkEnd w:id="4"/>
      <w:bookmarkEnd w:id="5"/>
      <w:bookmarkEnd w:id="6"/>
    </w:p>
    <w:p w14:paraId="38F0BDF1">
      <w:pPr>
        <w:spacing w:line="360" w:lineRule="auto"/>
        <w:ind w:firstLine="482" w:firstLineChars="200"/>
        <w:rPr>
          <w:rFonts w:ascii="宋体" w:hAnsi="宋体"/>
          <w:b/>
          <w:sz w:val="24"/>
          <w:szCs w:val="24"/>
          <w:lang w:val="zh-CN"/>
        </w:rPr>
      </w:pPr>
      <w:r>
        <w:rPr>
          <w:rFonts w:hint="eastAsia" w:ascii="宋体" w:hAnsi="宋体"/>
          <w:b/>
          <w:sz w:val="24"/>
          <w:szCs w:val="24"/>
          <w:lang w:val="zh-CN"/>
        </w:rPr>
        <w:t>一、总   则</w:t>
      </w:r>
    </w:p>
    <w:p w14:paraId="18DF2461">
      <w:pPr>
        <w:spacing w:line="360" w:lineRule="auto"/>
        <w:ind w:firstLine="482" w:firstLineChars="200"/>
        <w:rPr>
          <w:rFonts w:ascii="宋体" w:hAnsi="宋体"/>
          <w:b/>
          <w:sz w:val="24"/>
          <w:szCs w:val="24"/>
          <w:lang w:val="zh-CN"/>
        </w:rPr>
      </w:pPr>
      <w:r>
        <w:rPr>
          <w:rFonts w:hint="eastAsia" w:ascii="宋体" w:hAnsi="宋体"/>
          <w:b/>
          <w:sz w:val="24"/>
          <w:szCs w:val="24"/>
          <w:lang w:val="zh-CN"/>
        </w:rPr>
        <w:t>1、适用法律</w:t>
      </w:r>
    </w:p>
    <w:p w14:paraId="52E5C2C5">
      <w:pPr>
        <w:spacing w:line="360" w:lineRule="auto"/>
        <w:ind w:firstLine="480" w:firstLineChars="200"/>
        <w:rPr>
          <w:rFonts w:ascii="宋体" w:hAnsi="宋体"/>
          <w:bCs/>
          <w:sz w:val="24"/>
          <w:szCs w:val="24"/>
          <w:lang w:val="zh-CN"/>
        </w:rPr>
      </w:pPr>
      <w:r>
        <w:rPr>
          <w:rFonts w:hint="eastAsia" w:ascii="宋体" w:hAnsi="宋体"/>
          <w:bCs/>
          <w:sz w:val="24"/>
          <w:szCs w:val="24"/>
          <w:lang w:val="zh-CN"/>
        </w:rPr>
        <w:t>1.1 有关法律、法规、规章和规定等。</w:t>
      </w:r>
    </w:p>
    <w:p w14:paraId="5E172BA0">
      <w:pPr>
        <w:spacing w:line="360" w:lineRule="auto"/>
        <w:ind w:firstLine="482" w:firstLineChars="200"/>
        <w:rPr>
          <w:rFonts w:ascii="宋体" w:hAnsi="宋体"/>
          <w:b/>
          <w:sz w:val="24"/>
          <w:szCs w:val="24"/>
          <w:lang w:val="zh-CN"/>
        </w:rPr>
      </w:pPr>
      <w:r>
        <w:rPr>
          <w:rFonts w:hint="eastAsia" w:ascii="宋体" w:hAnsi="宋体"/>
          <w:b/>
          <w:sz w:val="24"/>
          <w:szCs w:val="24"/>
          <w:lang w:val="zh-CN"/>
        </w:rPr>
        <w:t>2、定义</w:t>
      </w:r>
    </w:p>
    <w:p w14:paraId="68DB459F">
      <w:pPr>
        <w:spacing w:line="360" w:lineRule="auto"/>
        <w:ind w:firstLine="480" w:firstLineChars="200"/>
        <w:rPr>
          <w:rFonts w:ascii="宋体" w:hAnsi="宋体"/>
          <w:bCs/>
          <w:sz w:val="24"/>
          <w:szCs w:val="24"/>
        </w:rPr>
      </w:pPr>
      <w:r>
        <w:rPr>
          <w:rFonts w:hint="eastAsia" w:ascii="宋体" w:hAnsi="宋体"/>
          <w:bCs/>
          <w:sz w:val="24"/>
          <w:szCs w:val="24"/>
          <w:lang w:val="zh-CN"/>
        </w:rPr>
        <w:t>2.1 “投标人”</w:t>
      </w:r>
      <w:r>
        <w:rPr>
          <w:rFonts w:hint="eastAsia" w:ascii="宋体" w:hAnsi="宋体"/>
          <w:bCs/>
          <w:sz w:val="24"/>
          <w:szCs w:val="24"/>
        </w:rPr>
        <w:t>是指参加投标竞争，并符合招标文件规定资格条件的法人、其他组织或者自然人。</w:t>
      </w:r>
    </w:p>
    <w:p w14:paraId="4C08A6EF">
      <w:pPr>
        <w:spacing w:line="360" w:lineRule="auto"/>
        <w:ind w:firstLine="480" w:firstLineChars="200"/>
        <w:rPr>
          <w:rFonts w:ascii="宋体" w:hAnsi="宋体"/>
          <w:bCs/>
          <w:sz w:val="24"/>
          <w:szCs w:val="24"/>
        </w:rPr>
      </w:pPr>
      <w:r>
        <w:rPr>
          <w:rFonts w:hint="eastAsia" w:ascii="宋体" w:hAnsi="宋体"/>
          <w:bCs/>
          <w:sz w:val="24"/>
          <w:szCs w:val="24"/>
        </w:rPr>
        <w:t xml:space="preserve">2.2 </w:t>
      </w:r>
      <w:r>
        <w:rPr>
          <w:rFonts w:hint="eastAsia" w:ascii="宋体" w:hAnsi="宋体"/>
          <w:bCs/>
          <w:sz w:val="24"/>
          <w:szCs w:val="24"/>
          <w:lang w:val="zh-CN"/>
        </w:rPr>
        <w:t>招标文件中的“法定代表人”是指投标人的营业执照中的“法定代表人”、“执行事务合伙人”、“经营者”、“负责人”。</w:t>
      </w:r>
    </w:p>
    <w:p w14:paraId="21C43368">
      <w:pPr>
        <w:spacing w:line="360" w:lineRule="auto"/>
        <w:ind w:firstLine="480" w:firstLineChars="200"/>
        <w:rPr>
          <w:rFonts w:ascii="宋体" w:hAnsi="宋体"/>
          <w:bCs/>
          <w:sz w:val="24"/>
          <w:szCs w:val="24"/>
          <w:lang w:val="zh-CN"/>
        </w:rPr>
      </w:pPr>
      <w:r>
        <w:rPr>
          <w:rFonts w:hint="eastAsia" w:ascii="宋体" w:hAnsi="宋体"/>
          <w:bCs/>
          <w:sz w:val="24"/>
          <w:szCs w:val="24"/>
          <w:lang w:val="zh-CN"/>
        </w:rPr>
        <w:t>2.</w:t>
      </w:r>
      <w:r>
        <w:rPr>
          <w:rFonts w:hint="eastAsia" w:ascii="宋体" w:hAnsi="宋体"/>
          <w:bCs/>
          <w:sz w:val="24"/>
          <w:szCs w:val="24"/>
        </w:rPr>
        <w:t>3</w:t>
      </w:r>
      <w:r>
        <w:rPr>
          <w:rFonts w:hint="eastAsia" w:ascii="宋体" w:hAnsi="宋体"/>
          <w:bCs/>
          <w:sz w:val="24"/>
          <w:szCs w:val="24"/>
          <w:lang w:val="zh-CN"/>
        </w:rPr>
        <w:t xml:space="preserve"> “投标人签名”是指</w:t>
      </w:r>
      <w:r>
        <w:rPr>
          <w:rFonts w:hint="eastAsia" w:ascii="宋体" w:hAnsi="宋体"/>
          <w:bCs/>
          <w:sz w:val="24"/>
          <w:szCs w:val="24"/>
        </w:rPr>
        <w:t>法定代表人或法定代表人授权代表签字或盖章</w:t>
      </w:r>
      <w:r>
        <w:rPr>
          <w:rFonts w:hint="eastAsia" w:ascii="宋体" w:hAnsi="宋体"/>
          <w:bCs/>
          <w:sz w:val="24"/>
          <w:szCs w:val="24"/>
          <w:lang w:val="zh-CN"/>
        </w:rPr>
        <w:t>。</w:t>
      </w:r>
    </w:p>
    <w:p w14:paraId="29BBC9DC">
      <w:pPr>
        <w:spacing w:line="360" w:lineRule="auto"/>
        <w:ind w:firstLine="480" w:firstLineChars="200"/>
        <w:rPr>
          <w:rFonts w:ascii="宋体" w:hAnsi="宋体"/>
          <w:bCs/>
          <w:sz w:val="24"/>
          <w:szCs w:val="24"/>
        </w:rPr>
      </w:pPr>
      <w:r>
        <w:rPr>
          <w:rFonts w:hint="eastAsia" w:ascii="宋体" w:hAnsi="宋体"/>
          <w:bCs/>
          <w:sz w:val="24"/>
          <w:szCs w:val="24"/>
          <w:lang w:val="zh-CN"/>
        </w:rPr>
        <w:t>2.</w:t>
      </w:r>
      <w:r>
        <w:rPr>
          <w:rFonts w:hint="eastAsia" w:ascii="宋体" w:hAnsi="宋体"/>
          <w:bCs/>
          <w:sz w:val="24"/>
          <w:szCs w:val="24"/>
        </w:rPr>
        <w:t>4</w:t>
      </w:r>
      <w:r>
        <w:rPr>
          <w:rFonts w:hint="eastAsia" w:ascii="宋体" w:hAnsi="宋体"/>
          <w:bCs/>
          <w:sz w:val="24"/>
          <w:szCs w:val="24"/>
          <w:lang w:val="zh-CN"/>
        </w:rPr>
        <w:t xml:space="preserve"> “投标人名称（盖章）”及“投标人公章”</w:t>
      </w:r>
      <w:r>
        <w:rPr>
          <w:rFonts w:hint="eastAsia" w:ascii="宋体" w:hAnsi="宋体"/>
          <w:bCs/>
          <w:sz w:val="24"/>
          <w:szCs w:val="24"/>
        </w:rPr>
        <w:t>是指投标人的公章或者合同使用章。</w:t>
      </w:r>
    </w:p>
    <w:p w14:paraId="67A19E45">
      <w:pPr>
        <w:spacing w:line="360" w:lineRule="auto"/>
        <w:ind w:firstLine="480" w:firstLineChars="200"/>
        <w:rPr>
          <w:rFonts w:ascii="宋体" w:hAnsi="宋体"/>
          <w:bCs/>
          <w:sz w:val="24"/>
          <w:szCs w:val="24"/>
          <w:lang w:val="zh-CN"/>
        </w:rPr>
      </w:pPr>
      <w:r>
        <w:rPr>
          <w:rFonts w:hint="eastAsia" w:ascii="宋体" w:hAnsi="宋体"/>
          <w:bCs/>
          <w:sz w:val="24"/>
          <w:szCs w:val="24"/>
        </w:rPr>
        <w:t>2.5</w:t>
      </w:r>
      <w:r>
        <w:rPr>
          <w:rFonts w:hint="eastAsia" w:ascii="宋体" w:hAnsi="宋体"/>
          <w:bCs/>
          <w:sz w:val="24"/>
          <w:szCs w:val="24"/>
          <w:lang w:val="zh-CN"/>
        </w:rPr>
        <w:t xml:space="preserve"> “服务”指本招标文件中所述服务及相关产品。</w:t>
      </w:r>
    </w:p>
    <w:p w14:paraId="37B36F07">
      <w:pPr>
        <w:spacing w:line="360" w:lineRule="auto"/>
        <w:ind w:firstLine="482" w:firstLineChars="200"/>
        <w:rPr>
          <w:rFonts w:ascii="宋体" w:hAnsi="宋体"/>
          <w:b/>
          <w:sz w:val="24"/>
          <w:szCs w:val="24"/>
        </w:rPr>
      </w:pPr>
      <w:r>
        <w:rPr>
          <w:rFonts w:hint="eastAsia" w:ascii="宋体" w:hAnsi="宋体"/>
          <w:b/>
          <w:sz w:val="24"/>
          <w:szCs w:val="24"/>
        </w:rPr>
        <w:t>3、投标费用</w:t>
      </w:r>
    </w:p>
    <w:p w14:paraId="0F3A893C">
      <w:pPr>
        <w:spacing w:line="360" w:lineRule="auto"/>
        <w:ind w:firstLine="480" w:firstLineChars="200"/>
        <w:rPr>
          <w:rFonts w:ascii="宋体" w:hAnsi="宋体"/>
          <w:bCs/>
          <w:sz w:val="24"/>
          <w:szCs w:val="24"/>
        </w:rPr>
      </w:pPr>
      <w:r>
        <w:rPr>
          <w:rFonts w:hint="eastAsia" w:ascii="宋体" w:hAnsi="宋体"/>
          <w:bCs/>
          <w:sz w:val="24"/>
          <w:szCs w:val="24"/>
        </w:rPr>
        <w:t>3.1 投标人应自行承担所有与准备和参加投标有关的一切费用。</w:t>
      </w:r>
    </w:p>
    <w:p w14:paraId="5B8D9C46">
      <w:pPr>
        <w:spacing w:line="360" w:lineRule="auto"/>
        <w:ind w:firstLine="480" w:firstLineChars="200"/>
        <w:rPr>
          <w:rFonts w:ascii="宋体" w:hAnsi="宋体"/>
          <w:bCs/>
          <w:sz w:val="24"/>
          <w:szCs w:val="24"/>
        </w:rPr>
      </w:pPr>
      <w:bookmarkStart w:id="7" w:name="OLE_LINK88"/>
      <w:r>
        <w:rPr>
          <w:rFonts w:hint="eastAsia" w:ascii="宋体" w:hAnsi="宋体"/>
          <w:bCs/>
          <w:sz w:val="24"/>
          <w:szCs w:val="24"/>
        </w:rPr>
        <w:t>3.2 本次招标，招标文件费用300元/套，售后不退。</w:t>
      </w:r>
      <w:bookmarkEnd w:id="7"/>
    </w:p>
    <w:p w14:paraId="66FD8301">
      <w:pPr>
        <w:spacing w:line="360" w:lineRule="auto"/>
        <w:ind w:firstLine="480" w:firstLineChars="200"/>
        <w:rPr>
          <w:rFonts w:ascii="宋体" w:hAnsi="宋体"/>
          <w:bCs/>
          <w:sz w:val="24"/>
          <w:szCs w:val="24"/>
        </w:rPr>
      </w:pPr>
      <w:r>
        <w:rPr>
          <w:rFonts w:hint="eastAsia" w:ascii="宋体" w:hAnsi="宋体"/>
          <w:bCs/>
          <w:sz w:val="24"/>
          <w:szCs w:val="24"/>
        </w:rPr>
        <w:t xml:space="preserve">3.3 </w:t>
      </w:r>
      <w:r>
        <w:rPr>
          <w:rFonts w:hint="eastAsia" w:ascii="宋体" w:hAnsi="宋体"/>
          <w:b/>
          <w:bCs/>
          <w:sz w:val="24"/>
          <w:szCs w:val="24"/>
        </w:rPr>
        <w:t>本项目的招标代理费用（</w:t>
      </w:r>
      <w:r>
        <w:rPr>
          <w:rFonts w:hint="eastAsia" w:ascii="宋体" w:hAnsi="宋体"/>
          <w:b/>
          <w:sz w:val="24"/>
          <w:szCs w:val="24"/>
        </w:rPr>
        <w:t>参照《招标代理服务收费管理暂行办法》（国家发展计划委员会计价格[2002]1980号文）相关规定的42%收取费用</w:t>
      </w:r>
      <w:r>
        <w:rPr>
          <w:rFonts w:hint="eastAsia" w:ascii="宋体" w:hAnsi="宋体"/>
          <w:b/>
          <w:bCs/>
          <w:sz w:val="24"/>
          <w:szCs w:val="24"/>
        </w:rPr>
        <w:t>）、评标费用，由中标供应商承担，请投标单位报价时综合考虑在报价内。</w:t>
      </w:r>
    </w:p>
    <w:p w14:paraId="1B636A0C">
      <w:pPr>
        <w:spacing w:line="360" w:lineRule="auto"/>
        <w:ind w:firstLine="480" w:firstLineChars="200"/>
        <w:rPr>
          <w:rFonts w:ascii="宋体" w:hAnsi="宋体"/>
          <w:bCs/>
          <w:sz w:val="24"/>
          <w:szCs w:val="24"/>
        </w:rPr>
      </w:pPr>
      <w:r>
        <w:rPr>
          <w:rFonts w:hint="eastAsia" w:ascii="宋体" w:hAnsi="宋体"/>
          <w:bCs/>
          <w:sz w:val="24"/>
          <w:szCs w:val="24"/>
        </w:rPr>
        <w:t>3.4评审费收费标准:参照苏财购[2016]48号文相关规定收取费用（请各投标单位把评审费用考虑在内）。</w:t>
      </w:r>
    </w:p>
    <w:p w14:paraId="4D78F6E9">
      <w:pPr>
        <w:spacing w:line="360" w:lineRule="auto"/>
        <w:ind w:firstLine="482" w:firstLineChars="200"/>
        <w:rPr>
          <w:rFonts w:ascii="宋体" w:hAnsi="宋体"/>
          <w:b/>
          <w:sz w:val="24"/>
          <w:szCs w:val="24"/>
        </w:rPr>
      </w:pPr>
      <w:r>
        <w:rPr>
          <w:rFonts w:hint="eastAsia" w:ascii="宋体" w:hAnsi="宋体"/>
          <w:b/>
          <w:sz w:val="24"/>
          <w:szCs w:val="24"/>
        </w:rPr>
        <w:t>4、保密要求</w:t>
      </w:r>
    </w:p>
    <w:p w14:paraId="56C84A6C">
      <w:pPr>
        <w:spacing w:line="360" w:lineRule="auto"/>
        <w:ind w:firstLine="480" w:firstLineChars="200"/>
        <w:rPr>
          <w:rFonts w:ascii="宋体" w:hAnsi="宋体"/>
          <w:bCs/>
          <w:sz w:val="24"/>
          <w:szCs w:val="24"/>
        </w:rPr>
      </w:pPr>
      <w:r>
        <w:rPr>
          <w:rFonts w:hint="eastAsia" w:ascii="宋体" w:hAnsi="宋体"/>
          <w:bCs/>
          <w:sz w:val="24"/>
          <w:szCs w:val="24"/>
        </w:rPr>
        <w:t>4.1 采购各方当事人，对采购活动过程中获悉的国家秘密、商业秘密，应当依法予以保密。</w:t>
      </w:r>
    </w:p>
    <w:p w14:paraId="5207E8A3">
      <w:pPr>
        <w:spacing w:line="360" w:lineRule="auto"/>
        <w:ind w:firstLine="482" w:firstLineChars="200"/>
        <w:rPr>
          <w:rFonts w:ascii="宋体" w:hAnsi="宋体" w:cs="宋体"/>
          <w:b/>
          <w:bCs/>
          <w:sz w:val="24"/>
          <w:szCs w:val="32"/>
        </w:rPr>
      </w:pPr>
      <w:r>
        <w:rPr>
          <w:rFonts w:hint="eastAsia" w:ascii="宋体" w:hAnsi="宋体" w:cs="宋体"/>
          <w:b/>
          <w:bCs/>
          <w:sz w:val="24"/>
          <w:szCs w:val="32"/>
        </w:rPr>
        <w:t>5、政策功能</w:t>
      </w:r>
    </w:p>
    <w:p w14:paraId="66A2906C">
      <w:pPr>
        <w:spacing w:line="360" w:lineRule="auto"/>
        <w:ind w:firstLine="480" w:firstLineChars="200"/>
        <w:rPr>
          <w:rFonts w:ascii="宋体" w:hAnsi="宋体"/>
          <w:bCs/>
          <w:sz w:val="24"/>
          <w:szCs w:val="24"/>
        </w:rPr>
      </w:pPr>
      <w:r>
        <w:rPr>
          <w:rFonts w:hint="eastAsia" w:ascii="宋体" w:hAnsi="宋体" w:cs="宋体"/>
          <w:sz w:val="24"/>
          <w:szCs w:val="32"/>
        </w:rPr>
        <w:t xml:space="preserve">5.1 </w:t>
      </w:r>
      <w:r>
        <w:rPr>
          <w:rFonts w:hint="eastAsia" w:ascii="宋体" w:hAnsi="宋体"/>
          <w:bCs/>
          <w:sz w:val="24"/>
          <w:szCs w:val="24"/>
        </w:rPr>
        <w:t>政府采购支持中小企业发展，供应商在参加政府采购活动过程中，符合《政府采购促进中小企业发展管理办法》（财库〔2021〕46号）第二条、第四条规定的，可以享受中小企业扶持政策。</w:t>
      </w:r>
    </w:p>
    <w:p w14:paraId="190E3D7D">
      <w:pPr>
        <w:spacing w:line="360" w:lineRule="auto"/>
        <w:ind w:firstLine="480" w:firstLineChars="200"/>
        <w:rPr>
          <w:rFonts w:ascii="宋体" w:hAnsi="宋体"/>
          <w:bCs/>
          <w:sz w:val="24"/>
          <w:szCs w:val="24"/>
        </w:rPr>
      </w:pPr>
      <w:r>
        <w:rPr>
          <w:rFonts w:hint="eastAsia" w:ascii="宋体" w:hAnsi="宋体"/>
          <w:bCs/>
          <w:sz w:val="24"/>
          <w:szCs w:val="24"/>
        </w:rPr>
        <w:t xml:space="preserve">5.1.1 </w:t>
      </w:r>
      <w:r>
        <w:rPr>
          <w:rFonts w:hint="eastAsia" w:ascii="宋体" w:hAnsi="宋体" w:cs="宋体"/>
          <w:color w:val="000000"/>
          <w:sz w:val="24"/>
          <w:szCs w:val="24"/>
        </w:rPr>
        <w:t>对于专门面向中小企业采购的项目，只面向中小企业采购，且评审时不予报价扣除；对于非专门面向中小企采购的项目，对符合规定的小微企业报价给予10%（工程项目为5%）的扣除,用扣除后的价格参与评审。接受大中型企业与小微企业组成联合体或者允许大中型企业向一家或者多家小微企业分包的政府采购货物项目，对于</w:t>
      </w:r>
      <w:bookmarkStart w:id="8" w:name="_Hlk101132181"/>
      <w:r>
        <w:rPr>
          <w:rFonts w:hint="eastAsia" w:ascii="宋体" w:hAnsi="宋体" w:cs="宋体"/>
          <w:color w:val="000000"/>
          <w:sz w:val="24"/>
          <w:szCs w:val="24"/>
        </w:rPr>
        <w:t>联合协议或者分包意向协议约定小微企业的合同份额占到合同总金额30%及以上的</w:t>
      </w:r>
      <w:bookmarkEnd w:id="8"/>
      <w:r>
        <w:rPr>
          <w:rFonts w:hint="eastAsia" w:ascii="宋体" w:hAnsi="宋体" w:cs="宋体"/>
          <w:color w:val="000000"/>
          <w:sz w:val="24"/>
          <w:szCs w:val="24"/>
        </w:rPr>
        <w:t>，对联合体或者大中型企业的报价给予扣除，用扣除后的价格参加评审。组成联合体或者接受分包的小微企业与联合体内其他企业、分包企业之间存在直接控股、管理关系的，不享受价格扣除优惠政策。</w:t>
      </w:r>
      <w:r>
        <w:rPr>
          <w:rFonts w:hint="eastAsia" w:ascii="宋体" w:hAnsi="宋体"/>
          <w:bCs/>
          <w:sz w:val="24"/>
          <w:szCs w:val="24"/>
        </w:rPr>
        <w:t>5.1.2 参加政府采购活动的中小企业，应当按照《办法》（财库〔2021〕46号）的规定提供《中小企业声明函》（“中小企业划型标准”详见《关于印发中小企业划型标准规定的通知》工信部联企业〔2011〕300号）；</w:t>
      </w:r>
    </w:p>
    <w:p w14:paraId="426CB9F6">
      <w:pPr>
        <w:spacing w:line="360" w:lineRule="auto"/>
        <w:ind w:firstLine="480" w:firstLineChars="200"/>
        <w:rPr>
          <w:rFonts w:ascii="宋体" w:hAnsi="宋体"/>
          <w:bCs/>
          <w:sz w:val="24"/>
          <w:szCs w:val="24"/>
        </w:rPr>
      </w:pPr>
      <w:r>
        <w:rPr>
          <w:rFonts w:hint="eastAsia" w:ascii="宋体" w:hAnsi="宋体"/>
          <w:bCs/>
          <w:sz w:val="24"/>
          <w:szCs w:val="24"/>
        </w:rPr>
        <w:t>5.1.3 中小企业依据《办法》（财库〔2021〕46号）规定的扶持政策获得政府采购合同后，小微企业不得将合同分包给大中型企业，中型企业不得将合同分包给大型企业。</w:t>
      </w:r>
    </w:p>
    <w:p w14:paraId="759F3B91">
      <w:pPr>
        <w:spacing w:line="360" w:lineRule="auto"/>
        <w:ind w:firstLine="480" w:firstLineChars="200"/>
        <w:rPr>
          <w:rFonts w:ascii="宋体" w:hAnsi="宋体"/>
          <w:bCs/>
          <w:sz w:val="24"/>
          <w:szCs w:val="24"/>
        </w:rPr>
      </w:pPr>
      <w:r>
        <w:rPr>
          <w:rFonts w:hint="eastAsia" w:ascii="宋体" w:hAnsi="宋体"/>
          <w:bCs/>
          <w:sz w:val="24"/>
          <w:szCs w:val="24"/>
        </w:rPr>
        <w:t>5.2 在政府采购活动中，残疾人福利性单位视同小微企业，提供本单位制造的货物、承担的工程或者服务，或者提供其他残疾人福利性单位制造的货物，在评审时将获得优势。参加报价的残疾人福利性单位应当按照《关于促进残疾人就业政府采购政策的通知》（财库〔2017〕141号）的规定提供《残疾人福利性单位声明函》。</w:t>
      </w:r>
    </w:p>
    <w:p w14:paraId="6E17966D">
      <w:pPr>
        <w:spacing w:line="360" w:lineRule="auto"/>
        <w:ind w:firstLine="480" w:firstLineChars="200"/>
        <w:rPr>
          <w:rFonts w:ascii="宋体" w:hAnsi="宋体"/>
          <w:bCs/>
          <w:sz w:val="24"/>
          <w:szCs w:val="24"/>
        </w:rPr>
      </w:pPr>
      <w:r>
        <w:rPr>
          <w:rFonts w:hint="eastAsia" w:ascii="宋体" w:hAnsi="宋体"/>
          <w:bCs/>
          <w:sz w:val="24"/>
          <w:szCs w:val="24"/>
        </w:rPr>
        <w:t>5.3 在政府采购活动中，监狱企业视同小微企业，享受政府采购促进中小企业发展的政府采购政策。参加报价的监狱企业应当按照《关于政府采购支持监狱企业发展有关问题的通知》（财库〔2014〕68号）的规定提供省级以上监狱管理局、戒毒管理局（含新疆生产建设兵团）出具的属于监狱企业的证明文件。</w:t>
      </w:r>
    </w:p>
    <w:p w14:paraId="7B3590C5">
      <w:pPr>
        <w:spacing w:line="360" w:lineRule="auto"/>
        <w:ind w:firstLine="482" w:firstLineChars="200"/>
        <w:rPr>
          <w:rFonts w:ascii="宋体" w:hAnsi="宋体"/>
          <w:b/>
          <w:sz w:val="24"/>
          <w:szCs w:val="24"/>
          <w:lang w:val="zh-CN"/>
        </w:rPr>
      </w:pPr>
      <w:r>
        <w:rPr>
          <w:rFonts w:hint="eastAsia" w:ascii="宋体" w:hAnsi="宋体"/>
          <w:b/>
          <w:sz w:val="24"/>
          <w:szCs w:val="24"/>
          <w:lang w:val="zh-CN"/>
        </w:rPr>
        <w:t>二、招标文件</w:t>
      </w:r>
    </w:p>
    <w:p w14:paraId="1EB1B7F5">
      <w:pPr>
        <w:spacing w:line="360" w:lineRule="auto"/>
        <w:ind w:firstLine="482" w:firstLineChars="200"/>
        <w:rPr>
          <w:rFonts w:ascii="宋体" w:hAnsi="宋体"/>
          <w:b/>
          <w:sz w:val="24"/>
          <w:szCs w:val="24"/>
        </w:rPr>
      </w:pPr>
      <w:r>
        <w:rPr>
          <w:rFonts w:hint="eastAsia" w:ascii="宋体" w:hAnsi="宋体"/>
          <w:b/>
          <w:sz w:val="24"/>
          <w:szCs w:val="24"/>
          <w:lang w:val="en-US" w:eastAsia="zh-CN"/>
        </w:rPr>
        <w:t>6</w:t>
      </w:r>
      <w:r>
        <w:rPr>
          <w:rFonts w:hint="eastAsia" w:ascii="宋体" w:hAnsi="宋体"/>
          <w:b/>
          <w:sz w:val="24"/>
          <w:szCs w:val="24"/>
        </w:rPr>
        <w:t>、</w:t>
      </w:r>
      <w:r>
        <w:rPr>
          <w:rFonts w:hint="eastAsia" w:ascii="宋体" w:hAnsi="宋体"/>
          <w:b/>
          <w:sz w:val="24"/>
          <w:szCs w:val="24"/>
          <w:lang w:val="zh-CN"/>
        </w:rPr>
        <w:t>招标文件的组成</w:t>
      </w:r>
    </w:p>
    <w:p w14:paraId="384F0450">
      <w:pPr>
        <w:spacing w:line="360" w:lineRule="auto"/>
        <w:ind w:firstLine="480" w:firstLineChars="200"/>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.1 投标人可在规定时间内中按采购公告要求获取采购文件及有关资料。投标人须按招标文件要求提交全部资料并对招标文件各项内容作出实质性响应，否则投标无效。</w:t>
      </w:r>
    </w:p>
    <w:p w14:paraId="41EC488A">
      <w:pPr>
        <w:spacing w:line="360" w:lineRule="auto"/>
        <w:ind w:firstLine="480" w:firstLineChars="200"/>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.2 招标文件包括本文件目录所列全部内容及其附件，如有缺漏，请立即与江苏鼎坚工程咨询有限公司联系解决。</w:t>
      </w:r>
    </w:p>
    <w:p w14:paraId="6198BB42">
      <w:pPr>
        <w:spacing w:line="360" w:lineRule="auto"/>
        <w:ind w:firstLine="480" w:firstLineChars="200"/>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.3 招标文件如与招标公告有不一致的地方，以招标文件为准。</w:t>
      </w:r>
    </w:p>
    <w:p w14:paraId="662C5407">
      <w:pPr>
        <w:spacing w:line="360" w:lineRule="auto"/>
        <w:ind w:firstLine="482" w:firstLineChars="200"/>
        <w:rPr>
          <w:rFonts w:ascii="宋体" w:hAnsi="宋体"/>
          <w:b/>
          <w:sz w:val="24"/>
          <w:szCs w:val="24"/>
        </w:rPr>
      </w:pPr>
      <w:r>
        <w:rPr>
          <w:rFonts w:hint="eastAsia" w:ascii="宋体" w:hAnsi="宋体"/>
          <w:b/>
          <w:sz w:val="24"/>
          <w:szCs w:val="24"/>
          <w:lang w:val="en-US" w:eastAsia="zh-CN"/>
        </w:rPr>
        <w:t>7</w:t>
      </w:r>
      <w:r>
        <w:rPr>
          <w:rFonts w:hint="eastAsia" w:ascii="宋体" w:hAnsi="宋体"/>
          <w:b/>
          <w:sz w:val="24"/>
          <w:szCs w:val="24"/>
        </w:rPr>
        <w:t>、</w:t>
      </w:r>
      <w:r>
        <w:rPr>
          <w:rFonts w:hint="eastAsia" w:ascii="宋体" w:hAnsi="宋体"/>
          <w:b/>
          <w:sz w:val="24"/>
          <w:szCs w:val="24"/>
          <w:lang w:val="zh-CN"/>
        </w:rPr>
        <w:t>招标文件的解释</w:t>
      </w:r>
    </w:p>
    <w:p w14:paraId="3037752C">
      <w:pPr>
        <w:spacing w:line="360" w:lineRule="auto"/>
        <w:ind w:firstLine="480" w:firstLineChars="200"/>
        <w:rPr>
          <w:rFonts w:ascii="宋体" w:hAnsi="宋体"/>
          <w:bCs/>
          <w:sz w:val="24"/>
          <w:szCs w:val="24"/>
        </w:rPr>
      </w:pPr>
      <w:r>
        <w:rPr>
          <w:rFonts w:hint="eastAsia" w:ascii="宋体" w:hAnsi="宋体"/>
          <w:bCs/>
          <w:sz w:val="24"/>
          <w:szCs w:val="24"/>
          <w:lang w:val="en-US" w:eastAsia="zh-CN"/>
        </w:rPr>
        <w:t>7</w:t>
      </w:r>
      <w:r>
        <w:rPr>
          <w:rFonts w:hint="eastAsia" w:ascii="宋体" w:hAnsi="宋体"/>
          <w:bCs/>
          <w:sz w:val="24"/>
          <w:szCs w:val="24"/>
        </w:rPr>
        <w:t xml:space="preserve">.1 </w:t>
      </w:r>
      <w:bookmarkStart w:id="9" w:name="OLE_LINK109"/>
      <w:r>
        <w:rPr>
          <w:rFonts w:hint="eastAsia" w:ascii="宋体" w:hAnsi="宋体"/>
          <w:bCs/>
          <w:sz w:val="24"/>
          <w:szCs w:val="24"/>
        </w:rPr>
        <w:t>本文件“第四章 项目技术要求和有关说明”由</w:t>
      </w:r>
      <w:bookmarkStart w:id="10" w:name="OLE_LINK13"/>
      <w:r>
        <w:rPr>
          <w:rFonts w:hint="eastAsia" w:ascii="宋体" w:hAnsi="宋体"/>
          <w:bCs/>
          <w:sz w:val="24"/>
          <w:szCs w:val="24"/>
        </w:rPr>
        <w:t>江苏省宜兴强制隔离戒毒所负责解释</w:t>
      </w:r>
      <w:bookmarkEnd w:id="10"/>
      <w:r>
        <w:rPr>
          <w:rFonts w:hint="eastAsia" w:ascii="宋体" w:hAnsi="宋体"/>
          <w:bCs/>
          <w:sz w:val="24"/>
          <w:szCs w:val="24"/>
        </w:rPr>
        <w:t>，其他部分由江苏省宜兴强制隔离戒毒所和江苏鼎坚工程咨询有限公司负责解释。</w:t>
      </w:r>
      <w:bookmarkEnd w:id="9"/>
    </w:p>
    <w:p w14:paraId="0D8461E9">
      <w:pPr>
        <w:spacing w:line="360" w:lineRule="auto"/>
        <w:ind w:firstLine="482" w:firstLineChars="200"/>
        <w:rPr>
          <w:rFonts w:ascii="宋体" w:hAnsi="宋体"/>
          <w:b/>
          <w:sz w:val="24"/>
          <w:szCs w:val="24"/>
          <w:lang w:val="zh-CN"/>
        </w:rPr>
      </w:pPr>
      <w:r>
        <w:rPr>
          <w:rFonts w:hint="eastAsia" w:ascii="宋体" w:hAnsi="宋体"/>
          <w:b/>
          <w:sz w:val="24"/>
          <w:szCs w:val="24"/>
          <w:lang w:val="en-US" w:eastAsia="zh-CN"/>
        </w:rPr>
        <w:t>8</w:t>
      </w:r>
      <w:r>
        <w:rPr>
          <w:rFonts w:hint="eastAsia" w:ascii="宋体" w:hAnsi="宋体"/>
          <w:b/>
          <w:sz w:val="24"/>
          <w:szCs w:val="24"/>
        </w:rPr>
        <w:t>、</w:t>
      </w:r>
      <w:r>
        <w:rPr>
          <w:rFonts w:hint="eastAsia" w:ascii="宋体" w:hAnsi="宋体"/>
          <w:b/>
          <w:sz w:val="24"/>
          <w:szCs w:val="24"/>
          <w:lang w:val="zh-CN"/>
        </w:rPr>
        <w:t>招标文件的澄清、修改</w:t>
      </w:r>
    </w:p>
    <w:p w14:paraId="6919720B">
      <w:pPr>
        <w:spacing w:line="360" w:lineRule="auto"/>
        <w:ind w:firstLine="480" w:firstLineChars="200"/>
        <w:rPr>
          <w:rFonts w:ascii="宋体"/>
          <w:sz w:val="24"/>
          <w:szCs w:val="21"/>
          <w:lang w:val="zh-CN"/>
        </w:rPr>
      </w:pPr>
      <w:r>
        <w:rPr>
          <w:rFonts w:hint="eastAsia" w:ascii="宋体" w:hAnsi="宋体"/>
          <w:bCs/>
          <w:sz w:val="24"/>
          <w:szCs w:val="24"/>
          <w:lang w:val="en-US" w:eastAsia="zh-CN"/>
        </w:rPr>
        <w:t>8</w:t>
      </w:r>
      <w:r>
        <w:rPr>
          <w:rFonts w:hint="eastAsia" w:ascii="宋体" w:hAnsi="宋体"/>
          <w:bCs/>
          <w:sz w:val="24"/>
          <w:szCs w:val="24"/>
        </w:rPr>
        <w:t xml:space="preserve">.1 </w:t>
      </w:r>
      <w:bookmarkStart w:id="11" w:name="OLE_LINK14"/>
      <w:r>
        <w:rPr>
          <w:rFonts w:hint="eastAsia" w:ascii="宋体" w:hAnsi="宋体" w:cs="宋体"/>
          <w:sz w:val="24"/>
          <w:szCs w:val="24"/>
        </w:rPr>
        <w:t>采购人或者</w:t>
      </w:r>
      <w:bookmarkEnd w:id="11"/>
      <w:r>
        <w:rPr>
          <w:rFonts w:hint="eastAsia" w:ascii="宋体" w:hAnsi="宋体" w:cs="宋体"/>
          <w:sz w:val="24"/>
          <w:szCs w:val="24"/>
        </w:rPr>
        <w:t>采购代理机构</w:t>
      </w:r>
      <w:r>
        <w:rPr>
          <w:rFonts w:hint="eastAsia" w:ascii="宋体"/>
          <w:sz w:val="24"/>
          <w:szCs w:val="21"/>
          <w:lang w:val="zh-CN"/>
        </w:rPr>
        <w:t>对</w:t>
      </w:r>
      <w:r>
        <w:rPr>
          <w:rFonts w:hint="eastAsia" w:ascii="宋体" w:hAnsi="宋体"/>
          <w:bCs/>
          <w:sz w:val="24"/>
          <w:szCs w:val="24"/>
          <w:lang w:val="zh-CN"/>
        </w:rPr>
        <w:t>已</w:t>
      </w:r>
      <w:r>
        <w:rPr>
          <w:rFonts w:hint="eastAsia" w:ascii="宋体"/>
          <w:sz w:val="24"/>
          <w:szCs w:val="21"/>
          <w:lang w:val="zh-CN"/>
        </w:rPr>
        <w:t>发出的招标文件进行必要澄清或者修改的，将在招标文件要求提交投标文件截止时间</w:t>
      </w:r>
      <w:r>
        <w:rPr>
          <w:rFonts w:hint="eastAsia" w:ascii="宋体"/>
          <w:sz w:val="24"/>
          <w:szCs w:val="21"/>
        </w:rPr>
        <w:t>1</w:t>
      </w:r>
      <w:r>
        <w:rPr>
          <w:rFonts w:hint="eastAsia" w:ascii="宋体" w:hAnsi="宋体"/>
          <w:bCs/>
          <w:sz w:val="24"/>
          <w:szCs w:val="24"/>
        </w:rPr>
        <w:t>5</w:t>
      </w:r>
      <w:r>
        <w:rPr>
          <w:rFonts w:hint="eastAsia" w:ascii="宋体" w:hAnsi="宋体"/>
          <w:bCs/>
          <w:sz w:val="24"/>
          <w:szCs w:val="24"/>
          <w:lang w:val="zh-CN"/>
        </w:rPr>
        <w:t>日前</w:t>
      </w:r>
      <w:r>
        <w:rPr>
          <w:rFonts w:hint="eastAsia" w:ascii="宋体"/>
          <w:sz w:val="24"/>
          <w:szCs w:val="21"/>
        </w:rPr>
        <w:t>，</w:t>
      </w:r>
      <w:r>
        <w:rPr>
          <w:rFonts w:hint="eastAsia" w:ascii="宋体"/>
          <w:sz w:val="24"/>
          <w:szCs w:val="21"/>
          <w:lang w:val="zh-CN"/>
        </w:rPr>
        <w:t>在原招标公告媒体发布更正公告。不足</w:t>
      </w:r>
      <w:r>
        <w:rPr>
          <w:rFonts w:hint="eastAsia" w:ascii="宋体"/>
          <w:sz w:val="24"/>
          <w:szCs w:val="21"/>
        </w:rPr>
        <w:t>15日的，</w:t>
      </w:r>
      <w:r>
        <w:rPr>
          <w:rFonts w:hint="eastAsia" w:ascii="宋体" w:hAnsi="宋体" w:cs="宋体"/>
          <w:sz w:val="24"/>
          <w:szCs w:val="24"/>
        </w:rPr>
        <w:t>采购人或者采购代理机构有权决定延长投标文件的截止时间和开标时间，</w:t>
      </w:r>
      <w:r>
        <w:rPr>
          <w:rFonts w:hint="eastAsia" w:ascii="宋体"/>
          <w:sz w:val="24"/>
          <w:szCs w:val="21"/>
          <w:lang w:val="zh-CN"/>
        </w:rPr>
        <w:t>该澄清或者修改的内容为招标文件的组成部分。</w:t>
      </w:r>
    </w:p>
    <w:p w14:paraId="250514C2">
      <w:pPr>
        <w:spacing w:line="360" w:lineRule="auto"/>
        <w:ind w:firstLine="480" w:firstLineChars="200"/>
        <w:rPr>
          <w:rFonts w:ascii="宋体" w:hAnsi="宋体"/>
          <w:sz w:val="24"/>
          <w:szCs w:val="21"/>
          <w:lang w:val="zh-CN"/>
        </w:rPr>
      </w:pPr>
      <w:r>
        <w:rPr>
          <w:rFonts w:hint="eastAsia" w:ascii="宋体" w:hAnsi="宋体"/>
          <w:sz w:val="24"/>
          <w:szCs w:val="21"/>
          <w:lang w:val="en-US" w:eastAsia="zh-CN"/>
        </w:rPr>
        <w:t>8</w:t>
      </w:r>
      <w:r>
        <w:rPr>
          <w:rFonts w:hint="eastAsia" w:ascii="宋体" w:hAnsi="宋体"/>
          <w:sz w:val="24"/>
          <w:szCs w:val="21"/>
        </w:rPr>
        <w:t xml:space="preserve">.2 </w:t>
      </w:r>
      <w:r>
        <w:rPr>
          <w:rFonts w:hint="eastAsia" w:ascii="宋体" w:hAnsi="宋体"/>
          <w:sz w:val="24"/>
          <w:szCs w:val="21"/>
          <w:lang w:val="zh-CN"/>
        </w:rPr>
        <w:t>投标人应在投标截止时间前关注原采购信息发布媒体上有关本招标项目有无变更公告。如投标人未及时关注，由此造成的一切损失由投标人自行承担。</w:t>
      </w:r>
    </w:p>
    <w:p w14:paraId="55EDF70C">
      <w:pPr>
        <w:spacing w:line="360" w:lineRule="auto"/>
        <w:ind w:firstLine="482" w:firstLineChars="200"/>
        <w:rPr>
          <w:rFonts w:ascii="宋体" w:hAnsi="宋体"/>
          <w:b/>
          <w:sz w:val="24"/>
          <w:szCs w:val="24"/>
        </w:rPr>
      </w:pPr>
      <w:r>
        <w:rPr>
          <w:rFonts w:hint="eastAsia" w:ascii="宋体" w:hAnsi="宋体"/>
          <w:b/>
          <w:sz w:val="24"/>
          <w:szCs w:val="24"/>
        </w:rPr>
        <w:t>三、投标文件</w:t>
      </w:r>
    </w:p>
    <w:p w14:paraId="2BCC8931">
      <w:pPr>
        <w:spacing w:line="360" w:lineRule="auto"/>
        <w:ind w:firstLine="482"/>
        <w:rPr>
          <w:rFonts w:ascii="宋体" w:hAnsi="宋体"/>
          <w:b/>
          <w:sz w:val="24"/>
          <w:szCs w:val="24"/>
        </w:rPr>
      </w:pPr>
      <w:bookmarkStart w:id="12" w:name="OLE_LINK93"/>
      <w:r>
        <w:rPr>
          <w:rFonts w:hint="eastAsia" w:ascii="宋体" w:hAnsi="宋体"/>
          <w:b/>
          <w:sz w:val="24"/>
          <w:szCs w:val="24"/>
        </w:rPr>
        <w:t>8、投标文件的组成：对应第六章投标文件（格式）。</w:t>
      </w:r>
    </w:p>
    <w:p w14:paraId="23D27787">
      <w:pPr>
        <w:numPr>
          <w:ilvl w:val="0"/>
          <w:numId w:val="8"/>
        </w:numPr>
        <w:tabs>
          <w:tab w:val="left" w:pos="255"/>
        </w:tabs>
        <w:spacing w:line="360" w:lineRule="auto"/>
        <w:rPr>
          <w:rFonts w:ascii="宋体" w:hAnsi="宋体"/>
          <w:sz w:val="24"/>
          <w:szCs w:val="21"/>
          <w:lang w:val="zh-CN"/>
        </w:rPr>
      </w:pPr>
      <w:bookmarkStart w:id="13" w:name="OLE_LINK51"/>
      <w:r>
        <w:rPr>
          <w:rFonts w:hint="eastAsia" w:ascii="宋体" w:hAnsi="宋体"/>
          <w:sz w:val="24"/>
          <w:szCs w:val="21"/>
          <w:lang w:val="zh-CN"/>
        </w:rPr>
        <w:t>投标函</w:t>
      </w:r>
    </w:p>
    <w:p w14:paraId="03A119D0">
      <w:pPr>
        <w:numPr>
          <w:ilvl w:val="0"/>
          <w:numId w:val="8"/>
        </w:numPr>
        <w:tabs>
          <w:tab w:val="left" w:pos="255"/>
        </w:tabs>
        <w:spacing w:line="360" w:lineRule="auto"/>
        <w:rPr>
          <w:rFonts w:ascii="宋体" w:hAnsi="宋体"/>
          <w:sz w:val="24"/>
          <w:szCs w:val="21"/>
          <w:lang w:val="zh-CN"/>
        </w:rPr>
      </w:pPr>
      <w:r>
        <w:rPr>
          <w:rFonts w:ascii="宋体" w:hAnsi="宋体"/>
          <w:sz w:val="24"/>
          <w:szCs w:val="21"/>
          <w:lang w:val="zh-CN"/>
        </w:rPr>
        <w:t>联合体协议书</w:t>
      </w:r>
    </w:p>
    <w:p w14:paraId="0494D3FB">
      <w:pPr>
        <w:numPr>
          <w:ilvl w:val="0"/>
          <w:numId w:val="8"/>
        </w:numPr>
        <w:tabs>
          <w:tab w:val="left" w:pos="255"/>
        </w:tabs>
        <w:spacing w:line="360" w:lineRule="auto"/>
        <w:rPr>
          <w:rFonts w:ascii="宋体" w:hAnsi="宋体"/>
          <w:sz w:val="24"/>
          <w:szCs w:val="21"/>
          <w:lang w:val="zh-CN"/>
        </w:rPr>
      </w:pPr>
      <w:r>
        <w:rPr>
          <w:rFonts w:hint="eastAsia" w:ascii="宋体" w:hAnsi="宋体"/>
          <w:sz w:val="24"/>
          <w:szCs w:val="21"/>
          <w:lang w:val="zh-CN"/>
        </w:rPr>
        <w:t>报价文件：</w:t>
      </w:r>
    </w:p>
    <w:p w14:paraId="7E86FD39">
      <w:pPr>
        <w:numPr>
          <w:ilvl w:val="0"/>
          <w:numId w:val="9"/>
        </w:numPr>
        <w:tabs>
          <w:tab w:val="left" w:pos="0"/>
          <w:tab w:val="left" w:pos="255"/>
        </w:tabs>
        <w:spacing w:line="360" w:lineRule="auto"/>
        <w:ind w:firstLine="480"/>
        <w:rPr>
          <w:rFonts w:ascii="宋体" w:hAnsi="宋体"/>
          <w:sz w:val="24"/>
          <w:szCs w:val="21"/>
          <w:lang w:val="zh-CN"/>
        </w:rPr>
      </w:pPr>
      <w:r>
        <w:rPr>
          <w:rFonts w:hint="eastAsia" w:ascii="宋体" w:hAnsi="宋体"/>
          <w:sz w:val="24"/>
          <w:szCs w:val="24"/>
          <w:lang w:val="zh-CN"/>
        </w:rPr>
        <w:t>开标一览表</w:t>
      </w:r>
      <w:r>
        <w:rPr>
          <w:rFonts w:hint="eastAsia" w:ascii="宋体" w:hAnsi="宋体"/>
          <w:sz w:val="24"/>
          <w:szCs w:val="21"/>
          <w:lang w:val="zh-CN"/>
        </w:rPr>
        <w:t>；</w:t>
      </w:r>
    </w:p>
    <w:p w14:paraId="6A14051A">
      <w:pPr>
        <w:numPr>
          <w:ilvl w:val="0"/>
          <w:numId w:val="9"/>
        </w:numPr>
        <w:tabs>
          <w:tab w:val="left" w:pos="0"/>
          <w:tab w:val="left" w:pos="255"/>
        </w:tabs>
        <w:spacing w:line="360" w:lineRule="auto"/>
        <w:ind w:firstLine="480"/>
        <w:rPr>
          <w:rFonts w:ascii="宋体" w:hAnsi="宋体"/>
          <w:sz w:val="24"/>
          <w:szCs w:val="21"/>
          <w:lang w:val="zh-CN"/>
        </w:rPr>
      </w:pPr>
      <w:r>
        <w:rPr>
          <w:rFonts w:hint="eastAsia" w:ascii="宋体" w:hAnsi="宋体"/>
          <w:sz w:val="24"/>
          <w:szCs w:val="24"/>
          <w:lang w:val="zh-CN"/>
        </w:rPr>
        <w:t>明细报价表</w:t>
      </w:r>
      <w:r>
        <w:rPr>
          <w:rFonts w:hint="eastAsia" w:ascii="宋体" w:hAnsi="宋体"/>
          <w:sz w:val="24"/>
          <w:szCs w:val="21"/>
          <w:lang w:val="zh-CN"/>
        </w:rPr>
        <w:t>。</w:t>
      </w:r>
    </w:p>
    <w:p w14:paraId="65059064">
      <w:pPr>
        <w:numPr>
          <w:ilvl w:val="0"/>
          <w:numId w:val="8"/>
        </w:numPr>
        <w:tabs>
          <w:tab w:val="left" w:pos="255"/>
        </w:tabs>
        <w:spacing w:line="360" w:lineRule="auto"/>
        <w:rPr>
          <w:rFonts w:ascii="宋体" w:hAnsi="宋体"/>
          <w:sz w:val="24"/>
          <w:szCs w:val="24"/>
        </w:rPr>
      </w:pPr>
      <w:bookmarkStart w:id="14" w:name="OLE_LINK20"/>
      <w:r>
        <w:rPr>
          <w:rFonts w:hint="eastAsia" w:ascii="宋体" w:hAnsi="宋体"/>
          <w:sz w:val="24"/>
          <w:szCs w:val="24"/>
        </w:rPr>
        <w:t>资格证明文件</w:t>
      </w:r>
      <w:bookmarkEnd w:id="14"/>
      <w:r>
        <w:rPr>
          <w:rFonts w:hint="eastAsia" w:ascii="宋体" w:hAnsi="宋体"/>
          <w:sz w:val="24"/>
          <w:szCs w:val="24"/>
        </w:rPr>
        <w:t>：</w:t>
      </w:r>
    </w:p>
    <w:p w14:paraId="1C182C8F">
      <w:pPr>
        <w:tabs>
          <w:tab w:val="left" w:pos="525"/>
          <w:tab w:val="left" w:pos="945"/>
        </w:tabs>
        <w:spacing w:line="360" w:lineRule="auto"/>
        <w:ind w:firstLine="480"/>
        <w:rPr>
          <w:rFonts w:ascii="宋体" w:hAnsi="宋体"/>
          <w:bCs/>
          <w:sz w:val="24"/>
          <w:szCs w:val="24"/>
          <w:lang w:val="zh-CN"/>
        </w:rPr>
      </w:pPr>
      <w:r>
        <w:rPr>
          <w:rFonts w:hint="eastAsia" w:ascii="宋体" w:hAnsi="宋体" w:cs="宋体"/>
          <w:bCs/>
          <w:sz w:val="24"/>
          <w:szCs w:val="24"/>
          <w:lang w:val="zh-CN"/>
        </w:rPr>
        <w:t>①</w:t>
      </w:r>
      <w:r>
        <w:rPr>
          <w:rFonts w:hint="eastAsia" w:ascii="宋体" w:hAnsi="宋体" w:cs="宋体"/>
          <w:bCs/>
          <w:sz w:val="24"/>
          <w:szCs w:val="24"/>
        </w:rPr>
        <w:t xml:space="preserve"> </w:t>
      </w:r>
      <w:r>
        <w:rPr>
          <w:rFonts w:hint="eastAsia" w:ascii="宋体" w:hAnsi="宋体"/>
          <w:b/>
          <w:sz w:val="24"/>
          <w:szCs w:val="24"/>
          <w:lang w:val="zh-CN"/>
        </w:rPr>
        <w:t>资格声明函；</w:t>
      </w:r>
      <w:r>
        <w:rPr>
          <w:rFonts w:hint="eastAsia" w:ascii="宋体" w:hAnsi="宋体"/>
          <w:bCs/>
          <w:sz w:val="24"/>
          <w:szCs w:val="24"/>
          <w:lang w:val="zh-CN"/>
        </w:rPr>
        <w:t>关于资格的声明函；</w:t>
      </w:r>
    </w:p>
    <w:p w14:paraId="48417E17">
      <w:pPr>
        <w:tabs>
          <w:tab w:val="left" w:pos="0"/>
          <w:tab w:val="left" w:pos="255"/>
        </w:tabs>
        <w:spacing w:line="360" w:lineRule="auto"/>
        <w:ind w:left="420"/>
        <w:rPr>
          <w:rFonts w:ascii="宋体" w:hAnsi="宋体"/>
          <w:bCs/>
          <w:sz w:val="24"/>
          <w:szCs w:val="24"/>
          <w:lang w:val="zh-CN"/>
        </w:rPr>
      </w:pPr>
      <w:r>
        <w:rPr>
          <w:rFonts w:hint="eastAsia" w:ascii="宋体" w:hAnsi="宋体" w:cs="宋体"/>
          <w:bCs/>
          <w:sz w:val="24"/>
          <w:szCs w:val="24"/>
          <w:lang w:val="zh-CN"/>
        </w:rPr>
        <w:t>②</w:t>
      </w:r>
      <w:r>
        <w:rPr>
          <w:rFonts w:hint="eastAsia" w:ascii="宋体" w:hAnsi="宋体" w:cs="宋体"/>
          <w:bCs/>
          <w:sz w:val="24"/>
          <w:szCs w:val="24"/>
        </w:rPr>
        <w:t xml:space="preserve"> </w:t>
      </w:r>
      <w:r>
        <w:rPr>
          <w:rFonts w:hint="eastAsia" w:ascii="宋体" w:hAnsi="宋体"/>
          <w:b/>
          <w:sz w:val="24"/>
          <w:szCs w:val="24"/>
          <w:lang w:val="zh-CN"/>
        </w:rPr>
        <w:t>被授权代表身份证明</w:t>
      </w:r>
      <w:r>
        <w:rPr>
          <w:rFonts w:hint="eastAsia" w:ascii="宋体" w:hAnsi="宋体"/>
          <w:b/>
          <w:sz w:val="24"/>
          <w:szCs w:val="24"/>
        </w:rPr>
        <w:t>：</w:t>
      </w:r>
      <w:r>
        <w:rPr>
          <w:rFonts w:hint="eastAsia" w:ascii="宋体" w:hAnsi="宋体"/>
          <w:bCs/>
          <w:sz w:val="24"/>
          <w:szCs w:val="24"/>
          <w:lang w:val="zh-CN"/>
        </w:rPr>
        <w:t>投标人法定代表人授权委托书（法定代表人亲自参加的除外）；</w:t>
      </w:r>
    </w:p>
    <w:p w14:paraId="22F57C93">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③</w:t>
      </w:r>
      <w:r>
        <w:rPr>
          <w:rFonts w:hint="eastAsia" w:ascii="宋体" w:hAnsi="宋体" w:cs="宋体"/>
          <w:bCs/>
          <w:sz w:val="24"/>
          <w:szCs w:val="24"/>
        </w:rPr>
        <w:t xml:space="preserve"> </w:t>
      </w:r>
      <w:r>
        <w:rPr>
          <w:rFonts w:hint="eastAsia" w:ascii="宋体" w:hAnsi="宋体"/>
          <w:b/>
          <w:sz w:val="24"/>
          <w:szCs w:val="24"/>
          <w:lang w:val="zh-CN"/>
        </w:rPr>
        <w:t>具有独立承担民事责任的能力：</w:t>
      </w:r>
      <w:r>
        <w:rPr>
          <w:rFonts w:hint="eastAsia" w:ascii="宋体" w:hAnsi="宋体"/>
          <w:bCs/>
          <w:sz w:val="24"/>
          <w:szCs w:val="24"/>
        </w:rPr>
        <w:t>投标人（如投标人是联合体，则为各方）</w:t>
      </w:r>
      <w:r>
        <w:rPr>
          <w:rFonts w:hint="eastAsia" w:ascii="宋体" w:hAnsi="宋体"/>
          <w:bCs/>
          <w:sz w:val="24"/>
          <w:szCs w:val="24"/>
          <w:lang w:val="zh-CN"/>
        </w:rPr>
        <w:t>为法人或其他组织的提供投标人营业执照或法人（登记）证书复印件，投标人为自然人的提供自然人身份证复印件；</w:t>
      </w:r>
    </w:p>
    <w:p w14:paraId="31E14E71">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④</w:t>
      </w:r>
      <w:r>
        <w:rPr>
          <w:rFonts w:hint="eastAsia" w:ascii="宋体" w:hAnsi="宋体" w:cs="宋体"/>
          <w:bCs/>
          <w:sz w:val="24"/>
          <w:szCs w:val="24"/>
        </w:rPr>
        <w:t xml:space="preserve"> </w:t>
      </w:r>
      <w:r>
        <w:rPr>
          <w:rFonts w:hint="eastAsia" w:ascii="宋体" w:hAnsi="宋体"/>
          <w:b/>
          <w:sz w:val="24"/>
          <w:szCs w:val="24"/>
          <w:lang w:val="zh-CN"/>
        </w:rPr>
        <w:t>具有良好的商业信誉和健全的财务会计制度：</w:t>
      </w:r>
      <w:r>
        <w:rPr>
          <w:rFonts w:hint="eastAsia" w:ascii="宋体" w:hAnsi="宋体"/>
          <w:bCs/>
          <w:sz w:val="24"/>
          <w:szCs w:val="24"/>
          <w:lang w:val="zh-CN"/>
        </w:rPr>
        <w:t>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r>
        <w:rPr>
          <w:rFonts w:hint="eastAsia" w:ascii="宋体" w:hAnsi="宋体"/>
          <w:bCs/>
          <w:sz w:val="24"/>
          <w:szCs w:val="24"/>
        </w:rPr>
        <w:t>（如投标人是联合体，则为各方）</w:t>
      </w:r>
    </w:p>
    <w:p w14:paraId="07716070">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⑤</w:t>
      </w:r>
      <w:r>
        <w:rPr>
          <w:rFonts w:hint="eastAsia" w:ascii="宋体" w:hAnsi="宋体" w:cs="宋体"/>
          <w:bCs/>
          <w:sz w:val="24"/>
          <w:szCs w:val="24"/>
        </w:rPr>
        <w:t xml:space="preserve"> </w:t>
      </w:r>
      <w:r>
        <w:rPr>
          <w:rFonts w:hint="eastAsia" w:ascii="宋体" w:hAnsi="宋体"/>
          <w:b/>
          <w:sz w:val="24"/>
          <w:szCs w:val="24"/>
          <w:lang w:val="zh-CN"/>
        </w:rPr>
        <w:t>有依法缴纳税收的良好记录：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依法缴纳近十二个月中任意一个月份税收的相关材料（提供相关主管部门证明或银行代扣证明）复印件；</w:t>
      </w:r>
    </w:p>
    <w:p w14:paraId="26664C61">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⑥</w:t>
      </w:r>
      <w:r>
        <w:rPr>
          <w:rFonts w:hint="eastAsia" w:ascii="宋体" w:hAnsi="宋体" w:cs="宋体"/>
          <w:bCs/>
          <w:sz w:val="24"/>
          <w:szCs w:val="24"/>
        </w:rPr>
        <w:t xml:space="preserve"> </w:t>
      </w:r>
      <w:r>
        <w:rPr>
          <w:rFonts w:hint="eastAsia" w:ascii="宋体" w:hAnsi="宋体"/>
          <w:b/>
          <w:sz w:val="24"/>
          <w:szCs w:val="24"/>
          <w:lang w:val="zh-CN"/>
        </w:rPr>
        <w:t>有依法缴纳社会保障资金的良好记录：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依法缴纳近十二个月中任意一个月份社会保障资金的相关材料（提供相关主管部门证明或银行代扣证明）复印件；</w:t>
      </w:r>
    </w:p>
    <w:p w14:paraId="3D624811">
      <w:pPr>
        <w:tabs>
          <w:tab w:val="left" w:pos="0"/>
          <w:tab w:val="left" w:pos="255"/>
        </w:tabs>
        <w:spacing w:line="360" w:lineRule="auto"/>
        <w:ind w:firstLine="480"/>
        <w:rPr>
          <w:rFonts w:ascii="宋体" w:hAnsi="宋体"/>
          <w:b/>
          <w:sz w:val="24"/>
          <w:szCs w:val="24"/>
          <w:lang w:val="zh-CN"/>
        </w:rPr>
      </w:pPr>
      <w:r>
        <w:rPr>
          <w:rFonts w:hint="eastAsia" w:ascii="宋体" w:hAnsi="宋体" w:cs="宋体"/>
          <w:bCs/>
          <w:sz w:val="24"/>
          <w:szCs w:val="24"/>
        </w:rPr>
        <w:t>⑦</w:t>
      </w:r>
      <w:r>
        <w:rPr>
          <w:rFonts w:hint="eastAsia" w:ascii="宋体" w:hAnsi="宋体" w:cs="宋体"/>
          <w:b/>
          <w:sz w:val="24"/>
          <w:szCs w:val="24"/>
        </w:rPr>
        <w:t xml:space="preserve"> </w:t>
      </w:r>
      <w:r>
        <w:rPr>
          <w:rFonts w:hint="eastAsia" w:ascii="宋体" w:hAnsi="宋体"/>
          <w:b/>
          <w:sz w:val="24"/>
          <w:szCs w:val="24"/>
        </w:rPr>
        <w:t>无不良信用记录：</w:t>
      </w:r>
      <w:r>
        <w:rPr>
          <w:rFonts w:hint="eastAsia" w:ascii="宋体" w:hAnsi="宋体"/>
          <w:bCs/>
          <w:sz w:val="24"/>
          <w:szCs w:val="24"/>
        </w:rPr>
        <w:t>未被“</w:t>
      </w:r>
      <w:r>
        <w:rPr>
          <w:rFonts w:hint="eastAsia" w:ascii="宋体" w:hAnsi="宋体"/>
          <w:bCs/>
          <w:sz w:val="24"/>
          <w:szCs w:val="24"/>
          <w:lang w:val="zh-CN"/>
        </w:rPr>
        <w:t>信用中国</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（www.creditchina.gov.cn）</w:t>
      </w:r>
      <w:r>
        <w:rPr>
          <w:rFonts w:hint="eastAsia" w:ascii="宋体" w:hAnsi="宋体"/>
          <w:bCs/>
          <w:sz w:val="24"/>
          <w:szCs w:val="24"/>
          <w:lang w:val="zh-CN"/>
        </w:rPr>
        <w:t>列入失信</w:t>
      </w:r>
      <w:r>
        <w:rPr>
          <w:rFonts w:hint="eastAsia" w:ascii="宋体" w:hAnsi="宋体"/>
          <w:bCs/>
          <w:sz w:val="24"/>
          <w:szCs w:val="24"/>
          <w:lang w:val="en-US" w:eastAsia="zh-CN"/>
        </w:rPr>
        <w:t>被</w:t>
      </w:r>
      <w:r>
        <w:rPr>
          <w:rFonts w:hint="eastAsia" w:ascii="宋体" w:hAnsi="宋体"/>
          <w:bCs/>
          <w:sz w:val="24"/>
          <w:szCs w:val="24"/>
          <w:lang w:val="zh-CN"/>
        </w:rPr>
        <w:t>执行人、重大税收违法案件当事人名单、政府采购严重违法失信名单</w:t>
      </w:r>
      <w:r>
        <w:rPr>
          <w:rFonts w:hint="eastAsia" w:ascii="宋体" w:hAnsi="宋体"/>
          <w:bCs/>
          <w:sz w:val="24"/>
          <w:szCs w:val="24"/>
        </w:rPr>
        <w:t>，</w:t>
      </w:r>
      <w:r>
        <w:rPr>
          <w:rFonts w:hint="eastAsia" w:ascii="宋体" w:hAnsi="宋体"/>
          <w:bCs/>
          <w:sz w:val="24"/>
          <w:szCs w:val="24"/>
          <w:lang w:val="zh-CN"/>
        </w:rPr>
        <w:t>或未在</w:t>
      </w:r>
      <w:r>
        <w:rPr>
          <w:rFonts w:hint="eastAsia" w:ascii="宋体" w:hAnsi="宋体"/>
          <w:bCs/>
          <w:sz w:val="24"/>
          <w:szCs w:val="24"/>
        </w:rPr>
        <w:t>“</w:t>
      </w:r>
      <w:r>
        <w:rPr>
          <w:rFonts w:hint="eastAsia" w:ascii="宋体" w:hAnsi="宋体"/>
          <w:bCs/>
          <w:sz w:val="24"/>
          <w:szCs w:val="24"/>
          <w:lang w:val="zh-CN"/>
        </w:rPr>
        <w:t>中国政府采购网</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（www.ccgp.gov.cn）</w:t>
      </w:r>
      <w:r>
        <w:rPr>
          <w:rFonts w:hint="eastAsia" w:ascii="宋体" w:hAnsi="宋体"/>
          <w:bCs/>
          <w:sz w:val="24"/>
          <w:szCs w:val="24"/>
          <w:lang w:val="zh-CN"/>
        </w:rPr>
        <w:t>被列入政府采购严重违法失信行为记录名单；</w:t>
      </w:r>
      <w:r>
        <w:rPr>
          <w:rFonts w:hint="eastAsia" w:ascii="宋体" w:hAnsi="宋体"/>
          <w:bCs/>
          <w:sz w:val="24"/>
          <w:szCs w:val="24"/>
        </w:rPr>
        <w:t>（如投标人是联合体，则为各方）</w:t>
      </w:r>
      <w:r>
        <w:rPr>
          <w:rFonts w:hint="eastAsia" w:ascii="宋体" w:hAnsi="宋体"/>
          <w:b/>
          <w:sz w:val="24"/>
          <w:szCs w:val="24"/>
          <w:lang w:val="zh-CN"/>
        </w:rPr>
        <w:t>（</w:t>
      </w:r>
      <w:r>
        <w:rPr>
          <w:rFonts w:ascii="宋体" w:hAnsi="宋体"/>
          <w:b/>
          <w:sz w:val="24"/>
          <w:szCs w:val="24"/>
        </w:rPr>
        <w:t>若投标人企业信息已录入以上网站的，</w:t>
      </w:r>
      <w:r>
        <w:rPr>
          <w:rFonts w:hint="eastAsia" w:ascii="宋体" w:hAnsi="宋体"/>
          <w:b/>
          <w:sz w:val="24"/>
          <w:szCs w:val="24"/>
          <w:lang w:val="zh-CN"/>
        </w:rPr>
        <w:t>无需提供相关证明材料</w:t>
      </w:r>
      <w:r>
        <w:rPr>
          <w:rFonts w:ascii="宋体" w:hAnsi="宋体"/>
          <w:b/>
          <w:sz w:val="24"/>
          <w:szCs w:val="24"/>
        </w:rPr>
        <w:t>；</w:t>
      </w:r>
      <w:r>
        <w:rPr>
          <w:rFonts w:hint="eastAsia" w:ascii="宋体" w:hAnsi="宋体"/>
          <w:b/>
          <w:sz w:val="24"/>
          <w:szCs w:val="24"/>
        </w:rPr>
        <w:t>若投标人企业信息</w:t>
      </w:r>
      <w:r>
        <w:rPr>
          <w:rFonts w:ascii="宋体" w:hAnsi="宋体"/>
          <w:b/>
          <w:sz w:val="24"/>
          <w:szCs w:val="24"/>
        </w:rPr>
        <w:t>未</w:t>
      </w:r>
      <w:r>
        <w:rPr>
          <w:rFonts w:hint="eastAsia" w:ascii="宋体" w:hAnsi="宋体"/>
          <w:b/>
          <w:sz w:val="24"/>
          <w:szCs w:val="24"/>
        </w:rPr>
        <w:t>录入以上网站的，须在投标文件中提供</w:t>
      </w:r>
      <w:r>
        <w:rPr>
          <w:rFonts w:ascii="宋体" w:hAnsi="宋体"/>
          <w:b/>
          <w:sz w:val="24"/>
          <w:szCs w:val="24"/>
        </w:rPr>
        <w:t>无不良信用记录</w:t>
      </w:r>
      <w:r>
        <w:rPr>
          <w:rFonts w:hint="eastAsia" w:ascii="宋体" w:hAnsi="宋体"/>
          <w:b/>
          <w:sz w:val="24"/>
          <w:szCs w:val="24"/>
        </w:rPr>
        <w:t>承诺</w:t>
      </w:r>
      <w:r>
        <w:rPr>
          <w:rFonts w:ascii="宋体" w:hAnsi="宋体"/>
          <w:b/>
          <w:sz w:val="24"/>
          <w:szCs w:val="24"/>
        </w:rPr>
        <w:t>书</w:t>
      </w:r>
      <w:r>
        <w:rPr>
          <w:rFonts w:hint="eastAsia" w:ascii="宋体" w:hAnsi="宋体"/>
          <w:b/>
          <w:sz w:val="24"/>
          <w:szCs w:val="24"/>
          <w:lang w:val="zh-CN"/>
        </w:rPr>
        <w:t>）。接受联合体的项目，两个自然人、法人或者其他组织组成一个联合体，以一个供应商的身份共同参加政府采购活动的,联合体成员中任何一方存在不良信用记录的，视同联合体存在不良应用记录。</w:t>
      </w:r>
    </w:p>
    <w:p w14:paraId="7D178E02">
      <w:pPr>
        <w:tabs>
          <w:tab w:val="left" w:pos="0"/>
          <w:tab w:val="left" w:pos="255"/>
        </w:tabs>
        <w:spacing w:line="360" w:lineRule="auto"/>
        <w:ind w:left="420"/>
        <w:rPr>
          <w:rFonts w:ascii="宋体" w:hAnsi="宋体"/>
          <w:sz w:val="24"/>
          <w:szCs w:val="24"/>
        </w:rPr>
      </w:pPr>
      <w:bookmarkStart w:id="15" w:name="OLE_LINK114"/>
      <w:r>
        <w:rPr>
          <w:rFonts w:hint="eastAsia" w:ascii="宋体" w:hAnsi="宋体"/>
          <w:sz w:val="24"/>
          <w:szCs w:val="24"/>
        </w:rPr>
        <w:t>注：以上“近十二个月”是指投标截止日之前近十二个月（不含投标当月）。</w:t>
      </w:r>
      <w:bookmarkEnd w:id="15"/>
    </w:p>
    <w:p w14:paraId="00538102">
      <w:pPr>
        <w:tabs>
          <w:tab w:val="left" w:pos="0"/>
          <w:tab w:val="left" w:pos="255"/>
        </w:tabs>
        <w:spacing w:line="360" w:lineRule="auto"/>
        <w:ind w:left="420"/>
        <w:rPr>
          <w:rFonts w:ascii="宋体" w:hAnsi="宋体"/>
          <w:sz w:val="24"/>
          <w:szCs w:val="24"/>
        </w:rPr>
      </w:pPr>
      <w:r>
        <w:rPr>
          <w:rFonts w:hint="eastAsia" w:ascii="宋体" w:hAnsi="宋体" w:cs="宋体"/>
          <w:bCs/>
          <w:sz w:val="24"/>
          <w:szCs w:val="24"/>
        </w:rPr>
        <w:t xml:space="preserve">⑧ </w:t>
      </w:r>
      <w:r>
        <w:rPr>
          <w:rFonts w:hint="eastAsia" w:ascii="宋体" w:hAnsi="宋体" w:cs="宋体"/>
          <w:b/>
          <w:sz w:val="24"/>
          <w:szCs w:val="24"/>
        </w:rPr>
        <w:t>采购人特殊要求：</w:t>
      </w:r>
      <w:r>
        <w:rPr>
          <w:rFonts w:hint="eastAsia" w:ascii="宋体" w:hAnsi="宋体"/>
          <w:sz w:val="24"/>
          <w:szCs w:val="24"/>
        </w:rPr>
        <w:t>1、投标人应当具备下列（1）项资质之一和（2）项资质</w:t>
      </w:r>
    </w:p>
    <w:p w14:paraId="10B136E1">
      <w:pPr>
        <w:tabs>
          <w:tab w:val="left" w:pos="0"/>
          <w:tab w:val="left" w:pos="255"/>
        </w:tabs>
        <w:spacing w:line="360" w:lineRule="auto"/>
        <w:ind w:left="420"/>
        <w:rPr>
          <w:rFonts w:ascii="宋体" w:hAnsi="宋体"/>
          <w:sz w:val="24"/>
          <w:szCs w:val="24"/>
        </w:rPr>
      </w:pPr>
      <w:r>
        <w:rPr>
          <w:rFonts w:ascii="宋体" w:hAnsi="宋体"/>
          <w:sz w:val="24"/>
          <w:szCs w:val="24"/>
        </w:rPr>
        <w:t>（1）设计资质要求</w:t>
      </w:r>
    </w:p>
    <w:p w14:paraId="762BB78A">
      <w:pPr>
        <w:tabs>
          <w:tab w:val="left" w:pos="0"/>
          <w:tab w:val="left" w:pos="255"/>
        </w:tabs>
        <w:spacing w:line="360" w:lineRule="auto"/>
        <w:ind w:left="420"/>
        <w:rPr>
          <w:rFonts w:ascii="宋体" w:hAnsi="宋体"/>
          <w:sz w:val="24"/>
          <w:szCs w:val="24"/>
        </w:rPr>
      </w:pPr>
      <w:r>
        <w:rPr>
          <w:rFonts w:ascii="宋体" w:hAnsi="宋体"/>
          <w:sz w:val="24"/>
          <w:szCs w:val="24"/>
        </w:rPr>
        <w:t>具有工程设计综合甲级资质或工程设计建筑行业乙级及以上资质或工程设计建筑行业（建筑工程）乙级及以上资质</w:t>
      </w:r>
      <w:r>
        <w:rPr>
          <w:rFonts w:hint="eastAsia" w:ascii="宋体" w:hAnsi="宋体"/>
          <w:sz w:val="24"/>
          <w:szCs w:val="24"/>
        </w:rPr>
        <w:t>或</w:t>
      </w:r>
      <w:r>
        <w:rPr>
          <w:rFonts w:ascii="宋体" w:hAnsi="宋体"/>
          <w:sz w:val="24"/>
          <w:szCs w:val="24"/>
        </w:rPr>
        <w:t>建筑装饰工程设计专项乙级资质及以上资质</w:t>
      </w:r>
      <w:r>
        <w:rPr>
          <w:rFonts w:hint="eastAsia" w:ascii="宋体" w:hAnsi="宋体"/>
          <w:sz w:val="24"/>
          <w:szCs w:val="24"/>
        </w:rPr>
        <w:t>。</w:t>
      </w:r>
    </w:p>
    <w:p w14:paraId="0F4E2652">
      <w:pPr>
        <w:tabs>
          <w:tab w:val="left" w:pos="0"/>
          <w:tab w:val="left" w:pos="255"/>
        </w:tabs>
        <w:spacing w:line="360" w:lineRule="auto"/>
        <w:ind w:left="420"/>
        <w:rPr>
          <w:rFonts w:ascii="宋体" w:hAnsi="宋体"/>
          <w:sz w:val="24"/>
          <w:szCs w:val="24"/>
        </w:rPr>
      </w:pPr>
      <w:r>
        <w:rPr>
          <w:rFonts w:ascii="宋体" w:hAnsi="宋体"/>
          <w:sz w:val="24"/>
          <w:szCs w:val="24"/>
        </w:rPr>
        <w:t>（2）施工资质要求</w:t>
      </w:r>
    </w:p>
    <w:p w14:paraId="3361A75B">
      <w:pPr>
        <w:tabs>
          <w:tab w:val="left" w:pos="0"/>
          <w:tab w:val="left" w:pos="255"/>
        </w:tabs>
        <w:spacing w:line="360" w:lineRule="auto"/>
        <w:ind w:left="420"/>
        <w:rPr>
          <w:rFonts w:ascii="宋体" w:hAnsi="宋体"/>
          <w:sz w:val="24"/>
          <w:szCs w:val="24"/>
        </w:rPr>
      </w:pPr>
      <w:r>
        <w:rPr>
          <w:rFonts w:ascii="宋体" w:hAnsi="宋体"/>
          <w:sz w:val="24"/>
          <w:szCs w:val="24"/>
        </w:rPr>
        <w:t>建筑装修装饰工程专业承包贰级及以上资质</w:t>
      </w:r>
      <w:r>
        <w:rPr>
          <w:rFonts w:hint="eastAsia" w:ascii="宋体" w:hAnsi="宋体"/>
          <w:sz w:val="24"/>
          <w:szCs w:val="24"/>
        </w:rPr>
        <w:t>，取得安全生产许可证（指全国一体化政务服务平台标准电子证照，相关规定不作要求的除外）并在人员、设备、资金等方面具有相应的施工能力。</w:t>
      </w:r>
    </w:p>
    <w:p w14:paraId="6B74BC6C">
      <w:pPr>
        <w:tabs>
          <w:tab w:val="left" w:pos="0"/>
          <w:tab w:val="left" w:pos="255"/>
        </w:tabs>
        <w:spacing w:line="360" w:lineRule="auto"/>
        <w:ind w:left="420"/>
        <w:rPr>
          <w:rFonts w:ascii="宋体" w:hAnsi="宋体"/>
          <w:sz w:val="24"/>
          <w:szCs w:val="24"/>
        </w:rPr>
      </w:pPr>
      <w:r>
        <w:rPr>
          <w:rFonts w:hint="eastAsia" w:ascii="宋体" w:hAnsi="宋体"/>
          <w:sz w:val="24"/>
          <w:szCs w:val="24"/>
        </w:rPr>
        <w:t>2、设计负责人要求</w:t>
      </w:r>
    </w:p>
    <w:p w14:paraId="41BCCBE8">
      <w:pPr>
        <w:tabs>
          <w:tab w:val="left" w:pos="0"/>
          <w:tab w:val="left" w:pos="255"/>
        </w:tabs>
        <w:spacing w:line="360" w:lineRule="auto"/>
        <w:ind w:left="420"/>
        <w:rPr>
          <w:rFonts w:ascii="宋体" w:hAnsi="宋体"/>
          <w:sz w:val="24"/>
          <w:szCs w:val="24"/>
        </w:rPr>
      </w:pPr>
      <w:r>
        <w:rPr>
          <w:rFonts w:hint="eastAsia" w:ascii="宋体" w:hAnsi="宋体"/>
          <w:sz w:val="24"/>
          <w:szCs w:val="24"/>
        </w:rPr>
        <w:t>（1）若以建筑装饰工程设计专项乙级及以上资质投标的，设计负责人需具备建筑工程相关专业工程师及以上职称或二级及以上注册建筑师资格；</w:t>
      </w:r>
    </w:p>
    <w:p w14:paraId="4C7E824C">
      <w:pPr>
        <w:tabs>
          <w:tab w:val="left" w:pos="0"/>
          <w:tab w:val="left" w:pos="255"/>
        </w:tabs>
        <w:spacing w:line="360" w:lineRule="auto"/>
        <w:ind w:left="420"/>
        <w:rPr>
          <w:rFonts w:ascii="宋体" w:hAnsi="宋体"/>
          <w:sz w:val="24"/>
          <w:szCs w:val="24"/>
        </w:rPr>
      </w:pPr>
      <w:r>
        <w:rPr>
          <w:rFonts w:hint="eastAsia" w:ascii="宋体" w:hAnsi="宋体"/>
          <w:sz w:val="24"/>
          <w:szCs w:val="24"/>
        </w:rPr>
        <w:t>（2）若以工程设计综合甲级资质、工程设计建筑行业（建筑工程）乙级及以上资质或工程设计建筑行业乙级及以上资质之一投标的，设计负责人需提供二级及以上注册建筑师资格。</w:t>
      </w:r>
    </w:p>
    <w:p w14:paraId="022ECC6D">
      <w:pPr>
        <w:tabs>
          <w:tab w:val="left" w:pos="0"/>
          <w:tab w:val="left" w:pos="255"/>
        </w:tabs>
        <w:spacing w:line="360" w:lineRule="auto"/>
        <w:ind w:left="420"/>
        <w:rPr>
          <w:rFonts w:ascii="宋体" w:hAnsi="宋体"/>
          <w:sz w:val="24"/>
          <w:szCs w:val="24"/>
        </w:rPr>
      </w:pPr>
      <w:r>
        <w:rPr>
          <w:rFonts w:hint="eastAsia" w:ascii="宋体" w:hAnsi="宋体"/>
          <w:sz w:val="24"/>
          <w:szCs w:val="24"/>
        </w:rPr>
        <w:t>3、项目负责人要求</w:t>
      </w:r>
    </w:p>
    <w:p w14:paraId="46FA37E3">
      <w:pPr>
        <w:tabs>
          <w:tab w:val="left" w:pos="0"/>
          <w:tab w:val="left" w:pos="255"/>
        </w:tabs>
        <w:spacing w:line="360" w:lineRule="auto"/>
        <w:ind w:left="420"/>
        <w:rPr>
          <w:rFonts w:ascii="宋体" w:hAnsi="宋体"/>
          <w:sz w:val="24"/>
          <w:szCs w:val="24"/>
        </w:rPr>
      </w:pPr>
      <w:r>
        <w:rPr>
          <w:rFonts w:hint="eastAsia" w:ascii="宋体" w:hAnsi="宋体"/>
          <w:sz w:val="24"/>
          <w:szCs w:val="24"/>
        </w:rPr>
        <w:t>建筑工程专业二级及以上注册建造师执业资格，具备有效的安全生产考核合格证书，并提供投标截止日期前6个月（2024年11月-2025年4月）本单位为其办理的任意一个月社保缴费清单。</w:t>
      </w:r>
    </w:p>
    <w:p w14:paraId="3DDC78CA">
      <w:pPr>
        <w:tabs>
          <w:tab w:val="left" w:pos="0"/>
          <w:tab w:val="left" w:pos="255"/>
        </w:tabs>
        <w:spacing w:line="360" w:lineRule="auto"/>
        <w:ind w:left="420"/>
        <w:rPr>
          <w:rFonts w:ascii="宋体" w:hAnsi="宋体"/>
          <w:sz w:val="24"/>
          <w:szCs w:val="24"/>
        </w:rPr>
      </w:pPr>
      <w:r>
        <w:rPr>
          <w:rFonts w:hint="eastAsia" w:ascii="宋体" w:hAnsi="宋体"/>
          <w:sz w:val="24"/>
          <w:szCs w:val="24"/>
        </w:rPr>
        <w:t>4、设计负责人与项目负责人不可为同一人。</w:t>
      </w:r>
    </w:p>
    <w:p w14:paraId="682466FC">
      <w:pPr>
        <w:tabs>
          <w:tab w:val="left" w:pos="0"/>
          <w:tab w:val="left" w:pos="255"/>
        </w:tabs>
        <w:spacing w:line="360" w:lineRule="auto"/>
        <w:ind w:left="420"/>
        <w:rPr>
          <w:rFonts w:ascii="宋体" w:hAnsi="宋体"/>
          <w:sz w:val="24"/>
          <w:szCs w:val="24"/>
        </w:rPr>
      </w:pPr>
      <w:r>
        <w:rPr>
          <w:rFonts w:hint="eastAsia" w:ascii="宋体" w:hAnsi="宋体"/>
          <w:sz w:val="24"/>
          <w:szCs w:val="24"/>
        </w:rPr>
        <w:t>4.1拟派项目负责人不得同时在两个或者两个以上单位受聘或者执业。</w:t>
      </w:r>
    </w:p>
    <w:p w14:paraId="7FB41B0D">
      <w:pPr>
        <w:tabs>
          <w:tab w:val="left" w:pos="0"/>
          <w:tab w:val="left" w:pos="255"/>
        </w:tabs>
        <w:spacing w:line="360" w:lineRule="auto"/>
        <w:ind w:left="420"/>
        <w:rPr>
          <w:rFonts w:ascii="宋体" w:hAnsi="宋体"/>
          <w:sz w:val="24"/>
          <w:szCs w:val="24"/>
        </w:rPr>
      </w:pPr>
      <w:r>
        <w:rPr>
          <w:rFonts w:hint="eastAsia" w:ascii="宋体" w:hAnsi="宋体"/>
          <w:sz w:val="24"/>
          <w:szCs w:val="24"/>
        </w:rPr>
        <w:t>4.2拟派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19915ACF">
      <w:pPr>
        <w:tabs>
          <w:tab w:val="left" w:pos="0"/>
          <w:tab w:val="left" w:pos="255"/>
        </w:tabs>
        <w:spacing w:line="360" w:lineRule="auto"/>
        <w:ind w:left="420"/>
        <w:rPr>
          <w:rFonts w:ascii="宋体" w:hAnsi="宋体"/>
          <w:sz w:val="24"/>
          <w:szCs w:val="24"/>
        </w:rPr>
      </w:pPr>
      <w:r>
        <w:rPr>
          <w:rFonts w:hint="eastAsia" w:ascii="宋体" w:hAnsi="宋体"/>
          <w:sz w:val="24"/>
          <w:szCs w:val="24"/>
        </w:rPr>
        <w:t>4.3拟派项目负责人无行贿犯罪行为记录；或有行贿犯罪行为记录，但自记录之日起已超过5年的。</w:t>
      </w:r>
    </w:p>
    <w:p w14:paraId="2AB9A1E8">
      <w:pPr>
        <w:tabs>
          <w:tab w:val="left" w:pos="0"/>
          <w:tab w:val="left" w:pos="255"/>
        </w:tabs>
        <w:spacing w:line="360" w:lineRule="auto"/>
        <w:ind w:left="420"/>
        <w:rPr>
          <w:rFonts w:ascii="宋体" w:hAnsi="宋体" w:cs="宋体"/>
          <w:bCs/>
          <w:sz w:val="24"/>
          <w:szCs w:val="24"/>
          <w:highlight w:val="yellow"/>
        </w:rPr>
      </w:pPr>
      <w:r>
        <w:rPr>
          <w:rFonts w:hint="eastAsia" w:ascii="宋体" w:hAnsi="宋体"/>
          <w:sz w:val="24"/>
          <w:szCs w:val="24"/>
        </w:rPr>
        <w:t>4.4项目负责人为本单位正式职工，如有人员已调出仍用于本工程的，视为弄虚作假并查处；本项目不接受退休续聘的项目负责人投标。</w:t>
      </w:r>
    </w:p>
    <w:p w14:paraId="2EBC0EA3">
      <w:pPr>
        <w:numPr>
          <w:ilvl w:val="0"/>
          <w:numId w:val="8"/>
        </w:numPr>
        <w:tabs>
          <w:tab w:val="left" w:pos="255"/>
        </w:tabs>
        <w:spacing w:line="360" w:lineRule="auto"/>
        <w:rPr>
          <w:rFonts w:ascii="宋体" w:hAnsi="宋体"/>
          <w:sz w:val="24"/>
          <w:szCs w:val="24"/>
        </w:rPr>
      </w:pPr>
      <w:bookmarkStart w:id="16" w:name="OLE_LINK7"/>
      <w:r>
        <w:rPr>
          <w:rFonts w:hint="eastAsia" w:ascii="宋体" w:hAnsi="宋体"/>
          <w:sz w:val="24"/>
          <w:szCs w:val="21"/>
          <w:lang w:val="zh-CN"/>
        </w:rPr>
        <w:t>技术参数及相关要求偏离表</w:t>
      </w:r>
      <w:bookmarkEnd w:id="13"/>
      <w:bookmarkEnd w:id="16"/>
    </w:p>
    <w:p w14:paraId="137E4ACF">
      <w:pPr>
        <w:spacing w:line="360" w:lineRule="auto"/>
        <w:ind w:firstLine="480"/>
        <w:rPr>
          <w:rFonts w:ascii="宋体"/>
          <w:bCs/>
          <w:sz w:val="24"/>
          <w:szCs w:val="24"/>
        </w:rPr>
      </w:pPr>
      <w:r>
        <w:rPr>
          <w:rFonts w:hint="eastAsia" w:ascii="宋体"/>
          <w:sz w:val="24"/>
          <w:szCs w:val="21"/>
          <w:lang w:val="zh-CN"/>
        </w:rPr>
        <w:t>（</w:t>
      </w:r>
      <w:r>
        <w:rPr>
          <w:rFonts w:hint="eastAsia" w:ascii="宋体"/>
          <w:sz w:val="24"/>
          <w:szCs w:val="21"/>
        </w:rPr>
        <w:t>5</w:t>
      </w:r>
      <w:r>
        <w:rPr>
          <w:rFonts w:hint="eastAsia" w:ascii="宋体"/>
          <w:sz w:val="24"/>
          <w:szCs w:val="21"/>
          <w:lang w:val="zh-CN"/>
        </w:rPr>
        <w:t>）</w:t>
      </w:r>
      <w:r>
        <w:rPr>
          <w:rFonts w:hint="eastAsia" w:ascii="宋体"/>
          <w:sz w:val="24"/>
          <w:szCs w:val="21"/>
        </w:rPr>
        <w:t>招标</w:t>
      </w:r>
      <w:r>
        <w:rPr>
          <w:rFonts w:hint="eastAsia" w:ascii="宋体"/>
          <w:sz w:val="24"/>
          <w:szCs w:val="21"/>
          <w:lang w:val="zh-CN"/>
        </w:rPr>
        <w:t>文件</w:t>
      </w:r>
      <w:r>
        <w:rPr>
          <w:rFonts w:hint="eastAsia" w:ascii="宋体"/>
          <w:bCs/>
          <w:sz w:val="24"/>
          <w:szCs w:val="24"/>
        </w:rPr>
        <w:t>第四章“项目技术要求和有关说明”中要求提供的相关证明材料（</w:t>
      </w:r>
      <w:r>
        <w:rPr>
          <w:rFonts w:hint="eastAsia" w:ascii="宋体"/>
          <w:sz w:val="24"/>
          <w:szCs w:val="21"/>
          <w:lang w:val="zh-CN"/>
        </w:rPr>
        <w:t>如有自拟并自行添加</w:t>
      </w:r>
      <w:r>
        <w:rPr>
          <w:rFonts w:hint="eastAsia" w:ascii="宋体"/>
          <w:bCs/>
          <w:sz w:val="24"/>
          <w:szCs w:val="24"/>
        </w:rPr>
        <w:t>）</w:t>
      </w:r>
    </w:p>
    <w:p w14:paraId="21771B32">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6</w:t>
      </w:r>
      <w:r>
        <w:rPr>
          <w:rFonts w:hint="eastAsia" w:ascii="宋体"/>
          <w:sz w:val="24"/>
          <w:szCs w:val="21"/>
          <w:lang w:val="zh-CN"/>
        </w:rPr>
        <w:t>）投标人企业概况（</w:t>
      </w:r>
      <w:r>
        <w:rPr>
          <w:rFonts w:hint="eastAsia" w:ascii="宋体"/>
          <w:bCs/>
          <w:sz w:val="24"/>
          <w:szCs w:val="24"/>
        </w:rPr>
        <w:t>投标人为自然人的不需填写</w:t>
      </w:r>
      <w:r>
        <w:rPr>
          <w:rFonts w:hint="eastAsia" w:ascii="宋体"/>
          <w:sz w:val="24"/>
          <w:szCs w:val="21"/>
          <w:lang w:val="zh-CN"/>
        </w:rPr>
        <w:t>）</w:t>
      </w:r>
    </w:p>
    <w:p w14:paraId="44592BC1">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7</w:t>
      </w:r>
      <w:r>
        <w:rPr>
          <w:rFonts w:hint="eastAsia" w:ascii="宋体"/>
          <w:sz w:val="24"/>
          <w:szCs w:val="21"/>
          <w:lang w:val="zh-CN"/>
        </w:rPr>
        <w:t>）项目人员配置清单</w:t>
      </w:r>
    </w:p>
    <w:p w14:paraId="3707078D">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8</w:t>
      </w:r>
      <w:r>
        <w:rPr>
          <w:rFonts w:hint="eastAsia" w:ascii="宋体"/>
          <w:sz w:val="24"/>
          <w:szCs w:val="21"/>
          <w:lang w:val="zh-CN"/>
        </w:rPr>
        <w:t>）服务内容的详细说明及服务方案（自拟并自行添加）</w:t>
      </w:r>
    </w:p>
    <w:p w14:paraId="53039615">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9</w:t>
      </w:r>
      <w:r>
        <w:rPr>
          <w:rFonts w:hint="eastAsia" w:ascii="宋体"/>
          <w:sz w:val="24"/>
          <w:szCs w:val="21"/>
          <w:lang w:val="zh-CN"/>
        </w:rPr>
        <w:t>）技术</w:t>
      </w:r>
      <w:r>
        <w:rPr>
          <w:rFonts w:hint="eastAsia" w:ascii="宋体"/>
          <w:bCs/>
          <w:sz w:val="24"/>
          <w:szCs w:val="24"/>
        </w:rPr>
        <w:t>商务部分评分导读表，附招标文件</w:t>
      </w:r>
      <w:r>
        <w:rPr>
          <w:rFonts w:hint="eastAsia" w:ascii="宋体"/>
          <w:sz w:val="24"/>
          <w:szCs w:val="21"/>
        </w:rPr>
        <w:t>“</w:t>
      </w:r>
      <w:r>
        <w:rPr>
          <w:rFonts w:hint="eastAsia" w:ascii="宋体"/>
          <w:bCs/>
          <w:sz w:val="24"/>
          <w:szCs w:val="24"/>
        </w:rPr>
        <w:t xml:space="preserve">第三章 </w:t>
      </w:r>
      <w:r>
        <w:rPr>
          <w:rFonts w:hint="eastAsia" w:ascii="宋体"/>
          <w:sz w:val="24"/>
          <w:szCs w:val="21"/>
        </w:rPr>
        <w:t>评审方法和标准”中要求提供的相关文件、证明材料等</w:t>
      </w:r>
    </w:p>
    <w:p w14:paraId="65B52928">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10</w:t>
      </w:r>
      <w:r>
        <w:rPr>
          <w:rFonts w:hint="eastAsia" w:ascii="宋体"/>
          <w:sz w:val="24"/>
          <w:szCs w:val="21"/>
          <w:lang w:val="zh-CN"/>
        </w:rPr>
        <w:t>）要求采购人提供的配合（如有自拟并自行添加）</w:t>
      </w:r>
    </w:p>
    <w:p w14:paraId="66498050">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11</w:t>
      </w:r>
      <w:r>
        <w:rPr>
          <w:rFonts w:hint="eastAsia" w:ascii="宋体"/>
          <w:sz w:val="24"/>
          <w:szCs w:val="21"/>
          <w:lang w:val="zh-CN"/>
        </w:rPr>
        <w:t>）其他（投标人认为有必要提供的声明和文件，如有自拟并自行添加）</w:t>
      </w:r>
    </w:p>
    <w:p w14:paraId="2AF45866">
      <w:pPr>
        <w:spacing w:line="360" w:lineRule="auto"/>
        <w:ind w:firstLine="482"/>
        <w:rPr>
          <w:rFonts w:ascii="宋体" w:hAnsi="宋体"/>
          <w:bCs/>
          <w:sz w:val="24"/>
          <w:szCs w:val="24"/>
          <w:lang w:val="zh-CN"/>
        </w:rPr>
      </w:pPr>
      <w:r>
        <w:rPr>
          <w:rFonts w:hint="eastAsia" w:ascii="宋体" w:hAnsi="宋体"/>
          <w:b/>
          <w:sz w:val="24"/>
          <w:szCs w:val="24"/>
        </w:rPr>
        <w:t>上述（1）-（</w:t>
      </w:r>
      <w:r>
        <w:rPr>
          <w:rFonts w:hint="eastAsia" w:ascii="仿宋" w:hAnsi="仿宋" w:eastAsia="仿宋"/>
          <w:b/>
          <w:sz w:val="24"/>
          <w:szCs w:val="24"/>
        </w:rPr>
        <w:t>9</w:t>
      </w:r>
      <w:r>
        <w:rPr>
          <w:rFonts w:hint="eastAsia" w:ascii="宋体" w:hAnsi="宋体"/>
          <w:b/>
          <w:sz w:val="24"/>
          <w:szCs w:val="24"/>
        </w:rPr>
        <w:t>）项投标人必须按要求全部提供，否则投标无效。若要求提交原件的，投标人应在</w:t>
      </w:r>
      <w:r>
        <w:rPr>
          <w:rFonts w:hint="eastAsia" w:ascii="宋体" w:hAnsi="宋体"/>
          <w:b/>
          <w:sz w:val="24"/>
          <w:szCs w:val="24"/>
          <w:lang w:val="zh-CN"/>
        </w:rPr>
        <w:t>投标截止时间</w:t>
      </w:r>
      <w:r>
        <w:rPr>
          <w:rFonts w:hint="eastAsia" w:ascii="宋体" w:hAnsi="宋体"/>
          <w:b/>
          <w:sz w:val="24"/>
          <w:szCs w:val="24"/>
        </w:rPr>
        <w:t>之前将相关原件与投标文件一并提交。</w:t>
      </w:r>
      <w:r>
        <w:rPr>
          <w:rFonts w:hint="eastAsia" w:ascii="宋体" w:hAnsi="宋体"/>
          <w:bCs/>
          <w:sz w:val="24"/>
          <w:szCs w:val="24"/>
        </w:rPr>
        <w:t>如上述证明文件遇年检、换证，则必须提供法定年检、换证单位出具的有效证明复印件，原件一并提交。如上述“（3）资格证明文件”第</w:t>
      </w:r>
      <w:r>
        <w:rPr>
          <w:rFonts w:hint="eastAsia" w:ascii="宋体" w:hAnsi="宋体"/>
          <w:bCs/>
          <w:sz w:val="24"/>
          <w:szCs w:val="24"/>
          <w:lang w:val="en-US" w:eastAsia="zh-CN"/>
        </w:rPr>
        <w:t>⑤</w:t>
      </w:r>
      <w:r>
        <w:rPr>
          <w:rFonts w:hint="eastAsia" w:ascii="宋体" w:hAnsi="宋体"/>
          <w:bCs/>
          <w:sz w:val="24"/>
          <w:szCs w:val="24"/>
        </w:rPr>
        <w:t>、</w:t>
      </w:r>
      <w:r>
        <w:rPr>
          <w:rFonts w:hint="eastAsia" w:ascii="宋体" w:hAnsi="宋体"/>
          <w:bCs/>
          <w:sz w:val="24"/>
          <w:szCs w:val="24"/>
          <w:lang w:val="en-US" w:eastAsia="zh-CN"/>
        </w:rPr>
        <w:t>⑥</w:t>
      </w:r>
      <w:r>
        <w:rPr>
          <w:rFonts w:hint="eastAsia" w:ascii="宋体" w:hAnsi="宋体"/>
          <w:bCs/>
          <w:sz w:val="24"/>
          <w:szCs w:val="24"/>
        </w:rPr>
        <w:t>项，依法免税或</w:t>
      </w:r>
      <w:bookmarkStart w:id="17" w:name="OLE_LINK19"/>
      <w:r>
        <w:rPr>
          <w:rFonts w:hint="eastAsia" w:ascii="宋体" w:hAnsi="宋体"/>
          <w:bCs/>
          <w:sz w:val="24"/>
          <w:szCs w:val="24"/>
        </w:rPr>
        <w:t>不需要缴纳社会保障资金</w:t>
      </w:r>
      <w:bookmarkEnd w:id="17"/>
      <w:r>
        <w:rPr>
          <w:rFonts w:hint="eastAsia" w:ascii="宋体" w:hAnsi="宋体"/>
          <w:bCs/>
          <w:sz w:val="24"/>
          <w:szCs w:val="24"/>
        </w:rPr>
        <w:t>的投标人，须在投标文件中提供相应文件证明其依法免税或不需要缴纳社会保障资金。投标人法定代表人或授权代表为外籍、港、澳、台地区人士的，其身份证明须提供有效的护照或港澳同胞来往内地通行证、台湾同胞来往大陆通行证，或其它可在中国大陆有效居留的许可证明。</w:t>
      </w:r>
    </w:p>
    <w:p w14:paraId="6BAAC77C">
      <w:pPr>
        <w:spacing w:line="360" w:lineRule="auto"/>
        <w:ind w:firstLine="482"/>
        <w:rPr>
          <w:rFonts w:ascii="宋体" w:hAnsi="宋体"/>
          <w:b/>
          <w:sz w:val="24"/>
          <w:szCs w:val="24"/>
        </w:rPr>
      </w:pPr>
      <w:bookmarkStart w:id="18" w:name="OLE_LINK219"/>
      <w:r>
        <w:rPr>
          <w:rFonts w:hint="eastAsia" w:ascii="宋体" w:hAnsi="宋体"/>
          <w:b/>
          <w:sz w:val="24"/>
          <w:szCs w:val="24"/>
        </w:rPr>
        <w:t>9、</w:t>
      </w:r>
      <w:bookmarkStart w:id="19" w:name="_Toc19624"/>
      <w:bookmarkStart w:id="20" w:name="_Toc2248"/>
      <w:bookmarkStart w:id="21" w:name="_Toc23231"/>
      <w:bookmarkStart w:id="22" w:name="_Toc520356155"/>
      <w:bookmarkStart w:id="23" w:name="_Toc515647770"/>
      <w:r>
        <w:rPr>
          <w:rFonts w:hint="eastAsia" w:ascii="宋体" w:hAnsi="宋体"/>
          <w:b/>
          <w:sz w:val="24"/>
          <w:szCs w:val="24"/>
        </w:rPr>
        <w:t>投标报价</w:t>
      </w:r>
      <w:bookmarkEnd w:id="19"/>
      <w:bookmarkEnd w:id="20"/>
      <w:bookmarkEnd w:id="21"/>
      <w:bookmarkEnd w:id="22"/>
      <w:bookmarkEnd w:id="23"/>
    </w:p>
    <w:p w14:paraId="4DE348FC">
      <w:pPr>
        <w:spacing w:line="360" w:lineRule="auto"/>
        <w:ind w:firstLine="480"/>
        <w:rPr>
          <w:rFonts w:ascii="宋体" w:hAnsi="宋体"/>
          <w:bCs/>
          <w:sz w:val="24"/>
          <w:szCs w:val="24"/>
          <w:lang w:val="zh-CN"/>
        </w:rPr>
      </w:pPr>
      <w:r>
        <w:rPr>
          <w:rFonts w:hint="eastAsia" w:ascii="宋体" w:hAnsi="宋体"/>
          <w:bCs/>
          <w:sz w:val="24"/>
          <w:szCs w:val="24"/>
        </w:rPr>
        <w:t>9</w:t>
      </w:r>
      <w:r>
        <w:rPr>
          <w:rFonts w:hint="eastAsia" w:ascii="宋体" w:hAnsi="宋体"/>
          <w:bCs/>
          <w:sz w:val="24"/>
          <w:szCs w:val="24"/>
          <w:lang w:val="zh-CN"/>
        </w:rPr>
        <w:t>.1</w:t>
      </w:r>
      <w:r>
        <w:rPr>
          <w:rFonts w:hint="eastAsia" w:ascii="宋体" w:hAnsi="宋体"/>
          <w:bCs/>
          <w:sz w:val="24"/>
          <w:szCs w:val="24"/>
        </w:rPr>
        <w:t xml:space="preserve"> </w:t>
      </w:r>
      <w:r>
        <w:rPr>
          <w:rFonts w:hint="eastAsia" w:ascii="宋体" w:hAnsi="宋体"/>
          <w:bCs/>
          <w:sz w:val="24"/>
          <w:szCs w:val="24"/>
          <w:lang w:val="zh-CN"/>
        </w:rPr>
        <w:t>所有投标均以人民币报价</w:t>
      </w:r>
      <w:bookmarkStart w:id="24" w:name="OLE_LINK204"/>
      <w:r>
        <w:rPr>
          <w:rFonts w:hint="eastAsia" w:ascii="宋体" w:hAnsi="宋体"/>
          <w:bCs/>
          <w:sz w:val="24"/>
          <w:szCs w:val="24"/>
          <w:lang w:val="zh-CN"/>
        </w:rPr>
        <w:t>。</w:t>
      </w:r>
      <w:bookmarkEnd w:id="24"/>
      <w:r>
        <w:rPr>
          <w:rFonts w:hint="eastAsia" w:ascii="宋体" w:hAnsi="宋体"/>
          <w:bCs/>
          <w:sz w:val="24"/>
          <w:szCs w:val="24"/>
          <w:lang w:val="zh-CN"/>
        </w:rPr>
        <w:t>投标人的投标报价应遵守《中华人民共和国价格法》。同时，根据《中华人民共和国政府采购法》第二条的规定，为保证公平竞争，如有货物主体部分的赠与行为，其投标将被认定为投标无效。</w:t>
      </w:r>
    </w:p>
    <w:p w14:paraId="6C893101">
      <w:pPr>
        <w:spacing w:line="360" w:lineRule="auto"/>
        <w:ind w:firstLine="480"/>
        <w:rPr>
          <w:rFonts w:ascii="宋体" w:hAnsi="宋体"/>
          <w:bCs/>
          <w:sz w:val="24"/>
          <w:szCs w:val="24"/>
          <w:lang w:val="zh-CN"/>
        </w:rPr>
      </w:pPr>
      <w:r>
        <w:rPr>
          <w:rFonts w:hint="eastAsia" w:ascii="宋体" w:hAnsi="宋体"/>
          <w:bCs/>
          <w:sz w:val="24"/>
          <w:szCs w:val="24"/>
        </w:rPr>
        <w:t>9</w:t>
      </w:r>
      <w:r>
        <w:rPr>
          <w:rFonts w:hint="eastAsia" w:ascii="宋体" w:hAnsi="宋体"/>
          <w:bCs/>
          <w:sz w:val="24"/>
          <w:szCs w:val="24"/>
          <w:lang w:val="zh-CN"/>
        </w:rPr>
        <w:t>.</w:t>
      </w:r>
      <w:r>
        <w:rPr>
          <w:rFonts w:hint="eastAsia" w:ascii="宋体" w:hAnsi="宋体"/>
          <w:bCs/>
          <w:sz w:val="24"/>
          <w:szCs w:val="24"/>
        </w:rPr>
        <w:t xml:space="preserve">2 </w:t>
      </w:r>
      <w:r>
        <w:rPr>
          <w:rFonts w:hint="eastAsia" w:ascii="宋体" w:hAnsi="宋体"/>
          <w:bCs/>
          <w:sz w:val="24"/>
          <w:szCs w:val="24"/>
          <w:lang w:val="zh-CN"/>
        </w:rPr>
        <w:t>投标人所报的各分项投标单价在合同履行过程中是固定不变的，不得以任何理由予以变更。任何包含价格调整要求的投标，其投标将被认定为投标无效。</w:t>
      </w:r>
    </w:p>
    <w:p w14:paraId="21A1A702">
      <w:pPr>
        <w:spacing w:line="360" w:lineRule="auto"/>
        <w:ind w:firstLine="480"/>
        <w:rPr>
          <w:rFonts w:ascii="宋体" w:hAnsi="宋体"/>
          <w:bCs/>
          <w:sz w:val="24"/>
          <w:szCs w:val="24"/>
        </w:rPr>
      </w:pPr>
      <w:r>
        <w:rPr>
          <w:rFonts w:hint="eastAsia" w:ascii="宋体" w:hAnsi="宋体"/>
          <w:bCs/>
          <w:sz w:val="24"/>
          <w:szCs w:val="24"/>
        </w:rPr>
        <w:t>9</w:t>
      </w:r>
      <w:r>
        <w:rPr>
          <w:rFonts w:hint="eastAsia" w:ascii="宋体" w:hAnsi="宋体"/>
          <w:bCs/>
          <w:sz w:val="24"/>
          <w:szCs w:val="24"/>
          <w:lang w:val="zh-CN"/>
        </w:rPr>
        <w:t>.</w:t>
      </w:r>
      <w:r>
        <w:rPr>
          <w:rFonts w:hint="eastAsia" w:ascii="宋体" w:hAnsi="宋体"/>
          <w:bCs/>
          <w:sz w:val="24"/>
          <w:szCs w:val="24"/>
        </w:rPr>
        <w:t xml:space="preserve">3 </w:t>
      </w:r>
      <w:r>
        <w:rPr>
          <w:rFonts w:hint="eastAsia" w:ascii="宋体" w:hAnsi="宋体"/>
          <w:bCs/>
          <w:sz w:val="24"/>
          <w:szCs w:val="24"/>
          <w:lang w:val="zh-CN"/>
        </w:rPr>
        <w:t>每种</w:t>
      </w:r>
      <w:r>
        <w:rPr>
          <w:rFonts w:hint="eastAsia" w:ascii="宋体" w:hAnsi="宋体"/>
          <w:bCs/>
          <w:sz w:val="24"/>
          <w:szCs w:val="24"/>
        </w:rPr>
        <w:t>服务</w:t>
      </w:r>
      <w:r>
        <w:rPr>
          <w:rFonts w:hint="eastAsia" w:ascii="宋体" w:hAnsi="宋体"/>
          <w:bCs/>
          <w:sz w:val="24"/>
          <w:szCs w:val="24"/>
          <w:lang w:val="zh-CN"/>
        </w:rPr>
        <w:t>只能有一个投标报价。采购人不接受具有附加条件的报价。</w:t>
      </w:r>
      <w:bookmarkEnd w:id="18"/>
    </w:p>
    <w:p w14:paraId="02B0103B">
      <w:pPr>
        <w:spacing w:line="360" w:lineRule="auto"/>
        <w:ind w:firstLine="482" w:firstLineChars="200"/>
        <w:rPr>
          <w:rFonts w:ascii="宋体" w:hAnsi="宋体"/>
          <w:b/>
          <w:sz w:val="24"/>
          <w:szCs w:val="24"/>
        </w:rPr>
      </w:pPr>
      <w:r>
        <w:rPr>
          <w:rFonts w:hint="eastAsia" w:ascii="宋体" w:hAnsi="宋体"/>
          <w:b/>
          <w:sz w:val="24"/>
          <w:szCs w:val="24"/>
        </w:rPr>
        <w:t>10、投标文件的制作及密封</w:t>
      </w:r>
    </w:p>
    <w:bookmarkEnd w:id="12"/>
    <w:p w14:paraId="5DDD8808">
      <w:pPr>
        <w:spacing w:line="360" w:lineRule="auto"/>
        <w:ind w:firstLine="480"/>
        <w:rPr>
          <w:rFonts w:ascii="宋体" w:hAnsi="宋体"/>
          <w:bCs/>
          <w:sz w:val="24"/>
          <w:szCs w:val="24"/>
          <w:lang w:val="zh-CN"/>
        </w:rPr>
      </w:pPr>
      <w:bookmarkStart w:id="25" w:name="OLE_LINK94"/>
      <w:r>
        <w:rPr>
          <w:rFonts w:hint="eastAsia" w:ascii="宋体" w:hAnsi="宋体"/>
          <w:bCs/>
          <w:sz w:val="24"/>
          <w:szCs w:val="24"/>
        </w:rPr>
        <w:t xml:space="preserve">10.1 </w:t>
      </w:r>
      <w:r>
        <w:rPr>
          <w:rFonts w:hint="eastAsia" w:ascii="宋体" w:hAnsi="宋体"/>
          <w:bCs/>
          <w:sz w:val="24"/>
          <w:szCs w:val="24"/>
          <w:lang w:val="zh-CN"/>
        </w:rPr>
        <w:t>所有文件、往来函件均应使用简体中文（规格、型号辅助符号例外）。</w:t>
      </w:r>
    </w:p>
    <w:p w14:paraId="4A04D6C1">
      <w:pPr>
        <w:spacing w:line="360" w:lineRule="auto"/>
        <w:ind w:firstLine="480"/>
        <w:rPr>
          <w:rFonts w:ascii="宋体" w:hAnsi="宋体"/>
          <w:bCs/>
          <w:sz w:val="24"/>
          <w:szCs w:val="24"/>
          <w:lang w:val="zh-CN"/>
        </w:rPr>
      </w:pPr>
      <w:r>
        <w:rPr>
          <w:rFonts w:hint="eastAsia" w:ascii="宋体" w:hAnsi="宋体"/>
          <w:bCs/>
          <w:sz w:val="24"/>
          <w:szCs w:val="24"/>
        </w:rPr>
        <w:t xml:space="preserve">10.2 </w:t>
      </w:r>
      <w:r>
        <w:rPr>
          <w:rFonts w:hint="eastAsia" w:ascii="宋体" w:hAnsi="宋体"/>
          <w:bCs/>
          <w:sz w:val="24"/>
          <w:szCs w:val="24"/>
          <w:lang w:val="zh-CN"/>
        </w:rPr>
        <w:t>投标人所使用的计量单位应为国家法定计量单位。</w:t>
      </w:r>
    </w:p>
    <w:p w14:paraId="420AD141">
      <w:pPr>
        <w:spacing w:line="360" w:lineRule="auto"/>
        <w:ind w:firstLine="480"/>
        <w:rPr>
          <w:rFonts w:ascii="宋体" w:hAnsi="宋体"/>
          <w:bCs/>
          <w:sz w:val="24"/>
          <w:szCs w:val="24"/>
          <w:lang w:val="zh-CN"/>
        </w:rPr>
      </w:pPr>
      <w:r>
        <w:rPr>
          <w:rFonts w:hint="eastAsia" w:ascii="宋体" w:hAnsi="宋体"/>
          <w:bCs/>
          <w:sz w:val="24"/>
          <w:szCs w:val="24"/>
        </w:rPr>
        <w:t xml:space="preserve">10.3 </w:t>
      </w:r>
      <w:r>
        <w:rPr>
          <w:rFonts w:hint="eastAsia" w:ascii="宋体" w:hAnsi="宋体"/>
          <w:bCs/>
          <w:sz w:val="24"/>
          <w:szCs w:val="24"/>
          <w:lang w:val="zh-CN"/>
        </w:rPr>
        <w:t>如投标人对招标文件的相关内容有不同意见的偏离，应在投标文件中详细说明偏离的情况，如未明确作出偏离情况的说明，</w:t>
      </w:r>
      <w:bookmarkStart w:id="26" w:name="OLE_LINK119"/>
      <w:r>
        <w:rPr>
          <w:rFonts w:hint="eastAsia" w:ascii="宋体" w:hAnsi="宋体"/>
          <w:bCs/>
          <w:sz w:val="24"/>
          <w:szCs w:val="24"/>
          <w:lang w:val="zh-CN"/>
        </w:rPr>
        <w:t>则视同</w:t>
      </w:r>
      <w:r>
        <w:rPr>
          <w:rFonts w:hint="eastAsia" w:ascii="宋体" w:hAnsi="宋体"/>
          <w:bCs/>
          <w:sz w:val="24"/>
          <w:szCs w:val="24"/>
        </w:rPr>
        <w:t>投标人</w:t>
      </w:r>
      <w:bookmarkStart w:id="27" w:name="OLE_LINK225"/>
      <w:r>
        <w:rPr>
          <w:rFonts w:hint="eastAsia" w:ascii="宋体" w:hAnsi="宋体"/>
          <w:bCs/>
          <w:sz w:val="24"/>
          <w:szCs w:val="24"/>
        </w:rPr>
        <w:t>承诺实质性响应</w:t>
      </w:r>
      <w:bookmarkEnd w:id="27"/>
      <w:r>
        <w:rPr>
          <w:rFonts w:hint="eastAsia" w:ascii="宋体" w:hAnsi="宋体"/>
          <w:bCs/>
          <w:sz w:val="24"/>
          <w:szCs w:val="24"/>
        </w:rPr>
        <w:t>招标文件的要求。</w:t>
      </w:r>
      <w:bookmarkEnd w:id="26"/>
    </w:p>
    <w:p w14:paraId="50A6C935">
      <w:pPr>
        <w:spacing w:line="360" w:lineRule="auto"/>
        <w:ind w:firstLine="480"/>
        <w:rPr>
          <w:rFonts w:ascii="宋体" w:hAnsi="宋体"/>
          <w:bCs/>
          <w:sz w:val="24"/>
          <w:szCs w:val="24"/>
          <w:lang w:val="zh-CN"/>
        </w:rPr>
      </w:pPr>
      <w:r>
        <w:rPr>
          <w:rFonts w:hint="eastAsia" w:ascii="宋体" w:hAnsi="宋体"/>
          <w:bCs/>
          <w:sz w:val="24"/>
          <w:szCs w:val="24"/>
        </w:rPr>
        <w:t>10</w:t>
      </w:r>
      <w:r>
        <w:rPr>
          <w:rFonts w:hint="eastAsia" w:ascii="宋体" w:hAnsi="宋体"/>
          <w:sz w:val="24"/>
          <w:szCs w:val="28"/>
        </w:rPr>
        <w:t xml:space="preserve">.4 </w:t>
      </w:r>
      <w:bookmarkStart w:id="28" w:name="OLE_LINK120"/>
      <w:bookmarkStart w:id="29" w:name="OLE_LINK121"/>
      <w:r>
        <w:rPr>
          <w:rFonts w:hint="eastAsia" w:ascii="宋体" w:hAnsi="宋体"/>
          <w:sz w:val="24"/>
          <w:szCs w:val="28"/>
        </w:rPr>
        <w:t>如投标人对投标文件进行了修改，则应由投标人的法定代表人或被授权代表在每一修改处签字</w:t>
      </w:r>
      <w:bookmarkEnd w:id="28"/>
      <w:r>
        <w:rPr>
          <w:rFonts w:hint="eastAsia" w:ascii="宋体" w:hAnsi="宋体"/>
          <w:sz w:val="24"/>
          <w:szCs w:val="28"/>
        </w:rPr>
        <w:t>并加盖投标人公章。</w:t>
      </w:r>
      <w:bookmarkEnd w:id="29"/>
    </w:p>
    <w:p w14:paraId="3F3152F7">
      <w:pPr>
        <w:spacing w:line="360" w:lineRule="auto"/>
        <w:ind w:firstLine="480"/>
        <w:rPr>
          <w:rFonts w:ascii="宋体" w:hAnsi="宋体"/>
          <w:bCs/>
          <w:sz w:val="24"/>
          <w:szCs w:val="24"/>
        </w:rPr>
      </w:pPr>
      <w:r>
        <w:rPr>
          <w:rFonts w:hint="eastAsia" w:ascii="宋体" w:hAnsi="宋体"/>
          <w:bCs/>
          <w:sz w:val="24"/>
          <w:szCs w:val="24"/>
        </w:rPr>
        <w:t>10.5 投标文件可按照“投标文件的组成”顺序</w:t>
      </w:r>
      <w:r>
        <w:rPr>
          <w:rFonts w:hint="eastAsia" w:ascii="宋体" w:hAnsi="宋体"/>
          <w:bCs/>
          <w:sz w:val="24"/>
          <w:szCs w:val="24"/>
          <w:lang w:val="zh-CN"/>
        </w:rPr>
        <w:t>打印或用不褪色墨水书写，装订成册，</w:t>
      </w:r>
      <w:bookmarkStart w:id="30" w:name="OLE_LINK122"/>
      <w:r>
        <w:rPr>
          <w:rFonts w:hint="eastAsia" w:ascii="宋体" w:hAnsi="宋体"/>
          <w:bCs/>
          <w:sz w:val="24"/>
          <w:szCs w:val="24"/>
        </w:rPr>
        <w:t>注明“正本”、“副本”字样</w:t>
      </w:r>
      <w:bookmarkEnd w:id="30"/>
      <w:r>
        <w:rPr>
          <w:rFonts w:hint="eastAsia" w:ascii="宋体" w:hAnsi="宋体"/>
          <w:bCs/>
          <w:sz w:val="24"/>
          <w:szCs w:val="24"/>
          <w:lang w:val="zh-CN"/>
        </w:rPr>
        <w:t>。投标文件中有</w:t>
      </w:r>
      <w:r>
        <w:rPr>
          <w:rFonts w:hint="eastAsia" w:ascii="宋体" w:hAnsi="宋体"/>
          <w:bCs/>
          <w:sz w:val="24"/>
          <w:szCs w:val="24"/>
        </w:rPr>
        <w:t>给定格式的，投标人应按照格式如实填写（编写），格式中有盖章和签名要求的，须加盖投标人公章、并由法定代表人或被授权代表签名。其中，正本上加盖的公章应为红章。</w:t>
      </w:r>
    </w:p>
    <w:p w14:paraId="0233A470">
      <w:pPr>
        <w:spacing w:line="360" w:lineRule="auto"/>
        <w:ind w:firstLine="480"/>
        <w:rPr>
          <w:rFonts w:ascii="宋体" w:hAnsi="宋体"/>
          <w:bCs/>
          <w:sz w:val="24"/>
          <w:szCs w:val="24"/>
        </w:rPr>
      </w:pPr>
      <w:r>
        <w:rPr>
          <w:rFonts w:hint="eastAsia" w:ascii="宋体" w:hAnsi="宋体"/>
          <w:bCs/>
          <w:sz w:val="24"/>
          <w:szCs w:val="24"/>
        </w:rPr>
        <w:t xml:space="preserve">10.6 </w:t>
      </w:r>
      <w:r>
        <w:rPr>
          <w:rFonts w:hint="eastAsia" w:ascii="宋体" w:hAnsi="宋体"/>
          <w:b/>
          <w:sz w:val="24"/>
          <w:szCs w:val="24"/>
          <w:lang w:val="zh-CN"/>
        </w:rPr>
        <w:t>由于装订、纸张、文件排序等非实质性的格式或形式问题导致投标文件被误读或查找不到的，责任由投标人承担。</w:t>
      </w:r>
      <w:r>
        <w:rPr>
          <w:rFonts w:hint="eastAsia" w:ascii="宋体" w:hAnsi="宋体"/>
          <w:bCs/>
          <w:sz w:val="24"/>
          <w:szCs w:val="24"/>
        </w:rPr>
        <w:t xml:space="preserve">   </w:t>
      </w:r>
    </w:p>
    <w:p w14:paraId="443BE220">
      <w:pPr>
        <w:spacing w:line="360" w:lineRule="auto"/>
        <w:ind w:firstLine="480"/>
        <w:rPr>
          <w:rFonts w:ascii="宋体" w:hAnsi="宋体"/>
          <w:bCs/>
          <w:sz w:val="24"/>
          <w:szCs w:val="24"/>
          <w:lang w:val="zh-CN"/>
        </w:rPr>
      </w:pPr>
      <w:r>
        <w:rPr>
          <w:rFonts w:hint="eastAsia" w:ascii="宋体" w:hAnsi="宋体"/>
          <w:bCs/>
          <w:sz w:val="24"/>
          <w:szCs w:val="24"/>
        </w:rPr>
        <w:t xml:space="preserve">10.7 </w:t>
      </w:r>
      <w:bookmarkStart w:id="31" w:name="OLE_LINK123"/>
      <w:r>
        <w:rPr>
          <w:rFonts w:hint="eastAsia" w:ascii="宋体" w:hAnsi="宋体"/>
          <w:bCs/>
          <w:sz w:val="24"/>
          <w:szCs w:val="24"/>
        </w:rPr>
        <w:t>投标人须对投标文件进行密封，同时注明投标人名称。</w:t>
      </w:r>
      <w:bookmarkEnd w:id="31"/>
    </w:p>
    <w:p w14:paraId="3E9F0228">
      <w:pPr>
        <w:spacing w:line="360" w:lineRule="auto"/>
        <w:ind w:firstLine="482" w:firstLineChars="200"/>
        <w:rPr>
          <w:rFonts w:ascii="宋体" w:hAnsi="宋体"/>
          <w:b/>
          <w:sz w:val="24"/>
          <w:szCs w:val="24"/>
        </w:rPr>
      </w:pPr>
      <w:r>
        <w:rPr>
          <w:rFonts w:hint="eastAsia" w:ascii="宋体" w:hAnsi="宋体"/>
          <w:b/>
          <w:sz w:val="24"/>
          <w:szCs w:val="24"/>
        </w:rPr>
        <w:t>11、投标文件的真实性</w:t>
      </w:r>
    </w:p>
    <w:p w14:paraId="54EFC95F">
      <w:pPr>
        <w:spacing w:line="360" w:lineRule="auto"/>
        <w:ind w:firstLine="480" w:firstLineChars="200"/>
        <w:rPr>
          <w:rFonts w:ascii="宋体" w:hAnsi="宋体"/>
          <w:sz w:val="24"/>
          <w:szCs w:val="28"/>
        </w:rPr>
      </w:pPr>
      <w:r>
        <w:rPr>
          <w:rFonts w:hint="eastAsia" w:ascii="宋体" w:hAnsi="宋体"/>
          <w:sz w:val="24"/>
          <w:szCs w:val="28"/>
        </w:rPr>
        <w:t>11.1 投标人（含中标供应商）应对其投标文件中提供的所有材料的真实性负责。</w:t>
      </w:r>
    </w:p>
    <w:p w14:paraId="61434BCA">
      <w:pPr>
        <w:spacing w:line="360" w:lineRule="auto"/>
        <w:ind w:firstLine="480" w:firstLineChars="200"/>
        <w:rPr>
          <w:rFonts w:ascii="宋体" w:hAnsi="宋体"/>
          <w:sz w:val="24"/>
          <w:szCs w:val="28"/>
        </w:rPr>
      </w:pPr>
      <w:r>
        <w:rPr>
          <w:rFonts w:hint="eastAsia" w:ascii="宋体" w:hAnsi="宋体"/>
          <w:sz w:val="24"/>
          <w:szCs w:val="28"/>
        </w:rPr>
        <w:t>11.2 如</w:t>
      </w:r>
      <w:bookmarkStart w:id="32" w:name="OLE_LINK45"/>
      <w:r>
        <w:rPr>
          <w:rFonts w:hint="eastAsia" w:ascii="宋体" w:hAnsi="宋体"/>
          <w:sz w:val="24"/>
          <w:szCs w:val="28"/>
        </w:rPr>
        <w:t>采购人、</w:t>
      </w:r>
      <w:bookmarkEnd w:id="32"/>
      <w:bookmarkStart w:id="33" w:name="OLE_LINK53"/>
      <w:r>
        <w:rPr>
          <w:rFonts w:hint="eastAsia" w:ascii="宋体" w:hAnsi="宋体"/>
          <w:sz w:val="24"/>
          <w:szCs w:val="28"/>
        </w:rPr>
        <w:t>采购代理机构</w:t>
      </w:r>
      <w:bookmarkEnd w:id="33"/>
      <w:r>
        <w:rPr>
          <w:rFonts w:hint="eastAsia" w:ascii="宋体" w:hAnsi="宋体"/>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14:paraId="219EEFA5">
      <w:pPr>
        <w:spacing w:line="360" w:lineRule="auto"/>
        <w:ind w:firstLine="482" w:firstLineChars="200"/>
        <w:rPr>
          <w:rFonts w:ascii="宋体" w:hAnsi="宋体"/>
          <w:b/>
          <w:sz w:val="24"/>
          <w:szCs w:val="24"/>
        </w:rPr>
      </w:pPr>
      <w:r>
        <w:rPr>
          <w:rFonts w:hint="eastAsia" w:ascii="宋体" w:hAnsi="宋体"/>
          <w:b/>
          <w:sz w:val="24"/>
          <w:szCs w:val="24"/>
        </w:rPr>
        <w:t>12、投标文件的递交</w:t>
      </w:r>
    </w:p>
    <w:p w14:paraId="36EA71A0">
      <w:pPr>
        <w:spacing w:line="360" w:lineRule="auto"/>
        <w:ind w:firstLine="480" w:firstLineChars="200"/>
        <w:rPr>
          <w:rFonts w:ascii="宋体" w:hAnsi="宋体"/>
          <w:bCs/>
          <w:sz w:val="24"/>
          <w:szCs w:val="24"/>
        </w:rPr>
      </w:pPr>
      <w:r>
        <w:rPr>
          <w:rFonts w:hint="eastAsia" w:ascii="宋体" w:hAnsi="宋体"/>
          <w:bCs/>
          <w:sz w:val="24"/>
          <w:szCs w:val="24"/>
        </w:rPr>
        <w:t>12.1 投标人须在招标文件规定的提交投标文件截止时间之前到江苏鼎坚工程咨询有限公司会议室提交投标文件，逾期不予受理。</w:t>
      </w:r>
    </w:p>
    <w:p w14:paraId="0A0FEB0D">
      <w:pPr>
        <w:spacing w:line="360" w:lineRule="auto"/>
        <w:ind w:firstLine="482" w:firstLineChars="200"/>
        <w:rPr>
          <w:rFonts w:ascii="宋体" w:hAnsi="宋体"/>
          <w:b/>
          <w:sz w:val="24"/>
          <w:szCs w:val="24"/>
        </w:rPr>
      </w:pPr>
      <w:bookmarkStart w:id="34" w:name="OLE_LINK124"/>
      <w:r>
        <w:rPr>
          <w:rFonts w:hint="eastAsia" w:ascii="宋体" w:hAnsi="宋体"/>
          <w:b/>
          <w:sz w:val="24"/>
          <w:szCs w:val="24"/>
        </w:rPr>
        <w:t>13、有下列情形之一的投标文件将拒收</w:t>
      </w:r>
    </w:p>
    <w:p w14:paraId="11C4B6B7">
      <w:pPr>
        <w:spacing w:line="360" w:lineRule="auto"/>
        <w:ind w:firstLine="480" w:firstLineChars="200"/>
        <w:rPr>
          <w:rFonts w:ascii="宋体" w:hAnsi="宋体"/>
          <w:bCs/>
          <w:sz w:val="24"/>
          <w:szCs w:val="24"/>
        </w:rPr>
      </w:pPr>
      <w:r>
        <w:rPr>
          <w:rFonts w:hint="eastAsia" w:ascii="宋体" w:hAnsi="宋体"/>
          <w:bCs/>
          <w:sz w:val="24"/>
          <w:szCs w:val="24"/>
        </w:rPr>
        <w:t>13.1 在招标文件要求提交投标文件的截止时间之后送达的；</w:t>
      </w:r>
    </w:p>
    <w:p w14:paraId="2FCB59C7">
      <w:pPr>
        <w:spacing w:line="360" w:lineRule="auto"/>
        <w:ind w:firstLine="480" w:firstLineChars="200"/>
        <w:rPr>
          <w:rFonts w:ascii="宋体" w:hAnsi="宋体"/>
          <w:bCs/>
          <w:sz w:val="24"/>
          <w:szCs w:val="24"/>
        </w:rPr>
      </w:pPr>
      <w:r>
        <w:rPr>
          <w:rFonts w:hint="eastAsia" w:ascii="宋体" w:hAnsi="宋体"/>
          <w:bCs/>
          <w:sz w:val="24"/>
          <w:szCs w:val="24"/>
        </w:rPr>
        <w:t xml:space="preserve">13.2 </w:t>
      </w:r>
      <w:r>
        <w:rPr>
          <w:rFonts w:hint="eastAsia" w:ascii="宋体" w:hAnsi="宋体" w:cs="宋体"/>
          <w:sz w:val="24"/>
          <w:szCs w:val="24"/>
        </w:rPr>
        <w:t>未按照招标文件要求密封的。</w:t>
      </w:r>
      <w:bookmarkEnd w:id="25"/>
    </w:p>
    <w:bookmarkEnd w:id="34"/>
    <w:p w14:paraId="04479B85">
      <w:pPr>
        <w:spacing w:line="360" w:lineRule="auto"/>
        <w:ind w:firstLine="482" w:firstLineChars="200"/>
        <w:rPr>
          <w:rFonts w:ascii="宋体" w:hAnsi="宋体"/>
          <w:b/>
          <w:sz w:val="24"/>
          <w:szCs w:val="24"/>
        </w:rPr>
      </w:pPr>
      <w:r>
        <w:rPr>
          <w:rFonts w:hint="eastAsia" w:ascii="宋体" w:hAnsi="宋体"/>
          <w:b/>
          <w:sz w:val="24"/>
          <w:szCs w:val="24"/>
        </w:rPr>
        <w:t>14、投标文件的有效期</w:t>
      </w:r>
    </w:p>
    <w:p w14:paraId="029AD0D9">
      <w:pPr>
        <w:spacing w:line="360" w:lineRule="auto"/>
        <w:ind w:firstLine="480" w:firstLineChars="200"/>
        <w:rPr>
          <w:rFonts w:ascii="宋体" w:hAnsi="宋体"/>
          <w:bCs/>
          <w:sz w:val="24"/>
          <w:szCs w:val="24"/>
        </w:rPr>
      </w:pPr>
      <w:r>
        <w:rPr>
          <w:rFonts w:hint="eastAsia" w:ascii="宋体" w:hAnsi="宋体"/>
          <w:bCs/>
          <w:sz w:val="24"/>
          <w:szCs w:val="24"/>
        </w:rPr>
        <w:t>14.1 投标文件的有效期为提交投标文件截止之日起的60天（含提交当日）。在特殊情况下，采购人、</w:t>
      </w:r>
      <w:r>
        <w:rPr>
          <w:rFonts w:hint="eastAsia" w:ascii="宋体" w:hAnsi="宋体"/>
          <w:sz w:val="24"/>
          <w:szCs w:val="28"/>
        </w:rPr>
        <w:t>采购代理机构</w:t>
      </w:r>
      <w:r>
        <w:rPr>
          <w:rFonts w:hint="eastAsia" w:ascii="宋体" w:hAnsi="宋体"/>
          <w:bCs/>
          <w:sz w:val="24"/>
          <w:szCs w:val="24"/>
        </w:rPr>
        <w:t>可与投标人协商延长投标文件的有效期。</w:t>
      </w:r>
    </w:p>
    <w:p w14:paraId="05B34705">
      <w:pPr>
        <w:spacing w:line="360" w:lineRule="auto"/>
        <w:ind w:firstLine="482" w:firstLineChars="200"/>
        <w:rPr>
          <w:rFonts w:ascii="宋体" w:hAnsi="宋体"/>
          <w:b/>
          <w:sz w:val="24"/>
          <w:szCs w:val="24"/>
        </w:rPr>
      </w:pPr>
      <w:r>
        <w:rPr>
          <w:rFonts w:hint="eastAsia" w:ascii="宋体" w:hAnsi="宋体"/>
          <w:b/>
          <w:sz w:val="24"/>
          <w:szCs w:val="24"/>
        </w:rPr>
        <w:t>15、投标文件的退还</w:t>
      </w:r>
    </w:p>
    <w:p w14:paraId="033D88E8">
      <w:pPr>
        <w:spacing w:line="360" w:lineRule="auto"/>
        <w:ind w:firstLine="480" w:firstLineChars="200"/>
        <w:rPr>
          <w:rFonts w:ascii="宋体" w:hAnsi="宋体"/>
          <w:bCs/>
          <w:sz w:val="24"/>
          <w:szCs w:val="24"/>
        </w:rPr>
      </w:pPr>
      <w:r>
        <w:rPr>
          <w:rFonts w:hint="eastAsia" w:ascii="宋体" w:hAnsi="宋体"/>
          <w:bCs/>
          <w:sz w:val="24"/>
          <w:szCs w:val="24"/>
        </w:rPr>
        <w:t>15.1 投标人投标后，江苏鼎坚工程咨询有限公司对所有投标人的投标文件一律不予退还。</w:t>
      </w:r>
    </w:p>
    <w:p w14:paraId="04704214">
      <w:pPr>
        <w:spacing w:line="360" w:lineRule="auto"/>
        <w:ind w:firstLine="482" w:firstLineChars="200"/>
        <w:rPr>
          <w:rFonts w:ascii="宋体" w:hAnsi="宋体"/>
          <w:b/>
          <w:sz w:val="24"/>
          <w:szCs w:val="24"/>
        </w:rPr>
      </w:pPr>
      <w:bookmarkStart w:id="35" w:name="OLE_LINK125"/>
      <w:r>
        <w:rPr>
          <w:rFonts w:hint="eastAsia" w:ascii="宋体" w:hAnsi="宋体"/>
          <w:b/>
          <w:sz w:val="24"/>
          <w:szCs w:val="24"/>
        </w:rPr>
        <w:t>16、投标文件的修改和撤回</w:t>
      </w:r>
    </w:p>
    <w:p w14:paraId="0B872FEE">
      <w:pPr>
        <w:spacing w:line="360" w:lineRule="auto"/>
        <w:ind w:firstLine="480" w:firstLineChars="200"/>
        <w:rPr>
          <w:rFonts w:ascii="宋体" w:hAnsi="宋体"/>
          <w:bCs/>
          <w:sz w:val="24"/>
          <w:szCs w:val="24"/>
          <w:lang w:val="zh-CN"/>
        </w:rPr>
      </w:pPr>
      <w:r>
        <w:rPr>
          <w:rFonts w:hint="eastAsia" w:ascii="宋体" w:hAnsi="宋体"/>
          <w:bCs/>
          <w:sz w:val="24"/>
          <w:szCs w:val="24"/>
        </w:rPr>
        <w:t>16.1</w:t>
      </w:r>
      <w:r>
        <w:rPr>
          <w:rFonts w:hint="eastAsia" w:ascii="宋体" w:hAnsi="宋体"/>
          <w:bCs/>
          <w:sz w:val="24"/>
          <w:szCs w:val="24"/>
          <w:lang w:val="zh-CN"/>
        </w:rPr>
        <w:t xml:space="preserve"> 投标人在投标截止时间前，可以对所递交的投标文件进行补充、修改或撤回，并书面通知江苏鼎坚工程咨询有限公司。补充、修改的内容应当按照招标文件要求签署、盖章、密封后，并作为投标文件的组成部分。</w:t>
      </w:r>
      <w:bookmarkEnd w:id="35"/>
    </w:p>
    <w:p w14:paraId="19DB5473">
      <w:pPr>
        <w:spacing w:line="360" w:lineRule="auto"/>
        <w:ind w:firstLine="480" w:firstLineChars="200"/>
        <w:rPr>
          <w:rFonts w:ascii="宋体" w:hAnsi="宋体"/>
          <w:bCs/>
          <w:sz w:val="24"/>
          <w:szCs w:val="24"/>
          <w:lang w:val="zh-CN"/>
        </w:rPr>
      </w:pPr>
      <w:r>
        <w:rPr>
          <w:rFonts w:hint="eastAsia" w:ascii="宋体" w:hAnsi="宋体" w:cs="宋体"/>
          <w:sz w:val="24"/>
          <w:szCs w:val="24"/>
        </w:rPr>
        <w:t xml:space="preserve">16.2 </w:t>
      </w:r>
      <w:r>
        <w:rPr>
          <w:rFonts w:hint="eastAsia" w:ascii="宋体" w:hAnsi="宋体" w:cs="宋体"/>
          <w:sz w:val="24"/>
          <w:szCs w:val="24"/>
          <w:lang w:val="zh-CN"/>
        </w:rPr>
        <w:t>投标截止时间之后，投标文件不得撤回。</w:t>
      </w:r>
    </w:p>
    <w:p w14:paraId="442C1C18">
      <w:pPr>
        <w:spacing w:line="360" w:lineRule="auto"/>
        <w:ind w:firstLine="482" w:firstLineChars="200"/>
        <w:rPr>
          <w:rFonts w:ascii="宋体" w:hAnsi="宋体"/>
          <w:b/>
          <w:sz w:val="24"/>
          <w:szCs w:val="24"/>
          <w:lang w:val="zh-CN"/>
        </w:rPr>
      </w:pPr>
      <w:r>
        <w:rPr>
          <w:rFonts w:hint="eastAsia" w:ascii="宋体" w:hAnsi="宋体"/>
          <w:b/>
          <w:sz w:val="24"/>
          <w:szCs w:val="24"/>
        </w:rPr>
        <w:t>17、</w:t>
      </w:r>
      <w:r>
        <w:rPr>
          <w:rFonts w:hint="eastAsia" w:ascii="宋体" w:hAnsi="宋体"/>
          <w:b/>
          <w:sz w:val="24"/>
          <w:szCs w:val="24"/>
          <w:lang w:val="zh-CN"/>
        </w:rPr>
        <w:t>无效投标的确认</w:t>
      </w:r>
    </w:p>
    <w:p w14:paraId="5EEF453D">
      <w:pPr>
        <w:spacing w:line="360" w:lineRule="auto"/>
        <w:ind w:firstLine="480" w:firstLineChars="200"/>
        <w:rPr>
          <w:rFonts w:ascii="宋体" w:hAnsi="宋体"/>
          <w:bCs/>
          <w:sz w:val="24"/>
          <w:szCs w:val="24"/>
          <w:lang w:val="zh-CN"/>
        </w:rPr>
      </w:pPr>
      <w:r>
        <w:rPr>
          <w:rFonts w:hint="eastAsia" w:ascii="宋体" w:hAnsi="宋体"/>
          <w:bCs/>
          <w:sz w:val="24"/>
          <w:szCs w:val="24"/>
        </w:rPr>
        <w:t xml:space="preserve">17.1 </w:t>
      </w:r>
      <w:r>
        <w:rPr>
          <w:rFonts w:hint="eastAsia" w:ascii="宋体" w:hAnsi="宋体"/>
          <w:bCs/>
          <w:sz w:val="24"/>
          <w:szCs w:val="24"/>
          <w:lang w:val="zh-CN"/>
        </w:rPr>
        <w:t>投标人有下列情况之一者，其投标无效：</w:t>
      </w:r>
    </w:p>
    <w:p w14:paraId="76D531D8">
      <w:pPr>
        <w:numPr>
          <w:ilvl w:val="0"/>
          <w:numId w:val="10"/>
        </w:numPr>
        <w:tabs>
          <w:tab w:val="left" w:pos="425"/>
          <w:tab w:val="clear" w:pos="0"/>
        </w:tabs>
        <w:spacing w:line="360" w:lineRule="auto"/>
        <w:rPr>
          <w:rFonts w:ascii="宋体" w:hAnsi="宋体"/>
          <w:bCs/>
          <w:sz w:val="24"/>
          <w:szCs w:val="24"/>
          <w:lang w:val="zh-CN"/>
        </w:rPr>
      </w:pPr>
      <w:bookmarkStart w:id="36" w:name="OLE_LINK126"/>
      <w:r>
        <w:rPr>
          <w:rFonts w:hint="eastAsia" w:ascii="宋体" w:hAnsi="宋体" w:cs="宋体"/>
          <w:sz w:val="24"/>
          <w:szCs w:val="24"/>
        </w:rPr>
        <w:t>投标文件未按招标文件要求签署、盖章的；</w:t>
      </w:r>
    </w:p>
    <w:p w14:paraId="3EC09DBC">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不具备招标文件投标邀请函中“2.1投标人参加本次自主采购活动</w:t>
      </w:r>
      <w:r>
        <w:rPr>
          <w:rFonts w:hint="eastAsia" w:ascii="宋体" w:hAnsi="宋体" w:cs="宋体"/>
          <w:sz w:val="24"/>
          <w:szCs w:val="24"/>
          <w:lang w:val="zh-CN"/>
        </w:rPr>
        <w:t>应具备的资格条件</w:t>
      </w:r>
      <w:r>
        <w:rPr>
          <w:rFonts w:hint="eastAsia" w:ascii="宋体" w:hAnsi="宋体" w:cs="宋体"/>
          <w:sz w:val="24"/>
          <w:szCs w:val="24"/>
        </w:rPr>
        <w:t>”</w:t>
      </w:r>
      <w:r>
        <w:rPr>
          <w:rFonts w:hint="eastAsia" w:ascii="宋体" w:hAnsi="宋体"/>
          <w:bCs/>
          <w:sz w:val="24"/>
          <w:szCs w:val="24"/>
          <w:lang w:val="zh-CN"/>
        </w:rPr>
        <w:t>或未按招标文件规定的要求提供资格证明文件的；</w:t>
      </w:r>
    </w:p>
    <w:p w14:paraId="15CAA9BD">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投标文件未满足“投标文件制作”要求的；</w:t>
      </w:r>
    </w:p>
    <w:p w14:paraId="5D3D9D29">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报价</w:t>
      </w:r>
      <w:r>
        <w:rPr>
          <w:rFonts w:hint="eastAsia" w:ascii="宋体" w:hAnsi="宋体" w:cs="宋体"/>
          <w:sz w:val="24"/>
          <w:szCs w:val="24"/>
        </w:rPr>
        <w:t>超过招标文件中规定的预算金额或者最高限价的</w:t>
      </w:r>
      <w:r>
        <w:rPr>
          <w:rFonts w:hint="eastAsia" w:ascii="宋体" w:hAnsi="宋体"/>
          <w:bCs/>
          <w:sz w:val="24"/>
          <w:szCs w:val="24"/>
          <w:lang w:val="zh-CN"/>
        </w:rPr>
        <w:t>；</w:t>
      </w:r>
    </w:p>
    <w:p w14:paraId="7C0C7935">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单个细项或整个项目的报价不明确，出现选择性报价的；</w:t>
      </w:r>
    </w:p>
    <w:p w14:paraId="3AB25278">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投标文件报价</w:t>
      </w:r>
      <w:r>
        <w:rPr>
          <w:rFonts w:hint="eastAsia" w:ascii="宋体" w:hAnsi="宋体" w:cs="宋体"/>
          <w:sz w:val="24"/>
          <w:szCs w:val="24"/>
        </w:rPr>
        <w:t>出现前后不一致，且投标人拒绝修正的；</w:t>
      </w:r>
    </w:p>
    <w:p w14:paraId="67ECB367">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投标文件含有采购人不能接受的附加条件的；</w:t>
      </w:r>
    </w:p>
    <w:p w14:paraId="0268DB7B">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评标委员会认为投标人的报价明显低于其他通过符合性审查投标人的报价，有可能影响产品质量或者不能诚信履约，且投标人不能证明其报价合理性的；</w:t>
      </w:r>
    </w:p>
    <w:p w14:paraId="32C9821A">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与其他投标人恶意串通的，包括但不限于以下几种情况：</w:t>
      </w:r>
    </w:p>
    <w:p w14:paraId="16278CC9">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不同投标人的投标文件由同一单位或者个人编制</w:t>
      </w:r>
      <w:r>
        <w:rPr>
          <w:rFonts w:hint="eastAsia" w:ascii="宋体" w:hAnsi="宋体"/>
          <w:bCs/>
          <w:sz w:val="24"/>
          <w:szCs w:val="24"/>
          <w:lang w:val="zh-CN"/>
        </w:rPr>
        <w:t>；</w:t>
      </w:r>
    </w:p>
    <w:p w14:paraId="6836DD1C">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不同投标人委托同一单位或者个人办理投标事宜</w:t>
      </w:r>
      <w:r>
        <w:rPr>
          <w:rFonts w:hint="eastAsia" w:ascii="宋体" w:hAnsi="宋体"/>
          <w:bCs/>
          <w:sz w:val="24"/>
          <w:szCs w:val="24"/>
          <w:lang w:val="zh-CN"/>
        </w:rPr>
        <w:t>；</w:t>
      </w:r>
    </w:p>
    <w:p w14:paraId="170D3B81">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不同投标人的投标文件载明的项目管理成员或者联系人员为同一人</w:t>
      </w:r>
      <w:r>
        <w:rPr>
          <w:rFonts w:hint="eastAsia" w:ascii="宋体" w:hAnsi="宋体"/>
          <w:bCs/>
          <w:sz w:val="24"/>
          <w:szCs w:val="24"/>
          <w:lang w:val="zh-CN"/>
        </w:rPr>
        <w:t>；</w:t>
      </w:r>
    </w:p>
    <w:p w14:paraId="59348BC7">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不同投标人的投标文件异常一致或者投标报价呈规律性差异</w:t>
      </w:r>
      <w:r>
        <w:rPr>
          <w:rFonts w:hint="eastAsia" w:ascii="宋体" w:hAnsi="宋体"/>
          <w:bCs/>
          <w:sz w:val="24"/>
          <w:szCs w:val="24"/>
          <w:lang w:val="zh-CN"/>
        </w:rPr>
        <w:t>；</w:t>
      </w:r>
    </w:p>
    <w:p w14:paraId="44AE530D">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不同投标人的投标文件相互混装</w:t>
      </w:r>
      <w:r>
        <w:rPr>
          <w:rFonts w:hint="eastAsia" w:ascii="宋体" w:hAnsi="宋体"/>
          <w:bCs/>
          <w:sz w:val="24"/>
          <w:szCs w:val="24"/>
          <w:lang w:val="zh-CN"/>
        </w:rPr>
        <w:t>；</w:t>
      </w:r>
    </w:p>
    <w:p w14:paraId="2F11C962">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提供虚假材料的（包括工商营业执照、财务报表、资格证明文件等）；</w:t>
      </w:r>
    </w:p>
    <w:p w14:paraId="3CF92C3B">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投标文件内容不全、自相矛盾或不符合法律法规和招标文件中规定的其它实质性要求的；</w:t>
      </w:r>
    </w:p>
    <w:p w14:paraId="5B637B15">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法律、法规和招标文件规定的其他无效情形</w:t>
      </w:r>
      <w:r>
        <w:rPr>
          <w:rFonts w:hint="eastAsia" w:ascii="宋体" w:hAnsi="宋体"/>
          <w:bCs/>
          <w:sz w:val="24"/>
          <w:szCs w:val="24"/>
          <w:lang w:val="zh-CN"/>
        </w:rPr>
        <w:t>。</w:t>
      </w:r>
      <w:bookmarkEnd w:id="36"/>
    </w:p>
    <w:p w14:paraId="57EE01DD">
      <w:pPr>
        <w:spacing w:line="360" w:lineRule="auto"/>
        <w:ind w:left="420" w:leftChars="200"/>
        <w:rPr>
          <w:rFonts w:ascii="宋体" w:hAnsi="宋体"/>
          <w:b/>
          <w:sz w:val="24"/>
          <w:szCs w:val="24"/>
        </w:rPr>
      </w:pPr>
      <w:r>
        <w:rPr>
          <w:rFonts w:hint="eastAsia" w:ascii="宋体" w:hAnsi="宋体"/>
          <w:b/>
          <w:sz w:val="24"/>
          <w:szCs w:val="24"/>
        </w:rPr>
        <w:t>四、联合体投标</w:t>
      </w:r>
    </w:p>
    <w:p w14:paraId="1B132D7F">
      <w:pPr>
        <w:spacing w:line="360" w:lineRule="auto"/>
        <w:ind w:firstLine="480" w:firstLineChars="200"/>
        <w:rPr>
          <w:rFonts w:ascii="宋体" w:hAnsi="宋体"/>
          <w:bCs/>
          <w:sz w:val="24"/>
          <w:szCs w:val="24"/>
        </w:rPr>
      </w:pPr>
      <w:r>
        <w:rPr>
          <w:rFonts w:hint="eastAsia" w:ascii="宋体" w:hAnsi="宋体"/>
          <w:bCs/>
          <w:sz w:val="24"/>
          <w:szCs w:val="24"/>
        </w:rPr>
        <w:t>18、联合体</w:t>
      </w:r>
    </w:p>
    <w:p w14:paraId="5BFFFC3F">
      <w:pPr>
        <w:spacing w:line="360" w:lineRule="auto"/>
        <w:ind w:firstLine="480" w:firstLineChars="200"/>
        <w:rPr>
          <w:rFonts w:ascii="宋体" w:hAnsi="宋体"/>
          <w:bCs/>
          <w:sz w:val="24"/>
          <w:szCs w:val="24"/>
          <w:lang w:val="zh-CN"/>
        </w:rPr>
      </w:pPr>
      <w:r>
        <w:rPr>
          <w:rFonts w:hint="eastAsia" w:ascii="宋体" w:hAnsi="宋体"/>
          <w:bCs/>
          <w:sz w:val="24"/>
          <w:szCs w:val="24"/>
        </w:rPr>
        <w:t xml:space="preserve">18.1 </w:t>
      </w:r>
      <w:r>
        <w:rPr>
          <w:rFonts w:hint="eastAsia" w:ascii="宋体" w:hAnsi="宋体"/>
          <w:bCs/>
          <w:sz w:val="24"/>
          <w:szCs w:val="24"/>
          <w:lang w:val="zh-CN"/>
        </w:rPr>
        <w:t>两个以上的自然人、法人或者其他组织可以组成一个联合体，以一个投标人的身份共同参加本次自主采购。</w:t>
      </w:r>
    </w:p>
    <w:p w14:paraId="47CCBDEC">
      <w:pPr>
        <w:spacing w:line="360" w:lineRule="auto"/>
        <w:ind w:firstLine="480" w:firstLineChars="200"/>
        <w:rPr>
          <w:rFonts w:ascii="宋体" w:hAnsi="宋体"/>
          <w:bCs/>
          <w:sz w:val="24"/>
          <w:szCs w:val="24"/>
          <w:lang w:val="zh-CN"/>
        </w:rPr>
      </w:pPr>
      <w:r>
        <w:rPr>
          <w:rFonts w:hint="eastAsia" w:ascii="宋体" w:hAnsi="宋体"/>
          <w:bCs/>
          <w:sz w:val="24"/>
          <w:szCs w:val="24"/>
        </w:rPr>
        <w:t>18.2 投标人如为联合体的，</w:t>
      </w:r>
      <w:r>
        <w:rPr>
          <w:rFonts w:hint="eastAsia" w:ascii="宋体" w:hAnsi="宋体"/>
          <w:bCs/>
          <w:sz w:val="24"/>
          <w:szCs w:val="24"/>
          <w:lang w:val="zh-CN"/>
        </w:rPr>
        <w:t>联合体各方应按招标文件提供的格式签订联合体协议书，明确联合体主体单位和各方的权利义务。</w:t>
      </w:r>
      <w:bookmarkStart w:id="37" w:name="OLE_LINK127"/>
      <w:r>
        <w:rPr>
          <w:rFonts w:hint="eastAsia" w:ascii="宋体" w:hAnsi="宋体"/>
          <w:b/>
          <w:sz w:val="24"/>
          <w:szCs w:val="24"/>
          <w:lang w:val="zh-CN"/>
        </w:rPr>
        <w:t>投标文件中其他地方须要投标人签名或盖章的，只需</w:t>
      </w:r>
      <w:r>
        <w:rPr>
          <w:rFonts w:hint="eastAsia" w:ascii="宋体" w:hAnsi="宋体"/>
          <w:b/>
          <w:sz w:val="24"/>
          <w:szCs w:val="24"/>
          <w:lang w:val="en-US" w:eastAsia="zh-CN"/>
        </w:rPr>
        <w:t>牵头单位</w:t>
      </w:r>
      <w:r>
        <w:rPr>
          <w:rFonts w:hint="eastAsia" w:ascii="宋体" w:hAnsi="宋体"/>
          <w:b/>
          <w:sz w:val="24"/>
          <w:szCs w:val="24"/>
          <w:lang w:val="zh-CN"/>
        </w:rPr>
        <w:t>进行签名或盖章。</w:t>
      </w:r>
      <w:bookmarkEnd w:id="37"/>
      <w:r>
        <w:rPr>
          <w:rFonts w:hint="eastAsia" w:ascii="宋体" w:hAnsi="宋体"/>
          <w:bCs/>
          <w:sz w:val="24"/>
          <w:szCs w:val="24"/>
          <w:lang w:val="zh-CN"/>
        </w:rPr>
        <w:t>联合体各方签订联合体协议书后，不得再单独参加或者与其他投标人另外组成联合体参加同一合同项下的自主采购活动。</w:t>
      </w:r>
    </w:p>
    <w:p w14:paraId="61D3E513">
      <w:pPr>
        <w:spacing w:line="360" w:lineRule="auto"/>
        <w:ind w:firstLine="480" w:firstLineChars="200"/>
        <w:rPr>
          <w:rFonts w:ascii="宋体" w:hAnsi="宋体"/>
          <w:bCs/>
          <w:sz w:val="24"/>
          <w:szCs w:val="24"/>
          <w:lang w:val="zh-CN"/>
        </w:rPr>
      </w:pPr>
      <w:r>
        <w:rPr>
          <w:rFonts w:hint="eastAsia" w:ascii="宋体" w:hAnsi="宋体"/>
          <w:bCs/>
          <w:sz w:val="24"/>
          <w:szCs w:val="24"/>
        </w:rPr>
        <w:t xml:space="preserve">18.3 </w:t>
      </w:r>
      <w:bookmarkStart w:id="38" w:name="OLE_LINK63"/>
      <w:r>
        <w:rPr>
          <w:rFonts w:hint="eastAsia" w:ascii="宋体" w:hAnsi="宋体"/>
          <w:bCs/>
          <w:sz w:val="24"/>
          <w:szCs w:val="24"/>
          <w:lang w:val="zh-CN"/>
        </w:rPr>
        <w:t>以联合体形式参加投标的</w:t>
      </w:r>
      <w:bookmarkEnd w:id="38"/>
      <w:r>
        <w:rPr>
          <w:rFonts w:hint="eastAsia" w:ascii="宋体" w:hAnsi="宋体"/>
          <w:bCs/>
          <w:sz w:val="24"/>
          <w:szCs w:val="24"/>
          <w:lang w:val="zh-CN"/>
        </w:rPr>
        <w:t>，联合体各方均应当符合采购法第二十二条第一款规定的条件；</w:t>
      </w:r>
      <w:bookmarkStart w:id="39" w:name="OLE_LINK128"/>
      <w:r>
        <w:rPr>
          <w:rFonts w:hint="eastAsia" w:ascii="宋体" w:hAnsi="宋体"/>
          <w:bCs/>
          <w:sz w:val="24"/>
          <w:szCs w:val="24"/>
          <w:lang w:val="zh-CN"/>
        </w:rPr>
        <w:t>联合体中有同类资质的供应商按照联合体分工承担相同工作的，应当按照资质等级较低的供应商确定资质等级。联合体成员存在不良信用记录的，视同联合体存在不良信用记录。</w:t>
      </w:r>
      <w:bookmarkEnd w:id="39"/>
    </w:p>
    <w:p w14:paraId="379A7F34">
      <w:pPr>
        <w:spacing w:line="360" w:lineRule="auto"/>
        <w:ind w:firstLine="480" w:firstLineChars="200"/>
        <w:rPr>
          <w:rFonts w:ascii="宋体" w:hAnsi="宋体"/>
          <w:bCs/>
          <w:sz w:val="24"/>
          <w:szCs w:val="24"/>
          <w:lang w:val="zh-CN"/>
        </w:rPr>
      </w:pPr>
      <w:r>
        <w:rPr>
          <w:rFonts w:hint="eastAsia" w:ascii="宋体" w:hAnsi="宋体"/>
          <w:bCs/>
          <w:sz w:val="24"/>
          <w:szCs w:val="24"/>
        </w:rPr>
        <w:t>18</w:t>
      </w:r>
      <w:r>
        <w:rPr>
          <w:rFonts w:hint="eastAsia" w:ascii="宋体" w:hAnsi="宋体"/>
          <w:bCs/>
          <w:sz w:val="24"/>
          <w:szCs w:val="24"/>
          <w:lang w:val="zh-CN"/>
        </w:rPr>
        <w:t>.4本项目接受联合体招标。</w:t>
      </w:r>
    </w:p>
    <w:p w14:paraId="5C4C5AE2">
      <w:pPr>
        <w:spacing w:line="360" w:lineRule="auto"/>
        <w:ind w:firstLine="482" w:firstLineChars="200"/>
        <w:rPr>
          <w:rFonts w:ascii="宋体" w:hAnsi="宋体"/>
          <w:b/>
          <w:sz w:val="24"/>
          <w:szCs w:val="24"/>
          <w:lang w:val="zh-CN"/>
        </w:rPr>
      </w:pPr>
      <w:r>
        <w:rPr>
          <w:rFonts w:hint="eastAsia" w:ascii="宋体" w:hAnsi="宋体"/>
          <w:b/>
          <w:sz w:val="24"/>
          <w:szCs w:val="24"/>
        </w:rPr>
        <w:t>五、</w:t>
      </w:r>
      <w:r>
        <w:rPr>
          <w:rFonts w:hint="eastAsia" w:ascii="宋体" w:hAnsi="宋体"/>
          <w:b/>
          <w:sz w:val="24"/>
          <w:szCs w:val="24"/>
          <w:lang w:val="zh-CN"/>
        </w:rPr>
        <w:t>开标、</w:t>
      </w:r>
      <w:r>
        <w:rPr>
          <w:rFonts w:hint="eastAsia" w:ascii="宋体" w:hAnsi="宋体"/>
          <w:b/>
          <w:sz w:val="24"/>
          <w:szCs w:val="24"/>
        </w:rPr>
        <w:t>资审、</w:t>
      </w:r>
      <w:r>
        <w:rPr>
          <w:rFonts w:hint="eastAsia" w:ascii="宋体" w:hAnsi="宋体"/>
          <w:b/>
          <w:sz w:val="24"/>
          <w:szCs w:val="24"/>
          <w:lang w:val="zh-CN"/>
        </w:rPr>
        <w:t>评标、定标、废标</w:t>
      </w:r>
    </w:p>
    <w:p w14:paraId="2F6CE61E">
      <w:pPr>
        <w:spacing w:line="360" w:lineRule="auto"/>
        <w:ind w:firstLine="482" w:firstLineChars="200"/>
        <w:rPr>
          <w:rFonts w:ascii="宋体" w:hAnsi="宋体"/>
          <w:b/>
          <w:sz w:val="24"/>
          <w:szCs w:val="24"/>
        </w:rPr>
      </w:pPr>
      <w:r>
        <w:rPr>
          <w:rFonts w:hint="eastAsia" w:ascii="宋体" w:hAnsi="宋体"/>
          <w:b/>
          <w:sz w:val="24"/>
          <w:szCs w:val="24"/>
        </w:rPr>
        <w:t>19、开标</w:t>
      </w:r>
    </w:p>
    <w:p w14:paraId="65B64E68">
      <w:pPr>
        <w:spacing w:line="360" w:lineRule="auto"/>
        <w:ind w:firstLine="480" w:firstLineChars="200"/>
        <w:rPr>
          <w:rFonts w:ascii="宋体" w:hAnsi="宋体"/>
          <w:bCs/>
          <w:sz w:val="24"/>
          <w:szCs w:val="24"/>
          <w:lang w:val="zh-CN"/>
        </w:rPr>
      </w:pPr>
      <w:r>
        <w:rPr>
          <w:rFonts w:hint="eastAsia" w:ascii="宋体" w:hAnsi="宋体"/>
          <w:bCs/>
          <w:sz w:val="24"/>
          <w:szCs w:val="24"/>
        </w:rPr>
        <w:t xml:space="preserve">19.1 </w:t>
      </w:r>
      <w:r>
        <w:rPr>
          <w:rFonts w:hint="eastAsia" w:ascii="宋体" w:hAnsi="宋体"/>
          <w:bCs/>
          <w:sz w:val="24"/>
          <w:szCs w:val="24"/>
          <w:lang w:val="zh-CN"/>
        </w:rPr>
        <w:t>采购人按招标文件规定的时间在江苏鼎坚工程咨询有限公司会议室召开开标大会，开标时由投标人自行检查其投标文件的密封情况，经确认无误后，采购人或采购代理机构当众拆封，宣布投标人名称、投标价格（开标一览表中合计金额（大写金额））和招标文件规定的需要宣布的其他内容。</w:t>
      </w:r>
    </w:p>
    <w:p w14:paraId="4A221AE5">
      <w:pPr>
        <w:spacing w:line="360" w:lineRule="auto"/>
        <w:ind w:firstLine="480" w:firstLineChars="200"/>
        <w:rPr>
          <w:rFonts w:ascii="宋体" w:hAnsi="宋体"/>
          <w:bCs/>
          <w:sz w:val="24"/>
          <w:szCs w:val="24"/>
          <w:lang w:val="zh-CN"/>
        </w:rPr>
      </w:pPr>
      <w:r>
        <w:rPr>
          <w:rFonts w:hint="eastAsia" w:ascii="宋体" w:hAnsi="宋体"/>
          <w:bCs/>
          <w:sz w:val="24"/>
          <w:szCs w:val="24"/>
        </w:rPr>
        <w:t>19</w:t>
      </w:r>
      <w:r>
        <w:rPr>
          <w:rFonts w:hint="eastAsia" w:ascii="宋体" w:hAnsi="宋体"/>
          <w:bCs/>
          <w:sz w:val="24"/>
          <w:szCs w:val="24"/>
          <w:lang w:val="zh-CN"/>
        </w:rPr>
        <w:t>.2  开标</w:t>
      </w:r>
      <w:bookmarkStart w:id="40" w:name="OLE_LINK130"/>
      <w:r>
        <w:rPr>
          <w:rFonts w:hint="eastAsia" w:ascii="宋体" w:hAnsi="宋体"/>
          <w:bCs/>
          <w:sz w:val="24"/>
          <w:szCs w:val="24"/>
          <w:lang w:val="zh-CN"/>
        </w:rPr>
        <w:t>过程由采购人或者采购代理机构负责记录，由参加开标的各投标人代表和相关工作人员签字确认后随采购文件一并存档。</w:t>
      </w:r>
      <w:bookmarkEnd w:id="40"/>
      <w:r>
        <w:rPr>
          <w:rFonts w:hint="eastAsia" w:ascii="宋体" w:hAnsi="宋体"/>
          <w:bCs/>
          <w:sz w:val="24"/>
          <w:szCs w:val="24"/>
          <w:lang w:val="zh-CN"/>
        </w:rPr>
        <w:t>投标人未参加开标的，视同认可开标结果。</w:t>
      </w:r>
    </w:p>
    <w:p w14:paraId="5CD285C0">
      <w:pPr>
        <w:spacing w:line="360" w:lineRule="auto"/>
        <w:ind w:firstLine="480" w:firstLineChars="200"/>
        <w:rPr>
          <w:rFonts w:ascii="宋体" w:hAnsi="宋体"/>
          <w:bCs/>
          <w:sz w:val="24"/>
          <w:szCs w:val="24"/>
        </w:rPr>
      </w:pPr>
      <w:r>
        <w:rPr>
          <w:rFonts w:hint="eastAsia" w:ascii="宋体" w:hAnsi="宋体"/>
          <w:bCs/>
          <w:sz w:val="24"/>
          <w:szCs w:val="24"/>
        </w:rPr>
        <w:t xml:space="preserve">19.3 </w:t>
      </w:r>
      <w:bookmarkStart w:id="41" w:name="OLE_LINK131"/>
      <w:r>
        <w:rPr>
          <w:rFonts w:hint="eastAsia" w:ascii="宋体" w:hAnsi="宋体"/>
          <w:bCs/>
          <w:sz w:val="24"/>
          <w:szCs w:val="24"/>
        </w:rPr>
        <w:t>投标人对开标过程和开标记录有疑义，以及认为采购人、采购代理机构相关工作人员有需要回避的情形的，应当场提出询问或者回避申请。</w:t>
      </w:r>
      <w:bookmarkEnd w:id="41"/>
      <w:bookmarkStart w:id="42" w:name="OLE_LINK176"/>
      <w:r>
        <w:rPr>
          <w:rFonts w:hint="eastAsia" w:ascii="宋体" w:hAnsi="宋体"/>
          <w:bCs/>
          <w:sz w:val="24"/>
          <w:szCs w:val="24"/>
        </w:rPr>
        <w:t>对投标文件报价前后不一致的修正，待进入评标环节以后，由</w:t>
      </w:r>
      <w:r>
        <w:rPr>
          <w:rFonts w:hint="eastAsia" w:ascii="宋体" w:hAnsi="宋体"/>
          <w:bCs/>
          <w:sz w:val="24"/>
          <w:szCs w:val="24"/>
          <w:lang w:val="zh-CN"/>
        </w:rPr>
        <w:t>评标委员会做出认定</w:t>
      </w:r>
      <w:bookmarkEnd w:id="42"/>
      <w:r>
        <w:rPr>
          <w:rFonts w:hint="eastAsia" w:ascii="宋体" w:hAnsi="宋体"/>
          <w:bCs/>
          <w:sz w:val="24"/>
          <w:szCs w:val="24"/>
          <w:lang w:val="zh-CN"/>
        </w:rPr>
        <w:t>；若未进入评审环节，不需要做出认定。</w:t>
      </w:r>
    </w:p>
    <w:p w14:paraId="4EAF835C">
      <w:pPr>
        <w:spacing w:line="360" w:lineRule="auto"/>
        <w:ind w:firstLine="482" w:firstLineChars="200"/>
        <w:rPr>
          <w:rFonts w:ascii="宋体" w:hAnsi="宋体"/>
          <w:b/>
          <w:sz w:val="24"/>
          <w:szCs w:val="24"/>
        </w:rPr>
      </w:pPr>
      <w:r>
        <w:rPr>
          <w:rFonts w:hint="eastAsia" w:ascii="宋体" w:hAnsi="宋体"/>
          <w:b/>
          <w:sz w:val="24"/>
          <w:szCs w:val="24"/>
        </w:rPr>
        <w:t>20、资格性审查</w:t>
      </w:r>
    </w:p>
    <w:p w14:paraId="5DFED468">
      <w:pPr>
        <w:spacing w:line="360" w:lineRule="auto"/>
        <w:ind w:firstLine="480"/>
        <w:rPr>
          <w:rFonts w:ascii="宋体" w:hAnsi="宋体" w:cs="宋体"/>
          <w:sz w:val="24"/>
          <w:szCs w:val="24"/>
        </w:rPr>
      </w:pPr>
      <w:r>
        <w:rPr>
          <w:rFonts w:hint="eastAsia" w:ascii="宋体" w:hAnsi="宋体"/>
          <w:bCs/>
          <w:sz w:val="24"/>
          <w:szCs w:val="24"/>
        </w:rPr>
        <w:t>20.1 开标结束后，</w:t>
      </w:r>
      <w:r>
        <w:rPr>
          <w:rFonts w:hint="eastAsia" w:ascii="宋体" w:hAnsi="宋体" w:cs="宋体"/>
          <w:sz w:val="24"/>
          <w:szCs w:val="24"/>
        </w:rPr>
        <w:t>采购人现场依法对投标人的资格进行审查。</w:t>
      </w:r>
    </w:p>
    <w:p w14:paraId="16E3A455">
      <w:pPr>
        <w:spacing w:line="360" w:lineRule="auto"/>
        <w:ind w:firstLine="480"/>
        <w:rPr>
          <w:rFonts w:ascii="宋体" w:hAnsi="宋体" w:cs="宋体"/>
          <w:sz w:val="24"/>
          <w:szCs w:val="24"/>
        </w:rPr>
      </w:pPr>
      <w:r>
        <w:rPr>
          <w:rFonts w:hint="eastAsia" w:ascii="宋体" w:hAnsi="宋体" w:cs="宋体"/>
          <w:sz w:val="24"/>
          <w:szCs w:val="24"/>
        </w:rPr>
        <w:t>合格投标人不足3家的，不得评标。</w:t>
      </w:r>
    </w:p>
    <w:p w14:paraId="41C7C066">
      <w:pPr>
        <w:spacing w:line="360" w:lineRule="auto"/>
        <w:ind w:firstLine="480"/>
        <w:rPr>
          <w:rFonts w:ascii="宋体" w:hAnsi="宋体" w:cs="宋体"/>
          <w:sz w:val="24"/>
          <w:szCs w:val="24"/>
        </w:rPr>
      </w:pPr>
      <w:r>
        <w:rPr>
          <w:rFonts w:hint="eastAsia" w:ascii="宋体" w:hAnsi="宋体" w:cs="宋体"/>
          <w:sz w:val="24"/>
          <w:szCs w:val="24"/>
        </w:rPr>
        <w:t>20.2 资格审查包括两部分内容：</w:t>
      </w:r>
    </w:p>
    <w:p w14:paraId="7439F56B">
      <w:pPr>
        <w:spacing w:line="360" w:lineRule="auto"/>
        <w:ind w:firstLine="480"/>
        <w:rPr>
          <w:rFonts w:ascii="宋体" w:hAnsi="宋体" w:cs="宋体"/>
          <w:sz w:val="24"/>
          <w:szCs w:val="24"/>
        </w:rPr>
      </w:pPr>
      <w:bookmarkStart w:id="43" w:name="OLE_LINK257"/>
      <w:bookmarkStart w:id="44" w:name="OLE_LINK261"/>
      <w:r>
        <w:rPr>
          <w:rFonts w:hint="eastAsia" w:ascii="宋体" w:hAnsi="宋体" w:cs="宋体"/>
          <w:sz w:val="24"/>
          <w:szCs w:val="24"/>
        </w:rPr>
        <w:t xml:space="preserve">20.2.1 </w:t>
      </w:r>
      <w:bookmarkEnd w:id="43"/>
      <w:r>
        <w:rPr>
          <w:rFonts w:hint="eastAsia" w:ascii="宋体" w:hAnsi="宋体" w:cs="宋体"/>
          <w:sz w:val="24"/>
          <w:szCs w:val="24"/>
        </w:rPr>
        <w:t>按照本须知“9、投标文件的组成”中“（3）资格证明文件”的要求依法对投标人的资格进行审查。</w:t>
      </w:r>
    </w:p>
    <w:p w14:paraId="02BEFD42">
      <w:pPr>
        <w:spacing w:line="360" w:lineRule="auto"/>
        <w:ind w:firstLine="480"/>
        <w:rPr>
          <w:rFonts w:ascii="宋体" w:hAnsi="宋体" w:cs="宋体"/>
          <w:sz w:val="24"/>
          <w:szCs w:val="24"/>
        </w:rPr>
      </w:pPr>
      <w:r>
        <w:rPr>
          <w:rFonts w:hint="eastAsia" w:ascii="宋体" w:hAnsi="宋体" w:cs="宋体"/>
          <w:sz w:val="24"/>
          <w:szCs w:val="24"/>
        </w:rPr>
        <w:t>20.2.2 信用查询。</w:t>
      </w:r>
    </w:p>
    <w:p w14:paraId="362E6737">
      <w:pPr>
        <w:spacing w:line="360" w:lineRule="auto"/>
        <w:ind w:firstLine="480"/>
        <w:rPr>
          <w:rFonts w:ascii="宋体" w:hAnsi="宋体" w:cs="宋体"/>
          <w:sz w:val="24"/>
          <w:szCs w:val="24"/>
        </w:rPr>
      </w:pPr>
      <w:r>
        <w:rPr>
          <w:rFonts w:hint="eastAsia" w:ascii="宋体" w:hAnsi="宋体" w:cs="宋体"/>
          <w:sz w:val="24"/>
          <w:szCs w:val="24"/>
        </w:rPr>
        <w:t>① 查询时间：采购人将在资审环节查询投标人的信用记录，投标人存在不良信用记录的，其投标将被认定为投标无效。</w:t>
      </w:r>
    </w:p>
    <w:p w14:paraId="6B01DC46">
      <w:pPr>
        <w:spacing w:line="360" w:lineRule="auto"/>
        <w:ind w:firstLine="480"/>
        <w:rPr>
          <w:rFonts w:ascii="宋体" w:hAnsi="宋体" w:cs="宋体"/>
          <w:sz w:val="24"/>
          <w:szCs w:val="24"/>
        </w:rPr>
      </w:pPr>
      <w:r>
        <w:rPr>
          <w:rFonts w:hint="eastAsia" w:ascii="宋体" w:hAnsi="宋体" w:cs="宋体"/>
          <w:sz w:val="24"/>
          <w:szCs w:val="24"/>
        </w:rPr>
        <w:t>② 不良信用记录指：按照</w:t>
      </w:r>
      <w:r>
        <w:rPr>
          <w:rFonts w:ascii="宋体" w:hAnsi="宋体" w:cs="宋体"/>
          <w:sz w:val="24"/>
          <w:szCs w:val="24"/>
          <w:lang w:bidi="ar"/>
        </w:rPr>
        <w:t>《财政部关于在政府采购活动中查询及使用信用记录有关问题的通知》</w:t>
      </w:r>
      <w:r>
        <w:rPr>
          <w:rFonts w:hint="eastAsia" w:ascii="宋体" w:hAnsi="宋体" w:cs="宋体"/>
          <w:sz w:val="24"/>
          <w:szCs w:val="24"/>
          <w:lang w:bidi="ar"/>
        </w:rPr>
        <w:t>（</w:t>
      </w:r>
      <w:r>
        <w:rPr>
          <w:rFonts w:ascii="宋体" w:hAnsi="宋体" w:cs="宋体"/>
          <w:sz w:val="24"/>
          <w:szCs w:val="24"/>
          <w:lang w:bidi="ar"/>
        </w:rPr>
        <w:t>财库〔2016〕125号</w:t>
      </w:r>
      <w:r>
        <w:rPr>
          <w:rFonts w:hint="eastAsia" w:ascii="宋体" w:hAnsi="宋体" w:cs="宋体"/>
          <w:sz w:val="24"/>
          <w:szCs w:val="24"/>
          <w:lang w:bidi="ar"/>
        </w:rPr>
        <w:t>）要求，</w:t>
      </w:r>
      <w:r>
        <w:rPr>
          <w:rFonts w:hint="eastAsia" w:ascii="宋体" w:hAnsi="宋体" w:cs="宋体"/>
          <w:sz w:val="24"/>
          <w:szCs w:val="24"/>
        </w:rPr>
        <w:t>在“信用中国”网站（www.creditchina.gov.cn）被列入失信</w:t>
      </w:r>
      <w:r>
        <w:rPr>
          <w:rFonts w:hint="eastAsia" w:ascii="宋体" w:hAnsi="宋体" w:cs="宋体"/>
          <w:sz w:val="24"/>
          <w:szCs w:val="24"/>
          <w:lang w:val="en-US" w:eastAsia="zh-CN"/>
        </w:rPr>
        <w:t>被</w:t>
      </w:r>
      <w:r>
        <w:rPr>
          <w:rFonts w:hint="eastAsia" w:ascii="宋体" w:hAnsi="宋体" w:cs="宋体"/>
          <w:sz w:val="24"/>
          <w:szCs w:val="24"/>
        </w:rPr>
        <w:t>执行人、重大税收违法案件当事人名单、政府采购严重违法失信名单，或在“中国政府采购网”网站（www.ccgp.gov.cn）被列入政府采购严重违法失信行为记录名单。</w:t>
      </w:r>
    </w:p>
    <w:p w14:paraId="74DD3A9E">
      <w:pPr>
        <w:spacing w:line="360" w:lineRule="auto"/>
        <w:ind w:firstLine="480"/>
        <w:rPr>
          <w:rFonts w:ascii="宋体" w:hAnsi="宋体" w:cs="宋体"/>
          <w:sz w:val="24"/>
          <w:szCs w:val="24"/>
        </w:rPr>
      </w:pPr>
      <w:r>
        <w:rPr>
          <w:rFonts w:hint="eastAsia" w:ascii="宋体" w:hAnsi="宋体" w:cs="宋体"/>
          <w:sz w:val="24"/>
          <w:szCs w:val="24"/>
        </w:rPr>
        <w:t>③ 查询及记录方式：采购人将查询网页打印、签字并存档备查。</w:t>
      </w:r>
      <w:bookmarkEnd w:id="44"/>
      <w:r>
        <w:rPr>
          <w:rFonts w:hint="eastAsia" w:ascii="宋体" w:hAnsi="宋体" w:cs="宋体"/>
          <w:sz w:val="24"/>
          <w:szCs w:val="24"/>
        </w:rPr>
        <w:t>投标人不良信用记录以</w:t>
      </w:r>
      <w:r>
        <w:rPr>
          <w:rFonts w:hint="eastAsia" w:ascii="宋体" w:hAnsi="宋体"/>
          <w:bCs/>
          <w:sz w:val="24"/>
          <w:szCs w:val="24"/>
        </w:rPr>
        <w:t>采购人</w:t>
      </w:r>
      <w:r>
        <w:rPr>
          <w:rFonts w:hint="eastAsia" w:ascii="宋体" w:hAnsi="宋体" w:cs="宋体"/>
          <w:sz w:val="24"/>
          <w:szCs w:val="24"/>
        </w:rPr>
        <w:t>现场实时查询结果为准，投标人自行提供的与网站信息不一致的其他证明材料不作为资格审查依据；若在以上两个网站查询不到投标人企业信息的，以投标人提供的声明函为准。</w:t>
      </w:r>
    </w:p>
    <w:p w14:paraId="6FFCCE80">
      <w:pPr>
        <w:spacing w:line="360" w:lineRule="auto"/>
        <w:ind w:firstLine="482" w:firstLineChars="200"/>
        <w:rPr>
          <w:rFonts w:ascii="宋体" w:hAnsi="宋体"/>
          <w:b/>
          <w:sz w:val="24"/>
          <w:szCs w:val="24"/>
        </w:rPr>
      </w:pPr>
      <w:r>
        <w:rPr>
          <w:rFonts w:hint="eastAsia" w:ascii="宋体" w:hAnsi="宋体"/>
          <w:b/>
          <w:sz w:val="24"/>
          <w:szCs w:val="24"/>
        </w:rPr>
        <w:t>21、评标</w:t>
      </w:r>
    </w:p>
    <w:p w14:paraId="6A153F43">
      <w:pPr>
        <w:spacing w:line="360" w:lineRule="auto"/>
        <w:ind w:firstLine="480" w:firstLineChars="200"/>
        <w:rPr>
          <w:rFonts w:ascii="宋体" w:hAnsi="宋体"/>
          <w:bCs/>
          <w:sz w:val="24"/>
          <w:szCs w:val="24"/>
        </w:rPr>
      </w:pPr>
      <w:r>
        <w:rPr>
          <w:rFonts w:hint="eastAsia" w:ascii="宋体" w:hAnsi="宋体"/>
          <w:bCs/>
          <w:sz w:val="24"/>
          <w:szCs w:val="24"/>
        </w:rPr>
        <w:t>21.1 具体评标事务由采购人依法组建的评标委员会负责。</w:t>
      </w:r>
    </w:p>
    <w:p w14:paraId="08E1FB2C">
      <w:pPr>
        <w:spacing w:line="360" w:lineRule="auto"/>
        <w:ind w:firstLine="480" w:firstLineChars="200"/>
        <w:rPr>
          <w:rFonts w:ascii="宋体" w:hAnsi="宋体"/>
          <w:bCs/>
          <w:sz w:val="24"/>
          <w:szCs w:val="24"/>
          <w:lang w:val="zh-CN"/>
        </w:rPr>
      </w:pPr>
      <w:r>
        <w:rPr>
          <w:rFonts w:hint="eastAsia" w:ascii="宋体" w:hAnsi="宋体"/>
          <w:bCs/>
          <w:sz w:val="24"/>
          <w:szCs w:val="24"/>
        </w:rPr>
        <w:t>21.2 评标委员会对符合资格的投标人的投标文件进行符合性审查，以确定其是否满足招标文件的实质性要求。</w:t>
      </w:r>
      <w:r>
        <w:rPr>
          <w:rFonts w:hint="eastAsia" w:ascii="宋体" w:hAnsi="宋体"/>
          <w:b/>
          <w:sz w:val="24"/>
          <w:szCs w:val="24"/>
          <w:lang w:val="zh-CN"/>
        </w:rPr>
        <w:t>实质性要求是指本招标文件中</w:t>
      </w:r>
      <w:r>
        <w:rPr>
          <w:rFonts w:hint="eastAsia" w:ascii="宋体" w:hAnsi="宋体"/>
          <w:b/>
          <w:sz w:val="24"/>
          <w:szCs w:val="24"/>
        </w:rPr>
        <w:t>“第四章项目技术要求和有关说明”部及其他“必须”或“应（应当）”等文字说明的相关要求。</w:t>
      </w:r>
    </w:p>
    <w:p w14:paraId="65EF240E">
      <w:pPr>
        <w:spacing w:line="360" w:lineRule="auto"/>
        <w:ind w:firstLine="480" w:firstLineChars="200"/>
        <w:rPr>
          <w:rFonts w:ascii="宋体" w:hAnsi="宋体"/>
          <w:bCs/>
          <w:sz w:val="24"/>
          <w:szCs w:val="24"/>
        </w:rPr>
      </w:pPr>
      <w:r>
        <w:rPr>
          <w:rFonts w:hint="eastAsia" w:ascii="宋体" w:hAnsi="宋体"/>
          <w:bCs/>
          <w:sz w:val="24"/>
          <w:szCs w:val="24"/>
        </w:rPr>
        <w:t>21.3</w:t>
      </w:r>
      <w:bookmarkStart w:id="45" w:name="OLE_LINK132"/>
      <w:r>
        <w:rPr>
          <w:rFonts w:hint="eastAsia" w:ascii="宋体" w:hAnsi="宋体"/>
          <w:b/>
          <w:sz w:val="24"/>
          <w:szCs w:val="24"/>
        </w:rPr>
        <w:t xml:space="preserve"> 澄清有关问题。</w:t>
      </w:r>
      <w:bookmarkEnd w:id="45"/>
      <w:r>
        <w:rPr>
          <w:rFonts w:hint="eastAsia" w:ascii="宋体" w:hAnsi="宋体" w:cs="宋体"/>
          <w:sz w:val="24"/>
          <w:szCs w:val="24"/>
        </w:rPr>
        <w:t>对投标文件中含义不明确、同类问题表述不一致或者有明显文字和计算错误的内容</w:t>
      </w:r>
      <w:r>
        <w:rPr>
          <w:rFonts w:hint="eastAsia" w:ascii="宋体" w:hAnsi="宋体"/>
          <w:bCs/>
          <w:sz w:val="24"/>
          <w:szCs w:val="24"/>
        </w:rPr>
        <w:t>，</w:t>
      </w:r>
      <w:r>
        <w:rPr>
          <w:rFonts w:hint="eastAsia" w:ascii="宋体" w:hAnsi="宋体" w:cs="宋体"/>
          <w:sz w:val="24"/>
          <w:szCs w:val="24"/>
        </w:rPr>
        <w:t>评标委员会应当以书面形式要求投标人作出必要的澄清、说明或者补正</w:t>
      </w:r>
      <w:r>
        <w:rPr>
          <w:rFonts w:hint="eastAsia" w:ascii="宋体" w:hAnsi="宋体"/>
          <w:bCs/>
          <w:sz w:val="24"/>
          <w:szCs w:val="24"/>
        </w:rPr>
        <w:t>。</w:t>
      </w:r>
      <w:bookmarkStart w:id="46" w:name="OLE_LINK26"/>
      <w:r>
        <w:rPr>
          <w:rFonts w:hint="eastAsia" w:ascii="宋体" w:hAnsi="宋体" w:cs="宋体"/>
          <w:sz w:val="24"/>
          <w:szCs w:val="24"/>
        </w:rPr>
        <w:t>投标人的澄清、说明或者补正应当采用书面形式，并加盖公章，或者由法定代表人或其授权的代表签字</w:t>
      </w:r>
      <w:bookmarkEnd w:id="46"/>
      <w:r>
        <w:rPr>
          <w:rFonts w:hint="eastAsia" w:ascii="宋体" w:hAnsi="宋体" w:cs="宋体"/>
          <w:sz w:val="24"/>
          <w:szCs w:val="24"/>
        </w:rPr>
        <w:t>。投标人的澄清、说明或者补正不得超出投标文件的范围或者改变投标文件的实质性内容。</w:t>
      </w:r>
      <w:bookmarkStart w:id="47" w:name="OLE_LINK129"/>
      <w:r>
        <w:rPr>
          <w:rFonts w:hint="eastAsia" w:ascii="宋体" w:hAnsi="宋体" w:cs="宋体"/>
          <w:sz w:val="24"/>
          <w:szCs w:val="24"/>
        </w:rPr>
        <w:t>若</w:t>
      </w:r>
      <w:r>
        <w:rPr>
          <w:rFonts w:hint="eastAsia" w:ascii="宋体" w:hAnsi="宋体"/>
          <w:bCs/>
          <w:sz w:val="24"/>
          <w:szCs w:val="24"/>
        </w:rPr>
        <w:t>对不同文字文本投标文件的解释发生异议的，以中文文本为准；正本与副本不符，以正本为准。</w:t>
      </w:r>
      <w:bookmarkEnd w:id="47"/>
    </w:p>
    <w:p w14:paraId="38ACD56D">
      <w:pPr>
        <w:tabs>
          <w:tab w:val="left" w:pos="945"/>
        </w:tabs>
        <w:spacing w:line="360" w:lineRule="auto"/>
        <w:ind w:firstLine="523" w:firstLineChars="218"/>
        <w:rPr>
          <w:rFonts w:ascii="宋体" w:hAnsi="宋体"/>
          <w:bCs/>
          <w:sz w:val="24"/>
        </w:rPr>
      </w:pPr>
      <w:r>
        <w:rPr>
          <w:rFonts w:hint="eastAsia" w:ascii="宋体" w:hAnsi="宋体"/>
          <w:bCs/>
          <w:sz w:val="24"/>
        </w:rPr>
        <w:t xml:space="preserve">21.4 </w:t>
      </w:r>
      <w:r>
        <w:rPr>
          <w:rFonts w:hint="eastAsia" w:ascii="宋体" w:hAnsi="宋体"/>
          <w:b/>
          <w:sz w:val="24"/>
        </w:rPr>
        <w:t>比较与评价</w:t>
      </w:r>
      <w:r>
        <w:rPr>
          <w:rFonts w:hint="eastAsia" w:ascii="宋体" w:hAnsi="宋体"/>
          <w:bCs/>
          <w:sz w:val="24"/>
        </w:rPr>
        <w:t>。</w:t>
      </w:r>
      <w:r>
        <w:rPr>
          <w:rFonts w:hint="eastAsia" w:ascii="宋体" w:hAnsi="宋体" w:cs="宋体"/>
          <w:sz w:val="24"/>
          <w:szCs w:val="24"/>
        </w:rPr>
        <w:t>评标委员会应当按照招标文件中规定的评标方法和标准，对符合性审查合格的投标文件进行商务和技术评估，综合比较与评价。</w:t>
      </w:r>
    </w:p>
    <w:p w14:paraId="6BFEE77E">
      <w:pPr>
        <w:spacing w:line="360" w:lineRule="auto"/>
        <w:ind w:firstLine="480" w:firstLineChars="200"/>
        <w:rPr>
          <w:rFonts w:ascii="宋体" w:hAnsi="宋体"/>
          <w:bCs/>
          <w:sz w:val="24"/>
        </w:rPr>
      </w:pPr>
      <w:r>
        <w:rPr>
          <w:rFonts w:hint="eastAsia" w:ascii="宋体" w:hAnsi="宋体"/>
          <w:bCs/>
          <w:sz w:val="24"/>
        </w:rPr>
        <w:t>21.</w:t>
      </w:r>
      <w:r>
        <w:rPr>
          <w:rFonts w:hint="eastAsia" w:ascii="宋体"/>
          <w:bCs/>
          <w:sz w:val="24"/>
          <w:szCs w:val="24"/>
        </w:rPr>
        <w:t xml:space="preserve">5 </w:t>
      </w:r>
      <w:r>
        <w:rPr>
          <w:rFonts w:hint="eastAsia" w:ascii="宋体" w:hAnsi="宋体"/>
          <w:b/>
          <w:sz w:val="24"/>
        </w:rPr>
        <w:t>评标方法和标准</w:t>
      </w:r>
      <w:r>
        <w:rPr>
          <w:rFonts w:hint="eastAsia" w:ascii="宋体" w:hAnsi="宋体"/>
          <w:bCs/>
          <w:sz w:val="24"/>
        </w:rPr>
        <w:t>。本次招标采用</w:t>
      </w:r>
      <w:r>
        <w:rPr>
          <w:rFonts w:hint="eastAsia" w:ascii="宋体" w:hAnsi="宋体"/>
          <w:bCs/>
          <w:color w:val="0000FF"/>
          <w:sz w:val="24"/>
        </w:rPr>
        <w:t>综合评分法。</w:t>
      </w:r>
    </w:p>
    <w:p w14:paraId="642F1F8F">
      <w:pPr>
        <w:spacing w:line="360" w:lineRule="auto"/>
        <w:ind w:firstLine="480" w:firstLineChars="200"/>
        <w:rPr>
          <w:rFonts w:ascii="宋体" w:hAnsi="宋体" w:cs="宋体"/>
          <w:bCs/>
          <w:sz w:val="24"/>
        </w:rPr>
      </w:pPr>
      <w:r>
        <w:rPr>
          <w:rFonts w:hint="eastAsia" w:ascii="宋体" w:hAnsi="宋体"/>
          <w:bCs/>
          <w:sz w:val="24"/>
        </w:rPr>
        <w:t>（1）评标委员会在资格性检查、符合性检查的基础上，按照招标文件确定的评分标准分别评定投标人的分值，各投标人的最终得分为各评委所评定分值的平均值,并按由高到低顺序排列，推荐三名中标候选人。</w:t>
      </w:r>
    </w:p>
    <w:p w14:paraId="12150E36">
      <w:pPr>
        <w:tabs>
          <w:tab w:val="left" w:pos="945"/>
        </w:tabs>
        <w:spacing w:line="360" w:lineRule="auto"/>
        <w:ind w:left="1" w:firstLine="480"/>
        <w:rPr>
          <w:rFonts w:ascii="宋体" w:hAnsi="宋体"/>
          <w:bCs/>
          <w:sz w:val="24"/>
          <w:szCs w:val="24"/>
        </w:rPr>
      </w:pPr>
      <w:r>
        <w:rPr>
          <w:rFonts w:hint="eastAsia" w:ascii="宋体" w:hAnsi="宋体" w:cs="宋体"/>
          <w:sz w:val="24"/>
          <w:szCs w:val="24"/>
          <w:lang w:val="zh-CN"/>
        </w:rPr>
        <w:t>若得分相同，按投标报价由低到高顺序排列；若得分且投标报价均相同的，则进行随机抽签，</w:t>
      </w:r>
      <w:r>
        <w:rPr>
          <w:rFonts w:hint="eastAsia" w:ascii="宋体" w:hAnsi="宋体"/>
          <w:bCs/>
          <w:sz w:val="24"/>
          <w:szCs w:val="24"/>
        </w:rPr>
        <w:t>按抽取号码值从大到小的顺序排列。随机抽签活动，按下列程序公开进行：</w:t>
      </w:r>
    </w:p>
    <w:p w14:paraId="6AD82B75">
      <w:pPr>
        <w:numPr>
          <w:ilvl w:val="0"/>
          <w:numId w:val="12"/>
        </w:numPr>
        <w:tabs>
          <w:tab w:val="left" w:pos="945"/>
        </w:tabs>
        <w:spacing w:line="360" w:lineRule="auto"/>
        <w:ind w:firstLine="638"/>
        <w:rPr>
          <w:rFonts w:ascii="宋体" w:hAnsi="宋体"/>
          <w:bCs/>
          <w:sz w:val="24"/>
          <w:szCs w:val="22"/>
        </w:rPr>
      </w:pPr>
      <w:r>
        <w:rPr>
          <w:rFonts w:hint="eastAsia" w:ascii="宋体" w:hAnsi="宋体"/>
          <w:bCs/>
          <w:sz w:val="24"/>
          <w:szCs w:val="22"/>
        </w:rPr>
        <w:t>根据</w:t>
      </w:r>
      <w:r>
        <w:rPr>
          <w:rFonts w:hint="eastAsia" w:ascii="宋体" w:hAnsi="宋体" w:cs="宋体"/>
          <w:sz w:val="24"/>
          <w:szCs w:val="24"/>
          <w:lang w:val="zh-CN"/>
        </w:rPr>
        <w:t>投标报价</w:t>
      </w:r>
      <w:r>
        <w:rPr>
          <w:rFonts w:hint="eastAsia" w:ascii="宋体" w:hAnsi="宋体"/>
          <w:bCs/>
          <w:sz w:val="24"/>
          <w:szCs w:val="22"/>
        </w:rPr>
        <w:t>相同的投标人数量，向抽取箱内放入三倍数量以上的号码球；</w:t>
      </w:r>
    </w:p>
    <w:p w14:paraId="0E0043A9">
      <w:pPr>
        <w:numPr>
          <w:ilvl w:val="0"/>
          <w:numId w:val="12"/>
        </w:numPr>
        <w:tabs>
          <w:tab w:val="left" w:pos="945"/>
        </w:tabs>
        <w:spacing w:line="360" w:lineRule="auto"/>
        <w:ind w:firstLine="638"/>
        <w:rPr>
          <w:rFonts w:ascii="宋体" w:hAnsi="宋体"/>
          <w:bCs/>
          <w:sz w:val="24"/>
          <w:szCs w:val="22"/>
        </w:rPr>
      </w:pPr>
      <w:r>
        <w:rPr>
          <w:rFonts w:hint="eastAsia" w:ascii="宋体" w:hAnsi="宋体"/>
          <w:bCs/>
          <w:sz w:val="24"/>
          <w:szCs w:val="22"/>
        </w:rPr>
        <w:t>按照投标人现场签到的先后顺序，由投标人代表（法定代表人或被授权代表）公开抽取一个号码球，当场公布抽取的号码并在记录表上签字确认。确认后，仍将号码球放入抽取箱内，由下一个投标人代表抽取号码球，直至所有投标人抽取完毕；</w:t>
      </w:r>
    </w:p>
    <w:p w14:paraId="3B928F10">
      <w:pPr>
        <w:numPr>
          <w:ilvl w:val="0"/>
          <w:numId w:val="12"/>
        </w:numPr>
        <w:tabs>
          <w:tab w:val="left" w:pos="945"/>
        </w:tabs>
        <w:spacing w:line="360" w:lineRule="auto"/>
        <w:ind w:firstLine="638"/>
        <w:rPr>
          <w:rFonts w:ascii="宋体" w:hAnsi="宋体"/>
          <w:bCs/>
          <w:sz w:val="24"/>
          <w:szCs w:val="22"/>
        </w:rPr>
      </w:pPr>
      <w:r>
        <w:rPr>
          <w:rFonts w:hint="eastAsia" w:ascii="宋体" w:hAnsi="宋体"/>
          <w:bCs/>
          <w:sz w:val="24"/>
          <w:szCs w:val="22"/>
        </w:rPr>
        <w:t>如抽签确定的号码值出现相同的情况，则有相同号码值的投标人代表进行第二轮抽取，从大到小排序。以此类推，直至确定相同号码值投标人的排序。</w:t>
      </w:r>
    </w:p>
    <w:p w14:paraId="5652F079">
      <w:pPr>
        <w:spacing w:line="360" w:lineRule="auto"/>
        <w:ind w:firstLine="482"/>
        <w:rPr>
          <w:rFonts w:ascii="宋体" w:hAnsi="宋体"/>
          <w:b/>
          <w:sz w:val="24"/>
          <w:szCs w:val="24"/>
        </w:rPr>
      </w:pPr>
      <w:r>
        <w:rPr>
          <w:rFonts w:hint="eastAsia" w:ascii="宋体" w:hAnsi="宋体"/>
          <w:b/>
          <w:sz w:val="24"/>
          <w:szCs w:val="24"/>
        </w:rPr>
        <w:t>抽签程序结束后，抽取的号码记录不因投标人的质疑、投诉以及其它任何情形而改变。</w:t>
      </w:r>
    </w:p>
    <w:p w14:paraId="4A256930">
      <w:pPr>
        <w:spacing w:line="360" w:lineRule="auto"/>
        <w:ind w:firstLine="480"/>
        <w:rPr>
          <w:lang w:val="zh-CN"/>
        </w:rPr>
      </w:pPr>
      <w:r>
        <w:rPr>
          <w:rFonts w:hint="eastAsia" w:ascii="宋体" w:hAnsi="宋体" w:cs="宋体"/>
          <w:sz w:val="24"/>
          <w:szCs w:val="24"/>
        </w:rPr>
        <w:t>注：除了算术修正</w:t>
      </w:r>
      <w:bookmarkStart w:id="48" w:name="OLE_LINK201"/>
      <w:r>
        <w:rPr>
          <w:rFonts w:hint="eastAsia" w:ascii="宋体" w:hAnsi="宋体" w:cs="宋体"/>
          <w:sz w:val="24"/>
          <w:szCs w:val="24"/>
        </w:rPr>
        <w:t>（</w:t>
      </w:r>
      <w:bookmarkStart w:id="49" w:name="OLE_LINK202"/>
      <w:r>
        <w:rPr>
          <w:rFonts w:hint="eastAsia" w:ascii="宋体" w:hAnsi="宋体" w:cs="宋体"/>
          <w:sz w:val="24"/>
          <w:szCs w:val="24"/>
        </w:rPr>
        <w:t>2</w:t>
      </w:r>
      <w:r>
        <w:rPr>
          <w:rFonts w:hint="eastAsia" w:ascii="宋体" w:hAnsi="宋体" w:cs="宋体"/>
          <w:sz w:val="24"/>
          <w:szCs w:val="24"/>
          <w:lang w:val="en-US" w:eastAsia="zh-CN"/>
        </w:rPr>
        <w:t>1</w:t>
      </w:r>
      <w:r>
        <w:rPr>
          <w:rFonts w:hint="eastAsia" w:ascii="宋体" w:hAnsi="宋体" w:cs="宋体"/>
          <w:sz w:val="24"/>
          <w:szCs w:val="24"/>
        </w:rPr>
        <w:t>.5.2</w:t>
      </w:r>
      <w:bookmarkEnd w:id="49"/>
      <w:r>
        <w:rPr>
          <w:rFonts w:hint="eastAsia" w:ascii="宋体" w:hAnsi="宋体" w:cs="宋体"/>
          <w:sz w:val="24"/>
          <w:szCs w:val="24"/>
        </w:rPr>
        <w:t>）</w:t>
      </w:r>
      <w:bookmarkEnd w:id="48"/>
      <w:r>
        <w:rPr>
          <w:rFonts w:hint="eastAsia" w:ascii="宋体" w:hAnsi="宋体" w:cs="宋体"/>
          <w:sz w:val="24"/>
          <w:szCs w:val="24"/>
        </w:rPr>
        <w:t>外，不对投标人的投标价格进行任何调整。</w:t>
      </w:r>
    </w:p>
    <w:p w14:paraId="6D5F8436">
      <w:pPr>
        <w:tabs>
          <w:tab w:val="left" w:pos="945"/>
        </w:tabs>
        <w:spacing w:line="360" w:lineRule="auto"/>
        <w:ind w:firstLine="480" w:firstLineChars="200"/>
        <w:rPr>
          <w:rFonts w:ascii="宋体" w:hAnsi="宋体"/>
          <w:bCs/>
          <w:sz w:val="24"/>
        </w:rPr>
      </w:pPr>
      <w:r>
        <w:rPr>
          <w:rFonts w:hint="eastAsia" w:ascii="宋体" w:hAnsi="宋体"/>
          <w:bCs/>
          <w:sz w:val="24"/>
        </w:rPr>
        <w:t>（2）投标文件报价出现前后不一致的，除招标文件另有规定外，按照下列规定修正：</w:t>
      </w:r>
    </w:p>
    <w:p w14:paraId="341AB91B">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投标文件中开标一览表内容与投标文件中相应内容不一致的，以开标一览表为准；</w:t>
      </w:r>
    </w:p>
    <w:p w14:paraId="3D72E1E5">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大写金额和小写金额不一致的，以大写金额为准；</w:t>
      </w:r>
    </w:p>
    <w:p w14:paraId="2D2D841B">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单价金额小数点或者百分比有明显错位的，以开标一览表的总价为准，并修改单价；</w:t>
      </w:r>
    </w:p>
    <w:p w14:paraId="31E046E1">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总价金额与按单价汇总金额不一致的，以单价金额计算结果为准。</w:t>
      </w:r>
    </w:p>
    <w:p w14:paraId="58AE9393">
      <w:pPr>
        <w:spacing w:line="360" w:lineRule="auto"/>
        <w:ind w:firstLine="480" w:firstLineChars="200"/>
        <w:rPr>
          <w:rFonts w:ascii="宋体" w:hAnsi="宋体"/>
          <w:bCs/>
          <w:sz w:val="24"/>
        </w:rPr>
      </w:pPr>
      <w:r>
        <w:rPr>
          <w:rFonts w:hint="eastAsia" w:ascii="宋体" w:hAnsi="宋体"/>
          <w:bCs/>
          <w:sz w:val="24"/>
        </w:rPr>
        <w:t>注：同时出现两种以上不一致的，按照前款规定的顺序修正。修正后的报价须</w:t>
      </w:r>
      <w:r>
        <w:rPr>
          <w:rFonts w:hint="eastAsia" w:ascii="宋体" w:hAnsi="宋体" w:cs="宋体"/>
          <w:sz w:val="24"/>
          <w:szCs w:val="24"/>
        </w:rPr>
        <w:t>加盖投标人公章，或由法定代表人或其授权的代表签字。</w:t>
      </w:r>
      <w:r>
        <w:rPr>
          <w:rFonts w:hint="eastAsia" w:ascii="宋体" w:hAnsi="宋体"/>
          <w:bCs/>
          <w:sz w:val="24"/>
        </w:rPr>
        <w:t>投标人不确认的，其投标无效。</w:t>
      </w:r>
    </w:p>
    <w:p w14:paraId="379391D9">
      <w:pPr>
        <w:spacing w:line="360" w:lineRule="auto"/>
        <w:ind w:firstLine="480"/>
        <w:rPr>
          <w:rFonts w:ascii="宋体" w:hAnsi="宋体"/>
          <w:bCs/>
          <w:sz w:val="24"/>
          <w:szCs w:val="24"/>
          <w:lang w:val="zh-CN"/>
        </w:rPr>
      </w:pPr>
      <w:r>
        <w:rPr>
          <w:rFonts w:hint="eastAsia" w:ascii="宋体" w:hAnsi="宋体"/>
          <w:bCs/>
          <w:sz w:val="24"/>
        </w:rPr>
        <w:t xml:space="preserve">21.6 </w:t>
      </w:r>
      <w:r>
        <w:rPr>
          <w:rFonts w:hint="eastAsia" w:ascii="宋体" w:hAnsi="宋体" w:cs="宋体"/>
          <w:sz w:val="24"/>
          <w:szCs w:val="24"/>
        </w:rPr>
        <w:t>评标委员会根据全体评标成员签字的原始评标记录和评标结果编写评标报告。</w:t>
      </w:r>
    </w:p>
    <w:p w14:paraId="11B6F015">
      <w:pPr>
        <w:spacing w:line="360" w:lineRule="auto"/>
        <w:ind w:firstLine="480"/>
        <w:rPr>
          <w:rFonts w:ascii="宋体" w:hAnsi="宋体"/>
          <w:bCs/>
          <w:sz w:val="24"/>
          <w:szCs w:val="24"/>
          <w:lang w:val="zh-CN"/>
        </w:rPr>
      </w:pPr>
      <w:r>
        <w:rPr>
          <w:rFonts w:hint="eastAsia" w:ascii="宋体" w:hAnsi="宋体"/>
          <w:bCs/>
          <w:sz w:val="24"/>
        </w:rPr>
        <w:t>21.7 采购人或</w:t>
      </w:r>
      <w:r>
        <w:rPr>
          <w:rFonts w:hint="eastAsia" w:ascii="宋体" w:hAnsi="宋体"/>
          <w:bCs/>
          <w:sz w:val="24"/>
          <w:szCs w:val="24"/>
          <w:lang w:val="zh-CN"/>
        </w:rPr>
        <w:t>采购代理机构</w:t>
      </w:r>
      <w:r>
        <w:rPr>
          <w:rFonts w:hint="eastAsia" w:ascii="宋体" w:hAnsi="宋体"/>
          <w:bCs/>
          <w:sz w:val="24"/>
        </w:rPr>
        <w:t>宣读</w:t>
      </w:r>
      <w:r>
        <w:rPr>
          <w:rFonts w:hint="eastAsia" w:ascii="宋体" w:hAnsi="宋体"/>
          <w:bCs/>
          <w:sz w:val="24"/>
          <w:szCs w:val="24"/>
          <w:lang w:val="zh-CN"/>
        </w:rPr>
        <w:t>评标委员会初步评审意见。</w:t>
      </w:r>
    </w:p>
    <w:p w14:paraId="14B7E076">
      <w:pPr>
        <w:spacing w:line="360" w:lineRule="auto"/>
        <w:ind w:firstLine="482" w:firstLineChars="200"/>
        <w:rPr>
          <w:rFonts w:ascii="宋体" w:hAnsi="宋体"/>
          <w:b/>
          <w:sz w:val="24"/>
          <w:szCs w:val="24"/>
        </w:rPr>
      </w:pPr>
      <w:r>
        <w:rPr>
          <w:rFonts w:hint="eastAsia" w:ascii="宋体" w:hAnsi="宋体"/>
          <w:b/>
          <w:sz w:val="24"/>
          <w:szCs w:val="24"/>
        </w:rPr>
        <w:t>22、定标</w:t>
      </w:r>
    </w:p>
    <w:p w14:paraId="737155E4">
      <w:pPr>
        <w:spacing w:line="360" w:lineRule="auto"/>
        <w:ind w:firstLine="480" w:firstLineChars="200"/>
        <w:rPr>
          <w:rFonts w:ascii="宋体" w:hAnsi="宋体"/>
          <w:bCs/>
          <w:sz w:val="24"/>
          <w:szCs w:val="24"/>
          <w:lang w:val="zh-CN"/>
        </w:rPr>
      </w:pPr>
      <w:r>
        <w:rPr>
          <w:rFonts w:hint="eastAsia" w:ascii="宋体" w:hAnsi="宋体"/>
          <w:bCs/>
          <w:sz w:val="24"/>
          <w:szCs w:val="24"/>
        </w:rPr>
        <w:t xml:space="preserve">22.1 </w:t>
      </w:r>
      <w:r>
        <w:rPr>
          <w:rFonts w:hint="eastAsia" w:ascii="宋体" w:hAnsi="宋体"/>
          <w:bCs/>
          <w:sz w:val="24"/>
          <w:szCs w:val="24"/>
          <w:lang w:val="zh-CN"/>
        </w:rPr>
        <w:t>评审结束后，采购人应当在收到评审报告后5个工作日内，在评审报告推荐的中标候选人中确定中标供应商。</w:t>
      </w:r>
    </w:p>
    <w:p w14:paraId="2029B8D5">
      <w:pPr>
        <w:spacing w:line="360" w:lineRule="auto"/>
        <w:ind w:firstLine="480" w:firstLineChars="200"/>
        <w:rPr>
          <w:rFonts w:ascii="宋体" w:hAnsi="宋体"/>
          <w:bCs/>
          <w:sz w:val="24"/>
          <w:szCs w:val="24"/>
          <w:lang w:val="zh-CN"/>
        </w:rPr>
      </w:pPr>
      <w:r>
        <w:rPr>
          <w:rFonts w:hint="eastAsia" w:ascii="宋体" w:hAnsi="宋体"/>
          <w:bCs/>
          <w:sz w:val="24"/>
          <w:szCs w:val="24"/>
        </w:rPr>
        <w:t xml:space="preserve">22.2 </w:t>
      </w:r>
      <w:r>
        <w:rPr>
          <w:rFonts w:hint="eastAsia" w:ascii="宋体" w:hAnsi="宋体"/>
          <w:bCs/>
          <w:sz w:val="24"/>
          <w:szCs w:val="24"/>
          <w:lang w:val="zh-CN"/>
        </w:rPr>
        <w:t>采购人和采购代理机构向中标供应商发出中标通知书。</w:t>
      </w:r>
    </w:p>
    <w:p w14:paraId="07079B0A">
      <w:pPr>
        <w:spacing w:line="360" w:lineRule="auto"/>
        <w:ind w:firstLine="482" w:firstLineChars="200"/>
        <w:rPr>
          <w:rFonts w:ascii="宋体" w:hAnsi="宋体"/>
          <w:b/>
          <w:sz w:val="24"/>
          <w:szCs w:val="24"/>
        </w:rPr>
      </w:pPr>
      <w:r>
        <w:rPr>
          <w:rFonts w:hint="eastAsia" w:ascii="宋体" w:hAnsi="宋体"/>
          <w:b/>
          <w:sz w:val="24"/>
          <w:szCs w:val="24"/>
        </w:rPr>
        <w:t>23、投标截止后投标人不足3家或者通过资格审查或符合性审查的投标人不足3家的，除采购任务取消情形外，按照以下方式处理：</w:t>
      </w:r>
    </w:p>
    <w:p w14:paraId="0AC05921">
      <w:pPr>
        <w:numPr>
          <w:ilvl w:val="0"/>
          <w:numId w:val="14"/>
        </w:numPr>
        <w:spacing w:line="360" w:lineRule="auto"/>
        <w:rPr>
          <w:rFonts w:ascii="宋体" w:hAnsi="宋体"/>
          <w:bCs/>
          <w:sz w:val="24"/>
          <w:szCs w:val="24"/>
        </w:rPr>
      </w:pPr>
      <w:r>
        <w:rPr>
          <w:rFonts w:hint="eastAsia" w:ascii="宋体" w:hAnsi="宋体"/>
          <w:bCs/>
          <w:sz w:val="24"/>
          <w:szCs w:val="24"/>
        </w:rPr>
        <w:t>招标文件存在不合理条款或者招标程序不符合规定的，采购人、采购代理机构改正后依法重新招标；</w:t>
      </w:r>
    </w:p>
    <w:p w14:paraId="7BD47149">
      <w:pPr>
        <w:spacing w:line="360" w:lineRule="auto"/>
        <w:ind w:firstLine="482" w:firstLineChars="200"/>
        <w:rPr>
          <w:rFonts w:ascii="宋体" w:hAnsi="宋体"/>
          <w:b/>
          <w:sz w:val="24"/>
          <w:szCs w:val="24"/>
        </w:rPr>
      </w:pPr>
      <w:r>
        <w:rPr>
          <w:rFonts w:hint="eastAsia" w:ascii="宋体" w:hAnsi="宋体"/>
          <w:b/>
          <w:sz w:val="24"/>
          <w:szCs w:val="24"/>
        </w:rPr>
        <w:t>24、废标的确认</w:t>
      </w:r>
    </w:p>
    <w:p w14:paraId="15DCE454">
      <w:pPr>
        <w:spacing w:line="360" w:lineRule="auto"/>
        <w:ind w:firstLine="480" w:firstLineChars="200"/>
        <w:rPr>
          <w:rFonts w:ascii="宋体" w:hAnsi="宋体"/>
          <w:bCs/>
          <w:sz w:val="24"/>
          <w:szCs w:val="24"/>
          <w:lang w:val="zh-CN"/>
        </w:rPr>
      </w:pPr>
      <w:r>
        <w:rPr>
          <w:rFonts w:hint="eastAsia" w:ascii="宋体" w:hAnsi="宋体"/>
          <w:bCs/>
          <w:sz w:val="24"/>
          <w:szCs w:val="24"/>
        </w:rPr>
        <w:t>24.1 有下列情形之一的予以废标，同时由</w:t>
      </w:r>
      <w:r>
        <w:rPr>
          <w:rFonts w:hint="eastAsia" w:ascii="宋体" w:hAnsi="宋体"/>
          <w:bCs/>
          <w:sz w:val="24"/>
        </w:rPr>
        <w:t>采购人或</w:t>
      </w:r>
      <w:r>
        <w:rPr>
          <w:rFonts w:hint="eastAsia" w:ascii="宋体" w:hAnsi="宋体"/>
          <w:bCs/>
          <w:sz w:val="24"/>
          <w:szCs w:val="24"/>
          <w:lang w:val="zh-CN"/>
        </w:rPr>
        <w:t>采购代理机构</w:t>
      </w:r>
      <w:r>
        <w:rPr>
          <w:rFonts w:hint="eastAsia" w:ascii="宋体" w:hAnsi="宋体"/>
          <w:bCs/>
          <w:sz w:val="24"/>
          <w:szCs w:val="24"/>
        </w:rPr>
        <w:t>将废标理由通知所有投标人：</w:t>
      </w:r>
    </w:p>
    <w:p w14:paraId="13A1BD59">
      <w:pPr>
        <w:numPr>
          <w:ilvl w:val="0"/>
          <w:numId w:val="15"/>
        </w:numPr>
        <w:spacing w:line="360" w:lineRule="auto"/>
        <w:rPr>
          <w:rFonts w:ascii="宋体" w:hAnsi="宋体"/>
          <w:bCs/>
          <w:sz w:val="24"/>
          <w:szCs w:val="24"/>
          <w:lang w:val="zh-CN"/>
        </w:rPr>
      </w:pPr>
      <w:r>
        <w:rPr>
          <w:rFonts w:hint="eastAsia" w:ascii="宋体" w:hAnsi="宋体"/>
          <w:bCs/>
          <w:sz w:val="24"/>
          <w:szCs w:val="24"/>
          <w:lang w:val="zh-CN"/>
        </w:rPr>
        <w:t>符合专业条件的投标人或者对招标文件作出实质性响应的投标人不足</w:t>
      </w:r>
      <w:r>
        <w:rPr>
          <w:rFonts w:hint="eastAsia" w:ascii="宋体" w:hAnsi="宋体"/>
          <w:bCs/>
          <w:sz w:val="24"/>
          <w:szCs w:val="24"/>
        </w:rPr>
        <w:t>3</w:t>
      </w:r>
      <w:r>
        <w:rPr>
          <w:rFonts w:hint="eastAsia" w:ascii="宋体" w:hAnsi="宋体"/>
          <w:bCs/>
          <w:sz w:val="24"/>
          <w:szCs w:val="24"/>
          <w:lang w:val="zh-CN"/>
        </w:rPr>
        <w:t>家，且未采用其他采购方式的；</w:t>
      </w:r>
    </w:p>
    <w:p w14:paraId="6C04464E">
      <w:pPr>
        <w:numPr>
          <w:ilvl w:val="0"/>
          <w:numId w:val="15"/>
        </w:numPr>
        <w:spacing w:line="360" w:lineRule="auto"/>
        <w:rPr>
          <w:rFonts w:ascii="宋体" w:hAnsi="宋体"/>
          <w:bCs/>
          <w:sz w:val="24"/>
          <w:szCs w:val="24"/>
          <w:lang w:val="zh-CN"/>
        </w:rPr>
      </w:pPr>
      <w:r>
        <w:rPr>
          <w:rFonts w:hint="eastAsia" w:ascii="宋体" w:hAnsi="宋体"/>
          <w:bCs/>
          <w:sz w:val="24"/>
          <w:szCs w:val="24"/>
          <w:lang w:val="zh-CN"/>
        </w:rPr>
        <w:t>出现影响采购公正的违法、违规行为；</w:t>
      </w:r>
    </w:p>
    <w:p w14:paraId="59667EEF">
      <w:pPr>
        <w:numPr>
          <w:ilvl w:val="0"/>
          <w:numId w:val="15"/>
        </w:numPr>
        <w:spacing w:line="360" w:lineRule="auto"/>
        <w:rPr>
          <w:rFonts w:ascii="宋体" w:hAnsi="宋体"/>
          <w:bCs/>
          <w:sz w:val="24"/>
          <w:szCs w:val="24"/>
          <w:lang w:val="zh-CN"/>
        </w:rPr>
      </w:pPr>
      <w:r>
        <w:rPr>
          <w:rFonts w:hint="eastAsia" w:ascii="宋体" w:hAnsi="宋体"/>
          <w:bCs/>
          <w:sz w:val="24"/>
          <w:szCs w:val="24"/>
          <w:lang w:val="zh-CN"/>
        </w:rPr>
        <w:t>投标人的报价均超过采购预算，采购人不能支付；</w:t>
      </w:r>
    </w:p>
    <w:p w14:paraId="4247B61D">
      <w:pPr>
        <w:numPr>
          <w:ilvl w:val="0"/>
          <w:numId w:val="15"/>
        </w:numPr>
        <w:spacing w:line="360" w:lineRule="auto"/>
        <w:rPr>
          <w:rFonts w:ascii="宋体" w:hAnsi="宋体"/>
          <w:bCs/>
          <w:sz w:val="24"/>
          <w:szCs w:val="24"/>
        </w:rPr>
      </w:pPr>
      <w:r>
        <w:rPr>
          <w:rFonts w:hint="eastAsia" w:ascii="宋体" w:hAnsi="宋体"/>
          <w:bCs/>
          <w:sz w:val="24"/>
          <w:szCs w:val="24"/>
          <w:lang w:val="zh-CN"/>
        </w:rPr>
        <w:t>因重大变故，采购任务取消。</w:t>
      </w:r>
    </w:p>
    <w:p w14:paraId="06B096F6">
      <w:pPr>
        <w:spacing w:line="360" w:lineRule="auto"/>
        <w:ind w:firstLine="482" w:firstLineChars="200"/>
        <w:rPr>
          <w:rFonts w:ascii="宋体" w:hAnsi="宋体"/>
          <w:b/>
          <w:sz w:val="24"/>
          <w:szCs w:val="24"/>
          <w:lang w:val="zh-CN"/>
        </w:rPr>
      </w:pPr>
      <w:r>
        <w:rPr>
          <w:rFonts w:hint="eastAsia" w:ascii="宋体" w:hAnsi="宋体"/>
          <w:b/>
          <w:sz w:val="24"/>
          <w:szCs w:val="24"/>
        </w:rPr>
        <w:t>六、</w:t>
      </w:r>
      <w:r>
        <w:rPr>
          <w:rFonts w:hint="eastAsia" w:ascii="宋体" w:hAnsi="宋体"/>
          <w:b/>
          <w:sz w:val="24"/>
          <w:szCs w:val="24"/>
          <w:lang w:val="zh-CN"/>
        </w:rPr>
        <w:t>投标保证金</w:t>
      </w:r>
    </w:p>
    <w:p w14:paraId="0D2ABB8B">
      <w:pPr>
        <w:spacing w:line="360" w:lineRule="auto"/>
        <w:ind w:firstLine="480" w:firstLineChars="200"/>
        <w:rPr>
          <w:rFonts w:ascii="宋体" w:hAnsi="宋体"/>
          <w:bCs/>
          <w:sz w:val="24"/>
          <w:szCs w:val="24"/>
        </w:rPr>
      </w:pPr>
      <w:r>
        <w:rPr>
          <w:rFonts w:hint="eastAsia" w:ascii="宋体" w:hAnsi="宋体"/>
          <w:bCs/>
          <w:sz w:val="24"/>
          <w:szCs w:val="24"/>
        </w:rPr>
        <w:t>25、投标保证金</w:t>
      </w:r>
    </w:p>
    <w:p w14:paraId="73B3732F">
      <w:pPr>
        <w:spacing w:line="360" w:lineRule="auto"/>
        <w:ind w:firstLine="480" w:firstLineChars="200"/>
        <w:rPr>
          <w:rFonts w:ascii="宋体" w:hAnsi="宋体"/>
          <w:b/>
          <w:sz w:val="24"/>
          <w:szCs w:val="24"/>
        </w:rPr>
      </w:pPr>
      <w:r>
        <w:rPr>
          <w:rFonts w:hint="eastAsia" w:ascii="宋体" w:hAnsi="宋体"/>
          <w:bCs/>
          <w:sz w:val="24"/>
          <w:szCs w:val="24"/>
        </w:rPr>
        <w:t>25.1 本项目不收取投标保证金。</w:t>
      </w:r>
    </w:p>
    <w:p w14:paraId="7F36CF93">
      <w:pPr>
        <w:spacing w:line="360" w:lineRule="auto"/>
        <w:ind w:firstLine="482" w:firstLineChars="200"/>
        <w:rPr>
          <w:rFonts w:ascii="宋体" w:hAnsi="宋体"/>
          <w:b/>
          <w:sz w:val="24"/>
          <w:szCs w:val="24"/>
        </w:rPr>
      </w:pPr>
      <w:r>
        <w:rPr>
          <w:rFonts w:hint="eastAsia" w:ascii="宋体" w:hAnsi="宋体"/>
          <w:b/>
          <w:sz w:val="24"/>
          <w:szCs w:val="24"/>
        </w:rPr>
        <w:t>七、签订合同</w:t>
      </w:r>
    </w:p>
    <w:p w14:paraId="7DD69576">
      <w:pPr>
        <w:spacing w:line="360" w:lineRule="auto"/>
        <w:ind w:firstLine="480" w:firstLineChars="200"/>
        <w:rPr>
          <w:rFonts w:ascii="宋体" w:hAnsi="宋体"/>
          <w:bCs/>
          <w:sz w:val="24"/>
          <w:szCs w:val="24"/>
        </w:rPr>
      </w:pPr>
      <w:r>
        <w:rPr>
          <w:rFonts w:hint="eastAsia" w:ascii="宋体" w:hAnsi="宋体"/>
          <w:bCs/>
          <w:sz w:val="24"/>
          <w:szCs w:val="24"/>
        </w:rPr>
        <w:t>26、签订合同</w:t>
      </w:r>
    </w:p>
    <w:p w14:paraId="56D3B941">
      <w:pPr>
        <w:spacing w:line="360" w:lineRule="auto"/>
        <w:ind w:firstLine="480" w:firstLineChars="200"/>
        <w:rPr>
          <w:rFonts w:ascii="宋体" w:hAnsi="宋体"/>
          <w:bCs/>
          <w:sz w:val="24"/>
          <w:szCs w:val="24"/>
        </w:rPr>
      </w:pPr>
      <w:r>
        <w:rPr>
          <w:rFonts w:hint="eastAsia" w:ascii="宋体" w:hAnsi="宋体"/>
          <w:bCs/>
          <w:sz w:val="24"/>
          <w:szCs w:val="24"/>
        </w:rPr>
        <w:t xml:space="preserve">26.1 </w:t>
      </w:r>
      <w:r>
        <w:rPr>
          <w:rFonts w:hint="eastAsia" w:ascii="宋体" w:hAnsi="宋体"/>
          <w:bCs/>
          <w:sz w:val="24"/>
          <w:szCs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如因市场变化、政策性调整等因素导致报价成本的变化，中标价格将不会得到调整。</w:t>
      </w:r>
    </w:p>
    <w:p w14:paraId="7AF7D382">
      <w:pPr>
        <w:spacing w:line="360" w:lineRule="auto"/>
        <w:ind w:firstLine="480" w:firstLineChars="200"/>
        <w:rPr>
          <w:rFonts w:ascii="宋体" w:hAnsi="宋体"/>
          <w:bCs/>
          <w:sz w:val="24"/>
          <w:szCs w:val="24"/>
          <w:lang w:val="zh-CN"/>
        </w:rPr>
      </w:pPr>
      <w:r>
        <w:rPr>
          <w:rFonts w:hint="eastAsia" w:ascii="宋体" w:hAnsi="宋体"/>
          <w:bCs/>
          <w:sz w:val="24"/>
          <w:szCs w:val="24"/>
        </w:rPr>
        <w:t xml:space="preserve">26.2 </w:t>
      </w:r>
      <w:r>
        <w:rPr>
          <w:rFonts w:hint="eastAsia" w:ascii="宋体" w:hAnsi="宋体"/>
          <w:bCs/>
          <w:sz w:val="24"/>
          <w:szCs w:val="24"/>
          <w:lang w:val="zh-CN"/>
        </w:rPr>
        <w:t>中标供应商应于中标公告发布之日起7日内，办理签订合同前的相关手续;并于中标通知书发出之日起</w:t>
      </w:r>
      <w:r>
        <w:rPr>
          <w:rFonts w:hint="eastAsia" w:ascii="宋体" w:hAnsi="宋体"/>
          <w:bCs/>
          <w:sz w:val="24"/>
          <w:szCs w:val="24"/>
        </w:rPr>
        <w:t>30</w:t>
      </w:r>
      <w:r>
        <w:rPr>
          <w:rFonts w:hint="eastAsia" w:ascii="宋体" w:hAnsi="宋体"/>
          <w:bCs/>
          <w:sz w:val="24"/>
          <w:szCs w:val="24"/>
          <w:lang w:val="zh-CN"/>
        </w:rPr>
        <w:t>日内，按照招标文件确定的事项与采购人签订采购合同。</w:t>
      </w:r>
    </w:p>
    <w:p w14:paraId="283D83D0">
      <w:pPr>
        <w:spacing w:line="360" w:lineRule="auto"/>
        <w:ind w:firstLine="480" w:firstLineChars="200"/>
        <w:rPr>
          <w:rFonts w:ascii="宋体" w:hAnsi="宋体"/>
          <w:bCs/>
          <w:sz w:val="24"/>
          <w:szCs w:val="24"/>
          <w:lang w:val="zh-CN"/>
        </w:rPr>
      </w:pPr>
      <w:r>
        <w:rPr>
          <w:rFonts w:hint="eastAsia" w:ascii="宋体" w:hAnsi="宋体"/>
          <w:bCs/>
          <w:sz w:val="24"/>
          <w:szCs w:val="24"/>
          <w:lang w:val="zh-CN"/>
        </w:rPr>
        <w:t>中标供应商如逾期不办理相关手续、签订合同，采购人将依据有关规定进行处理。</w:t>
      </w:r>
    </w:p>
    <w:p w14:paraId="36890FBA">
      <w:pPr>
        <w:spacing w:line="360" w:lineRule="auto"/>
        <w:ind w:firstLine="480" w:firstLineChars="200"/>
        <w:rPr>
          <w:rFonts w:ascii="宋体" w:hAnsi="宋体"/>
          <w:bCs/>
          <w:sz w:val="24"/>
          <w:szCs w:val="24"/>
          <w:lang w:val="zh-CN"/>
        </w:rPr>
      </w:pPr>
      <w:r>
        <w:rPr>
          <w:rFonts w:hint="eastAsia" w:ascii="宋体" w:hAnsi="宋体"/>
          <w:bCs/>
          <w:sz w:val="24"/>
          <w:szCs w:val="24"/>
          <w:lang w:val="zh-CN"/>
        </w:rPr>
        <w:t>如遇特殊情况，采购人可延期签订合同。</w:t>
      </w:r>
    </w:p>
    <w:p w14:paraId="7FDAB798">
      <w:pPr>
        <w:spacing w:line="360" w:lineRule="auto"/>
        <w:ind w:firstLine="480" w:firstLineChars="200"/>
        <w:rPr>
          <w:rFonts w:ascii="宋体" w:hAnsi="宋体"/>
          <w:bCs/>
          <w:sz w:val="24"/>
          <w:szCs w:val="24"/>
          <w:lang w:val="zh-CN"/>
        </w:rPr>
      </w:pPr>
      <w:r>
        <w:rPr>
          <w:rFonts w:hint="eastAsia" w:ascii="宋体" w:hAnsi="宋体"/>
          <w:bCs/>
          <w:sz w:val="24"/>
          <w:szCs w:val="24"/>
        </w:rPr>
        <w:t xml:space="preserve">26.3 </w:t>
      </w:r>
      <w:r>
        <w:rPr>
          <w:rFonts w:hint="eastAsia" w:ascii="宋体" w:hAnsi="宋体"/>
          <w:bCs/>
          <w:sz w:val="24"/>
          <w:szCs w:val="24"/>
          <w:lang w:val="zh-CN"/>
        </w:rPr>
        <w:t>签订合同书及合同条款应以招标文件和中标供应商的投标文件为依据。</w:t>
      </w:r>
    </w:p>
    <w:p w14:paraId="0F553FE1">
      <w:pPr>
        <w:spacing w:line="360" w:lineRule="auto"/>
        <w:ind w:firstLine="480" w:firstLineChars="200"/>
        <w:rPr>
          <w:rFonts w:ascii="宋体" w:hAnsi="宋体"/>
          <w:b/>
          <w:sz w:val="24"/>
          <w:szCs w:val="24"/>
        </w:rPr>
      </w:pPr>
      <w:r>
        <w:rPr>
          <w:rFonts w:hint="eastAsia" w:ascii="宋体" w:hAnsi="宋体"/>
          <w:bCs/>
          <w:sz w:val="24"/>
          <w:szCs w:val="24"/>
        </w:rPr>
        <w:t>26.4</w:t>
      </w:r>
      <w:r>
        <w:rPr>
          <w:rFonts w:hint="eastAsia" w:ascii="宋体" w:hAnsi="宋体"/>
          <w:b/>
          <w:sz w:val="24"/>
          <w:szCs w:val="24"/>
        </w:rPr>
        <w:t>中标单位在签订合同后10个工作日内缴纳合同价10%的履约保证金，</w:t>
      </w:r>
      <w:r>
        <w:rPr>
          <w:rFonts w:hint="eastAsia" w:ascii="宋体" w:hAnsi="宋体"/>
          <w:b/>
          <w:sz w:val="24"/>
          <w:szCs w:val="24"/>
          <w:lang w:val="en-US" w:eastAsia="zh-CN"/>
        </w:rPr>
        <w:t>项目</w:t>
      </w:r>
      <w:r>
        <w:rPr>
          <w:rFonts w:hint="eastAsia" w:ascii="宋体" w:hAnsi="宋体"/>
          <w:b/>
          <w:sz w:val="24"/>
          <w:szCs w:val="24"/>
          <w:lang w:eastAsia="zh-CN"/>
        </w:rPr>
        <w:t>验收合格后</w:t>
      </w:r>
      <w:r>
        <w:rPr>
          <w:rFonts w:hint="eastAsia" w:ascii="宋体" w:hAnsi="宋体"/>
          <w:b/>
          <w:sz w:val="24"/>
          <w:szCs w:val="24"/>
          <w:lang w:val="en-US" w:eastAsia="zh-CN"/>
        </w:rPr>
        <w:t>30日内一次性退还</w:t>
      </w:r>
      <w:r>
        <w:rPr>
          <w:rFonts w:hint="eastAsia" w:ascii="宋体" w:hAnsi="宋体"/>
          <w:b/>
          <w:sz w:val="24"/>
          <w:szCs w:val="24"/>
        </w:rPr>
        <w:t>，</w:t>
      </w:r>
      <w:bookmarkStart w:id="50" w:name="_Hlk197713794"/>
      <w:r>
        <w:rPr>
          <w:rFonts w:hint="eastAsia" w:ascii="宋体" w:hAnsi="宋体"/>
          <w:b/>
          <w:sz w:val="24"/>
          <w:szCs w:val="24"/>
        </w:rPr>
        <w:t>不计利息</w:t>
      </w:r>
      <w:bookmarkEnd w:id="50"/>
      <w:r>
        <w:rPr>
          <w:rFonts w:hint="eastAsia" w:ascii="宋体" w:hAnsi="宋体"/>
          <w:b/>
          <w:sz w:val="24"/>
          <w:szCs w:val="24"/>
        </w:rPr>
        <w:t>。</w:t>
      </w:r>
    </w:p>
    <w:p w14:paraId="701FF12A">
      <w:pPr>
        <w:spacing w:line="360" w:lineRule="auto"/>
        <w:ind w:firstLine="480" w:firstLineChars="200"/>
        <w:rPr>
          <w:rFonts w:ascii="宋体" w:hAnsi="宋体"/>
          <w:bCs/>
          <w:sz w:val="24"/>
          <w:szCs w:val="24"/>
          <w:lang w:val="zh-CN"/>
        </w:rPr>
      </w:pPr>
      <w:r>
        <w:rPr>
          <w:rFonts w:hint="eastAsia" w:ascii="宋体" w:hAnsi="宋体"/>
          <w:bCs/>
          <w:sz w:val="24"/>
          <w:szCs w:val="24"/>
        </w:rPr>
        <w:t>26.</w:t>
      </w:r>
      <w:bookmarkStart w:id="51" w:name="OLE_LINK5"/>
      <w:r>
        <w:rPr>
          <w:rFonts w:hint="eastAsia" w:ascii="宋体" w:hAnsi="宋体"/>
          <w:bCs/>
          <w:sz w:val="24"/>
          <w:szCs w:val="24"/>
        </w:rPr>
        <w:t>5</w:t>
      </w:r>
      <w:r>
        <w:rPr>
          <w:rFonts w:hint="eastAsia" w:ascii="宋体" w:hAnsi="宋体"/>
          <w:bCs/>
          <w:sz w:val="24"/>
          <w:szCs w:val="24"/>
          <w:lang w:val="zh-CN"/>
        </w:rPr>
        <w:t>中标供应商(含中标候选人)拒绝与采购人签订合同，或因不可抗力或者自身原因不能履行采购合同的，须要有明确的意思表示，并向采购人书面申明放弃合同，采购人可以按照评审报告推荐的中标候选人名单排序，视情况确定下一候选人为中标供应商，也可以重新开展自主采购活动。无正当理由拒绝签订合同的中标供应商(含中标候选人)，采购人将视情对其处以</w:t>
      </w:r>
      <w:r>
        <w:rPr>
          <w:rFonts w:ascii="宋体" w:hAnsi="宋体"/>
          <w:bCs/>
          <w:sz w:val="24"/>
          <w:szCs w:val="24"/>
          <w:lang w:val="zh-CN"/>
        </w:rPr>
        <w:t>采购金额千分之五以上千分之十以下的罚款，列入不良行为记录名单，在一至三年内禁止参加</w:t>
      </w:r>
      <w:r>
        <w:rPr>
          <w:rFonts w:hint="eastAsia" w:ascii="宋体" w:hAnsi="宋体"/>
          <w:bCs/>
          <w:sz w:val="24"/>
          <w:szCs w:val="24"/>
          <w:lang w:val="zh-CN"/>
        </w:rPr>
        <w:t>本镇</w:t>
      </w:r>
      <w:r>
        <w:rPr>
          <w:rFonts w:ascii="宋体" w:hAnsi="宋体"/>
          <w:bCs/>
          <w:sz w:val="24"/>
          <w:szCs w:val="24"/>
          <w:lang w:val="zh-CN"/>
        </w:rPr>
        <w:t>采购活动</w:t>
      </w:r>
      <w:bookmarkStart w:id="52" w:name="OLE_LINK2"/>
      <w:r>
        <w:rPr>
          <w:rFonts w:hint="eastAsia" w:ascii="宋体" w:hAnsi="宋体"/>
          <w:bCs/>
          <w:sz w:val="24"/>
          <w:szCs w:val="24"/>
          <w:lang w:val="zh-CN"/>
        </w:rPr>
        <w:t>。</w:t>
      </w:r>
      <w:bookmarkEnd w:id="51"/>
      <w:bookmarkEnd w:id="52"/>
      <w:r>
        <w:rPr>
          <w:rFonts w:ascii="宋体" w:hAnsi="宋体"/>
          <w:bCs/>
          <w:sz w:val="24"/>
          <w:szCs w:val="24"/>
          <w:lang w:val="zh-CN"/>
        </w:rPr>
        <w:t>拒绝签订采购合同的</w:t>
      </w:r>
      <w:r>
        <w:rPr>
          <w:rFonts w:hint="eastAsia" w:ascii="宋体" w:hAnsi="宋体"/>
          <w:bCs/>
          <w:sz w:val="24"/>
          <w:szCs w:val="24"/>
          <w:lang w:val="zh-CN"/>
        </w:rPr>
        <w:t>中标供应商(含中标候选人)不得参加对该项目重新开展的采购活动。</w:t>
      </w:r>
    </w:p>
    <w:p w14:paraId="2C629A4D">
      <w:pPr>
        <w:spacing w:line="360" w:lineRule="auto"/>
        <w:ind w:firstLine="480" w:firstLineChars="200"/>
        <w:rPr>
          <w:rFonts w:ascii="宋体" w:hAnsi="宋体"/>
          <w:bCs/>
          <w:sz w:val="24"/>
          <w:szCs w:val="24"/>
        </w:rPr>
      </w:pPr>
      <w:r>
        <w:rPr>
          <w:rFonts w:hint="eastAsia" w:ascii="宋体" w:hAnsi="宋体"/>
          <w:bCs/>
          <w:sz w:val="24"/>
          <w:szCs w:val="24"/>
          <w:lang w:val="zh-CN"/>
        </w:rPr>
        <w:t>2</w:t>
      </w:r>
      <w:r>
        <w:rPr>
          <w:rFonts w:hint="eastAsia" w:ascii="宋体" w:hAnsi="宋体"/>
          <w:bCs/>
          <w:sz w:val="24"/>
          <w:szCs w:val="24"/>
        </w:rPr>
        <w:t>6.</w:t>
      </w:r>
      <w:r>
        <w:rPr>
          <w:rFonts w:hint="eastAsia" w:ascii="宋体" w:hAnsi="宋体"/>
          <w:bCs/>
          <w:sz w:val="24"/>
          <w:szCs w:val="24"/>
          <w:lang w:val="en-US" w:eastAsia="zh-CN"/>
        </w:rPr>
        <w:t>6</w:t>
      </w:r>
      <w:r>
        <w:rPr>
          <w:rFonts w:hint="eastAsia" w:ascii="宋体" w:hAnsi="宋体"/>
          <w:bCs/>
          <w:sz w:val="24"/>
          <w:szCs w:val="24"/>
          <w:lang w:val="zh-CN"/>
        </w:rPr>
        <w:t>采购合同履行中，采购人需追加与合同标的相同服务的，在不改变合同其他条款的前提下，可以与中标供应商协商签订补充合同，但所有补充合同的采购金额不得超过原合同采购金额的百分之十。</w:t>
      </w:r>
    </w:p>
    <w:p w14:paraId="5BA18145">
      <w:pPr>
        <w:spacing w:line="360" w:lineRule="auto"/>
        <w:ind w:left="420" w:leftChars="200"/>
        <w:rPr>
          <w:rFonts w:ascii="宋体" w:hAnsi="宋体"/>
          <w:b/>
          <w:sz w:val="24"/>
          <w:szCs w:val="24"/>
        </w:rPr>
      </w:pPr>
      <w:r>
        <w:rPr>
          <w:rFonts w:hint="eastAsia" w:ascii="宋体" w:hAnsi="宋体"/>
          <w:b/>
          <w:sz w:val="24"/>
          <w:szCs w:val="24"/>
        </w:rPr>
        <w:t>八、投标行为及投标产品：</w:t>
      </w:r>
    </w:p>
    <w:p w14:paraId="60E5734C">
      <w:pPr>
        <w:spacing w:line="360" w:lineRule="auto"/>
        <w:ind w:firstLine="480" w:firstLineChars="200"/>
        <w:rPr>
          <w:rFonts w:ascii="宋体" w:hAnsi="宋体"/>
          <w:bCs/>
          <w:sz w:val="24"/>
          <w:szCs w:val="24"/>
        </w:rPr>
      </w:pPr>
      <w:r>
        <w:rPr>
          <w:rFonts w:hint="eastAsia" w:ascii="宋体" w:hAnsi="宋体"/>
          <w:bCs/>
          <w:sz w:val="24"/>
          <w:szCs w:val="24"/>
        </w:rPr>
        <w:t>27、投标行为及投标产品：</w:t>
      </w:r>
    </w:p>
    <w:p w14:paraId="5B9C85EB">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投标人的投标行为必须遵守各项法律、法规、规章及相关制度的规定。</w:t>
      </w:r>
    </w:p>
    <w:p w14:paraId="3078F693">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投标服务及产品、产品安装（施工）等应符合国家、行业等相关标准及要求。</w:t>
      </w:r>
    </w:p>
    <w:p w14:paraId="7CBA916E">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投标人提供的产品应是全新、未使用过的原装合格正品。投标人中标后，在供货期内如遇产品平滑（自然）升级，中标供应商应提供平滑升级商品不补差价（招标文件中有特殊要求的除外）。</w:t>
      </w:r>
    </w:p>
    <w:p w14:paraId="662CD66D">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招标文件中要求投标人出具的证书等相关材料，均应在有效期限内，即有效期限应覆盖投标文件评审当日。</w:t>
      </w:r>
    </w:p>
    <w:p w14:paraId="446B67C3">
      <w:pPr>
        <w:spacing w:line="360" w:lineRule="auto"/>
        <w:ind w:left="420" w:leftChars="200"/>
        <w:rPr>
          <w:rFonts w:ascii="宋体" w:hAnsi="宋体"/>
          <w:b/>
          <w:sz w:val="24"/>
          <w:szCs w:val="24"/>
        </w:rPr>
      </w:pPr>
      <w:r>
        <w:rPr>
          <w:rFonts w:hint="eastAsia" w:ascii="宋体" w:hAnsi="宋体"/>
          <w:b/>
          <w:sz w:val="24"/>
          <w:szCs w:val="24"/>
        </w:rPr>
        <w:t>九、质疑处理：</w:t>
      </w:r>
    </w:p>
    <w:p w14:paraId="0B8D0F39">
      <w:pPr>
        <w:spacing w:line="360" w:lineRule="auto"/>
        <w:ind w:firstLine="480" w:firstLineChars="200"/>
        <w:rPr>
          <w:rFonts w:ascii="宋体" w:hAnsi="宋体"/>
          <w:bCs/>
          <w:sz w:val="24"/>
          <w:szCs w:val="24"/>
        </w:rPr>
      </w:pPr>
      <w:r>
        <w:rPr>
          <w:rFonts w:hint="eastAsia" w:ascii="宋体" w:hAnsi="宋体"/>
          <w:bCs/>
          <w:sz w:val="24"/>
          <w:szCs w:val="24"/>
        </w:rPr>
        <w:t>28、询问</w:t>
      </w:r>
    </w:p>
    <w:p w14:paraId="4DBE0B74">
      <w:pPr>
        <w:spacing w:line="360" w:lineRule="auto"/>
        <w:ind w:firstLine="480" w:firstLineChars="200"/>
        <w:rPr>
          <w:rFonts w:ascii="宋体" w:hAnsi="宋体"/>
          <w:bCs/>
          <w:sz w:val="24"/>
          <w:szCs w:val="24"/>
          <w:lang w:val="zh-CN"/>
        </w:rPr>
      </w:pPr>
      <w:r>
        <w:rPr>
          <w:rFonts w:hint="eastAsia" w:ascii="宋体" w:hAnsi="宋体"/>
          <w:bCs/>
          <w:sz w:val="24"/>
          <w:szCs w:val="24"/>
          <w:lang w:val="zh-CN"/>
        </w:rPr>
        <w:t>投标人对招标活动事项有疑问的，可以向采购人或采购代理机构提出询问，采购人或采购代理机构将在三个工作日内作出答复，但答复的内容不涉及商业秘密。</w:t>
      </w:r>
      <w:bookmarkStart w:id="53" w:name="_Toc23122"/>
    </w:p>
    <w:p w14:paraId="56F8C3C5">
      <w:pPr>
        <w:spacing w:line="360" w:lineRule="auto"/>
        <w:ind w:firstLine="480" w:firstLineChars="200"/>
        <w:rPr>
          <w:rFonts w:ascii="宋体" w:hAnsi="宋体"/>
          <w:bCs/>
          <w:sz w:val="24"/>
          <w:szCs w:val="24"/>
        </w:rPr>
      </w:pPr>
      <w:r>
        <w:rPr>
          <w:rFonts w:hint="eastAsia" w:ascii="宋体" w:hAnsi="宋体"/>
          <w:bCs/>
          <w:sz w:val="24"/>
          <w:szCs w:val="24"/>
        </w:rPr>
        <w:t>29、质疑</w:t>
      </w:r>
    </w:p>
    <w:p w14:paraId="5578B237">
      <w:pPr>
        <w:spacing w:line="360" w:lineRule="auto"/>
        <w:ind w:firstLine="480" w:firstLineChars="200"/>
        <w:rPr>
          <w:rFonts w:ascii="宋体"/>
          <w:sz w:val="24"/>
          <w:szCs w:val="24"/>
          <w:lang w:val="zh-CN"/>
        </w:rPr>
      </w:pPr>
      <w:bookmarkStart w:id="54" w:name="_Toc52205515"/>
      <w:bookmarkStart w:id="55" w:name="_Toc30463"/>
      <w:bookmarkStart w:id="56" w:name="_Toc16667"/>
      <w:r>
        <w:rPr>
          <w:rFonts w:hint="eastAsia" w:ascii="宋体" w:hAnsi="宋体" w:cs="宋体"/>
          <w:sz w:val="24"/>
          <w:szCs w:val="24"/>
        </w:rPr>
        <w:t>29</w:t>
      </w:r>
      <w:r>
        <w:rPr>
          <w:rFonts w:ascii="宋体" w:hAnsi="宋体" w:cs="宋体"/>
          <w:sz w:val="24"/>
          <w:szCs w:val="24"/>
        </w:rPr>
        <w:t>.1</w:t>
      </w:r>
      <w:r>
        <w:rPr>
          <w:rFonts w:hint="eastAsia" w:ascii="宋体" w:hAnsi="宋体" w:cs="宋体"/>
          <w:sz w:val="24"/>
          <w:szCs w:val="24"/>
          <w:lang w:val="zh-CN"/>
        </w:rPr>
        <w:t>供应商对采购活动事项有疑问的，可以向采购人或受其委托的代理机构提出询问或质疑。</w:t>
      </w:r>
    </w:p>
    <w:p w14:paraId="2316497D">
      <w:pPr>
        <w:numPr>
          <w:ilvl w:val="0"/>
          <w:numId w:val="17"/>
        </w:numPr>
        <w:spacing w:line="360" w:lineRule="auto"/>
        <w:rPr>
          <w:rFonts w:ascii="宋体"/>
          <w:sz w:val="24"/>
          <w:szCs w:val="24"/>
          <w:lang w:val="zh-CN"/>
        </w:rPr>
      </w:pPr>
      <w:r>
        <w:rPr>
          <w:rFonts w:hint="eastAsia" w:ascii="宋体" w:hAnsi="宋体" w:cs="宋体"/>
          <w:sz w:val="24"/>
          <w:szCs w:val="24"/>
          <w:lang w:val="zh-CN"/>
        </w:rPr>
        <w:t>供应商认为采购文件、采购过程和中标结果使自己的权益受到损害的，可以在规定时间内，以书面形式向采购人提出质疑，由采购人负责作出具体的答复意见。</w:t>
      </w:r>
    </w:p>
    <w:p w14:paraId="617E6109">
      <w:pPr>
        <w:numPr>
          <w:ilvl w:val="0"/>
          <w:numId w:val="17"/>
        </w:numPr>
        <w:spacing w:line="360" w:lineRule="auto"/>
        <w:rPr>
          <w:rFonts w:ascii="宋体"/>
          <w:sz w:val="24"/>
          <w:szCs w:val="24"/>
          <w:lang w:val="zh-CN"/>
        </w:rPr>
      </w:pPr>
      <w:r>
        <w:rPr>
          <w:rFonts w:hint="eastAsia" w:ascii="宋体" w:hAnsi="宋体"/>
          <w:bCs/>
          <w:sz w:val="24"/>
          <w:szCs w:val="24"/>
          <w:lang w:val="zh-CN"/>
        </w:rPr>
        <w:t>供应商认为</w:t>
      </w:r>
      <w:r>
        <w:rPr>
          <w:rFonts w:hint="eastAsia" w:ascii="宋体" w:hAnsi="宋体"/>
          <w:b/>
          <w:sz w:val="24"/>
          <w:szCs w:val="24"/>
          <w:lang w:val="zh-CN"/>
        </w:rPr>
        <w:t>采购程序及流程操作</w:t>
      </w:r>
      <w:r>
        <w:rPr>
          <w:rFonts w:hint="eastAsia" w:ascii="宋体" w:hAnsi="宋体"/>
          <w:bCs/>
          <w:sz w:val="24"/>
          <w:szCs w:val="24"/>
          <w:lang w:val="zh-CN"/>
        </w:rPr>
        <w:t>使自己的权益受到损害的，可以向采购人提出质疑，也可以在法律规定时间内向采购代理机构提出质疑，采购代理机构就采购人委托授权范围内的事项作出答复。</w:t>
      </w:r>
    </w:p>
    <w:p w14:paraId="18663DBD">
      <w:pPr>
        <w:spacing w:line="360" w:lineRule="auto"/>
        <w:ind w:firstLine="480" w:firstLineChars="200"/>
      </w:pPr>
      <w:r>
        <w:rPr>
          <w:rFonts w:hint="eastAsia" w:ascii="宋体"/>
          <w:sz w:val="24"/>
          <w:szCs w:val="24"/>
        </w:rPr>
        <w:t>29</w:t>
      </w:r>
      <w:r>
        <w:rPr>
          <w:rFonts w:hint="eastAsia" w:ascii="宋体"/>
          <w:sz w:val="24"/>
          <w:szCs w:val="24"/>
          <w:lang w:val="zh-CN"/>
        </w:rPr>
        <w:t>.2</w:t>
      </w:r>
      <w:bookmarkStart w:id="57" w:name="OLE_LINK141"/>
      <w:r>
        <w:rPr>
          <w:rFonts w:hint="eastAsia" w:ascii="宋体"/>
          <w:b/>
          <w:sz w:val="24"/>
          <w:szCs w:val="24"/>
        </w:rPr>
        <w:t>质疑时效期间的起算</w:t>
      </w:r>
      <w:r>
        <w:rPr>
          <w:rFonts w:hint="eastAsia" w:ascii="宋体"/>
          <w:bCs/>
          <w:sz w:val="24"/>
          <w:szCs w:val="24"/>
        </w:rPr>
        <w:t>：</w:t>
      </w:r>
      <w:r>
        <w:rPr>
          <w:rFonts w:hint="eastAsia" w:ascii="宋体"/>
          <w:bCs/>
          <w:sz w:val="24"/>
          <w:szCs w:val="24"/>
          <w:lang w:val="zh-CN"/>
        </w:rPr>
        <w:t>对招标文件提出质疑的，应自招标文件公告期限届满之日起计算；对采购过程提出质疑的，自采购程序环节结束之日起计算；对中标结果提出质疑的，自中标结果公告期限届满之日起计算。未在法律规定的时间内按要求提交质疑函（仅限于原件）的，被质疑人将不予受理。</w:t>
      </w:r>
      <w:bookmarkEnd w:id="57"/>
    </w:p>
    <w:p w14:paraId="2E4A05CE">
      <w:pPr>
        <w:rPr>
          <w:rFonts w:ascii="黑体" w:hAnsi="黑体" w:eastAsia="黑体"/>
          <w:sz w:val="28"/>
        </w:rPr>
      </w:pPr>
      <w:r>
        <w:rPr>
          <w:rFonts w:hint="eastAsia" w:ascii="黑体" w:hAnsi="黑体" w:eastAsia="黑体"/>
          <w:sz w:val="28"/>
        </w:rPr>
        <w:br w:type="page"/>
      </w:r>
    </w:p>
    <w:p w14:paraId="2500A0BB">
      <w:pPr>
        <w:pStyle w:val="3"/>
        <w:jc w:val="center"/>
      </w:pPr>
      <w:r>
        <w:rPr>
          <w:rFonts w:hint="eastAsia" w:ascii="黑体" w:hAnsi="黑体" w:eastAsia="黑体"/>
          <w:b w:val="0"/>
          <w:kern w:val="2"/>
          <w:sz w:val="28"/>
        </w:rPr>
        <w:t>第三章 评标方法和标准</w:t>
      </w:r>
      <w:bookmarkEnd w:id="54"/>
    </w:p>
    <w:p w14:paraId="75648D96">
      <w:pPr>
        <w:spacing w:line="360" w:lineRule="auto"/>
        <w:jc w:val="center"/>
        <w:rPr>
          <w:rFonts w:ascii="宋体" w:hAnsi="宋体"/>
          <w:sz w:val="24"/>
          <w:szCs w:val="24"/>
        </w:rPr>
      </w:pPr>
    </w:p>
    <w:p w14:paraId="1DC92F10">
      <w:pPr>
        <w:spacing w:line="360" w:lineRule="auto"/>
        <w:jc w:val="left"/>
        <w:rPr>
          <w:rFonts w:ascii="宋体" w:hAnsi="宋体"/>
          <w:sz w:val="24"/>
          <w:szCs w:val="24"/>
        </w:rPr>
      </w:pPr>
      <w:r>
        <w:rPr>
          <w:rFonts w:hint="eastAsia" w:ascii="宋体" w:hAnsi="宋体"/>
          <w:sz w:val="24"/>
          <w:szCs w:val="24"/>
        </w:rPr>
        <w:t>一、评分项目（总分100分）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6512"/>
      </w:tblGrid>
      <w:tr w14:paraId="0666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113" w:type="dxa"/>
            <w:noWrap/>
            <w:vAlign w:val="center"/>
          </w:tcPr>
          <w:p w14:paraId="461B8AC9">
            <w:pPr>
              <w:spacing w:line="360" w:lineRule="auto"/>
              <w:jc w:val="center"/>
              <w:rPr>
                <w:rFonts w:ascii="宋体" w:hAnsi="宋体"/>
                <w:sz w:val="24"/>
                <w:szCs w:val="24"/>
              </w:rPr>
            </w:pPr>
            <w:r>
              <w:rPr>
                <w:rFonts w:hint="eastAsia" w:ascii="宋体" w:hAnsi="宋体"/>
                <w:sz w:val="24"/>
                <w:szCs w:val="24"/>
              </w:rPr>
              <w:t>技术商务部分</w:t>
            </w:r>
          </w:p>
        </w:tc>
        <w:tc>
          <w:tcPr>
            <w:tcW w:w="6512" w:type="dxa"/>
            <w:noWrap/>
            <w:vAlign w:val="center"/>
          </w:tcPr>
          <w:p w14:paraId="7130D6CC">
            <w:pPr>
              <w:spacing w:line="360" w:lineRule="auto"/>
              <w:jc w:val="center"/>
              <w:rPr>
                <w:rFonts w:ascii="宋体" w:hAnsi="宋体"/>
                <w:sz w:val="24"/>
                <w:szCs w:val="24"/>
              </w:rPr>
            </w:pPr>
            <w:r>
              <w:rPr>
                <w:rFonts w:hint="eastAsia" w:ascii="宋体" w:hAnsi="宋体"/>
                <w:sz w:val="24"/>
                <w:szCs w:val="24"/>
              </w:rPr>
              <w:t>70分</w:t>
            </w:r>
          </w:p>
        </w:tc>
      </w:tr>
      <w:tr w14:paraId="75F1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113" w:type="dxa"/>
            <w:noWrap/>
            <w:vAlign w:val="center"/>
          </w:tcPr>
          <w:p w14:paraId="13FBB176">
            <w:pPr>
              <w:spacing w:line="360" w:lineRule="auto"/>
              <w:jc w:val="center"/>
              <w:rPr>
                <w:rFonts w:ascii="宋体" w:hAnsi="宋体"/>
                <w:sz w:val="24"/>
                <w:szCs w:val="24"/>
              </w:rPr>
            </w:pPr>
            <w:r>
              <w:rPr>
                <w:rFonts w:hint="eastAsia" w:ascii="宋体" w:hAnsi="宋体"/>
                <w:sz w:val="24"/>
                <w:szCs w:val="24"/>
              </w:rPr>
              <w:t>价格部分</w:t>
            </w:r>
          </w:p>
        </w:tc>
        <w:tc>
          <w:tcPr>
            <w:tcW w:w="6512" w:type="dxa"/>
            <w:noWrap/>
            <w:vAlign w:val="center"/>
          </w:tcPr>
          <w:p w14:paraId="4CE968C2">
            <w:pPr>
              <w:spacing w:line="360" w:lineRule="auto"/>
              <w:jc w:val="center"/>
              <w:rPr>
                <w:rFonts w:ascii="宋体" w:hAnsi="宋体"/>
                <w:sz w:val="24"/>
                <w:szCs w:val="24"/>
              </w:rPr>
            </w:pPr>
            <w:r>
              <w:rPr>
                <w:rFonts w:hint="eastAsia" w:ascii="宋体" w:hAnsi="宋体"/>
                <w:sz w:val="24"/>
                <w:szCs w:val="24"/>
              </w:rPr>
              <w:t>30分</w:t>
            </w:r>
          </w:p>
        </w:tc>
      </w:tr>
    </w:tbl>
    <w:p w14:paraId="7038F751">
      <w:pPr>
        <w:spacing w:line="360" w:lineRule="auto"/>
        <w:rPr>
          <w:rFonts w:ascii="宋体" w:hAnsi="宋体"/>
          <w:sz w:val="24"/>
          <w:szCs w:val="24"/>
        </w:rPr>
      </w:pPr>
    </w:p>
    <w:p w14:paraId="16127344">
      <w:pPr>
        <w:spacing w:line="360" w:lineRule="auto"/>
        <w:jc w:val="left"/>
        <w:rPr>
          <w:rFonts w:ascii="宋体" w:hAnsi="宋体"/>
          <w:sz w:val="24"/>
          <w:szCs w:val="24"/>
        </w:rPr>
      </w:pPr>
      <w:r>
        <w:rPr>
          <w:rFonts w:hint="eastAsia" w:ascii="宋体" w:hAnsi="宋体"/>
          <w:sz w:val="24"/>
          <w:szCs w:val="24"/>
        </w:rPr>
        <w:t>二、评审内容：</w:t>
      </w:r>
    </w:p>
    <w:p w14:paraId="0F1BB8E9">
      <w:pPr>
        <w:spacing w:line="360" w:lineRule="auto"/>
        <w:jc w:val="left"/>
        <w:rPr>
          <w:rFonts w:ascii="宋体" w:hAnsi="宋体"/>
          <w:sz w:val="24"/>
          <w:szCs w:val="24"/>
        </w:rPr>
      </w:pPr>
      <w:r>
        <w:rPr>
          <w:rFonts w:hint="eastAsia" w:ascii="宋体" w:hAnsi="宋体"/>
          <w:sz w:val="24"/>
          <w:szCs w:val="24"/>
        </w:rPr>
        <w:t>1、技术商务部分</w:t>
      </w:r>
    </w:p>
    <w:tbl>
      <w:tblPr>
        <w:tblStyle w:val="21"/>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592"/>
        <w:gridCol w:w="1095"/>
        <w:gridCol w:w="726"/>
        <w:gridCol w:w="5022"/>
        <w:gridCol w:w="1054"/>
      </w:tblGrid>
      <w:tr w14:paraId="6F3B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91" w:type="dxa"/>
            <w:vAlign w:val="center"/>
          </w:tcPr>
          <w:p w14:paraId="02619B13">
            <w:pPr>
              <w:jc w:val="center"/>
              <w:rPr>
                <w:rFonts w:ascii="宋体"/>
                <w:color w:val="000000"/>
                <w:sz w:val="24"/>
                <w:szCs w:val="24"/>
              </w:rPr>
            </w:pPr>
            <w:r>
              <w:rPr>
                <w:rFonts w:hint="eastAsia" w:ascii="宋体" w:hAnsi="宋体" w:cs="宋体"/>
                <w:color w:val="000000"/>
                <w:sz w:val="24"/>
                <w:szCs w:val="24"/>
              </w:rPr>
              <w:t>评审内容</w:t>
            </w:r>
          </w:p>
        </w:tc>
        <w:tc>
          <w:tcPr>
            <w:tcW w:w="592" w:type="dxa"/>
            <w:vAlign w:val="center"/>
          </w:tcPr>
          <w:p w14:paraId="5BB26845">
            <w:pPr>
              <w:jc w:val="center"/>
              <w:rPr>
                <w:color w:val="000000"/>
              </w:rPr>
            </w:pPr>
            <w:r>
              <w:rPr>
                <w:rFonts w:hint="eastAsia" w:ascii="宋体" w:hAnsi="宋体" w:cs="宋体"/>
                <w:color w:val="000000"/>
                <w:sz w:val="24"/>
                <w:szCs w:val="24"/>
              </w:rPr>
              <w:t>序号</w:t>
            </w:r>
          </w:p>
        </w:tc>
        <w:tc>
          <w:tcPr>
            <w:tcW w:w="1095" w:type="dxa"/>
            <w:vAlign w:val="center"/>
          </w:tcPr>
          <w:p w14:paraId="5635A17C">
            <w:pPr>
              <w:jc w:val="center"/>
              <w:rPr>
                <w:rFonts w:ascii="宋体"/>
                <w:color w:val="000000"/>
                <w:sz w:val="24"/>
                <w:szCs w:val="24"/>
              </w:rPr>
            </w:pPr>
            <w:r>
              <w:rPr>
                <w:rFonts w:hint="eastAsia" w:ascii="宋体" w:hAnsi="宋体" w:cs="宋体"/>
                <w:color w:val="000000"/>
                <w:sz w:val="24"/>
                <w:szCs w:val="24"/>
              </w:rPr>
              <w:t>评审项目</w:t>
            </w:r>
          </w:p>
        </w:tc>
        <w:tc>
          <w:tcPr>
            <w:tcW w:w="726" w:type="dxa"/>
            <w:vAlign w:val="center"/>
          </w:tcPr>
          <w:p w14:paraId="7D712B07">
            <w:pPr>
              <w:jc w:val="center"/>
              <w:rPr>
                <w:rFonts w:ascii="宋体"/>
                <w:color w:val="000000"/>
                <w:sz w:val="24"/>
                <w:szCs w:val="24"/>
              </w:rPr>
            </w:pPr>
            <w:r>
              <w:rPr>
                <w:rFonts w:hint="eastAsia" w:ascii="宋体" w:hAnsi="宋体" w:cs="宋体"/>
                <w:color w:val="000000"/>
                <w:sz w:val="24"/>
                <w:szCs w:val="24"/>
              </w:rPr>
              <w:t>分值</w:t>
            </w:r>
          </w:p>
        </w:tc>
        <w:tc>
          <w:tcPr>
            <w:tcW w:w="5022" w:type="dxa"/>
            <w:vAlign w:val="center"/>
          </w:tcPr>
          <w:p w14:paraId="39C7EC56">
            <w:pPr>
              <w:jc w:val="center"/>
              <w:rPr>
                <w:rFonts w:ascii="宋体"/>
                <w:color w:val="000000"/>
                <w:sz w:val="24"/>
                <w:szCs w:val="24"/>
              </w:rPr>
            </w:pPr>
            <w:r>
              <w:rPr>
                <w:rFonts w:hint="eastAsia" w:ascii="宋体" w:hAnsi="宋体" w:cs="宋体"/>
                <w:color w:val="000000"/>
                <w:sz w:val="24"/>
                <w:szCs w:val="24"/>
              </w:rPr>
              <w:t>评审细则</w:t>
            </w:r>
          </w:p>
        </w:tc>
        <w:tc>
          <w:tcPr>
            <w:tcW w:w="1054" w:type="dxa"/>
            <w:vAlign w:val="center"/>
          </w:tcPr>
          <w:p w14:paraId="0504BA1F">
            <w:pPr>
              <w:jc w:val="center"/>
              <w:rPr>
                <w:rFonts w:ascii="宋体"/>
                <w:color w:val="000000"/>
                <w:sz w:val="24"/>
                <w:szCs w:val="24"/>
              </w:rPr>
            </w:pPr>
            <w:r>
              <w:rPr>
                <w:rFonts w:hint="eastAsia" w:ascii="宋体" w:hAnsi="宋体"/>
                <w:color w:val="000000"/>
                <w:sz w:val="24"/>
                <w:szCs w:val="24"/>
              </w:rPr>
              <w:t>响应文件对应页码</w:t>
            </w:r>
          </w:p>
        </w:tc>
      </w:tr>
      <w:tr w14:paraId="3E65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991" w:type="dxa"/>
            <w:vMerge w:val="restart"/>
            <w:vAlign w:val="center"/>
          </w:tcPr>
          <w:p w14:paraId="06B23709">
            <w:pPr>
              <w:jc w:val="center"/>
              <w:rPr>
                <w:rFonts w:ascii="宋体"/>
                <w:color w:val="000000"/>
                <w:sz w:val="24"/>
                <w:szCs w:val="24"/>
              </w:rPr>
            </w:pPr>
            <w:r>
              <w:rPr>
                <w:rFonts w:hint="eastAsia" w:ascii="宋体"/>
                <w:color w:val="000000"/>
                <w:sz w:val="24"/>
                <w:szCs w:val="24"/>
              </w:rPr>
              <w:t>主观评审因素（40分）</w:t>
            </w:r>
          </w:p>
        </w:tc>
        <w:tc>
          <w:tcPr>
            <w:tcW w:w="592" w:type="dxa"/>
            <w:vAlign w:val="center"/>
          </w:tcPr>
          <w:p w14:paraId="7B346F26">
            <w:pPr>
              <w:jc w:val="center"/>
              <w:rPr>
                <w:rFonts w:ascii="宋体" w:hAnsi="宋体" w:cs="宋体"/>
                <w:color w:val="000000"/>
                <w:sz w:val="24"/>
                <w:szCs w:val="24"/>
              </w:rPr>
            </w:pPr>
            <w:r>
              <w:rPr>
                <w:rFonts w:hint="eastAsia" w:ascii="宋体" w:hAnsi="宋体" w:cs="宋体"/>
                <w:color w:val="000000"/>
                <w:sz w:val="24"/>
                <w:szCs w:val="24"/>
              </w:rPr>
              <w:t>1</w:t>
            </w:r>
          </w:p>
        </w:tc>
        <w:tc>
          <w:tcPr>
            <w:tcW w:w="1095" w:type="dxa"/>
            <w:vAlign w:val="center"/>
          </w:tcPr>
          <w:p w14:paraId="454EF159">
            <w:pPr>
              <w:pStyle w:val="19"/>
              <w:spacing w:beforeAutospacing="0" w:afterAutospacing="0"/>
              <w:jc w:val="center"/>
              <w:rPr>
                <w:rFonts w:ascii="宋体" w:hAnsi="宋体" w:cs="宋体"/>
                <w:szCs w:val="24"/>
              </w:rPr>
            </w:pPr>
            <w:r>
              <w:rPr>
                <w:rFonts w:hint="eastAsia" w:ascii="宋体" w:hAnsi="宋体" w:cs="宋体"/>
                <w:color w:val="000000"/>
                <w:szCs w:val="24"/>
              </w:rPr>
              <w:t>项目现状</w:t>
            </w:r>
          </w:p>
          <w:p w14:paraId="066FDF39">
            <w:pPr>
              <w:jc w:val="center"/>
              <w:rPr>
                <w:rFonts w:ascii="宋体" w:hAnsi="宋体" w:cs="宋体"/>
                <w:color w:val="000000"/>
                <w:sz w:val="24"/>
                <w:szCs w:val="24"/>
              </w:rPr>
            </w:pPr>
          </w:p>
        </w:tc>
        <w:tc>
          <w:tcPr>
            <w:tcW w:w="726" w:type="dxa"/>
            <w:vAlign w:val="center"/>
          </w:tcPr>
          <w:p w14:paraId="3470F862">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527B848F">
            <w:pPr>
              <w:jc w:val="left"/>
              <w:rPr>
                <w:rFonts w:ascii="宋体" w:hAnsi="宋体" w:cs="宋体"/>
                <w:color w:val="000000"/>
                <w:sz w:val="24"/>
                <w:szCs w:val="24"/>
              </w:rPr>
            </w:pPr>
            <w:r>
              <w:rPr>
                <w:rFonts w:hint="eastAsia" w:ascii="宋体" w:hAnsi="宋体" w:cs="宋体"/>
                <w:color w:val="000000"/>
                <w:sz w:val="24"/>
                <w:szCs w:val="24"/>
              </w:rPr>
              <w:t>对项目现状理解，根据项目的使用功能和特点等进行方面进行评审。</w:t>
            </w:r>
          </w:p>
          <w:p w14:paraId="13DF5F60">
            <w:pPr>
              <w:jc w:val="left"/>
              <w:rPr>
                <w:rFonts w:ascii="宋体" w:hAnsi="宋体" w:cs="宋体"/>
                <w:color w:val="000000"/>
                <w:sz w:val="24"/>
                <w:szCs w:val="24"/>
              </w:rPr>
            </w:pPr>
            <w:r>
              <w:rPr>
                <w:rFonts w:hint="eastAsia" w:ascii="宋体" w:hAnsi="宋体" w:cs="宋体"/>
                <w:color w:val="000000"/>
                <w:sz w:val="24"/>
                <w:szCs w:val="24"/>
              </w:rPr>
              <w:t>（1）项目解读准确的，得4分；</w:t>
            </w:r>
          </w:p>
          <w:p w14:paraId="3069092B">
            <w:pPr>
              <w:jc w:val="left"/>
              <w:rPr>
                <w:rFonts w:ascii="宋体" w:hAnsi="宋体" w:cs="宋体"/>
                <w:color w:val="000000"/>
                <w:sz w:val="24"/>
                <w:szCs w:val="24"/>
              </w:rPr>
            </w:pPr>
            <w:r>
              <w:rPr>
                <w:rFonts w:hint="eastAsia" w:ascii="宋体" w:hAnsi="宋体" w:cs="宋体"/>
                <w:color w:val="000000"/>
                <w:sz w:val="24"/>
                <w:szCs w:val="24"/>
              </w:rPr>
              <w:t>（2）项目解读较准确的，得3分；</w:t>
            </w:r>
          </w:p>
          <w:p w14:paraId="5EECA8B2">
            <w:pPr>
              <w:jc w:val="left"/>
              <w:rPr>
                <w:rFonts w:ascii="宋体" w:hAnsi="宋体" w:cs="宋体"/>
                <w:color w:val="000000"/>
                <w:sz w:val="24"/>
                <w:szCs w:val="24"/>
              </w:rPr>
            </w:pPr>
            <w:r>
              <w:rPr>
                <w:rFonts w:hint="eastAsia" w:ascii="宋体" w:hAnsi="宋体" w:cs="宋体"/>
                <w:color w:val="000000"/>
                <w:sz w:val="24"/>
                <w:szCs w:val="24"/>
              </w:rPr>
              <w:t>（3）项目解读基本准确的，得2分；</w:t>
            </w:r>
          </w:p>
          <w:p w14:paraId="0B5C7B16">
            <w:pPr>
              <w:jc w:val="left"/>
              <w:rPr>
                <w:rFonts w:ascii="宋体" w:hAnsi="宋体" w:cs="宋体"/>
                <w:color w:val="000000"/>
                <w:sz w:val="24"/>
                <w:szCs w:val="24"/>
              </w:rPr>
            </w:pPr>
            <w:r>
              <w:rPr>
                <w:rFonts w:hint="eastAsia" w:ascii="宋体" w:hAnsi="宋体" w:cs="宋体"/>
                <w:color w:val="000000"/>
                <w:sz w:val="24"/>
                <w:szCs w:val="24"/>
              </w:rPr>
              <w:t xml:space="preserve">（4）项目解读不清晰的，得0分。 </w:t>
            </w:r>
          </w:p>
        </w:tc>
        <w:tc>
          <w:tcPr>
            <w:tcW w:w="1054" w:type="dxa"/>
            <w:vAlign w:val="center"/>
          </w:tcPr>
          <w:p w14:paraId="63D513D7">
            <w:pPr>
              <w:jc w:val="center"/>
              <w:rPr>
                <w:rFonts w:ascii="宋体"/>
                <w:color w:val="000000"/>
                <w:sz w:val="24"/>
                <w:szCs w:val="24"/>
              </w:rPr>
            </w:pPr>
          </w:p>
        </w:tc>
      </w:tr>
      <w:tr w14:paraId="2973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991" w:type="dxa"/>
            <w:vMerge w:val="continue"/>
            <w:vAlign w:val="center"/>
          </w:tcPr>
          <w:p w14:paraId="261A4E4D">
            <w:pPr>
              <w:jc w:val="center"/>
              <w:rPr>
                <w:rFonts w:ascii="宋体"/>
                <w:color w:val="000000"/>
                <w:sz w:val="24"/>
                <w:szCs w:val="24"/>
              </w:rPr>
            </w:pPr>
          </w:p>
        </w:tc>
        <w:tc>
          <w:tcPr>
            <w:tcW w:w="592" w:type="dxa"/>
            <w:vAlign w:val="center"/>
          </w:tcPr>
          <w:p w14:paraId="0D7B11F4">
            <w:pPr>
              <w:jc w:val="center"/>
              <w:rPr>
                <w:rFonts w:ascii="宋体" w:hAnsi="宋体" w:cs="宋体"/>
                <w:color w:val="000000"/>
                <w:sz w:val="24"/>
                <w:szCs w:val="24"/>
              </w:rPr>
            </w:pPr>
            <w:r>
              <w:rPr>
                <w:rFonts w:hint="eastAsia" w:ascii="宋体" w:hAnsi="宋体" w:cs="宋体"/>
                <w:color w:val="000000"/>
                <w:sz w:val="24"/>
                <w:szCs w:val="24"/>
              </w:rPr>
              <w:t>2</w:t>
            </w:r>
          </w:p>
        </w:tc>
        <w:tc>
          <w:tcPr>
            <w:tcW w:w="1095" w:type="dxa"/>
            <w:vAlign w:val="center"/>
          </w:tcPr>
          <w:p w14:paraId="64AF8BDF">
            <w:pPr>
              <w:pStyle w:val="19"/>
              <w:spacing w:beforeAutospacing="0" w:afterAutospacing="0"/>
              <w:jc w:val="center"/>
              <w:rPr>
                <w:rFonts w:ascii="宋体" w:hAnsi="宋体" w:cs="宋体"/>
                <w:szCs w:val="24"/>
              </w:rPr>
            </w:pPr>
            <w:r>
              <w:rPr>
                <w:rFonts w:hint="eastAsia" w:ascii="宋体" w:hAnsi="宋体" w:cs="宋体"/>
                <w:color w:val="000000"/>
                <w:szCs w:val="24"/>
              </w:rPr>
              <w:t>设计构思方案</w:t>
            </w:r>
          </w:p>
          <w:p w14:paraId="32E5B2E8">
            <w:pPr>
              <w:jc w:val="center"/>
              <w:rPr>
                <w:rFonts w:ascii="宋体" w:hAnsi="宋体" w:cs="宋体"/>
                <w:color w:val="000000"/>
                <w:sz w:val="24"/>
                <w:szCs w:val="24"/>
              </w:rPr>
            </w:pPr>
          </w:p>
        </w:tc>
        <w:tc>
          <w:tcPr>
            <w:tcW w:w="726" w:type="dxa"/>
            <w:vAlign w:val="center"/>
          </w:tcPr>
          <w:p w14:paraId="225A5843">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02BAC0DF">
            <w:pPr>
              <w:jc w:val="left"/>
              <w:rPr>
                <w:rFonts w:ascii="宋体" w:hAnsi="宋体" w:cs="宋体"/>
                <w:color w:val="000000"/>
                <w:sz w:val="24"/>
                <w:szCs w:val="24"/>
              </w:rPr>
            </w:pPr>
            <w:r>
              <w:rPr>
                <w:rFonts w:hint="eastAsia" w:ascii="宋体" w:hAnsi="宋体" w:cs="宋体"/>
                <w:color w:val="000000"/>
                <w:sz w:val="24"/>
                <w:szCs w:val="24"/>
              </w:rPr>
              <w:t>对项目设计构思方案的清晰性、全面性、前瞻性、合理性、科学性、可行性及针对性等方面进行评审。</w:t>
            </w:r>
          </w:p>
          <w:p w14:paraId="41B5CDFD">
            <w:pPr>
              <w:jc w:val="left"/>
              <w:rPr>
                <w:rFonts w:ascii="宋体" w:hAnsi="宋体" w:cs="宋体"/>
                <w:color w:val="000000"/>
                <w:sz w:val="24"/>
                <w:szCs w:val="24"/>
              </w:rPr>
            </w:pPr>
            <w:r>
              <w:rPr>
                <w:rFonts w:hint="eastAsia" w:ascii="宋体" w:hAnsi="宋体" w:cs="宋体"/>
                <w:color w:val="000000"/>
                <w:sz w:val="24"/>
                <w:szCs w:val="24"/>
              </w:rPr>
              <w:t>（1）设计构思合理的，得4分；</w:t>
            </w:r>
          </w:p>
          <w:p w14:paraId="6C3B1C97">
            <w:pPr>
              <w:jc w:val="left"/>
              <w:rPr>
                <w:rFonts w:ascii="宋体" w:hAnsi="宋体" w:cs="宋体"/>
                <w:color w:val="000000"/>
                <w:sz w:val="24"/>
                <w:szCs w:val="24"/>
              </w:rPr>
            </w:pPr>
            <w:r>
              <w:rPr>
                <w:rFonts w:hint="eastAsia" w:ascii="宋体" w:hAnsi="宋体" w:cs="宋体"/>
                <w:color w:val="000000"/>
                <w:sz w:val="24"/>
                <w:szCs w:val="24"/>
              </w:rPr>
              <w:t>（2）设计构思较合理的，得3分；</w:t>
            </w:r>
          </w:p>
          <w:p w14:paraId="36557E75">
            <w:pPr>
              <w:jc w:val="left"/>
              <w:rPr>
                <w:rFonts w:ascii="宋体" w:hAnsi="宋体" w:cs="宋体"/>
                <w:color w:val="000000"/>
                <w:sz w:val="24"/>
                <w:szCs w:val="24"/>
              </w:rPr>
            </w:pPr>
            <w:r>
              <w:rPr>
                <w:rFonts w:hint="eastAsia" w:ascii="宋体" w:hAnsi="宋体" w:cs="宋体"/>
                <w:color w:val="000000"/>
                <w:sz w:val="24"/>
                <w:szCs w:val="24"/>
              </w:rPr>
              <w:t>（3）设计构思基本合理的，得2分；</w:t>
            </w:r>
          </w:p>
          <w:p w14:paraId="6DD3A0B8">
            <w:pPr>
              <w:jc w:val="left"/>
              <w:rPr>
                <w:rFonts w:ascii="宋体" w:hAnsi="宋体" w:cs="宋体"/>
                <w:color w:val="000000"/>
                <w:sz w:val="24"/>
                <w:szCs w:val="24"/>
              </w:rPr>
            </w:pPr>
            <w:r>
              <w:rPr>
                <w:rFonts w:hint="eastAsia" w:ascii="宋体" w:hAnsi="宋体" w:cs="宋体"/>
                <w:color w:val="000000"/>
                <w:sz w:val="24"/>
                <w:szCs w:val="24"/>
              </w:rPr>
              <w:t>（4）设计构思不合理的，得0分。</w:t>
            </w:r>
          </w:p>
        </w:tc>
        <w:tc>
          <w:tcPr>
            <w:tcW w:w="1054" w:type="dxa"/>
            <w:vAlign w:val="center"/>
          </w:tcPr>
          <w:p w14:paraId="00E03F67">
            <w:pPr>
              <w:jc w:val="center"/>
              <w:rPr>
                <w:rFonts w:ascii="宋体"/>
                <w:color w:val="000000"/>
                <w:sz w:val="24"/>
                <w:szCs w:val="24"/>
              </w:rPr>
            </w:pPr>
          </w:p>
        </w:tc>
      </w:tr>
      <w:tr w14:paraId="4EA3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91" w:type="dxa"/>
            <w:vMerge w:val="continue"/>
            <w:vAlign w:val="center"/>
          </w:tcPr>
          <w:p w14:paraId="0BEBC984">
            <w:pPr>
              <w:jc w:val="center"/>
              <w:rPr>
                <w:rFonts w:ascii="宋体"/>
                <w:color w:val="000000"/>
                <w:sz w:val="24"/>
                <w:szCs w:val="24"/>
              </w:rPr>
            </w:pPr>
          </w:p>
        </w:tc>
        <w:tc>
          <w:tcPr>
            <w:tcW w:w="592" w:type="dxa"/>
            <w:vAlign w:val="center"/>
          </w:tcPr>
          <w:p w14:paraId="33E771F0">
            <w:pPr>
              <w:jc w:val="center"/>
              <w:rPr>
                <w:rFonts w:ascii="宋体" w:hAnsi="宋体" w:cs="宋体"/>
                <w:color w:val="000000"/>
                <w:sz w:val="24"/>
                <w:szCs w:val="24"/>
              </w:rPr>
            </w:pPr>
            <w:r>
              <w:rPr>
                <w:rFonts w:hint="eastAsia" w:ascii="宋体" w:hAnsi="宋体" w:cs="宋体"/>
                <w:color w:val="000000"/>
                <w:sz w:val="24"/>
                <w:szCs w:val="24"/>
              </w:rPr>
              <w:t>3</w:t>
            </w:r>
          </w:p>
        </w:tc>
        <w:tc>
          <w:tcPr>
            <w:tcW w:w="1095" w:type="dxa"/>
            <w:vAlign w:val="center"/>
          </w:tcPr>
          <w:p w14:paraId="43336925">
            <w:pPr>
              <w:pStyle w:val="19"/>
              <w:spacing w:beforeAutospacing="0" w:afterAutospacing="0"/>
              <w:jc w:val="center"/>
              <w:rPr>
                <w:rFonts w:ascii="宋体" w:hAnsi="宋体" w:cs="宋体"/>
                <w:szCs w:val="24"/>
              </w:rPr>
            </w:pPr>
            <w:r>
              <w:rPr>
                <w:rFonts w:hint="eastAsia" w:ascii="宋体" w:hAnsi="宋体" w:cs="宋体"/>
                <w:color w:val="000000"/>
                <w:szCs w:val="24"/>
              </w:rPr>
              <w:t>设计技术方案</w:t>
            </w:r>
          </w:p>
        </w:tc>
        <w:tc>
          <w:tcPr>
            <w:tcW w:w="726" w:type="dxa"/>
            <w:vAlign w:val="center"/>
          </w:tcPr>
          <w:p w14:paraId="43B9531D">
            <w:pPr>
              <w:jc w:val="center"/>
              <w:rPr>
                <w:rFonts w:ascii="宋体" w:hAnsi="宋体" w:cs="宋体"/>
                <w:color w:val="000000"/>
                <w:sz w:val="24"/>
                <w:szCs w:val="24"/>
              </w:rPr>
            </w:pPr>
            <w:r>
              <w:rPr>
                <w:rFonts w:hint="eastAsia" w:ascii="宋体" w:hAnsi="宋体" w:cs="宋体"/>
                <w:color w:val="000000"/>
                <w:sz w:val="24"/>
                <w:szCs w:val="24"/>
              </w:rPr>
              <w:t>14分</w:t>
            </w:r>
          </w:p>
        </w:tc>
        <w:tc>
          <w:tcPr>
            <w:tcW w:w="5022" w:type="dxa"/>
            <w:vAlign w:val="center"/>
          </w:tcPr>
          <w:p w14:paraId="12321D58">
            <w:pPr>
              <w:jc w:val="left"/>
              <w:rPr>
                <w:rFonts w:ascii="宋体" w:hAnsi="宋体" w:cs="宋体"/>
                <w:color w:val="000000"/>
                <w:sz w:val="24"/>
                <w:szCs w:val="24"/>
              </w:rPr>
            </w:pPr>
            <w:r>
              <w:rPr>
                <w:rFonts w:hint="eastAsia" w:ascii="宋体" w:hAnsi="宋体" w:cs="宋体"/>
                <w:color w:val="000000"/>
                <w:sz w:val="24"/>
                <w:szCs w:val="24"/>
              </w:rPr>
              <w:t>设计总体布置方案、节点方案、设计依据的技术标准及采用的设计指标等方面的完整性、合理性、准确性、全面性进行评审。</w:t>
            </w:r>
          </w:p>
          <w:p w14:paraId="6A9CBFAE">
            <w:pPr>
              <w:jc w:val="left"/>
              <w:rPr>
                <w:rFonts w:ascii="宋体" w:hAnsi="宋体" w:cs="宋体"/>
                <w:color w:val="000000"/>
                <w:sz w:val="24"/>
                <w:szCs w:val="24"/>
              </w:rPr>
            </w:pPr>
            <w:r>
              <w:rPr>
                <w:rFonts w:hint="eastAsia" w:ascii="宋体" w:hAnsi="宋体" w:cs="宋体"/>
                <w:color w:val="000000"/>
                <w:sz w:val="24"/>
                <w:szCs w:val="24"/>
              </w:rPr>
              <w:t>（1）设计总体布置方案全面且详细、节点方案合理、设计依据的技术标准及采用的设计指标准确详细的，得14分；</w:t>
            </w:r>
          </w:p>
          <w:p w14:paraId="42353FCE">
            <w:pPr>
              <w:jc w:val="left"/>
              <w:rPr>
                <w:rFonts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val="en-US" w:eastAsia="zh-CN"/>
              </w:rPr>
              <w:t>2</w:t>
            </w:r>
            <w:r>
              <w:rPr>
                <w:rFonts w:hint="eastAsia" w:ascii="宋体" w:hAnsi="宋体" w:cs="宋体"/>
                <w:color w:val="000000"/>
                <w:sz w:val="24"/>
                <w:szCs w:val="24"/>
              </w:rPr>
              <w:t>）设计总体布置方案较全面、节点方案较合理、设计依据的技术标准及采用的设计指标较准确详细的，得</w:t>
            </w:r>
            <w:r>
              <w:rPr>
                <w:rFonts w:hint="eastAsia" w:ascii="宋体" w:hAnsi="宋体" w:cs="宋体"/>
                <w:color w:val="000000"/>
                <w:sz w:val="24"/>
                <w:szCs w:val="24"/>
                <w:lang w:val="en-US" w:eastAsia="zh-CN"/>
              </w:rPr>
              <w:t>10</w:t>
            </w:r>
            <w:r>
              <w:rPr>
                <w:rFonts w:hint="eastAsia" w:ascii="宋体" w:hAnsi="宋体" w:cs="宋体"/>
                <w:color w:val="000000"/>
                <w:sz w:val="24"/>
                <w:szCs w:val="24"/>
              </w:rPr>
              <w:t>分；</w:t>
            </w:r>
          </w:p>
          <w:p w14:paraId="549F4D12">
            <w:pPr>
              <w:jc w:val="left"/>
              <w:rPr>
                <w:rFonts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cs="宋体"/>
                <w:color w:val="000000"/>
                <w:sz w:val="24"/>
                <w:szCs w:val="24"/>
              </w:rPr>
              <w:t>）设计总体布置方案一般、节点方案一般、设计依据的技术标准及采用的设计指标准确的，得</w:t>
            </w:r>
            <w:r>
              <w:rPr>
                <w:rFonts w:hint="eastAsia" w:ascii="宋体" w:hAnsi="宋体" w:cs="宋体"/>
                <w:color w:val="000000"/>
                <w:sz w:val="24"/>
                <w:szCs w:val="24"/>
                <w:lang w:val="en-US" w:eastAsia="zh-CN"/>
              </w:rPr>
              <w:t>6</w:t>
            </w:r>
            <w:r>
              <w:rPr>
                <w:rFonts w:hint="eastAsia" w:ascii="宋体" w:hAnsi="宋体" w:cs="宋体"/>
                <w:color w:val="000000"/>
                <w:sz w:val="24"/>
                <w:szCs w:val="24"/>
              </w:rPr>
              <w:t>分；</w:t>
            </w:r>
          </w:p>
          <w:p w14:paraId="6FD801DB">
            <w:pPr>
              <w:jc w:val="left"/>
              <w:rPr>
                <w:rFonts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val="en-US" w:eastAsia="zh-CN"/>
              </w:rPr>
              <w:t>4</w:t>
            </w:r>
            <w:r>
              <w:rPr>
                <w:rFonts w:hint="eastAsia" w:ascii="宋体" w:hAnsi="宋体" w:cs="宋体"/>
                <w:color w:val="000000"/>
                <w:sz w:val="24"/>
                <w:szCs w:val="24"/>
              </w:rPr>
              <w:t>）未提供设计总体布置方案、节点方案、设计依据的技术标准及采用的设计指标的，得0分。</w:t>
            </w:r>
          </w:p>
        </w:tc>
        <w:tc>
          <w:tcPr>
            <w:tcW w:w="1054" w:type="dxa"/>
            <w:vAlign w:val="center"/>
          </w:tcPr>
          <w:p w14:paraId="0D270CAB">
            <w:pPr>
              <w:jc w:val="center"/>
              <w:rPr>
                <w:rFonts w:ascii="宋体"/>
                <w:color w:val="000000"/>
                <w:sz w:val="24"/>
                <w:szCs w:val="24"/>
              </w:rPr>
            </w:pPr>
          </w:p>
        </w:tc>
      </w:tr>
      <w:tr w14:paraId="5F49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jc w:val="center"/>
        </w:trPr>
        <w:tc>
          <w:tcPr>
            <w:tcW w:w="991" w:type="dxa"/>
            <w:vMerge w:val="continue"/>
            <w:vAlign w:val="center"/>
          </w:tcPr>
          <w:p w14:paraId="74630BF8">
            <w:pPr>
              <w:jc w:val="center"/>
              <w:rPr>
                <w:rFonts w:ascii="宋体"/>
                <w:color w:val="000000"/>
                <w:sz w:val="24"/>
                <w:szCs w:val="24"/>
              </w:rPr>
            </w:pPr>
          </w:p>
        </w:tc>
        <w:tc>
          <w:tcPr>
            <w:tcW w:w="592" w:type="dxa"/>
            <w:vAlign w:val="center"/>
          </w:tcPr>
          <w:p w14:paraId="68076E67">
            <w:pPr>
              <w:jc w:val="center"/>
              <w:rPr>
                <w:rFonts w:ascii="宋体" w:hAnsi="宋体" w:cs="宋体"/>
                <w:color w:val="000000"/>
                <w:sz w:val="24"/>
                <w:szCs w:val="24"/>
              </w:rPr>
            </w:pPr>
            <w:r>
              <w:rPr>
                <w:rFonts w:hint="eastAsia" w:ascii="宋体" w:hAnsi="宋体" w:cs="宋体"/>
                <w:color w:val="000000"/>
                <w:sz w:val="24"/>
                <w:szCs w:val="24"/>
              </w:rPr>
              <w:t>4</w:t>
            </w:r>
          </w:p>
        </w:tc>
        <w:tc>
          <w:tcPr>
            <w:tcW w:w="1095" w:type="dxa"/>
            <w:vAlign w:val="center"/>
          </w:tcPr>
          <w:p w14:paraId="48E8E938">
            <w:pPr>
              <w:pStyle w:val="19"/>
              <w:spacing w:beforeAutospacing="0" w:afterAutospacing="0"/>
              <w:jc w:val="center"/>
              <w:rPr>
                <w:rFonts w:ascii="宋体" w:hAnsi="宋体" w:cs="宋体"/>
                <w:szCs w:val="24"/>
              </w:rPr>
            </w:pPr>
            <w:r>
              <w:rPr>
                <w:rFonts w:hint="eastAsia" w:ascii="宋体" w:hAnsi="宋体" w:cs="宋体"/>
                <w:color w:val="000000"/>
                <w:szCs w:val="24"/>
              </w:rPr>
              <w:t>关键施工难点、重点及合理化建议</w:t>
            </w:r>
          </w:p>
          <w:p w14:paraId="6A7647F5">
            <w:pPr>
              <w:jc w:val="center"/>
              <w:rPr>
                <w:rFonts w:ascii="宋体" w:hAnsi="宋体" w:cs="宋体"/>
                <w:sz w:val="24"/>
                <w:szCs w:val="24"/>
              </w:rPr>
            </w:pPr>
          </w:p>
        </w:tc>
        <w:tc>
          <w:tcPr>
            <w:tcW w:w="726" w:type="dxa"/>
            <w:vAlign w:val="center"/>
          </w:tcPr>
          <w:p w14:paraId="5C2E3A5F">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39BD4FF5">
            <w:pPr>
              <w:pStyle w:val="19"/>
              <w:spacing w:beforeAutospacing="0" w:afterAutospacing="0"/>
              <w:rPr>
                <w:rFonts w:ascii="宋体" w:hAnsi="宋体" w:cs="宋体"/>
                <w:szCs w:val="24"/>
              </w:rPr>
            </w:pPr>
            <w:r>
              <w:rPr>
                <w:rFonts w:hint="eastAsia" w:ascii="宋体" w:hAnsi="宋体" w:cs="宋体"/>
                <w:color w:val="000000"/>
                <w:szCs w:val="24"/>
              </w:rPr>
              <w:t>投标人针对本项目关键施工技术的难点、重点的分析及针对性合理化建议(措施)的科学性、可行性、全面性、针对性及有效性等。</w:t>
            </w:r>
          </w:p>
          <w:p w14:paraId="0C1B3387">
            <w:pPr>
              <w:pStyle w:val="19"/>
              <w:spacing w:beforeAutospacing="0" w:afterAutospacing="0"/>
              <w:rPr>
                <w:rFonts w:ascii="宋体" w:hAnsi="宋体" w:cs="宋体"/>
                <w:szCs w:val="24"/>
              </w:rPr>
            </w:pPr>
            <w:r>
              <w:rPr>
                <w:rFonts w:hint="eastAsia" w:ascii="宋体" w:hAnsi="宋体" w:cs="宋体"/>
                <w:color w:val="000000"/>
                <w:szCs w:val="24"/>
              </w:rPr>
              <w:t>（1）重难点描述全面且完整，解决方案可操作性强的，得3分；</w:t>
            </w:r>
          </w:p>
          <w:p w14:paraId="2C20D6D4">
            <w:pPr>
              <w:pStyle w:val="19"/>
              <w:spacing w:beforeAutospacing="0" w:afterAutospacing="0"/>
              <w:rPr>
                <w:rFonts w:ascii="宋体" w:hAnsi="宋体" w:cs="宋体"/>
                <w:szCs w:val="24"/>
              </w:rPr>
            </w:pPr>
            <w:r>
              <w:rPr>
                <w:rFonts w:hint="eastAsia" w:ascii="宋体" w:hAnsi="宋体" w:cs="宋体"/>
                <w:color w:val="000000"/>
                <w:szCs w:val="24"/>
              </w:rPr>
              <w:t>（2）重难点描述较全面且较完整，解决方案可操作性较强的，得2分；</w:t>
            </w:r>
          </w:p>
          <w:p w14:paraId="2F5656ED">
            <w:pPr>
              <w:pStyle w:val="19"/>
              <w:spacing w:beforeAutospacing="0" w:afterAutospacing="0"/>
              <w:rPr>
                <w:rFonts w:ascii="宋体" w:hAnsi="宋体" w:cs="宋体"/>
                <w:szCs w:val="24"/>
              </w:rPr>
            </w:pPr>
            <w:r>
              <w:rPr>
                <w:rFonts w:hint="eastAsia" w:ascii="宋体" w:hAnsi="宋体" w:cs="宋体"/>
                <w:color w:val="000000"/>
                <w:szCs w:val="24"/>
              </w:rPr>
              <w:t>（3）重难点描述一般，解决方案可操作性一般的，得1分；</w:t>
            </w:r>
          </w:p>
          <w:p w14:paraId="18769BCC">
            <w:pPr>
              <w:pStyle w:val="19"/>
              <w:spacing w:beforeAutospacing="0" w:afterAutospacing="0"/>
              <w:rPr>
                <w:rFonts w:ascii="宋体" w:hAnsi="宋体" w:cs="宋体"/>
                <w:szCs w:val="24"/>
              </w:rPr>
            </w:pPr>
            <w:r>
              <w:rPr>
                <w:rFonts w:hint="eastAsia" w:ascii="宋体" w:hAnsi="宋体" w:cs="宋体"/>
                <w:color w:val="000000"/>
                <w:szCs w:val="24"/>
              </w:rPr>
              <w:t>（4）重难点描述不完整，解决方案无可操作性的，得0分。</w:t>
            </w:r>
          </w:p>
          <w:p w14:paraId="70CE1608">
            <w:pPr>
              <w:jc w:val="left"/>
              <w:rPr>
                <w:rFonts w:ascii="宋体" w:hAnsi="宋体" w:cs="宋体"/>
                <w:color w:val="000000"/>
                <w:sz w:val="24"/>
                <w:szCs w:val="24"/>
              </w:rPr>
            </w:pPr>
          </w:p>
        </w:tc>
        <w:tc>
          <w:tcPr>
            <w:tcW w:w="1054" w:type="dxa"/>
            <w:vAlign w:val="center"/>
          </w:tcPr>
          <w:p w14:paraId="0D41E90E">
            <w:pPr>
              <w:jc w:val="center"/>
              <w:rPr>
                <w:rFonts w:ascii="宋体"/>
                <w:color w:val="000000"/>
                <w:sz w:val="24"/>
                <w:szCs w:val="24"/>
              </w:rPr>
            </w:pPr>
          </w:p>
        </w:tc>
      </w:tr>
      <w:tr w14:paraId="25C8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991" w:type="dxa"/>
            <w:vMerge w:val="continue"/>
            <w:vAlign w:val="center"/>
          </w:tcPr>
          <w:p w14:paraId="5EB7CC07">
            <w:pPr>
              <w:jc w:val="center"/>
              <w:rPr>
                <w:rFonts w:ascii="宋体"/>
                <w:color w:val="000000"/>
                <w:sz w:val="24"/>
                <w:szCs w:val="24"/>
              </w:rPr>
            </w:pPr>
          </w:p>
        </w:tc>
        <w:tc>
          <w:tcPr>
            <w:tcW w:w="592" w:type="dxa"/>
            <w:vAlign w:val="center"/>
          </w:tcPr>
          <w:p w14:paraId="03CED141">
            <w:pPr>
              <w:jc w:val="center"/>
              <w:rPr>
                <w:rFonts w:ascii="宋体" w:hAnsi="宋体" w:cs="宋体"/>
                <w:color w:val="000000"/>
                <w:sz w:val="24"/>
                <w:szCs w:val="24"/>
              </w:rPr>
            </w:pPr>
            <w:r>
              <w:rPr>
                <w:rFonts w:hint="eastAsia" w:ascii="宋体" w:hAnsi="宋体" w:cs="宋体"/>
                <w:color w:val="000000"/>
                <w:sz w:val="24"/>
                <w:szCs w:val="24"/>
              </w:rPr>
              <w:t>5</w:t>
            </w:r>
          </w:p>
        </w:tc>
        <w:tc>
          <w:tcPr>
            <w:tcW w:w="1095" w:type="dxa"/>
            <w:vAlign w:val="center"/>
          </w:tcPr>
          <w:p w14:paraId="24F35E3D">
            <w:pPr>
              <w:jc w:val="center"/>
              <w:rPr>
                <w:rFonts w:ascii="宋体" w:hAnsi="宋体" w:cs="宋体"/>
                <w:sz w:val="24"/>
                <w:szCs w:val="24"/>
              </w:rPr>
            </w:pPr>
            <w:r>
              <w:rPr>
                <w:rFonts w:hint="eastAsia" w:ascii="宋体" w:hAnsi="宋体" w:cs="宋体"/>
                <w:color w:val="000000"/>
                <w:sz w:val="24"/>
                <w:szCs w:val="24"/>
              </w:rPr>
              <w:t>现场管理</w:t>
            </w:r>
          </w:p>
        </w:tc>
        <w:tc>
          <w:tcPr>
            <w:tcW w:w="726" w:type="dxa"/>
            <w:vAlign w:val="center"/>
          </w:tcPr>
          <w:p w14:paraId="750CFD92">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197FE9C3">
            <w:pPr>
              <w:pStyle w:val="19"/>
              <w:spacing w:beforeAutospacing="0" w:afterAutospacing="0"/>
              <w:jc w:val="both"/>
              <w:rPr>
                <w:rFonts w:ascii="宋体" w:hAnsi="宋体" w:cs="宋体"/>
                <w:szCs w:val="24"/>
              </w:rPr>
            </w:pPr>
            <w:r>
              <w:rPr>
                <w:rFonts w:hint="eastAsia" w:ascii="宋体" w:hAnsi="宋体" w:cs="宋体"/>
                <w:color w:val="000000"/>
                <w:szCs w:val="24"/>
              </w:rPr>
              <w:t>投标人针对本项目现场管理的科学性、规范性、全面性、可行性及合理性等。</w:t>
            </w:r>
          </w:p>
          <w:p w14:paraId="6EAD7E5E">
            <w:pPr>
              <w:pStyle w:val="19"/>
              <w:spacing w:beforeAutospacing="0" w:afterAutospacing="0"/>
              <w:jc w:val="both"/>
              <w:rPr>
                <w:rFonts w:ascii="宋体" w:hAnsi="宋体" w:cs="宋体"/>
                <w:szCs w:val="24"/>
              </w:rPr>
            </w:pPr>
            <w:r>
              <w:rPr>
                <w:rFonts w:hint="eastAsia" w:ascii="宋体" w:hAnsi="宋体" w:cs="宋体"/>
                <w:color w:val="000000"/>
                <w:szCs w:val="24"/>
              </w:rPr>
              <w:t>（1）现场管理方案合理、可操作性强的，得3分；</w:t>
            </w:r>
          </w:p>
          <w:p w14:paraId="7CE3358A">
            <w:pPr>
              <w:pStyle w:val="19"/>
              <w:spacing w:beforeAutospacing="0" w:afterAutospacing="0"/>
              <w:jc w:val="both"/>
              <w:rPr>
                <w:rFonts w:ascii="宋体" w:hAnsi="宋体" w:cs="宋体"/>
                <w:szCs w:val="24"/>
              </w:rPr>
            </w:pPr>
            <w:r>
              <w:rPr>
                <w:rFonts w:hint="eastAsia" w:ascii="宋体" w:hAnsi="宋体" w:cs="宋体"/>
                <w:color w:val="000000"/>
                <w:szCs w:val="24"/>
              </w:rPr>
              <w:t>（2）现场管理方案较合理、可操作性较强的，得2分；</w:t>
            </w:r>
          </w:p>
          <w:p w14:paraId="13B42F15">
            <w:pPr>
              <w:pStyle w:val="19"/>
              <w:spacing w:beforeAutospacing="0" w:afterAutospacing="0"/>
              <w:rPr>
                <w:rFonts w:ascii="宋体" w:hAnsi="宋体" w:cs="宋体"/>
                <w:szCs w:val="24"/>
              </w:rPr>
            </w:pPr>
            <w:r>
              <w:rPr>
                <w:rFonts w:hint="eastAsia" w:ascii="宋体" w:hAnsi="宋体" w:cs="宋体"/>
                <w:color w:val="000000"/>
                <w:szCs w:val="24"/>
              </w:rPr>
              <w:t>（3）现场管理方案合理性一般，可操作性一般的，得1分；</w:t>
            </w:r>
          </w:p>
          <w:p w14:paraId="0C8EAB7E">
            <w:pPr>
              <w:pStyle w:val="19"/>
              <w:spacing w:beforeAutospacing="0" w:afterAutospacing="0"/>
              <w:rPr>
                <w:rFonts w:ascii="宋体" w:hAnsi="宋体" w:cs="宋体"/>
                <w:szCs w:val="24"/>
              </w:rPr>
            </w:pPr>
            <w:r>
              <w:rPr>
                <w:rFonts w:hint="eastAsia" w:ascii="宋体" w:hAnsi="宋体" w:cs="宋体"/>
                <w:color w:val="000000"/>
                <w:szCs w:val="24"/>
              </w:rPr>
              <w:t>（4）现场管理方案不合理，无可操作性的，得0分。</w:t>
            </w:r>
          </w:p>
        </w:tc>
        <w:tc>
          <w:tcPr>
            <w:tcW w:w="1054" w:type="dxa"/>
            <w:vAlign w:val="center"/>
          </w:tcPr>
          <w:p w14:paraId="65768EBC">
            <w:pPr>
              <w:jc w:val="center"/>
              <w:rPr>
                <w:rFonts w:ascii="宋体"/>
                <w:color w:val="000000"/>
                <w:sz w:val="24"/>
                <w:szCs w:val="24"/>
              </w:rPr>
            </w:pPr>
          </w:p>
        </w:tc>
      </w:tr>
      <w:tr w14:paraId="78A8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991" w:type="dxa"/>
            <w:vMerge w:val="continue"/>
            <w:vAlign w:val="center"/>
          </w:tcPr>
          <w:p w14:paraId="672DEFB3">
            <w:pPr>
              <w:jc w:val="center"/>
              <w:rPr>
                <w:rFonts w:ascii="宋体"/>
                <w:color w:val="000000"/>
                <w:sz w:val="24"/>
                <w:szCs w:val="24"/>
              </w:rPr>
            </w:pPr>
          </w:p>
        </w:tc>
        <w:tc>
          <w:tcPr>
            <w:tcW w:w="592" w:type="dxa"/>
            <w:vAlign w:val="center"/>
          </w:tcPr>
          <w:p w14:paraId="2BFBBC7E">
            <w:pPr>
              <w:jc w:val="center"/>
              <w:rPr>
                <w:rFonts w:ascii="宋体" w:hAnsi="宋体" w:cs="宋体"/>
                <w:color w:val="000000"/>
                <w:sz w:val="24"/>
                <w:szCs w:val="24"/>
              </w:rPr>
            </w:pPr>
            <w:r>
              <w:rPr>
                <w:rFonts w:hint="eastAsia" w:ascii="宋体" w:hAnsi="宋体" w:cs="宋体"/>
                <w:color w:val="000000"/>
                <w:sz w:val="24"/>
                <w:szCs w:val="24"/>
              </w:rPr>
              <w:t>6</w:t>
            </w:r>
          </w:p>
        </w:tc>
        <w:tc>
          <w:tcPr>
            <w:tcW w:w="1095" w:type="dxa"/>
            <w:vAlign w:val="center"/>
          </w:tcPr>
          <w:p w14:paraId="5BF976B8">
            <w:pPr>
              <w:jc w:val="center"/>
              <w:rPr>
                <w:rFonts w:ascii="宋体" w:hAnsi="宋体" w:cs="宋体"/>
                <w:color w:val="000000"/>
                <w:sz w:val="24"/>
                <w:szCs w:val="24"/>
              </w:rPr>
            </w:pPr>
            <w:r>
              <w:rPr>
                <w:rFonts w:hint="eastAsia" w:ascii="宋体" w:hAnsi="宋体" w:cs="宋体"/>
                <w:color w:val="000000"/>
                <w:sz w:val="24"/>
                <w:szCs w:val="24"/>
              </w:rPr>
              <w:t>施工进度计划和各阶段进度的保证措施</w:t>
            </w:r>
          </w:p>
        </w:tc>
        <w:tc>
          <w:tcPr>
            <w:tcW w:w="726" w:type="dxa"/>
            <w:vAlign w:val="center"/>
          </w:tcPr>
          <w:p w14:paraId="22DD80F5">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45116A27">
            <w:pPr>
              <w:pStyle w:val="19"/>
              <w:spacing w:beforeAutospacing="0" w:afterAutospacing="0"/>
              <w:jc w:val="both"/>
              <w:rPr>
                <w:rFonts w:ascii="宋体" w:hAnsi="宋体" w:cs="宋体"/>
                <w:szCs w:val="24"/>
              </w:rPr>
            </w:pPr>
            <w:r>
              <w:rPr>
                <w:rFonts w:hint="eastAsia" w:ascii="宋体" w:hAnsi="宋体" w:cs="宋体"/>
                <w:color w:val="000000"/>
                <w:szCs w:val="24"/>
              </w:rPr>
              <w:t>投标人针对本项目实施关键线路的清晰性、施工进度计划编制的完整性、合理性及可行性等。</w:t>
            </w:r>
          </w:p>
          <w:p w14:paraId="715BA4AD">
            <w:pPr>
              <w:pStyle w:val="19"/>
              <w:spacing w:beforeAutospacing="0" w:afterAutospacing="0"/>
              <w:jc w:val="both"/>
              <w:rPr>
                <w:rFonts w:ascii="宋体" w:hAnsi="宋体" w:cs="宋体"/>
                <w:szCs w:val="24"/>
              </w:rPr>
            </w:pPr>
            <w:r>
              <w:rPr>
                <w:rFonts w:hint="eastAsia" w:ascii="宋体" w:hAnsi="宋体" w:cs="宋体"/>
                <w:color w:val="000000"/>
                <w:szCs w:val="24"/>
              </w:rPr>
              <w:t>（1）计划及措施科学可行，安排得当的，得4分；</w:t>
            </w:r>
          </w:p>
          <w:p w14:paraId="5FC2BDE5">
            <w:pPr>
              <w:pStyle w:val="19"/>
              <w:spacing w:beforeAutospacing="0" w:afterAutospacing="0"/>
              <w:jc w:val="both"/>
              <w:rPr>
                <w:rFonts w:ascii="宋体" w:hAnsi="宋体" w:cs="宋体"/>
                <w:szCs w:val="24"/>
              </w:rPr>
            </w:pPr>
            <w:r>
              <w:rPr>
                <w:rFonts w:hint="eastAsia" w:ascii="宋体" w:hAnsi="宋体" w:cs="宋体"/>
                <w:color w:val="000000"/>
                <w:szCs w:val="24"/>
              </w:rPr>
              <w:t>（2）计划及措施较合理，安排较得当的，得3分； </w:t>
            </w:r>
          </w:p>
          <w:p w14:paraId="2CCE8AC1">
            <w:pPr>
              <w:pStyle w:val="19"/>
              <w:spacing w:beforeAutospacing="0" w:afterAutospacing="0"/>
              <w:rPr>
                <w:rFonts w:ascii="宋体" w:hAnsi="宋体" w:cs="宋体"/>
                <w:szCs w:val="24"/>
              </w:rPr>
            </w:pPr>
            <w:r>
              <w:rPr>
                <w:rFonts w:hint="eastAsia" w:ascii="宋体" w:hAnsi="宋体" w:cs="宋体"/>
                <w:color w:val="000000"/>
                <w:szCs w:val="24"/>
              </w:rPr>
              <w:t>（3）计划及措施一般，安排一般的，得2分；</w:t>
            </w:r>
          </w:p>
          <w:p w14:paraId="5398A6D6">
            <w:pPr>
              <w:pStyle w:val="19"/>
              <w:spacing w:beforeAutospacing="0" w:afterAutospacing="0"/>
              <w:rPr>
                <w:rFonts w:ascii="宋体" w:hAnsi="宋体" w:cs="宋体"/>
                <w:color w:val="000000"/>
                <w:szCs w:val="24"/>
              </w:rPr>
            </w:pPr>
            <w:r>
              <w:rPr>
                <w:rFonts w:hint="eastAsia" w:ascii="宋体" w:hAnsi="宋体" w:cs="宋体"/>
                <w:color w:val="000000"/>
                <w:szCs w:val="24"/>
              </w:rPr>
              <w:t>（4）计划及措施不可行的，得0分。</w:t>
            </w:r>
          </w:p>
        </w:tc>
        <w:tc>
          <w:tcPr>
            <w:tcW w:w="1054" w:type="dxa"/>
            <w:vAlign w:val="center"/>
          </w:tcPr>
          <w:p w14:paraId="3A4CFFB4">
            <w:pPr>
              <w:jc w:val="center"/>
              <w:rPr>
                <w:rFonts w:ascii="宋体"/>
                <w:color w:val="000000"/>
                <w:sz w:val="24"/>
                <w:szCs w:val="24"/>
              </w:rPr>
            </w:pPr>
          </w:p>
        </w:tc>
      </w:tr>
      <w:tr w14:paraId="54D2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vAlign w:val="center"/>
          </w:tcPr>
          <w:p w14:paraId="36CBBE48">
            <w:pPr>
              <w:jc w:val="center"/>
              <w:rPr>
                <w:rFonts w:ascii="宋体"/>
                <w:color w:val="000000"/>
                <w:sz w:val="24"/>
                <w:szCs w:val="24"/>
              </w:rPr>
            </w:pPr>
          </w:p>
        </w:tc>
        <w:tc>
          <w:tcPr>
            <w:tcW w:w="592" w:type="dxa"/>
            <w:vAlign w:val="center"/>
          </w:tcPr>
          <w:p w14:paraId="0387987C">
            <w:pPr>
              <w:jc w:val="center"/>
              <w:rPr>
                <w:rFonts w:ascii="宋体" w:hAnsi="宋体" w:cs="宋体"/>
                <w:color w:val="000000"/>
                <w:sz w:val="24"/>
                <w:szCs w:val="24"/>
              </w:rPr>
            </w:pPr>
            <w:r>
              <w:rPr>
                <w:rFonts w:hint="eastAsia" w:ascii="宋体" w:hAnsi="宋体" w:cs="宋体"/>
                <w:color w:val="000000"/>
                <w:sz w:val="24"/>
                <w:szCs w:val="24"/>
              </w:rPr>
              <w:t>7</w:t>
            </w:r>
          </w:p>
        </w:tc>
        <w:tc>
          <w:tcPr>
            <w:tcW w:w="1095" w:type="dxa"/>
            <w:vAlign w:val="center"/>
          </w:tcPr>
          <w:p w14:paraId="70CF57C5">
            <w:pPr>
              <w:pStyle w:val="19"/>
              <w:spacing w:beforeAutospacing="0" w:afterAutospacing="0"/>
              <w:jc w:val="center"/>
              <w:rPr>
                <w:rFonts w:ascii="宋体" w:hAnsi="宋体" w:cs="宋体"/>
                <w:szCs w:val="24"/>
              </w:rPr>
            </w:pPr>
            <w:r>
              <w:rPr>
                <w:rFonts w:hint="eastAsia" w:ascii="宋体" w:hAnsi="宋体" w:cs="宋体"/>
                <w:color w:val="000000"/>
                <w:szCs w:val="24"/>
              </w:rPr>
              <w:t>施工质量保证措施</w:t>
            </w:r>
          </w:p>
          <w:p w14:paraId="084073D0">
            <w:pPr>
              <w:jc w:val="center"/>
              <w:rPr>
                <w:rFonts w:ascii="宋体" w:hAnsi="宋体" w:cs="宋体"/>
                <w:color w:val="000000"/>
                <w:sz w:val="24"/>
                <w:szCs w:val="24"/>
              </w:rPr>
            </w:pPr>
          </w:p>
        </w:tc>
        <w:tc>
          <w:tcPr>
            <w:tcW w:w="726" w:type="dxa"/>
            <w:vAlign w:val="center"/>
          </w:tcPr>
          <w:p w14:paraId="5D1817E3">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3D74135A">
            <w:pPr>
              <w:pStyle w:val="19"/>
              <w:spacing w:beforeAutospacing="0" w:afterAutospacing="0"/>
              <w:jc w:val="both"/>
              <w:rPr>
                <w:rFonts w:ascii="宋体" w:hAnsi="宋体" w:cs="宋体"/>
                <w:szCs w:val="24"/>
              </w:rPr>
            </w:pPr>
            <w:r>
              <w:rPr>
                <w:rFonts w:hint="eastAsia" w:ascii="宋体" w:hAnsi="宋体" w:cs="宋体"/>
                <w:color w:val="000000"/>
                <w:szCs w:val="24"/>
              </w:rPr>
              <w:t>投标人针对本项目的工程质量保证措施。内容包含但不限于施工质量控制措施、质量保证体系及分部分项工程施工过程质量控制等。</w:t>
            </w:r>
          </w:p>
          <w:p w14:paraId="6ACBF4E9">
            <w:pPr>
              <w:pStyle w:val="19"/>
              <w:spacing w:beforeAutospacing="0" w:afterAutospacing="0"/>
              <w:jc w:val="both"/>
              <w:rPr>
                <w:rFonts w:ascii="宋体" w:hAnsi="宋体" w:cs="宋体"/>
                <w:szCs w:val="24"/>
              </w:rPr>
            </w:pPr>
            <w:r>
              <w:rPr>
                <w:rFonts w:hint="eastAsia" w:ascii="宋体" w:hAnsi="宋体" w:cs="宋体"/>
                <w:color w:val="000000"/>
                <w:szCs w:val="24"/>
              </w:rPr>
              <w:t>（1）保证措施可操作性强，科学合理，切实可行，质量控制点明确的，得4分；</w:t>
            </w:r>
          </w:p>
          <w:p w14:paraId="14372FE0">
            <w:pPr>
              <w:pStyle w:val="19"/>
              <w:spacing w:beforeAutospacing="0" w:afterAutospacing="0"/>
              <w:jc w:val="both"/>
              <w:rPr>
                <w:rFonts w:ascii="宋体" w:hAnsi="宋体" w:cs="宋体"/>
                <w:szCs w:val="24"/>
              </w:rPr>
            </w:pPr>
            <w:r>
              <w:rPr>
                <w:rFonts w:hint="eastAsia" w:ascii="宋体" w:hAnsi="宋体" w:cs="宋体"/>
                <w:color w:val="000000"/>
                <w:szCs w:val="24"/>
              </w:rPr>
              <w:t>（2）保证措施可操作性较强，质量控制点较为明确的，得3分；</w:t>
            </w:r>
          </w:p>
          <w:p w14:paraId="496072FD">
            <w:pPr>
              <w:pStyle w:val="19"/>
              <w:spacing w:beforeAutospacing="0" w:afterAutospacing="0"/>
              <w:jc w:val="both"/>
              <w:rPr>
                <w:rFonts w:ascii="宋体" w:hAnsi="宋体" w:cs="宋体"/>
                <w:szCs w:val="24"/>
              </w:rPr>
            </w:pPr>
            <w:r>
              <w:rPr>
                <w:rFonts w:hint="eastAsia" w:ascii="宋体" w:hAnsi="宋体" w:cs="宋体"/>
                <w:color w:val="000000"/>
                <w:szCs w:val="24"/>
              </w:rPr>
              <w:t>（3）保证措施可操作性一般，质量控制点基本明确的，得2分； </w:t>
            </w:r>
          </w:p>
          <w:p w14:paraId="448B0BAA">
            <w:pPr>
              <w:pStyle w:val="19"/>
              <w:spacing w:beforeAutospacing="0" w:afterAutospacing="0"/>
              <w:rPr>
                <w:rFonts w:ascii="宋体" w:hAnsi="宋体" w:cs="宋体"/>
                <w:color w:val="000000"/>
                <w:szCs w:val="24"/>
              </w:rPr>
            </w:pPr>
            <w:r>
              <w:rPr>
                <w:rFonts w:hint="eastAsia" w:ascii="宋体" w:hAnsi="宋体" w:cs="宋体"/>
                <w:color w:val="000000"/>
                <w:szCs w:val="24"/>
              </w:rPr>
              <w:t>（4）保证措施不具备操作性，得0分。</w:t>
            </w:r>
          </w:p>
        </w:tc>
        <w:tc>
          <w:tcPr>
            <w:tcW w:w="1054" w:type="dxa"/>
            <w:vAlign w:val="center"/>
          </w:tcPr>
          <w:p w14:paraId="1FC478E7">
            <w:pPr>
              <w:jc w:val="center"/>
              <w:rPr>
                <w:rFonts w:ascii="宋体"/>
                <w:color w:val="000000"/>
                <w:sz w:val="24"/>
                <w:szCs w:val="24"/>
              </w:rPr>
            </w:pPr>
          </w:p>
        </w:tc>
      </w:tr>
      <w:tr w14:paraId="2FAB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91" w:type="dxa"/>
            <w:vAlign w:val="center"/>
          </w:tcPr>
          <w:p w14:paraId="39F5540E">
            <w:pPr>
              <w:jc w:val="center"/>
              <w:rPr>
                <w:rFonts w:ascii="宋体"/>
                <w:color w:val="000000"/>
                <w:sz w:val="24"/>
                <w:szCs w:val="24"/>
              </w:rPr>
            </w:pPr>
          </w:p>
        </w:tc>
        <w:tc>
          <w:tcPr>
            <w:tcW w:w="592" w:type="dxa"/>
            <w:vAlign w:val="center"/>
          </w:tcPr>
          <w:p w14:paraId="2BA8834F">
            <w:pPr>
              <w:jc w:val="center"/>
              <w:rPr>
                <w:rFonts w:ascii="宋体" w:hAnsi="宋体" w:cs="宋体"/>
                <w:color w:val="000000"/>
                <w:sz w:val="24"/>
                <w:szCs w:val="24"/>
              </w:rPr>
            </w:pPr>
            <w:r>
              <w:rPr>
                <w:rFonts w:hint="eastAsia" w:ascii="宋体" w:hAnsi="宋体" w:cs="宋体"/>
                <w:color w:val="000000"/>
                <w:sz w:val="24"/>
                <w:szCs w:val="24"/>
              </w:rPr>
              <w:t>8</w:t>
            </w:r>
          </w:p>
        </w:tc>
        <w:tc>
          <w:tcPr>
            <w:tcW w:w="1095" w:type="dxa"/>
            <w:vAlign w:val="center"/>
          </w:tcPr>
          <w:p w14:paraId="76691432">
            <w:pPr>
              <w:pStyle w:val="19"/>
              <w:spacing w:beforeAutospacing="0" w:afterAutospacing="0"/>
              <w:jc w:val="center"/>
              <w:rPr>
                <w:rFonts w:ascii="宋体" w:hAnsi="宋体" w:cs="宋体"/>
                <w:szCs w:val="24"/>
              </w:rPr>
            </w:pPr>
            <w:r>
              <w:rPr>
                <w:rFonts w:hint="eastAsia" w:ascii="宋体" w:hAnsi="宋体" w:cs="宋体"/>
                <w:color w:val="000000"/>
                <w:szCs w:val="24"/>
              </w:rPr>
              <w:t>安全文明施工及环境保护措施</w:t>
            </w:r>
          </w:p>
          <w:p w14:paraId="5B582A5D">
            <w:pPr>
              <w:jc w:val="center"/>
              <w:rPr>
                <w:rFonts w:ascii="宋体" w:hAnsi="宋体" w:cs="宋体"/>
                <w:color w:val="000000"/>
                <w:sz w:val="24"/>
                <w:szCs w:val="24"/>
              </w:rPr>
            </w:pPr>
          </w:p>
        </w:tc>
        <w:tc>
          <w:tcPr>
            <w:tcW w:w="726" w:type="dxa"/>
            <w:vAlign w:val="center"/>
          </w:tcPr>
          <w:p w14:paraId="4D758997">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370AEFD3">
            <w:pPr>
              <w:pStyle w:val="19"/>
              <w:spacing w:beforeAutospacing="0" w:afterAutospacing="0"/>
              <w:rPr>
                <w:rFonts w:ascii="宋体" w:hAnsi="宋体" w:cs="宋体"/>
                <w:szCs w:val="24"/>
              </w:rPr>
            </w:pPr>
            <w:r>
              <w:rPr>
                <w:rFonts w:hint="eastAsia" w:ascii="宋体" w:hAnsi="宋体" w:cs="宋体"/>
                <w:color w:val="000000"/>
                <w:szCs w:val="24"/>
              </w:rPr>
              <w:t>投标人提供针对本项目安全文明施工、环境保护采取措施的规范性、全面性、合理性、针对性、具体性、可靠性、及操作规程科学性等。</w:t>
            </w:r>
          </w:p>
          <w:p w14:paraId="54182125">
            <w:pPr>
              <w:pStyle w:val="19"/>
              <w:spacing w:beforeAutospacing="0" w:afterAutospacing="0"/>
              <w:rPr>
                <w:rFonts w:ascii="宋体" w:hAnsi="宋体" w:cs="宋体"/>
                <w:szCs w:val="24"/>
              </w:rPr>
            </w:pPr>
            <w:r>
              <w:rPr>
                <w:rFonts w:hint="eastAsia" w:ascii="宋体" w:hAnsi="宋体" w:cs="宋体"/>
                <w:color w:val="000000"/>
                <w:szCs w:val="24"/>
              </w:rPr>
              <w:t>（1）保证措施可操作性强，科学合理，切实可行的，得4分；</w:t>
            </w:r>
          </w:p>
          <w:p w14:paraId="0B2080ED">
            <w:pPr>
              <w:pStyle w:val="19"/>
              <w:spacing w:beforeAutospacing="0" w:afterAutospacing="0"/>
              <w:rPr>
                <w:rFonts w:ascii="宋体" w:hAnsi="宋体" w:cs="宋体"/>
                <w:szCs w:val="24"/>
              </w:rPr>
            </w:pPr>
            <w:r>
              <w:rPr>
                <w:rFonts w:hint="eastAsia" w:ascii="宋体" w:hAnsi="宋体" w:cs="宋体"/>
                <w:color w:val="000000"/>
                <w:szCs w:val="24"/>
              </w:rPr>
              <w:t>（2）保证措施可操作性较强的，得3分；</w:t>
            </w:r>
          </w:p>
          <w:p w14:paraId="4CB2D0E6">
            <w:pPr>
              <w:pStyle w:val="19"/>
              <w:spacing w:beforeAutospacing="0" w:afterAutospacing="0"/>
              <w:rPr>
                <w:rFonts w:ascii="宋体" w:hAnsi="宋体" w:cs="宋体"/>
                <w:szCs w:val="24"/>
              </w:rPr>
            </w:pPr>
            <w:r>
              <w:rPr>
                <w:rFonts w:hint="eastAsia" w:ascii="宋体" w:hAnsi="宋体" w:cs="宋体"/>
                <w:color w:val="000000"/>
                <w:szCs w:val="24"/>
              </w:rPr>
              <w:t>（3）保证措施可操作性一般的，得2分；</w:t>
            </w:r>
          </w:p>
          <w:p w14:paraId="66F88AC3">
            <w:pPr>
              <w:pStyle w:val="19"/>
              <w:spacing w:beforeAutospacing="0" w:afterAutospacing="0"/>
              <w:rPr>
                <w:rFonts w:ascii="宋体" w:hAnsi="宋体" w:cs="宋体"/>
                <w:color w:val="000000"/>
                <w:szCs w:val="24"/>
              </w:rPr>
            </w:pPr>
            <w:r>
              <w:rPr>
                <w:rFonts w:hint="eastAsia" w:ascii="宋体" w:hAnsi="宋体" w:cs="宋体"/>
                <w:color w:val="000000"/>
                <w:szCs w:val="24"/>
              </w:rPr>
              <w:t>（4）保证措施不具备操作性，得0分。</w:t>
            </w:r>
          </w:p>
        </w:tc>
        <w:tc>
          <w:tcPr>
            <w:tcW w:w="1054" w:type="dxa"/>
            <w:vAlign w:val="center"/>
          </w:tcPr>
          <w:p w14:paraId="6850D926">
            <w:pPr>
              <w:jc w:val="center"/>
              <w:rPr>
                <w:rFonts w:ascii="宋体"/>
                <w:color w:val="000000"/>
                <w:sz w:val="24"/>
                <w:szCs w:val="24"/>
              </w:rPr>
            </w:pPr>
          </w:p>
        </w:tc>
      </w:tr>
      <w:tr w14:paraId="1181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91" w:type="dxa"/>
            <w:vMerge w:val="restart"/>
            <w:vAlign w:val="center"/>
          </w:tcPr>
          <w:p w14:paraId="50C93F42">
            <w:pPr>
              <w:jc w:val="center"/>
              <w:rPr>
                <w:rFonts w:ascii="宋体"/>
                <w:color w:val="000000"/>
                <w:sz w:val="24"/>
                <w:szCs w:val="24"/>
              </w:rPr>
            </w:pPr>
            <w:r>
              <w:rPr>
                <w:rFonts w:hint="eastAsia" w:ascii="宋体"/>
                <w:color w:val="000000"/>
                <w:sz w:val="24"/>
                <w:szCs w:val="24"/>
              </w:rPr>
              <w:t>客观评审因素（30分）</w:t>
            </w:r>
          </w:p>
        </w:tc>
        <w:tc>
          <w:tcPr>
            <w:tcW w:w="592" w:type="dxa"/>
            <w:vAlign w:val="center"/>
          </w:tcPr>
          <w:p w14:paraId="6A69CBB4">
            <w:pPr>
              <w:jc w:val="center"/>
              <w:rPr>
                <w:rFonts w:ascii="宋体" w:hAnsi="宋体" w:cs="宋体"/>
                <w:color w:val="000000"/>
                <w:sz w:val="24"/>
                <w:szCs w:val="24"/>
              </w:rPr>
            </w:pPr>
            <w:r>
              <w:rPr>
                <w:rFonts w:hint="eastAsia" w:ascii="宋体" w:hAnsi="宋体" w:cs="宋体"/>
                <w:color w:val="000000"/>
                <w:sz w:val="24"/>
                <w:szCs w:val="24"/>
              </w:rPr>
              <w:t>1</w:t>
            </w:r>
          </w:p>
        </w:tc>
        <w:tc>
          <w:tcPr>
            <w:tcW w:w="1095" w:type="dxa"/>
            <w:vAlign w:val="center"/>
          </w:tcPr>
          <w:p w14:paraId="397574A5">
            <w:pPr>
              <w:jc w:val="center"/>
              <w:rPr>
                <w:rFonts w:ascii="宋体" w:hAnsi="宋体" w:cs="宋体"/>
                <w:color w:val="000000"/>
                <w:sz w:val="24"/>
                <w:szCs w:val="24"/>
              </w:rPr>
            </w:pPr>
            <w:r>
              <w:rPr>
                <w:rFonts w:hint="eastAsia" w:ascii="宋体" w:hAnsi="宋体" w:cs="宋体"/>
                <w:color w:val="000000"/>
                <w:sz w:val="24"/>
                <w:szCs w:val="24"/>
              </w:rPr>
              <w:t>设计业绩</w:t>
            </w:r>
          </w:p>
        </w:tc>
        <w:tc>
          <w:tcPr>
            <w:tcW w:w="726" w:type="dxa"/>
            <w:vAlign w:val="center"/>
          </w:tcPr>
          <w:p w14:paraId="7AE3C85D">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43E1795A">
            <w:pPr>
              <w:pStyle w:val="19"/>
              <w:spacing w:beforeAutospacing="0" w:afterAutospacing="0"/>
              <w:rPr>
                <w:rFonts w:ascii="宋体" w:hAnsi="宋体" w:cs="宋体"/>
                <w:color w:val="000000"/>
                <w:szCs w:val="24"/>
              </w:rPr>
            </w:pPr>
            <w:r>
              <w:rPr>
                <w:rFonts w:hint="eastAsia" w:ascii="宋体" w:hAnsi="宋体" w:cs="宋体"/>
                <w:color w:val="000000"/>
                <w:szCs w:val="24"/>
              </w:rPr>
              <w:t>投标人（联合体投标的，指负责设计的单位）自2022年1月1日以来（时间以合同签订时间为准），企业须承担过类似装修设计项目业绩的，有一个得3分，本项最多得3分。</w:t>
            </w:r>
          </w:p>
          <w:p w14:paraId="0E6CF982">
            <w:pPr>
              <w:pStyle w:val="19"/>
              <w:spacing w:beforeAutospacing="0" w:afterAutospacing="0"/>
              <w:rPr>
                <w:rFonts w:ascii="宋体" w:hAnsi="宋体" w:cs="宋体"/>
                <w:color w:val="000000"/>
                <w:szCs w:val="24"/>
              </w:rPr>
            </w:pPr>
            <w:r>
              <w:rPr>
                <w:rFonts w:hint="eastAsia" w:ascii="宋体" w:hAnsi="宋体" w:cs="宋体"/>
                <w:b/>
                <w:bCs/>
                <w:color w:val="000000"/>
                <w:szCs w:val="24"/>
              </w:rPr>
              <w:t>注：提供设计合同复印件并加盖投标人公章放入响应文件中，如设计合同无法体现设计规模的，则需提供建设单位书面证明文件（加盖建设单位公章），否则不得分。</w:t>
            </w:r>
          </w:p>
        </w:tc>
        <w:tc>
          <w:tcPr>
            <w:tcW w:w="1054" w:type="dxa"/>
            <w:vAlign w:val="center"/>
          </w:tcPr>
          <w:p w14:paraId="752457A1">
            <w:pPr>
              <w:pStyle w:val="7"/>
              <w:rPr>
                <w:color w:val="000000"/>
              </w:rPr>
            </w:pPr>
          </w:p>
        </w:tc>
      </w:tr>
      <w:tr w14:paraId="4DB7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91" w:type="dxa"/>
            <w:vMerge w:val="continue"/>
            <w:vAlign w:val="center"/>
          </w:tcPr>
          <w:p w14:paraId="517A7654">
            <w:pPr>
              <w:jc w:val="center"/>
              <w:rPr>
                <w:rFonts w:ascii="宋体"/>
                <w:color w:val="000000"/>
                <w:sz w:val="24"/>
                <w:szCs w:val="24"/>
              </w:rPr>
            </w:pPr>
          </w:p>
        </w:tc>
        <w:tc>
          <w:tcPr>
            <w:tcW w:w="592" w:type="dxa"/>
            <w:vAlign w:val="center"/>
          </w:tcPr>
          <w:p w14:paraId="0780B5FC">
            <w:pPr>
              <w:jc w:val="center"/>
              <w:rPr>
                <w:rFonts w:ascii="宋体" w:hAnsi="宋体" w:cs="宋体"/>
                <w:color w:val="000000"/>
                <w:sz w:val="24"/>
                <w:szCs w:val="24"/>
              </w:rPr>
            </w:pPr>
            <w:r>
              <w:rPr>
                <w:rFonts w:hint="eastAsia" w:ascii="宋体" w:hAnsi="宋体" w:cs="宋体"/>
                <w:color w:val="000000"/>
                <w:sz w:val="24"/>
                <w:szCs w:val="24"/>
              </w:rPr>
              <w:t>2</w:t>
            </w:r>
          </w:p>
        </w:tc>
        <w:tc>
          <w:tcPr>
            <w:tcW w:w="1095" w:type="dxa"/>
            <w:vAlign w:val="center"/>
          </w:tcPr>
          <w:p w14:paraId="7C27CB5E">
            <w:pPr>
              <w:jc w:val="center"/>
              <w:rPr>
                <w:rFonts w:ascii="宋体" w:hAnsi="宋体" w:cs="宋体"/>
                <w:color w:val="000000"/>
                <w:sz w:val="24"/>
                <w:szCs w:val="24"/>
              </w:rPr>
            </w:pPr>
            <w:r>
              <w:rPr>
                <w:rFonts w:hint="eastAsia" w:ascii="宋体" w:hAnsi="宋体" w:cs="宋体"/>
                <w:color w:val="000000"/>
                <w:sz w:val="24"/>
                <w:szCs w:val="24"/>
              </w:rPr>
              <w:t>施工业绩</w:t>
            </w:r>
          </w:p>
        </w:tc>
        <w:tc>
          <w:tcPr>
            <w:tcW w:w="726" w:type="dxa"/>
            <w:vAlign w:val="center"/>
          </w:tcPr>
          <w:p w14:paraId="163C7B84">
            <w:pPr>
              <w:jc w:val="center"/>
              <w:rPr>
                <w:rFonts w:ascii="宋体" w:hAnsi="宋体" w:cs="宋体"/>
                <w:color w:val="000000"/>
                <w:sz w:val="24"/>
                <w:szCs w:val="24"/>
              </w:rPr>
            </w:pPr>
            <w:r>
              <w:rPr>
                <w:rFonts w:hint="eastAsia" w:ascii="宋体" w:hAnsi="宋体" w:cs="宋体"/>
                <w:color w:val="000000"/>
                <w:sz w:val="24"/>
                <w:szCs w:val="24"/>
                <w:lang w:val="en-US" w:eastAsia="zh-CN"/>
              </w:rPr>
              <w:t>6</w:t>
            </w:r>
            <w:r>
              <w:rPr>
                <w:rFonts w:hint="eastAsia" w:ascii="宋体" w:hAnsi="宋体" w:cs="宋体"/>
                <w:color w:val="000000"/>
                <w:sz w:val="24"/>
                <w:szCs w:val="24"/>
              </w:rPr>
              <w:t>分</w:t>
            </w:r>
          </w:p>
        </w:tc>
        <w:tc>
          <w:tcPr>
            <w:tcW w:w="5022" w:type="dxa"/>
            <w:vAlign w:val="center"/>
          </w:tcPr>
          <w:p w14:paraId="10172943">
            <w:pPr>
              <w:pStyle w:val="19"/>
              <w:spacing w:beforeAutospacing="0" w:afterAutospacing="0"/>
              <w:rPr>
                <w:rFonts w:ascii="宋体" w:hAnsi="宋体" w:cs="宋体"/>
                <w:color w:val="000000"/>
                <w:szCs w:val="24"/>
              </w:rPr>
            </w:pPr>
            <w:r>
              <w:rPr>
                <w:rFonts w:hint="eastAsia" w:ascii="宋体" w:hAnsi="宋体" w:cs="宋体"/>
                <w:color w:val="000000"/>
                <w:szCs w:val="24"/>
              </w:rPr>
              <w:t>投标人（联合体投标的，指负责施工的单位）自2022年1月1日以来（时间以竣工验收证明的验收时间为准），企业须承担过类似装修施工项目业绩的，有一个得</w:t>
            </w:r>
            <w:r>
              <w:rPr>
                <w:rFonts w:hint="eastAsia" w:ascii="宋体" w:hAnsi="宋体" w:cs="宋体"/>
                <w:color w:val="000000"/>
                <w:szCs w:val="24"/>
                <w:lang w:val="en-US" w:eastAsia="zh-CN"/>
              </w:rPr>
              <w:t>2</w:t>
            </w:r>
            <w:r>
              <w:rPr>
                <w:rFonts w:hint="eastAsia" w:ascii="宋体" w:hAnsi="宋体" w:cs="宋体"/>
                <w:color w:val="000000"/>
                <w:szCs w:val="24"/>
              </w:rPr>
              <w:t>分，</w:t>
            </w:r>
            <w:r>
              <w:rPr>
                <w:rFonts w:hint="eastAsia" w:ascii="宋体" w:hAnsi="宋体" w:cs="宋体"/>
                <w:color w:val="000000"/>
                <w:szCs w:val="24"/>
                <w:lang w:val="en-US" w:eastAsia="zh-CN"/>
              </w:rPr>
              <w:t>最多提供3个，</w:t>
            </w:r>
            <w:r>
              <w:rPr>
                <w:rFonts w:hint="eastAsia" w:ascii="宋体" w:hAnsi="宋体" w:cs="宋体"/>
                <w:color w:val="000000"/>
                <w:szCs w:val="24"/>
              </w:rPr>
              <w:t>本项最多得</w:t>
            </w:r>
            <w:r>
              <w:rPr>
                <w:rFonts w:hint="eastAsia" w:ascii="宋体" w:hAnsi="宋体" w:cs="宋体"/>
                <w:color w:val="000000"/>
                <w:szCs w:val="24"/>
                <w:lang w:val="en-US" w:eastAsia="zh-CN"/>
              </w:rPr>
              <w:t>6</w:t>
            </w:r>
            <w:r>
              <w:rPr>
                <w:rFonts w:hint="eastAsia" w:ascii="宋体" w:hAnsi="宋体" w:cs="宋体"/>
                <w:color w:val="000000"/>
                <w:szCs w:val="24"/>
              </w:rPr>
              <w:t>分。</w:t>
            </w:r>
          </w:p>
          <w:p w14:paraId="6DD600EB">
            <w:pPr>
              <w:pStyle w:val="19"/>
              <w:spacing w:beforeAutospacing="0" w:afterAutospacing="0"/>
              <w:rPr>
                <w:rFonts w:ascii="宋体" w:hAnsi="宋体" w:cs="宋体"/>
                <w:b/>
                <w:bCs/>
                <w:color w:val="000000"/>
                <w:szCs w:val="24"/>
              </w:rPr>
            </w:pPr>
            <w:r>
              <w:rPr>
                <w:rFonts w:hint="eastAsia" w:ascii="宋体" w:hAnsi="宋体" w:cs="宋体"/>
                <w:b/>
                <w:bCs/>
                <w:color w:val="000000"/>
                <w:szCs w:val="24"/>
              </w:rPr>
              <w:t>注：（1）提供施工合同、竣（完）工验收证明复印件并加盖投标人公章装入投标文件中，缺一不可。竣（完）工验收证明须由建设单位、设计单位、监理单位、施工单位共同盖公章，否则不予认可。</w:t>
            </w:r>
          </w:p>
          <w:p w14:paraId="689FB35E">
            <w:pPr>
              <w:pStyle w:val="19"/>
              <w:spacing w:beforeAutospacing="0" w:afterAutospacing="0"/>
              <w:rPr>
                <w:rFonts w:ascii="宋体" w:hAnsi="宋体" w:cs="宋体"/>
                <w:b/>
                <w:bCs/>
                <w:color w:val="000000"/>
                <w:szCs w:val="24"/>
              </w:rPr>
            </w:pPr>
            <w:r>
              <w:rPr>
                <w:rFonts w:hint="eastAsia" w:ascii="宋体" w:hAnsi="宋体" w:cs="宋体"/>
                <w:b/>
                <w:bCs/>
                <w:color w:val="000000"/>
                <w:szCs w:val="24"/>
              </w:rPr>
              <w:t>（2）提供的证明材料必须能清晰的表明类似工程的投标人名称、工程规模、合同价款、工程内容、时间等需要明示的内容。若提供的施工合同、竣（完）工验收证明等不能明示，则需提供建设单位书面证明文件（加盖建设单位公章），并将复印件加盖公章装入投标文件中，否则不予认可。</w:t>
            </w:r>
          </w:p>
          <w:p w14:paraId="07C6EA98">
            <w:pPr>
              <w:pStyle w:val="19"/>
              <w:spacing w:beforeAutospacing="0" w:afterAutospacing="0"/>
              <w:rPr>
                <w:rFonts w:ascii="宋体" w:hAnsi="宋体" w:cs="宋体"/>
                <w:color w:val="000000"/>
                <w:szCs w:val="24"/>
              </w:rPr>
            </w:pPr>
            <w:r>
              <w:rPr>
                <w:rFonts w:hint="eastAsia" w:ascii="宋体" w:hAnsi="宋体" w:cs="宋体"/>
                <w:b/>
                <w:bCs/>
                <w:color w:val="000000"/>
                <w:szCs w:val="24"/>
              </w:rPr>
              <w:t>（3）未提供或未按要求提供有效的证明文件的此项不得分。</w:t>
            </w:r>
          </w:p>
        </w:tc>
        <w:tc>
          <w:tcPr>
            <w:tcW w:w="1054" w:type="dxa"/>
            <w:vAlign w:val="center"/>
          </w:tcPr>
          <w:p w14:paraId="7C46759C">
            <w:pPr>
              <w:pStyle w:val="7"/>
              <w:rPr>
                <w:color w:val="000000"/>
              </w:rPr>
            </w:pPr>
          </w:p>
        </w:tc>
      </w:tr>
      <w:tr w14:paraId="276A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991" w:type="dxa"/>
            <w:vMerge w:val="continue"/>
            <w:vAlign w:val="center"/>
          </w:tcPr>
          <w:p w14:paraId="06804301">
            <w:pPr>
              <w:jc w:val="center"/>
              <w:rPr>
                <w:rFonts w:ascii="宋体"/>
                <w:color w:val="000000"/>
                <w:sz w:val="24"/>
                <w:szCs w:val="24"/>
              </w:rPr>
            </w:pPr>
          </w:p>
        </w:tc>
        <w:tc>
          <w:tcPr>
            <w:tcW w:w="592" w:type="dxa"/>
            <w:vAlign w:val="center"/>
          </w:tcPr>
          <w:p w14:paraId="16FDAEE0">
            <w:pPr>
              <w:jc w:val="center"/>
              <w:rPr>
                <w:rFonts w:ascii="宋体" w:hAnsi="宋体" w:cs="宋体"/>
                <w:color w:val="000000"/>
                <w:sz w:val="24"/>
                <w:szCs w:val="24"/>
              </w:rPr>
            </w:pPr>
            <w:r>
              <w:rPr>
                <w:rFonts w:hint="eastAsia" w:ascii="宋体" w:hAnsi="宋体" w:cs="宋体"/>
                <w:color w:val="000000"/>
                <w:sz w:val="24"/>
                <w:szCs w:val="24"/>
              </w:rPr>
              <w:t>3</w:t>
            </w:r>
          </w:p>
        </w:tc>
        <w:tc>
          <w:tcPr>
            <w:tcW w:w="1095" w:type="dxa"/>
            <w:vAlign w:val="center"/>
          </w:tcPr>
          <w:p w14:paraId="4EF5BC8C">
            <w:pPr>
              <w:jc w:val="center"/>
              <w:rPr>
                <w:rFonts w:ascii="宋体" w:hAnsi="宋体" w:cs="宋体"/>
                <w:color w:val="000000"/>
                <w:sz w:val="24"/>
                <w:szCs w:val="24"/>
              </w:rPr>
            </w:pPr>
            <w:r>
              <w:rPr>
                <w:rFonts w:hint="eastAsia" w:ascii="宋体" w:hAnsi="宋体" w:cs="宋体"/>
                <w:color w:val="000000"/>
                <w:sz w:val="24"/>
                <w:szCs w:val="24"/>
              </w:rPr>
              <w:t>奖项</w:t>
            </w:r>
          </w:p>
        </w:tc>
        <w:tc>
          <w:tcPr>
            <w:tcW w:w="726" w:type="dxa"/>
            <w:vAlign w:val="center"/>
          </w:tcPr>
          <w:p w14:paraId="63CF2AC5">
            <w:pPr>
              <w:jc w:val="center"/>
              <w:rPr>
                <w:rFonts w:ascii="宋体" w:hAnsi="宋体" w:cs="宋体"/>
                <w:color w:val="000000"/>
                <w:sz w:val="24"/>
                <w:szCs w:val="24"/>
              </w:rPr>
            </w:pPr>
            <w:r>
              <w:rPr>
                <w:rFonts w:hint="eastAsia" w:ascii="宋体" w:hAnsi="宋体" w:cs="宋体"/>
                <w:color w:val="000000"/>
                <w:sz w:val="24"/>
                <w:szCs w:val="24"/>
                <w:lang w:val="en-US" w:eastAsia="zh-CN"/>
              </w:rPr>
              <w:t>3</w:t>
            </w:r>
            <w:r>
              <w:rPr>
                <w:rFonts w:hint="eastAsia" w:ascii="宋体" w:hAnsi="宋体" w:cs="宋体"/>
                <w:color w:val="000000"/>
                <w:sz w:val="24"/>
                <w:szCs w:val="24"/>
              </w:rPr>
              <w:t>分</w:t>
            </w:r>
          </w:p>
        </w:tc>
        <w:tc>
          <w:tcPr>
            <w:tcW w:w="5022" w:type="dxa"/>
            <w:vAlign w:val="center"/>
          </w:tcPr>
          <w:p w14:paraId="5107465E">
            <w:pPr>
              <w:pStyle w:val="19"/>
              <w:spacing w:beforeAutospacing="0" w:afterAutospacing="0"/>
              <w:rPr>
                <w:rFonts w:ascii="宋体" w:hAnsi="宋体" w:cs="宋体"/>
                <w:color w:val="000000"/>
                <w:szCs w:val="24"/>
              </w:rPr>
            </w:pPr>
            <w:r>
              <w:rPr>
                <w:rFonts w:hint="eastAsia" w:ascii="宋体" w:hAnsi="宋体" w:cs="宋体"/>
                <w:color w:val="000000"/>
                <w:szCs w:val="24"/>
              </w:rPr>
              <w:t>投标人（联合体牵头人或联合体成员）自2022年1月1日以来（时间以发证时间为准），具备县、市级及以上优质工程奖的，每有一个得</w:t>
            </w:r>
            <w:r>
              <w:rPr>
                <w:rFonts w:hint="eastAsia" w:ascii="宋体" w:hAnsi="宋体" w:cs="宋体"/>
                <w:color w:val="000000"/>
                <w:szCs w:val="24"/>
                <w:lang w:val="en-US" w:eastAsia="zh-CN"/>
              </w:rPr>
              <w:t>3</w:t>
            </w:r>
            <w:r>
              <w:rPr>
                <w:rFonts w:hint="eastAsia" w:ascii="宋体" w:hAnsi="宋体" w:cs="宋体"/>
                <w:color w:val="000000"/>
                <w:szCs w:val="24"/>
              </w:rPr>
              <w:t>分，最高得</w:t>
            </w:r>
            <w:r>
              <w:rPr>
                <w:rFonts w:hint="eastAsia" w:ascii="宋体" w:hAnsi="宋体" w:cs="宋体"/>
                <w:color w:val="000000"/>
                <w:szCs w:val="24"/>
                <w:lang w:val="en-US" w:eastAsia="zh-CN"/>
              </w:rPr>
              <w:t>3</w:t>
            </w:r>
            <w:r>
              <w:rPr>
                <w:rFonts w:hint="eastAsia" w:ascii="宋体" w:hAnsi="宋体" w:cs="宋体"/>
                <w:color w:val="000000"/>
                <w:szCs w:val="24"/>
              </w:rPr>
              <w:t>分。</w:t>
            </w:r>
          </w:p>
          <w:p w14:paraId="6BD2AD7D">
            <w:pPr>
              <w:pStyle w:val="19"/>
              <w:spacing w:beforeAutospacing="0" w:afterAutospacing="0"/>
              <w:rPr>
                <w:rFonts w:ascii="宋体" w:hAnsi="宋体" w:cs="宋体"/>
                <w:szCs w:val="24"/>
              </w:rPr>
            </w:pPr>
            <w:r>
              <w:rPr>
                <w:rFonts w:hint="eastAsia" w:ascii="宋体" w:hAnsi="宋体" w:cs="宋体"/>
                <w:b/>
                <w:bCs/>
                <w:color w:val="000000"/>
                <w:szCs w:val="24"/>
              </w:rPr>
              <w:t>注：提供有效证书复印件并加盖投标人公章放入响应文件中，否则不得分。</w:t>
            </w:r>
          </w:p>
        </w:tc>
        <w:tc>
          <w:tcPr>
            <w:tcW w:w="1054" w:type="dxa"/>
            <w:vAlign w:val="center"/>
          </w:tcPr>
          <w:p w14:paraId="4D01A12E">
            <w:pPr>
              <w:jc w:val="center"/>
              <w:rPr>
                <w:rFonts w:ascii="宋体"/>
                <w:color w:val="000000"/>
                <w:sz w:val="24"/>
                <w:szCs w:val="24"/>
              </w:rPr>
            </w:pPr>
          </w:p>
        </w:tc>
      </w:tr>
      <w:tr w14:paraId="13EF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91" w:type="dxa"/>
            <w:vMerge w:val="continue"/>
            <w:vAlign w:val="center"/>
          </w:tcPr>
          <w:p w14:paraId="40407775">
            <w:pPr>
              <w:jc w:val="center"/>
              <w:rPr>
                <w:rFonts w:ascii="宋体"/>
                <w:color w:val="000000"/>
                <w:sz w:val="24"/>
                <w:szCs w:val="24"/>
              </w:rPr>
            </w:pPr>
          </w:p>
        </w:tc>
        <w:tc>
          <w:tcPr>
            <w:tcW w:w="592" w:type="dxa"/>
            <w:vAlign w:val="center"/>
          </w:tcPr>
          <w:p w14:paraId="64170365">
            <w:pPr>
              <w:jc w:val="center"/>
              <w:rPr>
                <w:rFonts w:ascii="宋体" w:hAnsi="宋体" w:cs="宋体"/>
                <w:color w:val="000000"/>
                <w:sz w:val="24"/>
                <w:szCs w:val="24"/>
              </w:rPr>
            </w:pPr>
            <w:r>
              <w:rPr>
                <w:rFonts w:hint="eastAsia" w:ascii="宋体" w:hAnsi="宋体" w:cs="宋体"/>
                <w:color w:val="000000"/>
                <w:sz w:val="24"/>
                <w:szCs w:val="24"/>
              </w:rPr>
              <w:t>4</w:t>
            </w:r>
          </w:p>
        </w:tc>
        <w:tc>
          <w:tcPr>
            <w:tcW w:w="1095" w:type="dxa"/>
            <w:vAlign w:val="center"/>
          </w:tcPr>
          <w:p w14:paraId="789027AB">
            <w:pPr>
              <w:jc w:val="center"/>
              <w:rPr>
                <w:rFonts w:ascii="宋体" w:hAnsi="宋体" w:cs="宋体"/>
                <w:color w:val="000000"/>
                <w:sz w:val="24"/>
                <w:szCs w:val="24"/>
              </w:rPr>
            </w:pPr>
            <w:r>
              <w:rPr>
                <w:rFonts w:hint="eastAsia" w:ascii="宋体" w:hAnsi="宋体" w:cs="宋体"/>
                <w:color w:val="000000"/>
                <w:sz w:val="24"/>
                <w:szCs w:val="24"/>
              </w:rPr>
              <w:t>项目负责人</w:t>
            </w:r>
          </w:p>
        </w:tc>
        <w:tc>
          <w:tcPr>
            <w:tcW w:w="726" w:type="dxa"/>
            <w:vAlign w:val="center"/>
          </w:tcPr>
          <w:p w14:paraId="6AF2FECC">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0C3FC9AD">
            <w:pPr>
              <w:pStyle w:val="8"/>
              <w:rPr>
                <w:rFonts w:ascii="宋体" w:hAnsi="宋体" w:cs="宋体"/>
                <w:sz w:val="24"/>
                <w:szCs w:val="24"/>
              </w:rPr>
            </w:pPr>
            <w:r>
              <w:rPr>
                <w:rFonts w:hint="eastAsia" w:ascii="宋体" w:hAnsi="宋体" w:cs="宋体"/>
                <w:sz w:val="24"/>
                <w:szCs w:val="24"/>
              </w:rPr>
              <w:t>项目负责人具备</w:t>
            </w:r>
            <w:r>
              <w:rPr>
                <w:rFonts w:hint="eastAsia" w:ascii="宋体" w:hAnsi="宋体" w:cs="宋体"/>
                <w:color w:val="000000"/>
                <w:sz w:val="24"/>
                <w:szCs w:val="24"/>
              </w:rPr>
              <w:t>建筑工程</w:t>
            </w:r>
            <w:r>
              <w:rPr>
                <w:rFonts w:hint="eastAsia" w:ascii="宋体" w:hAnsi="宋体" w:cs="宋体"/>
                <w:sz w:val="24"/>
                <w:szCs w:val="24"/>
              </w:rPr>
              <w:t>高级工程师及以上职称的，有一个得3分。</w:t>
            </w:r>
          </w:p>
          <w:p w14:paraId="79FC5F07">
            <w:pPr>
              <w:pStyle w:val="8"/>
              <w:rPr>
                <w:rFonts w:ascii="宋体" w:hAnsi="宋体" w:cs="宋体"/>
                <w:sz w:val="24"/>
                <w:szCs w:val="24"/>
              </w:rPr>
            </w:pPr>
            <w:r>
              <w:rPr>
                <w:rFonts w:hint="eastAsia" w:ascii="宋体" w:hAnsi="宋体" w:cs="宋体"/>
                <w:sz w:val="24"/>
                <w:szCs w:val="24"/>
              </w:rPr>
              <w:t>项目负责人具备</w:t>
            </w:r>
            <w:r>
              <w:rPr>
                <w:rFonts w:hint="eastAsia" w:ascii="宋体" w:hAnsi="宋体" w:cs="宋体"/>
                <w:color w:val="000000"/>
                <w:sz w:val="24"/>
                <w:szCs w:val="24"/>
              </w:rPr>
              <w:t>建筑工程</w:t>
            </w:r>
            <w:r>
              <w:rPr>
                <w:rFonts w:hint="eastAsia" w:ascii="宋体" w:hAnsi="宋体" w:cs="宋体"/>
                <w:sz w:val="24"/>
                <w:szCs w:val="24"/>
              </w:rPr>
              <w:t>高级工程师以下职称的，有一个得1分。</w:t>
            </w:r>
          </w:p>
          <w:p w14:paraId="66CE571E">
            <w:pPr>
              <w:rPr>
                <w:rFonts w:ascii="宋体" w:hAnsi="宋体" w:cs="宋体"/>
                <w:sz w:val="24"/>
                <w:szCs w:val="24"/>
              </w:rPr>
            </w:pPr>
            <w:r>
              <w:rPr>
                <w:rFonts w:hint="eastAsia" w:ascii="宋体" w:hAnsi="宋体" w:cs="宋体"/>
                <w:b/>
                <w:bCs/>
                <w:sz w:val="24"/>
                <w:szCs w:val="24"/>
              </w:rPr>
              <w:t>注：若</w:t>
            </w:r>
            <w:r>
              <w:rPr>
                <w:rFonts w:hint="eastAsia" w:ascii="宋体" w:hAnsi="宋体" w:cs="宋体"/>
                <w:b/>
                <w:bCs/>
                <w:sz w:val="24"/>
                <w:szCs w:val="24"/>
                <w:lang w:val="en-US" w:eastAsia="zh-CN"/>
              </w:rPr>
              <w:t>项目</w:t>
            </w:r>
            <w:r>
              <w:rPr>
                <w:rFonts w:hint="eastAsia" w:ascii="宋体" w:hAnsi="宋体" w:cs="宋体"/>
                <w:b/>
                <w:bCs/>
                <w:sz w:val="24"/>
                <w:szCs w:val="24"/>
              </w:rPr>
              <w:t>负责人同时具备多级证书，评分时按最高等级判定</w:t>
            </w:r>
            <w:r>
              <w:rPr>
                <w:rFonts w:hint="eastAsia" w:ascii="宋体" w:hAnsi="宋体" w:cs="宋体"/>
                <w:b/>
                <w:bCs/>
                <w:sz w:val="24"/>
                <w:szCs w:val="24"/>
                <w:lang w:eastAsia="zh-CN"/>
              </w:rPr>
              <w:t>。</w:t>
            </w:r>
            <w:r>
              <w:rPr>
                <w:rFonts w:hint="eastAsia" w:ascii="宋体" w:hAnsi="宋体" w:cs="宋体"/>
                <w:b/>
                <w:bCs/>
                <w:sz w:val="24"/>
                <w:szCs w:val="24"/>
              </w:rPr>
              <w:t>提供有效证书复印件并加盖投标人公章放入响应文件中，否则不得分。</w:t>
            </w:r>
          </w:p>
        </w:tc>
        <w:tc>
          <w:tcPr>
            <w:tcW w:w="1054" w:type="dxa"/>
            <w:vAlign w:val="center"/>
          </w:tcPr>
          <w:p w14:paraId="1153F226">
            <w:pPr>
              <w:jc w:val="center"/>
              <w:rPr>
                <w:rFonts w:ascii="宋体"/>
                <w:color w:val="000000"/>
                <w:sz w:val="24"/>
                <w:szCs w:val="24"/>
              </w:rPr>
            </w:pPr>
          </w:p>
        </w:tc>
      </w:tr>
      <w:tr w14:paraId="09DB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991" w:type="dxa"/>
            <w:vMerge w:val="continue"/>
            <w:vAlign w:val="center"/>
          </w:tcPr>
          <w:p w14:paraId="272A404F">
            <w:pPr>
              <w:jc w:val="center"/>
              <w:rPr>
                <w:rFonts w:ascii="宋体"/>
                <w:color w:val="000000"/>
                <w:sz w:val="24"/>
                <w:szCs w:val="24"/>
              </w:rPr>
            </w:pPr>
          </w:p>
        </w:tc>
        <w:tc>
          <w:tcPr>
            <w:tcW w:w="592" w:type="dxa"/>
            <w:vAlign w:val="center"/>
          </w:tcPr>
          <w:p w14:paraId="50F33807">
            <w:pPr>
              <w:jc w:val="center"/>
              <w:rPr>
                <w:rFonts w:ascii="宋体" w:hAnsi="宋体" w:cs="宋体"/>
                <w:color w:val="000000"/>
                <w:sz w:val="24"/>
                <w:szCs w:val="24"/>
              </w:rPr>
            </w:pPr>
            <w:r>
              <w:rPr>
                <w:rFonts w:hint="eastAsia" w:ascii="宋体" w:hAnsi="宋体" w:cs="宋体"/>
                <w:color w:val="000000"/>
                <w:sz w:val="24"/>
                <w:szCs w:val="24"/>
              </w:rPr>
              <w:t>5</w:t>
            </w:r>
          </w:p>
        </w:tc>
        <w:tc>
          <w:tcPr>
            <w:tcW w:w="1095" w:type="dxa"/>
            <w:vAlign w:val="center"/>
          </w:tcPr>
          <w:p w14:paraId="19CA67FA">
            <w:pPr>
              <w:pStyle w:val="19"/>
              <w:spacing w:beforeAutospacing="0" w:afterAutospacing="0" w:line="288" w:lineRule="auto"/>
              <w:jc w:val="center"/>
              <w:rPr>
                <w:rFonts w:ascii="宋体" w:hAnsi="宋体" w:cs="宋体"/>
                <w:color w:val="000000"/>
                <w:szCs w:val="24"/>
              </w:rPr>
            </w:pPr>
            <w:r>
              <w:rPr>
                <w:rFonts w:hint="eastAsia" w:ascii="宋体" w:hAnsi="宋体" w:cs="宋体"/>
                <w:color w:val="000000"/>
                <w:szCs w:val="24"/>
              </w:rPr>
              <w:t>项目组成员</w:t>
            </w:r>
          </w:p>
        </w:tc>
        <w:tc>
          <w:tcPr>
            <w:tcW w:w="726" w:type="dxa"/>
            <w:vAlign w:val="center"/>
          </w:tcPr>
          <w:p w14:paraId="1AD95534">
            <w:pPr>
              <w:jc w:val="center"/>
              <w:rPr>
                <w:rFonts w:ascii="宋体" w:hAnsi="宋体" w:cs="宋体"/>
                <w:color w:val="000000"/>
                <w:sz w:val="24"/>
                <w:szCs w:val="24"/>
              </w:rPr>
            </w:pPr>
            <w:r>
              <w:rPr>
                <w:rFonts w:hint="eastAsia" w:ascii="宋体" w:hAnsi="宋体" w:cs="宋体"/>
                <w:color w:val="000000"/>
                <w:sz w:val="24"/>
                <w:szCs w:val="24"/>
              </w:rPr>
              <w:t>12分</w:t>
            </w:r>
          </w:p>
        </w:tc>
        <w:tc>
          <w:tcPr>
            <w:tcW w:w="5022" w:type="dxa"/>
            <w:vAlign w:val="center"/>
          </w:tcPr>
          <w:p w14:paraId="4B76A726">
            <w:pPr>
              <w:pStyle w:val="8"/>
              <w:rPr>
                <w:rFonts w:ascii="宋体" w:hAnsi="宋体" w:cs="宋体"/>
                <w:sz w:val="24"/>
                <w:szCs w:val="24"/>
                <w:lang w:val="ru-RU"/>
              </w:rPr>
            </w:pPr>
            <w:r>
              <w:rPr>
                <w:rFonts w:hint="eastAsia" w:ascii="宋体" w:hAnsi="宋体" w:cs="宋体"/>
                <w:color w:val="000000"/>
                <w:sz w:val="24"/>
                <w:szCs w:val="24"/>
                <w:lang w:val="ru-RU"/>
              </w:rPr>
              <w:t>（</w:t>
            </w:r>
            <w:r>
              <w:rPr>
                <w:rFonts w:hint="eastAsia" w:ascii="宋体" w:hAnsi="宋体" w:cs="宋体"/>
                <w:sz w:val="24"/>
                <w:szCs w:val="24"/>
                <w:lang w:val="ru-RU"/>
              </w:rPr>
              <w:t>1）项目管理机构其他人员（不含项目负责人</w:t>
            </w:r>
            <w:r>
              <w:rPr>
                <w:rFonts w:hint="eastAsia" w:ascii="宋体" w:hAnsi="宋体" w:cs="宋体"/>
                <w:sz w:val="24"/>
                <w:szCs w:val="24"/>
              </w:rPr>
              <w:t>和设计负责人</w:t>
            </w:r>
            <w:r>
              <w:rPr>
                <w:rFonts w:hint="eastAsia" w:ascii="宋体" w:hAnsi="宋体" w:cs="宋体"/>
                <w:sz w:val="24"/>
                <w:szCs w:val="24"/>
                <w:lang w:val="ru-RU"/>
              </w:rPr>
              <w:t>）具备</w:t>
            </w:r>
            <w:r>
              <w:rPr>
                <w:rFonts w:hint="eastAsia" w:ascii="宋体" w:hAnsi="宋体" w:cs="宋体"/>
                <w:sz w:val="24"/>
                <w:szCs w:val="24"/>
              </w:rPr>
              <w:t>工程</w:t>
            </w:r>
            <w:r>
              <w:rPr>
                <w:rFonts w:hint="eastAsia" w:ascii="宋体" w:hAnsi="宋体" w:cs="宋体"/>
                <w:sz w:val="24"/>
                <w:szCs w:val="24"/>
                <w:lang w:val="ru-RU"/>
              </w:rPr>
              <w:t>相关专业高级工程师及以上职称的，有1个得3分，最高得6分；</w:t>
            </w:r>
          </w:p>
          <w:p w14:paraId="4E834BC3">
            <w:pPr>
              <w:pStyle w:val="8"/>
              <w:rPr>
                <w:rFonts w:ascii="宋体" w:hAnsi="宋体" w:cs="宋体"/>
                <w:sz w:val="24"/>
                <w:szCs w:val="24"/>
                <w:lang w:val="ru-RU"/>
              </w:rPr>
            </w:pPr>
            <w:r>
              <w:rPr>
                <w:rFonts w:hint="eastAsia" w:ascii="宋体" w:hAnsi="宋体" w:cs="宋体"/>
                <w:sz w:val="24"/>
                <w:szCs w:val="24"/>
                <w:lang w:val="ru-RU"/>
              </w:rPr>
              <w:t>（2）项目管理机构其他人员（不含项目负责人</w:t>
            </w:r>
            <w:r>
              <w:rPr>
                <w:rFonts w:hint="eastAsia" w:ascii="宋体" w:hAnsi="宋体" w:cs="宋体"/>
                <w:sz w:val="24"/>
                <w:szCs w:val="24"/>
              </w:rPr>
              <w:t>和设计负责人</w:t>
            </w:r>
            <w:r>
              <w:rPr>
                <w:rFonts w:hint="eastAsia" w:ascii="宋体" w:hAnsi="宋体" w:cs="宋体"/>
                <w:sz w:val="24"/>
                <w:szCs w:val="24"/>
                <w:lang w:val="ru-RU"/>
              </w:rPr>
              <w:t>）具备</w:t>
            </w:r>
            <w:r>
              <w:rPr>
                <w:rFonts w:hint="eastAsia" w:ascii="宋体" w:hAnsi="宋体" w:cs="宋体"/>
                <w:sz w:val="24"/>
                <w:szCs w:val="24"/>
              </w:rPr>
              <w:t>工程</w:t>
            </w:r>
            <w:r>
              <w:rPr>
                <w:rFonts w:hint="eastAsia" w:ascii="宋体" w:hAnsi="宋体" w:cs="宋体"/>
                <w:sz w:val="24"/>
                <w:szCs w:val="24"/>
                <w:lang w:val="ru-RU"/>
              </w:rPr>
              <w:t>相关专业中级工程师职称的，有1个得</w:t>
            </w:r>
            <w:r>
              <w:rPr>
                <w:rFonts w:hint="eastAsia" w:ascii="宋体" w:hAnsi="宋体" w:cs="宋体"/>
                <w:sz w:val="24"/>
                <w:szCs w:val="24"/>
              </w:rPr>
              <w:t>3</w:t>
            </w:r>
            <w:r>
              <w:rPr>
                <w:rFonts w:hint="eastAsia" w:ascii="宋体" w:hAnsi="宋体" w:cs="宋体"/>
                <w:sz w:val="24"/>
                <w:szCs w:val="24"/>
                <w:lang w:val="ru-RU"/>
              </w:rPr>
              <w:t>分，最高得</w:t>
            </w:r>
            <w:r>
              <w:rPr>
                <w:rFonts w:hint="eastAsia" w:ascii="宋体" w:hAnsi="宋体" w:cs="宋体"/>
                <w:sz w:val="24"/>
                <w:szCs w:val="24"/>
              </w:rPr>
              <w:t>6</w:t>
            </w:r>
            <w:r>
              <w:rPr>
                <w:rFonts w:hint="eastAsia" w:ascii="宋体" w:hAnsi="宋体" w:cs="宋体"/>
                <w:sz w:val="24"/>
                <w:szCs w:val="24"/>
                <w:lang w:val="ru-RU"/>
              </w:rPr>
              <w:t>分。</w:t>
            </w:r>
          </w:p>
          <w:p w14:paraId="78F8A504">
            <w:pPr>
              <w:pStyle w:val="8"/>
              <w:rPr>
                <w:rFonts w:ascii="宋体" w:hAnsi="宋体" w:cs="宋体"/>
                <w:color w:val="000000"/>
                <w:sz w:val="24"/>
                <w:szCs w:val="24"/>
                <w:lang w:val="ru-RU"/>
              </w:rPr>
            </w:pPr>
            <w:r>
              <w:rPr>
                <w:rFonts w:hint="eastAsia" w:ascii="宋体" w:hAnsi="宋体" w:cs="宋体"/>
                <w:b/>
                <w:bCs/>
                <w:sz w:val="24"/>
                <w:szCs w:val="24"/>
                <w:lang w:val="ru-RU"/>
              </w:rPr>
              <w:t>注：</w:t>
            </w:r>
            <w:r>
              <w:rPr>
                <w:rFonts w:hint="eastAsia" w:ascii="宋体" w:hAnsi="宋体" w:eastAsia="宋体" w:cs="宋体"/>
                <w:b/>
                <w:bCs/>
                <w:color w:val="000000"/>
                <w:sz w:val="24"/>
                <w:szCs w:val="24"/>
              </w:rPr>
              <w:t>以上人员（需在职）不重复计分</w:t>
            </w:r>
            <w:r>
              <w:rPr>
                <w:rFonts w:hint="eastAsia" w:ascii="宋体" w:hAnsi="宋体" w:eastAsia="宋体" w:cs="宋体"/>
                <w:b/>
                <w:bCs/>
                <w:color w:val="000000"/>
                <w:sz w:val="24"/>
                <w:szCs w:val="24"/>
                <w:lang w:eastAsia="zh-CN"/>
              </w:rPr>
              <w:t>，</w:t>
            </w:r>
            <w:r>
              <w:rPr>
                <w:rFonts w:hint="eastAsia" w:ascii="宋体" w:hAnsi="宋体" w:cs="宋体"/>
                <w:b/>
                <w:bCs/>
                <w:sz w:val="24"/>
                <w:szCs w:val="24"/>
              </w:rPr>
              <w:t>若同时具备多级证书，评分时按最高等级判定</w:t>
            </w:r>
            <w:r>
              <w:rPr>
                <w:rFonts w:hint="eastAsia" w:ascii="宋体" w:hAnsi="宋体" w:eastAsia="宋体" w:cs="宋体"/>
                <w:b/>
                <w:bCs/>
                <w:color w:val="000000"/>
                <w:sz w:val="24"/>
                <w:szCs w:val="24"/>
              </w:rPr>
              <w:t>。</w:t>
            </w:r>
            <w:r>
              <w:rPr>
                <w:rFonts w:hint="eastAsia" w:ascii="宋体" w:hAnsi="宋体" w:cs="宋体"/>
                <w:b/>
                <w:bCs/>
                <w:sz w:val="24"/>
                <w:szCs w:val="24"/>
                <w:lang w:val="ru-RU"/>
              </w:rPr>
              <w:t>提供投标截止日期前6个月（2024年11月-2025年4月）本单位为其办理的任意一个月社保缴费清单</w:t>
            </w:r>
            <w:r>
              <w:rPr>
                <w:rFonts w:hint="eastAsia" w:ascii="宋体" w:hAnsi="宋体" w:cs="宋体"/>
                <w:b/>
                <w:bCs/>
                <w:sz w:val="24"/>
                <w:szCs w:val="24"/>
              </w:rPr>
              <w:t>复印件及</w:t>
            </w:r>
            <w:r>
              <w:rPr>
                <w:rFonts w:hint="eastAsia" w:ascii="宋体" w:hAnsi="宋体" w:cs="宋体"/>
                <w:b/>
                <w:bCs/>
                <w:sz w:val="24"/>
                <w:szCs w:val="24"/>
                <w:lang w:val="ru-RU"/>
              </w:rPr>
              <w:t>有效证书复印件并加盖投标人公章放入响应文件中，否则不得分。</w:t>
            </w:r>
          </w:p>
        </w:tc>
        <w:tc>
          <w:tcPr>
            <w:tcW w:w="1054" w:type="dxa"/>
            <w:vAlign w:val="center"/>
          </w:tcPr>
          <w:p w14:paraId="658FDB8B">
            <w:pPr>
              <w:jc w:val="center"/>
              <w:rPr>
                <w:rFonts w:ascii="宋体"/>
                <w:color w:val="000000"/>
                <w:sz w:val="24"/>
                <w:szCs w:val="24"/>
              </w:rPr>
            </w:pPr>
          </w:p>
        </w:tc>
      </w:tr>
      <w:tr w14:paraId="2016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991" w:type="dxa"/>
            <w:vAlign w:val="center"/>
          </w:tcPr>
          <w:p w14:paraId="11E8A74A">
            <w:pPr>
              <w:jc w:val="center"/>
              <w:rPr>
                <w:rFonts w:ascii="宋体"/>
                <w:color w:val="000000"/>
                <w:sz w:val="24"/>
                <w:szCs w:val="24"/>
              </w:rPr>
            </w:pPr>
          </w:p>
        </w:tc>
        <w:tc>
          <w:tcPr>
            <w:tcW w:w="592" w:type="dxa"/>
            <w:vAlign w:val="center"/>
          </w:tcPr>
          <w:p w14:paraId="38D6ACC3">
            <w:pPr>
              <w:jc w:val="center"/>
              <w:rPr>
                <w:rFonts w:ascii="宋体" w:hAnsi="宋体" w:cs="宋体"/>
                <w:color w:val="000000"/>
                <w:sz w:val="24"/>
                <w:szCs w:val="24"/>
              </w:rPr>
            </w:pPr>
            <w:r>
              <w:rPr>
                <w:rFonts w:hint="eastAsia" w:ascii="宋体" w:hAnsi="宋体" w:cs="宋体"/>
                <w:color w:val="000000"/>
                <w:sz w:val="24"/>
                <w:szCs w:val="24"/>
              </w:rPr>
              <w:t>6</w:t>
            </w:r>
          </w:p>
        </w:tc>
        <w:tc>
          <w:tcPr>
            <w:tcW w:w="1095" w:type="dxa"/>
            <w:vAlign w:val="center"/>
          </w:tcPr>
          <w:p w14:paraId="4567C6C5">
            <w:pPr>
              <w:pStyle w:val="19"/>
              <w:spacing w:beforeAutospacing="0" w:afterAutospacing="0" w:line="288" w:lineRule="auto"/>
              <w:jc w:val="center"/>
              <w:rPr>
                <w:rFonts w:ascii="宋体" w:hAnsi="宋体" w:cs="宋体"/>
                <w:color w:val="000000"/>
                <w:szCs w:val="24"/>
              </w:rPr>
            </w:pPr>
            <w:r>
              <w:rPr>
                <w:rFonts w:hint="eastAsia" w:ascii="宋体" w:hAnsi="宋体" w:cs="宋体"/>
                <w:color w:val="000000"/>
                <w:szCs w:val="24"/>
              </w:rPr>
              <w:t>体系认证</w:t>
            </w:r>
          </w:p>
        </w:tc>
        <w:tc>
          <w:tcPr>
            <w:tcW w:w="726" w:type="dxa"/>
            <w:vAlign w:val="center"/>
          </w:tcPr>
          <w:p w14:paraId="19B566A4">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30332ABD">
            <w:pPr>
              <w:pStyle w:val="8"/>
              <w:rPr>
                <w:rFonts w:ascii="宋体" w:hAnsi="宋体" w:cs="宋体"/>
                <w:sz w:val="24"/>
                <w:szCs w:val="24"/>
                <w:lang w:val="ru-RU"/>
              </w:rPr>
            </w:pPr>
            <w:r>
              <w:rPr>
                <w:rFonts w:hint="eastAsia" w:ascii="宋体" w:hAnsi="宋体" w:cs="宋体"/>
                <w:sz w:val="24"/>
                <w:szCs w:val="24"/>
                <w:lang w:val="ru-RU"/>
              </w:rPr>
              <w:t>投标人（联合体牵头人或联合体成员）具有ISO 质量管理体系认证证书、ISO职业健康安全管理体系认证证书、ISO环境管理体系认证证书，每项得1分，最高3分。</w:t>
            </w:r>
          </w:p>
          <w:p w14:paraId="13D23735">
            <w:pPr>
              <w:pStyle w:val="8"/>
              <w:rPr>
                <w:rFonts w:ascii="宋体" w:hAnsi="宋体" w:cs="宋体"/>
                <w:b/>
                <w:bCs/>
                <w:sz w:val="24"/>
                <w:szCs w:val="24"/>
                <w:lang w:val="ru-RU"/>
              </w:rPr>
            </w:pPr>
            <w:r>
              <w:rPr>
                <w:rFonts w:hint="eastAsia" w:ascii="宋体" w:hAnsi="宋体" w:cs="宋体"/>
                <w:b/>
                <w:bCs/>
                <w:sz w:val="24"/>
                <w:szCs w:val="24"/>
              </w:rPr>
              <w:t>注：提供有效证书复印件并加盖投标人公章放入响应文件中，否则不得分。</w:t>
            </w:r>
          </w:p>
        </w:tc>
        <w:tc>
          <w:tcPr>
            <w:tcW w:w="1054" w:type="dxa"/>
            <w:vAlign w:val="center"/>
          </w:tcPr>
          <w:p w14:paraId="355C58A4">
            <w:pPr>
              <w:jc w:val="center"/>
              <w:rPr>
                <w:rFonts w:ascii="宋体"/>
                <w:color w:val="000000"/>
                <w:sz w:val="24"/>
                <w:szCs w:val="24"/>
              </w:rPr>
            </w:pPr>
          </w:p>
        </w:tc>
      </w:tr>
    </w:tbl>
    <w:p w14:paraId="3EA70E63">
      <w:pPr>
        <w:spacing w:line="360" w:lineRule="auto"/>
        <w:rPr>
          <w:rFonts w:ascii="宋体" w:hAnsi="宋体"/>
          <w:sz w:val="24"/>
          <w:szCs w:val="24"/>
        </w:rPr>
      </w:pPr>
    </w:p>
    <w:p w14:paraId="5D11353A">
      <w:pPr>
        <w:spacing w:line="360" w:lineRule="auto"/>
        <w:rPr>
          <w:rFonts w:ascii="宋体" w:hAnsi="宋体"/>
          <w:sz w:val="24"/>
          <w:szCs w:val="24"/>
        </w:rPr>
      </w:pPr>
      <w:r>
        <w:rPr>
          <w:rFonts w:hint="eastAsia" w:ascii="宋体" w:hAnsi="宋体"/>
          <w:sz w:val="24"/>
          <w:szCs w:val="24"/>
        </w:rPr>
        <w:t>2、价格部分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80"/>
        <w:gridCol w:w="951"/>
        <w:gridCol w:w="5921"/>
      </w:tblGrid>
      <w:tr w14:paraId="0019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840" w:type="dxa"/>
            <w:tcBorders>
              <w:top w:val="single" w:color="auto" w:sz="4" w:space="0"/>
              <w:left w:val="single" w:color="auto" w:sz="4" w:space="0"/>
              <w:bottom w:val="single" w:color="auto" w:sz="4" w:space="0"/>
              <w:right w:val="single" w:color="auto" w:sz="4" w:space="0"/>
            </w:tcBorders>
            <w:noWrap/>
            <w:vAlign w:val="center"/>
          </w:tcPr>
          <w:p w14:paraId="2B148650">
            <w:pPr>
              <w:pStyle w:val="43"/>
              <w:ind w:firstLine="0" w:firstLineChars="0"/>
              <w:jc w:val="center"/>
              <w:rPr>
                <w:rFonts w:ascii="宋体"/>
                <w:sz w:val="24"/>
                <w:szCs w:val="24"/>
              </w:rPr>
            </w:pPr>
            <w:r>
              <w:rPr>
                <w:rFonts w:hint="eastAsia" w:ascii="宋体"/>
                <w:sz w:val="24"/>
                <w:szCs w:val="24"/>
              </w:rPr>
              <w:t>序号</w:t>
            </w:r>
          </w:p>
        </w:tc>
        <w:tc>
          <w:tcPr>
            <w:tcW w:w="1480" w:type="dxa"/>
            <w:tcBorders>
              <w:top w:val="single" w:color="auto" w:sz="4" w:space="0"/>
              <w:left w:val="single" w:color="auto" w:sz="4" w:space="0"/>
              <w:right w:val="single" w:color="auto" w:sz="4" w:space="0"/>
            </w:tcBorders>
            <w:noWrap/>
            <w:vAlign w:val="center"/>
          </w:tcPr>
          <w:p w14:paraId="6FB310E2">
            <w:pPr>
              <w:pStyle w:val="43"/>
              <w:ind w:firstLine="0" w:firstLineChars="0"/>
              <w:jc w:val="center"/>
              <w:rPr>
                <w:rFonts w:ascii="宋体"/>
                <w:sz w:val="24"/>
                <w:szCs w:val="24"/>
              </w:rPr>
            </w:pPr>
            <w:r>
              <w:rPr>
                <w:rFonts w:hint="eastAsia" w:ascii="宋体"/>
                <w:sz w:val="24"/>
                <w:szCs w:val="24"/>
              </w:rPr>
              <w:t>评审项目</w:t>
            </w:r>
          </w:p>
        </w:tc>
        <w:tc>
          <w:tcPr>
            <w:tcW w:w="951" w:type="dxa"/>
            <w:tcBorders>
              <w:top w:val="single" w:color="auto" w:sz="4" w:space="0"/>
              <w:left w:val="single" w:color="auto" w:sz="4" w:space="0"/>
              <w:right w:val="single" w:color="auto" w:sz="4" w:space="0"/>
            </w:tcBorders>
            <w:noWrap/>
            <w:vAlign w:val="center"/>
          </w:tcPr>
          <w:p w14:paraId="5B10F2DF">
            <w:pPr>
              <w:pStyle w:val="43"/>
              <w:ind w:firstLine="0" w:firstLineChars="0"/>
              <w:jc w:val="center"/>
              <w:rPr>
                <w:rFonts w:ascii="宋体"/>
                <w:sz w:val="24"/>
                <w:szCs w:val="24"/>
              </w:rPr>
            </w:pPr>
            <w:r>
              <w:rPr>
                <w:rFonts w:hint="eastAsia" w:ascii="宋体"/>
                <w:sz w:val="24"/>
                <w:szCs w:val="24"/>
              </w:rPr>
              <w:t>分值</w:t>
            </w:r>
          </w:p>
        </w:tc>
        <w:tc>
          <w:tcPr>
            <w:tcW w:w="5921" w:type="dxa"/>
            <w:tcBorders>
              <w:top w:val="single" w:color="auto" w:sz="4" w:space="0"/>
              <w:left w:val="single" w:color="auto" w:sz="4" w:space="0"/>
              <w:bottom w:val="single" w:color="auto" w:sz="4" w:space="0"/>
              <w:right w:val="single" w:color="auto" w:sz="4" w:space="0"/>
            </w:tcBorders>
            <w:noWrap/>
            <w:vAlign w:val="center"/>
          </w:tcPr>
          <w:p w14:paraId="2B1EEC21">
            <w:pPr>
              <w:pStyle w:val="43"/>
              <w:ind w:firstLine="0" w:firstLineChars="0"/>
              <w:jc w:val="center"/>
              <w:rPr>
                <w:rFonts w:ascii="宋体"/>
                <w:sz w:val="24"/>
                <w:szCs w:val="24"/>
              </w:rPr>
            </w:pPr>
            <w:r>
              <w:rPr>
                <w:rFonts w:hint="eastAsia" w:ascii="宋体"/>
                <w:sz w:val="24"/>
                <w:szCs w:val="24"/>
              </w:rPr>
              <w:t>评审细则</w:t>
            </w:r>
          </w:p>
        </w:tc>
      </w:tr>
      <w:tr w14:paraId="078D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840" w:type="dxa"/>
            <w:tcBorders>
              <w:top w:val="single" w:color="auto" w:sz="4" w:space="0"/>
              <w:left w:val="single" w:color="auto" w:sz="4" w:space="0"/>
              <w:bottom w:val="single" w:color="auto" w:sz="4" w:space="0"/>
              <w:right w:val="single" w:color="auto" w:sz="4" w:space="0"/>
            </w:tcBorders>
            <w:noWrap/>
            <w:vAlign w:val="center"/>
          </w:tcPr>
          <w:p w14:paraId="5467AFE3">
            <w:pPr>
              <w:pStyle w:val="43"/>
              <w:ind w:firstLine="0" w:firstLineChars="0"/>
              <w:jc w:val="left"/>
              <w:rPr>
                <w:rFonts w:ascii="宋体"/>
                <w:sz w:val="24"/>
                <w:szCs w:val="24"/>
              </w:rPr>
            </w:pPr>
            <w:r>
              <w:rPr>
                <w:rFonts w:hint="eastAsia" w:ascii="宋体"/>
                <w:sz w:val="24"/>
                <w:szCs w:val="24"/>
              </w:rPr>
              <w:t>1</w:t>
            </w:r>
          </w:p>
        </w:tc>
        <w:tc>
          <w:tcPr>
            <w:tcW w:w="1480" w:type="dxa"/>
            <w:tcBorders>
              <w:top w:val="single" w:color="auto" w:sz="4" w:space="0"/>
              <w:left w:val="single" w:color="auto" w:sz="4" w:space="0"/>
              <w:right w:val="single" w:color="auto" w:sz="4" w:space="0"/>
            </w:tcBorders>
            <w:noWrap/>
            <w:vAlign w:val="center"/>
          </w:tcPr>
          <w:p w14:paraId="099B1052">
            <w:pPr>
              <w:pStyle w:val="43"/>
              <w:ind w:firstLine="0" w:firstLineChars="0"/>
              <w:jc w:val="center"/>
              <w:rPr>
                <w:rFonts w:ascii="宋体"/>
                <w:sz w:val="24"/>
                <w:szCs w:val="24"/>
              </w:rPr>
            </w:pPr>
            <w:r>
              <w:rPr>
                <w:rFonts w:hint="eastAsia" w:ascii="宋体"/>
                <w:sz w:val="24"/>
                <w:szCs w:val="24"/>
              </w:rPr>
              <w:t>价格部分</w:t>
            </w:r>
          </w:p>
        </w:tc>
        <w:tc>
          <w:tcPr>
            <w:tcW w:w="951" w:type="dxa"/>
            <w:tcBorders>
              <w:top w:val="single" w:color="auto" w:sz="4" w:space="0"/>
              <w:left w:val="single" w:color="auto" w:sz="4" w:space="0"/>
              <w:right w:val="single" w:color="auto" w:sz="4" w:space="0"/>
            </w:tcBorders>
            <w:noWrap/>
            <w:vAlign w:val="center"/>
          </w:tcPr>
          <w:p w14:paraId="286D66F8">
            <w:pPr>
              <w:pStyle w:val="43"/>
              <w:ind w:firstLine="0" w:firstLineChars="0"/>
              <w:jc w:val="center"/>
              <w:rPr>
                <w:rFonts w:ascii="宋体"/>
                <w:sz w:val="24"/>
                <w:szCs w:val="24"/>
              </w:rPr>
            </w:pPr>
            <w:r>
              <w:rPr>
                <w:rFonts w:hint="eastAsia" w:ascii="宋体"/>
                <w:sz w:val="24"/>
                <w:szCs w:val="24"/>
              </w:rPr>
              <w:t>30</w:t>
            </w:r>
          </w:p>
        </w:tc>
        <w:tc>
          <w:tcPr>
            <w:tcW w:w="5921" w:type="dxa"/>
            <w:tcBorders>
              <w:top w:val="single" w:color="auto" w:sz="4" w:space="0"/>
              <w:left w:val="single" w:color="auto" w:sz="4" w:space="0"/>
              <w:bottom w:val="single" w:color="auto" w:sz="4" w:space="0"/>
              <w:right w:val="single" w:color="auto" w:sz="4" w:space="0"/>
            </w:tcBorders>
            <w:noWrap/>
          </w:tcPr>
          <w:p w14:paraId="456622D6">
            <w:pPr>
              <w:pStyle w:val="43"/>
              <w:ind w:firstLine="0" w:firstLineChars="0"/>
              <w:jc w:val="left"/>
              <w:rPr>
                <w:rFonts w:ascii="宋体"/>
                <w:sz w:val="24"/>
                <w:szCs w:val="24"/>
              </w:rPr>
            </w:pPr>
            <w:r>
              <w:rPr>
                <w:rFonts w:hint="eastAsia" w:ascii="宋体" w:hAnsi="宋体"/>
                <w:sz w:val="24"/>
                <w:szCs w:val="24"/>
              </w:rPr>
              <w:t>采用低价优先法计算，即满足招标文件要求且投标价格最低的报价为评标基准价，其价格分为30分。其他报价人的价格分统一按照下列公式计算：投标报价得分=（评标基准价/投标报价）×30分。（以四舍五入法，保留两位小数）</w:t>
            </w:r>
          </w:p>
        </w:tc>
      </w:tr>
    </w:tbl>
    <w:p w14:paraId="259F7EC6">
      <w:pPr>
        <w:jc w:val="left"/>
        <w:rPr>
          <w:rFonts w:ascii="宋体" w:hAnsi="宋体"/>
          <w:b/>
          <w:bCs/>
          <w:szCs w:val="21"/>
        </w:rPr>
      </w:pPr>
      <w:r>
        <w:rPr>
          <w:rFonts w:hint="eastAsia" w:ascii="宋体" w:hAnsi="宋体"/>
          <w:b/>
          <w:bCs/>
          <w:szCs w:val="21"/>
        </w:rPr>
        <w:t>备注：</w:t>
      </w:r>
    </w:p>
    <w:p w14:paraId="236E9A14">
      <w:pPr>
        <w:ind w:firstLine="420" w:firstLineChars="200"/>
        <w:rPr>
          <w:rFonts w:ascii="宋体" w:hAnsi="宋体"/>
          <w:szCs w:val="21"/>
        </w:rPr>
      </w:pPr>
      <w:r>
        <w:rPr>
          <w:rFonts w:hint="eastAsia" w:ascii="宋体" w:hAnsi="宋体"/>
          <w:szCs w:val="21"/>
        </w:rPr>
        <w:t>1、评分过程中如出现小数点后三位，采用四舍五入法，最终保留两位小数；</w:t>
      </w:r>
    </w:p>
    <w:p w14:paraId="12925DAD">
      <w:pPr>
        <w:ind w:firstLine="420" w:firstLineChars="200"/>
        <w:rPr>
          <w:rFonts w:ascii="宋体" w:hAnsi="宋体"/>
          <w:szCs w:val="21"/>
        </w:rPr>
      </w:pPr>
      <w:r>
        <w:rPr>
          <w:rFonts w:hint="eastAsia" w:ascii="宋体" w:hAnsi="宋体"/>
          <w:szCs w:val="21"/>
        </w:rPr>
        <w:t>2、响应文件中必须提供以上相关证明材料复印件，否则不予加分。本评标办法中要求提供相关原件的，则投标人须提供相关原件核查，否则不得分；</w:t>
      </w:r>
    </w:p>
    <w:p w14:paraId="6674D319">
      <w:pPr>
        <w:ind w:firstLine="420" w:firstLineChars="200"/>
        <w:rPr>
          <w:rFonts w:hint="eastAsia" w:ascii="宋体" w:hAnsi="宋体"/>
          <w:szCs w:val="21"/>
          <w:lang w:eastAsia="zh-CN"/>
        </w:rPr>
      </w:pPr>
      <w:r>
        <w:rPr>
          <w:rFonts w:hint="eastAsia" w:ascii="宋体" w:hAnsi="宋体"/>
          <w:szCs w:val="21"/>
        </w:rPr>
        <w:t>3、若供应商提供的证明材料不能体现评审要素的，其有效性由评标委员会决定</w:t>
      </w:r>
      <w:bookmarkStart w:id="58" w:name="_Toc12653"/>
      <w:r>
        <w:rPr>
          <w:rFonts w:hint="eastAsia" w:ascii="宋体" w:hAnsi="宋体"/>
          <w:szCs w:val="21"/>
          <w:lang w:eastAsia="zh-CN"/>
        </w:rPr>
        <w:t>。</w:t>
      </w:r>
    </w:p>
    <w:p w14:paraId="0C286DED">
      <w:pPr>
        <w:jc w:val="center"/>
        <w:rPr>
          <w:rFonts w:ascii="黑体" w:hAnsi="黑体" w:eastAsia="黑体"/>
          <w:sz w:val="28"/>
        </w:rPr>
      </w:pPr>
      <w:r>
        <w:rPr>
          <w:rFonts w:hint="eastAsia" w:ascii="宋体" w:hAnsi="宋体"/>
          <w:szCs w:val="21"/>
        </w:rPr>
        <w:br w:type="page"/>
      </w:r>
      <w:bookmarkStart w:id="59" w:name="_Toc52205516"/>
      <w:r>
        <w:rPr>
          <w:rFonts w:hint="eastAsia" w:ascii="黑体" w:hAnsi="黑体" w:eastAsia="黑体"/>
          <w:sz w:val="28"/>
        </w:rPr>
        <w:t>第四章 项目技术要求和有关说明</w:t>
      </w:r>
      <w:bookmarkEnd w:id="58"/>
      <w:bookmarkEnd w:id="59"/>
    </w:p>
    <w:p w14:paraId="24A3131A">
      <w:pPr>
        <w:spacing w:line="360" w:lineRule="auto"/>
        <w:ind w:firstLine="480" w:firstLineChars="200"/>
        <w:rPr>
          <w:rFonts w:ascii="宋体" w:hAnsi="宋体"/>
          <w:sz w:val="24"/>
          <w:szCs w:val="24"/>
        </w:rPr>
      </w:pPr>
      <w:r>
        <w:rPr>
          <w:rFonts w:hint="eastAsia" w:ascii="宋体" w:hAnsi="宋体"/>
          <w:sz w:val="24"/>
          <w:szCs w:val="24"/>
        </w:rPr>
        <w:t>本项目为江苏省宜兴强制隔离戒毒所江苏省宜兴强制隔离戒毒所配餐中心局部维修改造项目，具体要求如下，投标人须提供满足以下要求的服务，不得有负偏离：</w:t>
      </w:r>
    </w:p>
    <w:bookmarkEnd w:id="53"/>
    <w:bookmarkEnd w:id="55"/>
    <w:bookmarkEnd w:id="56"/>
    <w:p w14:paraId="33D8B9E5">
      <w:pPr>
        <w:widowControl/>
        <w:spacing w:line="360" w:lineRule="auto"/>
        <w:ind w:firstLine="482" w:firstLineChars="200"/>
        <w:jc w:val="left"/>
        <w:rPr>
          <w:rFonts w:ascii="宋体" w:hAnsi="宋体" w:cs="宋体"/>
        </w:rPr>
      </w:pPr>
      <w:bookmarkStart w:id="60" w:name="_Toc52205517"/>
      <w:r>
        <w:rPr>
          <w:rFonts w:hint="eastAsia" w:ascii="宋体" w:hAnsi="宋体" w:cs="宋体"/>
          <w:b/>
          <w:bCs/>
          <w:color w:val="000000"/>
          <w:kern w:val="0"/>
          <w:sz w:val="24"/>
          <w:szCs w:val="24"/>
          <w:lang w:bidi="ar"/>
        </w:rPr>
        <w:t xml:space="preserve">一、项目概况 </w:t>
      </w:r>
    </w:p>
    <w:p w14:paraId="0B91FFDF">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本项目主要内容为省宜兴戒毒所配餐中心局部维修改造工程设计和施工，建设地点位于宜兴市丁蜀镇洑东村，东至通溪路，西至白泥场河。工程建设用地约为440㎡，总建筑面积约1400㎡。</w:t>
      </w:r>
    </w:p>
    <w:p w14:paraId="45BF4C0C">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投标时需提供高质量标准的效果图数量大于等于6张，以个性化、人文化、艺术化手法突出特色。其中效果图包含第一层餐厅至少1张、第二层包厢至少2张、第三层值班备勤用房和套间至少2张、公共区域（走廊）至少1张。 </w:t>
      </w:r>
    </w:p>
    <w:p w14:paraId="219FC78B">
      <w:pPr>
        <w:widowControl/>
        <w:spacing w:line="360" w:lineRule="auto"/>
        <w:ind w:firstLine="480" w:firstLineChars="200"/>
        <w:jc w:val="left"/>
        <w:rPr>
          <w:rFonts w:ascii="宋体" w:hAnsi="宋体" w:cs="宋体"/>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二、</w:t>
      </w:r>
      <w:r>
        <w:rPr>
          <w:rFonts w:hint="eastAsia" w:ascii="宋体" w:hAnsi="宋体" w:cs="宋体"/>
          <w:b/>
          <w:bCs/>
          <w:kern w:val="0"/>
          <w:sz w:val="24"/>
          <w:szCs w:val="24"/>
          <w:lang w:bidi="ar"/>
        </w:rPr>
        <w:t>任务</w:t>
      </w:r>
      <w:r>
        <w:rPr>
          <w:rFonts w:hint="eastAsia" w:ascii="宋体" w:hAnsi="宋体" w:cs="宋体"/>
          <w:b/>
          <w:bCs/>
          <w:color w:val="000000"/>
          <w:kern w:val="0"/>
          <w:sz w:val="24"/>
          <w:szCs w:val="24"/>
          <w:lang w:bidi="ar"/>
        </w:rPr>
        <w:t xml:space="preserve">范围 </w:t>
      </w:r>
    </w:p>
    <w:p w14:paraId="493C89B5">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（1）配餐中心为框架结构，维修改造包括但不限于以下内容：土建（局部基础、内部墙体、混凝土楼梯、楼层、局部加固、卫生间平面）、水电改造、消防改造、弱电智能化、装修、拆除等。 具体以发包人要求为准。</w:t>
      </w:r>
    </w:p>
    <w:p w14:paraId="463EBFFE">
      <w:pPr>
        <w:spacing w:line="360" w:lineRule="auto"/>
        <w:rPr>
          <w:rFonts w:ascii="宋体" w:hAnsi="宋体" w:cs="宋体"/>
          <w:b/>
          <w:bCs/>
          <w:sz w:val="24"/>
          <w:szCs w:val="24"/>
        </w:rPr>
      </w:pPr>
      <w:r>
        <w:rPr>
          <w:rFonts w:hint="eastAsia" w:ascii="宋体" w:hAnsi="宋体" w:cs="宋体"/>
          <w:b/>
          <w:bCs/>
          <w:sz w:val="24"/>
          <w:szCs w:val="24"/>
        </w:rPr>
        <w:t>（一）、建筑外立面改造</w:t>
      </w:r>
    </w:p>
    <w:p w14:paraId="50BC9CAC">
      <w:pPr>
        <w:spacing w:line="360" w:lineRule="auto"/>
        <w:rPr>
          <w:rFonts w:ascii="宋体" w:hAnsi="宋体" w:cs="宋体"/>
          <w:sz w:val="24"/>
          <w:szCs w:val="24"/>
        </w:rPr>
      </w:pPr>
      <w:r>
        <w:rPr>
          <w:rFonts w:hint="eastAsia" w:ascii="宋体" w:hAnsi="宋体" w:cs="宋体"/>
          <w:sz w:val="24"/>
          <w:szCs w:val="24"/>
        </w:rPr>
        <w:t>1、建筑物外立面整体出新（包含通道），颜色做法参照园区内行政楼。外立面空调护栏油漆出新、补缺。含</w:t>
      </w:r>
      <w:r>
        <w:rPr>
          <w:rFonts w:hint="eastAsia" w:asciiTheme="minorEastAsia" w:hAnsiTheme="minorEastAsia" w:cstheme="minorEastAsia"/>
          <w:sz w:val="24"/>
          <w:szCs w:val="24"/>
        </w:rPr>
        <w:t>行政楼大门口2只立柱 800*800*4米高出新。</w:t>
      </w:r>
    </w:p>
    <w:p w14:paraId="789B3065">
      <w:pPr>
        <w:spacing w:line="360" w:lineRule="auto"/>
        <w:rPr>
          <w:rFonts w:ascii="宋体" w:hAnsi="宋体" w:cs="宋体"/>
          <w:sz w:val="24"/>
          <w:szCs w:val="24"/>
        </w:rPr>
      </w:pPr>
      <w:r>
        <w:rPr>
          <w:rFonts w:hint="eastAsia" w:ascii="宋体" w:hAnsi="宋体" w:cs="宋体"/>
          <w:sz w:val="24"/>
          <w:szCs w:val="24"/>
        </w:rPr>
        <w:t>2、拆除项目：</w:t>
      </w:r>
    </w:p>
    <w:p w14:paraId="68BC4EA3">
      <w:pPr>
        <w:spacing w:line="360" w:lineRule="auto"/>
        <w:ind w:firstLine="480" w:firstLineChars="200"/>
        <w:rPr>
          <w:rFonts w:ascii="宋体" w:hAnsi="宋体" w:cs="宋体"/>
          <w:sz w:val="24"/>
          <w:szCs w:val="24"/>
        </w:rPr>
      </w:pPr>
      <w:r>
        <w:rPr>
          <w:rFonts w:hint="eastAsia" w:ascii="宋体" w:hAnsi="宋体" w:cs="宋体"/>
          <w:sz w:val="24"/>
          <w:szCs w:val="24"/>
        </w:rPr>
        <w:t>部位1：13-14轴/A-B轴通道吊顶。</w:t>
      </w:r>
    </w:p>
    <w:p w14:paraId="1565A625">
      <w:pPr>
        <w:spacing w:line="360" w:lineRule="auto"/>
        <w:ind w:firstLine="480" w:firstLineChars="200"/>
        <w:rPr>
          <w:rFonts w:ascii="宋体" w:hAnsi="宋体" w:cs="宋体"/>
          <w:sz w:val="24"/>
          <w:szCs w:val="24"/>
        </w:rPr>
      </w:pPr>
      <w:r>
        <w:rPr>
          <w:rFonts w:hint="eastAsia" w:ascii="宋体" w:hAnsi="宋体" w:cs="宋体"/>
          <w:sz w:val="24"/>
          <w:szCs w:val="24"/>
        </w:rPr>
        <w:t>部位2：B轴/8-9轴，6-7轴；4轴/C-D轴；F轴/2-3轴仿古屋檐拆除。</w:t>
      </w:r>
    </w:p>
    <w:p w14:paraId="1F79A9E1">
      <w:pPr>
        <w:spacing w:line="360" w:lineRule="auto"/>
        <w:ind w:firstLine="480" w:firstLineChars="200"/>
        <w:rPr>
          <w:rFonts w:ascii="宋体" w:hAnsi="宋体" w:cs="宋体"/>
          <w:sz w:val="24"/>
          <w:szCs w:val="24"/>
        </w:rPr>
      </w:pPr>
      <w:r>
        <w:rPr>
          <w:rFonts w:hint="eastAsia" w:ascii="宋体" w:hAnsi="宋体" w:cs="宋体"/>
          <w:sz w:val="24"/>
          <w:szCs w:val="24"/>
        </w:rPr>
        <w:t>部位3：6-7轴餐厅玻璃门拆除后门改成窗，台阶拆除，与现有花坛贯通。</w:t>
      </w:r>
    </w:p>
    <w:p w14:paraId="492110E8">
      <w:pPr>
        <w:spacing w:line="360" w:lineRule="auto"/>
        <w:ind w:firstLine="482" w:firstLineChars="200"/>
        <w:rPr>
          <w:rFonts w:ascii="宋体" w:hAnsi="宋体" w:cs="宋体"/>
          <w:sz w:val="24"/>
          <w:szCs w:val="24"/>
        </w:rPr>
      </w:pPr>
      <w:r>
        <w:rPr>
          <w:rFonts w:ascii="宋体" w:hAnsi="宋体" w:cs="宋体"/>
          <w:b/>
          <w:bCs/>
          <w:sz w:val="24"/>
          <w:szCs w:val="24"/>
        </w:rPr>
        <w:pict>
          <v:shape id="_x0000_s2051" o:spid="_x0000_s2051" o:spt="75" type="#_x0000_t75" style="position:absolute;left:0pt;margin-left:315.3pt;margin-top:14.85pt;height:66pt;width:72.75pt;z-index:251663360;mso-width-relative:page;mso-height-relative:page;" o:ole="t" filled="f" o:preferrelative="t" stroked="f" coordsize="21600,21600">
            <v:path/>
            <v:fill on="f" focussize="0,0"/>
            <v:stroke on="f" joinstyle="miter"/>
            <v:imagedata r:id="rId10" o:title=""/>
            <o:lock v:ext="edit" aspectratio="t"/>
          </v:shape>
          <o:OLEObject Type="Embed" ProgID="Package" ShapeID="_x0000_s2051" DrawAspect="Icon" ObjectID="_1468075725" r:id="rId9">
            <o:LockedField>false</o:LockedField>
          </o:OLEObject>
        </w:pict>
      </w:r>
      <w:r>
        <w:rPr>
          <w:rFonts w:hint="eastAsia" w:ascii="宋体" w:hAnsi="宋体" w:cs="宋体"/>
          <w:sz w:val="24"/>
          <w:szCs w:val="24"/>
        </w:rPr>
        <w:t>部位4：配餐中心大门、侧面小门拆除换新的无框玻璃门。</w:t>
      </w:r>
    </w:p>
    <w:p w14:paraId="2E4A0087">
      <w:pPr>
        <w:spacing w:line="360" w:lineRule="auto"/>
        <w:rPr>
          <w:rFonts w:ascii="宋体" w:hAnsi="宋体" w:cs="宋体"/>
          <w:b/>
          <w:bCs/>
          <w:sz w:val="24"/>
          <w:szCs w:val="24"/>
        </w:rPr>
      </w:pPr>
      <w:r>
        <w:rPr>
          <w:rFonts w:hint="eastAsia" w:ascii="宋体" w:hAnsi="宋体" w:cs="宋体"/>
          <w:b/>
          <w:bCs/>
          <w:sz w:val="24"/>
          <w:szCs w:val="24"/>
        </w:rPr>
        <w:t>（二）、一层建筑内部改造（具体参见附件之一层平面图）</w:t>
      </w:r>
    </w:p>
    <w:p w14:paraId="4A9B8843">
      <w:pPr>
        <w:spacing w:line="360" w:lineRule="auto"/>
        <w:rPr>
          <w:rFonts w:ascii="宋体" w:hAnsi="宋体" w:cs="宋体"/>
          <w:b/>
          <w:bCs/>
          <w:sz w:val="24"/>
          <w:szCs w:val="24"/>
        </w:rPr>
      </w:pPr>
    </w:p>
    <w:p w14:paraId="4931712A">
      <w:pPr>
        <w:numPr>
          <w:ilvl w:val="0"/>
          <w:numId w:val="18"/>
        </w:numPr>
        <w:spacing w:line="360" w:lineRule="auto"/>
        <w:ind w:left="420"/>
        <w:rPr>
          <w:rFonts w:ascii="宋体" w:hAnsi="宋体" w:cs="宋体"/>
          <w:sz w:val="24"/>
          <w:szCs w:val="24"/>
        </w:rPr>
      </w:pPr>
      <w:r>
        <w:rPr>
          <w:rFonts w:hint="eastAsia" w:ascii="宋体" w:hAnsi="宋体" w:cs="宋体"/>
          <w:sz w:val="24"/>
          <w:szCs w:val="24"/>
        </w:rPr>
        <w:t>配餐中心大门进去一至三层楼梯全部拆除，将楼梯挪至12-13/A-B轴，在楼层处增加平台层。具体参见附件一层平面图。</w:t>
      </w:r>
    </w:p>
    <w:p w14:paraId="598877D0">
      <w:pPr>
        <w:spacing w:line="360" w:lineRule="auto"/>
        <w:ind w:firstLine="480" w:firstLineChars="200"/>
        <w:rPr>
          <w:rFonts w:ascii="宋体" w:hAnsi="宋体" w:cs="宋体"/>
          <w:sz w:val="24"/>
          <w:szCs w:val="24"/>
        </w:rPr>
      </w:pPr>
      <w:r>
        <w:rPr>
          <w:rFonts w:hint="eastAsia" w:ascii="宋体" w:hAnsi="宋体" w:cs="宋体"/>
          <w:sz w:val="24"/>
          <w:szCs w:val="24"/>
        </w:rPr>
        <w:t>2、12轴/A-B轴玻璃门拆除后封堵（含加装相邻位置同款窗）。12-13轴/A轴设置消防安全门，里往外推。</w:t>
      </w:r>
    </w:p>
    <w:p w14:paraId="057754FB">
      <w:pPr>
        <w:spacing w:line="360" w:lineRule="auto"/>
        <w:ind w:firstLine="480" w:firstLineChars="200"/>
        <w:rPr>
          <w:rFonts w:ascii="宋体" w:hAnsi="宋体" w:cs="宋体"/>
          <w:sz w:val="24"/>
          <w:szCs w:val="24"/>
        </w:rPr>
      </w:pPr>
      <w:r>
        <w:rPr>
          <w:rFonts w:hint="eastAsia" w:ascii="宋体" w:hAnsi="宋体" w:cs="宋体"/>
          <w:sz w:val="24"/>
          <w:szCs w:val="24"/>
        </w:rPr>
        <w:t>3、门卫室改成独立男卫、女卫，女卫增加保洁室，具体参见附件一层平面图。</w:t>
      </w:r>
    </w:p>
    <w:p w14:paraId="17D4265D">
      <w:pPr>
        <w:spacing w:line="360" w:lineRule="auto"/>
        <w:ind w:firstLine="480" w:firstLineChars="200"/>
        <w:rPr>
          <w:rFonts w:ascii="宋体" w:hAnsi="宋体" w:cs="宋体"/>
          <w:sz w:val="24"/>
          <w:szCs w:val="24"/>
        </w:rPr>
      </w:pPr>
      <w:r>
        <w:rPr>
          <w:rFonts w:hint="eastAsia" w:ascii="宋体" w:hAnsi="宋体" w:cs="宋体"/>
          <w:sz w:val="24"/>
          <w:szCs w:val="24"/>
        </w:rPr>
        <w:t>4、3-13轴全部贯通，墙面、吊顶、地面全部重新设计翻新为餐厅，7-8轴/B轴设置</w:t>
      </w:r>
      <w:r>
        <w:rPr>
          <w:rFonts w:ascii="Arial" w:hAnsi="Arial" w:cs="Arial"/>
          <w:color w:val="111111"/>
          <w:spacing w:val="3"/>
          <w:sz w:val="24"/>
          <w:szCs w:val="24"/>
          <w:shd w:val="clear" w:color="auto" w:fill="FFFFFF"/>
        </w:rPr>
        <w:t>下嵌</w:t>
      </w:r>
      <w:r>
        <w:rPr>
          <w:rFonts w:ascii="宋体" w:hAnsi="宋体" w:cs="宋体"/>
          <w:b/>
          <w:bCs/>
          <w:sz w:val="24"/>
          <w:szCs w:val="24"/>
        </w:rPr>
        <w:pict>
          <v:shape id="_x0000_s2052" o:spid="_x0000_s2052" o:spt="75" type="#_x0000_t75" style="position:absolute;left:0pt;margin-left:335.3pt;margin-top:11.4pt;height:74.8pt;width:82.5pt;z-index:251664384;mso-width-relative:page;mso-height-relative:page;" o:ole="t" filled="f" o:preferrelative="t" stroked="f" coordsize="21600,21600">
            <v:path/>
            <v:fill on="f" focussize="0,0"/>
            <v:stroke on="f" joinstyle="miter"/>
            <v:imagedata r:id="rId12" o:title=""/>
            <o:lock v:ext="edit" aspectratio="t"/>
          </v:shape>
          <o:OLEObject Type="Embed" ProgID="Package" ShapeID="_x0000_s2052" DrawAspect="Icon" ObjectID="_1468075726" r:id="rId11">
            <o:LockedField>false</o:LockedField>
          </o:OLEObject>
        </w:pict>
      </w:r>
      <w:r>
        <w:rPr>
          <w:rFonts w:ascii="Arial" w:hAnsi="Arial" w:cs="Arial"/>
          <w:color w:val="111111"/>
          <w:spacing w:val="3"/>
          <w:sz w:val="24"/>
          <w:szCs w:val="24"/>
          <w:shd w:val="clear" w:color="auto" w:fill="FFFFFF"/>
        </w:rPr>
        <w:t>式双台盆洗手台，下方安装橱柜及冷热水</w:t>
      </w:r>
      <w:r>
        <w:rPr>
          <w:rFonts w:hint="eastAsia" w:ascii="Arial" w:hAnsi="Arial" w:cs="Arial"/>
          <w:color w:val="111111"/>
          <w:spacing w:val="3"/>
          <w:sz w:val="24"/>
          <w:szCs w:val="24"/>
          <w:shd w:val="clear" w:color="auto" w:fill="FFFFFF"/>
        </w:rPr>
        <w:t>（含设备）</w:t>
      </w:r>
      <w:r>
        <w:rPr>
          <w:rFonts w:hint="eastAsia" w:ascii="宋体" w:hAnsi="宋体" w:cs="宋体"/>
          <w:sz w:val="24"/>
          <w:szCs w:val="24"/>
        </w:rPr>
        <w:t>。</w:t>
      </w:r>
    </w:p>
    <w:p w14:paraId="4D991EC9">
      <w:pPr>
        <w:spacing w:line="360" w:lineRule="auto"/>
        <w:rPr>
          <w:rFonts w:ascii="宋体" w:hAnsi="宋体" w:cs="宋体"/>
          <w:b/>
          <w:bCs/>
          <w:sz w:val="24"/>
          <w:szCs w:val="24"/>
        </w:rPr>
      </w:pPr>
      <w:r>
        <w:rPr>
          <w:rFonts w:hint="eastAsia" w:ascii="宋体" w:hAnsi="宋体" w:cs="宋体"/>
          <w:b/>
          <w:bCs/>
          <w:sz w:val="24"/>
          <w:szCs w:val="24"/>
        </w:rPr>
        <w:t>（三）、二层建筑内部改造（具体参见附件之二层平面图）</w:t>
      </w:r>
    </w:p>
    <w:p w14:paraId="49BAA7BD">
      <w:pPr>
        <w:spacing w:line="360" w:lineRule="auto"/>
        <w:rPr>
          <w:rFonts w:ascii="宋体" w:hAnsi="宋体" w:cs="宋体"/>
          <w:sz w:val="24"/>
          <w:szCs w:val="24"/>
        </w:rPr>
      </w:pPr>
      <w:r>
        <w:rPr>
          <w:rFonts w:hint="eastAsia" w:ascii="宋体" w:hAnsi="宋体" w:cs="宋体"/>
          <w:sz w:val="24"/>
          <w:szCs w:val="24"/>
        </w:rPr>
        <w:t>1、拆除项目：</w:t>
      </w:r>
    </w:p>
    <w:p w14:paraId="33F61E5F">
      <w:pPr>
        <w:spacing w:line="360" w:lineRule="auto"/>
        <w:ind w:firstLine="480" w:firstLineChars="200"/>
        <w:rPr>
          <w:rFonts w:ascii="宋体" w:hAnsi="宋体" w:cs="宋体"/>
          <w:sz w:val="24"/>
          <w:szCs w:val="24"/>
        </w:rPr>
      </w:pPr>
      <w:r>
        <w:rPr>
          <w:rFonts w:hint="eastAsia" w:ascii="宋体" w:hAnsi="宋体" w:cs="宋体"/>
          <w:sz w:val="24"/>
          <w:szCs w:val="24"/>
        </w:rPr>
        <w:t>部位1：走道玻璃门。</w:t>
      </w:r>
    </w:p>
    <w:p w14:paraId="6FC399AA">
      <w:pPr>
        <w:spacing w:line="360" w:lineRule="auto"/>
        <w:ind w:firstLine="480" w:firstLineChars="200"/>
        <w:rPr>
          <w:rFonts w:ascii="宋体" w:hAnsi="宋体" w:cs="宋体"/>
          <w:sz w:val="24"/>
          <w:szCs w:val="24"/>
        </w:rPr>
      </w:pPr>
      <w:r>
        <w:rPr>
          <w:rFonts w:hint="eastAsia" w:ascii="宋体" w:hAnsi="宋体" w:cs="宋体"/>
          <w:sz w:val="24"/>
          <w:szCs w:val="24"/>
        </w:rPr>
        <w:t>部位2：地面不动，踢脚线以上所有墙面涂料层、顶面吊顶等。</w:t>
      </w:r>
    </w:p>
    <w:p w14:paraId="115ADC47">
      <w:pPr>
        <w:spacing w:line="360" w:lineRule="auto"/>
        <w:ind w:left="240" w:hanging="240" w:hangingChars="100"/>
        <w:rPr>
          <w:rFonts w:ascii="宋体" w:hAnsi="宋体" w:cs="宋体"/>
          <w:sz w:val="24"/>
          <w:szCs w:val="24"/>
        </w:rPr>
      </w:pPr>
      <w:r>
        <w:rPr>
          <w:rFonts w:hint="eastAsia" w:ascii="宋体" w:hAnsi="宋体" w:cs="宋体"/>
          <w:sz w:val="24"/>
          <w:szCs w:val="24"/>
        </w:rPr>
        <w:t>2、现有6-8轴房间改造成小餐厅包厢</w:t>
      </w:r>
      <w:r>
        <w:rPr>
          <w:rFonts w:hint="eastAsia" w:ascii="宋体" w:hAnsi="宋体" w:cs="宋体"/>
          <w:sz w:val="24"/>
          <w:szCs w:val="24"/>
          <w:lang w:eastAsia="zh-CN"/>
        </w:rPr>
        <w:t>，</w:t>
      </w:r>
      <w:r>
        <w:rPr>
          <w:rFonts w:hint="eastAsia" w:ascii="宋体" w:hAnsi="宋体" w:cs="宋体"/>
          <w:sz w:val="24"/>
          <w:szCs w:val="24"/>
        </w:rPr>
        <w:t>内部墙面、吊顶、地面全部出新，简单布置墙面背景。</w:t>
      </w:r>
    </w:p>
    <w:p w14:paraId="51703045">
      <w:pPr>
        <w:spacing w:line="360" w:lineRule="auto"/>
        <w:ind w:left="240" w:hanging="240" w:hangingChars="100"/>
        <w:rPr>
          <w:rFonts w:ascii="宋体" w:hAnsi="宋体" w:cs="宋体"/>
          <w:sz w:val="24"/>
          <w:szCs w:val="24"/>
        </w:rPr>
      </w:pPr>
      <w:r>
        <w:rPr>
          <w:rFonts w:ascii="宋体" w:hAnsi="宋体" w:cs="宋体"/>
          <w:sz w:val="24"/>
          <w:szCs w:val="24"/>
        </w:rPr>
        <w:pict>
          <v:shape id="_x0000_s2055" o:spid="_x0000_s2055" o:spt="75" type="#_x0000_t75" style="position:absolute;left:0pt;margin-left:200.35pt;margin-top:20.25pt;height:66.6pt;width:73.4pt;z-index:251665408;mso-width-relative:page;mso-height-relative:page;" o:ole="t" filled="f" o:preferrelative="t" stroked="f" coordsize="21600,21600">
            <v:path/>
            <v:fill on="f" focussize="0,0"/>
            <v:stroke on="f" joinstyle="miter"/>
            <v:imagedata r:id="rId14" o:title=""/>
            <o:lock v:ext="edit" aspectratio="t"/>
          </v:shape>
          <o:OLEObject Type="Embed" ProgID="Package" ShapeID="_x0000_s2055" DrawAspect="Icon" ObjectID="_1468075727" r:id="rId13">
            <o:LockedField>false</o:LockedField>
          </o:OLEObject>
        </w:pict>
      </w:r>
      <w:r>
        <w:rPr>
          <w:rFonts w:ascii="宋体" w:hAnsi="宋体" w:cs="宋体"/>
          <w:sz w:val="24"/>
          <w:szCs w:val="24"/>
        </w:rPr>
        <w:pict>
          <v:shape id="_x0000_s2054" o:spid="_x0000_s2054" o:spt="75" type="#_x0000_t75" style="position:absolute;left:0pt;margin-left:122pt;margin-top:16.5pt;height:69.1pt;width:76.1pt;z-index:251666432;mso-width-relative:page;mso-height-relative:page;" o:ole="t" filled="f" o:preferrelative="t" stroked="f" coordsize="21600,21600">
            <v:path/>
            <v:fill on="f" focussize="0,0"/>
            <v:stroke on="f" joinstyle="miter"/>
            <v:imagedata r:id="rId16" o:title=""/>
            <o:lock v:ext="edit" aspectratio="t"/>
          </v:shape>
          <o:OLEObject Type="Embed" ProgID="Package" ShapeID="_x0000_s2054" DrawAspect="Icon" ObjectID="_1468075728" r:id="rId15">
            <o:LockedField>false</o:LockedField>
          </o:OLEObject>
        </w:pict>
      </w:r>
      <w:r>
        <w:rPr>
          <w:rFonts w:hint="eastAsia" w:ascii="宋体" w:hAnsi="宋体" w:cs="宋体"/>
          <w:sz w:val="24"/>
          <w:szCs w:val="24"/>
        </w:rPr>
        <w:t>3、现有8-12轴房间改造成大餐厅包厢</w:t>
      </w:r>
      <w:r>
        <w:rPr>
          <w:rFonts w:hint="eastAsia" w:ascii="宋体" w:hAnsi="宋体" w:cs="宋体"/>
          <w:sz w:val="24"/>
          <w:szCs w:val="24"/>
          <w:lang w:eastAsia="zh-CN"/>
        </w:rPr>
        <w:t>，</w:t>
      </w:r>
      <w:r>
        <w:rPr>
          <w:rFonts w:hint="eastAsia" w:ascii="宋体" w:hAnsi="宋体" w:cs="宋体"/>
          <w:sz w:val="24"/>
          <w:szCs w:val="24"/>
        </w:rPr>
        <w:t>内部全部拆除，风格自拟，主色系深胡桃木色系，(具体参照附件2色系）。</w:t>
      </w:r>
    </w:p>
    <w:p w14:paraId="7CE4ACE3">
      <w:pPr>
        <w:spacing w:line="360" w:lineRule="auto"/>
        <w:rPr>
          <w:rFonts w:ascii="宋体" w:hAnsi="宋体" w:cs="宋体"/>
          <w:sz w:val="24"/>
          <w:szCs w:val="24"/>
        </w:rPr>
      </w:pPr>
    </w:p>
    <w:p w14:paraId="3D845758">
      <w:pPr>
        <w:spacing w:line="360" w:lineRule="auto"/>
        <w:rPr>
          <w:rFonts w:ascii="宋体" w:hAnsi="宋体" w:cs="宋体"/>
          <w:sz w:val="24"/>
          <w:szCs w:val="24"/>
        </w:rPr>
      </w:pP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rPr>
        <w:t>现有13-14轴改扩建办公室改造成备餐间，13-16轴加设走廊墙体.包厢地面均采用</w:t>
      </w:r>
      <w:r>
        <w:rPr>
          <w:rFonts w:hint="eastAsia" w:ascii="宋体" w:hAnsi="宋体" w:cs="宋体"/>
          <w:sz w:val="24"/>
          <w:szCs w:val="24"/>
          <w:lang w:val="en-US" w:eastAsia="zh-CN"/>
        </w:rPr>
        <w:t>12mm多层实木复合</w:t>
      </w:r>
      <w:r>
        <w:rPr>
          <w:rFonts w:hint="eastAsia" w:ascii="宋体" w:hAnsi="宋体" w:cs="宋体"/>
          <w:sz w:val="24"/>
          <w:szCs w:val="24"/>
          <w:lang w:eastAsia="zh-CN"/>
        </w:rPr>
        <w:t>地板</w:t>
      </w:r>
      <w:r>
        <w:rPr>
          <w:rFonts w:hint="eastAsia" w:ascii="宋体" w:hAnsi="宋体" w:cs="宋体"/>
          <w:sz w:val="24"/>
          <w:szCs w:val="24"/>
        </w:rPr>
        <w:t>。走道地砖规格参见原有走廊。（具体参见附件之二层平面图）。</w:t>
      </w:r>
    </w:p>
    <w:p w14:paraId="740495A3">
      <w:pPr>
        <w:spacing w:line="360" w:lineRule="auto"/>
        <w:rPr>
          <w:rFonts w:ascii="宋体" w:hAnsi="宋体" w:cs="宋体"/>
          <w:sz w:val="24"/>
          <w:szCs w:val="24"/>
        </w:rPr>
      </w:pPr>
      <w:r>
        <w:rPr>
          <w:rFonts w:ascii="宋体" w:hAnsi="宋体" w:cs="宋体"/>
          <w:sz w:val="24"/>
          <w:szCs w:val="24"/>
        </w:rPr>
        <w:pict>
          <v:shape id="_x0000_s2053" o:spid="_x0000_s2053" o:spt="75" type="#_x0000_t75" style="position:absolute;left:0pt;margin-left:327.75pt;margin-top:1.55pt;height:66pt;width:72.75pt;z-index:251667456;mso-width-relative:page;mso-height-relative:page;" o:ole="t" filled="f" o:preferrelative="t" stroked="f" coordsize="21600,21600">
            <v:path/>
            <v:fill on="f" focussize="0,0"/>
            <v:stroke on="f" joinstyle="miter"/>
            <v:imagedata r:id="rId18" o:title=""/>
            <o:lock v:ext="edit" aspectratio="t"/>
          </v:shape>
          <o:OLEObject Type="Embed" ProgID="Package" ShapeID="_x0000_s2053" DrawAspect="Icon" ObjectID="_1468075729" r:id="rId17">
            <o:LockedField>false</o:LockedField>
          </o:OLEObject>
        </w:pict>
      </w:r>
      <w:r>
        <w:rPr>
          <w:rFonts w:hint="eastAsia" w:asciiTheme="minorEastAsia" w:hAnsiTheme="minorEastAsia" w:cstheme="minorEastAsia"/>
          <w:sz w:val="24"/>
          <w:szCs w:val="24"/>
        </w:rPr>
        <w:t>5、第二层 1/D-E轴加L型洗手洗碗导台。</w:t>
      </w:r>
    </w:p>
    <w:p w14:paraId="597CC37B">
      <w:pPr>
        <w:spacing w:line="360" w:lineRule="auto"/>
        <w:rPr>
          <w:rFonts w:ascii="宋体" w:hAnsi="宋体" w:cs="宋体"/>
          <w:sz w:val="24"/>
          <w:szCs w:val="24"/>
        </w:rPr>
      </w:pPr>
      <w:r>
        <w:rPr>
          <w:rFonts w:hint="eastAsia" w:ascii="宋体" w:hAnsi="宋体" w:cs="宋体"/>
          <w:b/>
          <w:bCs/>
          <w:sz w:val="24"/>
          <w:szCs w:val="24"/>
        </w:rPr>
        <w:t>（四）、三层建筑内部改造（具体参见附件之三层平面图</w:t>
      </w:r>
      <w:r>
        <w:rPr>
          <w:rFonts w:hint="eastAsia" w:ascii="宋体" w:hAnsi="宋体" w:cs="宋体"/>
          <w:sz w:val="24"/>
          <w:szCs w:val="24"/>
        </w:rPr>
        <w:t>）</w:t>
      </w:r>
    </w:p>
    <w:p w14:paraId="333E8951">
      <w:pPr>
        <w:numPr>
          <w:ilvl w:val="0"/>
          <w:numId w:val="19"/>
        </w:numPr>
        <w:spacing w:line="360" w:lineRule="auto"/>
        <w:rPr>
          <w:rFonts w:ascii="宋体" w:hAnsi="宋体" w:cs="宋体"/>
          <w:sz w:val="24"/>
          <w:szCs w:val="24"/>
        </w:rPr>
      </w:pPr>
      <w:r>
        <w:rPr>
          <w:rFonts w:hint="eastAsia" w:ascii="宋体" w:hAnsi="宋体" w:cs="宋体"/>
          <w:sz w:val="24"/>
          <w:szCs w:val="24"/>
        </w:rPr>
        <w:t>拆除项目：</w:t>
      </w:r>
    </w:p>
    <w:p w14:paraId="7E12F264">
      <w:pPr>
        <w:spacing w:line="360" w:lineRule="auto"/>
        <w:ind w:firstLine="480" w:firstLineChars="200"/>
        <w:rPr>
          <w:rFonts w:ascii="宋体" w:hAnsi="宋体" w:cs="宋体"/>
          <w:sz w:val="24"/>
          <w:szCs w:val="24"/>
        </w:rPr>
      </w:pPr>
      <w:r>
        <w:rPr>
          <w:rFonts w:hint="eastAsia" w:ascii="宋体" w:hAnsi="宋体" w:cs="宋体"/>
          <w:sz w:val="24"/>
          <w:szCs w:val="24"/>
        </w:rPr>
        <w:t>部位1：地面不动，踢脚线以上所有墙面涂料层、顶面吊顶等。</w:t>
      </w:r>
    </w:p>
    <w:p w14:paraId="39901368">
      <w:pPr>
        <w:spacing w:line="360" w:lineRule="auto"/>
        <w:ind w:firstLine="480" w:firstLineChars="200"/>
        <w:jc w:val="left"/>
        <w:rPr>
          <w:rFonts w:asciiTheme="minorEastAsia" w:hAnsiTheme="minorEastAsia" w:cstheme="minorEastAsia"/>
          <w:sz w:val="24"/>
          <w:szCs w:val="24"/>
        </w:rPr>
      </w:pPr>
      <w:r>
        <w:rPr>
          <w:rFonts w:hint="eastAsia" w:ascii="宋体" w:hAnsi="宋体" w:cs="宋体"/>
          <w:sz w:val="24"/>
          <w:szCs w:val="24"/>
        </w:rPr>
        <w:t>部位2：第三层</w:t>
      </w:r>
      <w:r>
        <w:rPr>
          <w:rFonts w:hint="eastAsia" w:asciiTheme="minorEastAsia" w:hAnsiTheme="minorEastAsia" w:cstheme="minorEastAsia"/>
          <w:sz w:val="24"/>
          <w:szCs w:val="24"/>
        </w:rPr>
        <w:t>所有空调拆除（空调内外机需留给甲方），留置空调安装位置。</w:t>
      </w:r>
    </w:p>
    <w:p w14:paraId="582A3742">
      <w:pPr>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部位3：</w:t>
      </w:r>
      <w:r>
        <w:rPr>
          <w:rFonts w:hint="eastAsia" w:ascii="宋体" w:hAnsi="宋体" w:cs="宋体"/>
          <w:sz w:val="24"/>
          <w:szCs w:val="24"/>
        </w:rPr>
        <w:t>走道尽头小房间拆除、走道贯通至F轴，走道增设墙体。</w:t>
      </w:r>
    </w:p>
    <w:p w14:paraId="49E49061">
      <w:pPr>
        <w:spacing w:line="360" w:lineRule="auto"/>
        <w:rPr>
          <w:rFonts w:ascii="宋体" w:hAnsi="宋体" w:cs="宋体"/>
          <w:sz w:val="24"/>
          <w:szCs w:val="24"/>
        </w:rPr>
      </w:pPr>
      <w:r>
        <w:rPr>
          <w:rFonts w:hint="eastAsia" w:ascii="宋体" w:hAnsi="宋体" w:cs="宋体"/>
          <w:sz w:val="24"/>
          <w:szCs w:val="24"/>
        </w:rPr>
        <w:t>2、第三层共设计2个套间（1-4轴/B-E轴；</w:t>
      </w:r>
      <w:r>
        <w:rPr>
          <w:rFonts w:hint="eastAsia" w:ascii="宋体" w:hAnsi="宋体" w:cs="宋体"/>
          <w:sz w:val="24"/>
          <w:szCs w:val="24"/>
          <w:lang w:val="en-US" w:eastAsia="zh-CN"/>
        </w:rPr>
        <w:t>8</w:t>
      </w:r>
      <w:r>
        <w:rPr>
          <w:rFonts w:hint="eastAsia" w:ascii="宋体" w:hAnsi="宋体" w:cs="宋体"/>
          <w:sz w:val="24"/>
          <w:szCs w:val="24"/>
        </w:rPr>
        <w:t>-12轴/A-B轴），3个</w:t>
      </w:r>
      <w:r>
        <w:rPr>
          <w:rFonts w:hint="eastAsia" w:asciiTheme="minorEastAsia" w:hAnsiTheme="minorEastAsia" w:cstheme="minorEastAsia"/>
          <w:sz w:val="24"/>
          <w:szCs w:val="24"/>
        </w:rPr>
        <w:t>值班备勤用房</w:t>
      </w:r>
      <w:r>
        <w:rPr>
          <w:rFonts w:hint="eastAsia" w:ascii="宋体" w:hAnsi="宋体" w:cs="宋体"/>
          <w:sz w:val="24"/>
          <w:szCs w:val="24"/>
        </w:rPr>
        <w:t>（6-8轴/A-B轴；4-6轴/A-B轴；2-4轴/A-B轴），布草间和晾衣间各一间（1-2轴/A-B轴）。</w:t>
      </w:r>
    </w:p>
    <w:p w14:paraId="59121D0A">
      <w:pPr>
        <w:spacing w:line="360" w:lineRule="auto"/>
        <w:rPr>
          <w:rFonts w:ascii="宋体" w:hAnsi="宋体" w:cs="宋体"/>
          <w:sz w:val="24"/>
          <w:szCs w:val="24"/>
        </w:rPr>
      </w:pPr>
      <w:r>
        <w:rPr>
          <w:rFonts w:ascii="宋体" w:hAnsi="宋体" w:cs="宋体"/>
          <w:sz w:val="24"/>
          <w:szCs w:val="24"/>
        </w:rPr>
        <w:pict>
          <v:shape id="_x0000_s2056" o:spid="_x0000_s2056" o:spt="75" type="#_x0000_t75" style="position:absolute;left:0pt;margin-left:223.45pt;margin-top:16.1pt;height:66pt;width:72.75pt;z-index:251668480;mso-width-relative:page;mso-height-relative:page;" o:ole="t" filled="f" o:preferrelative="t" stroked="f" coordsize="21600,21600">
            <v:path/>
            <v:fill on="f" focussize="0,0"/>
            <v:stroke on="f" joinstyle="miter"/>
            <v:imagedata r:id="rId20" o:title=""/>
            <o:lock v:ext="edit" aspectratio="t"/>
          </v:shape>
          <o:OLEObject Type="Embed" ProgID="Package" ShapeID="_x0000_s2056" DrawAspect="Icon" ObjectID="_1468075730" r:id="rId19">
            <o:LockedField>false</o:LockedField>
          </o:OLEObject>
        </w:pict>
      </w: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套间标准为一室一厅两卫，值班备勤用房标准为一室一厅一卫，包含必要的厨柜卫浴设施等，风格自拟，主要色系参见附件3色系。</w:t>
      </w:r>
    </w:p>
    <w:p w14:paraId="79E1A085">
      <w:pPr>
        <w:spacing w:line="360" w:lineRule="auto"/>
        <w:rPr>
          <w:rFonts w:ascii="宋体" w:hAnsi="宋体" w:cs="宋体"/>
          <w:sz w:val="24"/>
          <w:szCs w:val="24"/>
        </w:rPr>
      </w:pPr>
    </w:p>
    <w:p w14:paraId="3310B4AB">
      <w:pPr>
        <w:spacing w:line="360" w:lineRule="auto"/>
        <w:rPr>
          <w:rFonts w:ascii="宋体" w:hAnsi="宋体" w:cs="宋体"/>
          <w:sz w:val="24"/>
          <w:szCs w:val="24"/>
        </w:rPr>
      </w:pPr>
      <w:r>
        <w:rPr>
          <w:rFonts w:hint="eastAsia" w:ascii="宋体" w:hAnsi="宋体" w:cs="宋体"/>
          <w:sz w:val="24"/>
          <w:szCs w:val="24"/>
        </w:rPr>
        <w:t>4、第三层原有楼梯间改成保洁室下部空间设计储物柜。</w:t>
      </w:r>
    </w:p>
    <w:p w14:paraId="33C92706">
      <w:pPr>
        <w:pStyle w:val="2"/>
        <w:spacing w:line="360" w:lineRule="auto"/>
        <w:ind w:firstLine="0"/>
        <w:rPr>
          <w:sz w:val="24"/>
          <w:szCs w:val="24"/>
        </w:rPr>
      </w:pPr>
      <w:r>
        <w:rPr>
          <w:rFonts w:hint="eastAsia"/>
          <w:b/>
          <w:bCs/>
          <w:sz w:val="24"/>
          <w:szCs w:val="24"/>
        </w:rPr>
        <w:t>（</w:t>
      </w:r>
      <w:r>
        <w:rPr>
          <w:b/>
          <w:bCs/>
          <w:sz w:val="24"/>
          <w:szCs w:val="24"/>
        </w:rPr>
        <w:t>五</w:t>
      </w:r>
      <w:r>
        <w:rPr>
          <w:rFonts w:hint="eastAsia"/>
          <w:b/>
          <w:bCs/>
          <w:sz w:val="24"/>
          <w:szCs w:val="24"/>
        </w:rPr>
        <w:t>）</w:t>
      </w:r>
      <w:r>
        <w:rPr>
          <w:b/>
          <w:bCs/>
          <w:sz w:val="24"/>
          <w:szCs w:val="24"/>
        </w:rPr>
        <w:t>、</w:t>
      </w:r>
      <w:r>
        <w:rPr>
          <w:sz w:val="24"/>
          <w:szCs w:val="24"/>
        </w:rPr>
        <w:t>第一层贯通后，地砖同色系延伸铺设，整体</w:t>
      </w:r>
      <w:r>
        <w:rPr>
          <w:rFonts w:hint="eastAsia"/>
          <w:sz w:val="24"/>
          <w:szCs w:val="24"/>
        </w:rPr>
        <w:t>第</w:t>
      </w:r>
      <w:r>
        <w:rPr>
          <w:sz w:val="24"/>
          <w:szCs w:val="24"/>
        </w:rPr>
        <w:t>一层吊顶（含照明）拆除后重新安装。墙面出新，开关插座重装。原消防管道位置受影响的需要进行调整。</w:t>
      </w:r>
    </w:p>
    <w:p w14:paraId="775CDC73">
      <w:pPr>
        <w:pStyle w:val="2"/>
        <w:spacing w:line="360" w:lineRule="auto"/>
        <w:ind w:firstLine="0"/>
        <w:rPr>
          <w:sz w:val="24"/>
          <w:szCs w:val="24"/>
        </w:rPr>
      </w:pPr>
      <w:r>
        <w:rPr>
          <w:rFonts w:hint="eastAsia"/>
          <w:b/>
          <w:bCs/>
          <w:sz w:val="24"/>
          <w:szCs w:val="24"/>
        </w:rPr>
        <w:t>（</w:t>
      </w:r>
      <w:r>
        <w:rPr>
          <w:b/>
          <w:bCs/>
          <w:sz w:val="24"/>
          <w:szCs w:val="24"/>
        </w:rPr>
        <w:t>六</w:t>
      </w:r>
      <w:r>
        <w:rPr>
          <w:rFonts w:hint="eastAsia"/>
          <w:b/>
          <w:bCs/>
          <w:sz w:val="24"/>
          <w:szCs w:val="24"/>
        </w:rPr>
        <w:t>）</w:t>
      </w:r>
      <w:r>
        <w:rPr>
          <w:b/>
          <w:bCs/>
          <w:sz w:val="24"/>
          <w:szCs w:val="24"/>
        </w:rPr>
        <w:t>、</w:t>
      </w:r>
      <w:r>
        <w:rPr>
          <w:sz w:val="24"/>
          <w:szCs w:val="24"/>
        </w:rPr>
        <w:t>全部楼梯、走廊区域踢脚线以上部分的墙面及吊顶整体出新，吊顶破损的予以修复。</w:t>
      </w:r>
    </w:p>
    <w:p w14:paraId="7D70A3E8">
      <w:pPr>
        <w:spacing w:line="360" w:lineRule="auto"/>
        <w:rPr>
          <w:rFonts w:ascii="宋体" w:hAnsi="宋体" w:cs="宋体"/>
          <w:b/>
          <w:bCs/>
          <w:sz w:val="24"/>
          <w:szCs w:val="24"/>
        </w:rPr>
      </w:pPr>
      <w:r>
        <w:rPr>
          <w:rFonts w:hint="eastAsia" w:ascii="宋体" w:hAnsi="宋体" w:cs="宋体"/>
          <w:b/>
          <w:bCs/>
          <w:sz w:val="24"/>
          <w:szCs w:val="24"/>
        </w:rPr>
        <w:t>（七）、其他要求：</w:t>
      </w:r>
    </w:p>
    <w:p w14:paraId="216E4AFF">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1</w:t>
      </w:r>
      <w:r>
        <w:rPr>
          <w:rFonts w:asciiTheme="minorEastAsia" w:hAnsiTheme="minorEastAsia" w:cstheme="minorEastAsia"/>
          <w:sz w:val="24"/>
          <w:szCs w:val="24"/>
        </w:rPr>
        <w:t>、</w:t>
      </w:r>
      <w:r>
        <w:rPr>
          <w:rFonts w:hint="eastAsia" w:asciiTheme="minorEastAsia" w:hAnsiTheme="minorEastAsia" w:cstheme="minorEastAsia"/>
          <w:sz w:val="24"/>
          <w:szCs w:val="24"/>
        </w:rPr>
        <w:t>第二层大餐厅及第三层套间安装风管机，设备包含在招标范围内。第二层大餐厅内原有一只立式空调机调整至第一层餐厅安装，由乙方拆移安装。</w:t>
      </w:r>
    </w:p>
    <w:p w14:paraId="34499288">
      <w:pPr>
        <w:spacing w:line="360" w:lineRule="auto"/>
        <w:jc w:val="left"/>
      </w:pPr>
      <w:r>
        <w:rPr>
          <w:rFonts w:hint="eastAsia" w:asciiTheme="minorEastAsia" w:hAnsiTheme="minorEastAsia" w:cstheme="minorEastAsia"/>
          <w:sz w:val="24"/>
          <w:szCs w:val="24"/>
        </w:rPr>
        <w:t>2、第二层小餐厅及第三层</w:t>
      </w:r>
      <w:r>
        <w:rPr>
          <w:rFonts w:hint="eastAsia" w:ascii="宋体" w:hAnsi="宋体" w:cs="宋体"/>
          <w:sz w:val="24"/>
          <w:szCs w:val="24"/>
        </w:rPr>
        <w:t>值班备勤用房</w:t>
      </w:r>
      <w:r>
        <w:rPr>
          <w:rFonts w:hint="eastAsia" w:asciiTheme="minorEastAsia" w:hAnsiTheme="minorEastAsia" w:cstheme="minorEastAsia"/>
          <w:sz w:val="24"/>
          <w:szCs w:val="24"/>
        </w:rPr>
        <w:t>安装挂壁空调，设备甲供。卫生间：电热水器甲供。均由乙方安装。</w:t>
      </w:r>
    </w:p>
    <w:p w14:paraId="4B2AABC7">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3、拆除方案施工单位自行考虑，所有拆除电器设备均归甲方。</w:t>
      </w:r>
    </w:p>
    <w:p w14:paraId="62E45871">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4、消防要满足现行规范要求，确保验收通过。</w:t>
      </w:r>
    </w:p>
    <w:p w14:paraId="0CC406E7">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5、一至三层均需预留弱电、有线等。</w:t>
      </w:r>
    </w:p>
    <w:p w14:paraId="25529CAF">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6、要充分考虑卫生间防水、排水等，雨污水管道需接入室外。</w:t>
      </w:r>
    </w:p>
    <w:p w14:paraId="0210E069">
      <w:pPr>
        <w:spacing w:line="360" w:lineRule="auto"/>
        <w:jc w:val="left"/>
        <w:rPr>
          <w:rFonts w:ascii="宋体" w:hAnsi="宋体" w:cs="宋体"/>
          <w:color w:val="000000"/>
          <w:kern w:val="0"/>
          <w:sz w:val="24"/>
          <w:szCs w:val="24"/>
          <w:lang w:bidi="ar"/>
        </w:rPr>
      </w:pPr>
      <w:r>
        <w:rPr>
          <w:rFonts w:hint="eastAsia" w:asciiTheme="minorEastAsia" w:hAnsiTheme="minorEastAsia" w:cstheme="minorEastAsia"/>
          <w:sz w:val="24"/>
          <w:szCs w:val="24"/>
        </w:rPr>
        <w:t>7</w:t>
      </w:r>
      <w:r>
        <w:rPr>
          <w:rFonts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第</w:t>
      </w:r>
      <w:r>
        <w:rPr>
          <w:rFonts w:hint="eastAsia" w:asciiTheme="minorEastAsia" w:hAnsiTheme="minorEastAsia" w:cstheme="minorEastAsia"/>
          <w:sz w:val="24"/>
          <w:szCs w:val="24"/>
        </w:rPr>
        <w:t>一层餐厅只能停用7天，其余施工期间建设方均需使用。</w:t>
      </w:r>
    </w:p>
    <w:p w14:paraId="170129EA">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（2）施工图设计</w:t>
      </w:r>
    </w:p>
    <w:p w14:paraId="63A4539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2.1专业设计：相关所需报审资料、施工全过程及后期配合服务工作。该工程建筑层数：地上不超过三层，无地下室。具体以发包人要求为准。</w:t>
      </w:r>
    </w:p>
    <w:p w14:paraId="71C5B8D5">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2.2 施工图设计主要内容： </w:t>
      </w:r>
    </w:p>
    <w:p w14:paraId="22E4D38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①设计说明； </w:t>
      </w:r>
    </w:p>
    <w:p w14:paraId="09F59228">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②效果图、总平面施工图，单体建筑全套平、立、剖、专业设计； </w:t>
      </w:r>
    </w:p>
    <w:p w14:paraId="5310E0B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③单体建筑各层平面布置图； </w:t>
      </w:r>
    </w:p>
    <w:p w14:paraId="3B3A2A38">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④相关设施设备定位图及相关范围内的建筑设备施工图； </w:t>
      </w:r>
    </w:p>
    <w:p w14:paraId="639BF96F">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⑤主要节点详图； </w:t>
      </w:r>
    </w:p>
    <w:p w14:paraId="10323CE5">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⑥满足相关部门审批审查要求，符合招投标及施工图纸要求； </w:t>
      </w:r>
    </w:p>
    <w:p w14:paraId="5BA3280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⑦提供设计概算书；</w:t>
      </w:r>
    </w:p>
    <w:p w14:paraId="21595C7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2.3</w:t>
      </w:r>
      <w:r>
        <w:rPr>
          <w:rFonts w:hint="eastAsia" w:ascii="宋体" w:hAnsi="宋体" w:cs="宋体"/>
          <w:kern w:val="0"/>
          <w:sz w:val="24"/>
          <w:szCs w:val="24"/>
          <w:lang w:bidi="ar"/>
        </w:rPr>
        <w:t>设计成果包括文本文件、设计图纸及相应的电子版文件，需通过宜兴市审图中心审查，满足消防验收要求。设计成果知识产权归属发包人。</w:t>
      </w:r>
    </w:p>
    <w:p w14:paraId="53C7FC0B">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3、清单编制。</w:t>
      </w:r>
    </w:p>
    <w:p w14:paraId="0B6D65E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4、工程施工，工程质量合格，并按规定提供质保。</w:t>
      </w:r>
    </w:p>
    <w:p w14:paraId="75453A0E">
      <w:pPr>
        <w:widowControl/>
        <w:spacing w:line="360" w:lineRule="auto"/>
        <w:ind w:firstLine="482" w:firstLineChars="200"/>
        <w:jc w:val="left"/>
        <w:rPr>
          <w:rFonts w:ascii="宋体" w:hAnsi="宋体" w:cs="宋体"/>
        </w:rPr>
      </w:pPr>
      <w:r>
        <w:rPr>
          <w:rFonts w:hint="eastAsia" w:ascii="宋体" w:hAnsi="宋体" w:cs="宋体"/>
          <w:b/>
          <w:bCs/>
          <w:color w:val="000000"/>
          <w:kern w:val="0"/>
          <w:sz w:val="24"/>
          <w:szCs w:val="24"/>
          <w:lang w:bidi="ar"/>
        </w:rPr>
        <w:t xml:space="preserve">三、项目依据 </w:t>
      </w:r>
    </w:p>
    <w:p w14:paraId="127F726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1、江苏省戒毒局批文的概算。 </w:t>
      </w:r>
    </w:p>
    <w:p w14:paraId="7BA48C4F">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2、国家、地方及行业现行相关设计法规、规范、规定、验收标准等。 </w:t>
      </w:r>
    </w:p>
    <w:p w14:paraId="1903FF90">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3、宜兴强制隔离戒毒所配餐中心原图纸，一至三层区域布置图（仅作参考)。 </w:t>
      </w:r>
    </w:p>
    <w:p w14:paraId="616B71C5">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lang w:bidi="ar"/>
        </w:rPr>
        <w:t xml:space="preserve">四、工期 </w:t>
      </w:r>
    </w:p>
    <w:p w14:paraId="1E6FF44A">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1、在接到甲方中标通知后15个工作日内提交正式图纸，同时提交审图中心审图。</w:t>
      </w:r>
    </w:p>
    <w:p w14:paraId="43B89119">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注：以上各阶段的资料及文件，都要提供电子版与规定份数的纸质档图纸。 </w:t>
      </w:r>
    </w:p>
    <w:p w14:paraId="0D58C274">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2、通过审图后7个工作日内完成清单编制。</w:t>
      </w:r>
    </w:p>
    <w:p w14:paraId="5C441283">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3、施工工期50个日历天，开工时间以监理开工令为准。</w:t>
      </w:r>
    </w:p>
    <w:p w14:paraId="1EF4E6CB">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lang w:bidi="ar"/>
        </w:rPr>
        <w:t xml:space="preserve">五、质量标准 </w:t>
      </w:r>
    </w:p>
    <w:p w14:paraId="0374891D">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lang w:bidi="ar"/>
        </w:rPr>
        <w:t>施工图符合国家相关规范标准并通过宜兴市审图中心审查。工程质量不低于国家相关验收的合格标准。</w:t>
      </w:r>
    </w:p>
    <w:p w14:paraId="7ED25D45">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lang w:bidi="ar"/>
        </w:rPr>
        <w:t xml:space="preserve">六、工程款支付 </w:t>
      </w:r>
    </w:p>
    <w:p w14:paraId="47AAD403">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完成施工图设计并通过审图后7个工作日内，支付合同价的5%。监理签发开工令后7个工作日内支付合同价的10%。 通过竣工验收后7个工作日内支付合同价的</w:t>
      </w:r>
      <w:r>
        <w:rPr>
          <w:rFonts w:hint="eastAsia" w:ascii="宋体" w:hAnsi="宋体" w:cs="宋体"/>
          <w:color w:val="000000"/>
          <w:kern w:val="0"/>
          <w:sz w:val="24"/>
          <w:szCs w:val="24"/>
          <w:lang w:val="en-US" w:eastAsia="zh-CN" w:bidi="ar"/>
        </w:rPr>
        <w:t>65</w:t>
      </w:r>
      <w:r>
        <w:rPr>
          <w:rFonts w:hint="eastAsia" w:ascii="宋体" w:hAnsi="宋体" w:cs="宋体"/>
          <w:color w:val="000000"/>
          <w:kern w:val="0"/>
          <w:sz w:val="24"/>
          <w:szCs w:val="24"/>
          <w:lang w:bidi="ar"/>
        </w:rPr>
        <w:t>%。完成结算审计后7个工作日内支付至审定价的97%。余款在质保期满后一次性支付。</w:t>
      </w:r>
    </w:p>
    <w:p w14:paraId="36943B62">
      <w:pPr>
        <w:pStyle w:val="2"/>
        <w:spacing w:line="360" w:lineRule="auto"/>
        <w:ind w:firstLine="480" w:firstLineChars="200"/>
        <w:rPr>
          <w:rFonts w:hAnsi="宋体" w:cs="宋体"/>
          <w:sz w:val="24"/>
          <w:szCs w:val="24"/>
        </w:rPr>
      </w:pPr>
      <w:r>
        <w:rPr>
          <w:rFonts w:hint="eastAsia" w:hAnsi="宋体" w:cs="宋体"/>
          <w:color w:val="000000"/>
          <w:sz w:val="24"/>
          <w:szCs w:val="24"/>
          <w:lang w:bidi="ar"/>
        </w:rPr>
        <w:t>每次支付工程款时，承包人必须提供符合要求的增值税发票，否则迟延付款的责任由承包人自行承担。如投标单位为联合体，工程款支付方式由发包人支付给联合体牵头单位，联合体牵头单位提供符合要求的增值税发票。</w:t>
      </w:r>
    </w:p>
    <w:p w14:paraId="662FC70B">
      <w:pPr>
        <w:widowControl/>
        <w:spacing w:line="360" w:lineRule="auto"/>
        <w:ind w:left="100" w:firstLine="482" w:firstLineChars="200"/>
        <w:jc w:val="left"/>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七、履约保证金</w:t>
      </w:r>
    </w:p>
    <w:p w14:paraId="769A8E5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中标单位在签订合同后10个工作日内缴纳合同价10%的履约保证金，</w:t>
      </w:r>
      <w:r>
        <w:rPr>
          <w:rFonts w:hint="eastAsia" w:ascii="宋体" w:hAnsi="宋体" w:cs="宋体"/>
          <w:color w:val="000000"/>
          <w:kern w:val="0"/>
          <w:sz w:val="24"/>
          <w:szCs w:val="24"/>
          <w:lang w:val="en-US" w:eastAsia="zh-CN" w:bidi="ar"/>
        </w:rPr>
        <w:t>项目</w:t>
      </w:r>
      <w:r>
        <w:rPr>
          <w:rFonts w:hint="eastAsia" w:ascii="宋体" w:hAnsi="宋体" w:cs="宋体"/>
          <w:color w:val="000000"/>
          <w:kern w:val="0"/>
          <w:sz w:val="24"/>
          <w:szCs w:val="24"/>
          <w:lang w:eastAsia="zh-CN" w:bidi="ar"/>
        </w:rPr>
        <w:t>验收合格后</w:t>
      </w:r>
      <w:r>
        <w:rPr>
          <w:rFonts w:hint="eastAsia" w:ascii="宋体" w:hAnsi="宋体" w:cs="宋体"/>
          <w:color w:val="000000"/>
          <w:kern w:val="0"/>
          <w:sz w:val="24"/>
          <w:szCs w:val="24"/>
          <w:lang w:val="en-US" w:eastAsia="zh-CN" w:bidi="ar"/>
        </w:rPr>
        <w:t>30日内一次性退还</w:t>
      </w:r>
      <w:r>
        <w:rPr>
          <w:rFonts w:hint="eastAsia" w:ascii="宋体" w:hAnsi="宋体" w:cs="宋体"/>
          <w:color w:val="000000"/>
          <w:kern w:val="0"/>
          <w:sz w:val="24"/>
          <w:szCs w:val="24"/>
          <w:lang w:bidi="ar"/>
        </w:rPr>
        <w:t>，不计利息。</w:t>
      </w:r>
    </w:p>
    <w:p w14:paraId="6E61F612">
      <w:pPr>
        <w:widowControl/>
        <w:numPr>
          <w:ilvl w:val="0"/>
          <w:numId w:val="20"/>
        </w:numPr>
        <w:spacing w:line="360" w:lineRule="auto"/>
        <w:ind w:left="100" w:firstLine="482" w:firstLineChars="200"/>
        <w:jc w:val="left"/>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其他</w:t>
      </w:r>
    </w:p>
    <w:p w14:paraId="05B395ED">
      <w:pPr>
        <w:widowControl/>
        <w:spacing w:line="360" w:lineRule="auto"/>
        <w:ind w:firstLine="480" w:firstLineChars="200"/>
        <w:jc w:val="left"/>
        <w:rPr>
          <w:rFonts w:hint="eastAsia" w:ascii="宋体" w:hAnsi="宋体" w:eastAsia="宋体" w:cs="宋体"/>
          <w:color w:val="000000"/>
          <w:kern w:val="0"/>
          <w:sz w:val="24"/>
          <w:szCs w:val="24"/>
          <w:highlight w:val="yellow"/>
          <w:lang w:eastAsia="zh-CN" w:bidi="ar"/>
        </w:rPr>
      </w:pPr>
      <w:r>
        <w:rPr>
          <w:rFonts w:hint="eastAsia" w:ascii="宋体" w:hAnsi="宋体" w:cs="宋体"/>
          <w:color w:val="000000"/>
          <w:kern w:val="0"/>
          <w:sz w:val="24"/>
          <w:szCs w:val="24"/>
          <w:lang w:bidi="ar"/>
        </w:rPr>
        <w:t>1、本项目组织统一踏勘，踏勘结束后举行投标预备会。时间：详见招标公告   集中地点：江苏省宜兴强制隔离戒毒所</w:t>
      </w:r>
      <w:r>
        <w:rPr>
          <w:rFonts w:hint="eastAsia" w:ascii="宋体" w:hAnsi="宋体" w:cs="宋体"/>
          <w:color w:val="000000"/>
          <w:kern w:val="0"/>
          <w:sz w:val="24"/>
          <w:szCs w:val="24"/>
          <w:lang w:val="en-US" w:eastAsia="zh-CN" w:bidi="ar"/>
        </w:rPr>
        <w:t>大门口</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宜兴市丁蜀镇洑东村成家浜188号</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 xml:space="preserve">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联系电话</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0510-87467828</w:t>
      </w:r>
      <w:r>
        <w:rPr>
          <w:rFonts w:hint="eastAsia" w:ascii="宋体" w:hAnsi="宋体" w:cs="宋体"/>
          <w:color w:val="000000"/>
          <w:kern w:val="0"/>
          <w:sz w:val="24"/>
          <w:szCs w:val="24"/>
          <w:lang w:eastAsia="zh-CN" w:bidi="ar"/>
        </w:rPr>
        <w:t>。</w:t>
      </w:r>
    </w:p>
    <w:p w14:paraId="035248BA">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未踏勘现场或踏勘工作不详细的投标人中标后，不得以不完全了解现场情况为理由而向采购人提出任何索赔或其他要求，对此采购人不承担任何责任并将不作任何答复。  </w:t>
      </w:r>
    </w:p>
    <w:p w14:paraId="1836143D">
      <w:pPr>
        <w:pStyle w:val="20"/>
        <w:numPr>
          <w:ilvl w:val="0"/>
          <w:numId w:val="21"/>
        </w:numPr>
        <w:spacing w:line="360" w:lineRule="auto"/>
        <w:ind w:left="0" w:leftChars="0" w:firstLine="480"/>
        <w:rPr>
          <w:rFonts w:ascii="宋体" w:hAnsi="宋体" w:cs="宋体"/>
          <w:color w:val="000000"/>
          <w:kern w:val="0"/>
          <w:sz w:val="24"/>
          <w:szCs w:val="24"/>
          <w:lang w:bidi="ar"/>
        </w:rPr>
      </w:pPr>
      <w:r>
        <w:rPr>
          <w:rFonts w:ascii="宋体" w:hAnsi="宋体" w:cs="宋体"/>
          <w:color w:val="000000"/>
          <w:kern w:val="0"/>
          <w:sz w:val="24"/>
          <w:szCs w:val="24"/>
          <w:lang w:bidi="ar"/>
        </w:rPr>
        <w:t>本项目</w:t>
      </w:r>
      <w:r>
        <w:rPr>
          <w:rFonts w:hint="eastAsia" w:ascii="宋体" w:hAnsi="宋体" w:cs="宋体"/>
          <w:color w:val="000000"/>
          <w:kern w:val="0"/>
          <w:sz w:val="24"/>
          <w:szCs w:val="24"/>
          <w:lang w:bidi="ar"/>
        </w:rPr>
        <w:t>对于未中标单位</w:t>
      </w:r>
      <w:r>
        <w:rPr>
          <w:rFonts w:ascii="宋体" w:hAnsi="宋体" w:cs="宋体"/>
          <w:color w:val="000000"/>
          <w:kern w:val="0"/>
          <w:sz w:val="24"/>
          <w:szCs w:val="24"/>
          <w:lang w:bidi="ar"/>
        </w:rPr>
        <w:t>不提供设计成果补偿。</w:t>
      </w:r>
    </w:p>
    <w:p w14:paraId="7B1FDB5E">
      <w:pPr>
        <w:pStyle w:val="20"/>
        <w:numPr>
          <w:ilvl w:val="0"/>
          <w:numId w:val="21"/>
        </w:numPr>
        <w:spacing w:line="360" w:lineRule="auto"/>
        <w:ind w:left="0" w:leftChars="0" w:firstLine="480"/>
        <w:rPr>
          <w:rFonts w:ascii="宋体" w:hAnsi="宋体" w:cs="宋体"/>
          <w:color w:val="000000"/>
          <w:kern w:val="0"/>
          <w:sz w:val="24"/>
          <w:szCs w:val="24"/>
          <w:lang w:bidi="ar"/>
        </w:rPr>
      </w:pPr>
      <w:r>
        <w:rPr>
          <w:rFonts w:ascii="宋体" w:hAnsi="宋体" w:cs="宋体"/>
          <w:color w:val="000000"/>
          <w:kern w:val="0"/>
          <w:sz w:val="24"/>
          <w:szCs w:val="24"/>
          <w:lang w:bidi="ar"/>
        </w:rPr>
        <w:t>工程竣工结算要接受发包人委托的审计单位审计。</w:t>
      </w:r>
    </w:p>
    <w:p w14:paraId="58EA941F">
      <w:pPr>
        <w:pStyle w:val="20"/>
        <w:spacing w:line="360" w:lineRule="auto"/>
        <w:ind w:firstLine="0" w:firstLineChars="0"/>
        <w:rPr>
          <w:rFonts w:ascii="宋体" w:hAnsi="宋体" w:cs="宋体"/>
          <w:color w:val="000000"/>
          <w:kern w:val="0"/>
          <w:sz w:val="24"/>
          <w:szCs w:val="24"/>
          <w:lang w:bidi="ar"/>
        </w:rPr>
      </w:pPr>
      <w:r>
        <w:rPr>
          <w:rFonts w:ascii="宋体" w:hAnsi="宋体" w:cs="宋体"/>
          <w:color w:val="000000"/>
          <w:kern w:val="0"/>
          <w:sz w:val="24"/>
          <w:szCs w:val="24"/>
          <w:lang w:bidi="ar"/>
        </w:rPr>
        <w:t>（1）单项工程核减率（核减额与送审总价之比，下同）超过10%的，其审计费用全部由</w:t>
      </w:r>
      <w:r>
        <w:rPr>
          <w:rFonts w:hint="eastAsia" w:ascii="宋体" w:hAnsi="宋体" w:cs="宋体"/>
          <w:color w:val="000000"/>
          <w:kern w:val="0"/>
          <w:sz w:val="24"/>
          <w:szCs w:val="24"/>
          <w:lang w:bidi="ar"/>
        </w:rPr>
        <w:t>承包人</w:t>
      </w:r>
      <w:r>
        <w:rPr>
          <w:rFonts w:ascii="宋体" w:hAnsi="宋体" w:cs="宋体"/>
          <w:color w:val="000000"/>
          <w:kern w:val="0"/>
          <w:sz w:val="24"/>
          <w:szCs w:val="24"/>
          <w:lang w:bidi="ar"/>
        </w:rPr>
        <w:t>承担；</w:t>
      </w:r>
    </w:p>
    <w:p w14:paraId="312CA7A8">
      <w:pPr>
        <w:pStyle w:val="20"/>
        <w:spacing w:line="360" w:lineRule="auto"/>
        <w:ind w:firstLine="0" w:firstLineChars="0"/>
        <w:rPr>
          <w:rFonts w:ascii="宋体" w:hAnsi="宋体" w:cs="宋体"/>
          <w:color w:val="000000"/>
          <w:kern w:val="0"/>
          <w:sz w:val="24"/>
          <w:szCs w:val="24"/>
          <w:lang w:bidi="ar"/>
        </w:rPr>
      </w:pPr>
      <w:r>
        <w:rPr>
          <w:rFonts w:ascii="宋体" w:hAnsi="宋体" w:cs="宋体"/>
          <w:color w:val="000000"/>
          <w:kern w:val="0"/>
          <w:sz w:val="24"/>
          <w:szCs w:val="24"/>
          <w:lang w:bidi="ar"/>
        </w:rPr>
        <w:t>（2）单项工程核减率在</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%—10%（含10%）之间的，其审计费用由</w:t>
      </w:r>
      <w:r>
        <w:rPr>
          <w:rFonts w:hint="eastAsia" w:ascii="宋体" w:hAnsi="宋体" w:cs="宋体"/>
          <w:color w:val="000000"/>
          <w:kern w:val="0"/>
          <w:sz w:val="24"/>
          <w:szCs w:val="24"/>
          <w:lang w:bidi="ar"/>
        </w:rPr>
        <w:t>承包</w:t>
      </w:r>
      <w:r>
        <w:rPr>
          <w:rFonts w:ascii="宋体" w:hAnsi="宋体" w:cs="宋体"/>
          <w:color w:val="000000"/>
          <w:kern w:val="0"/>
          <w:sz w:val="24"/>
          <w:szCs w:val="24"/>
          <w:lang w:bidi="ar"/>
        </w:rPr>
        <w:t>人承担</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0%，</w:t>
      </w:r>
      <w:r>
        <w:rPr>
          <w:rFonts w:hint="eastAsia" w:ascii="宋体" w:hAnsi="宋体" w:cs="宋体"/>
          <w:color w:val="000000"/>
          <w:kern w:val="0"/>
          <w:sz w:val="24"/>
          <w:szCs w:val="24"/>
          <w:lang w:bidi="ar"/>
        </w:rPr>
        <w:t>发包人</w:t>
      </w:r>
      <w:r>
        <w:rPr>
          <w:rFonts w:ascii="宋体" w:hAnsi="宋体" w:cs="宋体"/>
          <w:color w:val="000000"/>
          <w:kern w:val="0"/>
          <w:sz w:val="24"/>
          <w:szCs w:val="24"/>
          <w:lang w:bidi="ar"/>
        </w:rPr>
        <w:t>承担</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0%；</w:t>
      </w:r>
    </w:p>
    <w:p w14:paraId="5424C33D">
      <w:pPr>
        <w:pStyle w:val="20"/>
        <w:spacing w:line="360" w:lineRule="auto"/>
        <w:ind w:firstLine="0" w:firstLineChars="0"/>
        <w:rPr>
          <w:rFonts w:ascii="宋体" w:hAnsi="宋体" w:cs="宋体"/>
          <w:color w:val="000000"/>
          <w:kern w:val="0"/>
          <w:sz w:val="24"/>
          <w:szCs w:val="24"/>
          <w:lang w:bidi="ar"/>
        </w:rPr>
      </w:pPr>
      <w:r>
        <w:rPr>
          <w:rFonts w:ascii="宋体" w:hAnsi="宋体" w:cs="宋体"/>
          <w:color w:val="000000"/>
          <w:kern w:val="0"/>
          <w:sz w:val="24"/>
          <w:szCs w:val="24"/>
          <w:lang w:bidi="ar"/>
        </w:rPr>
        <w:t>（</w:t>
      </w:r>
      <w:r>
        <w:rPr>
          <w:rFonts w:hint="eastAsia" w:ascii="宋体" w:hAnsi="宋体" w:cs="宋体"/>
          <w:color w:val="000000"/>
          <w:kern w:val="0"/>
          <w:sz w:val="24"/>
          <w:szCs w:val="24"/>
          <w:lang w:bidi="ar"/>
        </w:rPr>
        <w:t>3</w:t>
      </w:r>
      <w:r>
        <w:rPr>
          <w:rFonts w:ascii="宋体" w:hAnsi="宋体" w:cs="宋体"/>
          <w:color w:val="000000"/>
          <w:kern w:val="0"/>
          <w:sz w:val="24"/>
          <w:szCs w:val="24"/>
          <w:lang w:bidi="ar"/>
        </w:rPr>
        <w:t>）单项工程核减率在5%及其以下的，其审计费用由</w:t>
      </w:r>
      <w:r>
        <w:rPr>
          <w:rFonts w:hint="eastAsia" w:ascii="宋体" w:hAnsi="宋体" w:cs="宋体"/>
          <w:color w:val="000000"/>
          <w:kern w:val="0"/>
          <w:sz w:val="24"/>
          <w:szCs w:val="24"/>
          <w:lang w:bidi="ar"/>
        </w:rPr>
        <w:t>发包</w:t>
      </w:r>
      <w:r>
        <w:rPr>
          <w:rFonts w:ascii="宋体" w:hAnsi="宋体" w:cs="宋体"/>
          <w:color w:val="000000"/>
          <w:kern w:val="0"/>
          <w:sz w:val="24"/>
          <w:szCs w:val="24"/>
          <w:lang w:bidi="ar"/>
        </w:rPr>
        <w:t>人承担。</w:t>
      </w:r>
    </w:p>
    <w:p w14:paraId="1FE9700A">
      <w:pPr>
        <w:pStyle w:val="20"/>
        <w:spacing w:line="360" w:lineRule="auto"/>
        <w:ind w:left="0" w:leftChars="0" w:firstLine="0" w:firstLineChars="0"/>
        <w:rPr>
          <w:rFonts w:ascii="宋体" w:hAnsi="宋体" w:cs="宋体"/>
          <w:color w:val="000000"/>
          <w:kern w:val="0"/>
          <w:sz w:val="24"/>
          <w:szCs w:val="24"/>
          <w:lang w:bidi="ar"/>
        </w:rPr>
      </w:pPr>
    </w:p>
    <w:p w14:paraId="1C9ACD17">
      <w:pPr>
        <w:rPr>
          <w:rFonts w:ascii="黑体" w:hAnsi="黑体" w:eastAsia="黑体"/>
          <w:sz w:val="28"/>
        </w:rPr>
      </w:pPr>
      <w:r>
        <w:rPr>
          <w:rFonts w:hint="eastAsia" w:ascii="黑体" w:hAnsi="黑体" w:eastAsia="黑体"/>
          <w:sz w:val="28"/>
        </w:rPr>
        <w:br w:type="page"/>
      </w:r>
    </w:p>
    <w:bookmarkEnd w:id="60"/>
    <w:p w14:paraId="544EAF7D">
      <w:pPr>
        <w:jc w:val="center"/>
        <w:outlineLvl w:val="0"/>
        <w:rPr>
          <w:rFonts w:ascii="黑体" w:hAnsi="黑体" w:eastAsia="黑体"/>
          <w:sz w:val="28"/>
        </w:rPr>
      </w:pPr>
      <w:bookmarkStart w:id="61" w:name="_Toc3082"/>
      <w:bookmarkStart w:id="62" w:name="_Toc52205519"/>
      <w:bookmarkStart w:id="63" w:name="_Toc28733"/>
      <w:r>
        <w:rPr>
          <w:rFonts w:hint="eastAsia" w:ascii="黑体" w:hAnsi="黑体" w:eastAsia="黑体"/>
          <w:sz w:val="28"/>
        </w:rPr>
        <w:t>第五章 合同书（格式文本）</w:t>
      </w:r>
      <w:bookmarkStart w:id="64" w:name="OLE_LINK154"/>
    </w:p>
    <w:bookmarkEnd w:id="64"/>
    <w:p w14:paraId="53CB1A96">
      <w:pPr>
        <w:spacing w:line="360" w:lineRule="auto"/>
        <w:ind w:firstLine="562" w:firstLineChars="200"/>
        <w:rPr>
          <w:rFonts w:ascii="宋体" w:hAnsi="宋体"/>
          <w:b/>
          <w:sz w:val="28"/>
          <w:szCs w:val="28"/>
          <w:lang w:val="zh-CN"/>
        </w:rPr>
      </w:pPr>
    </w:p>
    <w:p w14:paraId="3C455C82">
      <w:pPr>
        <w:spacing w:line="360" w:lineRule="auto"/>
        <w:ind w:firstLine="480" w:firstLineChars="200"/>
        <w:rPr>
          <w:rFonts w:ascii="宋体" w:hAnsi="宋体" w:cs="宋体"/>
          <w:color w:val="000000"/>
          <w:sz w:val="24"/>
          <w:szCs w:val="24"/>
          <w:u w:val="single"/>
        </w:rPr>
      </w:pPr>
      <w:r>
        <w:rPr>
          <w:rFonts w:hint="eastAsia" w:ascii="宋体" w:hAnsi="宋体" w:cs="宋体"/>
          <w:color w:val="000000"/>
          <w:sz w:val="24"/>
          <w:szCs w:val="24"/>
        </w:rPr>
        <w:t>发包人（全称）：</w:t>
      </w:r>
      <w:r>
        <w:rPr>
          <w:rFonts w:hint="eastAsia" w:ascii="宋体" w:hAnsi="宋体" w:cs="宋体"/>
          <w:color w:val="000000"/>
          <w:sz w:val="24"/>
          <w:szCs w:val="24"/>
          <w:u w:val="single"/>
        </w:rPr>
        <w:t xml:space="preserve">                                    </w:t>
      </w:r>
    </w:p>
    <w:p w14:paraId="74313A19">
      <w:pPr>
        <w:spacing w:line="360" w:lineRule="auto"/>
        <w:ind w:firstLine="480"/>
        <w:rPr>
          <w:rFonts w:ascii="宋体" w:hAnsi="宋体" w:cs="宋体"/>
          <w:color w:val="000000"/>
          <w:sz w:val="24"/>
          <w:szCs w:val="24"/>
        </w:rPr>
      </w:pPr>
      <w:r>
        <w:rPr>
          <w:rFonts w:hint="eastAsia" w:ascii="宋体" w:hAnsi="宋体" w:cs="宋体"/>
          <w:color w:val="000000"/>
          <w:sz w:val="24"/>
          <w:szCs w:val="24"/>
        </w:rPr>
        <w:t>承包人（全称）：</w:t>
      </w:r>
      <w:r>
        <w:rPr>
          <w:rFonts w:hint="eastAsia" w:ascii="宋体" w:hAnsi="宋体" w:cs="宋体"/>
          <w:color w:val="000000"/>
          <w:sz w:val="24"/>
          <w:szCs w:val="24"/>
          <w:u w:val="single"/>
        </w:rPr>
        <w:t xml:space="preserve">                                    </w:t>
      </w:r>
    </w:p>
    <w:p w14:paraId="3E5D475E">
      <w:pPr>
        <w:spacing w:line="360" w:lineRule="auto"/>
        <w:ind w:firstLine="480"/>
        <w:rPr>
          <w:rFonts w:ascii="宋体" w:hAnsi="宋体" w:cs="宋体"/>
          <w:color w:val="000000"/>
          <w:sz w:val="24"/>
          <w:szCs w:val="24"/>
        </w:rPr>
      </w:pPr>
      <w:r>
        <w:rPr>
          <w:rFonts w:hint="eastAsia" w:ascii="宋体" w:hAnsi="宋体" w:cs="宋体"/>
          <w:color w:val="000000"/>
          <w:sz w:val="24"/>
          <w:szCs w:val="24"/>
        </w:rPr>
        <w:t>根据《中华人民共和国民法典》、《中华人民共和国建筑法》及有关法律规定，遵循平等、自愿、公平和诚实信用的原则，双方就</w:t>
      </w:r>
      <w:r>
        <w:rPr>
          <w:rFonts w:hint="eastAsia" w:ascii="宋体" w:hAnsi="宋体" w:cs="宋体"/>
          <w:color w:val="000000"/>
          <w:sz w:val="24"/>
          <w:szCs w:val="24"/>
          <w:u w:val="single"/>
        </w:rPr>
        <w:t xml:space="preserve">             </w:t>
      </w:r>
      <w:r>
        <w:rPr>
          <w:rFonts w:hint="eastAsia" w:ascii="宋体" w:hAnsi="宋体" w:cs="宋体"/>
          <w:color w:val="000000"/>
          <w:sz w:val="24"/>
          <w:szCs w:val="24"/>
        </w:rPr>
        <w:t>项目的工程总承包及有关事项协商一致，共同达成如下协议：</w:t>
      </w:r>
    </w:p>
    <w:p w14:paraId="0A21AF90">
      <w:pPr>
        <w:pStyle w:val="52"/>
        <w:numPr>
          <w:ilvl w:val="0"/>
          <w:numId w:val="0"/>
        </w:numPr>
        <w:spacing w:after="0"/>
        <w:ind w:firstLine="480"/>
        <w:rPr>
          <w:rFonts w:cs="宋体"/>
          <w:b w:val="0"/>
          <w:bCs/>
          <w:color w:val="000000"/>
          <w:szCs w:val="24"/>
        </w:rPr>
      </w:pPr>
      <w:bookmarkStart w:id="65" w:name="_Toc54862165"/>
      <w:r>
        <w:rPr>
          <w:rFonts w:hint="eastAsia" w:cs="宋体"/>
          <w:b w:val="0"/>
          <w:bCs/>
          <w:color w:val="000000"/>
          <w:szCs w:val="24"/>
        </w:rPr>
        <w:t>一、工程概况</w:t>
      </w:r>
      <w:bookmarkEnd w:id="65"/>
    </w:p>
    <w:p w14:paraId="563B45CD">
      <w:pPr>
        <w:spacing w:line="360" w:lineRule="auto"/>
        <w:ind w:firstLine="480"/>
        <w:rPr>
          <w:rFonts w:ascii="宋体" w:hAnsi="宋体" w:cs="宋体"/>
          <w:color w:val="000000"/>
          <w:sz w:val="24"/>
          <w:szCs w:val="24"/>
        </w:rPr>
      </w:pPr>
      <w:r>
        <w:rPr>
          <w:rFonts w:hint="eastAsia" w:ascii="宋体" w:hAnsi="宋体" w:cs="宋体"/>
          <w:color w:val="000000"/>
          <w:sz w:val="24"/>
          <w:szCs w:val="24"/>
        </w:rPr>
        <w:t>1. 工程名称：</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019A06A">
      <w:pPr>
        <w:spacing w:line="360" w:lineRule="auto"/>
        <w:ind w:firstLine="480"/>
        <w:rPr>
          <w:rFonts w:ascii="宋体" w:hAnsi="宋体" w:cs="宋体"/>
          <w:color w:val="000000"/>
          <w:sz w:val="24"/>
          <w:szCs w:val="24"/>
        </w:rPr>
      </w:pPr>
      <w:r>
        <w:rPr>
          <w:rFonts w:hint="eastAsia" w:ascii="宋体" w:hAnsi="宋体" w:cs="宋体"/>
          <w:color w:val="000000"/>
          <w:sz w:val="24"/>
          <w:szCs w:val="24"/>
        </w:rPr>
        <w:t>2. 工程地点：</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62EE28F">
      <w:pPr>
        <w:spacing w:line="360" w:lineRule="auto"/>
        <w:ind w:firstLine="480"/>
        <w:rPr>
          <w:rFonts w:ascii="宋体" w:hAnsi="宋体" w:cs="宋体"/>
          <w:color w:val="000000"/>
          <w:sz w:val="24"/>
          <w:szCs w:val="24"/>
        </w:rPr>
      </w:pPr>
      <w:r>
        <w:rPr>
          <w:rFonts w:hint="eastAsia" w:ascii="宋体" w:hAnsi="宋体" w:cs="宋体"/>
          <w:color w:val="000000"/>
          <w:sz w:val="24"/>
          <w:szCs w:val="24"/>
        </w:rPr>
        <w:t>3. 工程审批、核准或备案文号：</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5153EA6">
      <w:pPr>
        <w:spacing w:line="360" w:lineRule="auto"/>
        <w:ind w:firstLine="480"/>
        <w:rPr>
          <w:rFonts w:ascii="宋体" w:hAnsi="宋体" w:cs="宋体"/>
          <w:color w:val="000000"/>
          <w:sz w:val="24"/>
          <w:szCs w:val="24"/>
        </w:rPr>
      </w:pPr>
      <w:r>
        <w:rPr>
          <w:rFonts w:hint="eastAsia" w:ascii="宋体" w:hAnsi="宋体" w:cs="宋体"/>
          <w:color w:val="000000"/>
          <w:sz w:val="24"/>
          <w:szCs w:val="24"/>
        </w:rPr>
        <w:t>4. 资金来源：</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5ACD041">
      <w:pPr>
        <w:spacing w:line="360" w:lineRule="auto"/>
        <w:ind w:firstLine="480"/>
        <w:rPr>
          <w:rFonts w:ascii="宋体" w:hAnsi="宋体" w:cs="宋体"/>
          <w:color w:val="000000"/>
          <w:sz w:val="24"/>
          <w:szCs w:val="24"/>
        </w:rPr>
      </w:pPr>
      <w:r>
        <w:rPr>
          <w:rFonts w:hint="eastAsia" w:ascii="宋体" w:hAnsi="宋体" w:cs="宋体"/>
          <w:color w:val="000000"/>
          <w:sz w:val="24"/>
          <w:szCs w:val="24"/>
        </w:rPr>
        <w:t>5. 工程内容及规模：</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2A8884E1">
      <w:pPr>
        <w:spacing w:line="360" w:lineRule="auto"/>
        <w:ind w:firstLine="480"/>
        <w:rPr>
          <w:rFonts w:ascii="宋体" w:hAnsi="宋体" w:cs="宋体"/>
          <w:color w:val="000000"/>
          <w:sz w:val="24"/>
          <w:szCs w:val="24"/>
        </w:rPr>
      </w:pPr>
      <w:r>
        <w:rPr>
          <w:rFonts w:hint="eastAsia" w:ascii="宋体" w:hAnsi="宋体" w:cs="宋体"/>
          <w:color w:val="000000"/>
          <w:sz w:val="24"/>
          <w:szCs w:val="24"/>
        </w:rPr>
        <w:t>6. 工程承包范围：</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F087B72">
      <w:pPr>
        <w:pStyle w:val="52"/>
        <w:numPr>
          <w:ilvl w:val="0"/>
          <w:numId w:val="0"/>
        </w:numPr>
        <w:spacing w:after="0"/>
        <w:ind w:firstLine="480"/>
        <w:rPr>
          <w:rFonts w:cs="宋体"/>
          <w:b w:val="0"/>
          <w:bCs/>
          <w:color w:val="000000"/>
          <w:szCs w:val="24"/>
        </w:rPr>
      </w:pPr>
      <w:bookmarkStart w:id="66" w:name="_Toc54862166"/>
      <w:r>
        <w:rPr>
          <w:rFonts w:hint="eastAsia" w:cs="宋体"/>
          <w:b w:val="0"/>
          <w:bCs/>
          <w:color w:val="000000"/>
          <w:szCs w:val="24"/>
        </w:rPr>
        <w:t>二、合同工期</w:t>
      </w:r>
      <w:bookmarkEnd w:id="66"/>
    </w:p>
    <w:p w14:paraId="71FE6AFE">
      <w:pPr>
        <w:spacing w:line="360" w:lineRule="auto"/>
        <w:ind w:firstLine="480"/>
        <w:rPr>
          <w:rFonts w:ascii="宋体" w:hAnsi="宋体" w:cs="宋体"/>
          <w:color w:val="000000"/>
          <w:sz w:val="24"/>
          <w:szCs w:val="24"/>
        </w:rPr>
      </w:pPr>
      <w:r>
        <w:rPr>
          <w:rFonts w:hint="eastAsia" w:ascii="宋体" w:hAnsi="宋体" w:cs="宋体"/>
          <w:color w:val="000000"/>
          <w:sz w:val="24"/>
          <w:szCs w:val="24"/>
        </w:rPr>
        <w:t>计划开始工作日期：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4F274695">
      <w:pPr>
        <w:spacing w:line="360" w:lineRule="auto"/>
        <w:ind w:firstLine="480"/>
        <w:rPr>
          <w:rFonts w:ascii="宋体" w:hAnsi="宋体" w:cs="宋体"/>
          <w:color w:val="000000"/>
          <w:sz w:val="24"/>
          <w:szCs w:val="24"/>
        </w:rPr>
      </w:pPr>
      <w:r>
        <w:rPr>
          <w:rFonts w:hint="eastAsia" w:ascii="宋体" w:hAnsi="宋体" w:cs="宋体"/>
          <w:color w:val="000000"/>
          <w:sz w:val="24"/>
          <w:szCs w:val="24"/>
        </w:rPr>
        <w:t>计划开始现场施工日期：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2480161F">
      <w:pPr>
        <w:spacing w:line="360" w:lineRule="auto"/>
        <w:ind w:firstLine="480"/>
        <w:rPr>
          <w:rFonts w:ascii="宋体" w:hAnsi="宋体" w:cs="宋体"/>
          <w:color w:val="000000"/>
          <w:sz w:val="24"/>
          <w:szCs w:val="24"/>
        </w:rPr>
      </w:pPr>
      <w:r>
        <w:rPr>
          <w:rFonts w:hint="eastAsia" w:ascii="宋体" w:hAnsi="宋体" w:cs="宋体"/>
          <w:color w:val="000000"/>
          <w:sz w:val="24"/>
          <w:szCs w:val="24"/>
        </w:rPr>
        <w:t>计划竣工日期：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0208D6C6">
      <w:pPr>
        <w:spacing w:line="360" w:lineRule="auto"/>
        <w:ind w:firstLine="480"/>
        <w:rPr>
          <w:rFonts w:ascii="宋体" w:hAnsi="宋体" w:cs="宋体"/>
          <w:color w:val="000000"/>
          <w:sz w:val="24"/>
          <w:szCs w:val="24"/>
        </w:rPr>
      </w:pPr>
      <w:r>
        <w:rPr>
          <w:rFonts w:hint="eastAsia" w:ascii="宋体" w:hAnsi="宋体" w:cs="宋体"/>
          <w:color w:val="000000"/>
          <w:sz w:val="24"/>
          <w:szCs w:val="24"/>
        </w:rPr>
        <w:t>工期总日历天数：</w:t>
      </w:r>
      <w:r>
        <w:rPr>
          <w:rFonts w:hint="eastAsia" w:ascii="宋体" w:hAnsi="宋体" w:cs="宋体"/>
          <w:color w:val="000000"/>
          <w:sz w:val="24"/>
          <w:szCs w:val="24"/>
          <w:u w:val="single"/>
        </w:rPr>
        <w:t xml:space="preserve">        </w:t>
      </w:r>
      <w:r>
        <w:rPr>
          <w:rFonts w:hint="eastAsia" w:ascii="宋体" w:hAnsi="宋体" w:cs="宋体"/>
          <w:color w:val="000000"/>
          <w:sz w:val="24"/>
          <w:szCs w:val="24"/>
        </w:rPr>
        <w:t>天，工期总日历天数与根据前述计划日期计算的工期天数不一致的，以工期总日历天数为准。</w:t>
      </w:r>
    </w:p>
    <w:p w14:paraId="68AFA6D9">
      <w:pPr>
        <w:pStyle w:val="52"/>
        <w:numPr>
          <w:ilvl w:val="0"/>
          <w:numId w:val="0"/>
        </w:numPr>
        <w:spacing w:after="0"/>
        <w:ind w:firstLine="480"/>
        <w:rPr>
          <w:rFonts w:cs="宋体"/>
          <w:b w:val="0"/>
          <w:bCs/>
          <w:color w:val="000000"/>
          <w:szCs w:val="24"/>
        </w:rPr>
      </w:pPr>
      <w:bookmarkStart w:id="67" w:name="_Toc54862167"/>
      <w:r>
        <w:rPr>
          <w:rFonts w:hint="eastAsia" w:cs="宋体"/>
          <w:b w:val="0"/>
          <w:bCs/>
          <w:color w:val="000000"/>
          <w:szCs w:val="24"/>
        </w:rPr>
        <w:t>三、质量标准</w:t>
      </w:r>
      <w:bookmarkEnd w:id="67"/>
    </w:p>
    <w:p w14:paraId="0A6C65A3">
      <w:pPr>
        <w:spacing w:line="360" w:lineRule="auto"/>
        <w:ind w:firstLine="480"/>
        <w:rPr>
          <w:rFonts w:ascii="宋体" w:hAnsi="宋体" w:cs="宋体"/>
          <w:color w:val="000000"/>
          <w:sz w:val="24"/>
          <w:szCs w:val="24"/>
        </w:rPr>
      </w:pPr>
      <w:r>
        <w:rPr>
          <w:rFonts w:hint="eastAsia" w:ascii="宋体" w:hAnsi="宋体" w:cs="宋体"/>
          <w:color w:val="000000"/>
          <w:sz w:val="24"/>
          <w:szCs w:val="24"/>
        </w:rPr>
        <w:t>工程质量标准：</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8677A52">
      <w:pPr>
        <w:pStyle w:val="52"/>
        <w:numPr>
          <w:ilvl w:val="0"/>
          <w:numId w:val="0"/>
        </w:numPr>
        <w:spacing w:after="0"/>
        <w:ind w:firstLine="480"/>
        <w:rPr>
          <w:rFonts w:cs="宋体"/>
          <w:b w:val="0"/>
          <w:bCs/>
          <w:color w:val="000000"/>
          <w:szCs w:val="24"/>
        </w:rPr>
      </w:pPr>
      <w:bookmarkStart w:id="68" w:name="_Toc54862168"/>
      <w:r>
        <w:rPr>
          <w:rFonts w:hint="eastAsia" w:cs="宋体"/>
          <w:b w:val="0"/>
          <w:bCs/>
          <w:color w:val="000000"/>
          <w:szCs w:val="24"/>
        </w:rPr>
        <w:t>四、签约合同价与合同价格形式</w:t>
      </w:r>
      <w:bookmarkEnd w:id="68"/>
    </w:p>
    <w:p w14:paraId="409D0298">
      <w:pPr>
        <w:spacing w:line="360" w:lineRule="auto"/>
        <w:ind w:firstLine="480"/>
        <w:rPr>
          <w:rFonts w:ascii="宋体" w:hAnsi="宋体" w:cs="宋体"/>
          <w:color w:val="000000"/>
          <w:sz w:val="24"/>
          <w:szCs w:val="24"/>
        </w:rPr>
      </w:pPr>
      <w:r>
        <w:rPr>
          <w:rFonts w:hint="eastAsia" w:ascii="宋体" w:hAnsi="宋体" w:cs="宋体"/>
          <w:color w:val="000000"/>
          <w:sz w:val="24"/>
          <w:szCs w:val="24"/>
        </w:rPr>
        <w:t>1. 签约合同价（含税）为：</w:t>
      </w:r>
    </w:p>
    <w:p w14:paraId="7CD11D56">
      <w:pPr>
        <w:spacing w:line="360" w:lineRule="auto"/>
        <w:ind w:firstLine="480"/>
        <w:rPr>
          <w:rFonts w:ascii="宋体" w:hAnsi="宋体" w:cs="宋体"/>
          <w:color w:val="000000"/>
          <w:sz w:val="24"/>
          <w:szCs w:val="24"/>
        </w:rPr>
      </w:pPr>
      <w:r>
        <w:rPr>
          <w:rFonts w:hint="eastAsia" w:ascii="宋体" w:hAnsi="宋体" w:cs="宋体"/>
          <w:color w:val="000000"/>
          <w:sz w:val="24"/>
          <w:szCs w:val="24"/>
        </w:rPr>
        <w:t xml:space="preserve">人民币（大写) </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r>
        <w:rPr>
          <w:rFonts w:hint="eastAsia" w:ascii="宋体" w:hAnsi="宋体" w:cs="宋体"/>
          <w:color w:val="000000"/>
          <w:sz w:val="24"/>
          <w:szCs w:val="24"/>
          <w:u w:val="single"/>
        </w:rPr>
        <w:t xml:space="preserve">              </w:t>
      </w:r>
      <w:r>
        <w:rPr>
          <w:rFonts w:hint="eastAsia" w:ascii="宋体" w:hAnsi="宋体" w:cs="宋体"/>
          <w:color w:val="000000"/>
          <w:sz w:val="24"/>
          <w:szCs w:val="24"/>
        </w:rPr>
        <w:t>元）。</w:t>
      </w:r>
    </w:p>
    <w:p w14:paraId="495D221E">
      <w:pPr>
        <w:spacing w:line="360" w:lineRule="auto"/>
        <w:ind w:firstLine="480"/>
        <w:rPr>
          <w:rFonts w:ascii="宋体" w:hAnsi="宋体" w:cs="宋体"/>
          <w:color w:val="000000"/>
          <w:sz w:val="24"/>
          <w:szCs w:val="24"/>
        </w:rPr>
      </w:pPr>
      <w:r>
        <w:rPr>
          <w:rFonts w:hint="eastAsia" w:ascii="宋体" w:hAnsi="宋体" w:cs="宋体"/>
          <w:color w:val="000000"/>
          <w:sz w:val="24"/>
          <w:szCs w:val="24"/>
        </w:rPr>
        <w:t>2. 合同价格形式：</w:t>
      </w:r>
    </w:p>
    <w:p w14:paraId="01A07FDD">
      <w:pPr>
        <w:spacing w:line="300" w:lineRule="auto"/>
        <w:ind w:firstLine="403"/>
        <w:rPr>
          <w:rFonts w:ascii="宋体" w:hAnsi="宋体" w:cs="宋体"/>
          <w:sz w:val="24"/>
          <w:szCs w:val="24"/>
        </w:rPr>
      </w:pPr>
      <w:r>
        <w:rPr>
          <w:rFonts w:hint="eastAsia" w:ascii="宋体" w:hAnsi="宋体" w:cs="宋体"/>
          <w:sz w:val="24"/>
          <w:szCs w:val="24"/>
        </w:rPr>
        <w:t xml:space="preserve"> 本合同价款采用 </w:t>
      </w:r>
      <w:r>
        <w:rPr>
          <w:rFonts w:hint="eastAsia" w:ascii="宋体" w:hAnsi="宋体" w:cs="宋体"/>
          <w:sz w:val="24"/>
          <w:szCs w:val="24"/>
          <w:u w:val="single"/>
        </w:rPr>
        <w:t>固定总价</w:t>
      </w:r>
      <w:r>
        <w:rPr>
          <w:rFonts w:hint="eastAsia" w:ascii="宋体" w:hAnsi="宋体" w:cs="宋体"/>
          <w:sz w:val="24"/>
          <w:szCs w:val="24"/>
        </w:rPr>
        <w:t>方式确定。</w:t>
      </w:r>
    </w:p>
    <w:p w14:paraId="6B5B38E7">
      <w:pPr>
        <w:spacing w:line="300" w:lineRule="auto"/>
        <w:ind w:firstLine="480" w:firstLineChars="200"/>
        <w:rPr>
          <w:rFonts w:ascii="宋体" w:hAnsi="宋体" w:cs="宋体"/>
          <w:sz w:val="24"/>
          <w:szCs w:val="24"/>
          <w:u w:val="single"/>
        </w:rPr>
      </w:pPr>
      <w:r>
        <w:rPr>
          <w:rFonts w:hint="eastAsia" w:ascii="宋体" w:hAnsi="宋体" w:cs="宋体"/>
          <w:sz w:val="24"/>
          <w:szCs w:val="24"/>
        </w:rPr>
        <w:t>(1)同价款中包括的风险范围：</w:t>
      </w:r>
      <w:r>
        <w:rPr>
          <w:rFonts w:hint="eastAsia" w:ascii="宋体" w:hAnsi="宋体" w:cs="宋体"/>
          <w:sz w:val="24"/>
          <w:szCs w:val="24"/>
          <w:u w:val="single"/>
        </w:rPr>
        <w:t xml:space="preserve">①招标人提出的建设范围、建设规模、建设标准、功能需求、工期或者质量要求的调整；②难以预见的地质自然灾害、不可预知的地下溶洞、采空区或者障碍物、有毒气体等重大地质变化，其损失和处置费用（因工程总承包单位施工组织、措施不当等造成的上述问题，其损失和处置费应由工程总承包单位承担）；③其他不可抗力所造成的工程费用的增加； </w:t>
      </w:r>
    </w:p>
    <w:p w14:paraId="37F3BF63">
      <w:pPr>
        <w:spacing w:before="120" w:beforeLines="50" w:after="120" w:afterLines="50" w:line="300" w:lineRule="auto"/>
        <w:ind w:firstLine="480" w:firstLineChars="200"/>
        <w:rPr>
          <w:rFonts w:ascii="宋体" w:hAnsi="宋体" w:cs="宋体"/>
          <w:sz w:val="24"/>
          <w:szCs w:val="24"/>
          <w:u w:val="single"/>
        </w:rPr>
      </w:pPr>
      <w:r>
        <w:rPr>
          <w:rFonts w:hint="eastAsia" w:ascii="宋体" w:hAnsi="宋体" w:cs="宋体"/>
          <w:sz w:val="24"/>
          <w:szCs w:val="24"/>
        </w:rPr>
        <w:t xml:space="preserve"> (2) 按实际完成的工程量支付工程价款的计量方法、估价方法：</w:t>
      </w:r>
      <w:r>
        <w:rPr>
          <w:rFonts w:hint="eastAsia" w:ascii="宋体" w:hAnsi="宋体" w:cs="宋体"/>
          <w:sz w:val="24"/>
          <w:szCs w:val="24"/>
          <w:u w:val="single"/>
        </w:rPr>
        <w:t>设计费采用固定价格。建安工程费用结算价最终由政府审计部门或其委托的审计单位审计核定，若审计核定的工程费用高于承包人工程费用投标总价，则工程费用按承包人投标报价结算；若低于承包人投标报价或第（1）条款原因，具体建安费用的结算按以下规定执行：</w:t>
      </w:r>
    </w:p>
    <w:p w14:paraId="7B65D299">
      <w:pPr>
        <w:spacing w:before="120" w:beforeLines="50" w:after="120" w:afterLines="50" w:line="300" w:lineRule="auto"/>
        <w:ind w:firstLine="480" w:firstLineChars="200"/>
        <w:rPr>
          <w:rFonts w:ascii="宋体" w:hAnsi="宋体" w:cs="宋体"/>
          <w:sz w:val="24"/>
          <w:szCs w:val="24"/>
          <w:u w:val="single"/>
        </w:rPr>
      </w:pPr>
      <w:r>
        <w:rPr>
          <w:rFonts w:hint="eastAsia" w:ascii="宋体" w:hAnsi="宋体" w:cs="宋体"/>
          <w:sz w:val="24"/>
          <w:szCs w:val="24"/>
          <w:u w:val="single"/>
        </w:rPr>
        <w:t>①建安工程费造价编制按现行江苏省和本地相关计价规范、计价定额和配套文件执行。材料价格按当期《无锡工程造价信息》发布的建材信息价为准，信息价中没有的材料价格，市场询价并参考项目实施机构同类材料的采购价格，最终价格以审计部门审核的结果为准。人工费以施工期间省市建设主管部门发布的政策性人工费调整标准的加权平均值计算。</w:t>
      </w:r>
    </w:p>
    <w:p w14:paraId="2490C25B">
      <w:pPr>
        <w:spacing w:before="120" w:beforeLines="50" w:after="120" w:afterLines="50" w:line="300" w:lineRule="auto"/>
        <w:ind w:firstLine="480" w:firstLineChars="200"/>
        <w:rPr>
          <w:rFonts w:ascii="宋体" w:hAnsi="宋体" w:cs="宋体"/>
          <w:sz w:val="24"/>
          <w:szCs w:val="24"/>
          <w:u w:val="single"/>
        </w:rPr>
      </w:pPr>
      <w:r>
        <w:rPr>
          <w:rFonts w:hint="eastAsia" w:ascii="宋体" w:hAnsi="宋体" w:cs="宋体"/>
          <w:sz w:val="24"/>
          <w:szCs w:val="24"/>
          <w:u w:val="single"/>
        </w:rPr>
        <w:t>②工程费由发包人审计部门或其委托的审计单位审计核定。</w:t>
      </w:r>
    </w:p>
    <w:p w14:paraId="40361037">
      <w:pPr>
        <w:spacing w:line="360" w:lineRule="auto"/>
        <w:ind w:left="300" w:firstLine="180"/>
        <w:jc w:val="left"/>
        <w:rPr>
          <w:rFonts w:ascii="宋体" w:hAnsi="宋体" w:cs="宋体"/>
          <w:color w:val="000000"/>
          <w:sz w:val="24"/>
          <w:szCs w:val="24"/>
        </w:rPr>
      </w:pPr>
      <w:r>
        <w:rPr>
          <w:rFonts w:hint="eastAsia" w:ascii="宋体" w:hAnsi="宋体" w:cs="宋体"/>
          <w:color w:val="000000"/>
          <w:sz w:val="24"/>
          <w:szCs w:val="24"/>
        </w:rPr>
        <w:t>合同当事人对合同价格形式的其他约定：</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101E07E">
      <w:pPr>
        <w:pStyle w:val="52"/>
        <w:numPr>
          <w:ilvl w:val="0"/>
          <w:numId w:val="0"/>
        </w:numPr>
        <w:spacing w:after="0"/>
        <w:ind w:firstLine="480"/>
        <w:rPr>
          <w:rFonts w:cs="宋体"/>
          <w:b w:val="0"/>
          <w:bCs/>
          <w:color w:val="000000"/>
          <w:szCs w:val="24"/>
        </w:rPr>
      </w:pPr>
      <w:bookmarkStart w:id="69" w:name="_Toc54862169"/>
      <w:r>
        <w:rPr>
          <w:rFonts w:hint="eastAsia" w:cs="宋体"/>
          <w:b w:val="0"/>
          <w:bCs/>
          <w:color w:val="000000"/>
          <w:szCs w:val="24"/>
        </w:rPr>
        <w:t>五、工程总承包项目经理</w:t>
      </w:r>
      <w:bookmarkEnd w:id="69"/>
    </w:p>
    <w:p w14:paraId="0F21CEEC">
      <w:pPr>
        <w:spacing w:line="360" w:lineRule="auto"/>
        <w:ind w:firstLine="480"/>
        <w:rPr>
          <w:rFonts w:ascii="宋体" w:hAnsi="宋体" w:cs="宋体"/>
          <w:color w:val="000000"/>
          <w:sz w:val="24"/>
          <w:szCs w:val="24"/>
        </w:rPr>
      </w:pPr>
      <w:r>
        <w:rPr>
          <w:rFonts w:hint="eastAsia" w:ascii="宋体" w:hAnsi="宋体" w:cs="宋体"/>
          <w:color w:val="000000"/>
          <w:sz w:val="24"/>
          <w:szCs w:val="24"/>
        </w:rPr>
        <w:t>工程总承包项目经理：</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B0A18EE">
      <w:pPr>
        <w:pStyle w:val="52"/>
        <w:numPr>
          <w:ilvl w:val="0"/>
          <w:numId w:val="0"/>
        </w:numPr>
        <w:spacing w:after="0"/>
        <w:ind w:firstLine="480"/>
        <w:rPr>
          <w:rFonts w:cs="宋体"/>
          <w:b w:val="0"/>
          <w:bCs/>
          <w:color w:val="000000"/>
          <w:szCs w:val="24"/>
        </w:rPr>
      </w:pPr>
      <w:bookmarkStart w:id="70" w:name="_Toc54862170"/>
      <w:r>
        <w:rPr>
          <w:rFonts w:hint="eastAsia" w:cs="宋体"/>
          <w:b w:val="0"/>
          <w:bCs/>
          <w:color w:val="000000"/>
          <w:szCs w:val="24"/>
        </w:rPr>
        <w:t>六、合同文件构成</w:t>
      </w:r>
      <w:bookmarkEnd w:id="70"/>
    </w:p>
    <w:p w14:paraId="00B09663">
      <w:pPr>
        <w:spacing w:line="360" w:lineRule="auto"/>
        <w:ind w:firstLine="480"/>
        <w:rPr>
          <w:rFonts w:ascii="宋体" w:hAnsi="宋体" w:cs="宋体"/>
          <w:color w:val="000000"/>
          <w:sz w:val="24"/>
          <w:szCs w:val="24"/>
        </w:rPr>
      </w:pPr>
      <w:r>
        <w:rPr>
          <w:rFonts w:hint="eastAsia" w:ascii="宋体" w:hAnsi="宋体" w:cs="宋体"/>
          <w:color w:val="000000"/>
          <w:sz w:val="24"/>
          <w:szCs w:val="24"/>
        </w:rPr>
        <w:t xml:space="preserve">本协议书与下列文件一起构成合同文件： </w:t>
      </w:r>
    </w:p>
    <w:p w14:paraId="371BB1B9">
      <w:pPr>
        <w:spacing w:line="360" w:lineRule="auto"/>
        <w:ind w:firstLine="480"/>
        <w:rPr>
          <w:rFonts w:ascii="宋体" w:hAnsi="宋体" w:cs="宋体"/>
          <w:color w:val="000000"/>
          <w:sz w:val="24"/>
          <w:szCs w:val="24"/>
        </w:rPr>
      </w:pPr>
      <w:r>
        <w:rPr>
          <w:rFonts w:hint="eastAsia" w:ascii="宋体" w:hAnsi="宋体" w:cs="宋体"/>
          <w:color w:val="000000"/>
          <w:sz w:val="24"/>
          <w:szCs w:val="24"/>
        </w:rPr>
        <w:t>（1） 中标通知书（如果有）；</w:t>
      </w:r>
    </w:p>
    <w:p w14:paraId="175EC4A1">
      <w:pPr>
        <w:spacing w:line="360" w:lineRule="auto"/>
        <w:ind w:firstLine="480"/>
        <w:rPr>
          <w:rFonts w:ascii="宋体" w:hAnsi="宋体" w:cs="宋体"/>
          <w:color w:val="000000"/>
          <w:sz w:val="24"/>
          <w:szCs w:val="24"/>
        </w:rPr>
      </w:pPr>
      <w:r>
        <w:rPr>
          <w:rFonts w:hint="eastAsia" w:ascii="宋体" w:hAnsi="宋体" w:cs="宋体"/>
          <w:color w:val="000000"/>
          <w:sz w:val="24"/>
          <w:szCs w:val="24"/>
        </w:rPr>
        <w:t>（2） 投标函及投标函附录（如果有）；</w:t>
      </w:r>
    </w:p>
    <w:p w14:paraId="0F277D19">
      <w:pPr>
        <w:spacing w:line="360" w:lineRule="auto"/>
        <w:ind w:firstLine="480"/>
        <w:rPr>
          <w:rFonts w:ascii="宋体" w:hAnsi="宋体" w:cs="宋体"/>
          <w:color w:val="000000"/>
          <w:sz w:val="24"/>
          <w:szCs w:val="24"/>
        </w:rPr>
      </w:pPr>
      <w:r>
        <w:rPr>
          <w:rFonts w:hint="eastAsia" w:ascii="宋体" w:hAnsi="宋体" w:cs="宋体"/>
          <w:color w:val="000000"/>
          <w:sz w:val="24"/>
          <w:szCs w:val="24"/>
        </w:rPr>
        <w:t>（3） 专用合同条件及《采购需求》等附件；</w:t>
      </w:r>
    </w:p>
    <w:p w14:paraId="2571B891">
      <w:pPr>
        <w:spacing w:line="360" w:lineRule="auto"/>
        <w:ind w:firstLine="480"/>
        <w:rPr>
          <w:rFonts w:ascii="宋体" w:hAnsi="宋体" w:cs="宋体"/>
          <w:color w:val="000000"/>
          <w:sz w:val="24"/>
          <w:szCs w:val="24"/>
        </w:rPr>
      </w:pPr>
      <w:r>
        <w:rPr>
          <w:rFonts w:hint="eastAsia" w:ascii="宋体" w:hAnsi="宋体" w:cs="宋体"/>
          <w:color w:val="000000"/>
          <w:sz w:val="24"/>
          <w:szCs w:val="24"/>
        </w:rPr>
        <w:t>（4） 通用合同条件；</w:t>
      </w:r>
    </w:p>
    <w:p w14:paraId="51E72A01">
      <w:pPr>
        <w:spacing w:line="360" w:lineRule="auto"/>
        <w:ind w:firstLine="480"/>
        <w:rPr>
          <w:rFonts w:ascii="宋体" w:hAnsi="宋体" w:cs="宋体"/>
          <w:color w:val="000000"/>
          <w:sz w:val="24"/>
          <w:szCs w:val="24"/>
        </w:rPr>
      </w:pPr>
      <w:r>
        <w:rPr>
          <w:rFonts w:hint="eastAsia" w:ascii="宋体" w:hAnsi="宋体" w:cs="宋体"/>
          <w:color w:val="000000"/>
          <w:sz w:val="24"/>
          <w:szCs w:val="24"/>
        </w:rPr>
        <w:t xml:space="preserve">（5） 承包人建议书； </w:t>
      </w:r>
    </w:p>
    <w:p w14:paraId="4380D7F1">
      <w:pPr>
        <w:spacing w:line="360" w:lineRule="auto"/>
        <w:ind w:firstLine="480"/>
        <w:rPr>
          <w:rFonts w:ascii="宋体" w:hAnsi="宋体" w:cs="宋体"/>
          <w:color w:val="000000"/>
          <w:sz w:val="24"/>
          <w:szCs w:val="24"/>
        </w:rPr>
      </w:pPr>
      <w:r>
        <w:rPr>
          <w:rFonts w:hint="eastAsia" w:ascii="宋体" w:hAnsi="宋体" w:cs="宋体"/>
          <w:color w:val="000000"/>
          <w:sz w:val="24"/>
          <w:szCs w:val="24"/>
        </w:rPr>
        <w:t>（6） 价格清单；</w:t>
      </w:r>
    </w:p>
    <w:p w14:paraId="4BD68D3C">
      <w:pPr>
        <w:spacing w:line="360" w:lineRule="auto"/>
        <w:ind w:firstLine="480"/>
        <w:rPr>
          <w:rFonts w:ascii="宋体" w:hAnsi="宋体" w:cs="宋体"/>
          <w:color w:val="000000"/>
          <w:sz w:val="24"/>
          <w:szCs w:val="24"/>
        </w:rPr>
      </w:pPr>
      <w:r>
        <w:rPr>
          <w:rFonts w:hint="eastAsia" w:ascii="宋体" w:hAnsi="宋体" w:cs="宋体"/>
          <w:color w:val="000000"/>
          <w:sz w:val="24"/>
          <w:szCs w:val="24"/>
        </w:rPr>
        <w:t>（7） 双方约定的其他合同文件。</w:t>
      </w:r>
    </w:p>
    <w:p w14:paraId="6CB2688E">
      <w:pPr>
        <w:spacing w:line="360" w:lineRule="auto"/>
        <w:ind w:firstLine="480"/>
        <w:rPr>
          <w:rFonts w:ascii="宋体" w:hAnsi="宋体" w:cs="宋体"/>
          <w:color w:val="000000"/>
          <w:sz w:val="24"/>
          <w:szCs w:val="24"/>
        </w:rPr>
      </w:pPr>
      <w:r>
        <w:rPr>
          <w:rFonts w:hint="eastAsia" w:ascii="宋体" w:hAnsi="宋体" w:cs="宋体"/>
          <w:color w:val="000000"/>
          <w:sz w:val="24"/>
          <w:szCs w:val="24"/>
        </w:rPr>
        <w:t>上述各项合同文件包括双方就该项合同文件所作出的补充和修改，属于同一类内容的合同文件应以最新签署的为准。专用合同条件及其附件须经合同当事人签字或盖章。</w:t>
      </w:r>
    </w:p>
    <w:p w14:paraId="74B99B03">
      <w:pPr>
        <w:pStyle w:val="52"/>
        <w:numPr>
          <w:ilvl w:val="0"/>
          <w:numId w:val="0"/>
        </w:numPr>
        <w:spacing w:after="0"/>
        <w:ind w:firstLine="480"/>
        <w:rPr>
          <w:rFonts w:cs="宋体"/>
          <w:b w:val="0"/>
          <w:bCs/>
          <w:color w:val="000000"/>
          <w:szCs w:val="24"/>
        </w:rPr>
      </w:pPr>
      <w:bookmarkStart w:id="71" w:name="_Toc54862171"/>
      <w:r>
        <w:rPr>
          <w:rFonts w:hint="eastAsia" w:cs="宋体"/>
          <w:b w:val="0"/>
          <w:bCs/>
          <w:color w:val="000000"/>
          <w:szCs w:val="24"/>
        </w:rPr>
        <w:t>七、承诺</w:t>
      </w:r>
      <w:bookmarkEnd w:id="71"/>
    </w:p>
    <w:p w14:paraId="583F2AB9">
      <w:pPr>
        <w:spacing w:line="360" w:lineRule="auto"/>
        <w:ind w:firstLine="480"/>
        <w:rPr>
          <w:rFonts w:ascii="宋体" w:hAnsi="宋体" w:cs="宋体"/>
          <w:color w:val="000000"/>
          <w:sz w:val="24"/>
          <w:szCs w:val="24"/>
        </w:rPr>
      </w:pPr>
      <w:r>
        <w:rPr>
          <w:rFonts w:hint="eastAsia" w:ascii="宋体" w:hAnsi="宋体" w:cs="宋体"/>
          <w:color w:val="000000"/>
          <w:sz w:val="24"/>
          <w:szCs w:val="24"/>
        </w:rPr>
        <w:t>1. 发包人承诺按照法律规定履行项目审批手续、筹集工程建设资金并按照合同约定的期限和方式支付合同价款。</w:t>
      </w:r>
    </w:p>
    <w:p w14:paraId="239D7900">
      <w:pPr>
        <w:spacing w:line="360" w:lineRule="auto"/>
        <w:ind w:firstLine="480"/>
        <w:rPr>
          <w:rFonts w:ascii="宋体" w:hAnsi="宋体" w:cs="宋体"/>
          <w:color w:val="000000"/>
          <w:sz w:val="24"/>
          <w:szCs w:val="24"/>
        </w:rPr>
      </w:pPr>
      <w:r>
        <w:rPr>
          <w:rFonts w:hint="eastAsia" w:ascii="宋体" w:hAnsi="宋体" w:cs="宋体"/>
          <w:color w:val="000000"/>
          <w:sz w:val="24"/>
          <w:szCs w:val="24"/>
        </w:rPr>
        <w:t>2. 承包人承诺按照法律规定及合同约定组织完成工程的设计、采购和施工等工作，确保工程质量和安全，不进行转包及违法分包，并在缺陷责任期及保修期内承担相应的工程维修责任。</w:t>
      </w:r>
    </w:p>
    <w:p w14:paraId="451CFE08">
      <w:pPr>
        <w:pStyle w:val="52"/>
        <w:numPr>
          <w:ilvl w:val="0"/>
          <w:numId w:val="0"/>
        </w:numPr>
        <w:spacing w:after="0"/>
        <w:ind w:firstLine="480"/>
        <w:rPr>
          <w:rFonts w:cs="宋体"/>
          <w:b w:val="0"/>
          <w:bCs/>
          <w:color w:val="000000"/>
          <w:szCs w:val="24"/>
        </w:rPr>
      </w:pPr>
      <w:bookmarkStart w:id="72" w:name="_Toc54862172"/>
      <w:r>
        <w:rPr>
          <w:rFonts w:hint="eastAsia" w:cs="宋体"/>
          <w:b w:val="0"/>
          <w:bCs/>
          <w:color w:val="000000"/>
          <w:szCs w:val="24"/>
        </w:rPr>
        <w:t>八、订立时间</w:t>
      </w:r>
      <w:bookmarkEnd w:id="72"/>
    </w:p>
    <w:p w14:paraId="6CCCCE34">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本合同于</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日订立。</w:t>
      </w:r>
    </w:p>
    <w:p w14:paraId="7A5B2E02">
      <w:pPr>
        <w:pStyle w:val="52"/>
        <w:numPr>
          <w:ilvl w:val="0"/>
          <w:numId w:val="0"/>
        </w:numPr>
        <w:spacing w:after="0"/>
        <w:ind w:firstLine="480"/>
        <w:rPr>
          <w:rFonts w:cs="宋体"/>
          <w:b w:val="0"/>
          <w:bCs/>
          <w:color w:val="000000"/>
          <w:szCs w:val="24"/>
        </w:rPr>
      </w:pPr>
      <w:bookmarkStart w:id="73" w:name="_Toc54862173"/>
      <w:r>
        <w:rPr>
          <w:rFonts w:hint="eastAsia" w:cs="宋体"/>
          <w:b w:val="0"/>
          <w:bCs/>
          <w:color w:val="000000"/>
          <w:szCs w:val="24"/>
        </w:rPr>
        <w:t>九、订立地点</w:t>
      </w:r>
      <w:bookmarkEnd w:id="73"/>
    </w:p>
    <w:p w14:paraId="5AAEB6B7">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本合同在</w:t>
      </w:r>
      <w:r>
        <w:rPr>
          <w:rFonts w:hint="eastAsia" w:ascii="宋体" w:hAnsi="宋体" w:cs="宋体"/>
          <w:color w:val="000000"/>
          <w:sz w:val="24"/>
          <w:szCs w:val="24"/>
          <w:u w:val="single"/>
        </w:rPr>
        <w:t xml:space="preserve">                        </w:t>
      </w:r>
      <w:r>
        <w:rPr>
          <w:rFonts w:hint="eastAsia" w:ascii="宋体" w:hAnsi="宋体" w:cs="宋体"/>
          <w:color w:val="000000"/>
          <w:sz w:val="24"/>
          <w:szCs w:val="24"/>
        </w:rPr>
        <w:t>订立。</w:t>
      </w:r>
    </w:p>
    <w:p w14:paraId="7773A974">
      <w:pPr>
        <w:pStyle w:val="52"/>
        <w:numPr>
          <w:ilvl w:val="0"/>
          <w:numId w:val="0"/>
        </w:numPr>
        <w:spacing w:after="0"/>
        <w:ind w:firstLine="480"/>
        <w:rPr>
          <w:rFonts w:cs="宋体"/>
          <w:b w:val="0"/>
          <w:bCs/>
          <w:color w:val="000000"/>
          <w:szCs w:val="24"/>
        </w:rPr>
      </w:pPr>
      <w:bookmarkStart w:id="74" w:name="_Toc54862174"/>
      <w:r>
        <w:rPr>
          <w:rFonts w:hint="eastAsia" w:cs="宋体"/>
          <w:b w:val="0"/>
          <w:bCs/>
          <w:color w:val="000000"/>
          <w:szCs w:val="24"/>
        </w:rPr>
        <w:t>十、合同生效</w:t>
      </w:r>
      <w:bookmarkEnd w:id="74"/>
    </w:p>
    <w:p w14:paraId="06096039">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本合同经双方签字或盖章后成立，并自</w:t>
      </w:r>
      <w:r>
        <w:rPr>
          <w:rFonts w:hint="eastAsia" w:ascii="宋体" w:hAnsi="宋体" w:cs="宋体"/>
          <w:color w:val="000000"/>
          <w:sz w:val="24"/>
          <w:szCs w:val="24"/>
          <w:u w:val="single"/>
        </w:rPr>
        <w:t xml:space="preserve">            </w:t>
      </w:r>
      <w:r>
        <w:rPr>
          <w:rFonts w:hint="eastAsia" w:ascii="宋体" w:hAnsi="宋体" w:cs="宋体"/>
          <w:color w:val="000000"/>
          <w:sz w:val="24"/>
          <w:szCs w:val="24"/>
        </w:rPr>
        <w:t>生效。</w:t>
      </w:r>
    </w:p>
    <w:p w14:paraId="1D87F665">
      <w:pPr>
        <w:pStyle w:val="52"/>
        <w:numPr>
          <w:ilvl w:val="0"/>
          <w:numId w:val="0"/>
        </w:numPr>
        <w:spacing w:after="0"/>
        <w:ind w:firstLine="480"/>
        <w:rPr>
          <w:rFonts w:cs="宋体"/>
          <w:b w:val="0"/>
          <w:bCs/>
          <w:color w:val="000000"/>
          <w:szCs w:val="24"/>
        </w:rPr>
      </w:pPr>
      <w:bookmarkStart w:id="75" w:name="_Toc54862175"/>
      <w:r>
        <w:rPr>
          <w:rFonts w:hint="eastAsia" w:cs="宋体"/>
          <w:b w:val="0"/>
          <w:bCs/>
          <w:color w:val="000000"/>
          <w:szCs w:val="24"/>
        </w:rPr>
        <w:t>十一、合同份数</w:t>
      </w:r>
      <w:bookmarkEnd w:id="75"/>
    </w:p>
    <w:p w14:paraId="268D3743">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本合同一式</w:t>
      </w:r>
      <w:r>
        <w:rPr>
          <w:rFonts w:hint="eastAsia" w:ascii="宋体" w:hAnsi="宋体" w:cs="宋体"/>
          <w:color w:val="000000"/>
          <w:sz w:val="24"/>
          <w:szCs w:val="24"/>
          <w:u w:val="single"/>
        </w:rPr>
        <w:t xml:space="preserve">    </w:t>
      </w:r>
      <w:r>
        <w:rPr>
          <w:rFonts w:hint="eastAsia" w:ascii="宋体" w:hAnsi="宋体" w:cs="宋体"/>
          <w:color w:val="000000"/>
          <w:sz w:val="24"/>
          <w:szCs w:val="24"/>
        </w:rPr>
        <w:t>份，均具有同等法律效力，发包人执</w:t>
      </w:r>
      <w:r>
        <w:rPr>
          <w:rFonts w:hint="eastAsia" w:ascii="宋体" w:hAnsi="宋体" w:cs="宋体"/>
          <w:color w:val="000000"/>
          <w:sz w:val="24"/>
          <w:szCs w:val="24"/>
          <w:u w:val="single"/>
        </w:rPr>
        <w:t xml:space="preserve">    </w:t>
      </w:r>
      <w:r>
        <w:rPr>
          <w:rFonts w:hint="eastAsia" w:ascii="宋体" w:hAnsi="宋体" w:cs="宋体"/>
          <w:color w:val="000000"/>
          <w:sz w:val="24"/>
          <w:szCs w:val="24"/>
        </w:rPr>
        <w:t>份，承包人执</w:t>
      </w:r>
      <w:r>
        <w:rPr>
          <w:rFonts w:hint="eastAsia" w:ascii="宋体" w:hAnsi="宋体" w:cs="宋体"/>
          <w:color w:val="000000"/>
          <w:sz w:val="24"/>
          <w:szCs w:val="24"/>
          <w:u w:val="single"/>
        </w:rPr>
        <w:t xml:space="preserve">    </w:t>
      </w:r>
      <w:r>
        <w:rPr>
          <w:rFonts w:hint="eastAsia" w:ascii="宋体" w:hAnsi="宋体" w:cs="宋体"/>
          <w:color w:val="000000"/>
          <w:sz w:val="24"/>
          <w:szCs w:val="24"/>
        </w:rPr>
        <w:t>份。</w:t>
      </w:r>
    </w:p>
    <w:p w14:paraId="5CDE4BE5">
      <w:pPr>
        <w:rPr>
          <w:rFonts w:ascii="宋体" w:hAnsi="宋体" w:cs="宋体"/>
          <w:color w:val="000000"/>
          <w:sz w:val="24"/>
          <w:szCs w:val="24"/>
        </w:rPr>
      </w:pPr>
    </w:p>
    <w:p w14:paraId="38AA3868">
      <w:pPr>
        <w:rPr>
          <w:rFonts w:ascii="宋体" w:hAnsi="宋体" w:cs="宋体"/>
          <w:color w:val="000000"/>
          <w:sz w:val="24"/>
          <w:szCs w:val="24"/>
        </w:rPr>
      </w:pPr>
    </w:p>
    <w:tbl>
      <w:tblPr>
        <w:tblStyle w:val="21"/>
        <w:tblpPr w:leftFromText="180" w:rightFromText="180" w:vertAnchor="text" w:horzAnchor="page" w:tblpX="1702" w:tblpY="119"/>
        <w:tblW w:w="9072" w:type="dxa"/>
        <w:tblInd w:w="0" w:type="dxa"/>
        <w:tblLayout w:type="fixed"/>
        <w:tblCellMar>
          <w:top w:w="0" w:type="dxa"/>
          <w:left w:w="108" w:type="dxa"/>
          <w:bottom w:w="0" w:type="dxa"/>
          <w:right w:w="108" w:type="dxa"/>
        </w:tblCellMar>
      </w:tblPr>
      <w:tblGrid>
        <w:gridCol w:w="4507"/>
        <w:gridCol w:w="4565"/>
      </w:tblGrid>
      <w:tr w14:paraId="45EB4698">
        <w:tblPrEx>
          <w:tblCellMar>
            <w:top w:w="0" w:type="dxa"/>
            <w:left w:w="108" w:type="dxa"/>
            <w:bottom w:w="0" w:type="dxa"/>
            <w:right w:w="108" w:type="dxa"/>
          </w:tblCellMar>
        </w:tblPrEx>
        <w:tc>
          <w:tcPr>
            <w:tcW w:w="4507" w:type="dxa"/>
            <w:vAlign w:val="center"/>
          </w:tcPr>
          <w:p w14:paraId="245C0A28">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发包人：（公章）</w:t>
            </w:r>
          </w:p>
          <w:p w14:paraId="499F08E6">
            <w:pPr>
              <w:pStyle w:val="53"/>
              <w:spacing w:before="0" w:after="0" w:line="336" w:lineRule="auto"/>
              <w:ind w:left="0" w:firstLine="0"/>
              <w:jc w:val="both"/>
              <w:rPr>
                <w:rFonts w:ascii="宋体" w:hAnsi="宋体" w:eastAsia="宋体" w:cs="宋体"/>
                <w:color w:val="000000"/>
                <w:sz w:val="24"/>
                <w:szCs w:val="24"/>
              </w:rPr>
            </w:pPr>
          </w:p>
        </w:tc>
        <w:tc>
          <w:tcPr>
            <w:tcW w:w="4565" w:type="dxa"/>
            <w:vAlign w:val="center"/>
          </w:tcPr>
          <w:p w14:paraId="24F95409">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承包人：（公章）</w:t>
            </w:r>
          </w:p>
          <w:p w14:paraId="235C7E73">
            <w:pPr>
              <w:pStyle w:val="53"/>
              <w:spacing w:before="0" w:after="0" w:line="336" w:lineRule="auto"/>
              <w:ind w:left="0" w:firstLine="0"/>
              <w:jc w:val="both"/>
              <w:rPr>
                <w:rFonts w:ascii="宋体" w:hAnsi="宋体" w:eastAsia="宋体" w:cs="宋体"/>
                <w:color w:val="000000"/>
                <w:sz w:val="24"/>
                <w:szCs w:val="24"/>
              </w:rPr>
            </w:pPr>
          </w:p>
        </w:tc>
      </w:tr>
      <w:tr w14:paraId="632FB8A4">
        <w:tblPrEx>
          <w:tblCellMar>
            <w:top w:w="0" w:type="dxa"/>
            <w:left w:w="108" w:type="dxa"/>
            <w:bottom w:w="0" w:type="dxa"/>
            <w:right w:w="108" w:type="dxa"/>
          </w:tblCellMar>
        </w:tblPrEx>
        <w:tc>
          <w:tcPr>
            <w:tcW w:w="4507" w:type="dxa"/>
            <w:vAlign w:val="center"/>
          </w:tcPr>
          <w:p w14:paraId="5A4EE5DF">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p>
          <w:p w14:paraId="29A555EA">
            <w:pPr>
              <w:pStyle w:val="53"/>
              <w:spacing w:before="0" w:after="0" w:line="336" w:lineRule="auto"/>
              <w:ind w:left="0" w:firstLine="0"/>
              <w:jc w:val="both"/>
              <w:rPr>
                <w:rFonts w:ascii="宋体" w:hAnsi="宋体" w:eastAsia="宋体" w:cs="宋体"/>
                <w:color w:val="000000"/>
                <w:sz w:val="24"/>
                <w:szCs w:val="24"/>
              </w:rPr>
            </w:pPr>
            <w:r>
              <w:rPr>
                <w:rFonts w:hint="eastAsia" w:ascii="宋体" w:hAnsi="宋体" w:eastAsia="宋体" w:cs="宋体"/>
                <w:color w:val="000000"/>
                <w:sz w:val="24"/>
                <w:szCs w:val="24"/>
              </w:rPr>
              <w:t>（签字）</w:t>
            </w:r>
          </w:p>
        </w:tc>
        <w:tc>
          <w:tcPr>
            <w:tcW w:w="4565" w:type="dxa"/>
            <w:vAlign w:val="center"/>
          </w:tcPr>
          <w:p w14:paraId="1327CD3A">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p>
          <w:p w14:paraId="53AAAFE6">
            <w:pPr>
              <w:pStyle w:val="53"/>
              <w:spacing w:before="0" w:after="0" w:line="336" w:lineRule="auto"/>
              <w:ind w:left="0" w:firstLine="0"/>
              <w:jc w:val="both"/>
              <w:rPr>
                <w:rFonts w:ascii="宋体" w:hAnsi="宋体" w:eastAsia="宋体" w:cs="宋体"/>
                <w:color w:val="000000"/>
                <w:sz w:val="24"/>
                <w:szCs w:val="24"/>
              </w:rPr>
            </w:pPr>
            <w:r>
              <w:rPr>
                <w:rFonts w:hint="eastAsia" w:ascii="宋体" w:hAnsi="宋体" w:eastAsia="宋体" w:cs="宋体"/>
                <w:color w:val="000000"/>
                <w:sz w:val="24"/>
                <w:szCs w:val="24"/>
              </w:rPr>
              <w:t>（签字）</w:t>
            </w:r>
          </w:p>
        </w:tc>
      </w:tr>
      <w:tr w14:paraId="6F724899">
        <w:tblPrEx>
          <w:tblCellMar>
            <w:top w:w="0" w:type="dxa"/>
            <w:left w:w="108" w:type="dxa"/>
            <w:bottom w:w="0" w:type="dxa"/>
            <w:right w:w="108" w:type="dxa"/>
          </w:tblCellMar>
        </w:tblPrEx>
        <w:tc>
          <w:tcPr>
            <w:tcW w:w="4507" w:type="dxa"/>
            <w:vAlign w:val="center"/>
          </w:tcPr>
          <w:p w14:paraId="30D5DBB5">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统一社会信用代码：</w:t>
            </w:r>
            <w:r>
              <w:rPr>
                <w:rFonts w:hint="eastAsia" w:ascii="宋体" w:hAnsi="宋体" w:eastAsia="宋体" w:cs="宋体"/>
                <w:color w:val="000000"/>
                <w:sz w:val="24"/>
                <w:szCs w:val="24"/>
                <w:u w:val="single"/>
              </w:rPr>
              <w:t xml:space="preserve">            </w:t>
            </w:r>
          </w:p>
          <w:p w14:paraId="05A9B112">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01C2C555">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p>
          <w:p w14:paraId="35437086">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p>
          <w:p w14:paraId="21286CF6">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p>
          <w:p w14:paraId="59FCF876">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电话：</w:t>
            </w:r>
            <w:r>
              <w:rPr>
                <w:rFonts w:hint="eastAsia" w:ascii="宋体" w:hAnsi="宋体" w:eastAsia="宋体" w:cs="宋体"/>
                <w:color w:val="000000"/>
                <w:sz w:val="24"/>
                <w:szCs w:val="24"/>
                <w:u w:val="single"/>
              </w:rPr>
              <w:t xml:space="preserve">                       </w:t>
            </w:r>
          </w:p>
          <w:p w14:paraId="7C84AF8D">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 xml:space="preserve">传真： </w:t>
            </w:r>
            <w:r>
              <w:rPr>
                <w:rFonts w:hint="eastAsia" w:ascii="宋体" w:hAnsi="宋体" w:eastAsia="宋体" w:cs="宋体"/>
                <w:color w:val="000000"/>
                <w:sz w:val="24"/>
                <w:szCs w:val="24"/>
                <w:u w:val="single"/>
              </w:rPr>
              <w:t xml:space="preserve">                      </w:t>
            </w:r>
          </w:p>
          <w:p w14:paraId="49C91E93">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14:paraId="54060FAC">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14:paraId="571ADE28">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账号：</w:t>
            </w:r>
            <w:r>
              <w:rPr>
                <w:rFonts w:hint="eastAsia" w:ascii="宋体" w:hAnsi="宋体" w:eastAsia="宋体" w:cs="宋体"/>
                <w:color w:val="000000"/>
                <w:sz w:val="24"/>
                <w:szCs w:val="24"/>
                <w:u w:val="single"/>
              </w:rPr>
              <w:t xml:space="preserve">                       </w:t>
            </w:r>
          </w:p>
        </w:tc>
        <w:tc>
          <w:tcPr>
            <w:tcW w:w="4565" w:type="dxa"/>
            <w:vAlign w:val="center"/>
          </w:tcPr>
          <w:p w14:paraId="195F5E38">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统一社会信用代码：</w:t>
            </w:r>
            <w:r>
              <w:rPr>
                <w:rFonts w:hint="eastAsia" w:ascii="宋体" w:hAnsi="宋体" w:eastAsia="宋体" w:cs="宋体"/>
                <w:color w:val="000000"/>
                <w:sz w:val="24"/>
                <w:szCs w:val="24"/>
                <w:u w:val="single"/>
              </w:rPr>
              <w:t xml:space="preserve">            </w:t>
            </w:r>
          </w:p>
          <w:p w14:paraId="35E274D7">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54D0FDCA">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p>
          <w:p w14:paraId="7A8CDC7B">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p>
          <w:p w14:paraId="019B2AEC">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p>
          <w:p w14:paraId="47FED1FB">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电话：</w:t>
            </w:r>
            <w:r>
              <w:rPr>
                <w:rFonts w:hint="eastAsia" w:ascii="宋体" w:hAnsi="宋体" w:eastAsia="宋体" w:cs="宋体"/>
                <w:color w:val="000000"/>
                <w:sz w:val="24"/>
                <w:szCs w:val="24"/>
                <w:u w:val="single"/>
              </w:rPr>
              <w:t xml:space="preserve">                       </w:t>
            </w:r>
          </w:p>
          <w:p w14:paraId="66F7C94C">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传真：</w:t>
            </w:r>
            <w:r>
              <w:rPr>
                <w:rFonts w:hint="eastAsia" w:ascii="宋体" w:hAnsi="宋体" w:eastAsia="宋体" w:cs="宋体"/>
                <w:color w:val="000000"/>
                <w:sz w:val="24"/>
                <w:szCs w:val="24"/>
                <w:u w:val="single"/>
              </w:rPr>
              <w:t xml:space="preserve">                       </w:t>
            </w:r>
          </w:p>
          <w:p w14:paraId="1E1B1F60">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14:paraId="7A33683B">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14:paraId="4A86198E">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账号：</w:t>
            </w:r>
            <w:r>
              <w:rPr>
                <w:rFonts w:hint="eastAsia" w:ascii="宋体" w:hAnsi="宋体" w:eastAsia="宋体" w:cs="宋体"/>
                <w:color w:val="000000"/>
                <w:sz w:val="24"/>
                <w:szCs w:val="24"/>
                <w:u w:val="single"/>
              </w:rPr>
              <w:t xml:space="preserve">                       </w:t>
            </w:r>
          </w:p>
        </w:tc>
      </w:tr>
    </w:tbl>
    <w:p w14:paraId="55CF81D7">
      <w:pPr>
        <w:rPr>
          <w:rFonts w:ascii="宋体" w:hAnsi="宋体" w:cs="宋体"/>
          <w:color w:val="000000"/>
        </w:rPr>
        <w:sectPr>
          <w:footerReference r:id="rId5" w:type="default"/>
          <w:pgSz w:w="11906" w:h="16838"/>
          <w:pgMar w:top="1440" w:right="1080" w:bottom="1440" w:left="1080" w:header="720" w:footer="850" w:gutter="0"/>
          <w:cols w:space="720" w:num="1"/>
          <w:docGrid w:linePitch="360" w:charSpace="0"/>
        </w:sectPr>
      </w:pPr>
      <w:r>
        <w:rPr>
          <w:rFonts w:hint="eastAsia" w:ascii="宋体" w:hAnsi="宋体" w:cs="宋体"/>
          <w:color w:val="000000"/>
        </w:rPr>
        <w:tab/>
      </w:r>
    </w:p>
    <w:p w14:paraId="58E0AF05">
      <w:pPr>
        <w:pStyle w:val="54"/>
        <w:keepNext w:val="0"/>
        <w:keepLines w:val="0"/>
        <w:spacing w:before="0" w:line="360" w:lineRule="auto"/>
        <w:jc w:val="center"/>
        <w:rPr>
          <w:rFonts w:ascii="宋体" w:hAnsi="宋体" w:cs="宋体"/>
          <w:color w:val="000000"/>
          <w:sz w:val="24"/>
          <w:szCs w:val="24"/>
        </w:rPr>
      </w:pPr>
      <w:bookmarkStart w:id="76" w:name="_Toc54862176"/>
      <w:r>
        <w:rPr>
          <w:rFonts w:hint="eastAsia" w:ascii="宋体" w:hAnsi="宋体" w:cs="宋体"/>
          <w:color w:val="000000"/>
          <w:sz w:val="24"/>
          <w:szCs w:val="24"/>
        </w:rPr>
        <w:t>第二部分 通用合同条件</w:t>
      </w:r>
      <w:bookmarkEnd w:id="76"/>
    </w:p>
    <w:p w14:paraId="58E34DCB">
      <w:pPr>
        <w:pStyle w:val="6"/>
        <w:ind w:firstLine="480"/>
        <w:rPr>
          <w:rFonts w:ascii="宋体" w:hAnsi="宋体" w:cs="宋体"/>
          <w:color w:val="000000"/>
          <w:sz w:val="24"/>
          <w:szCs w:val="24"/>
        </w:rPr>
      </w:pPr>
      <w:r>
        <w:rPr>
          <w:rFonts w:hint="eastAsia" w:ascii="宋体" w:hAnsi="宋体" w:cs="宋体"/>
          <w:color w:val="000000"/>
          <w:sz w:val="24"/>
          <w:szCs w:val="24"/>
        </w:rPr>
        <w:t>（使用建设部、国家工商行政管理局1999年12月24日印发的《建设工程施工合同（示范文本）》，详细内容投标人自行查阅或购买）</w:t>
      </w:r>
    </w:p>
    <w:p w14:paraId="5E8BCE23">
      <w:pPr>
        <w:sectPr>
          <w:pgSz w:w="11906" w:h="16838"/>
          <w:pgMar w:top="1440" w:right="1800" w:bottom="1440" w:left="1800" w:header="851" w:footer="992" w:gutter="0"/>
          <w:cols w:space="425" w:num="1"/>
          <w:docGrid w:type="lines" w:linePitch="312" w:charSpace="0"/>
        </w:sectPr>
      </w:pPr>
    </w:p>
    <w:p w14:paraId="452F3091">
      <w:pPr>
        <w:jc w:val="center"/>
        <w:rPr>
          <w:rFonts w:ascii="宋体" w:hAnsi="宋体" w:cs="宋体"/>
          <w:color w:val="000000"/>
          <w:sz w:val="24"/>
          <w:szCs w:val="24"/>
        </w:rPr>
      </w:pPr>
      <w:r>
        <w:rPr>
          <w:rFonts w:hint="eastAsia" w:ascii="宋体" w:hAnsi="宋体" w:cs="宋体"/>
          <w:color w:val="000000"/>
          <w:sz w:val="24"/>
          <w:szCs w:val="24"/>
        </w:rPr>
        <w:t>第三部分 专用合同条件</w:t>
      </w:r>
    </w:p>
    <w:p w14:paraId="6D079CA9">
      <w:pPr>
        <w:pStyle w:val="61"/>
        <w:spacing w:after="0"/>
        <w:jc w:val="left"/>
        <w:outlineLvl w:val="9"/>
        <w:rPr>
          <w:rFonts w:cs="宋体"/>
          <w:b w:val="0"/>
          <w:bCs/>
          <w:color w:val="000000"/>
          <w:sz w:val="24"/>
          <w:szCs w:val="24"/>
        </w:rPr>
      </w:pPr>
      <w:bookmarkStart w:id="77" w:name="_Toc54862332"/>
      <w:r>
        <w:rPr>
          <w:rFonts w:hint="eastAsia" w:cs="宋体"/>
          <w:b w:val="0"/>
          <w:bCs/>
          <w:color w:val="000000"/>
          <w:sz w:val="24"/>
          <w:szCs w:val="24"/>
        </w:rPr>
        <w:t>第1条 一般约定</w:t>
      </w:r>
      <w:bookmarkEnd w:id="77"/>
    </w:p>
    <w:p w14:paraId="66829E2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 词语定义和解释</w:t>
      </w:r>
    </w:p>
    <w:p w14:paraId="38889B9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1.1.1 合同</w:t>
      </w:r>
    </w:p>
    <w:p w14:paraId="43887A9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1.1.1.10 其他合同文件：</w:t>
      </w:r>
      <w:r>
        <w:rPr>
          <w:rFonts w:hint="eastAsia" w:ascii="宋体" w:hAnsi="宋体" w:cs="宋体"/>
          <w:color w:val="000000"/>
          <w:sz w:val="24"/>
          <w:szCs w:val="24"/>
          <w:u w:val="single"/>
        </w:rPr>
        <w:t>（1）标准、规范及有关技术资料；（2）发包人、承包人有关工程的洽商、变更等书面协议或文件视为本合同的组成部分</w:t>
      </w:r>
      <w:r>
        <w:rPr>
          <w:rFonts w:hint="eastAsia" w:ascii="宋体" w:hAnsi="宋体" w:cs="宋体"/>
          <w:color w:val="000000"/>
          <w:sz w:val="24"/>
          <w:szCs w:val="24"/>
        </w:rPr>
        <w:t>。</w:t>
      </w:r>
    </w:p>
    <w:p w14:paraId="266D5F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 工程和设备</w:t>
      </w:r>
    </w:p>
    <w:p w14:paraId="193459F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1.1.3.5 单位/区段工程的范围：</w:t>
      </w:r>
      <w:r>
        <w:rPr>
          <w:rFonts w:hint="eastAsia" w:ascii="宋体" w:hAnsi="宋体" w:cs="宋体"/>
          <w:color w:val="000000"/>
          <w:sz w:val="24"/>
          <w:szCs w:val="24"/>
          <w:u w:val="single"/>
        </w:rPr>
        <w:t>详见招标文件及发包人具体规定</w:t>
      </w:r>
      <w:r>
        <w:rPr>
          <w:rFonts w:hint="eastAsia" w:ascii="宋体" w:hAnsi="宋体" w:cs="宋体"/>
          <w:color w:val="000000"/>
          <w:sz w:val="24"/>
          <w:szCs w:val="24"/>
        </w:rPr>
        <w:t>。</w:t>
      </w:r>
    </w:p>
    <w:p w14:paraId="391917A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1.1.3.9 作为施工场所组成部分的其他场所包括：</w:t>
      </w:r>
      <w:r>
        <w:rPr>
          <w:rFonts w:hint="eastAsia" w:ascii="宋体" w:hAnsi="宋体" w:cs="宋体"/>
          <w:color w:val="000000"/>
          <w:sz w:val="24"/>
          <w:szCs w:val="24"/>
          <w:u w:val="single"/>
        </w:rPr>
        <w:t>临时设施及永久占地</w:t>
      </w:r>
      <w:r>
        <w:rPr>
          <w:rFonts w:hint="eastAsia" w:ascii="宋体" w:hAnsi="宋体" w:cs="宋体"/>
          <w:color w:val="000000"/>
          <w:sz w:val="24"/>
          <w:szCs w:val="24"/>
        </w:rPr>
        <w:t>。</w:t>
      </w:r>
    </w:p>
    <w:p w14:paraId="7C98DB1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1.1.3.10 永久占地包括：</w:t>
      </w:r>
      <w:r>
        <w:rPr>
          <w:rFonts w:hint="eastAsia" w:ascii="宋体" w:hAnsi="宋体" w:cs="宋体"/>
          <w:color w:val="000000"/>
          <w:sz w:val="24"/>
          <w:szCs w:val="24"/>
          <w:u w:val="single"/>
        </w:rPr>
        <w:t>红线范围内</w:t>
      </w:r>
      <w:r>
        <w:rPr>
          <w:rFonts w:hint="eastAsia" w:ascii="宋体" w:hAnsi="宋体" w:cs="宋体"/>
          <w:color w:val="000000"/>
          <w:sz w:val="24"/>
          <w:szCs w:val="24"/>
        </w:rPr>
        <w:t>。</w:t>
      </w:r>
    </w:p>
    <w:p w14:paraId="7A86F62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1.1.3.11 临时占地包括：</w:t>
      </w:r>
      <w:r>
        <w:rPr>
          <w:rFonts w:hint="eastAsia" w:ascii="宋体" w:hAnsi="宋体" w:cs="宋体"/>
          <w:color w:val="000000"/>
          <w:sz w:val="24"/>
          <w:szCs w:val="24"/>
          <w:u w:val="single"/>
        </w:rPr>
        <w:t>项目部及生产生活用地等</w:t>
      </w:r>
      <w:r>
        <w:rPr>
          <w:rFonts w:hint="eastAsia" w:ascii="宋体" w:hAnsi="宋体" w:cs="宋体"/>
          <w:color w:val="000000"/>
          <w:sz w:val="24"/>
          <w:szCs w:val="24"/>
        </w:rPr>
        <w:t>。</w:t>
      </w:r>
    </w:p>
    <w:p w14:paraId="4C18339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 语言文字</w:t>
      </w:r>
    </w:p>
    <w:p w14:paraId="5688F29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本合同除使用汉语外，还使用</w:t>
      </w:r>
      <w:r>
        <w:rPr>
          <w:rFonts w:hint="eastAsia" w:ascii="宋体" w:hAnsi="宋体" w:cs="宋体"/>
          <w:color w:val="000000"/>
          <w:sz w:val="24"/>
          <w:szCs w:val="24"/>
          <w:u w:val="single"/>
        </w:rPr>
        <w:t xml:space="preserve">          /         </w:t>
      </w:r>
      <w:r>
        <w:rPr>
          <w:rFonts w:hint="eastAsia" w:ascii="宋体" w:hAnsi="宋体" w:cs="宋体"/>
          <w:color w:val="000000"/>
          <w:sz w:val="24"/>
          <w:szCs w:val="24"/>
        </w:rPr>
        <w:t>语言。</w:t>
      </w:r>
    </w:p>
    <w:p w14:paraId="121FD34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 法律</w:t>
      </w:r>
    </w:p>
    <w:p w14:paraId="0E298EE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适用于合同的其他规范性文件：</w:t>
      </w:r>
      <w:r>
        <w:rPr>
          <w:rFonts w:hint="eastAsia" w:ascii="宋体" w:hAnsi="宋体" w:cs="宋体"/>
          <w:color w:val="000000"/>
          <w:sz w:val="24"/>
          <w:szCs w:val="24"/>
          <w:u w:val="single"/>
        </w:rPr>
        <w:t>中华人民共和国法律、行政法规、部门规章，以及工程所在地的地方法规、自治条例、单行条例和地方政府规章、行业规定、建设单位相关规定</w:t>
      </w:r>
      <w:r>
        <w:rPr>
          <w:rFonts w:hint="eastAsia" w:ascii="宋体" w:hAnsi="宋体" w:cs="宋体"/>
          <w:color w:val="000000"/>
          <w:sz w:val="24"/>
          <w:szCs w:val="24"/>
        </w:rPr>
        <w:t>。</w:t>
      </w:r>
    </w:p>
    <w:p w14:paraId="0335C5D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 标准和规范</w:t>
      </w:r>
    </w:p>
    <w:p w14:paraId="56B59B0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1.4.1 适用于本合同的标准、规范（名称）包括：</w:t>
      </w:r>
      <w:r>
        <w:rPr>
          <w:rFonts w:hint="eastAsia" w:ascii="宋体" w:hAnsi="宋体" w:cs="宋体"/>
          <w:color w:val="000000"/>
          <w:sz w:val="24"/>
          <w:szCs w:val="24"/>
          <w:u w:val="single"/>
        </w:rPr>
        <w:t>《中华人民共和国民法典》、《中华人民共和国建筑法》、《中华人民共和国招标投标法》、《中华人民共和国招标投标法实施条例》、《中华人民共和国安全生产法》、《中华人民共和国担保法》、《中华人民共和国反不正当竞争法》、七部委第12号令《评标委员会和评标方法暂行规定》、《建筑工程质量管理条例》、《建设工程安全生产管理条例》、《江苏省建筑市场管理条例》、《实施工程建设强制性标准监督规定》及其他有关法律、法规</w:t>
      </w:r>
      <w:r>
        <w:rPr>
          <w:rFonts w:hint="eastAsia" w:ascii="宋体" w:hAnsi="宋体" w:cs="宋体"/>
          <w:color w:val="000000"/>
          <w:sz w:val="24"/>
          <w:szCs w:val="24"/>
        </w:rPr>
        <w:t>。</w:t>
      </w:r>
    </w:p>
    <w:p w14:paraId="57F023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 发包人提供的国外标准、规范的名称：</w:t>
      </w:r>
      <w:r>
        <w:rPr>
          <w:rFonts w:hint="eastAsia" w:ascii="宋体" w:hAnsi="宋体" w:cs="宋体"/>
          <w:color w:val="000000"/>
          <w:sz w:val="24"/>
          <w:szCs w:val="24"/>
          <w:u w:val="single"/>
        </w:rPr>
        <w:t>双方协商确定</w:t>
      </w:r>
      <w:r>
        <w:rPr>
          <w:rFonts w:hint="eastAsia" w:ascii="宋体" w:hAnsi="宋体" w:cs="宋体"/>
          <w:color w:val="000000"/>
          <w:sz w:val="24"/>
          <w:szCs w:val="24"/>
        </w:rPr>
        <w:t>；发包人提供的国外标准、规范的份数：</w:t>
      </w:r>
      <w:r>
        <w:rPr>
          <w:rFonts w:hint="eastAsia" w:ascii="宋体" w:hAnsi="宋体" w:cs="宋体"/>
          <w:color w:val="000000"/>
          <w:sz w:val="24"/>
          <w:szCs w:val="24"/>
          <w:u w:val="single"/>
        </w:rPr>
        <w:t>双方协商确定</w:t>
      </w:r>
      <w:r>
        <w:rPr>
          <w:rFonts w:hint="eastAsia" w:ascii="宋体" w:hAnsi="宋体" w:cs="宋体"/>
          <w:color w:val="000000"/>
          <w:sz w:val="24"/>
          <w:szCs w:val="24"/>
        </w:rPr>
        <w:t>；发包人提供的国外标准、规范的时间：</w:t>
      </w:r>
      <w:r>
        <w:rPr>
          <w:rFonts w:hint="eastAsia" w:ascii="宋体" w:hAnsi="宋体" w:cs="宋体"/>
          <w:color w:val="000000"/>
          <w:sz w:val="24"/>
          <w:szCs w:val="24"/>
          <w:u w:val="single"/>
        </w:rPr>
        <w:t>双方协商确定</w:t>
      </w:r>
      <w:r>
        <w:rPr>
          <w:rFonts w:hint="eastAsia" w:ascii="宋体" w:hAnsi="宋体" w:cs="宋体"/>
          <w:color w:val="000000"/>
          <w:sz w:val="24"/>
          <w:szCs w:val="24"/>
        </w:rPr>
        <w:t>。</w:t>
      </w:r>
    </w:p>
    <w:p w14:paraId="11486A4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 没有成文规范、标准规定的约定：</w:t>
      </w:r>
      <w:r>
        <w:rPr>
          <w:rFonts w:hint="eastAsia" w:ascii="宋体" w:hAnsi="宋体" w:cs="宋体"/>
          <w:color w:val="000000"/>
          <w:sz w:val="24"/>
          <w:szCs w:val="24"/>
          <w:u w:val="single"/>
        </w:rPr>
        <w:t>双方协商确定</w:t>
      </w:r>
      <w:r>
        <w:rPr>
          <w:rFonts w:hint="eastAsia" w:ascii="宋体" w:hAnsi="宋体" w:cs="宋体"/>
          <w:color w:val="000000"/>
          <w:sz w:val="24"/>
          <w:szCs w:val="24"/>
        </w:rPr>
        <w:t>。</w:t>
      </w:r>
    </w:p>
    <w:p w14:paraId="00580A6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 发包人对于工程的技术标准、功能要求：</w:t>
      </w:r>
      <w:r>
        <w:rPr>
          <w:rFonts w:hint="eastAsia" w:ascii="宋体" w:hAnsi="宋体" w:cs="宋体"/>
          <w:color w:val="000000"/>
          <w:sz w:val="24"/>
          <w:szCs w:val="24"/>
          <w:u w:val="single"/>
        </w:rPr>
        <w:t>满足发包人及合同相关约定，达到本工程使用要求</w:t>
      </w:r>
      <w:r>
        <w:rPr>
          <w:rFonts w:hint="eastAsia" w:ascii="宋体" w:hAnsi="宋体" w:cs="宋体"/>
          <w:color w:val="000000"/>
          <w:sz w:val="24"/>
          <w:szCs w:val="24"/>
        </w:rPr>
        <w:t>。</w:t>
      </w:r>
    </w:p>
    <w:p w14:paraId="065CC7A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 合同文件的优先顺序</w:t>
      </w:r>
    </w:p>
    <w:p w14:paraId="7219445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合同文件组成及优先顺序为：</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1234FBA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 文件的提供和照管</w:t>
      </w:r>
    </w:p>
    <w:p w14:paraId="090DFE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1.6.1 发包人文件的提供</w:t>
      </w:r>
    </w:p>
    <w:p w14:paraId="126C10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发包人文件的提供期限、名称、数量和形式：</w:t>
      </w:r>
      <w:r>
        <w:rPr>
          <w:rFonts w:hint="eastAsia" w:ascii="宋体" w:hAnsi="宋体" w:cs="宋体"/>
          <w:color w:val="000000"/>
          <w:sz w:val="24"/>
          <w:szCs w:val="24"/>
          <w:u w:val="single"/>
        </w:rPr>
        <w:t>合同签订之后提供，具体根据工程实际需要提供</w:t>
      </w:r>
      <w:r>
        <w:rPr>
          <w:rFonts w:hint="eastAsia" w:ascii="宋体" w:hAnsi="宋体" w:cs="宋体"/>
          <w:color w:val="000000"/>
          <w:sz w:val="24"/>
          <w:szCs w:val="24"/>
        </w:rPr>
        <w:t>。</w:t>
      </w:r>
    </w:p>
    <w:p w14:paraId="5C0D975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1.6.2 承包人文件的提供</w:t>
      </w:r>
    </w:p>
    <w:p w14:paraId="5AC8A1E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承包人文件的内容、提供期限、名称、数量和形式：</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022A2DC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1.6.4 文件的照管</w:t>
      </w:r>
    </w:p>
    <w:p w14:paraId="5492004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关于现场文件准备的约定：</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7BF63C0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 联络</w:t>
      </w:r>
    </w:p>
    <w:p w14:paraId="6DA6791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1.7.2 发包人指定的送达方式（包括电子传输方式）：</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432F46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发包人的送达地址：</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2A10294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承包人指定的送达方式（包括电子传输方式）：</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3215156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承包人的送达地址：</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46A985D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 知识产权</w:t>
      </w:r>
    </w:p>
    <w:p w14:paraId="44E5953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1.10.1 由发包人（或以发包人名义）编制的《采购需求》和其他文件的著作权归属：</w:t>
      </w:r>
      <w:r>
        <w:rPr>
          <w:rFonts w:hint="eastAsia" w:ascii="宋体" w:hAnsi="宋体" w:cs="宋体"/>
          <w:color w:val="000000"/>
          <w:sz w:val="24"/>
          <w:szCs w:val="24"/>
          <w:u w:val="single"/>
        </w:rPr>
        <w:t>发包人</w:t>
      </w:r>
      <w:r>
        <w:rPr>
          <w:rFonts w:hint="eastAsia" w:ascii="宋体" w:hAnsi="宋体" w:cs="宋体"/>
          <w:color w:val="000000"/>
          <w:sz w:val="24"/>
          <w:szCs w:val="24"/>
        </w:rPr>
        <w:t>。</w:t>
      </w:r>
    </w:p>
    <w:p w14:paraId="3DB40DF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1.10.2 由承包人（或以承包人名义）为实施工程所编制的文件、承包人完成的设计工作成果和建造完成的建筑物的知识产权归属：</w:t>
      </w:r>
      <w:r>
        <w:rPr>
          <w:rFonts w:hint="eastAsia" w:ascii="宋体" w:hAnsi="宋体" w:cs="宋体"/>
          <w:color w:val="000000"/>
          <w:sz w:val="24"/>
          <w:szCs w:val="24"/>
          <w:u w:val="single"/>
        </w:rPr>
        <w:t>发包人</w:t>
      </w:r>
      <w:r>
        <w:rPr>
          <w:rFonts w:hint="eastAsia" w:ascii="宋体" w:hAnsi="宋体" w:cs="宋体"/>
          <w:color w:val="000000"/>
          <w:sz w:val="24"/>
          <w:szCs w:val="24"/>
        </w:rPr>
        <w:t>。</w:t>
      </w:r>
    </w:p>
    <w:p w14:paraId="7EA4FDC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1.10.4 承包人在投标文件中采用的专利、专有技术、技术秘密的使用费的承担方式：</w:t>
      </w:r>
      <w:r>
        <w:rPr>
          <w:rFonts w:hint="eastAsia" w:ascii="宋体" w:hAnsi="宋体" w:cs="宋体"/>
          <w:color w:val="000000"/>
          <w:sz w:val="24"/>
          <w:szCs w:val="24"/>
          <w:u w:val="single"/>
        </w:rPr>
        <w:t>已含在合同价中</w:t>
      </w:r>
      <w:r>
        <w:rPr>
          <w:rFonts w:hint="eastAsia" w:ascii="宋体" w:hAnsi="宋体" w:cs="宋体"/>
          <w:color w:val="000000"/>
          <w:sz w:val="24"/>
          <w:szCs w:val="24"/>
        </w:rPr>
        <w:t>。</w:t>
      </w:r>
    </w:p>
    <w:p w14:paraId="5BA34DA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1.11 保密</w:t>
      </w:r>
    </w:p>
    <w:p w14:paraId="56E33E5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双方订立的商业保密协议（名称）：</w:t>
      </w:r>
      <w:r>
        <w:rPr>
          <w:rFonts w:hint="eastAsia" w:ascii="宋体" w:hAnsi="宋体" w:cs="宋体"/>
          <w:color w:val="000000"/>
          <w:sz w:val="24"/>
          <w:szCs w:val="24"/>
          <w:u w:val="single"/>
        </w:rPr>
        <w:t>双方协商确定</w:t>
      </w:r>
      <w:r>
        <w:rPr>
          <w:rFonts w:hint="eastAsia" w:ascii="宋体" w:hAnsi="宋体" w:cs="宋体"/>
          <w:color w:val="000000"/>
          <w:sz w:val="24"/>
          <w:szCs w:val="24"/>
        </w:rPr>
        <w:t>，作为本合同附件。</w:t>
      </w:r>
    </w:p>
    <w:p w14:paraId="31484E7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双方订立的技术保密协议（名称）：</w:t>
      </w:r>
      <w:r>
        <w:rPr>
          <w:rFonts w:hint="eastAsia" w:ascii="宋体" w:hAnsi="宋体" w:cs="宋体"/>
          <w:color w:val="000000"/>
          <w:sz w:val="24"/>
          <w:szCs w:val="24"/>
          <w:u w:val="single"/>
        </w:rPr>
        <w:t>双方协商确定</w:t>
      </w:r>
      <w:r>
        <w:rPr>
          <w:rFonts w:hint="eastAsia" w:ascii="宋体" w:hAnsi="宋体" w:cs="宋体"/>
          <w:color w:val="000000"/>
          <w:sz w:val="24"/>
          <w:szCs w:val="24"/>
        </w:rPr>
        <w:t>，作为本合同附件。</w:t>
      </w:r>
    </w:p>
    <w:p w14:paraId="7274146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 责任限制</w:t>
      </w:r>
    </w:p>
    <w:p w14:paraId="198DC18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承包人对发包人赔偿责任的最高限额为</w:t>
      </w:r>
      <w:r>
        <w:rPr>
          <w:rFonts w:hint="eastAsia" w:ascii="宋体" w:hAnsi="宋体" w:cs="宋体"/>
          <w:color w:val="000000"/>
          <w:sz w:val="24"/>
          <w:szCs w:val="24"/>
          <w:u w:val="single"/>
        </w:rPr>
        <w:t>签约合同价，但对于因欺诈、犯罪、故意、重大过失、人身伤害等不当行为造成的损失，赔偿的责任限度不受上述最高限额的限制</w:t>
      </w:r>
      <w:r>
        <w:rPr>
          <w:rFonts w:hint="eastAsia" w:ascii="宋体" w:hAnsi="宋体" w:cs="宋体"/>
          <w:color w:val="000000"/>
          <w:sz w:val="24"/>
          <w:szCs w:val="24"/>
        </w:rPr>
        <w:t>。</w:t>
      </w:r>
    </w:p>
    <w:p w14:paraId="0E0943B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1.14 建筑信息模型技术的应用</w:t>
      </w:r>
    </w:p>
    <w:p w14:paraId="14D78F2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关于建筑信息模型技术的开发、使用、存储、传输、交付及费用约定如下：</w:t>
      </w:r>
      <w:r>
        <w:rPr>
          <w:rFonts w:hint="eastAsia" w:ascii="宋体" w:hAnsi="宋体" w:cs="宋体"/>
          <w:color w:val="000000"/>
          <w:sz w:val="24"/>
          <w:szCs w:val="24"/>
          <w:u w:val="single"/>
        </w:rPr>
        <w:t>已含在合同价中</w:t>
      </w:r>
      <w:r>
        <w:rPr>
          <w:rFonts w:hint="eastAsia" w:ascii="宋体" w:hAnsi="宋体" w:cs="宋体"/>
          <w:color w:val="000000"/>
          <w:sz w:val="24"/>
          <w:szCs w:val="24"/>
        </w:rPr>
        <w:t>。</w:t>
      </w:r>
    </w:p>
    <w:p w14:paraId="742D3836">
      <w:pPr>
        <w:pStyle w:val="61"/>
        <w:spacing w:after="0"/>
        <w:jc w:val="left"/>
        <w:outlineLvl w:val="9"/>
        <w:rPr>
          <w:rFonts w:cs="宋体"/>
          <w:b w:val="0"/>
          <w:bCs/>
          <w:color w:val="000000"/>
          <w:sz w:val="24"/>
          <w:szCs w:val="24"/>
        </w:rPr>
      </w:pPr>
      <w:bookmarkStart w:id="78" w:name="_Toc54862333"/>
      <w:r>
        <w:rPr>
          <w:rFonts w:hint="eastAsia" w:cs="宋体"/>
          <w:b w:val="0"/>
          <w:bCs/>
          <w:color w:val="000000"/>
          <w:sz w:val="24"/>
          <w:szCs w:val="24"/>
        </w:rPr>
        <w:t>第2条 发包人</w:t>
      </w:r>
      <w:bookmarkEnd w:id="78"/>
    </w:p>
    <w:p w14:paraId="4F60AA4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 提供施工现场和工作条件</w:t>
      </w:r>
    </w:p>
    <w:p w14:paraId="7D2AD1C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2.2.1 提供施工现场</w:t>
      </w:r>
    </w:p>
    <w:p w14:paraId="6C7680E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关于发包人提供施工现场的范围和期限：</w:t>
      </w:r>
      <w:r>
        <w:rPr>
          <w:rFonts w:hint="eastAsia" w:ascii="宋体" w:hAnsi="宋体" w:cs="宋体"/>
          <w:color w:val="000000"/>
          <w:sz w:val="24"/>
          <w:szCs w:val="24"/>
          <w:u w:val="single"/>
        </w:rPr>
        <w:t>施工现场的范围为项目红线范围内；提供期限按通用条款执行</w:t>
      </w:r>
      <w:r>
        <w:rPr>
          <w:rFonts w:hint="eastAsia" w:ascii="宋体" w:hAnsi="宋体" w:cs="宋体"/>
          <w:color w:val="000000"/>
          <w:sz w:val="24"/>
          <w:szCs w:val="24"/>
        </w:rPr>
        <w:t>。</w:t>
      </w:r>
    </w:p>
    <w:p w14:paraId="31EBA39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2.2.2 提供工作条件</w:t>
      </w:r>
    </w:p>
    <w:p w14:paraId="434C250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关于发包人应负责提供的工作条件包括：</w:t>
      </w:r>
      <w:r>
        <w:rPr>
          <w:rFonts w:hint="eastAsia" w:ascii="宋体" w:hAnsi="宋体" w:cs="宋体"/>
          <w:color w:val="000000"/>
          <w:sz w:val="24"/>
          <w:szCs w:val="24"/>
          <w:u w:val="single"/>
        </w:rPr>
        <w:t>完善相关手续，其他执行通用条款</w:t>
      </w:r>
      <w:r>
        <w:rPr>
          <w:rFonts w:hint="eastAsia" w:ascii="宋体" w:hAnsi="宋体" w:cs="宋体"/>
          <w:color w:val="000000"/>
          <w:sz w:val="24"/>
          <w:szCs w:val="24"/>
        </w:rPr>
        <w:t>。</w:t>
      </w:r>
    </w:p>
    <w:p w14:paraId="7C12BB4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发包人提供的临时用水、用电等类别、取费单价：施工现场发包人提供水源、电源接口，承包人根据现场情况自行考虑接水、接电费用，施工期间供水、供电费用由发包人承担，此部分费用包含在合同总价中，以后不作调整。养护期间用水、用电由承包人自行承担。</w:t>
      </w:r>
    </w:p>
    <w:p w14:paraId="02E3989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2.3 提供基础资料</w:t>
      </w:r>
    </w:p>
    <w:p w14:paraId="3356F5C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关于发包人应提供的基础资料的范围和期限：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B67615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2.5 支付合同价款</w:t>
      </w:r>
    </w:p>
    <w:p w14:paraId="4DC8B72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2.5.2 发包人提供资金来源证明及资金安排的期限要求：</w:t>
      </w:r>
      <w:r>
        <w:rPr>
          <w:rFonts w:hint="eastAsia" w:ascii="宋体" w:hAnsi="宋体" w:cs="宋体"/>
          <w:color w:val="000000"/>
          <w:sz w:val="24"/>
          <w:szCs w:val="24"/>
          <w:u w:val="single"/>
        </w:rPr>
        <w:t>根据发包人管理规定执行</w:t>
      </w:r>
      <w:r>
        <w:rPr>
          <w:rFonts w:hint="eastAsia" w:ascii="宋体" w:hAnsi="宋体" w:cs="宋体"/>
          <w:color w:val="000000"/>
          <w:sz w:val="24"/>
          <w:szCs w:val="24"/>
        </w:rPr>
        <w:t>。</w:t>
      </w:r>
    </w:p>
    <w:p w14:paraId="194546F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2.5.3发包人提供支付担保的形式、期限、金额（或比例）：</w:t>
      </w:r>
      <w:r>
        <w:rPr>
          <w:rFonts w:hint="eastAsia" w:ascii="宋体" w:hAnsi="宋体" w:cs="宋体"/>
          <w:color w:val="000000"/>
          <w:sz w:val="24"/>
          <w:szCs w:val="24"/>
          <w:u w:val="single"/>
        </w:rPr>
        <w:t>/</w:t>
      </w:r>
      <w:r>
        <w:rPr>
          <w:rFonts w:hint="eastAsia" w:ascii="宋体" w:hAnsi="宋体" w:cs="宋体"/>
          <w:color w:val="000000"/>
          <w:sz w:val="24"/>
          <w:szCs w:val="24"/>
        </w:rPr>
        <w:t>。</w:t>
      </w:r>
    </w:p>
    <w:p w14:paraId="544F2F1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2.7 其他义务</w:t>
      </w:r>
    </w:p>
    <w:p w14:paraId="2A67159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发包人应履行的其他义务：</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2B45AA97">
      <w:pPr>
        <w:pStyle w:val="61"/>
        <w:spacing w:after="0"/>
        <w:jc w:val="left"/>
        <w:outlineLvl w:val="9"/>
        <w:rPr>
          <w:rFonts w:cs="宋体"/>
          <w:b w:val="0"/>
          <w:bCs/>
          <w:color w:val="000000"/>
          <w:sz w:val="24"/>
          <w:szCs w:val="24"/>
        </w:rPr>
      </w:pPr>
      <w:bookmarkStart w:id="79" w:name="_Toc54862334"/>
      <w:r>
        <w:rPr>
          <w:rFonts w:hint="eastAsia" w:cs="宋体"/>
          <w:b w:val="0"/>
          <w:bCs/>
          <w:color w:val="000000"/>
          <w:sz w:val="24"/>
          <w:szCs w:val="24"/>
        </w:rPr>
        <w:t>第3条 发包人的管理</w:t>
      </w:r>
      <w:bookmarkEnd w:id="79"/>
    </w:p>
    <w:p w14:paraId="4285DF8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3.1 发包人代表</w:t>
      </w:r>
    </w:p>
    <w:p w14:paraId="16B422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发包人代表的姓名：</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2C73470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发包人代表的身份证号：</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6034115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发包人代表的职务：</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83355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发包人代表的联系电话：</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E95B04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发包人代表的电子邮箱：</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E2EF16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发包人代表的通信地址：</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F8ED08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发包人对发包人代表的授权范围如下：</w:t>
      </w:r>
      <w:r>
        <w:rPr>
          <w:rFonts w:hint="eastAsia" w:ascii="宋体" w:hAnsi="宋体" w:cs="宋体"/>
          <w:color w:val="000000"/>
          <w:sz w:val="24"/>
          <w:szCs w:val="24"/>
          <w:u w:val="single"/>
        </w:rPr>
        <w:t>对工程进行全面监督、审批监理工程师提交的报告、协调外部关系以保证工程顺利进行；检查、督促承包人、监理单位的现场工作；组织协调施工现场与工程相关部门的工作，发包人指令的下达、相关问题的处理</w:t>
      </w:r>
      <w:r>
        <w:rPr>
          <w:rFonts w:hint="eastAsia" w:ascii="宋体" w:hAnsi="宋体" w:cs="宋体"/>
          <w:color w:val="000000"/>
          <w:sz w:val="24"/>
          <w:szCs w:val="24"/>
        </w:rPr>
        <w:t>；</w:t>
      </w:r>
    </w:p>
    <w:p w14:paraId="20121B8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发包人代表的职责：</w:t>
      </w:r>
      <w:r>
        <w:rPr>
          <w:rFonts w:hint="eastAsia" w:ascii="宋体" w:hAnsi="宋体" w:cs="宋体"/>
          <w:color w:val="000000"/>
          <w:sz w:val="24"/>
          <w:szCs w:val="24"/>
          <w:u w:val="single"/>
        </w:rPr>
        <w:t xml:space="preserve">对工程进行全面监督、审批监理工程师提交的报告、协调外部关系以保证工程顺利进行；检查、督促承包人、监理单位的现场工作；组织协调施工现场与工程相关部门的工作，发包人指令的下达、相关问题的处理 </w:t>
      </w:r>
      <w:r>
        <w:rPr>
          <w:rFonts w:hint="eastAsia" w:ascii="宋体" w:hAnsi="宋体" w:cs="宋体"/>
          <w:color w:val="000000"/>
          <w:sz w:val="24"/>
          <w:szCs w:val="24"/>
        </w:rPr>
        <w:t>。</w:t>
      </w:r>
    </w:p>
    <w:p w14:paraId="48E49E8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3.2 发包人人员</w:t>
      </w:r>
    </w:p>
    <w:p w14:paraId="5144B6C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发包人人员姓名：</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B8B2D5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发包人人员职务：</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57F836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发包人人员职责：</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20C443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3.3 工程师</w:t>
      </w:r>
    </w:p>
    <w:p w14:paraId="306D3B2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3.3.1工程师名称：</w:t>
      </w:r>
      <w:r>
        <w:rPr>
          <w:rFonts w:hint="eastAsia" w:ascii="宋体" w:hAnsi="宋体" w:cs="宋体"/>
          <w:color w:val="000000"/>
          <w:sz w:val="24"/>
          <w:szCs w:val="24"/>
          <w:u w:val="single"/>
        </w:rPr>
        <w:t xml:space="preserve">  /  </w:t>
      </w:r>
      <w:r>
        <w:rPr>
          <w:rFonts w:hint="eastAsia" w:ascii="宋体" w:hAnsi="宋体" w:cs="宋体"/>
          <w:color w:val="000000"/>
          <w:sz w:val="24"/>
          <w:szCs w:val="24"/>
        </w:rPr>
        <w:t>；工程师监督管理范围、内容：</w:t>
      </w:r>
      <w:r>
        <w:rPr>
          <w:rFonts w:hint="eastAsia" w:ascii="宋体" w:hAnsi="宋体" w:cs="宋体"/>
          <w:color w:val="000000"/>
          <w:sz w:val="24"/>
          <w:szCs w:val="24"/>
          <w:u w:val="single"/>
        </w:rPr>
        <w:t xml:space="preserve"> /  </w:t>
      </w:r>
      <w:r>
        <w:rPr>
          <w:rFonts w:hint="eastAsia" w:ascii="宋体" w:hAnsi="宋体" w:cs="宋体"/>
          <w:color w:val="000000"/>
          <w:sz w:val="24"/>
          <w:szCs w:val="24"/>
        </w:rPr>
        <w:t>；工程师权限：</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3D4ADEE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3.6 商定或确定</w:t>
      </w:r>
    </w:p>
    <w:p w14:paraId="3A190AF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3.6.2 关于商定时间限制的具体约定：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FA5D54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3.6.3 关于商定或确定效力的具体约定：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；关于对工程师的确定提出异议的具体约定：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2754E64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3.7 会议</w:t>
      </w:r>
    </w:p>
    <w:p w14:paraId="53A82F5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3.7.1 关于召开会议的具体约定：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B8175B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3.7.2 关于保存和提供会议纪要的具体约定：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D9B3B84">
      <w:pPr>
        <w:pStyle w:val="61"/>
        <w:spacing w:after="0"/>
        <w:jc w:val="left"/>
        <w:outlineLvl w:val="9"/>
        <w:rPr>
          <w:rFonts w:cs="宋体"/>
          <w:b w:val="0"/>
          <w:bCs/>
          <w:color w:val="000000"/>
          <w:sz w:val="24"/>
          <w:szCs w:val="24"/>
        </w:rPr>
      </w:pPr>
      <w:bookmarkStart w:id="80" w:name="_Toc54862335"/>
      <w:r>
        <w:rPr>
          <w:rFonts w:hint="eastAsia" w:cs="宋体"/>
          <w:b w:val="0"/>
          <w:bCs/>
          <w:color w:val="000000"/>
          <w:sz w:val="24"/>
          <w:szCs w:val="24"/>
        </w:rPr>
        <w:t>第4条 承包人</w:t>
      </w:r>
      <w:bookmarkEnd w:id="80"/>
    </w:p>
    <w:p w14:paraId="48B2D03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4.1 承包人的一般义务</w:t>
      </w:r>
    </w:p>
    <w:p w14:paraId="3E5D0DE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承包人应履行的其他义务：</w:t>
      </w:r>
      <w:r>
        <w:rPr>
          <w:rFonts w:hint="eastAsia" w:ascii="宋体" w:hAnsi="宋体" w:cs="宋体"/>
          <w:color w:val="000000"/>
          <w:sz w:val="24"/>
          <w:szCs w:val="24"/>
          <w:u w:val="single"/>
        </w:rPr>
        <w:t>（1）办理法律规定和合同约定由承包人办理的许可和批准，将办理结果书面报送发包人留存，并承担因承包人违反法律或合同约定给发包人造成的任何费用和损失</w:t>
      </w:r>
      <w:r>
        <w:rPr>
          <w:rFonts w:hint="eastAsia" w:ascii="宋体" w:hAnsi="宋体" w:cs="宋体"/>
          <w:color w:val="000000"/>
          <w:sz w:val="24"/>
          <w:szCs w:val="24"/>
        </w:rPr>
        <w:t>；</w:t>
      </w:r>
    </w:p>
    <w:p w14:paraId="55B9945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（2）按合同约定完成全部工作并在缺陷责任期和保修期内承担缺陷保证责任和保修义务，对工作中的任何缺陷进行整改、完善和修补，使其满足合同约定的目的</w:t>
      </w:r>
      <w:r>
        <w:rPr>
          <w:rFonts w:hint="eastAsia" w:ascii="宋体" w:hAnsi="宋体" w:cs="宋体"/>
          <w:color w:val="000000"/>
          <w:sz w:val="24"/>
          <w:szCs w:val="24"/>
        </w:rPr>
        <w:t>；</w:t>
      </w:r>
    </w:p>
    <w:p w14:paraId="38CADD5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（3）提供合同约定的工程设备和承包人文件，以及为完成合同工作所需的劳务、材料、施工设备和其他物品，并按合同约定负责临时设施的设计、施工、运行、维护、管理和拆除</w:t>
      </w:r>
      <w:r>
        <w:rPr>
          <w:rFonts w:hint="eastAsia" w:ascii="宋体" w:hAnsi="宋体" w:cs="宋体"/>
          <w:color w:val="000000"/>
          <w:sz w:val="24"/>
          <w:szCs w:val="24"/>
        </w:rPr>
        <w:t>；</w:t>
      </w:r>
    </w:p>
    <w:p w14:paraId="4866AF1A">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（4）按合同约定的工作内容和进度要求，编制设计、施工的组织和实施计划，保证项目进度计划的实现，并对所有设计、施工作业和施工方法，以及全部工程的完备性和安全可靠性负责</w:t>
      </w:r>
      <w:r>
        <w:rPr>
          <w:rFonts w:hint="eastAsia" w:ascii="宋体" w:hAnsi="宋体" w:cs="宋体"/>
          <w:color w:val="000000"/>
          <w:sz w:val="24"/>
          <w:szCs w:val="24"/>
        </w:rPr>
        <w:t>；</w:t>
      </w:r>
    </w:p>
    <w:p w14:paraId="2DE31DC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（5）按法律规定和合同约定采取安全文明施工、职业健康和环境保护措施，办理员工工伤保险等相关保险，确保工程及人员、材料、设备和设施的安全，防止因工程实施造成的人身伤害和财产损失</w:t>
      </w:r>
      <w:r>
        <w:rPr>
          <w:rFonts w:hint="eastAsia" w:ascii="宋体" w:hAnsi="宋体" w:cs="宋体"/>
          <w:color w:val="000000"/>
          <w:sz w:val="24"/>
          <w:szCs w:val="24"/>
        </w:rPr>
        <w:t>；</w:t>
      </w:r>
    </w:p>
    <w:p w14:paraId="65886D3F">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（6）将发包人按合同约定支付的各项价款专用于合同工程，且应及时支付其雇用人员（包括建筑工人）工资，并及时向分包人支付合同价款</w:t>
      </w:r>
      <w:r>
        <w:rPr>
          <w:rFonts w:hint="eastAsia" w:ascii="宋体" w:hAnsi="宋体" w:cs="宋体"/>
          <w:color w:val="000000"/>
          <w:sz w:val="24"/>
          <w:szCs w:val="24"/>
        </w:rPr>
        <w:t>；</w:t>
      </w:r>
    </w:p>
    <w:p w14:paraId="281846E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（7）在进行合同约定的各项工作时，不得侵害发包人与他人使用公用道路、水源、市政管网等公共设施的权利，避免对邻近的公共设施产生干扰</w:t>
      </w:r>
      <w:r>
        <w:rPr>
          <w:rFonts w:hint="eastAsia" w:ascii="宋体" w:hAnsi="宋体" w:cs="宋体"/>
          <w:color w:val="000000"/>
          <w:sz w:val="24"/>
          <w:szCs w:val="24"/>
        </w:rPr>
        <w:t>；</w:t>
      </w:r>
    </w:p>
    <w:p w14:paraId="6DB11AB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8）承担施工安全保卫工作及非夜间施工照明的责任和要求：承包人认真做好施工现场的安全防护工作（包括照明、安全设施等），承包人对安全防护工作负全责（责任和费用）。在实施和完成本工程过程中，承包人应充分关注和保障所有在场人员及行人的安全，采取有效措施，使施工现场和本工程的实施保持有条不紊；为保护本工程免遭损坏，或为现场附近和过往人群的安全与方便，在确有必要的时候和地方，当监理工程师或有关主管部门要求时，承包人应提供照明、警卫、护栅、警告标志等安全防护措施。非施工人员不得进入现场。相关费用已包含在合同价中。安全事故，由承包人承担所有责任，发包人不承担任何责任</w:t>
      </w:r>
      <w:r>
        <w:rPr>
          <w:rFonts w:hint="eastAsia" w:ascii="宋体" w:hAnsi="宋体" w:cs="宋体"/>
          <w:color w:val="000000"/>
          <w:sz w:val="24"/>
          <w:szCs w:val="24"/>
        </w:rPr>
        <w:t>；</w:t>
      </w:r>
    </w:p>
    <w:p w14:paraId="0420997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（9）向发包人提供的办公和生活房屋及设施的要求：根据发包人具体要求执行</w:t>
      </w:r>
      <w:r>
        <w:rPr>
          <w:rFonts w:hint="eastAsia" w:ascii="宋体" w:hAnsi="宋体" w:cs="宋体"/>
          <w:color w:val="000000"/>
          <w:sz w:val="24"/>
          <w:szCs w:val="24"/>
        </w:rPr>
        <w:t>；</w:t>
      </w:r>
    </w:p>
    <w:p w14:paraId="444FA22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10）需承包人办理的有关施工场地交通、环卫和施工噪音管理等手续:承包人应遵守政府有关主管部门对施工场地及城市道路、周边建筑排污、渣土、环保（含施工噪音、施工粉尘）、环卫、市容、城建、治安、交管、人口管理以及安全生产等的管理规定，由承包人办理相关手续，并由承包人承担发生的一切费用，发包人不承担任何费用</w:t>
      </w:r>
      <w:r>
        <w:rPr>
          <w:rFonts w:hint="eastAsia" w:ascii="宋体" w:hAnsi="宋体" w:cs="宋体"/>
          <w:color w:val="000000"/>
          <w:sz w:val="24"/>
          <w:szCs w:val="24"/>
        </w:rPr>
        <w:t>；</w:t>
      </w:r>
    </w:p>
    <w:p w14:paraId="13D0BC8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11）已完工程成品保护的特殊要求及费用承担：由承包人负责成品保护并承担费用，发包人不承担任何费用。因承包人原因造成破坏的，承包人必须无条件及时修复，并承担由此发生的全部费用和责任，发包人不承担任何责任和费用</w:t>
      </w:r>
      <w:r>
        <w:rPr>
          <w:rFonts w:hint="eastAsia" w:ascii="宋体" w:hAnsi="宋体" w:cs="宋体"/>
          <w:color w:val="000000"/>
          <w:sz w:val="24"/>
          <w:szCs w:val="24"/>
        </w:rPr>
        <w:t>；</w:t>
      </w:r>
    </w:p>
    <w:p w14:paraId="27C854E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（12）施工场地周围地下管线和邻近建筑物、构筑物(含文物保护建筑)、古树名木的保护要求及费用承担</w:t>
      </w:r>
      <w:r>
        <w:rPr>
          <w:rFonts w:hint="eastAsia" w:ascii="宋体" w:hAnsi="宋体" w:cs="宋体"/>
          <w:color w:val="000000"/>
          <w:sz w:val="24"/>
          <w:szCs w:val="24"/>
        </w:rPr>
        <w:t>：</w:t>
      </w:r>
    </w:p>
    <w:p w14:paraId="74F5336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现场施工应采取相应的保护措施，并将保护措施及设施清单登记造册报发包人备案。如承包人未履行上述义务造成工程、财产的损失，由承包人承担责任及所发生的费用。如承包人未及时解决上述问题并引起不良影响的，发包人有权直接赔付，费用从工程款中扣除。尤其是需做好管线保护工作，具体要求是：1、有审批手续；2、有施工方案；3、有标志标识；4、有管线资料和现场交底；5、有探挖工序；6、有应急预案（联络方式）</w:t>
      </w:r>
      <w:r>
        <w:rPr>
          <w:rFonts w:hint="eastAsia" w:ascii="宋体" w:hAnsi="宋体" w:cs="宋体"/>
          <w:color w:val="000000"/>
          <w:sz w:val="24"/>
          <w:szCs w:val="24"/>
        </w:rPr>
        <w:t>。</w:t>
      </w:r>
    </w:p>
    <w:p w14:paraId="206F0D42">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因承包人原因造成破坏的，承包人必须无条件及时修复，并承担由此发生的全部费用和责任</w:t>
      </w:r>
      <w:r>
        <w:rPr>
          <w:rFonts w:hint="eastAsia" w:ascii="宋体" w:hAnsi="宋体" w:cs="宋体"/>
          <w:color w:val="000000"/>
          <w:sz w:val="24"/>
          <w:szCs w:val="24"/>
        </w:rPr>
        <w:t>；</w:t>
      </w:r>
    </w:p>
    <w:p w14:paraId="307621F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（13）施工场地清洁卫生的要求：按标准化施工现场管理，保持现场清洁，符合环境要求；交工前清理现场，因施工产生的垃圾外运，费用由承包人自理</w:t>
      </w:r>
      <w:r>
        <w:rPr>
          <w:rFonts w:hint="eastAsia" w:ascii="宋体" w:hAnsi="宋体" w:cs="宋体"/>
          <w:color w:val="000000"/>
          <w:sz w:val="24"/>
          <w:szCs w:val="24"/>
        </w:rPr>
        <w:t>；</w:t>
      </w:r>
    </w:p>
    <w:p w14:paraId="44B4BA6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（14）施工过程中因承包人与周围发生的纠纷由承包人自行协商解决，费用由承包人自理，发包人不承担任何责任和费用</w:t>
      </w:r>
      <w:r>
        <w:rPr>
          <w:rFonts w:hint="eastAsia" w:ascii="宋体" w:hAnsi="宋体" w:cs="宋体"/>
          <w:color w:val="000000"/>
          <w:sz w:val="24"/>
          <w:szCs w:val="24"/>
        </w:rPr>
        <w:t>。</w:t>
      </w:r>
    </w:p>
    <w:p w14:paraId="3D48861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15）由发包人根据合同确定的材料单价、综合单价、预算等造价资料，作为进度付款及竣工结算有效依据之一部分。承包人如有异议的，与发包人协商解决，无论任何原因，该造价资料的确定与否，并不减免承包人履行合同时其余应有的责任，且承包人不得以任何理由向发包人提出额外的工期与费用索赔</w:t>
      </w:r>
      <w:r>
        <w:rPr>
          <w:rFonts w:hint="eastAsia" w:ascii="宋体" w:hAnsi="宋体" w:cs="宋体"/>
          <w:color w:val="000000"/>
          <w:sz w:val="24"/>
          <w:szCs w:val="24"/>
        </w:rPr>
        <w:t>。</w:t>
      </w:r>
    </w:p>
    <w:p w14:paraId="292B5C9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（16）按法律规定和合同约定采取施工安全和环境保护措施，办理工伤保险，确保工程及人员、材料、设备和设施的安全。</w:t>
      </w:r>
    </w:p>
    <w:p w14:paraId="30B0CFD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（17）按合同约定的工作内容和施工进度要求，编制施工组织设计和施工措施计划，并对所有施工作业和施工方法的完备性和安全可靠性负责</w:t>
      </w:r>
      <w:r>
        <w:rPr>
          <w:rFonts w:hint="eastAsia" w:ascii="宋体" w:hAnsi="宋体" w:cs="宋体"/>
          <w:color w:val="000000"/>
          <w:sz w:val="24"/>
          <w:szCs w:val="24"/>
        </w:rPr>
        <w:t>。</w:t>
      </w:r>
    </w:p>
    <w:p w14:paraId="150D6A9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（18）承包人应履行总包职责，加强进出场车辆的冲洗管理，避免因进出场车辆未及时冲洗而造成现场周边道路污染，如出现相关单位因道路污染进行处罚的情况，发包人将按相同处罚金额追加处罚</w:t>
      </w:r>
      <w:r>
        <w:rPr>
          <w:rFonts w:hint="eastAsia" w:ascii="宋体" w:hAnsi="宋体" w:cs="宋体"/>
          <w:color w:val="000000"/>
          <w:sz w:val="24"/>
          <w:szCs w:val="24"/>
        </w:rPr>
        <w:t>。</w:t>
      </w:r>
    </w:p>
    <w:p w14:paraId="3A10BAD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19）承包人应按建设行政管理部门和相关部门的要求，在施工场地设置安全施工、防火宣传标牌、标语以及设施，组织专门的保卫和值班人员，坚持昼夜巡视、检查；承包人在进场前要制订对人员、机械设备的操作及安全用电等各方面的安全制度，增强全体施工人员的安全意识，落实安全责任，保证做到绝对安全；承包人应承担施工安全保卫工作及非夜间施工照明的所有责任，并承担费用</w:t>
      </w:r>
      <w:r>
        <w:rPr>
          <w:rFonts w:hint="eastAsia" w:ascii="宋体" w:hAnsi="宋体" w:cs="宋体"/>
          <w:color w:val="000000"/>
          <w:sz w:val="24"/>
          <w:szCs w:val="24"/>
        </w:rPr>
        <w:t>。</w:t>
      </w:r>
    </w:p>
    <w:p w14:paraId="3018487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（20）承包人应与所有施工人员签订劳动用工合同，明确劳动报酬，及时足额支付劳动报酬，对发包人支付的工程款项，应优先用于支付工人工资</w:t>
      </w:r>
      <w:r>
        <w:rPr>
          <w:rFonts w:hint="eastAsia" w:ascii="宋体" w:hAnsi="宋体" w:cs="宋体"/>
          <w:color w:val="000000"/>
          <w:sz w:val="24"/>
          <w:szCs w:val="24"/>
        </w:rPr>
        <w:t>。</w:t>
      </w:r>
    </w:p>
    <w:p w14:paraId="66F5308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（21）承包人采购材料、设备前须得到发包人、监理工程师的认可，如承包人选定品牌不满足发包人招标文件要求时，发包人有权要求承包人按规定品牌更换</w:t>
      </w:r>
      <w:r>
        <w:rPr>
          <w:rFonts w:hint="eastAsia" w:ascii="宋体" w:hAnsi="宋体" w:cs="宋体"/>
          <w:color w:val="000000"/>
          <w:sz w:val="24"/>
          <w:szCs w:val="24"/>
        </w:rPr>
        <w:t>。</w:t>
      </w:r>
    </w:p>
    <w:p w14:paraId="158A944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（22）双方约定承包人应做的其它工作（包括但不限于）：</w:t>
      </w:r>
    </w:p>
    <w:p w14:paraId="17BCEBD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A、施工过程中，部分工序按规定须有监理旁站和监督下进行的，必须及时通知监理旁站和监督，并且有及时的记录，记录原始稿上须有发包人、监理、承包人共同签字和具体实施部位工序和日期，每天一签，每天要送发包人、监理方各一份，该记录原始稿将作为计量和验收的依据，否则不予验收和计量</w:t>
      </w:r>
      <w:r>
        <w:rPr>
          <w:rFonts w:hint="eastAsia" w:ascii="宋体" w:hAnsi="宋体" w:cs="宋体"/>
          <w:color w:val="000000"/>
          <w:sz w:val="24"/>
          <w:szCs w:val="24"/>
        </w:rPr>
        <w:t>。</w:t>
      </w:r>
    </w:p>
    <w:p w14:paraId="1C4A356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B、严格按施工图纸、国家及江苏省现行的施工及技术验收规范进行施工，做好自检工作，并按规定程序进行检测和报验，确保工程质量和工期</w:t>
      </w:r>
      <w:r>
        <w:rPr>
          <w:rFonts w:hint="eastAsia" w:ascii="宋体" w:hAnsi="宋体" w:cs="宋体"/>
          <w:color w:val="000000"/>
          <w:sz w:val="24"/>
          <w:szCs w:val="24"/>
        </w:rPr>
        <w:t>。</w:t>
      </w:r>
    </w:p>
    <w:p w14:paraId="6E75BE7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C、严格按施工安全规范要求采取预防事故的措施，确保施工安全和第三者安全</w:t>
      </w:r>
      <w:r>
        <w:rPr>
          <w:rFonts w:hint="eastAsia" w:ascii="宋体" w:hAnsi="宋体" w:cs="宋体"/>
          <w:color w:val="000000"/>
          <w:sz w:val="24"/>
          <w:szCs w:val="24"/>
        </w:rPr>
        <w:t>。</w:t>
      </w:r>
    </w:p>
    <w:p w14:paraId="30FED21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D、承包人应按规定派出专业安全人员、质量人员在施工现场实施全天候值班。凡施工中因承包人原因发生的一切安全事故，均由承包人承担责任并负责赔偿由此造成的损失。事故发生后承包人应书面报告发包人或主管单位备案</w:t>
      </w:r>
      <w:r>
        <w:rPr>
          <w:rFonts w:hint="eastAsia" w:ascii="宋体" w:hAnsi="宋体" w:cs="宋体"/>
          <w:color w:val="000000"/>
          <w:sz w:val="24"/>
          <w:szCs w:val="24"/>
        </w:rPr>
        <w:t>。</w:t>
      </w:r>
    </w:p>
    <w:p w14:paraId="1E35E69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E、施工中承包人应做好施工原始记录，隐蔽工程记录，按照国家验收规范的要求，整理、检查、编制工程验收竣工资料。并在竣工时按规定移交发包人</w:t>
      </w:r>
      <w:r>
        <w:rPr>
          <w:rFonts w:hint="eastAsia" w:ascii="宋体" w:hAnsi="宋体" w:cs="宋体"/>
          <w:color w:val="000000"/>
          <w:sz w:val="24"/>
          <w:szCs w:val="24"/>
        </w:rPr>
        <w:t>。</w:t>
      </w:r>
    </w:p>
    <w:p w14:paraId="65B8D54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F、在施工中，由承包人自身原因造成的停工、返工、材料、物件的倒运、机械二次进场等损失，均由承包人承担</w:t>
      </w:r>
      <w:r>
        <w:rPr>
          <w:rFonts w:hint="eastAsia" w:ascii="宋体" w:hAnsi="宋体" w:cs="宋体"/>
          <w:color w:val="000000"/>
          <w:sz w:val="24"/>
          <w:szCs w:val="24"/>
        </w:rPr>
        <w:t>。</w:t>
      </w:r>
    </w:p>
    <w:p w14:paraId="5FBFC08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G、竣工资料符合宜兴市城建档案馆关于档案资料的要求</w:t>
      </w:r>
      <w:r>
        <w:rPr>
          <w:rFonts w:hint="eastAsia" w:ascii="宋体" w:hAnsi="宋体" w:cs="宋体"/>
          <w:color w:val="000000"/>
          <w:sz w:val="24"/>
          <w:szCs w:val="24"/>
        </w:rPr>
        <w:t>；</w:t>
      </w:r>
    </w:p>
    <w:p w14:paraId="647C6D7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 xml:space="preserve">H、①承包人对施工现场管理并对安全生产、保卫等工作负全部责任，在进场前应与施工人员签订安全协议书。②承包人应在进场前为其施工人员投保意外伤害保险。投保人身意外保险的保险金额不低于 100 万元，保险期间不少于自工程开工之日至工程验收合格之日。③如因承包人原因造成工程发生安全事故的，因此产生的一切法律责任均由承包人承担。④如工程施工需要进行特种作业的，承包人应确保其特种作业人员依法具备相关特种作业操作资格证书。否则，发包人有权制止承包人施工，并要求承包人更换具备相应特种作业操作资格证书的人员进行作业；承包人拒不更换的，发包人还有权解除本合同。⑤承包人应按照国家有关劳动保护规定对进场作业人员根据岗位和工种情况为施工人员提供必要的劳动保护。 </w:t>
      </w:r>
    </w:p>
    <w:p w14:paraId="4656497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I、其它事宜由双方协商另定</w:t>
      </w:r>
      <w:r>
        <w:rPr>
          <w:rFonts w:hint="eastAsia" w:ascii="宋体" w:hAnsi="宋体" w:cs="宋体"/>
          <w:color w:val="000000"/>
          <w:sz w:val="24"/>
          <w:szCs w:val="24"/>
        </w:rPr>
        <w:t>。</w:t>
      </w:r>
    </w:p>
    <w:p w14:paraId="5C87E8B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4.2 履约担保</w:t>
      </w:r>
    </w:p>
    <w:p w14:paraId="694C1C5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承包人是否提供履约担保：</w:t>
      </w:r>
      <w:r>
        <w:rPr>
          <w:rFonts w:hint="eastAsia" w:ascii="宋体" w:hAnsi="宋体" w:cs="宋体"/>
          <w:color w:val="000000"/>
          <w:sz w:val="24"/>
          <w:szCs w:val="24"/>
          <w:u w:val="single"/>
        </w:rPr>
        <w:t>是</w:t>
      </w:r>
      <w:r>
        <w:rPr>
          <w:rFonts w:hint="eastAsia" w:ascii="宋体" w:hAnsi="宋体" w:cs="宋体"/>
          <w:color w:val="000000"/>
          <w:sz w:val="24"/>
          <w:szCs w:val="24"/>
        </w:rPr>
        <w:t>。</w:t>
      </w:r>
    </w:p>
    <w:p w14:paraId="616B3EB3">
      <w:pPr>
        <w:spacing w:line="360" w:lineRule="auto"/>
        <w:ind w:firstLine="240"/>
        <w:jc w:val="left"/>
        <w:rPr>
          <w:rFonts w:ascii="宋体" w:hAnsi="宋体" w:cs="宋体"/>
          <w:color w:val="000000"/>
          <w:sz w:val="24"/>
          <w:szCs w:val="24"/>
          <w:u w:val="single"/>
        </w:rPr>
      </w:pPr>
      <w:r>
        <w:rPr>
          <w:rFonts w:hint="eastAsia" w:ascii="宋体" w:hAnsi="宋体" w:cs="宋体"/>
          <w:color w:val="000000"/>
          <w:sz w:val="24"/>
          <w:szCs w:val="24"/>
        </w:rPr>
        <w:t>履约担保形式：</w:t>
      </w:r>
      <w:r>
        <w:rPr>
          <w:rFonts w:hint="eastAsia" w:ascii="宋体" w:hAnsi="宋体" w:cs="宋体"/>
          <w:color w:val="000000"/>
          <w:sz w:val="24"/>
          <w:szCs w:val="24"/>
          <w:u w:val="single"/>
        </w:rPr>
        <w:t>现金或银行保函；</w:t>
      </w:r>
    </w:p>
    <w:p w14:paraId="1065E8DC">
      <w:pPr>
        <w:spacing w:line="360" w:lineRule="auto"/>
        <w:ind w:firstLine="240"/>
        <w:rPr>
          <w:rFonts w:ascii="宋体" w:hAnsi="宋体" w:cs="宋体"/>
          <w:color w:val="000000"/>
          <w:sz w:val="24"/>
          <w:szCs w:val="24"/>
          <w:u w:val="single"/>
        </w:rPr>
      </w:pPr>
      <w:r>
        <w:rPr>
          <w:rFonts w:hint="eastAsia" w:ascii="宋体" w:hAnsi="宋体" w:cs="宋体"/>
          <w:color w:val="000000"/>
          <w:sz w:val="24"/>
          <w:szCs w:val="24"/>
        </w:rPr>
        <w:t>金额：</w:t>
      </w:r>
      <w:r>
        <w:rPr>
          <w:rFonts w:hint="eastAsia" w:ascii="宋体" w:hAnsi="宋体" w:cs="宋体"/>
          <w:color w:val="000000"/>
          <w:sz w:val="24"/>
          <w:szCs w:val="24"/>
          <w:u w:val="single"/>
        </w:rPr>
        <w:t>签约合同价的10 %；</w:t>
      </w:r>
    </w:p>
    <w:p w14:paraId="621ECFD9">
      <w:pPr>
        <w:spacing w:line="360" w:lineRule="auto"/>
        <w:ind w:firstLine="200"/>
        <w:jc w:val="left"/>
        <w:rPr>
          <w:color w:val="000000"/>
        </w:rPr>
      </w:pPr>
      <w:r>
        <w:rPr>
          <w:rFonts w:hint="eastAsia" w:ascii="宋体" w:hAnsi="宋体" w:cs="宋体"/>
          <w:color w:val="000000"/>
          <w:sz w:val="24"/>
          <w:szCs w:val="24"/>
        </w:rPr>
        <w:t>期限：</w:t>
      </w:r>
      <w:r>
        <w:rPr>
          <w:rFonts w:hint="eastAsia" w:ascii="宋体" w:hAnsi="宋体" w:cs="宋体"/>
          <w:color w:val="000000"/>
          <w:sz w:val="24"/>
          <w:szCs w:val="24"/>
          <w:u w:val="single"/>
        </w:rPr>
        <w:t>中标人应在中标通知书发出10日内合同签订前向发包人提交合同金额的10%的履约担保（银行保函由投标人基本户开具），履约银行保函到期后仍在施工的，应继续提供有效的履约担保（否则建设单位有权从工程进度款中扣取相应金额作为履约担保），未按规定提交履约保证金或其他形式履约担保的，发包人有权与承包人终止合同。联合体中标的，其履约担保由联合体各方共同提交或联合体牵头方递交。联合体牵头方提交履约担保的，对联合体各方均具有约束力。</w:t>
      </w:r>
    </w:p>
    <w:p w14:paraId="13C4EAE2">
      <w:pPr>
        <w:spacing w:line="360" w:lineRule="auto"/>
        <w:ind w:firstLine="240"/>
        <w:rPr>
          <w:rFonts w:ascii="宋体" w:hAnsi="宋体" w:cs="宋体"/>
          <w:color w:val="000000"/>
          <w:sz w:val="24"/>
          <w:szCs w:val="24"/>
          <w:u w:val="single"/>
        </w:rPr>
      </w:pPr>
      <w:r>
        <w:rPr>
          <w:rFonts w:hint="eastAsia" w:ascii="宋体" w:hAnsi="宋体" w:cs="宋体"/>
          <w:color w:val="000000"/>
          <w:sz w:val="24"/>
          <w:szCs w:val="24"/>
          <w:u w:val="single"/>
        </w:rPr>
        <w:t>退还时间：承包人应保证其履约担保在发包人竣工验收前一直有效，发包人应在竣工验收合格后7天内将履约担保款项退还给承包人或者解除履约担保。履约担保款项退还时不计利息。</w:t>
      </w:r>
    </w:p>
    <w:p w14:paraId="6538CD3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 工程总承包项目经理</w:t>
      </w:r>
    </w:p>
    <w:p w14:paraId="18B694D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4.3.1 工程总承包项目经理姓名：</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D81D7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执业资格或职称类型：</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33093EA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执业资格证或职称证号码：</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665F7B6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联系电话：</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A032B8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电子邮箱：</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33443FD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通信地址：</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0EC4291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承包人未提交劳动合同，以及没有为工程总承包项目经理缴纳社会保险证明的违约责任：</w:t>
      </w:r>
      <w:r>
        <w:rPr>
          <w:rFonts w:hint="eastAsia" w:ascii="宋体" w:hAnsi="宋体" w:cs="宋体"/>
          <w:color w:val="000000"/>
          <w:sz w:val="24"/>
          <w:szCs w:val="24"/>
          <w:u w:val="single"/>
        </w:rPr>
        <w:t>发包人按2万元/次进行处罚，同时发包人有权要求承包人更换项目经理，且更换后的项目经理资质等级、业绩不低于原项目经理，否则发包人有权解除施工合同</w:t>
      </w:r>
      <w:r>
        <w:rPr>
          <w:rFonts w:hint="eastAsia" w:ascii="宋体" w:hAnsi="宋体" w:cs="宋体"/>
          <w:color w:val="000000"/>
          <w:sz w:val="24"/>
          <w:szCs w:val="24"/>
        </w:rPr>
        <w:t>。</w:t>
      </w:r>
    </w:p>
    <w:p w14:paraId="7B02924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4.3.2 工程总承包项目经理每月在现场的时间要求：</w:t>
      </w:r>
      <w:r>
        <w:rPr>
          <w:rFonts w:hint="eastAsia" w:ascii="宋体" w:hAnsi="宋体" w:cs="宋体"/>
          <w:color w:val="000000"/>
          <w:sz w:val="24"/>
          <w:szCs w:val="24"/>
          <w:u w:val="single"/>
        </w:rPr>
        <w:t>本工程要求施工项目经理在发包人签发开工令后进驻施工现场，并要求其本人每月不少于 25 天，每天不少于 8 小时在本工程现场工作，且必须按时参加工程例会（有事须以书面形式向发包人请假并经批准）。项目经理必须采取有效措施保证在整个施工期间，施工现场均有足够的劳动力、材料设备以保证工程顺利实施。不得因节假日、农忙影响工程施工进度</w:t>
      </w:r>
      <w:r>
        <w:rPr>
          <w:rFonts w:hint="eastAsia" w:ascii="宋体" w:hAnsi="宋体" w:cs="宋体"/>
          <w:color w:val="000000"/>
          <w:sz w:val="24"/>
          <w:szCs w:val="24"/>
        </w:rPr>
        <w:t>。</w:t>
      </w:r>
    </w:p>
    <w:p w14:paraId="2F4E0EC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工程施工项目经理未经批准擅自离开施工现场的违约责任：</w:t>
      </w:r>
      <w:r>
        <w:rPr>
          <w:rFonts w:hint="eastAsia" w:ascii="宋体" w:hAnsi="宋体" w:cs="宋体"/>
          <w:color w:val="000000"/>
          <w:sz w:val="24"/>
          <w:szCs w:val="24"/>
          <w:u w:val="single"/>
        </w:rPr>
        <w:t>每发现一次支付违约金 500元人民币；连续 3 天不在现场，每发现一次支付违约金 2000元人民币；连续 5 天或 2 个月内累计 10 天（法定休息日除外）不在本工程现场，发包人有权解除合同，将承包人清退出场，没收全部履约保证金并追究违约责任</w:t>
      </w:r>
      <w:r>
        <w:rPr>
          <w:rFonts w:hint="eastAsia" w:ascii="宋体" w:hAnsi="宋体" w:cs="宋体"/>
          <w:color w:val="000000"/>
          <w:sz w:val="24"/>
          <w:szCs w:val="24"/>
        </w:rPr>
        <w:t>。</w:t>
      </w:r>
    </w:p>
    <w:p w14:paraId="62C30B4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4.3.3 承包人对工程总承包项目经理的授权范围:</w:t>
      </w:r>
      <w:r>
        <w:rPr>
          <w:rFonts w:hint="eastAsia" w:ascii="宋体" w:hAnsi="宋体" w:cs="宋体"/>
          <w:color w:val="000000"/>
          <w:sz w:val="24"/>
          <w:szCs w:val="24"/>
          <w:u w:val="single"/>
        </w:rPr>
        <w:t>根据承包人管理规定执行</w:t>
      </w:r>
      <w:r>
        <w:rPr>
          <w:rFonts w:hint="eastAsia" w:ascii="宋体" w:hAnsi="宋体" w:cs="宋体"/>
          <w:color w:val="000000"/>
          <w:sz w:val="24"/>
          <w:szCs w:val="24"/>
        </w:rPr>
        <w:t>。</w:t>
      </w:r>
    </w:p>
    <w:p w14:paraId="02F75D6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4.3.4 承包人擅自更换工程总承包项目经理的违约责任：</w:t>
      </w:r>
      <w:r>
        <w:rPr>
          <w:rFonts w:hint="eastAsia" w:ascii="宋体" w:hAnsi="宋体" w:cs="宋体"/>
          <w:color w:val="000000"/>
          <w:sz w:val="24"/>
          <w:szCs w:val="24"/>
          <w:u w:val="single"/>
        </w:rPr>
        <w:t>每发现一次应向发包人支付违约金50万元，违约金从工程款中扣除，同时发包人有权解除合同，产生的一切损失由承包人承担</w:t>
      </w:r>
      <w:r>
        <w:rPr>
          <w:rFonts w:hint="eastAsia" w:ascii="宋体" w:hAnsi="宋体" w:cs="宋体"/>
          <w:color w:val="000000"/>
          <w:sz w:val="24"/>
          <w:szCs w:val="24"/>
        </w:rPr>
        <w:t>。</w:t>
      </w:r>
    </w:p>
    <w:p w14:paraId="158B15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4.3.5 承包人无正当理由拒绝更换工程总承包项目经理的违约责任:</w:t>
      </w:r>
      <w:r>
        <w:rPr>
          <w:rFonts w:hint="eastAsia" w:ascii="宋体" w:hAnsi="宋体" w:cs="宋体"/>
          <w:color w:val="000000"/>
          <w:sz w:val="24"/>
          <w:szCs w:val="24"/>
          <w:u w:val="single"/>
        </w:rPr>
        <w:t>应向发包人支付违约金1万元，违约金从工程款中扣除，同时发包人有权解除合同，产生的一切损失由承包人承担</w:t>
      </w:r>
      <w:r>
        <w:rPr>
          <w:rFonts w:hint="eastAsia" w:ascii="宋体" w:hAnsi="宋体" w:cs="宋体"/>
          <w:color w:val="000000"/>
          <w:sz w:val="24"/>
          <w:szCs w:val="24"/>
        </w:rPr>
        <w:t>。</w:t>
      </w:r>
    </w:p>
    <w:p w14:paraId="5B7B527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 承包人人员</w:t>
      </w:r>
    </w:p>
    <w:p w14:paraId="4B6833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4.4.1 人员安排</w:t>
      </w:r>
    </w:p>
    <w:p w14:paraId="7B83AD9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承包人提交项目管理机构及施工现场人员安排的报告的期限：</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6DF6023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承包人提交关键人员信息及注册执业资格等证明其具备担任关键人员能力的相关文件的期限：</w:t>
      </w:r>
      <w:r>
        <w:rPr>
          <w:rFonts w:hint="eastAsia" w:ascii="宋体" w:hAnsi="宋体" w:cs="宋体"/>
          <w:b/>
          <w:color w:val="000000"/>
          <w:sz w:val="24"/>
          <w:szCs w:val="24"/>
          <w:u w:val="single"/>
        </w:rPr>
        <w:t>根据发包人具体要求执行，本项目中涉及的专业资质工程须由具备相应执业资格证书能力的人承担，并报监理单位、发包人审批</w:t>
      </w:r>
      <w:r>
        <w:rPr>
          <w:rFonts w:hint="eastAsia" w:ascii="宋体" w:hAnsi="宋体" w:cs="宋体"/>
          <w:b/>
          <w:color w:val="000000"/>
          <w:sz w:val="24"/>
          <w:szCs w:val="24"/>
        </w:rPr>
        <w:t>。</w:t>
      </w:r>
    </w:p>
    <w:p w14:paraId="7D3B6E8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4.4.2 关键人员更换</w:t>
      </w:r>
    </w:p>
    <w:p w14:paraId="7274E30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承包人擅自更换关键人员的违约责任：</w:t>
      </w:r>
      <w:r>
        <w:rPr>
          <w:rFonts w:hint="eastAsia" w:ascii="宋体" w:hAnsi="宋体" w:cs="宋体"/>
          <w:color w:val="000000"/>
          <w:sz w:val="24"/>
          <w:szCs w:val="24"/>
          <w:u w:val="single"/>
        </w:rPr>
        <w:t>每发现一次应向发包人支付违约金2000元/人次，违约金从工程款中扣除，同时发包人有权解除合同，产生的一切损失由承包人承担</w:t>
      </w:r>
      <w:r>
        <w:rPr>
          <w:rFonts w:hint="eastAsia" w:ascii="宋体" w:hAnsi="宋体" w:cs="宋体"/>
          <w:color w:val="000000"/>
          <w:sz w:val="24"/>
          <w:szCs w:val="24"/>
        </w:rPr>
        <w:t>。</w:t>
      </w:r>
    </w:p>
    <w:p w14:paraId="4502D2A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承包人无正当理由拒绝撤换关键人员的违约责任：</w:t>
      </w:r>
      <w:r>
        <w:rPr>
          <w:rFonts w:hint="eastAsia" w:ascii="宋体" w:hAnsi="宋体" w:cs="宋体"/>
          <w:color w:val="000000"/>
          <w:sz w:val="24"/>
          <w:szCs w:val="24"/>
          <w:u w:val="single"/>
        </w:rPr>
        <w:t>每发现一次应向发包人支付违约金1000元/人次，违约金从工程款中扣除，同时发包人有权解除合同，产生的一切损失由承包人承担</w:t>
      </w:r>
      <w:r>
        <w:rPr>
          <w:rFonts w:hint="eastAsia" w:ascii="宋体" w:hAnsi="宋体" w:cs="宋体"/>
          <w:color w:val="000000"/>
          <w:sz w:val="24"/>
          <w:szCs w:val="24"/>
        </w:rPr>
        <w:t>。</w:t>
      </w:r>
    </w:p>
    <w:p w14:paraId="2101BCF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4.4.3 现场管理关键人员在岗要求</w:t>
      </w:r>
    </w:p>
    <w:p w14:paraId="5A06633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承包人现场管理关键人员离开施工现场的批准要求：</w:t>
      </w:r>
      <w:r>
        <w:rPr>
          <w:rFonts w:hint="eastAsia" w:ascii="宋体" w:hAnsi="宋体" w:cs="宋体"/>
          <w:color w:val="000000"/>
          <w:sz w:val="24"/>
          <w:szCs w:val="24"/>
          <w:u w:val="single"/>
        </w:rPr>
        <w:t>离开现场需征得发包人书面同意</w:t>
      </w:r>
      <w:r>
        <w:rPr>
          <w:rFonts w:hint="eastAsia" w:ascii="宋体" w:hAnsi="宋体" w:cs="宋体"/>
          <w:color w:val="000000"/>
          <w:sz w:val="24"/>
          <w:szCs w:val="24"/>
        </w:rPr>
        <w:t>。</w:t>
      </w:r>
    </w:p>
    <w:p w14:paraId="1CFC503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承包人现场管理关键人员擅自离开施工现场的违约责任：</w:t>
      </w:r>
      <w:r>
        <w:rPr>
          <w:rFonts w:hint="eastAsia" w:ascii="宋体" w:hAnsi="宋体" w:cs="宋体"/>
          <w:color w:val="000000"/>
          <w:sz w:val="24"/>
          <w:szCs w:val="24"/>
          <w:u w:val="single"/>
        </w:rPr>
        <w:t>每发现一次支付违约金 200元人民币；连续 3 天不在现场，每发现一次支付违约金1000元人民币；连续 5 天或 2 个月内累计 10 天（法定休息日除外）不在本工程现场，发包人有权解除合同，将承包人清退出场，没收全部履约保证金并追究违约责任</w:t>
      </w:r>
      <w:r>
        <w:rPr>
          <w:rFonts w:hint="eastAsia" w:ascii="宋体" w:hAnsi="宋体" w:cs="宋体"/>
          <w:color w:val="000000"/>
          <w:sz w:val="24"/>
          <w:szCs w:val="24"/>
        </w:rPr>
        <w:t>。</w:t>
      </w:r>
    </w:p>
    <w:p w14:paraId="7391FB7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 分包</w:t>
      </w:r>
    </w:p>
    <w:p w14:paraId="15E4A39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4.5.1 一般约定</w:t>
      </w:r>
    </w:p>
    <w:p w14:paraId="2DE9961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禁止分包的工程包括：</w:t>
      </w:r>
      <w:r>
        <w:rPr>
          <w:rFonts w:hint="eastAsia" w:ascii="宋体" w:hAnsi="宋体" w:cs="宋体"/>
          <w:color w:val="000000"/>
          <w:sz w:val="24"/>
          <w:szCs w:val="24"/>
          <w:u w:val="single"/>
        </w:rPr>
        <w:t>承包人不得将其承包的全部工程转包给第三人，或将其承包的全部工程支解后以分包的名义转包给第三人。不得将工程总承包项目工程主体部分的设计业务分包给其他单位。不得将工程总承包项目工程主体结构的施工业务分包给其他单位</w:t>
      </w:r>
      <w:r>
        <w:rPr>
          <w:rFonts w:hint="eastAsia" w:ascii="宋体" w:hAnsi="宋体" w:cs="宋体"/>
          <w:color w:val="000000"/>
          <w:sz w:val="24"/>
          <w:szCs w:val="24"/>
        </w:rPr>
        <w:t>。</w:t>
      </w:r>
    </w:p>
    <w:p w14:paraId="591A8E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4.5.2 分包的确定</w:t>
      </w:r>
    </w:p>
    <w:p w14:paraId="61B0167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允许分包的工程包括：</w:t>
      </w:r>
      <w:r>
        <w:rPr>
          <w:rFonts w:hint="eastAsia" w:ascii="宋体" w:hAnsi="宋体" w:cs="宋体"/>
          <w:color w:val="000000"/>
          <w:sz w:val="24"/>
          <w:szCs w:val="24"/>
          <w:u w:val="single"/>
        </w:rPr>
        <w:t>非主体、非关键性工作，如需分包，需在投标文件中说明，在工程实施过程中必须经发包人同意后才能实施</w:t>
      </w:r>
      <w:r>
        <w:rPr>
          <w:rFonts w:hint="eastAsia" w:ascii="宋体" w:hAnsi="宋体" w:cs="宋体"/>
          <w:color w:val="000000"/>
          <w:sz w:val="24"/>
          <w:szCs w:val="24"/>
        </w:rPr>
        <w:t>。</w:t>
      </w:r>
    </w:p>
    <w:p w14:paraId="264915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其他关于分包的约定：</w:t>
      </w:r>
      <w:r>
        <w:rPr>
          <w:rFonts w:hint="eastAsia" w:ascii="宋体" w:hAnsi="宋体" w:cs="宋体"/>
          <w:color w:val="000000"/>
          <w:sz w:val="24"/>
          <w:szCs w:val="24"/>
          <w:u w:val="single"/>
        </w:rPr>
        <w:t>分包活动应经采购人批准同时应当符合《住房和城乡建设部关于进一步推进工程总承包发展的若干意见》（建市[2016]93号）、《江苏省房屋建筑和市政基础设施项目工程总承包招标投标导则》（苏建招办[2018]3号）、《省招标办关于对&lt;江苏省房屋建筑和市政基础设施项目工程总承包招标投标导则&gt;等文件相关内容进行调整的通知》（苏建招办[2019]2号）、《住房和城乡建设部国家发展改革委关于印发房屋建筑和市政基础设施项目工程总承包管理办法》（建市[2019]12号）的通知等相关规定</w:t>
      </w:r>
      <w:r>
        <w:rPr>
          <w:rFonts w:hint="eastAsia" w:ascii="宋体" w:hAnsi="宋体" w:cs="宋体"/>
          <w:color w:val="000000"/>
          <w:sz w:val="24"/>
          <w:szCs w:val="24"/>
        </w:rPr>
        <w:t>。</w:t>
      </w:r>
    </w:p>
    <w:p w14:paraId="2F16093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4.5.5 分包合同价款支付</w:t>
      </w:r>
    </w:p>
    <w:p w14:paraId="6E2E953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关于分包合同价款支付的约定：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4843B1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4.6 联合体</w:t>
      </w:r>
    </w:p>
    <w:p w14:paraId="581E17F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4.6.2 联合体各成员的分工、费用收取、发票开具等事项：</w:t>
      </w:r>
      <w:r>
        <w:rPr>
          <w:rFonts w:hint="eastAsia" w:ascii="宋体" w:hAnsi="宋体" w:cs="宋体"/>
          <w:color w:val="000000"/>
          <w:sz w:val="24"/>
          <w:szCs w:val="24"/>
          <w:u w:val="single"/>
        </w:rPr>
        <w:t>费用统一支付给联合体牵头单位，由联合体牵头单位统一开具增值税发票</w:t>
      </w:r>
      <w:r>
        <w:rPr>
          <w:rFonts w:hint="eastAsia" w:ascii="宋体" w:hAnsi="宋体" w:cs="宋体"/>
          <w:color w:val="000000"/>
          <w:sz w:val="24"/>
          <w:szCs w:val="24"/>
        </w:rPr>
        <w:t>。</w:t>
      </w:r>
    </w:p>
    <w:p w14:paraId="64593A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4.7 承包人现场查勘</w:t>
      </w:r>
    </w:p>
    <w:p w14:paraId="20FF680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4.7.1 双方当事人对现场查勘的责任承担的约定：</w:t>
      </w:r>
      <w:r>
        <w:rPr>
          <w:rFonts w:hint="eastAsia" w:ascii="宋体" w:hAnsi="宋体" w:cs="宋体"/>
          <w:color w:val="000000"/>
          <w:sz w:val="24"/>
          <w:szCs w:val="24"/>
          <w:u w:val="single"/>
        </w:rPr>
        <w:t>除按通用条款执行外，发包人提供给承包人的相关资料仅供参考，承包人应自行踏勘以充分了解工地位置、地形地貌、周边环境、道路、地下管网、储存空间、装卸限制等改造及其它任何足以影响设计、施工和造价的情况</w:t>
      </w:r>
      <w:r>
        <w:rPr>
          <w:rFonts w:hint="eastAsia" w:ascii="宋体" w:hAnsi="宋体" w:cs="宋体"/>
          <w:color w:val="000000"/>
          <w:sz w:val="24"/>
          <w:szCs w:val="24"/>
        </w:rPr>
        <w:t>。</w:t>
      </w:r>
    </w:p>
    <w:p w14:paraId="332000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4.8 不可预见的困难</w:t>
      </w:r>
    </w:p>
    <w:p w14:paraId="4190E65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不可预见的困难包括：</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79DD15B">
      <w:pPr>
        <w:pStyle w:val="61"/>
        <w:spacing w:after="0"/>
        <w:jc w:val="left"/>
        <w:outlineLvl w:val="9"/>
        <w:rPr>
          <w:rFonts w:cs="宋体"/>
          <w:b w:val="0"/>
          <w:bCs/>
          <w:color w:val="000000"/>
          <w:sz w:val="24"/>
          <w:szCs w:val="24"/>
        </w:rPr>
      </w:pPr>
      <w:bookmarkStart w:id="81" w:name="_Toc54862336"/>
      <w:r>
        <w:rPr>
          <w:rFonts w:hint="eastAsia" w:cs="宋体"/>
          <w:b w:val="0"/>
          <w:bCs/>
          <w:color w:val="000000"/>
          <w:sz w:val="24"/>
          <w:szCs w:val="24"/>
        </w:rPr>
        <w:t>第5条 设计</w:t>
      </w:r>
      <w:bookmarkEnd w:id="81"/>
    </w:p>
    <w:p w14:paraId="2D8CB1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 承包人文件审查</w:t>
      </w:r>
    </w:p>
    <w:p w14:paraId="61EC86E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5.2.1 承包人文件审查的期限：</w:t>
      </w:r>
      <w:r>
        <w:rPr>
          <w:rFonts w:hint="eastAsia" w:ascii="宋体" w:hAnsi="宋体" w:cs="宋体"/>
          <w:color w:val="000000"/>
          <w:sz w:val="24"/>
          <w:szCs w:val="24"/>
          <w:u w:val="single"/>
        </w:rPr>
        <w:t>根据发包人具体要求执行，其余执行通用条款</w:t>
      </w:r>
      <w:r>
        <w:rPr>
          <w:rFonts w:hint="eastAsia" w:ascii="宋体" w:hAnsi="宋体" w:cs="宋体"/>
          <w:color w:val="000000"/>
          <w:sz w:val="24"/>
          <w:szCs w:val="24"/>
        </w:rPr>
        <w:t>。</w:t>
      </w:r>
    </w:p>
    <w:p w14:paraId="16AD232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5.2.2 审查会议的审查形式和时间安排为：</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，审查会议的相关费用由</w:t>
      </w:r>
      <w:r>
        <w:rPr>
          <w:rFonts w:hint="eastAsia" w:ascii="宋体" w:hAnsi="宋体" w:cs="宋体"/>
          <w:color w:val="000000"/>
          <w:sz w:val="24"/>
          <w:szCs w:val="24"/>
          <w:u w:val="single"/>
        </w:rPr>
        <w:t>承包人</w:t>
      </w:r>
      <w:r>
        <w:rPr>
          <w:rFonts w:hint="eastAsia" w:ascii="宋体" w:hAnsi="宋体" w:cs="宋体"/>
          <w:color w:val="000000"/>
          <w:sz w:val="24"/>
          <w:szCs w:val="24"/>
        </w:rPr>
        <w:t>承担。</w:t>
      </w:r>
    </w:p>
    <w:p w14:paraId="5BFE753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5.2.3 关于第三方审查单位的约定：</w:t>
      </w:r>
      <w:r>
        <w:rPr>
          <w:rFonts w:hint="eastAsia" w:ascii="宋体" w:hAnsi="宋体" w:cs="宋体"/>
          <w:color w:val="000000"/>
          <w:sz w:val="24"/>
          <w:szCs w:val="24"/>
          <w:u w:val="single"/>
        </w:rPr>
        <w:t>根据发包人具体要求执行，其余执行通用条款</w:t>
      </w:r>
      <w:r>
        <w:rPr>
          <w:rFonts w:hint="eastAsia" w:ascii="宋体" w:hAnsi="宋体" w:cs="宋体"/>
          <w:color w:val="000000"/>
          <w:sz w:val="24"/>
          <w:szCs w:val="24"/>
        </w:rPr>
        <w:t>。</w:t>
      </w:r>
    </w:p>
    <w:p w14:paraId="692962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5.3 培训</w:t>
      </w:r>
    </w:p>
    <w:p w14:paraId="7CCB2BB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培训的时长为</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，承包人应为培训提供的人员、设施和其它必要条件为</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666E8F0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5.4 竣工文件</w:t>
      </w:r>
    </w:p>
    <w:p w14:paraId="16AF6BE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5.4.1 竣工文件的形式、提供的份数、技术标准以及其它相关要求：</w:t>
      </w:r>
      <w:r>
        <w:rPr>
          <w:rFonts w:hint="eastAsia" w:ascii="宋体" w:hAnsi="宋体" w:cs="宋体"/>
          <w:color w:val="000000"/>
          <w:sz w:val="24"/>
          <w:szCs w:val="24"/>
          <w:u w:val="single"/>
        </w:rPr>
        <w:t>按国家相关规定同时满足采购需求</w:t>
      </w:r>
      <w:r>
        <w:rPr>
          <w:rFonts w:hint="eastAsia" w:ascii="宋体" w:hAnsi="宋体" w:cs="宋体"/>
          <w:color w:val="000000"/>
          <w:sz w:val="24"/>
          <w:szCs w:val="24"/>
        </w:rPr>
        <w:t>。</w:t>
      </w:r>
    </w:p>
    <w:p w14:paraId="14E9C89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5.4.3 关于竣工文件的其他约定：</w:t>
      </w:r>
      <w:r>
        <w:rPr>
          <w:rFonts w:hint="eastAsia" w:ascii="宋体" w:hAnsi="宋体" w:cs="宋体"/>
          <w:color w:val="000000"/>
          <w:sz w:val="24"/>
          <w:szCs w:val="24"/>
          <w:u w:val="single"/>
        </w:rPr>
        <w:t>按国家相关规定同时满足采购需求</w:t>
      </w:r>
      <w:r>
        <w:rPr>
          <w:rFonts w:hint="eastAsia" w:ascii="宋体" w:hAnsi="宋体" w:cs="宋体"/>
          <w:color w:val="000000"/>
          <w:sz w:val="24"/>
          <w:szCs w:val="24"/>
        </w:rPr>
        <w:t>。</w:t>
      </w:r>
    </w:p>
    <w:p w14:paraId="40C016A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5.5 操作和维修手册</w:t>
      </w:r>
    </w:p>
    <w:p w14:paraId="23853DA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5.5.3 对最终操作和维修手册的约定：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1A24757A">
      <w:pPr>
        <w:pStyle w:val="61"/>
        <w:spacing w:after="0"/>
        <w:jc w:val="left"/>
        <w:outlineLvl w:val="9"/>
        <w:rPr>
          <w:rFonts w:cs="宋体"/>
          <w:b w:val="0"/>
          <w:bCs/>
          <w:color w:val="000000"/>
          <w:sz w:val="24"/>
          <w:szCs w:val="24"/>
        </w:rPr>
      </w:pPr>
      <w:bookmarkStart w:id="82" w:name="_Toc54862337"/>
      <w:r>
        <w:rPr>
          <w:rFonts w:hint="eastAsia" w:cs="宋体"/>
          <w:b w:val="0"/>
          <w:bCs/>
          <w:color w:val="000000"/>
          <w:sz w:val="24"/>
          <w:szCs w:val="24"/>
        </w:rPr>
        <w:t>第6条 材料、工程设备</w:t>
      </w:r>
      <w:bookmarkEnd w:id="82"/>
    </w:p>
    <w:p w14:paraId="6BDE43F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6.1 实施方法</w:t>
      </w:r>
    </w:p>
    <w:p w14:paraId="0A278D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双方当事人约定的实施方法、设备、设施和材料：</w:t>
      </w:r>
      <w:r>
        <w:rPr>
          <w:rFonts w:hint="eastAsia" w:ascii="宋体" w:hAnsi="宋体" w:cs="宋体"/>
          <w:color w:val="000000"/>
          <w:sz w:val="24"/>
          <w:szCs w:val="24"/>
          <w:u w:val="single"/>
        </w:rPr>
        <w:t>根据发包人具体要求执行，其余执行通用条款</w:t>
      </w:r>
      <w:r>
        <w:rPr>
          <w:rFonts w:hint="eastAsia" w:ascii="宋体" w:hAnsi="宋体" w:cs="宋体"/>
          <w:color w:val="000000"/>
          <w:sz w:val="24"/>
          <w:szCs w:val="24"/>
        </w:rPr>
        <w:t>。</w:t>
      </w:r>
    </w:p>
    <w:p w14:paraId="37C0FD6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 材料和工程设备</w:t>
      </w:r>
    </w:p>
    <w:p w14:paraId="6E000AD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6.2.1 发包人提供的材料和工程设备</w:t>
      </w:r>
    </w:p>
    <w:p w14:paraId="404A254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发包人提供的材料和工程设备验收后，由</w:t>
      </w:r>
      <w:r>
        <w:rPr>
          <w:rFonts w:hint="eastAsia" w:ascii="宋体" w:hAnsi="宋体" w:cs="宋体"/>
          <w:color w:val="000000"/>
          <w:sz w:val="24"/>
          <w:szCs w:val="24"/>
          <w:u w:val="single"/>
        </w:rPr>
        <w:t>承包人</w:t>
      </w:r>
      <w:r>
        <w:rPr>
          <w:rFonts w:hint="eastAsia" w:ascii="宋体" w:hAnsi="宋体" w:cs="宋体"/>
          <w:color w:val="000000"/>
          <w:sz w:val="24"/>
          <w:szCs w:val="24"/>
        </w:rPr>
        <w:t>负责接收、运输和保管。</w:t>
      </w:r>
    </w:p>
    <w:p w14:paraId="28F098B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6.2.2 承包人提供的材料和工程设备</w:t>
      </w:r>
    </w:p>
    <w:p w14:paraId="7BD86F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材料和工程设备的类别、估算数量：</w:t>
      </w:r>
      <w:r>
        <w:rPr>
          <w:rFonts w:hint="eastAsia" w:ascii="宋体" w:hAnsi="宋体" w:cs="宋体"/>
          <w:color w:val="000000"/>
          <w:sz w:val="24"/>
          <w:szCs w:val="24"/>
          <w:u w:val="single"/>
        </w:rPr>
        <w:t>均由承包人负责采购，其中主要材料、设备的品牌等在采购前必须经发包人同意，其余材料设备采购前须得到发包人的认可，否则所购买的均不予认可，所产生的损失由承包人自行承担。双方约定由承包人自购的材料、设备,其规格、技术指标、质量等级详见施工图, 同时必须满足相关技术规范要求。合同实施过程中承包人不得降低材料的规格、数量、档次、质量等级和擅自变更材料品种和型号。监理人、发包人有权在承包人材料、设备采购的任一环节进行监督控制，并行使最终的认可权和否决权；若监理人、发包人在监督控制过程和检验中发现该材料、设备不符合规定的质量要求，承包人应督促投标人进行整改直至发包人满意为止，且保留改为发包人供应的权利，由此造成的工期延误责任和费用增加由承包人承担</w:t>
      </w:r>
      <w:r>
        <w:rPr>
          <w:rFonts w:hint="eastAsia" w:ascii="宋体" w:hAnsi="宋体" w:cs="宋体"/>
          <w:color w:val="000000"/>
          <w:sz w:val="24"/>
          <w:szCs w:val="24"/>
        </w:rPr>
        <w:t>。竣工后试验的生产性材料的类别或（和）清单：</w:t>
      </w:r>
      <w:r>
        <w:rPr>
          <w:rFonts w:hint="eastAsia" w:ascii="宋体" w:hAnsi="宋体" w:cs="宋体"/>
          <w:color w:val="000000"/>
          <w:sz w:val="24"/>
          <w:szCs w:val="24"/>
          <w:u w:val="single"/>
        </w:rPr>
        <w:t>根据项目需要，由承包人提供生产性材料的类别或（和）清单给发包人</w:t>
      </w:r>
      <w:r>
        <w:rPr>
          <w:rFonts w:hint="eastAsia" w:ascii="宋体" w:hAnsi="宋体" w:cs="宋体"/>
          <w:color w:val="000000"/>
          <w:sz w:val="24"/>
          <w:szCs w:val="24"/>
        </w:rPr>
        <w:t>。</w:t>
      </w:r>
    </w:p>
    <w:p w14:paraId="31E70A2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6.2.3 材料和工程设备的保管</w:t>
      </w:r>
    </w:p>
    <w:p w14:paraId="423CE3B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发包人供应的材料和工程设备的保管费用由</w:t>
      </w:r>
      <w:r>
        <w:rPr>
          <w:rFonts w:hint="eastAsia" w:ascii="宋体" w:hAnsi="宋体" w:cs="宋体"/>
          <w:color w:val="000000"/>
          <w:sz w:val="24"/>
          <w:szCs w:val="24"/>
          <w:u w:val="single"/>
        </w:rPr>
        <w:t>承包人</w:t>
      </w:r>
      <w:r>
        <w:rPr>
          <w:rFonts w:hint="eastAsia" w:ascii="宋体" w:hAnsi="宋体" w:cs="宋体"/>
          <w:color w:val="000000"/>
          <w:sz w:val="24"/>
          <w:szCs w:val="24"/>
        </w:rPr>
        <w:t>承担。</w:t>
      </w:r>
    </w:p>
    <w:p w14:paraId="2DC3AEC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承包人提交保管、维护方案的时间：</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5BC2F5C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发包人提供的库房、堆场、设施和设备：</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47364C2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6.3 样品</w:t>
      </w:r>
    </w:p>
    <w:p w14:paraId="7E61D42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6.3.1 样品的报送与封存</w:t>
      </w:r>
    </w:p>
    <w:p w14:paraId="05C9440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需要承包人报送样品的材料或工程设备，样品种类、名称、规格、数量：</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767995D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 质量检查</w:t>
      </w:r>
    </w:p>
    <w:p w14:paraId="75FE920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6.4.1 工程质量要求</w:t>
      </w:r>
    </w:p>
    <w:p w14:paraId="585BFF2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质量的特殊标准或要求：（1）设计质量必须达到国家关于建设工程或相关工程设计深度的要求，并须通过有关部门的审查和批准；（2）工程所有物资采购必须经业主书面确认并保证质量符合有关标准规范的要求；（3）施工质量符合设计图纸及国家有关标准规范要求，工程质量达到国家及行业现行施工验收规范合格标准。</w:t>
      </w:r>
    </w:p>
    <w:p w14:paraId="204026D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6.4.2 质量检查</w:t>
      </w:r>
    </w:p>
    <w:p w14:paraId="53F344E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除通用合同条件已列明的质量检查的地点外，发包人有权进行质量检查的其他地点：</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20371B2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6.4.3 隐蔽工程检查</w:t>
      </w:r>
    </w:p>
    <w:p w14:paraId="4B2196A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关于隐蔽工程和中间验收的特别约定：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7772F9B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6.5 由承包人试验和检验</w:t>
      </w:r>
    </w:p>
    <w:p w14:paraId="01D7B8F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6.5.1 试验设备与试验人员</w:t>
      </w:r>
    </w:p>
    <w:p w14:paraId="7B74545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试验的内容、时间和地点：</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D3DE2D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试验所需要的试验设备、取样装置、试验场所和试验条件：</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2DA85BF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试验和检验费用的计价原则：</w:t>
      </w:r>
      <w:r>
        <w:rPr>
          <w:rFonts w:hint="eastAsia" w:ascii="宋体" w:hAnsi="宋体" w:cs="宋体"/>
          <w:color w:val="000000"/>
          <w:sz w:val="24"/>
          <w:szCs w:val="24"/>
          <w:u w:val="single"/>
        </w:rPr>
        <w:t>费用由承包人承担，不单独计取</w:t>
      </w:r>
      <w:r>
        <w:rPr>
          <w:rFonts w:hint="eastAsia" w:ascii="宋体" w:hAnsi="宋体" w:cs="宋体"/>
          <w:color w:val="000000"/>
          <w:sz w:val="24"/>
          <w:szCs w:val="24"/>
        </w:rPr>
        <w:t>。</w:t>
      </w:r>
    </w:p>
    <w:p w14:paraId="191E8194">
      <w:pPr>
        <w:pStyle w:val="61"/>
        <w:spacing w:after="0"/>
        <w:jc w:val="left"/>
        <w:outlineLvl w:val="9"/>
        <w:rPr>
          <w:rFonts w:cs="宋体"/>
          <w:color w:val="000000"/>
          <w:sz w:val="24"/>
          <w:szCs w:val="24"/>
        </w:rPr>
      </w:pPr>
      <w:bookmarkStart w:id="83" w:name="_Toc54862338"/>
      <w:r>
        <w:rPr>
          <w:rFonts w:hint="eastAsia" w:cs="宋体"/>
          <w:color w:val="000000"/>
          <w:sz w:val="24"/>
          <w:szCs w:val="24"/>
        </w:rPr>
        <w:t>第7条 施工</w:t>
      </w:r>
      <w:bookmarkEnd w:id="83"/>
    </w:p>
    <w:p w14:paraId="1077415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 交通运输</w:t>
      </w:r>
    </w:p>
    <w:p w14:paraId="713031A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7.1.1 出入现场的权利</w:t>
      </w:r>
    </w:p>
    <w:p w14:paraId="4D8D928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关于出入现场的权利的约定：</w:t>
      </w:r>
      <w:r>
        <w:rPr>
          <w:rFonts w:hint="eastAsia" w:ascii="宋体" w:hAnsi="宋体" w:cs="宋体"/>
          <w:color w:val="000000"/>
          <w:sz w:val="24"/>
          <w:szCs w:val="24"/>
          <w:u w:val="single"/>
        </w:rPr>
        <w:t>施工无关人员不得入内，所有特殊工种人员均应有上岗资格并符合国家有关规定，持有有关部门颁发的资格证书或上岗证，在施工上岗之前交由监理工程师审查，审核通过后方准佩戴单位岗位证上岗施工，审核并不减免承包人的责任。承包人应自行根据工程实施需要，负责取得出入施工现场所需的批准手续和全部权利，以及取得因工程实施所需修建道路、桥梁以及其他基础设施的权利，并承担相关手续费用和建设费用</w:t>
      </w:r>
      <w:r>
        <w:rPr>
          <w:rFonts w:hint="eastAsia" w:ascii="宋体" w:hAnsi="宋体" w:cs="宋体"/>
          <w:color w:val="000000"/>
          <w:sz w:val="24"/>
          <w:szCs w:val="24"/>
        </w:rPr>
        <w:t>。</w:t>
      </w:r>
    </w:p>
    <w:p w14:paraId="4FDA2D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7.1.2 场外交通</w:t>
      </w:r>
    </w:p>
    <w:p w14:paraId="2F53F1B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关于场外交通的特别约定：</w:t>
      </w:r>
      <w:r>
        <w:rPr>
          <w:rFonts w:hint="eastAsia" w:ascii="宋体" w:hAnsi="宋体" w:cs="宋体"/>
          <w:color w:val="000000"/>
          <w:sz w:val="24"/>
          <w:szCs w:val="24"/>
          <w:u w:val="single"/>
        </w:rPr>
        <w:t>根据发包人具体要求执行，承包人自行收集场外交通设施的技术参数和具体条件，场外交通设施无法满足工程施工需要的，由承包人负责承担由此产生的相关费用</w:t>
      </w:r>
      <w:r>
        <w:rPr>
          <w:rFonts w:hint="eastAsia" w:ascii="宋体" w:hAnsi="宋体" w:cs="宋体"/>
          <w:color w:val="000000"/>
          <w:sz w:val="24"/>
          <w:szCs w:val="24"/>
        </w:rPr>
        <w:t>。</w:t>
      </w:r>
    </w:p>
    <w:p w14:paraId="5F30648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7.1.3 场内交通</w:t>
      </w:r>
    </w:p>
    <w:p w14:paraId="3D148D6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关于场内交通的特别约定：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466373D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关于场内交通与场外交通边界的约定：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3CC72BB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7.1.4 超大件和超重件的运输</w:t>
      </w:r>
    </w:p>
    <w:p w14:paraId="0917373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运输超大件或超重件所需的道路和桥梁临时加固改造费用和其他有关费用由</w:t>
      </w:r>
      <w:r>
        <w:rPr>
          <w:rFonts w:hint="eastAsia" w:ascii="宋体" w:hAnsi="宋体" w:cs="宋体"/>
          <w:color w:val="000000"/>
          <w:sz w:val="24"/>
          <w:szCs w:val="24"/>
          <w:u w:val="single"/>
        </w:rPr>
        <w:t>承包人</w:t>
      </w:r>
      <w:r>
        <w:rPr>
          <w:rFonts w:hint="eastAsia" w:ascii="宋体" w:hAnsi="宋体" w:cs="宋体"/>
          <w:color w:val="000000"/>
          <w:sz w:val="24"/>
          <w:szCs w:val="24"/>
        </w:rPr>
        <w:t>承担。</w:t>
      </w:r>
    </w:p>
    <w:p w14:paraId="77DE3B2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7.2 施工设备和临时设施</w:t>
      </w:r>
    </w:p>
    <w:p w14:paraId="5AF3172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7.2.1 承包人提供的施工设备和临时设施</w:t>
      </w:r>
    </w:p>
    <w:p w14:paraId="4CCF2E0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临时设施的费用和临时占地手续和费用承担的特别约定：</w:t>
      </w:r>
      <w:r>
        <w:rPr>
          <w:rFonts w:hint="eastAsia" w:ascii="宋体" w:hAnsi="宋体" w:cs="宋体"/>
          <w:color w:val="000000"/>
          <w:sz w:val="24"/>
          <w:szCs w:val="24"/>
          <w:u w:val="single"/>
        </w:rPr>
        <w:t>承包人负责施工临时设施、环保及环卫的相关手续由承包人办理报批手续，并承担与之相关费用</w:t>
      </w:r>
      <w:r>
        <w:rPr>
          <w:rFonts w:hint="eastAsia" w:ascii="宋体" w:hAnsi="宋体" w:cs="宋体"/>
          <w:color w:val="000000"/>
          <w:sz w:val="24"/>
          <w:szCs w:val="24"/>
        </w:rPr>
        <w:t>。</w:t>
      </w:r>
    </w:p>
    <w:p w14:paraId="50F51B1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7.2.2 发包人提供的施工设备和临时设施</w:t>
      </w:r>
    </w:p>
    <w:p w14:paraId="72BC78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发包人提供的施工设备或临时设施范围：</w:t>
      </w:r>
      <w:r>
        <w:rPr>
          <w:rFonts w:hint="eastAsia" w:ascii="宋体" w:hAnsi="宋体" w:cs="宋体"/>
          <w:color w:val="000000"/>
          <w:sz w:val="24"/>
          <w:szCs w:val="24"/>
          <w:u w:val="single"/>
        </w:rPr>
        <w:t>/</w:t>
      </w:r>
      <w:r>
        <w:rPr>
          <w:rFonts w:hint="eastAsia" w:ascii="宋体" w:hAnsi="宋体" w:cs="宋体"/>
          <w:color w:val="000000"/>
          <w:sz w:val="24"/>
          <w:szCs w:val="24"/>
        </w:rPr>
        <w:t>。</w:t>
      </w:r>
    </w:p>
    <w:p w14:paraId="33CEA1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7.3 现场合作</w:t>
      </w:r>
    </w:p>
    <w:p w14:paraId="6B2C5D9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关于现场合作费用的特别约定：</w:t>
      </w:r>
      <w:r>
        <w:rPr>
          <w:rFonts w:hint="eastAsia" w:ascii="宋体" w:hAnsi="宋体" w:cs="宋体"/>
          <w:color w:val="000000"/>
          <w:sz w:val="24"/>
          <w:szCs w:val="24"/>
          <w:u w:val="single"/>
        </w:rPr>
        <w:t>根据发包人具体要求执行，承包人应对其在现场的施工活动负责，并应尽合理努力按合同约定或发包人的指示，协调自身与发包人人员、发包人的其他承包人等人员的活动。</w:t>
      </w:r>
    </w:p>
    <w:p w14:paraId="47129AB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7.4 测量放线</w:t>
      </w:r>
    </w:p>
    <w:p w14:paraId="4575E45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7.4.1 关于测量放线的特别约定的技术规范：</w:t>
      </w:r>
      <w:r>
        <w:rPr>
          <w:rFonts w:hint="eastAsia" w:ascii="宋体" w:hAnsi="宋体" w:cs="宋体"/>
          <w:color w:val="000000"/>
          <w:sz w:val="24"/>
          <w:szCs w:val="24"/>
          <w:u w:val="single"/>
        </w:rPr>
        <w:t>承包人进场后开工日期前7天，发包人负责组织，监理单位、承包人参加，向承包人、监理单位移交测量基准点、基准线和水准点及其书面资料。承包人发现建设单位提供的测量基准点、基准线和水准点及其书面资料存在错误或疏漏的，应立即通知监理人。监理人应及时报告建设单位，并会同建设单位和承包人予以核实。承包人负责做好保护工作并对其工作失误而造成的事故负赔偿责任</w:t>
      </w:r>
      <w:r>
        <w:rPr>
          <w:rFonts w:hint="eastAsia" w:ascii="宋体" w:hAnsi="宋体" w:cs="宋体"/>
          <w:color w:val="000000"/>
          <w:sz w:val="24"/>
          <w:szCs w:val="24"/>
        </w:rPr>
        <w:t>。</w:t>
      </w:r>
    </w:p>
    <w:p w14:paraId="2D8A043F">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施工控制网资料的告知期限：</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586586E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7.5 现场劳动用工</w:t>
      </w:r>
    </w:p>
    <w:p w14:paraId="725A1C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7.5.2 合同当事人对建筑工人工资清偿事宜和违约责任的约定：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B4426E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7.6 安全文明施工</w:t>
      </w:r>
    </w:p>
    <w:p w14:paraId="37FBE84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7.6.1 安全生产要求</w:t>
      </w:r>
    </w:p>
    <w:p w14:paraId="5AE1ACA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合同当事人对安全施工的要求：</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759C09F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7.6.3 文明施工</w:t>
      </w:r>
    </w:p>
    <w:p w14:paraId="45E8E3D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合同当事人对文明施工的要求：</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158A28F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7.9 临时性公用设施</w:t>
      </w:r>
    </w:p>
    <w:p w14:paraId="5AA4490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关于临时性公用设施的特别约定：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98E4A8E">
      <w:pPr>
        <w:pStyle w:val="58"/>
        <w:numPr>
          <w:ilvl w:val="0"/>
          <w:numId w:val="0"/>
        </w:numPr>
        <w:spacing w:after="0"/>
        <w:ind w:firstLine="240"/>
        <w:rPr>
          <w:rFonts w:cs="宋体"/>
          <w:color w:val="000000"/>
          <w:szCs w:val="24"/>
          <w:u w:val="single"/>
        </w:rPr>
      </w:pPr>
      <w:r>
        <w:rPr>
          <w:rFonts w:hint="eastAsia" w:cs="宋体"/>
          <w:color w:val="000000"/>
          <w:szCs w:val="24"/>
        </w:rPr>
        <w:t>7.9.1 提供临时用水、用电等和节点铺设：</w:t>
      </w:r>
      <w:r>
        <w:rPr>
          <w:rFonts w:hint="eastAsia" w:cs="宋体"/>
          <w:color w:val="000000"/>
          <w:szCs w:val="24"/>
          <w:u w:val="single"/>
        </w:rPr>
        <w:t>施工现场发包人提供水源、电源接口，承包人根据现场情况自行考虑接水、接电费用，施工期间供水、供电费用由发包人承担，此部分费用包含在合同总价中，以后不作调整。养护期间用水、用电由承包人自行承担</w:t>
      </w:r>
      <w:r>
        <w:rPr>
          <w:rFonts w:hint="eastAsia" w:cs="宋体"/>
          <w:color w:val="000000"/>
          <w:szCs w:val="24"/>
        </w:rPr>
        <w:t>。</w:t>
      </w:r>
    </w:p>
    <w:p w14:paraId="47B9A99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7.10 现场安保</w:t>
      </w:r>
    </w:p>
    <w:p w14:paraId="009F53E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承包人现场安保义务的特别约定：</w:t>
      </w:r>
      <w:r>
        <w:rPr>
          <w:rFonts w:hint="eastAsia" w:ascii="宋体" w:hAnsi="宋体" w:cs="宋体"/>
          <w:color w:val="000000"/>
          <w:sz w:val="24"/>
          <w:szCs w:val="24"/>
          <w:u w:val="single"/>
        </w:rPr>
        <w:t>实施和完成本工程过程中，承包人应充分关注和保障所有在场人员及行人的安全，承包人应在开工后7日内编制施工场地治安管理计划，并制定应对突发治安事件的紧急预案，并书面提交一份给发包人。在工程施工过程中，发生暴乱、爆炸等恐怖事件以及群殴、械斗等群体性突发治安事件的，应立即上报并采取有效措施积极处理 。</w:t>
      </w:r>
    </w:p>
    <w:p w14:paraId="15E4029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关于编制施工场地治安管理计划的约定：为保护本工程免遭损坏，或为现场附近和过往人群的安全与方便，在确有必要的时候和地方，当监理工程师或有关主管部门要求时，承包人应提供照明、警卫、护栅、警告标志等安全防护措施，费用包含在合同总价中，非施工人员不得进入现场。承包人应及时对其在施工场地的工作人员进行治安管理教育，制定相应管理制度，并对他们的安全负责</w:t>
      </w:r>
      <w:r>
        <w:rPr>
          <w:rFonts w:hint="eastAsia" w:ascii="宋体" w:hAnsi="宋体" w:cs="宋体"/>
          <w:color w:val="000000"/>
          <w:sz w:val="24"/>
          <w:szCs w:val="24"/>
        </w:rPr>
        <w:t>。</w:t>
      </w:r>
    </w:p>
    <w:p w14:paraId="48D7F4A3">
      <w:pPr>
        <w:pStyle w:val="61"/>
        <w:spacing w:after="0"/>
        <w:jc w:val="left"/>
        <w:outlineLvl w:val="9"/>
        <w:rPr>
          <w:rFonts w:cs="宋体"/>
          <w:b w:val="0"/>
          <w:bCs/>
          <w:color w:val="000000"/>
          <w:sz w:val="24"/>
          <w:szCs w:val="24"/>
        </w:rPr>
      </w:pPr>
      <w:bookmarkStart w:id="84" w:name="_Toc54862339"/>
      <w:r>
        <w:rPr>
          <w:rFonts w:hint="eastAsia" w:cs="宋体"/>
          <w:b w:val="0"/>
          <w:bCs/>
          <w:color w:val="000000"/>
          <w:sz w:val="24"/>
          <w:szCs w:val="24"/>
        </w:rPr>
        <w:t>第8条 工期和进度</w:t>
      </w:r>
      <w:bookmarkEnd w:id="84"/>
    </w:p>
    <w:p w14:paraId="67D7C84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8.1 开始工作</w:t>
      </w:r>
    </w:p>
    <w:p w14:paraId="0C4D36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8.1.1 开始准备工作：</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394425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8.1.2 发包人可在计划开始工作之日起84日后发出开始工作通知的特殊情形：</w:t>
      </w:r>
      <w:r>
        <w:rPr>
          <w:rFonts w:hint="eastAsia" w:ascii="宋体" w:hAnsi="宋体" w:cs="宋体"/>
          <w:color w:val="000000"/>
          <w:sz w:val="24"/>
          <w:szCs w:val="24"/>
          <w:u w:val="single"/>
        </w:rPr>
        <w:t>政策调整或者不可抗力因素导致</w:t>
      </w:r>
      <w:r>
        <w:rPr>
          <w:rFonts w:hint="eastAsia" w:ascii="宋体" w:hAnsi="宋体" w:cs="宋体"/>
          <w:color w:val="000000"/>
          <w:sz w:val="24"/>
          <w:szCs w:val="24"/>
        </w:rPr>
        <w:t>。</w:t>
      </w:r>
    </w:p>
    <w:p w14:paraId="3BF8DD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8.2 竣工日期</w:t>
      </w:r>
    </w:p>
    <w:p w14:paraId="75B7474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竣工日期的约定：</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306BFC9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8.3 项目实施计划</w:t>
      </w:r>
    </w:p>
    <w:p w14:paraId="5A056D1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8.3.1 项目实施计划的内容</w:t>
      </w:r>
    </w:p>
    <w:p w14:paraId="4CF50E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项目实施计划的内容：</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400C8B3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8.3.2 项目实施计划的提交和修改</w:t>
      </w:r>
    </w:p>
    <w:p w14:paraId="536957D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项目实施计划的提交及修改期限：</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094134C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 项目进度计划</w:t>
      </w:r>
    </w:p>
    <w:p w14:paraId="1D28DF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8.4.1 工程师在收到进度计划后确认或提出修改意见的期限：</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547F05E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8.4.2 进度计划的具体要求：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3205C4A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关键路径及关键路径变化的确定原则：</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173E0CB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承包人提交项目进度计划的份数和时间：</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29E0697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8.4.3 进度计划的修订</w:t>
      </w:r>
    </w:p>
    <w:p w14:paraId="13B948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承包人提交修订项目进度计划申请报告的期限：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460A8E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发包人批复修订项目进度计划申请报告的期限：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2097AA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承包人答复发包人提出修订合同计划的期限：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95AD2E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8.5 进度报告</w:t>
      </w:r>
    </w:p>
    <w:p w14:paraId="6D04C9B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进度报告的具体要求：</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AA3491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 工期延误</w:t>
      </w:r>
    </w:p>
    <w:p w14:paraId="1CEF70D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8.7.2 因承包人原因导致工期延误</w:t>
      </w:r>
    </w:p>
    <w:p w14:paraId="1A0113A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因承包人原因使竣工日期延误，每延误1日的误期赔偿金额为合同协议书的合同价格的</w:t>
      </w:r>
      <w:r>
        <w:rPr>
          <w:rFonts w:hint="eastAsia" w:ascii="宋体" w:hAnsi="宋体" w:cs="宋体"/>
          <w:color w:val="000000"/>
          <w:sz w:val="24"/>
          <w:szCs w:val="24"/>
          <w:u w:val="single"/>
        </w:rPr>
        <w:t>0.1</w:t>
      </w:r>
      <w:r>
        <w:rPr>
          <w:rFonts w:hint="eastAsia" w:ascii="宋体" w:hAnsi="宋体" w:cs="宋体"/>
          <w:color w:val="000000"/>
          <w:sz w:val="24"/>
          <w:szCs w:val="24"/>
        </w:rPr>
        <w:t>%或人民币金额为：</w:t>
      </w:r>
      <w:r>
        <w:rPr>
          <w:rFonts w:hint="eastAsia" w:ascii="宋体" w:hAnsi="宋体" w:cs="宋体"/>
          <w:color w:val="000000"/>
          <w:sz w:val="24"/>
          <w:szCs w:val="24"/>
          <w:u w:val="single"/>
        </w:rPr>
        <w:t xml:space="preserve">  /  </w:t>
      </w:r>
      <w:r>
        <w:rPr>
          <w:rFonts w:hint="eastAsia" w:ascii="宋体" w:hAnsi="宋体" w:cs="宋体"/>
          <w:color w:val="000000"/>
          <w:sz w:val="24"/>
          <w:szCs w:val="24"/>
        </w:rPr>
        <w:t>、累计最高赔偿金额为合同协议书的合同价格的：</w:t>
      </w:r>
      <w:r>
        <w:rPr>
          <w:rFonts w:hint="eastAsia" w:ascii="宋体" w:hAnsi="宋体" w:cs="宋体"/>
          <w:color w:val="000000"/>
          <w:sz w:val="24"/>
          <w:szCs w:val="24"/>
          <w:u w:val="single"/>
        </w:rPr>
        <w:t>10</w:t>
      </w:r>
      <w:r>
        <w:rPr>
          <w:rFonts w:hint="eastAsia" w:ascii="宋体" w:hAnsi="宋体" w:cs="宋体"/>
          <w:color w:val="000000"/>
          <w:sz w:val="24"/>
          <w:szCs w:val="24"/>
        </w:rPr>
        <w:t>%或人民币金额为：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2ACECCD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8.7.3 行政审批迟延</w:t>
      </w:r>
    </w:p>
    <w:p w14:paraId="6E59A5C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行政审批报送的职责分工：</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7387B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8.7.4 异常恶劣的气候条件</w:t>
      </w:r>
    </w:p>
    <w:p w14:paraId="6FEBC43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双方约定视为异常恶劣的气候条件的情形：</w:t>
      </w:r>
      <w:r>
        <w:rPr>
          <w:rFonts w:hint="eastAsia" w:ascii="宋体" w:hAnsi="宋体" w:cs="宋体"/>
          <w:color w:val="000000"/>
          <w:sz w:val="24"/>
          <w:szCs w:val="24"/>
          <w:u w:val="single"/>
        </w:rPr>
        <w:t>台风、冰雹、洪水、地震、干旱、暴风雪等</w:t>
      </w:r>
      <w:r>
        <w:rPr>
          <w:rFonts w:hint="eastAsia" w:ascii="宋体" w:hAnsi="宋体" w:cs="宋体"/>
          <w:color w:val="000000"/>
          <w:sz w:val="24"/>
          <w:szCs w:val="24"/>
        </w:rPr>
        <w:t>。</w:t>
      </w:r>
    </w:p>
    <w:p w14:paraId="68BC84F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8.8 工期提前</w:t>
      </w:r>
    </w:p>
    <w:p w14:paraId="7D82558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8.8.2 承包人提前竣工的奖励：</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8E4719D">
      <w:pPr>
        <w:pStyle w:val="61"/>
        <w:spacing w:after="0"/>
        <w:jc w:val="left"/>
        <w:outlineLvl w:val="9"/>
        <w:rPr>
          <w:rFonts w:cs="宋体"/>
          <w:b w:val="0"/>
          <w:bCs/>
          <w:color w:val="000000"/>
          <w:sz w:val="24"/>
          <w:szCs w:val="24"/>
        </w:rPr>
      </w:pPr>
      <w:bookmarkStart w:id="85" w:name="_Toc54862340"/>
      <w:r>
        <w:rPr>
          <w:rFonts w:hint="eastAsia" w:cs="宋体"/>
          <w:b w:val="0"/>
          <w:bCs/>
          <w:color w:val="000000"/>
          <w:sz w:val="24"/>
          <w:szCs w:val="24"/>
        </w:rPr>
        <w:t>第9条 竣工试验</w:t>
      </w:r>
      <w:bookmarkEnd w:id="85"/>
    </w:p>
    <w:p w14:paraId="5FDDF81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9.1 竣工试验的义务</w:t>
      </w:r>
    </w:p>
    <w:p w14:paraId="72BBDEF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9.1.3 竣工试验的阶段、内容和顺序：</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34025BF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竣工试验的操作要求：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0574389A">
      <w:pPr>
        <w:pStyle w:val="61"/>
        <w:spacing w:after="0"/>
        <w:jc w:val="left"/>
        <w:outlineLvl w:val="9"/>
        <w:rPr>
          <w:rFonts w:cs="宋体"/>
          <w:b w:val="0"/>
          <w:bCs/>
          <w:color w:val="000000"/>
          <w:sz w:val="24"/>
          <w:szCs w:val="24"/>
        </w:rPr>
      </w:pPr>
      <w:bookmarkStart w:id="86" w:name="_Toc4784272"/>
      <w:bookmarkEnd w:id="86"/>
      <w:bookmarkStart w:id="87" w:name="_Toc4784273"/>
      <w:bookmarkEnd w:id="87"/>
      <w:bookmarkStart w:id="88" w:name="_Toc54862341"/>
      <w:r>
        <w:rPr>
          <w:rFonts w:hint="eastAsia" w:cs="宋体"/>
          <w:b w:val="0"/>
          <w:bCs/>
          <w:color w:val="000000"/>
          <w:sz w:val="24"/>
          <w:szCs w:val="24"/>
        </w:rPr>
        <w:t>第10条 验收和工程接收</w:t>
      </w:r>
      <w:bookmarkEnd w:id="88"/>
    </w:p>
    <w:p w14:paraId="20D8897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10.1 竣工验收</w:t>
      </w:r>
    </w:p>
    <w:p w14:paraId="7294840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10.1.2 关于竣工验收程序的约定：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53B2AAA">
      <w:pPr>
        <w:spacing w:line="360" w:lineRule="auto"/>
        <w:ind w:firstLine="200"/>
        <w:jc w:val="left"/>
        <w:rPr>
          <w:rFonts w:ascii="宋体" w:hAnsi="宋体" w:cs="宋体"/>
          <w:color w:val="000000"/>
          <w:sz w:val="24"/>
          <w:szCs w:val="24"/>
        </w:rPr>
      </w:pPr>
      <w:bookmarkStart w:id="89" w:name="_Hlk46406260"/>
      <w:r>
        <w:rPr>
          <w:rFonts w:hint="eastAsia" w:ascii="宋体" w:hAnsi="宋体" w:cs="宋体"/>
          <w:color w:val="000000"/>
          <w:sz w:val="24"/>
          <w:szCs w:val="24"/>
        </w:rPr>
        <w:t>发包人不按照合同约定组织竣工验收、颁发工程接受证书的违约金的计算方式：</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bookmarkEnd w:id="89"/>
    </w:p>
    <w:p w14:paraId="586505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w:t>
      </w:r>
      <w:r>
        <w:rPr>
          <w:rFonts w:hint="eastAsia" w:ascii="宋体" w:hAnsi="宋体" w:cs="宋体"/>
          <w:color w:val="000000"/>
          <w:sz w:val="24"/>
          <w:szCs w:val="24"/>
        </w:rPr>
        <w:tab/>
      </w:r>
      <w:r>
        <w:rPr>
          <w:rFonts w:hint="eastAsia" w:ascii="宋体" w:hAnsi="宋体" w:cs="宋体"/>
          <w:color w:val="000000"/>
          <w:sz w:val="24"/>
          <w:szCs w:val="24"/>
        </w:rPr>
        <w:t xml:space="preserve"> 工程的接收</w:t>
      </w:r>
    </w:p>
    <w:p w14:paraId="4FE2336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10.3.1工程接收的先后顺序、时间安排和其他要求：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12EA01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10.3.2 接受工程时承包人需提交竣工验收资料的类别、内容、份数和提交时间：</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5F8B5E8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10.3.3 发包人逾期接收工程的违约责任：</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319EB0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10.3.4 承包人无正当理由不移交工程的违约责任：</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D7721D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10.4 接收证书</w:t>
      </w:r>
    </w:p>
    <w:p w14:paraId="1052035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10.4.1 工程接收证书颁发时间：</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A7A2AB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10.5 竣工退场</w:t>
      </w:r>
    </w:p>
    <w:p w14:paraId="63ED56B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10.5.1 竣工退场的相关约定：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1F0DF5E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10.5.3人员撤离</w:t>
      </w:r>
    </w:p>
    <w:p w14:paraId="640C050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工程师同意需在缺陷责任期内继续工作和使用的人员、施工设备和临时工程的内容：</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0C2C75BD">
      <w:pPr>
        <w:pStyle w:val="61"/>
        <w:spacing w:after="0"/>
        <w:jc w:val="left"/>
        <w:outlineLvl w:val="9"/>
        <w:rPr>
          <w:rFonts w:cs="宋体"/>
          <w:b w:val="0"/>
          <w:bCs/>
          <w:color w:val="000000"/>
          <w:sz w:val="24"/>
          <w:szCs w:val="24"/>
        </w:rPr>
      </w:pPr>
      <w:bookmarkStart w:id="90" w:name="_Toc54862342"/>
      <w:r>
        <w:rPr>
          <w:rFonts w:hint="eastAsia" w:cs="宋体"/>
          <w:b w:val="0"/>
          <w:bCs/>
          <w:color w:val="000000"/>
          <w:sz w:val="24"/>
          <w:szCs w:val="24"/>
        </w:rPr>
        <w:t>第11条 缺陷责任与保修</w:t>
      </w:r>
      <w:bookmarkEnd w:id="90"/>
    </w:p>
    <w:p w14:paraId="6F9B7F4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11.2 缺陷责任期</w:t>
      </w:r>
    </w:p>
    <w:p w14:paraId="18611A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缺陷责任期的期限：</w:t>
      </w:r>
      <w:r>
        <w:rPr>
          <w:rFonts w:hint="eastAsia" w:ascii="宋体" w:hAnsi="宋体" w:cs="宋体"/>
          <w:color w:val="000000"/>
          <w:sz w:val="24"/>
          <w:szCs w:val="24"/>
          <w:u w:val="single"/>
        </w:rPr>
        <w:t xml:space="preserve"> 24个月 </w:t>
      </w:r>
      <w:r>
        <w:rPr>
          <w:rFonts w:hint="eastAsia" w:ascii="宋体" w:hAnsi="宋体" w:cs="宋体"/>
          <w:color w:val="000000"/>
          <w:sz w:val="24"/>
          <w:szCs w:val="24"/>
        </w:rPr>
        <w:t>。</w:t>
      </w:r>
    </w:p>
    <w:p w14:paraId="0307AA5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 缺陷调查</w:t>
      </w:r>
    </w:p>
    <w:p w14:paraId="55333EA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11.3.4 修复通知</w:t>
      </w:r>
    </w:p>
    <w:p w14:paraId="2FF5E73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承包人收到保修通知并到达工程现场的合理时间：</w:t>
      </w:r>
      <w:r>
        <w:rPr>
          <w:rFonts w:hint="eastAsia" w:ascii="宋体" w:hAnsi="宋体" w:cs="宋体"/>
          <w:color w:val="000000"/>
          <w:sz w:val="24"/>
          <w:szCs w:val="24"/>
          <w:u w:val="single"/>
        </w:rPr>
        <w:t>收到保修通知或口头通知 24小时内</w:t>
      </w:r>
      <w:r>
        <w:rPr>
          <w:rFonts w:hint="eastAsia" w:ascii="宋体" w:hAnsi="宋体" w:cs="宋体"/>
          <w:color w:val="000000"/>
          <w:sz w:val="24"/>
          <w:szCs w:val="24"/>
        </w:rPr>
        <w:t>。</w:t>
      </w:r>
    </w:p>
    <w:p w14:paraId="6935720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11.6 缺陷责任期终止证书</w:t>
      </w:r>
    </w:p>
    <w:p w14:paraId="3EF683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承包人应于缺陷责任期届满后</w:t>
      </w:r>
      <w:r>
        <w:rPr>
          <w:rFonts w:hint="eastAsia" w:ascii="宋体" w:hAnsi="宋体" w:cs="宋体"/>
          <w:color w:val="000000"/>
          <w:sz w:val="24"/>
          <w:szCs w:val="24"/>
          <w:u w:val="single"/>
        </w:rPr>
        <w:t xml:space="preserve">  7  </w:t>
      </w:r>
      <w:r>
        <w:rPr>
          <w:rFonts w:hint="eastAsia" w:ascii="宋体" w:hAnsi="宋体" w:cs="宋体"/>
          <w:color w:val="000000"/>
          <w:sz w:val="24"/>
          <w:szCs w:val="24"/>
        </w:rPr>
        <w:t>天内向发包人发出缺陷责任期届满通知，发包人应在收到缺陷责任期满通知后</w:t>
      </w:r>
      <w:r>
        <w:rPr>
          <w:rFonts w:hint="eastAsia" w:ascii="宋体" w:hAnsi="宋体" w:cs="宋体"/>
          <w:color w:val="000000"/>
          <w:sz w:val="24"/>
          <w:szCs w:val="24"/>
          <w:u w:val="single"/>
        </w:rPr>
        <w:t xml:space="preserve">  7  </w:t>
      </w:r>
      <w:r>
        <w:rPr>
          <w:rFonts w:hint="eastAsia" w:ascii="宋体" w:hAnsi="宋体" w:cs="宋体"/>
          <w:color w:val="000000"/>
          <w:sz w:val="24"/>
          <w:szCs w:val="24"/>
        </w:rPr>
        <w:t>天内核实承包人是否履行缺陷修复义务，承包人未能履行缺陷修复义务的，发包人有权扣除相应金额的维修费用。发包人应在收到缺陷责任期届满通知后</w:t>
      </w:r>
      <w:r>
        <w:rPr>
          <w:rFonts w:hint="eastAsia" w:ascii="宋体" w:hAnsi="宋体" w:cs="宋体"/>
          <w:color w:val="000000"/>
          <w:sz w:val="24"/>
          <w:szCs w:val="24"/>
          <w:u w:val="single"/>
        </w:rPr>
        <w:t xml:space="preserve">  7  </w:t>
      </w:r>
      <w:r>
        <w:rPr>
          <w:rFonts w:hint="eastAsia" w:ascii="宋体" w:hAnsi="宋体" w:cs="宋体"/>
          <w:color w:val="000000"/>
          <w:sz w:val="24"/>
          <w:szCs w:val="24"/>
        </w:rPr>
        <w:t>天内，向承包人颁发缺陷责任期终止证书。</w:t>
      </w:r>
    </w:p>
    <w:p w14:paraId="76F89C2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11.7 保修责任</w:t>
      </w:r>
    </w:p>
    <w:p w14:paraId="03A010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工程质量保修范围、期限和责任为：</w:t>
      </w:r>
      <w:r>
        <w:rPr>
          <w:rFonts w:hint="eastAsia" w:ascii="宋体" w:hAnsi="宋体" w:cs="宋体"/>
          <w:color w:val="000000"/>
          <w:sz w:val="24"/>
          <w:szCs w:val="24"/>
          <w:u w:val="single"/>
        </w:rPr>
        <w:t>详见工程质量保修书</w:t>
      </w:r>
      <w:r>
        <w:rPr>
          <w:rFonts w:hint="eastAsia" w:ascii="宋体" w:hAnsi="宋体" w:cs="宋体"/>
          <w:color w:val="000000"/>
          <w:sz w:val="24"/>
          <w:szCs w:val="24"/>
        </w:rPr>
        <w:t>。</w:t>
      </w:r>
    </w:p>
    <w:p w14:paraId="0D6937EC">
      <w:pPr>
        <w:pStyle w:val="61"/>
        <w:spacing w:after="0"/>
        <w:jc w:val="left"/>
        <w:outlineLvl w:val="9"/>
        <w:rPr>
          <w:rFonts w:cs="宋体"/>
          <w:b w:val="0"/>
          <w:bCs/>
          <w:color w:val="000000"/>
          <w:sz w:val="24"/>
          <w:szCs w:val="24"/>
        </w:rPr>
      </w:pPr>
      <w:bookmarkStart w:id="91" w:name="_Toc54862343"/>
      <w:r>
        <w:rPr>
          <w:rFonts w:hint="eastAsia" w:cs="宋体"/>
          <w:b w:val="0"/>
          <w:bCs/>
          <w:color w:val="000000"/>
          <w:sz w:val="24"/>
          <w:szCs w:val="24"/>
        </w:rPr>
        <w:t>第12条 竣工后试验</w:t>
      </w:r>
      <w:bookmarkEnd w:id="91"/>
    </w:p>
    <w:p w14:paraId="7AF71A1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本合同工程是否包含竣工后试验：</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71BC89E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12.1 竣工后试验的程序</w:t>
      </w:r>
    </w:p>
    <w:p w14:paraId="237C462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宋体" w:hAnsi="宋体" w:cs="宋体"/>
          <w:color w:val="000000"/>
          <w:sz w:val="24"/>
          <w:szCs w:val="24"/>
          <w:u w:val="single"/>
        </w:rPr>
        <w:t>承包人</w:t>
      </w:r>
      <w:r>
        <w:rPr>
          <w:rFonts w:hint="eastAsia" w:ascii="宋体" w:hAnsi="宋体" w:cs="宋体"/>
          <w:color w:val="000000"/>
          <w:sz w:val="24"/>
          <w:szCs w:val="24"/>
        </w:rPr>
        <w:t>。</w:t>
      </w:r>
    </w:p>
    <w:p w14:paraId="3EC530A8">
      <w:pPr>
        <w:pStyle w:val="61"/>
        <w:spacing w:after="0"/>
        <w:jc w:val="left"/>
        <w:outlineLvl w:val="9"/>
        <w:rPr>
          <w:rFonts w:cs="宋体"/>
          <w:b w:val="0"/>
          <w:bCs/>
          <w:color w:val="000000"/>
          <w:sz w:val="24"/>
          <w:szCs w:val="24"/>
        </w:rPr>
      </w:pPr>
      <w:bookmarkStart w:id="92" w:name="_Toc54862344"/>
      <w:r>
        <w:rPr>
          <w:rFonts w:hint="eastAsia" w:cs="宋体"/>
          <w:b w:val="0"/>
          <w:bCs/>
          <w:color w:val="000000"/>
          <w:sz w:val="24"/>
          <w:szCs w:val="24"/>
        </w:rPr>
        <w:t>第13条 变更与调整</w:t>
      </w:r>
      <w:bookmarkEnd w:id="92"/>
    </w:p>
    <w:p w14:paraId="0FA724C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13.2 承包人的合理化建议</w:t>
      </w:r>
    </w:p>
    <w:p w14:paraId="239E26E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13.2.2 工程师应在收到承包人提交的合理化建议后</w:t>
      </w:r>
      <w:r>
        <w:rPr>
          <w:rFonts w:hint="eastAsia" w:ascii="宋体" w:hAnsi="宋体" w:cs="宋体"/>
          <w:color w:val="000000"/>
          <w:sz w:val="24"/>
          <w:szCs w:val="24"/>
          <w:u w:val="single"/>
        </w:rPr>
        <w:t>7</w:t>
      </w:r>
      <w:r>
        <w:rPr>
          <w:rFonts w:hint="eastAsia" w:ascii="宋体" w:hAnsi="宋体" w:cs="宋体"/>
          <w:color w:val="000000"/>
          <w:sz w:val="24"/>
          <w:szCs w:val="24"/>
        </w:rPr>
        <w:t>日内审查完毕并报送发包人，发现其中存在技术上的缺陷，应通知承包人修改。发包人应在收到工程师报送的合理化建议后</w:t>
      </w:r>
      <w:r>
        <w:rPr>
          <w:rFonts w:hint="eastAsia" w:ascii="宋体" w:hAnsi="宋体" w:cs="宋体"/>
          <w:color w:val="000000"/>
          <w:sz w:val="24"/>
          <w:szCs w:val="24"/>
          <w:u w:val="single"/>
        </w:rPr>
        <w:t>7</w:t>
      </w:r>
      <w:r>
        <w:rPr>
          <w:rFonts w:hint="eastAsia" w:ascii="宋体" w:hAnsi="宋体" w:cs="宋体"/>
          <w:color w:val="000000"/>
          <w:sz w:val="24"/>
          <w:szCs w:val="24"/>
        </w:rPr>
        <w:t>日内审批完毕。合理化建议经发包人批准的，工程师应及时发出变更指示，由此引起的合同价格调整按照</w:t>
      </w:r>
      <w:r>
        <w:rPr>
          <w:rFonts w:hint="eastAsia" w:ascii="宋体" w:hAnsi="宋体" w:cs="宋体"/>
          <w:color w:val="000000"/>
          <w:sz w:val="24"/>
          <w:szCs w:val="24"/>
          <w:u w:val="single"/>
        </w:rPr>
        <w:t>第13.3.3项[变更估价]约定</w:t>
      </w:r>
      <w:r>
        <w:rPr>
          <w:rFonts w:hint="eastAsia" w:ascii="宋体" w:hAnsi="宋体" w:cs="宋体"/>
          <w:color w:val="000000"/>
          <w:sz w:val="24"/>
          <w:szCs w:val="24"/>
        </w:rPr>
        <w:t>执行。发包人不同意变更的，工程师应书面通知承包人</w:t>
      </w:r>
    </w:p>
    <w:p w14:paraId="595F51A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13.2.3 承包人提出的合理化变更建议的利益分享约定：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EFFEA7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13.3 变更程序</w:t>
      </w:r>
    </w:p>
    <w:p w14:paraId="4577092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13.3.3 变更估价</w:t>
      </w:r>
    </w:p>
    <w:p w14:paraId="4812DD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13.3.3.1 变更估价原则</w:t>
      </w:r>
    </w:p>
    <w:p w14:paraId="1FB94715">
      <w:pPr>
        <w:spacing w:line="360" w:lineRule="auto"/>
        <w:ind w:firstLine="200"/>
        <w:jc w:val="left"/>
        <w:rPr>
          <w:rFonts w:ascii="宋体" w:hAnsi="宋体" w:cs="宋体"/>
          <w:bCs/>
          <w:color w:val="0000FF"/>
          <w:sz w:val="24"/>
          <w:szCs w:val="24"/>
          <w:u w:val="single"/>
        </w:rPr>
      </w:pPr>
      <w:r>
        <w:rPr>
          <w:rFonts w:hint="eastAsia" w:ascii="宋体" w:hAnsi="宋体" w:cs="宋体"/>
          <w:color w:val="000000"/>
          <w:sz w:val="24"/>
          <w:szCs w:val="24"/>
        </w:rPr>
        <w:t>关于变更估价原则的约定：</w:t>
      </w:r>
      <w:r>
        <w:rPr>
          <w:rFonts w:hint="eastAsia" w:ascii="宋体" w:hAnsi="宋体" w:cs="宋体"/>
          <w:bCs/>
          <w:color w:val="0000FF"/>
          <w:sz w:val="24"/>
          <w:szCs w:val="24"/>
          <w:u w:val="single"/>
        </w:rPr>
        <w:t>本工程按总价包干，结算时除本合同专用条款约定的调整因素外，合同价款不再调整。</w:t>
      </w:r>
    </w:p>
    <w:p w14:paraId="39C312D7">
      <w:pPr>
        <w:spacing w:line="360" w:lineRule="auto"/>
        <w:ind w:firstLine="200"/>
        <w:jc w:val="left"/>
        <w:rPr>
          <w:rFonts w:ascii="宋体" w:hAnsi="宋体" w:cs="宋体"/>
          <w:bCs/>
          <w:color w:val="000000"/>
          <w:sz w:val="24"/>
          <w:szCs w:val="24"/>
          <w:u w:val="single"/>
        </w:rPr>
      </w:pPr>
      <w:r>
        <w:rPr>
          <w:rFonts w:hint="eastAsia" w:ascii="宋体" w:hAnsi="宋体" w:cs="宋体"/>
          <w:bCs/>
          <w:color w:val="000000"/>
          <w:sz w:val="24"/>
          <w:szCs w:val="24"/>
          <w:u w:val="single"/>
        </w:rPr>
        <w:t>（1）承包人对自身的设计、采购、施工、竣工试验、竣工后试验存在的缺陷，应自费修正、调整和完善，不属于变更，同时须承担由其原因给发包人带来损失或增加的额外费用。</w:t>
      </w:r>
    </w:p>
    <w:p w14:paraId="14ED8D81">
      <w:pPr>
        <w:spacing w:line="360" w:lineRule="auto"/>
        <w:ind w:firstLine="200"/>
        <w:jc w:val="left"/>
        <w:rPr>
          <w:rFonts w:ascii="宋体" w:hAnsi="宋体" w:cs="宋体"/>
          <w:bCs/>
          <w:color w:val="000000"/>
          <w:sz w:val="24"/>
          <w:szCs w:val="24"/>
          <w:u w:val="single"/>
        </w:rPr>
      </w:pPr>
      <w:r>
        <w:rPr>
          <w:rFonts w:hint="eastAsia" w:ascii="宋体" w:hAnsi="宋体" w:cs="宋体"/>
          <w:bCs/>
          <w:color w:val="000000"/>
          <w:sz w:val="24"/>
          <w:szCs w:val="24"/>
          <w:u w:val="single"/>
        </w:rPr>
        <w:t>（2）施工图审核通过后，由承包人根据招标文件、采购范围、施工图纸、响应文件及相关法律、法规规定编制清单预算，该清单预算经发包人审核确定后作为工程进度款的支付依据和工程结算依据。承包人最终实施的工程数量、规格不得低于招标时发包人提供的主要项目工程数量表中载明的工程数量、规格以及招标文件采购需求中的其他规定；如低于主要工程量表中列明的工程数量、技术规格以及招标文件采购需求中的其他规定，则应参照审核确定后的清单预算扣减相应费用</w:t>
      </w:r>
      <w:bookmarkStart w:id="93" w:name="OLE_LINK16"/>
      <w:bookmarkStart w:id="94" w:name="OLE_LINK15"/>
      <w:r>
        <w:rPr>
          <w:rFonts w:hint="eastAsia" w:ascii="宋体" w:hAnsi="宋体" w:cs="宋体"/>
          <w:bCs/>
          <w:color w:val="000000"/>
          <w:sz w:val="24"/>
          <w:szCs w:val="24"/>
          <w:u w:val="single"/>
        </w:rPr>
        <w:t>；如超过，则不予增加费用</w:t>
      </w:r>
      <w:bookmarkEnd w:id="93"/>
      <w:bookmarkEnd w:id="94"/>
      <w:r>
        <w:rPr>
          <w:rFonts w:hint="eastAsia" w:ascii="宋体" w:hAnsi="宋体" w:cs="宋体"/>
          <w:bCs/>
          <w:color w:val="000000"/>
          <w:sz w:val="24"/>
          <w:szCs w:val="24"/>
          <w:u w:val="single"/>
        </w:rPr>
        <w:t>。</w:t>
      </w:r>
    </w:p>
    <w:p w14:paraId="615639E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13.4 暂估价</w:t>
      </w:r>
    </w:p>
    <w:p w14:paraId="0A3FFB6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13.4.1 依法必须招标的暂估价项目</w:t>
      </w:r>
    </w:p>
    <w:p w14:paraId="2E11D48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承包人可以参与投标的暂估价项目范围：</w:t>
      </w:r>
      <w:r>
        <w:rPr>
          <w:rFonts w:hint="eastAsia" w:ascii="宋体" w:hAnsi="宋体" w:cs="宋体"/>
          <w:color w:val="000000"/>
          <w:sz w:val="24"/>
          <w:szCs w:val="24"/>
          <w:u w:val="single"/>
        </w:rPr>
        <w:t>对于依法必须招标的暂估价项目，由发包人和承包人招标确定暂估价投标人或分包人，承包人应按照施工进度计划，在招标工作启动前14天通知发包人</w:t>
      </w:r>
      <w:r>
        <w:rPr>
          <w:rFonts w:hint="eastAsia" w:ascii="宋体" w:hAnsi="宋体" w:cs="宋体"/>
          <w:color w:val="000000"/>
          <w:sz w:val="24"/>
          <w:szCs w:val="24"/>
        </w:rPr>
        <w:t>。</w:t>
      </w:r>
    </w:p>
    <w:p w14:paraId="25F738D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承包人不得参与投标的暂估价项目范围：</w:t>
      </w:r>
      <w:r>
        <w:rPr>
          <w:rFonts w:hint="eastAsia" w:ascii="宋体" w:hAnsi="宋体" w:cs="宋体"/>
          <w:color w:val="000000"/>
          <w:sz w:val="24"/>
          <w:szCs w:val="24"/>
          <w:u w:val="single"/>
        </w:rPr>
        <w:t>由发包人和承包人共同作为采购人的项目，承包人不得参与投标</w:t>
      </w:r>
      <w:r>
        <w:rPr>
          <w:rFonts w:hint="eastAsia" w:ascii="宋体" w:hAnsi="宋体" w:cs="宋体"/>
          <w:color w:val="000000"/>
          <w:sz w:val="24"/>
          <w:szCs w:val="24"/>
        </w:rPr>
        <w:t>。</w:t>
      </w:r>
    </w:p>
    <w:p w14:paraId="21333F7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招投标程序及其他约定：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0FDD5C2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13.4.2 不属于依法必须招标的暂估价项目</w:t>
      </w:r>
    </w:p>
    <w:p w14:paraId="68AF6AE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不属于依法必须招标的暂估价项目的协商及估价的约定：</w:t>
      </w:r>
      <w:r>
        <w:rPr>
          <w:rFonts w:hint="eastAsia" w:ascii="宋体" w:hAnsi="宋体" w:cs="宋体"/>
          <w:color w:val="000000"/>
          <w:sz w:val="24"/>
          <w:szCs w:val="24"/>
          <w:u w:val="single"/>
        </w:rPr>
        <w:t>由承包人招标确定暂估价投标人或分包人</w:t>
      </w:r>
      <w:r>
        <w:rPr>
          <w:rFonts w:hint="eastAsia" w:ascii="宋体" w:hAnsi="宋体" w:cs="宋体"/>
          <w:color w:val="000000"/>
          <w:sz w:val="24"/>
          <w:szCs w:val="24"/>
        </w:rPr>
        <w:t>。</w:t>
      </w:r>
    </w:p>
    <w:p w14:paraId="02FF334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13.5 暂列金额</w:t>
      </w:r>
    </w:p>
    <w:p w14:paraId="6014E0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其他关于暂列金额使用的约定：</w:t>
      </w:r>
      <w:r>
        <w:rPr>
          <w:rFonts w:hint="eastAsia" w:ascii="宋体" w:hAnsi="宋体" w:cs="宋体"/>
          <w:color w:val="000000"/>
          <w:sz w:val="24"/>
          <w:szCs w:val="24"/>
          <w:u w:val="single"/>
        </w:rPr>
        <w:t>暂列金额应按照发包人的要求使用</w:t>
      </w:r>
      <w:r>
        <w:rPr>
          <w:rFonts w:hint="eastAsia" w:ascii="宋体" w:hAnsi="宋体" w:cs="宋体"/>
          <w:color w:val="000000"/>
          <w:sz w:val="24"/>
          <w:szCs w:val="24"/>
        </w:rPr>
        <w:t>。</w:t>
      </w:r>
    </w:p>
    <w:p w14:paraId="60C01F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13.8 市场价格波动引起的调整</w:t>
      </w:r>
    </w:p>
    <w:p w14:paraId="4445F7D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市场价格波动是否调整合同价格的约定：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1DEC769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调整范围：</w:t>
      </w:r>
      <w:r>
        <w:rPr>
          <w:rFonts w:hint="eastAsia" w:ascii="宋体" w:hAnsi="宋体" w:cs="宋体"/>
          <w:bCs/>
          <w:color w:val="000000"/>
          <w:sz w:val="24"/>
          <w:szCs w:val="24"/>
          <w:u w:val="single"/>
        </w:rPr>
        <w:t xml:space="preserve">      /     </w:t>
      </w:r>
      <w:r>
        <w:rPr>
          <w:rFonts w:hint="eastAsia" w:ascii="宋体" w:hAnsi="宋体" w:cs="宋体"/>
          <w:color w:val="000000"/>
          <w:sz w:val="24"/>
          <w:szCs w:val="24"/>
        </w:rPr>
        <w:t>。</w:t>
      </w:r>
    </w:p>
    <w:p w14:paraId="26F81A2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13.8.2 关于是否采用《价格指数权重表》的约定：</w:t>
      </w:r>
      <w:r>
        <w:rPr>
          <w:rFonts w:hint="eastAsia" w:ascii="宋体" w:hAnsi="宋体" w:cs="宋体"/>
          <w:color w:val="000000"/>
          <w:sz w:val="24"/>
          <w:szCs w:val="24"/>
          <w:u w:val="single"/>
        </w:rPr>
        <w:t>否</w:t>
      </w:r>
      <w:r>
        <w:rPr>
          <w:rFonts w:hint="eastAsia" w:ascii="宋体" w:hAnsi="宋体" w:cs="宋体"/>
          <w:color w:val="000000"/>
          <w:sz w:val="24"/>
          <w:szCs w:val="24"/>
        </w:rPr>
        <w:t>。</w:t>
      </w:r>
    </w:p>
    <w:p w14:paraId="357A96E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13.8.3 关于采用其他方式调整合同价款的约定：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336F8EC2">
      <w:pPr>
        <w:pStyle w:val="61"/>
        <w:spacing w:after="0"/>
        <w:jc w:val="left"/>
        <w:outlineLvl w:val="9"/>
        <w:rPr>
          <w:rFonts w:cs="宋体"/>
          <w:b w:val="0"/>
          <w:bCs/>
          <w:color w:val="000000"/>
          <w:sz w:val="24"/>
          <w:szCs w:val="24"/>
        </w:rPr>
      </w:pPr>
      <w:bookmarkStart w:id="95" w:name="_Toc54862345"/>
      <w:r>
        <w:rPr>
          <w:rFonts w:hint="eastAsia" w:cs="宋体"/>
          <w:b w:val="0"/>
          <w:bCs/>
          <w:color w:val="000000"/>
          <w:sz w:val="24"/>
          <w:szCs w:val="24"/>
        </w:rPr>
        <w:t>第14条 合同价格与支付</w:t>
      </w:r>
      <w:bookmarkEnd w:id="95"/>
    </w:p>
    <w:p w14:paraId="2DD618B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14.1 合同价格形式</w:t>
      </w:r>
    </w:p>
    <w:p w14:paraId="1EED132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14.1.1 关于合同价格形式的约定：</w:t>
      </w:r>
      <w:r>
        <w:rPr>
          <w:rFonts w:hint="eastAsia" w:ascii="宋体" w:hAnsi="宋体" w:cs="宋体"/>
          <w:color w:val="0000FF"/>
          <w:sz w:val="24"/>
          <w:szCs w:val="24"/>
          <w:u w:val="single"/>
        </w:rPr>
        <w:t>采用固定总价合同，该</w:t>
      </w:r>
      <w:r>
        <w:rPr>
          <w:rFonts w:hint="eastAsia" w:ascii="宋体" w:hAnsi="宋体" w:cs="宋体"/>
          <w:color w:val="000000"/>
          <w:sz w:val="24"/>
          <w:szCs w:val="24"/>
          <w:u w:val="single"/>
        </w:rPr>
        <w:t>合同价格是承包人完成招标范围、合同规定的设计、施工、采购、安装等工作所产生的费用，以及项目整体移交、工程保修期内的缺陷修复和保修工作等所产生的全部费用。其应包括但不限于劳务、管理、材料、设备、采购、运输、装卸、保管、施工、保险、维护、风险、利润、规费、税金等以及政策性文件规定的各项应有费用。即为完成本项目工程总承包所发生的一切费用。各阶段图纸审核、审查、专家评审等发生费用由承包人承担，该部分费用包含在合同总价中。</w:t>
      </w:r>
    </w:p>
    <w:p w14:paraId="6BF3061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承包人已充分踏勘施工现场条件，合同总价中已充分考虑项目实施期间各类人工、材料、机械等市场风险及政策性调整等风险。除根据合同约定的在工程实施过程中需进行增减的款项外，合同价格不作调整</w:t>
      </w:r>
      <w:r>
        <w:rPr>
          <w:rFonts w:hint="eastAsia" w:ascii="宋体" w:hAnsi="宋体" w:cs="宋体"/>
          <w:color w:val="000000"/>
          <w:sz w:val="24"/>
          <w:szCs w:val="24"/>
        </w:rPr>
        <w:t>。</w:t>
      </w:r>
    </w:p>
    <w:p w14:paraId="441A96E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14.1.2 关于合同价格调整的约定：</w:t>
      </w:r>
      <w:r>
        <w:rPr>
          <w:rFonts w:hint="eastAsia" w:ascii="宋体" w:hAnsi="宋体" w:cs="宋体"/>
          <w:color w:val="000000"/>
          <w:sz w:val="24"/>
          <w:szCs w:val="24"/>
          <w:u w:val="single"/>
        </w:rPr>
        <w:t>双方根据本工程特点，商定的其它变更范围：</w:t>
      </w:r>
    </w:p>
    <w:p w14:paraId="7AB68C70">
      <w:pPr>
        <w:pStyle w:val="2"/>
        <w:rPr>
          <w:rFonts w:hAnsi="宋体" w:cs="宋体"/>
          <w:color w:val="000000"/>
          <w:kern w:val="2"/>
          <w:sz w:val="24"/>
          <w:szCs w:val="24"/>
          <w:u w:val="single"/>
        </w:rPr>
      </w:pPr>
      <w:r>
        <w:rPr>
          <w:rFonts w:hint="eastAsia" w:hAnsi="宋体" w:cs="宋体"/>
          <w:color w:val="000000"/>
          <w:kern w:val="2"/>
          <w:sz w:val="24"/>
          <w:szCs w:val="24"/>
          <w:u w:val="single"/>
        </w:rPr>
        <w:t xml:space="preserve">(1)合同价款中包括的风险范围：①招标人提出的建设范围、建设规模、建设标准、功能需求、工期或者质量要求的调整；②难以预见的地质自然灾害、不可预知的地下溶洞、采空区或者障碍物、有毒气体等重大地质变化，其损失和处置费用（因工程总承包单位施工组织、措施不当等造成的上述问题，其损失和处置费应由工程总承包单位承担）；③其他不可抗力所造成的工程费用的增加； </w:t>
      </w:r>
    </w:p>
    <w:p w14:paraId="06FC2B67">
      <w:pPr>
        <w:pStyle w:val="2"/>
        <w:rPr>
          <w:rFonts w:hAnsi="宋体" w:cs="宋体"/>
          <w:color w:val="000000"/>
          <w:kern w:val="2"/>
          <w:sz w:val="24"/>
          <w:szCs w:val="24"/>
          <w:u w:val="single"/>
        </w:rPr>
      </w:pPr>
      <w:r>
        <w:rPr>
          <w:rFonts w:hint="eastAsia" w:hAnsi="宋体" w:cs="宋体"/>
          <w:color w:val="000000"/>
          <w:kern w:val="2"/>
          <w:sz w:val="24"/>
          <w:szCs w:val="24"/>
          <w:u w:val="single"/>
        </w:rPr>
        <w:t xml:space="preserve"> (2) 按实际完成的工程量支付工程价款的计量方法、估价方法：设计费采用投标固定价格。建安工程费用结算价最终由政府审计部门或其委托的审计单位审计核定，若审计核定的工程费用高于承包人工程费用投标总价，则工程费用按承包人投标报价结算；若低于承包人投标报价或14.1.2.(1)条款原因，具体建安费用的结算按以下规定执行：</w:t>
      </w:r>
    </w:p>
    <w:p w14:paraId="78708975">
      <w:pPr>
        <w:pStyle w:val="2"/>
        <w:rPr>
          <w:rFonts w:hAnsi="宋体" w:cs="宋体"/>
          <w:color w:val="000000"/>
          <w:kern w:val="2"/>
          <w:sz w:val="24"/>
          <w:szCs w:val="24"/>
          <w:u w:val="single"/>
        </w:rPr>
      </w:pPr>
      <w:r>
        <w:rPr>
          <w:rFonts w:hint="eastAsia" w:hAnsi="宋体" w:cs="宋体"/>
          <w:color w:val="000000"/>
          <w:kern w:val="2"/>
          <w:sz w:val="24"/>
          <w:szCs w:val="24"/>
          <w:u w:val="single"/>
        </w:rPr>
        <w:t>①建安工程费造价编制按现行江苏省和本地相关计价规范、计价定额和配套文件执行。材料价格按当期《无锡工程造价信息》发布的建材信息价为准，信息价中没有的材料价格，市场询价并参考项目实施机构同类材料的采购价格，最终价格以审计部门审核的结果为准。人工费以施工期间省市建设主管部门发布的政策性人工费调整标准的加权平均值计算。</w:t>
      </w:r>
    </w:p>
    <w:p w14:paraId="25639D9E">
      <w:pPr>
        <w:pStyle w:val="2"/>
        <w:rPr>
          <w:rFonts w:hAnsi="宋体" w:cs="宋体"/>
          <w:color w:val="000000"/>
          <w:kern w:val="2"/>
          <w:sz w:val="24"/>
          <w:szCs w:val="24"/>
          <w:u w:val="single"/>
        </w:rPr>
      </w:pPr>
      <w:r>
        <w:rPr>
          <w:rFonts w:hint="eastAsia" w:hAnsi="宋体" w:cs="宋体"/>
          <w:color w:val="000000"/>
          <w:kern w:val="2"/>
          <w:sz w:val="24"/>
          <w:szCs w:val="24"/>
          <w:u w:val="single"/>
        </w:rPr>
        <w:t>②工程费由发包人审计部门或其委托的审计单位审计核定。</w:t>
      </w:r>
    </w:p>
    <w:p w14:paraId="3FFF582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14.1.3 按实际完成的工程量支付工程价款的计量方法、估价方法：</w:t>
      </w:r>
      <w:r>
        <w:rPr>
          <w:rFonts w:hint="eastAsia" w:ascii="宋体" w:hAnsi="宋体" w:cs="宋体"/>
          <w:color w:val="000000"/>
          <w:sz w:val="24"/>
          <w:szCs w:val="24"/>
          <w:u w:val="single"/>
        </w:rPr>
        <w:t>执行专用条款第13.3.3.1</w:t>
      </w:r>
      <w:r>
        <w:rPr>
          <w:rFonts w:hint="eastAsia" w:ascii="宋体" w:hAnsi="宋体" w:cs="宋体"/>
          <w:color w:val="000000"/>
          <w:sz w:val="24"/>
          <w:szCs w:val="24"/>
        </w:rPr>
        <w:t>。</w:t>
      </w:r>
    </w:p>
    <w:p w14:paraId="0AD229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 预付款</w:t>
      </w:r>
    </w:p>
    <w:p w14:paraId="628E851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14.2.1 预付款支付</w:t>
      </w:r>
    </w:p>
    <w:p w14:paraId="2AF210D1">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预付款的金额或比例为：</w:t>
      </w:r>
      <w:r>
        <w:rPr>
          <w:rFonts w:hint="eastAsia" w:ascii="宋体" w:hAnsi="宋体" w:cs="宋体"/>
          <w:color w:val="000000"/>
          <w:sz w:val="24"/>
          <w:szCs w:val="24"/>
          <w:u w:val="single"/>
        </w:rPr>
        <w:t>无。</w:t>
      </w:r>
    </w:p>
    <w:p w14:paraId="3B0C1F6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预付款支付期限：</w:t>
      </w:r>
      <w:r>
        <w:rPr>
          <w:rFonts w:hint="eastAsia" w:ascii="宋体" w:hAnsi="宋体" w:cs="宋体"/>
          <w:color w:val="000000"/>
          <w:sz w:val="24"/>
          <w:szCs w:val="24"/>
          <w:u w:val="single"/>
        </w:rPr>
        <w:t>/</w:t>
      </w:r>
      <w:r>
        <w:rPr>
          <w:rFonts w:hint="eastAsia" w:ascii="宋体" w:hAnsi="宋体" w:cs="宋体"/>
          <w:color w:val="000000"/>
          <w:sz w:val="24"/>
          <w:szCs w:val="24"/>
        </w:rPr>
        <w:t>。</w:t>
      </w:r>
    </w:p>
    <w:p w14:paraId="2365BF9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预付款扣回的方式：</w:t>
      </w:r>
      <w:r>
        <w:rPr>
          <w:rFonts w:hint="eastAsia" w:ascii="宋体" w:hAnsi="宋体" w:cs="宋体"/>
          <w:color w:val="000000"/>
          <w:sz w:val="24"/>
          <w:szCs w:val="24"/>
          <w:u w:val="single"/>
        </w:rPr>
        <w:t>/</w:t>
      </w:r>
      <w:r>
        <w:rPr>
          <w:rFonts w:hint="eastAsia" w:ascii="宋体" w:hAnsi="宋体" w:cs="宋体"/>
          <w:color w:val="000000"/>
          <w:sz w:val="24"/>
          <w:szCs w:val="24"/>
        </w:rPr>
        <w:t>。</w:t>
      </w:r>
    </w:p>
    <w:p w14:paraId="011EB31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14.2.2预付款担保</w:t>
      </w:r>
    </w:p>
    <w:p w14:paraId="3EAF30E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提供预付款担保期限：</w:t>
      </w:r>
      <w:r>
        <w:rPr>
          <w:rFonts w:hint="eastAsia" w:ascii="宋体" w:hAnsi="宋体" w:cs="宋体"/>
          <w:color w:val="000000"/>
          <w:sz w:val="24"/>
          <w:szCs w:val="24"/>
          <w:u w:val="single"/>
        </w:rPr>
        <w:t>/</w:t>
      </w:r>
      <w:r>
        <w:rPr>
          <w:rFonts w:hint="eastAsia" w:ascii="宋体" w:hAnsi="宋体" w:cs="宋体"/>
          <w:color w:val="000000"/>
          <w:sz w:val="24"/>
          <w:szCs w:val="24"/>
        </w:rPr>
        <w:t>。</w:t>
      </w:r>
    </w:p>
    <w:p w14:paraId="60EF901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预付款担保形式：</w:t>
      </w:r>
      <w:r>
        <w:rPr>
          <w:rFonts w:hint="eastAsia" w:ascii="宋体" w:hAnsi="宋体" w:cs="宋体"/>
          <w:color w:val="000000"/>
          <w:sz w:val="24"/>
          <w:szCs w:val="24"/>
          <w:u w:val="single"/>
        </w:rPr>
        <w:t>/</w:t>
      </w:r>
      <w:r>
        <w:rPr>
          <w:rFonts w:hint="eastAsia" w:ascii="宋体" w:hAnsi="宋体" w:cs="宋体"/>
          <w:color w:val="000000"/>
          <w:sz w:val="24"/>
          <w:szCs w:val="24"/>
        </w:rPr>
        <w:t>。</w:t>
      </w:r>
    </w:p>
    <w:p w14:paraId="1E5D40A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 工程进度款</w:t>
      </w:r>
    </w:p>
    <w:p w14:paraId="10913F8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14.3.1 工程进度付款申请</w:t>
      </w:r>
    </w:p>
    <w:p w14:paraId="6FE425A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工程进度付款申请方式：</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2EFAACB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承包人提交进度付款申请单的格式、内容、份数和时间：</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77C83F4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进度付款申请单应包括的内容：</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7286902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14.3.2 进度付款审核和支付</w:t>
      </w:r>
    </w:p>
    <w:p w14:paraId="5E5CA20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进度付款的审核方式和支付的约定：</w:t>
      </w:r>
    </w:p>
    <w:p w14:paraId="182657B7">
      <w:pPr>
        <w:spacing w:line="360" w:lineRule="auto"/>
        <w:ind w:firstLine="200"/>
        <w:jc w:val="left"/>
        <w:rPr>
          <w:rFonts w:ascii="宋体" w:hAnsi="宋体" w:cs="宋体"/>
          <w:b/>
          <w:color w:val="000000"/>
          <w:sz w:val="24"/>
          <w:szCs w:val="24"/>
          <w:u w:val="single"/>
        </w:rPr>
      </w:pPr>
      <w:r>
        <w:rPr>
          <w:rFonts w:hint="eastAsia" w:ascii="宋体" w:hAnsi="宋体" w:cs="宋体"/>
          <w:b/>
          <w:color w:val="000000"/>
          <w:sz w:val="24"/>
          <w:szCs w:val="24"/>
          <w:u w:val="single"/>
        </w:rPr>
        <w:t>（1）</w:t>
      </w:r>
      <w:r>
        <w:rPr>
          <w:rFonts w:ascii="宋体" w:hAnsi="宋体" w:cs="宋体"/>
          <w:b/>
          <w:color w:val="000000"/>
          <w:sz w:val="24"/>
          <w:szCs w:val="24"/>
          <w:u w:val="single"/>
        </w:rPr>
        <w:t>完成施工图设计并通过审图后7个工作日内，支付合同价的5%。监理签发开工令后7个工作日内支付合同价的10%。 通过竣工验收后7个工作日内支付合同价的6</w:t>
      </w:r>
      <w:r>
        <w:rPr>
          <w:rFonts w:hint="eastAsia" w:ascii="宋体" w:hAnsi="宋体" w:cs="宋体"/>
          <w:b/>
          <w:color w:val="000000"/>
          <w:sz w:val="24"/>
          <w:szCs w:val="24"/>
          <w:u w:val="single"/>
          <w:lang w:val="en-US" w:eastAsia="zh-CN"/>
        </w:rPr>
        <w:t>5</w:t>
      </w:r>
      <w:r>
        <w:rPr>
          <w:rFonts w:ascii="宋体" w:hAnsi="宋体" w:cs="宋体"/>
          <w:b/>
          <w:color w:val="000000"/>
          <w:sz w:val="24"/>
          <w:szCs w:val="24"/>
          <w:u w:val="single"/>
        </w:rPr>
        <w:t>%。完成结算审计后7个工作日内支付至审定价的97%。余款在质保期满后一次性支付。</w:t>
      </w:r>
    </w:p>
    <w:p w14:paraId="3273AE6C">
      <w:pPr>
        <w:spacing w:line="360" w:lineRule="auto"/>
        <w:ind w:firstLine="200"/>
        <w:jc w:val="left"/>
        <w:rPr>
          <w:rFonts w:ascii="宋体" w:hAnsi="宋体" w:cs="宋体"/>
          <w:b/>
          <w:color w:val="000000"/>
          <w:sz w:val="24"/>
          <w:szCs w:val="24"/>
          <w:u w:val="single"/>
        </w:rPr>
      </w:pPr>
      <w:r>
        <w:rPr>
          <w:rFonts w:ascii="宋体" w:hAnsi="宋体" w:cs="宋体"/>
          <w:b/>
          <w:color w:val="000000"/>
          <w:sz w:val="24"/>
          <w:szCs w:val="24"/>
          <w:u w:val="single"/>
        </w:rPr>
        <w:t>（</w:t>
      </w:r>
      <w:r>
        <w:rPr>
          <w:rFonts w:hint="eastAsia" w:ascii="宋体" w:hAnsi="宋体" w:cs="宋体"/>
          <w:b/>
          <w:color w:val="000000"/>
          <w:sz w:val="24"/>
          <w:szCs w:val="24"/>
          <w:u w:val="single"/>
        </w:rPr>
        <w:t>2</w:t>
      </w:r>
      <w:r>
        <w:rPr>
          <w:rFonts w:ascii="宋体" w:hAnsi="宋体" w:cs="宋体"/>
          <w:b/>
          <w:color w:val="000000"/>
          <w:sz w:val="24"/>
          <w:szCs w:val="24"/>
          <w:u w:val="single"/>
        </w:rPr>
        <w:t>）每次支付工程款时，承包人必须提供符合要求的增值税发票，否则迟延付款的责任由承包人自行承担。如投标单位为联合体，工程款支付方式由</w:t>
      </w:r>
      <w:r>
        <w:rPr>
          <w:rFonts w:hint="eastAsia" w:ascii="宋体" w:hAnsi="宋体" w:cs="宋体"/>
          <w:b/>
          <w:color w:val="000000"/>
          <w:sz w:val="24"/>
          <w:szCs w:val="24"/>
          <w:u w:val="single"/>
        </w:rPr>
        <w:t>发包人</w:t>
      </w:r>
      <w:r>
        <w:rPr>
          <w:rFonts w:ascii="宋体" w:hAnsi="宋体" w:cs="宋体"/>
          <w:b/>
          <w:color w:val="000000"/>
          <w:sz w:val="24"/>
          <w:szCs w:val="24"/>
          <w:u w:val="single"/>
        </w:rPr>
        <w:t>支付给</w:t>
      </w:r>
      <w:r>
        <w:rPr>
          <w:rFonts w:hint="eastAsia" w:ascii="宋体" w:hAnsi="宋体" w:cs="宋体"/>
          <w:b/>
          <w:color w:val="000000"/>
          <w:sz w:val="24"/>
          <w:szCs w:val="24"/>
          <w:u w:val="single"/>
        </w:rPr>
        <w:t>联合体牵头单位</w:t>
      </w:r>
      <w:r>
        <w:rPr>
          <w:rFonts w:ascii="宋体" w:hAnsi="宋体" w:cs="宋体"/>
          <w:b/>
          <w:color w:val="000000"/>
          <w:sz w:val="24"/>
          <w:szCs w:val="24"/>
          <w:u w:val="single"/>
        </w:rPr>
        <w:t>，</w:t>
      </w:r>
      <w:r>
        <w:rPr>
          <w:rFonts w:hint="eastAsia" w:ascii="宋体" w:hAnsi="宋体" w:cs="宋体"/>
          <w:b/>
          <w:color w:val="000000"/>
          <w:sz w:val="24"/>
          <w:szCs w:val="24"/>
          <w:u w:val="single"/>
        </w:rPr>
        <w:t>牵头单位</w:t>
      </w:r>
      <w:r>
        <w:rPr>
          <w:rFonts w:ascii="宋体" w:hAnsi="宋体" w:cs="宋体"/>
          <w:b/>
          <w:color w:val="000000"/>
          <w:sz w:val="24"/>
          <w:szCs w:val="24"/>
          <w:u w:val="single"/>
        </w:rPr>
        <w:t>提供符合要求的增值税发票。</w:t>
      </w:r>
    </w:p>
    <w:p w14:paraId="2B51A25D">
      <w:pPr>
        <w:spacing w:line="360" w:lineRule="auto"/>
        <w:ind w:firstLine="200"/>
        <w:jc w:val="left"/>
        <w:rPr>
          <w:rFonts w:ascii="宋体" w:hAnsi="宋体" w:cs="宋体"/>
          <w:b/>
          <w:color w:val="000000"/>
          <w:sz w:val="24"/>
          <w:szCs w:val="24"/>
          <w:u w:val="single"/>
        </w:rPr>
      </w:pPr>
      <w:r>
        <w:rPr>
          <w:rFonts w:hint="eastAsia" w:ascii="宋体" w:hAnsi="宋体" w:cs="宋体"/>
          <w:b/>
          <w:color w:val="000000"/>
          <w:sz w:val="24"/>
          <w:szCs w:val="24"/>
          <w:u w:val="single"/>
        </w:rPr>
        <w:t>注：所有工程支付款必须由发包人、监理人、跟踪审计单位（如有）签字确认有效工作量，签发付款单后，发包人才予办理工程款支付的手续；所有合同外增加的工作内容和工程变更调整的价款，一律不得作为进度款支付的计算基数，待竣工结算经审计后进行结算</w:t>
      </w:r>
      <w:r>
        <w:rPr>
          <w:rFonts w:hint="eastAsia" w:ascii="宋体" w:hAnsi="宋体" w:cs="宋体"/>
          <w:color w:val="000000"/>
          <w:sz w:val="24"/>
          <w:szCs w:val="24"/>
        </w:rPr>
        <w:t>。</w:t>
      </w:r>
    </w:p>
    <w:p w14:paraId="2C6366C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 付款计划表</w:t>
      </w:r>
    </w:p>
    <w:p w14:paraId="1D779F1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14.4.1 付款计划表的编制要求：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59477A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14.4.2 付款计划表的编制与审批</w:t>
      </w:r>
    </w:p>
    <w:p w14:paraId="3D7B124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付款计划表的编制：</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2F173EC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14.5 竣工结算</w:t>
      </w:r>
    </w:p>
    <w:p w14:paraId="45ED8FA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14.5.1 竣工结算申请</w:t>
      </w:r>
    </w:p>
    <w:p w14:paraId="3A66046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承包人提交竣工结算申请的时间：</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4C940B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竣工结算申请的资料清单和份数：</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290E9B3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竣工结算申请单的内容应包括：</w:t>
      </w:r>
      <w:r>
        <w:rPr>
          <w:rFonts w:hint="eastAsia" w:ascii="宋体" w:hAnsi="宋体" w:cs="宋体"/>
          <w:color w:val="000000"/>
          <w:sz w:val="24"/>
          <w:szCs w:val="24"/>
          <w:u w:val="single"/>
        </w:rPr>
        <w:t>①提供符合采购需求的竣工图捌套，竣工资料捌套，竣工结算伍套（附计算书和电子文件），其他相关政府职能部门要求的图纸、资料配套完善；②竣工验收所需的完整工程技术档案和施工管理资料；③承包人签署的工程保修书等，并承担相关费用。以上资料应在承包人提交竣工验收报告之日起 90 天内交付，若经发包人书面催告后，仍拒不交付，则发包人有权暂扣所剩工程款，逾期一天罚款 1万元，直至交付为止。此情形下，承包人无权要求逾期付款利息</w:t>
      </w:r>
      <w:r>
        <w:rPr>
          <w:rFonts w:hint="eastAsia" w:ascii="宋体" w:hAnsi="宋体" w:cs="宋体"/>
          <w:color w:val="000000"/>
          <w:sz w:val="24"/>
          <w:szCs w:val="24"/>
        </w:rPr>
        <w:t>。</w:t>
      </w:r>
    </w:p>
    <w:p w14:paraId="06CFC7B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14.5.2 竣工结算审核</w:t>
      </w:r>
    </w:p>
    <w:p w14:paraId="093463E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发包人审批竣工付款申请单的期限：</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5A6295D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发包人完成竣工付款的期限：</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05106D6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关于竣工付款证书异议部分复核的方式和程序：</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5B2A04C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14.6 质量保证金</w:t>
      </w:r>
    </w:p>
    <w:p w14:paraId="1BD985F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14.6.1 承包人提供质量保证金的方式</w:t>
      </w:r>
    </w:p>
    <w:p w14:paraId="018D70C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质量保证金采用以下第</w:t>
      </w:r>
      <w:r>
        <w:rPr>
          <w:rFonts w:hint="eastAsia" w:ascii="宋体" w:hAnsi="宋体" w:cs="宋体"/>
          <w:color w:val="000000"/>
          <w:sz w:val="24"/>
          <w:szCs w:val="24"/>
          <w:u w:val="single"/>
        </w:rPr>
        <w:t xml:space="preserve">    （3）    </w:t>
      </w:r>
      <w:r>
        <w:rPr>
          <w:rFonts w:hint="eastAsia" w:ascii="宋体" w:hAnsi="宋体" w:cs="宋体"/>
          <w:color w:val="000000"/>
          <w:sz w:val="24"/>
          <w:szCs w:val="24"/>
        </w:rPr>
        <w:t>种方式：</w:t>
      </w:r>
    </w:p>
    <w:p w14:paraId="436F5EE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 工程质量保证担保，保证金额为：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60D5A4A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 xml:space="preserve">(2) </w:t>
      </w:r>
      <w:r>
        <w:rPr>
          <w:rFonts w:hint="eastAsia" w:ascii="宋体" w:hAnsi="宋体" w:cs="宋体"/>
          <w:color w:val="000000"/>
          <w:sz w:val="24"/>
          <w:szCs w:val="24"/>
          <w:u w:val="single"/>
        </w:rPr>
        <w:t xml:space="preserve">    /   </w:t>
      </w:r>
      <w:r>
        <w:rPr>
          <w:rFonts w:hint="eastAsia" w:ascii="宋体" w:hAnsi="宋体" w:cs="宋体"/>
          <w:color w:val="000000"/>
          <w:sz w:val="24"/>
          <w:szCs w:val="24"/>
        </w:rPr>
        <w:t>%的工程款；</w:t>
      </w:r>
    </w:p>
    <w:p w14:paraId="1F693DD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 其他方式：</w:t>
      </w:r>
      <w:r>
        <w:rPr>
          <w:rFonts w:hint="eastAsia" w:ascii="宋体" w:hAnsi="宋体" w:cs="宋体"/>
          <w:color w:val="000000"/>
          <w:sz w:val="24"/>
          <w:szCs w:val="24"/>
          <w:u w:val="single"/>
        </w:rPr>
        <w:t xml:space="preserve">  无  </w:t>
      </w:r>
      <w:r>
        <w:rPr>
          <w:rFonts w:hint="eastAsia" w:ascii="宋体" w:hAnsi="宋体" w:cs="宋体"/>
          <w:color w:val="000000"/>
          <w:sz w:val="24"/>
          <w:szCs w:val="24"/>
        </w:rPr>
        <w:t>。</w:t>
      </w:r>
    </w:p>
    <w:p w14:paraId="3E9C092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14.6.2 质量保证金的预留</w:t>
      </w:r>
    </w:p>
    <w:p w14:paraId="0F13D3B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质量保证金的预留采取以下第</w:t>
      </w:r>
      <w:r>
        <w:rPr>
          <w:rFonts w:hint="eastAsia" w:ascii="宋体" w:hAnsi="宋体" w:cs="宋体"/>
          <w:color w:val="000000"/>
          <w:sz w:val="24"/>
          <w:szCs w:val="24"/>
          <w:u w:val="single"/>
        </w:rPr>
        <w:t xml:space="preserve">（3） </w:t>
      </w:r>
      <w:r>
        <w:rPr>
          <w:rFonts w:hint="eastAsia" w:ascii="宋体" w:hAnsi="宋体" w:cs="宋体"/>
          <w:color w:val="000000"/>
          <w:sz w:val="24"/>
          <w:szCs w:val="24"/>
        </w:rPr>
        <w:t>种方式：</w:t>
      </w:r>
    </w:p>
    <w:p w14:paraId="59530B1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 在支付工程进度款时逐次预留的质量保证金的比例：</w:t>
      </w:r>
      <w:r>
        <w:rPr>
          <w:rFonts w:hint="eastAsia" w:ascii="宋体" w:hAnsi="宋体" w:cs="宋体"/>
          <w:color w:val="000000"/>
          <w:sz w:val="24"/>
          <w:szCs w:val="24"/>
          <w:u w:val="single"/>
        </w:rPr>
        <w:t xml:space="preserve">      /      </w:t>
      </w:r>
      <w:r>
        <w:rPr>
          <w:rFonts w:hint="eastAsia" w:ascii="宋体" w:hAnsi="宋体" w:cs="宋体"/>
          <w:color w:val="000000"/>
          <w:sz w:val="24"/>
          <w:szCs w:val="24"/>
        </w:rPr>
        <w:t>，在此情形下，质量保证金的计算基数不包括预付款的支付、扣回以及价格调整的金额；</w:t>
      </w:r>
    </w:p>
    <w:p w14:paraId="4970367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 工程竣工结算时一次性预留专用合同条件第14.6.1项第(2)目约定的工程款预留比例的质量保证金；</w:t>
      </w:r>
    </w:p>
    <w:p w14:paraId="5683F72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 xml:space="preserve">(3) 其他预留方式: </w:t>
      </w:r>
      <w:r>
        <w:rPr>
          <w:rFonts w:hint="eastAsia" w:ascii="宋体" w:hAnsi="宋体" w:cs="宋体"/>
          <w:color w:val="000000"/>
          <w:sz w:val="24"/>
          <w:szCs w:val="24"/>
          <w:u w:val="single"/>
        </w:rPr>
        <w:t xml:space="preserve"> 本工程约定的工程质量保修金为结算审定价款的3％。</w:t>
      </w:r>
    </w:p>
    <w:p w14:paraId="3F96175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关于质量保证金的补充约定：</w:t>
      </w:r>
      <w:r>
        <w:rPr>
          <w:rFonts w:hint="eastAsia" w:ascii="宋体" w:hAnsi="宋体" w:cs="宋体"/>
          <w:color w:val="000000"/>
          <w:sz w:val="24"/>
          <w:szCs w:val="24"/>
          <w:u w:val="single"/>
        </w:rPr>
        <w:t>详见工程质量保修书</w:t>
      </w:r>
      <w:r>
        <w:rPr>
          <w:rFonts w:hint="eastAsia" w:ascii="宋体" w:hAnsi="宋体" w:cs="宋体"/>
          <w:color w:val="000000"/>
          <w:sz w:val="24"/>
          <w:szCs w:val="24"/>
        </w:rPr>
        <w:t>。</w:t>
      </w:r>
    </w:p>
    <w:p w14:paraId="7C8CDF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14.7 最终结清</w:t>
      </w:r>
    </w:p>
    <w:p w14:paraId="680DE62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14.7.1 最终结清申请单</w:t>
      </w:r>
    </w:p>
    <w:p w14:paraId="1113507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当事人双方关于最终结清申请的其他约定：</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7FF97F5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14.7.2 最终结清证书和支付</w:t>
      </w:r>
    </w:p>
    <w:p w14:paraId="6ACCD01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当事人双方关于最终结清支付的其他约定：</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0CB6B0E7">
      <w:pPr>
        <w:pStyle w:val="61"/>
        <w:spacing w:after="0"/>
        <w:jc w:val="left"/>
        <w:outlineLvl w:val="9"/>
        <w:rPr>
          <w:rFonts w:cs="宋体"/>
          <w:b w:val="0"/>
          <w:bCs/>
          <w:color w:val="000000"/>
          <w:sz w:val="24"/>
          <w:szCs w:val="24"/>
        </w:rPr>
      </w:pPr>
      <w:bookmarkStart w:id="96" w:name="_Toc54862346"/>
      <w:r>
        <w:rPr>
          <w:rFonts w:hint="eastAsia" w:cs="宋体"/>
          <w:b w:val="0"/>
          <w:bCs/>
          <w:color w:val="000000"/>
          <w:sz w:val="24"/>
          <w:szCs w:val="24"/>
        </w:rPr>
        <w:t>第15条 违约</w:t>
      </w:r>
      <w:bookmarkEnd w:id="96"/>
    </w:p>
    <w:p w14:paraId="32D2B84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15.1 发包人违约</w:t>
      </w:r>
    </w:p>
    <w:p w14:paraId="3CCCA49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15.1.1 发包人违约的情形</w:t>
      </w:r>
    </w:p>
    <w:p w14:paraId="3F97072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发包人违约的其他情形</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987A60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15.1.3 发包人违约的责任</w:t>
      </w:r>
    </w:p>
    <w:p w14:paraId="2C5B584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发包人违约责任的承担方式和计算方法：</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31D8977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15.2 承包人违约</w:t>
      </w:r>
    </w:p>
    <w:p w14:paraId="666D82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15.2.1 承包人违约的情形</w:t>
      </w:r>
    </w:p>
    <w:p w14:paraId="2BC623B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承包人违约的其他情形：</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9BCBFE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15.2.2 通知改正</w:t>
      </w:r>
    </w:p>
    <w:p w14:paraId="70D4FAC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工程师通知承包人改正的合理期限是：</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14EA602F">
      <w:pPr>
        <w:spacing w:line="360" w:lineRule="auto"/>
        <w:ind w:firstLine="200"/>
        <w:jc w:val="left"/>
        <w:rPr>
          <w:rFonts w:ascii="宋体" w:hAnsi="宋体" w:cs="宋体"/>
          <w:color w:val="000000"/>
          <w:sz w:val="24"/>
          <w:szCs w:val="24"/>
        </w:rPr>
      </w:pPr>
      <w:bookmarkStart w:id="97" w:name="_Toc54862347"/>
      <w:r>
        <w:rPr>
          <w:rFonts w:hint="eastAsia" w:ascii="宋体" w:hAnsi="宋体" w:cs="宋体"/>
          <w:color w:val="000000"/>
          <w:sz w:val="24"/>
          <w:szCs w:val="24"/>
        </w:rPr>
        <w:t>15.2.3 承包人违约的责任</w:t>
      </w:r>
    </w:p>
    <w:p w14:paraId="3782C25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承包人违约责任的承担方式和计算方法：</w:t>
      </w:r>
      <w:r>
        <w:rPr>
          <w:rFonts w:hint="eastAsia" w:ascii="宋体" w:hAnsi="宋体" w:cs="宋体"/>
          <w:color w:val="000000"/>
          <w:sz w:val="24"/>
          <w:szCs w:val="24"/>
          <w:u w:val="single"/>
        </w:rPr>
        <w:t>（1）因承包人原因未能按双方约定的时限提交施工图设计的，每延期1天，应当向发包人支付1万元违约金</w:t>
      </w:r>
      <w:r>
        <w:rPr>
          <w:rFonts w:hint="eastAsia" w:ascii="宋体" w:hAnsi="宋体" w:cs="宋体"/>
          <w:color w:val="000000"/>
          <w:sz w:val="24"/>
          <w:szCs w:val="24"/>
        </w:rPr>
        <w:t>。</w:t>
      </w:r>
    </w:p>
    <w:p w14:paraId="34697B4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（2）工程建设完工，未达到设计效果的，工程不予验收。由承包人自行弥补，使其达到设计效果</w:t>
      </w:r>
      <w:r>
        <w:rPr>
          <w:rFonts w:hint="eastAsia" w:ascii="宋体" w:hAnsi="宋体" w:cs="宋体"/>
          <w:color w:val="000000"/>
          <w:sz w:val="24"/>
          <w:szCs w:val="24"/>
        </w:rPr>
        <w:t>。</w:t>
      </w:r>
    </w:p>
    <w:p w14:paraId="21126401">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（3）因承包人原因使竣工日期延误，每延误1日的误期赔偿金额为合同协议书的合同价格的0.1%。</w:t>
      </w:r>
    </w:p>
    <w:p w14:paraId="0E6C5AD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（4）工程质量不符合设计要求或质量不合格，发包人有权要求承包人停工和返工，所发生的一切费用由承包人承担，工期不予顺延</w:t>
      </w:r>
      <w:r>
        <w:rPr>
          <w:rFonts w:hint="eastAsia" w:ascii="宋体" w:hAnsi="宋体" w:cs="宋体"/>
          <w:color w:val="000000"/>
          <w:sz w:val="24"/>
          <w:szCs w:val="24"/>
        </w:rPr>
        <w:t>。</w:t>
      </w:r>
    </w:p>
    <w:p w14:paraId="3AD210D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（5）承包人应派驻现场设计代表，给予及时协调解决现场实施过程中发现的设计问题，否则应向发包人支付违约金1000元/日</w:t>
      </w:r>
      <w:r>
        <w:rPr>
          <w:rFonts w:hint="eastAsia" w:ascii="宋体" w:hAnsi="宋体" w:cs="宋体"/>
          <w:color w:val="000000"/>
          <w:sz w:val="24"/>
          <w:szCs w:val="24"/>
        </w:rPr>
        <w:t>。</w:t>
      </w:r>
      <w:r>
        <w:rPr>
          <w:rFonts w:hint="eastAsia" w:ascii="宋体" w:hAnsi="宋体" w:cs="宋体"/>
          <w:color w:val="000000"/>
          <w:sz w:val="24"/>
          <w:szCs w:val="24"/>
          <w:u w:val="single"/>
        </w:rPr>
        <w:t>承包人对设计文件出现的遗漏和错误负责修改或补充。若因设计质量问题或者违反相关规范要求而被要求返工或者造成质量问题的，所发生的一切费用由承包人承担，工期不予顺延。</w:t>
      </w:r>
    </w:p>
    <w:p w14:paraId="39CBD63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（6）如承包人侮辱、甚至对发包人及监理人现场人员进行人生攻击的，除依法承担行政处罚后果及赔偿受害人经济损失等法律责任外，承包人还应向发包人支付违约金5万元/次</w:t>
      </w:r>
      <w:r>
        <w:rPr>
          <w:rFonts w:hint="eastAsia" w:ascii="宋体" w:hAnsi="宋体" w:cs="宋体"/>
          <w:color w:val="000000"/>
          <w:sz w:val="24"/>
          <w:szCs w:val="24"/>
        </w:rPr>
        <w:t>。</w:t>
      </w:r>
    </w:p>
    <w:p w14:paraId="5A99927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(7) 承包人弄虚作假，以任何形式允许其他单位或个人使用承包人单位的资质证书、营业执照参与本工程的施工、非法转包、违法分包等违法违规行为：发包人将对此不良行为进行曝光，取消中标资格,并向行政主管部门报告；发包人有权终止合同并对承包人清场处理，承包人赔付合同价30%的违约金，承包人必须无条件立即撤场，已完合格工程量按70%造价结算；发包人保留依法追究其法律责任的权力，一切后果由承包人承担。履约保证金不予返还；</w:t>
      </w:r>
    </w:p>
    <w:p w14:paraId="39C8D8F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(8)承包人违反合同约定采购和使用不合格的材料和工程设备的：按采购需求进行整改，并按材料和工程设备价款的20%进行处罚，并从工程款中直接扣除；</w:t>
      </w:r>
    </w:p>
    <w:p w14:paraId="3A03835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 xml:space="preserve">(9)因承包人原因导致工程质量不符合合同要求的：限期整改，工期不延长； </w:t>
      </w:r>
    </w:p>
    <w:p w14:paraId="5F54DE92">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(10)承包人在缺陷责任期及保修期内，未能在合理期限对工程缺陷进行修复，或拒绝按采购需求进行修复的：发包人可委托其他人员修理，保修费用由承包人承担，承包人不得就维修费用提出任何异议</w:t>
      </w:r>
      <w:r>
        <w:rPr>
          <w:rFonts w:hint="eastAsia" w:ascii="宋体" w:hAnsi="宋体" w:cs="宋体"/>
          <w:color w:val="000000"/>
          <w:sz w:val="24"/>
          <w:szCs w:val="24"/>
        </w:rPr>
        <w:t>；</w:t>
      </w:r>
    </w:p>
    <w:p w14:paraId="5370D01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(11)承包人明确表示或者以其行为表明不履行合同主要义务的：清除出场，扣除履约保证金；如履约保证金不足，发包人有权从已完工程价款中扣除；发包人有损失的，发包人有权要求承包人进行赔偿，并上报建设主管部门</w:t>
      </w:r>
      <w:r>
        <w:rPr>
          <w:rFonts w:hint="eastAsia" w:ascii="宋体" w:hAnsi="宋体" w:cs="宋体"/>
          <w:color w:val="000000"/>
          <w:sz w:val="24"/>
          <w:szCs w:val="24"/>
        </w:rPr>
        <w:t>；</w:t>
      </w:r>
    </w:p>
    <w:p w14:paraId="2FA6983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(12) 因承包人安全文明措施不到位的或未按规定实施的，在接发包人通知后3天内未按书面通知要求整改的，承包人须按1万元/次向发包人支付违约金，费用在承包人履约担保金中扣除。同时发包人有权另行安排他人完成，费用在承包人工程款中扣除</w:t>
      </w:r>
      <w:r>
        <w:rPr>
          <w:rFonts w:hint="eastAsia" w:ascii="宋体" w:hAnsi="宋体" w:cs="宋体"/>
          <w:color w:val="000000"/>
          <w:sz w:val="24"/>
          <w:szCs w:val="24"/>
        </w:rPr>
        <w:t>。</w:t>
      </w:r>
    </w:p>
    <w:p w14:paraId="13411B9F">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(13) 若因承包人原因，导致周边住户和单位投诉或新闻媒体负面曝光的，承包人需承担由此产生的一切后果和费用。每曝光一次承包人需向发包人支付1万元的违约金</w:t>
      </w:r>
      <w:r>
        <w:rPr>
          <w:rFonts w:hint="eastAsia" w:ascii="宋体" w:hAnsi="宋体" w:cs="宋体"/>
          <w:color w:val="000000"/>
          <w:sz w:val="24"/>
          <w:szCs w:val="24"/>
        </w:rPr>
        <w:t>。</w:t>
      </w:r>
    </w:p>
    <w:p w14:paraId="18CA06B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(14) 如承包人不能按规定上报工程竣工资料、竣工结算资料，承包人需向发包人支付1万元/天的违约金。违约金从工程竣工结算款中扣除。相关条款涉及的费用除已明确由发包人承担的，均已包含在承包人的总价中</w:t>
      </w:r>
      <w:r>
        <w:rPr>
          <w:rFonts w:hint="eastAsia" w:ascii="宋体" w:hAnsi="宋体" w:cs="宋体"/>
          <w:color w:val="000000"/>
          <w:sz w:val="24"/>
          <w:szCs w:val="24"/>
        </w:rPr>
        <w:t>。</w:t>
      </w:r>
    </w:p>
    <w:p w14:paraId="071D286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15）如承包人转包或分包的行为造成发包人被第三方起诉、提起仲裁的，发包人因此受到的损失由承包人承担，且承包人应支付给发包人第三方诉求金额10%的违约金。发包人有权将承包人列入不良资信名单，并向相关行政主管部门举报</w:t>
      </w:r>
      <w:r>
        <w:rPr>
          <w:rFonts w:hint="eastAsia" w:ascii="宋体" w:hAnsi="宋体" w:cs="宋体"/>
          <w:color w:val="000000"/>
          <w:sz w:val="24"/>
          <w:szCs w:val="24"/>
        </w:rPr>
        <w:t>。</w:t>
      </w:r>
    </w:p>
    <w:p w14:paraId="6866599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16）如承包人原因引发社会矛盾或其他争议纠纷给发包人造成不良影响或损失的，承包人应积极处理解决社会矛盾，消除不良影响，并承担因此给发包人造成的损失，发包人根据情况不同有权扣除承包人总合同价款5%的违约金</w:t>
      </w:r>
      <w:r>
        <w:rPr>
          <w:rFonts w:hint="eastAsia" w:ascii="宋体" w:hAnsi="宋体" w:cs="宋体"/>
          <w:color w:val="000000"/>
          <w:sz w:val="24"/>
          <w:szCs w:val="24"/>
        </w:rPr>
        <w:t>。</w:t>
      </w:r>
    </w:p>
    <w:p w14:paraId="40EB3096">
      <w:pPr>
        <w:pStyle w:val="61"/>
        <w:spacing w:after="0"/>
        <w:jc w:val="left"/>
        <w:outlineLvl w:val="9"/>
        <w:rPr>
          <w:rFonts w:cs="宋体"/>
          <w:b w:val="0"/>
          <w:bCs/>
          <w:color w:val="000000"/>
          <w:sz w:val="24"/>
          <w:szCs w:val="24"/>
        </w:rPr>
      </w:pPr>
      <w:r>
        <w:rPr>
          <w:rFonts w:hint="eastAsia" w:cs="宋体"/>
          <w:b w:val="0"/>
          <w:bCs/>
          <w:color w:val="000000"/>
          <w:sz w:val="24"/>
          <w:szCs w:val="24"/>
        </w:rPr>
        <w:t>第16条 合同解除</w:t>
      </w:r>
      <w:bookmarkEnd w:id="97"/>
    </w:p>
    <w:p w14:paraId="3D8BB47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16.1 由发包人解除合同</w:t>
      </w:r>
    </w:p>
    <w:p w14:paraId="34FDD20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16.1.1 因承包人违约解除合同</w:t>
      </w:r>
    </w:p>
    <w:p w14:paraId="1E5B734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双方约定可由发包人解除合同的其他事由：</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579F1B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16.2 由承包人解除合同</w:t>
      </w:r>
    </w:p>
    <w:p w14:paraId="47808AB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16.2.1 因发包人违约解除合同</w:t>
      </w:r>
    </w:p>
    <w:p w14:paraId="1C3FD71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双方约定可由承包人解除合同的其他事由：</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9C84A19">
      <w:pPr>
        <w:pStyle w:val="61"/>
        <w:spacing w:after="0"/>
        <w:jc w:val="left"/>
        <w:outlineLvl w:val="9"/>
        <w:rPr>
          <w:rFonts w:cs="宋体"/>
          <w:b w:val="0"/>
          <w:bCs/>
          <w:color w:val="000000"/>
          <w:sz w:val="24"/>
          <w:szCs w:val="24"/>
        </w:rPr>
      </w:pPr>
      <w:bookmarkStart w:id="98" w:name="_Toc54862348"/>
      <w:r>
        <w:rPr>
          <w:rFonts w:hint="eastAsia" w:cs="宋体"/>
          <w:b w:val="0"/>
          <w:bCs/>
          <w:color w:val="000000"/>
          <w:sz w:val="24"/>
          <w:szCs w:val="24"/>
        </w:rPr>
        <w:t>第17条 不可抗力</w:t>
      </w:r>
      <w:bookmarkEnd w:id="98"/>
    </w:p>
    <w:p w14:paraId="522B041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17.1 不可抗力的定义</w:t>
      </w:r>
    </w:p>
    <w:p w14:paraId="098414D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除通用合同条件约定的不可抗力事件之外，视为不可抗力的其他情形：</w:t>
      </w:r>
      <w:r>
        <w:rPr>
          <w:rFonts w:hint="eastAsia" w:ascii="宋体" w:hAnsi="宋体" w:cs="宋体"/>
          <w:color w:val="000000"/>
          <w:sz w:val="24"/>
          <w:szCs w:val="24"/>
          <w:u w:val="single"/>
        </w:rPr>
        <w:t>战争、动乱、空中飞行物体坠落以及洪水、地震、重大疫情等</w:t>
      </w:r>
      <w:r>
        <w:rPr>
          <w:rFonts w:hint="eastAsia" w:ascii="宋体" w:hAnsi="宋体" w:cs="宋体"/>
          <w:color w:val="000000"/>
          <w:sz w:val="24"/>
          <w:szCs w:val="24"/>
        </w:rPr>
        <w:t>。</w:t>
      </w:r>
    </w:p>
    <w:p w14:paraId="26F827F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17.6 因不可抗力解除合同</w:t>
      </w:r>
    </w:p>
    <w:p w14:paraId="0830294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合同解除后，发包人应当在商定或确定发包人应支付款项后的</w:t>
      </w:r>
      <w:r>
        <w:rPr>
          <w:rFonts w:hint="eastAsia" w:ascii="宋体" w:hAnsi="宋体" w:cs="宋体"/>
          <w:color w:val="000000"/>
          <w:sz w:val="24"/>
          <w:szCs w:val="24"/>
          <w:u w:val="single"/>
        </w:rPr>
        <w:t xml:space="preserve"> 60 </w:t>
      </w:r>
      <w:r>
        <w:rPr>
          <w:rFonts w:hint="eastAsia" w:ascii="宋体" w:hAnsi="宋体" w:cs="宋体"/>
          <w:color w:val="000000"/>
          <w:sz w:val="24"/>
          <w:szCs w:val="24"/>
        </w:rPr>
        <w:t>天内完成款项的支付。</w:t>
      </w:r>
    </w:p>
    <w:p w14:paraId="4DED0629">
      <w:pPr>
        <w:pStyle w:val="61"/>
        <w:spacing w:after="0"/>
        <w:jc w:val="left"/>
        <w:outlineLvl w:val="9"/>
        <w:rPr>
          <w:rFonts w:cs="宋体"/>
          <w:b w:val="0"/>
          <w:bCs/>
          <w:color w:val="000000"/>
          <w:sz w:val="24"/>
          <w:szCs w:val="24"/>
        </w:rPr>
      </w:pPr>
      <w:bookmarkStart w:id="99" w:name="_Toc4784276"/>
      <w:bookmarkEnd w:id="99"/>
      <w:bookmarkStart w:id="100" w:name="_Toc4784277"/>
      <w:bookmarkEnd w:id="100"/>
      <w:bookmarkStart w:id="101" w:name="_Toc54862349"/>
      <w:r>
        <w:rPr>
          <w:rFonts w:hint="eastAsia" w:cs="宋体"/>
          <w:b w:val="0"/>
          <w:bCs/>
          <w:color w:val="000000"/>
          <w:sz w:val="24"/>
          <w:szCs w:val="24"/>
        </w:rPr>
        <w:t>第18条 保险</w:t>
      </w:r>
      <w:bookmarkEnd w:id="101"/>
    </w:p>
    <w:p w14:paraId="74601D8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18.1 设计和工程保险</w:t>
      </w:r>
    </w:p>
    <w:p w14:paraId="7BEED21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18.1.1 双方当事人关于设计和工程保险的特别约定：</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4108722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土建工程一切险的投保方及对投保的相关要求：由承包人办理，以承包人与发包人名义联名投保，投保条件与保险费率由承包人根据江苏省保险行业协会有关工程保险的相关规定执行，该项费用含在合同价格中</w:t>
      </w:r>
      <w:r>
        <w:rPr>
          <w:rFonts w:hint="eastAsia" w:ascii="宋体" w:hAnsi="宋体" w:cs="宋体"/>
          <w:color w:val="000000"/>
          <w:sz w:val="24"/>
          <w:szCs w:val="24"/>
        </w:rPr>
        <w:t>。</w:t>
      </w:r>
    </w:p>
    <w:p w14:paraId="43C9AE41">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安装工程及竣工试验一切险的投保方及对投保的相关要求：由承包人办理，以承包人与发包人名义联名投保，投保条件与保险费率由承包人根据江苏省保险行业协会有关工程保险的相关规定执行，该项费用含在合同价格中</w:t>
      </w:r>
      <w:r>
        <w:rPr>
          <w:rFonts w:hint="eastAsia" w:ascii="宋体" w:hAnsi="宋体" w:cs="宋体"/>
          <w:color w:val="000000"/>
          <w:sz w:val="24"/>
          <w:szCs w:val="24"/>
        </w:rPr>
        <w:t>。</w:t>
      </w:r>
    </w:p>
    <w:p w14:paraId="632D7582">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第三者责任险的应投保方及对投保的相关要求：由承包人办理，以承包人与发包人名义联名投保，投保条件与保险费率由承包人根据江苏省保险行业协会有关工程保险的相关规定执行，该项费用含在合同价格中</w:t>
      </w:r>
      <w:r>
        <w:rPr>
          <w:rFonts w:hint="eastAsia" w:ascii="宋体" w:hAnsi="宋体" w:cs="宋体"/>
          <w:color w:val="000000"/>
          <w:sz w:val="24"/>
          <w:szCs w:val="24"/>
        </w:rPr>
        <w:t>。</w:t>
      </w:r>
    </w:p>
    <w:p w14:paraId="1A1F3C0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承包人应在签订合同30日内向发包人提交各项保险生效的证据和保险单副本、发票等全套文件资料，未提供上述文件资料的，发包人有权在工程款支付时扣除合同价款的0.2%；因为承包人延迟办理或未办理相关保险，发包人可责令承包人在七日内按要求办理，并有权在工程款支付时扣除合同价款2%的违约金。因延迟办理或未办理相关保险所引起的一切后果、责任由承包人自行承担，给发包人造成损失的，发包人有权向承包人追偿，相关金额发包人可从未支付工程款中自行扣除</w:t>
      </w:r>
      <w:r>
        <w:rPr>
          <w:rFonts w:hint="eastAsia" w:ascii="宋体" w:hAnsi="宋体" w:cs="宋体"/>
          <w:color w:val="000000"/>
          <w:sz w:val="24"/>
          <w:szCs w:val="24"/>
        </w:rPr>
        <w:t>。</w:t>
      </w:r>
    </w:p>
    <w:p w14:paraId="031A82C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保险金不足以补偿损失的，应由承包人负责补偿。当保险事故发生时，承包人应按照保险单规定的条件和期限及时向保险人报告</w:t>
      </w:r>
      <w:r>
        <w:rPr>
          <w:rFonts w:hint="eastAsia" w:ascii="宋体" w:hAnsi="宋体" w:cs="宋体"/>
          <w:color w:val="000000"/>
          <w:sz w:val="24"/>
          <w:szCs w:val="24"/>
        </w:rPr>
        <w:t>。</w:t>
      </w:r>
    </w:p>
    <w:p w14:paraId="3DB22DA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18.1.2 双方当事人关于第三方责任险的特别约定：</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7036244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18.2 工伤和意外伤害保险</w:t>
      </w:r>
    </w:p>
    <w:p w14:paraId="4A70705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18.2.3 关于工伤保险和意外伤害保险的特别约定：</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4309D00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18.3 货物保险</w:t>
      </w:r>
    </w:p>
    <w:p w14:paraId="4BD0478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关于承包人应为其施工设备、材料、工程设备和临时工程等办理财产保险的特别约定：承包人</w:t>
      </w:r>
      <w:r>
        <w:rPr>
          <w:rFonts w:hint="eastAsia" w:ascii="宋体" w:hAnsi="宋体" w:cs="宋体"/>
          <w:color w:val="000000"/>
          <w:sz w:val="24"/>
          <w:szCs w:val="24"/>
          <w:u w:val="single"/>
        </w:rPr>
        <w:t>按国家或地方相关规定执行，承担保险责任</w:t>
      </w:r>
      <w:r>
        <w:rPr>
          <w:rFonts w:hint="eastAsia" w:ascii="宋体" w:hAnsi="宋体" w:cs="宋体"/>
          <w:color w:val="000000"/>
          <w:sz w:val="24"/>
          <w:szCs w:val="24"/>
        </w:rPr>
        <w:t>。</w:t>
      </w:r>
    </w:p>
    <w:p w14:paraId="7C42674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18.4 其他保险</w:t>
      </w:r>
    </w:p>
    <w:p w14:paraId="5364D96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关于其他保险的约定：</w:t>
      </w:r>
    </w:p>
    <w:p w14:paraId="39A3B02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 保险合同需经发包人审批。</w:t>
      </w:r>
    </w:p>
    <w:p w14:paraId="08283F2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 保险事故发生时，承包人有责任尽力采取必要的措施，防止或者减少损失。</w:t>
      </w:r>
    </w:p>
    <w:p w14:paraId="300D915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(3) 如发生保险事故时，承包人应负责向保险公司索赔及办理赔付事宜。</w:t>
      </w:r>
    </w:p>
    <w:p w14:paraId="0538766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(4) 合同生效后，承包人必须在工程开工前办理保险，如承包人未办理保险的，发包人有权从工程进度款中扣除此工程保险费用,直接选择保险人</w:t>
      </w:r>
      <w:r>
        <w:rPr>
          <w:rFonts w:hint="eastAsia" w:ascii="宋体" w:hAnsi="宋体" w:cs="宋体"/>
          <w:color w:val="000000"/>
          <w:sz w:val="24"/>
          <w:szCs w:val="24"/>
        </w:rPr>
        <w:t>。</w:t>
      </w:r>
    </w:p>
    <w:p w14:paraId="2F4299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18.5 对各项保险的一般要求</w:t>
      </w:r>
    </w:p>
    <w:p w14:paraId="27D08B5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18.5.2 保险凭证</w:t>
      </w:r>
    </w:p>
    <w:p w14:paraId="1BBFD89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保险单的条件：</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642A7F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18.5.4 通知义务</w:t>
      </w:r>
    </w:p>
    <w:p w14:paraId="45F4CE4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关于变更保险合同时的通知义务的约定：</w:t>
      </w:r>
      <w:r>
        <w:rPr>
          <w:rFonts w:hint="eastAsia" w:ascii="宋体" w:hAnsi="宋体" w:cs="宋体"/>
          <w:color w:val="000000"/>
          <w:sz w:val="24"/>
          <w:szCs w:val="24"/>
          <w:u w:val="single"/>
        </w:rPr>
        <w:t xml:space="preserve"> 执行通用条款 </w:t>
      </w:r>
      <w:r>
        <w:rPr>
          <w:rFonts w:hint="eastAsia" w:ascii="宋体" w:hAnsi="宋体" w:cs="宋体"/>
          <w:color w:val="000000"/>
          <w:sz w:val="24"/>
          <w:szCs w:val="24"/>
        </w:rPr>
        <w:t>。</w:t>
      </w:r>
    </w:p>
    <w:p w14:paraId="24B4295E">
      <w:pPr>
        <w:pStyle w:val="61"/>
        <w:spacing w:after="0"/>
        <w:jc w:val="left"/>
        <w:outlineLvl w:val="9"/>
        <w:rPr>
          <w:rFonts w:cs="宋体"/>
          <w:b w:val="0"/>
          <w:bCs/>
          <w:color w:val="000000"/>
          <w:sz w:val="24"/>
          <w:szCs w:val="24"/>
        </w:rPr>
      </w:pPr>
      <w:bookmarkStart w:id="102" w:name="_Toc54862350"/>
      <w:r>
        <w:rPr>
          <w:rFonts w:hint="eastAsia" w:cs="宋体"/>
          <w:b w:val="0"/>
          <w:bCs/>
          <w:color w:val="000000"/>
          <w:sz w:val="24"/>
          <w:szCs w:val="24"/>
        </w:rPr>
        <w:t>第20条 争议解决</w:t>
      </w:r>
      <w:bookmarkEnd w:id="102"/>
    </w:p>
    <w:p w14:paraId="458441F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 争议评审</w:t>
      </w:r>
    </w:p>
    <w:p w14:paraId="41995B3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合同当事人是否同意将工程争议提交争议评审小组决定：</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9BB13D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20.3.1 争议评审小组的确定</w:t>
      </w:r>
    </w:p>
    <w:p w14:paraId="7E806AA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争议评审小组成员的人数：</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274CEF1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争议评审小组成员的确定：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701886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选定争议避免/评审组的期限：</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A15248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评审机构：</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176CB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其他事项的约定：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70FDD7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争议评审员报酬的承担人：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698E325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20.3.2 争议的避免</w:t>
      </w:r>
    </w:p>
    <w:p w14:paraId="3ECA844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发包人和承包人是否均出席争议避免的非正式讨论：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5CFD028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20.3.3 争议评审小组的决定</w:t>
      </w:r>
    </w:p>
    <w:p w14:paraId="6EB7912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关于争议评审小组的决定的特别约定：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61ED19B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20.4 仲裁或诉讼</w:t>
      </w:r>
    </w:p>
    <w:p w14:paraId="4E482B6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因合同及合同有关事项发生的争议，按下列第</w:t>
      </w:r>
      <w:r>
        <w:rPr>
          <w:rFonts w:hint="eastAsia" w:ascii="宋体" w:hAnsi="宋体" w:cs="宋体"/>
          <w:color w:val="000000"/>
          <w:sz w:val="24"/>
          <w:szCs w:val="24"/>
          <w:u w:val="single"/>
        </w:rPr>
        <w:t xml:space="preserve"> (2) </w:t>
      </w:r>
      <w:r>
        <w:rPr>
          <w:rFonts w:hint="eastAsia" w:ascii="宋体" w:hAnsi="宋体" w:cs="宋体"/>
          <w:color w:val="000000"/>
          <w:sz w:val="24"/>
          <w:szCs w:val="24"/>
        </w:rPr>
        <w:t>种方式解决：</w:t>
      </w:r>
    </w:p>
    <w:p w14:paraId="1C4A809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（1）向</w:t>
      </w:r>
      <w:r>
        <w:rPr>
          <w:rFonts w:hint="eastAsia" w:ascii="宋体" w:hAnsi="宋体" w:cs="宋体"/>
          <w:color w:val="000000"/>
          <w:sz w:val="24"/>
          <w:szCs w:val="24"/>
          <w:u w:val="single"/>
        </w:rPr>
        <w:t xml:space="preserve">               /          </w:t>
      </w:r>
      <w:r>
        <w:rPr>
          <w:rFonts w:hint="eastAsia" w:ascii="宋体" w:hAnsi="宋体" w:cs="宋体"/>
          <w:color w:val="000000"/>
          <w:sz w:val="24"/>
          <w:szCs w:val="24"/>
        </w:rPr>
        <w:t>仲裁委员会申请仲裁；</w:t>
      </w:r>
    </w:p>
    <w:p w14:paraId="465ED02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（2）向</w:t>
      </w:r>
      <w:r>
        <w:rPr>
          <w:rFonts w:hint="eastAsia" w:ascii="宋体" w:hAnsi="宋体" w:cs="宋体"/>
          <w:color w:val="000000"/>
          <w:sz w:val="24"/>
          <w:szCs w:val="24"/>
          <w:u w:val="single"/>
        </w:rPr>
        <w:t xml:space="preserve">    宜兴市 </w:t>
      </w:r>
      <w:r>
        <w:rPr>
          <w:rFonts w:hint="eastAsia" w:ascii="宋体" w:hAnsi="宋体" w:cs="宋体"/>
          <w:color w:val="000000"/>
          <w:sz w:val="24"/>
          <w:szCs w:val="24"/>
        </w:rPr>
        <w:t>人民法院起诉。</w:t>
      </w:r>
    </w:p>
    <w:p w14:paraId="5685304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21、补充条款</w:t>
      </w:r>
    </w:p>
    <w:p w14:paraId="4A17A2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（1）投标前，承包人已充分踏勘工地并了解工地位置、情况、道路、储存空间、装卸限制及任何其它足以影响价格的情况等。任何因忽视或误解工地情况而导致的索赔申请将不被批准。</w:t>
      </w:r>
    </w:p>
    <w:p w14:paraId="73463F7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对于施工场地内的地下障碍物的清理及周围的地下管线的保护（除遇不可抗力因素，如战争、地震、名木古树、地下文物等）及迁移，承包人已根据自身的施工技术能力并考虑其施工风险，将此费用考虑在合同价格中，此项费用在施工中不予调整，承包人有责任采取保护措施，否则承担造成的一切责任及相应费用。</w:t>
      </w:r>
    </w:p>
    <w:p w14:paraId="539ECC3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投标前，承包人已自行考虑施工组织设计中材料和构件的二次搬运、非发包人所为八小时内的临时停水停电、环保噪音扰民、连续降雨、高(中)考、节假日、市内重大活动期间以及发包人需要的时间段内可能对施工作出某些限制和配合要求引起工效降低和民抚费用等；施工方案中各种施工组织、施工技术措施增加费用以及为确保采购需求的质量、工期发生的费用计入合同价。</w:t>
      </w:r>
    </w:p>
    <w:p w14:paraId="46BF60E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承包人应遵守政府有关主管部门对施工场地及城市道路、周边建筑排污、渣土、环保（含施工噪音、施工粉尘）、环卫、市容、城建、治安、交管、人口管理以及安全生产等的管理规定，按政府及有关主管部门规定缴纳上述各项费用，办理相关手续，并以书面形式将办理结果通知发包人。承包人应将办理上述事项的费用综合考虑在投标报价中，该部分费用包干使用，以后不作调整。</w:t>
      </w:r>
    </w:p>
    <w:p w14:paraId="1C4174E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（5）合同价中已包括防洪、防风、暴雨、暴雪措施所需要的一切费用。</w:t>
      </w:r>
    </w:p>
    <w:p w14:paraId="15AC052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（6）施工过程中与周围发生的各种纠纷由承包人自行协商解决，费用由承包人单位自理，该费用应包含在合同价中。</w:t>
      </w:r>
    </w:p>
    <w:p w14:paraId="1C4DE10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所有废水、污水应按批准的方法处理后排入排污系统，不得污染环境，否则，由此而引起的后果由承包人自行负责。所有的施工垃圾应按照批准的方法运往批准的地点进行处理，生活垃圾应按照城市规定每天集中，纳入城市垃圾处理系统。</w:t>
      </w:r>
    </w:p>
    <w:p w14:paraId="1B9D1AF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9）承包人已在合同价中计入了本工程场地条件以及本工程周围地形、地貌、水文、地质、地下管线、交通道路、工期等风险费用。在整个工程实施期间，承包人不得就上述条件的变化提出任何额外费用或延长日期的要求。</w:t>
      </w:r>
    </w:p>
    <w:p w14:paraId="20604DB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承包人应将施工中产生的多余土方及建筑垃圾清运出场，其外运堆放场地及运距由承包人事先勘察现场情况行考虑确定，费用包括在合同总价格中，以后无论如何变化均不作调整。因承包人倾倒地点和处置方法不妥或运输途中泥土废渣掉落受到有关部门的处罚均由承包人自行承担。若承包人清除现场土方、垃圾不及时，发包人有权另请他人清除现场土方及垃圾，由此产生的费用由发包人直接从承包人的工程款中扣除，承包人不得对发包人代付的费用金额提出任何异议。</w:t>
      </w:r>
    </w:p>
    <w:p w14:paraId="7A1D28A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（11）本项目设计文件各阶段专家评审等费用由承包人支付，该费用包含在合同总价中。</w:t>
      </w:r>
    </w:p>
    <w:p w14:paraId="1667551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（12）承包人应遵守管理规定进行施工围挡，施工围挡产生的所有费用包含在合同总价中。</w:t>
      </w:r>
    </w:p>
    <w:p w14:paraId="39F13B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（13）经双方约定，工程竣工结算要接受发包人委托的审计单位审计。</w:t>
      </w:r>
    </w:p>
    <w:p w14:paraId="7B3131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1、单项工程核减率（核减额与送审总价之比，下同）超过10%的，其审计费用全部由承包人承担；</w:t>
      </w:r>
    </w:p>
    <w:p w14:paraId="68F988B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2、单项工程核减率在5%—10%（含10%）之间的，其审计费用由承包人承担50%，发包人承担50%；</w:t>
      </w:r>
    </w:p>
    <w:p w14:paraId="5F4F478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3、单项工程核减率在5%及其以下的，其审计费用由发包人承担。</w:t>
      </w:r>
    </w:p>
    <w:p w14:paraId="3B1B410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承包人应充分考虑到在节假日、国家和省、市内重大活动期间以及在发包人需要的时间段内，可能会对施工作出某些限制和配合要求，承包人应予服从并按要求做出必要的配合，这可能会降低承包人的施工工效，发包人不会为此额外另增加费用支付且工期不得顺延，视同承包人在报价时已对此进行充分考虑。</w:t>
      </w:r>
    </w:p>
    <w:p w14:paraId="604A87B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工程施工期间，应控制噪音对环境的影响，承包人必须满足国家和市有关法规要求。在选择施工设施、设备时，承包人必须考虑由此产生的噪声对承包人的劳动力和周围地区居民的影响，由于施工噪声引起的任何民事纠纷由承包人负责解决。</w:t>
      </w:r>
    </w:p>
    <w:p w14:paraId="25ABDED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由于强夯或其他工作所产生的震动不得影响周围建筑物的安全，不得破坏有关单位精密仪器设备的正常精度以及居民的身体健康。由于施工震动引起的任何民事纠纷由承包人负责解决。如震动超过极限值时，监理工程师可批示承包人改变其施工方法，使其符合有关规定。</w:t>
      </w:r>
    </w:p>
    <w:p w14:paraId="0264CFF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（17）工程付款时，承包人应首先确保农民工工资的发放，同时应充分考虑农忙、学生开学及重要节假日等费用的支出，发包人不另行支付相关费用。</w:t>
      </w:r>
    </w:p>
    <w:p w14:paraId="19E7337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（18）承包人有义务配合发包人进行审计工作，并按发包人的要求及时提供相关审计资料，若因承包人未按要求及时提供相关审计资料，造成的影响审计进度及工程款支付进度等相关责任由承包人承担。</w:t>
      </w:r>
    </w:p>
    <w:p w14:paraId="1BA0544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19）承包人必须充分到工地踏勘，在满足现有规范要求的基础上，充分利用现有管线、路基、路面等，承包人根据现场实际利用情况以及后期施工需要，产生的改造（拆除）等费用均包含在合同价中，可利用现有管线、路基、路面等节约的费用已在合同价中综合考虑，存在的风险由承包人承担。</w:t>
      </w:r>
    </w:p>
    <w:p w14:paraId="5B1BD7F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（20）施工过程中及时清运因本工程产生之建筑垃圾，保持现场的整洁，创文明施工现场，所有建筑垃圾应清理出施工区域按有关规定处理，否则由此引起的一切损失或产生的费用由承包人负责。</w:t>
      </w:r>
    </w:p>
    <w:p w14:paraId="542154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21）本工程范围内所涉及的所有材料检验检测费用，由承包人支付，同时检测单位的选择必须经发包人同意，费用由承包人承担。检验检测费用包含甲供、乙供材料的抽样配合、送检、检验、抽样检测费等费用，以及按现行规定、质监部门要求对工程实体或有关材料、设备的检验、抽样检测费、环保检测等费用。</w:t>
      </w:r>
    </w:p>
    <w:p w14:paraId="674A983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（22）承包人不得因企业资质核验影响办理工程建设手续（如合同签订、合同备案、施工许可证办理等），否则发包人有权没收履约保证金并解除合同，因此造成的一切损失由承包人承担。</w:t>
      </w:r>
    </w:p>
    <w:p w14:paraId="39D2064F"/>
    <w:p w14:paraId="761FF152">
      <w:pPr>
        <w:rPr>
          <w:rFonts w:ascii="黑体" w:hAnsi="黑体" w:eastAsia="黑体"/>
          <w:sz w:val="28"/>
        </w:rPr>
      </w:pPr>
    </w:p>
    <w:p w14:paraId="5E4EB16B">
      <w:pPr>
        <w:spacing w:line="360" w:lineRule="auto"/>
        <w:jc w:val="center"/>
        <w:outlineLvl w:val="0"/>
        <w:rPr>
          <w:rFonts w:ascii="黑体" w:hAnsi="黑体" w:eastAsia="黑体"/>
          <w:sz w:val="28"/>
        </w:rPr>
        <w:sectPr>
          <w:headerReference r:id="rId6" w:type="default"/>
          <w:footerReference r:id="rId7" w:type="default"/>
          <w:pgSz w:w="11906" w:h="16838"/>
          <w:pgMar w:top="1134" w:right="1134" w:bottom="1134" w:left="1134" w:header="851" w:footer="992" w:gutter="0"/>
          <w:pgNumType w:fmt="numberInDash" w:start="1"/>
          <w:cols w:space="720" w:num="1"/>
          <w:docGrid w:type="lines" w:linePitch="312" w:charSpace="0"/>
        </w:sectPr>
      </w:pPr>
    </w:p>
    <w:p w14:paraId="7AF0AB46">
      <w:pPr>
        <w:rPr>
          <w:rFonts w:ascii="宋体" w:hAnsi="宋体" w:cs="宋体"/>
          <w:b/>
          <w:bCs/>
          <w:sz w:val="24"/>
          <w:szCs w:val="24"/>
        </w:rPr>
      </w:pPr>
      <w:r>
        <w:rPr>
          <w:rFonts w:hint="eastAsia" w:ascii="宋体" w:hAnsi="宋体" w:cs="宋体"/>
          <w:b/>
          <w:bCs/>
          <w:sz w:val="24"/>
          <w:szCs w:val="24"/>
        </w:rPr>
        <w:t>附件 1：</w:t>
      </w:r>
    </w:p>
    <w:p w14:paraId="1B9F5B1E">
      <w:pPr>
        <w:pStyle w:val="5"/>
        <w:numPr>
          <w:ilvl w:val="2"/>
          <w:numId w:val="0"/>
        </w:numPr>
        <w:rPr>
          <w:szCs w:val="32"/>
        </w:rPr>
      </w:pPr>
      <w:r>
        <w:rPr>
          <w:rFonts w:hint="eastAsia"/>
          <w:szCs w:val="32"/>
        </w:rPr>
        <w:t>工程质量保修书</w:t>
      </w:r>
    </w:p>
    <w:p w14:paraId="1A970808">
      <w:pPr>
        <w:spacing w:line="520" w:lineRule="exact"/>
        <w:rPr>
          <w:rFonts w:ascii="宋体" w:hAnsi="宋体" w:cs="宋体"/>
          <w:sz w:val="24"/>
          <w:szCs w:val="24"/>
        </w:rPr>
      </w:pPr>
      <w:r>
        <w:rPr>
          <w:rFonts w:hint="eastAsia" w:ascii="宋体" w:hAnsi="宋体" w:cs="宋体"/>
          <w:sz w:val="24"/>
          <w:szCs w:val="24"/>
        </w:rPr>
        <w:t xml:space="preserve">甲方： </w:t>
      </w:r>
    </w:p>
    <w:p w14:paraId="5F5D68CA">
      <w:pPr>
        <w:spacing w:line="520" w:lineRule="exact"/>
        <w:rPr>
          <w:rFonts w:ascii="宋体" w:hAnsi="宋体" w:cs="宋体"/>
          <w:sz w:val="24"/>
          <w:szCs w:val="24"/>
        </w:rPr>
      </w:pPr>
      <w:r>
        <w:rPr>
          <w:rFonts w:hint="eastAsia" w:ascii="宋体" w:hAnsi="宋体" w:cs="宋体"/>
          <w:sz w:val="24"/>
          <w:szCs w:val="24"/>
        </w:rPr>
        <w:t>乙方：</w:t>
      </w:r>
    </w:p>
    <w:p w14:paraId="205C93EE">
      <w:pPr>
        <w:spacing w:line="360" w:lineRule="auto"/>
        <w:ind w:firstLine="480" w:firstLineChars="200"/>
        <w:rPr>
          <w:rFonts w:ascii="宋体" w:hAnsi="宋体" w:cs="宋体"/>
          <w:sz w:val="24"/>
          <w:szCs w:val="24"/>
        </w:rPr>
      </w:pPr>
      <w:r>
        <w:rPr>
          <w:rFonts w:hint="eastAsia" w:ascii="宋体" w:hAnsi="宋体" w:cs="宋体"/>
          <w:sz w:val="24"/>
          <w:szCs w:val="24"/>
        </w:rPr>
        <w:t>为保证</w:t>
      </w:r>
      <w:r>
        <w:rPr>
          <w:rFonts w:hint="eastAsia" w:ascii="宋体" w:hAnsi="宋体" w:cs="宋体"/>
          <w:sz w:val="24"/>
          <w:szCs w:val="24"/>
          <w:u w:val="single"/>
        </w:rPr>
        <w:t xml:space="preserve"> </w:t>
      </w:r>
      <w:r>
        <w:rPr>
          <w:rFonts w:hint="eastAsia" w:ascii="宋体" w:hAnsi="宋体" w:cs="宋体"/>
          <w:bCs/>
          <w:color w:val="000000"/>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（工程名称）在合理使用期限内正常使用，发包人承包人协商一致签订工程质量保修书。承包人在质量保修期内按照有关管理规定及双方约定承担本工程质量保修责任。</w:t>
      </w:r>
    </w:p>
    <w:p w14:paraId="4DC38694">
      <w:pPr>
        <w:spacing w:line="360" w:lineRule="auto"/>
        <w:ind w:firstLine="480" w:firstLineChars="200"/>
        <w:rPr>
          <w:rFonts w:ascii="宋体" w:hAnsi="宋体" w:cs="宋体"/>
          <w:sz w:val="24"/>
          <w:szCs w:val="24"/>
        </w:rPr>
      </w:pPr>
      <w:r>
        <w:rPr>
          <w:rFonts w:hint="eastAsia" w:ascii="宋体" w:hAnsi="宋体" w:cs="宋体"/>
          <w:sz w:val="24"/>
          <w:szCs w:val="24"/>
        </w:rPr>
        <w:t>一、工程质量保修范围和内容</w:t>
      </w:r>
    </w:p>
    <w:p w14:paraId="4B332336">
      <w:pPr>
        <w:spacing w:line="360" w:lineRule="auto"/>
        <w:ind w:firstLine="480" w:firstLineChars="200"/>
        <w:rPr>
          <w:rFonts w:ascii="宋体" w:hAnsi="宋体" w:cs="宋体"/>
          <w:sz w:val="24"/>
          <w:szCs w:val="24"/>
        </w:rPr>
      </w:pPr>
      <w:r>
        <w:rPr>
          <w:rFonts w:hint="eastAsia" w:ascii="宋体" w:hAnsi="宋体" w:cs="宋体"/>
          <w:sz w:val="24"/>
          <w:szCs w:val="24"/>
        </w:rPr>
        <w:t>质量保修范围包括地基基础工程、主体结构工程，屋面防水工程和双方约定的其他土建工程，以及电气管线、上下水管线的安装工程，供热、供冷系统工程等项目。具体保修内容双方约定如下：</w:t>
      </w:r>
    </w:p>
    <w:p w14:paraId="4A4F4F82">
      <w:pPr>
        <w:spacing w:line="360" w:lineRule="auto"/>
        <w:rPr>
          <w:rFonts w:ascii="宋体" w:hAnsi="宋体" w:cs="宋体"/>
          <w:sz w:val="24"/>
          <w:szCs w:val="24"/>
          <w:u w:val="single"/>
        </w:rPr>
      </w:pPr>
      <w:r>
        <w:rPr>
          <w:rFonts w:hint="eastAsia" w:ascii="宋体" w:hAnsi="宋体" w:cs="宋体"/>
          <w:sz w:val="24"/>
          <w:szCs w:val="24"/>
          <w:u w:val="single"/>
        </w:rPr>
        <w:t xml:space="preserve">      </w:t>
      </w:r>
      <w:r>
        <w:rPr>
          <w:rFonts w:hint="eastAsia" w:ascii="宋体" w:hAnsi="宋体" w:cs="宋体"/>
          <w:color w:val="000000"/>
          <w:sz w:val="24"/>
          <w:szCs w:val="24"/>
          <w:u w:val="single"/>
        </w:rPr>
        <w:t>按《建设工程质量管理条例》执行</w:t>
      </w:r>
      <w:r>
        <w:rPr>
          <w:rFonts w:hint="eastAsia" w:ascii="宋体" w:hAnsi="宋体" w:cs="宋体"/>
          <w:sz w:val="24"/>
          <w:szCs w:val="24"/>
          <w:u w:val="single"/>
        </w:rPr>
        <w:t xml:space="preserve">                                                                                                                                  </w:t>
      </w:r>
    </w:p>
    <w:p w14:paraId="3198FBF0">
      <w:pPr>
        <w:pStyle w:val="11"/>
        <w:ind w:firstLine="480" w:firstLineChars="200"/>
        <w:rPr>
          <w:rFonts w:ascii="宋体" w:hAnsi="宋体" w:cs="宋体"/>
          <w:sz w:val="24"/>
          <w:szCs w:val="24"/>
        </w:rPr>
      </w:pPr>
      <w:r>
        <w:rPr>
          <w:rFonts w:hint="eastAsia" w:ascii="宋体" w:hAnsi="宋体" w:cs="宋体"/>
          <w:sz w:val="24"/>
          <w:szCs w:val="24"/>
        </w:rPr>
        <w:t>二、质量保修期</w:t>
      </w:r>
    </w:p>
    <w:p w14:paraId="29A2BA65">
      <w:pPr>
        <w:spacing w:line="360" w:lineRule="auto"/>
        <w:ind w:left="420"/>
        <w:rPr>
          <w:rFonts w:ascii="宋体" w:hAnsi="宋体" w:cs="宋体"/>
          <w:sz w:val="24"/>
          <w:szCs w:val="24"/>
        </w:rPr>
      </w:pPr>
      <w:r>
        <w:rPr>
          <w:rFonts w:hint="eastAsia" w:ascii="宋体" w:hAnsi="宋体" w:cs="宋体"/>
          <w:sz w:val="24"/>
          <w:szCs w:val="24"/>
        </w:rPr>
        <w:t>质量保修期自工程实际竣工之日算起。分单项竣工验收工程，按单项工程分别计算质量</w:t>
      </w:r>
    </w:p>
    <w:p w14:paraId="52A8C542">
      <w:pPr>
        <w:spacing w:line="360" w:lineRule="auto"/>
        <w:rPr>
          <w:rFonts w:ascii="宋体" w:hAnsi="宋体" w:cs="宋体"/>
          <w:sz w:val="24"/>
          <w:szCs w:val="24"/>
        </w:rPr>
      </w:pPr>
      <w:r>
        <w:rPr>
          <w:rFonts w:hint="eastAsia" w:ascii="宋体" w:hAnsi="宋体" w:cs="宋体"/>
          <w:sz w:val="24"/>
          <w:szCs w:val="24"/>
        </w:rPr>
        <w:t>保修期。</w:t>
      </w:r>
    </w:p>
    <w:p w14:paraId="1A5A13A4">
      <w:pPr>
        <w:spacing w:line="360" w:lineRule="auto"/>
        <w:ind w:firstLine="480" w:firstLineChars="200"/>
        <w:rPr>
          <w:rFonts w:ascii="宋体" w:hAnsi="宋体" w:cs="宋体"/>
          <w:sz w:val="24"/>
          <w:szCs w:val="24"/>
        </w:rPr>
      </w:pPr>
      <w:r>
        <w:rPr>
          <w:rFonts w:hint="eastAsia" w:ascii="宋体" w:hAnsi="宋体" w:cs="宋体"/>
          <w:sz w:val="24"/>
          <w:szCs w:val="24"/>
        </w:rPr>
        <w:t>双方根据国家有关规定，结合具体工程约定质量保修期如下：</w:t>
      </w:r>
    </w:p>
    <w:p w14:paraId="5BAF2BBA">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1、土建工程为</w:t>
      </w:r>
      <w:r>
        <w:rPr>
          <w:rFonts w:hint="eastAsia" w:ascii="宋体" w:hAnsi="宋体" w:cs="宋体"/>
          <w:color w:val="000000"/>
          <w:sz w:val="24"/>
          <w:szCs w:val="24"/>
          <w:u w:val="single"/>
        </w:rPr>
        <w:t xml:space="preserve"> </w:t>
      </w:r>
      <w:r>
        <w:rPr>
          <w:rFonts w:hint="eastAsia" w:ascii="宋体" w:hAnsi="宋体" w:cs="宋体"/>
          <w:sz w:val="24"/>
          <w:szCs w:val="24"/>
          <w:u w:val="single"/>
        </w:rPr>
        <w:t xml:space="preserve">设计文件规定的该工程合理的使用年限 </w:t>
      </w:r>
      <w:r>
        <w:rPr>
          <w:rFonts w:hint="eastAsia" w:ascii="宋体" w:hAnsi="宋体" w:cs="宋体"/>
          <w:color w:val="000000"/>
          <w:sz w:val="24"/>
          <w:szCs w:val="24"/>
        </w:rPr>
        <w:t>，屋面防水工程为</w:t>
      </w:r>
      <w:r>
        <w:rPr>
          <w:rFonts w:hint="eastAsia" w:ascii="宋体" w:hAnsi="宋体" w:cs="宋体"/>
          <w:color w:val="000000"/>
          <w:sz w:val="24"/>
          <w:szCs w:val="24"/>
          <w:u w:val="single"/>
        </w:rPr>
        <w:t xml:space="preserve"> 5  </w:t>
      </w:r>
      <w:r>
        <w:rPr>
          <w:rFonts w:hint="eastAsia" w:ascii="宋体" w:hAnsi="宋体" w:cs="宋体"/>
          <w:color w:val="000000"/>
          <w:sz w:val="24"/>
          <w:szCs w:val="24"/>
        </w:rPr>
        <w:t>年；</w:t>
      </w:r>
    </w:p>
    <w:p w14:paraId="104B38B5">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2、电气管线、上下水管线安装工程为</w:t>
      </w:r>
      <w:r>
        <w:rPr>
          <w:rFonts w:hint="eastAsia" w:ascii="宋体" w:hAnsi="宋体" w:cs="宋体"/>
          <w:color w:val="000000"/>
          <w:sz w:val="24"/>
          <w:szCs w:val="24"/>
          <w:u w:val="single"/>
        </w:rPr>
        <w:t xml:space="preserve"> 2 </w:t>
      </w:r>
      <w:r>
        <w:rPr>
          <w:rFonts w:hint="eastAsia" w:ascii="宋体" w:hAnsi="宋体" w:cs="宋体"/>
          <w:color w:val="000000"/>
          <w:sz w:val="24"/>
          <w:szCs w:val="24"/>
        </w:rPr>
        <w:t xml:space="preserve">年； </w:t>
      </w:r>
    </w:p>
    <w:p w14:paraId="61D6874D">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3、供热及供冷为</w:t>
      </w:r>
      <w:r>
        <w:rPr>
          <w:rFonts w:hint="eastAsia" w:ascii="宋体" w:hAnsi="宋体" w:cs="宋体"/>
          <w:color w:val="000000"/>
          <w:sz w:val="24"/>
          <w:szCs w:val="24"/>
          <w:u w:val="single"/>
        </w:rPr>
        <w:t xml:space="preserve">  2  </w:t>
      </w:r>
      <w:r>
        <w:rPr>
          <w:rFonts w:hint="eastAsia" w:ascii="宋体" w:hAnsi="宋体" w:cs="宋体"/>
          <w:color w:val="000000"/>
          <w:sz w:val="24"/>
          <w:szCs w:val="24"/>
        </w:rPr>
        <w:t>个采暖期及供冷期；</w:t>
      </w:r>
    </w:p>
    <w:p w14:paraId="26700BBA">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4、室外的上下水和小区道路等市政公用工程为</w:t>
      </w:r>
      <w:r>
        <w:rPr>
          <w:rFonts w:hint="eastAsia" w:ascii="宋体" w:hAnsi="宋体" w:cs="宋体"/>
          <w:color w:val="000000"/>
          <w:sz w:val="24"/>
          <w:szCs w:val="24"/>
          <w:u w:val="single"/>
        </w:rPr>
        <w:t xml:space="preserve"> 1 </w:t>
      </w:r>
      <w:r>
        <w:rPr>
          <w:rFonts w:hint="eastAsia" w:ascii="宋体" w:hAnsi="宋体" w:cs="宋体"/>
          <w:color w:val="000000"/>
          <w:sz w:val="24"/>
          <w:szCs w:val="24"/>
        </w:rPr>
        <w:t>年；</w:t>
      </w:r>
    </w:p>
    <w:p w14:paraId="17C83C97">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5、其他约定：</w:t>
      </w:r>
    </w:p>
    <w:p w14:paraId="0F08CBD4">
      <w:pPr>
        <w:spacing w:line="360" w:lineRule="auto"/>
        <w:rPr>
          <w:rFonts w:ascii="宋体" w:hAnsi="宋体" w:cs="宋体"/>
          <w:sz w:val="24"/>
          <w:szCs w:val="24"/>
        </w:rPr>
      </w:pPr>
      <w:r>
        <w:rPr>
          <w:rFonts w:hint="eastAsia" w:ascii="宋体" w:hAnsi="宋体" w:cs="宋体"/>
          <w:color w:val="000000"/>
          <w:sz w:val="24"/>
          <w:szCs w:val="24"/>
          <w:u w:val="single"/>
        </w:rPr>
        <w:t xml:space="preserve">         </w:t>
      </w:r>
      <w:r>
        <w:rPr>
          <w:rFonts w:hint="eastAsia" w:ascii="宋体" w:hAnsi="宋体" w:cs="宋体"/>
          <w:sz w:val="24"/>
          <w:szCs w:val="24"/>
          <w:u w:val="single"/>
        </w:rPr>
        <w:t xml:space="preserve">按国家规定                          </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1A27E2C">
      <w:pPr>
        <w:pStyle w:val="11"/>
        <w:rPr>
          <w:rFonts w:ascii="宋体" w:hAnsi="宋体" w:cs="宋体"/>
          <w:sz w:val="24"/>
          <w:szCs w:val="24"/>
        </w:rPr>
      </w:pPr>
      <w:r>
        <w:rPr>
          <w:rFonts w:hint="eastAsia" w:ascii="宋体" w:hAnsi="宋体" w:cs="宋体"/>
          <w:sz w:val="24"/>
          <w:szCs w:val="24"/>
        </w:rPr>
        <w:t>三、质量保修责任</w:t>
      </w:r>
    </w:p>
    <w:p w14:paraId="7004C815">
      <w:pPr>
        <w:tabs>
          <w:tab w:val="left" w:pos="1740"/>
        </w:tabs>
        <w:spacing w:line="360" w:lineRule="auto"/>
        <w:ind w:firstLine="480"/>
        <w:rPr>
          <w:rFonts w:ascii="宋体" w:hAnsi="宋体" w:cs="宋体"/>
          <w:sz w:val="24"/>
          <w:szCs w:val="24"/>
        </w:rPr>
      </w:pPr>
      <w:r>
        <w:rPr>
          <w:rFonts w:hint="eastAsia" w:ascii="宋体" w:hAnsi="宋体" w:cs="宋体"/>
          <w:sz w:val="24"/>
          <w:szCs w:val="24"/>
        </w:rPr>
        <w:t>1、属于保修范围和内容的项目，承包人应在接到修理通知之日后</w:t>
      </w:r>
      <w:r>
        <w:rPr>
          <w:rFonts w:hint="eastAsia" w:ascii="宋体" w:hAnsi="宋体" w:cs="宋体"/>
          <w:b/>
          <w:sz w:val="24"/>
          <w:szCs w:val="24"/>
        </w:rPr>
        <w:t>24小时内</w:t>
      </w:r>
      <w:r>
        <w:rPr>
          <w:rFonts w:hint="eastAsia" w:ascii="宋体" w:hAnsi="宋体" w:cs="宋体"/>
          <w:sz w:val="24"/>
          <w:szCs w:val="24"/>
        </w:rPr>
        <w:t>派人修理。承包人不在约定期限内派人修理的，发包人可委托其他人员修理，保修费用从质量保修金内双倍扣除。</w:t>
      </w:r>
    </w:p>
    <w:p w14:paraId="39E45292">
      <w:pPr>
        <w:tabs>
          <w:tab w:val="left" w:pos="1740"/>
        </w:tabs>
        <w:spacing w:line="360" w:lineRule="auto"/>
        <w:ind w:firstLine="480"/>
        <w:rPr>
          <w:rFonts w:ascii="宋体" w:hAnsi="宋体" w:cs="宋体"/>
          <w:sz w:val="24"/>
          <w:szCs w:val="24"/>
        </w:rPr>
      </w:pPr>
      <w:r>
        <w:rPr>
          <w:rFonts w:hint="eastAsia" w:ascii="宋体" w:hAnsi="宋体" w:cs="宋体"/>
          <w:sz w:val="24"/>
          <w:szCs w:val="24"/>
        </w:rPr>
        <w:t>2、发生须紧急抢修事故（如上下跑水、暖气漏水漏气、燃气漏气等），承包人在接到事故通知后，应立即到达事故现场抢修。非承包人施工质量引起的事故，抢修费用由发包人承担。</w:t>
      </w:r>
    </w:p>
    <w:p w14:paraId="5C95957A">
      <w:pPr>
        <w:tabs>
          <w:tab w:val="left" w:pos="1740"/>
        </w:tabs>
        <w:spacing w:line="360" w:lineRule="auto"/>
        <w:ind w:firstLine="480"/>
        <w:rPr>
          <w:rFonts w:ascii="宋体" w:hAnsi="宋体" w:cs="宋体"/>
          <w:sz w:val="24"/>
          <w:szCs w:val="24"/>
        </w:rPr>
      </w:pPr>
      <w:r>
        <w:rPr>
          <w:rFonts w:hint="eastAsia" w:ascii="宋体" w:hAnsi="宋体" w:cs="宋体"/>
          <w:sz w:val="24"/>
          <w:szCs w:val="24"/>
        </w:rPr>
        <w:t>3、在国家规定的工程合理使用期限内，承包人确保地基基础工程的主体结构的质量。因承包人原因致使工程在合理使用期限内造成人身和财产损害的，承包人应承担损害赔偿责任。</w:t>
      </w:r>
    </w:p>
    <w:p w14:paraId="54D86280">
      <w:pPr>
        <w:pStyle w:val="11"/>
        <w:rPr>
          <w:rFonts w:ascii="宋体" w:hAnsi="宋体" w:cs="宋体"/>
          <w:sz w:val="24"/>
          <w:szCs w:val="24"/>
        </w:rPr>
      </w:pPr>
      <w:r>
        <w:rPr>
          <w:rFonts w:hint="eastAsia" w:ascii="宋体" w:hAnsi="宋体" w:cs="宋体"/>
          <w:sz w:val="24"/>
          <w:szCs w:val="24"/>
        </w:rPr>
        <w:t>四、质量保修金的支付</w:t>
      </w:r>
    </w:p>
    <w:p w14:paraId="21D98C20">
      <w:pPr>
        <w:spacing w:line="360" w:lineRule="auto"/>
        <w:ind w:left="420"/>
        <w:rPr>
          <w:rFonts w:ascii="宋体" w:hAnsi="宋体" w:cs="宋体"/>
          <w:sz w:val="24"/>
          <w:szCs w:val="24"/>
        </w:rPr>
      </w:pPr>
      <w:r>
        <w:rPr>
          <w:rFonts w:hint="eastAsia" w:ascii="宋体" w:hAnsi="宋体" w:cs="宋体"/>
          <w:color w:val="FF0000"/>
          <w:sz w:val="24"/>
          <w:szCs w:val="24"/>
        </w:rPr>
        <w:t>本工程约定的工程质量保修金为结算审定价款的</w:t>
      </w:r>
      <w:r>
        <w:rPr>
          <w:rFonts w:hint="eastAsia" w:ascii="宋体" w:hAnsi="宋体" w:cs="宋体"/>
          <w:color w:val="FF0000"/>
          <w:sz w:val="24"/>
          <w:szCs w:val="24"/>
          <w:u w:val="single"/>
        </w:rPr>
        <w:t>3％</w:t>
      </w:r>
      <w:r>
        <w:rPr>
          <w:rFonts w:hint="eastAsia" w:ascii="宋体" w:hAnsi="宋体" w:cs="宋体"/>
          <w:color w:val="FF0000"/>
          <w:sz w:val="24"/>
          <w:szCs w:val="24"/>
        </w:rPr>
        <w:t>。</w:t>
      </w:r>
    </w:p>
    <w:p w14:paraId="7CA6BCAD">
      <w:pPr>
        <w:spacing w:line="360" w:lineRule="auto"/>
        <w:rPr>
          <w:rFonts w:ascii="宋体" w:hAnsi="宋体" w:cs="宋体"/>
          <w:sz w:val="24"/>
          <w:szCs w:val="24"/>
          <w:u w:val="single"/>
        </w:rPr>
      </w:pPr>
      <w:r>
        <w:rPr>
          <w:rFonts w:hint="eastAsia" w:ascii="宋体" w:hAnsi="宋体" w:cs="宋体"/>
          <w:sz w:val="24"/>
          <w:szCs w:val="24"/>
        </w:rPr>
        <w:t xml:space="preserve">    本工程双方约定承包人向发包人支付工程质量保修金金额为</w:t>
      </w:r>
      <w:r>
        <w:rPr>
          <w:rFonts w:hint="eastAsia" w:ascii="宋体" w:hAnsi="宋体" w:cs="宋体"/>
          <w:sz w:val="24"/>
          <w:szCs w:val="24"/>
          <w:u w:val="single"/>
        </w:rPr>
        <w:t xml:space="preserve">                     </w:t>
      </w:r>
    </w:p>
    <w:p w14:paraId="382FC6C7">
      <w:pPr>
        <w:spacing w:line="360" w:lineRule="auto"/>
        <w:rPr>
          <w:rFonts w:ascii="宋体" w:hAnsi="宋体" w:cs="宋体"/>
          <w:sz w:val="24"/>
          <w:szCs w:val="24"/>
        </w:rPr>
      </w:pPr>
      <w:r>
        <w:rPr>
          <w:rFonts w:hint="eastAsia" w:ascii="宋体" w:hAnsi="宋体" w:cs="宋体"/>
          <w:sz w:val="24"/>
          <w:szCs w:val="24"/>
        </w:rPr>
        <w:t>（大写）。质量保修金银行利率为</w:t>
      </w:r>
      <w:r>
        <w:rPr>
          <w:rFonts w:hint="eastAsia" w:ascii="宋体" w:hAnsi="宋体" w:cs="宋体"/>
          <w:sz w:val="24"/>
          <w:szCs w:val="24"/>
          <w:u w:val="single"/>
        </w:rPr>
        <w:t xml:space="preserve">            /        </w:t>
      </w:r>
      <w:r>
        <w:rPr>
          <w:rFonts w:hint="eastAsia" w:ascii="宋体" w:hAnsi="宋体" w:cs="宋体"/>
          <w:sz w:val="24"/>
          <w:szCs w:val="24"/>
        </w:rPr>
        <w:t>。</w:t>
      </w:r>
    </w:p>
    <w:p w14:paraId="073DA8C3">
      <w:pPr>
        <w:spacing w:line="360" w:lineRule="auto"/>
        <w:ind w:firstLine="480"/>
        <w:rPr>
          <w:rFonts w:ascii="宋体" w:hAnsi="宋体" w:cs="宋体"/>
          <w:b/>
          <w:bCs/>
          <w:sz w:val="24"/>
          <w:szCs w:val="24"/>
        </w:rPr>
      </w:pPr>
      <w:r>
        <w:rPr>
          <w:rFonts w:hint="eastAsia" w:ascii="宋体" w:hAnsi="宋体" w:cs="宋体"/>
          <w:b/>
          <w:bCs/>
          <w:sz w:val="24"/>
          <w:szCs w:val="24"/>
        </w:rPr>
        <w:t>五、质量保修金的返还</w:t>
      </w:r>
    </w:p>
    <w:p w14:paraId="1E2DF057">
      <w:pPr>
        <w:spacing w:line="360" w:lineRule="auto"/>
        <w:ind w:firstLine="480"/>
        <w:rPr>
          <w:rFonts w:ascii="宋体" w:hAnsi="宋体" w:cs="宋体"/>
          <w:sz w:val="24"/>
          <w:szCs w:val="24"/>
        </w:rPr>
      </w:pPr>
      <w:r>
        <w:rPr>
          <w:rFonts w:hint="eastAsia" w:ascii="宋体" w:hAnsi="宋体" w:cs="宋体"/>
          <w:sz w:val="24"/>
          <w:szCs w:val="24"/>
        </w:rPr>
        <w:t>发包人在质量保修期满后14天内，将剩余保修金返还承包人。</w:t>
      </w:r>
    </w:p>
    <w:p w14:paraId="76261CB0">
      <w:pPr>
        <w:pStyle w:val="11"/>
        <w:rPr>
          <w:rFonts w:ascii="宋体" w:hAnsi="宋体" w:cs="宋体"/>
          <w:sz w:val="24"/>
          <w:szCs w:val="24"/>
        </w:rPr>
      </w:pPr>
      <w:r>
        <w:rPr>
          <w:rFonts w:hint="eastAsia" w:ascii="宋体" w:hAnsi="宋体" w:cs="宋体"/>
          <w:sz w:val="24"/>
          <w:szCs w:val="24"/>
        </w:rPr>
        <w:t>六、其他</w:t>
      </w:r>
    </w:p>
    <w:p w14:paraId="21EC1C49">
      <w:pPr>
        <w:spacing w:line="360" w:lineRule="auto"/>
        <w:ind w:left="420"/>
        <w:rPr>
          <w:rFonts w:ascii="宋体" w:hAnsi="宋体" w:cs="宋体"/>
          <w:sz w:val="24"/>
          <w:szCs w:val="24"/>
        </w:rPr>
      </w:pPr>
      <w:r>
        <w:rPr>
          <w:rFonts w:hint="eastAsia" w:ascii="宋体" w:hAnsi="宋体" w:cs="宋体"/>
          <w:sz w:val="24"/>
          <w:szCs w:val="24"/>
        </w:rPr>
        <w:t>双方约定的其他工程质量保修事项：</w:t>
      </w:r>
    </w:p>
    <w:p w14:paraId="3D74187B">
      <w:pPr>
        <w:spacing w:line="360" w:lineRule="auto"/>
        <w:rPr>
          <w:rFonts w:ascii="宋体" w:hAnsi="宋体" w:cs="宋体"/>
          <w:sz w:val="24"/>
          <w:szCs w:val="24"/>
          <w:u w:val="single"/>
        </w:rPr>
      </w:pPr>
      <w:r>
        <w:rPr>
          <w:rFonts w:hint="eastAsia" w:ascii="宋体" w:hAnsi="宋体" w:cs="宋体"/>
          <w:sz w:val="24"/>
          <w:szCs w:val="24"/>
          <w:u w:val="single"/>
        </w:rPr>
        <w:t xml:space="preserve">                                                                                                                                                        </w:t>
      </w:r>
    </w:p>
    <w:p w14:paraId="509F3399">
      <w:pPr>
        <w:spacing w:line="360" w:lineRule="auto"/>
        <w:rPr>
          <w:rFonts w:ascii="宋体" w:hAnsi="宋体" w:cs="宋体"/>
          <w:sz w:val="24"/>
          <w:szCs w:val="24"/>
          <w:u w:val="single"/>
        </w:rPr>
      </w:pPr>
      <w:r>
        <w:rPr>
          <w:rFonts w:hint="eastAsia" w:ascii="宋体" w:hAnsi="宋体" w:cs="宋体"/>
          <w:sz w:val="24"/>
          <w:szCs w:val="24"/>
          <w:u w:val="single"/>
        </w:rPr>
        <w:t xml:space="preserve">                                                                                                                                                        </w:t>
      </w:r>
    </w:p>
    <w:p w14:paraId="1EE9AAD2">
      <w:pPr>
        <w:spacing w:line="360" w:lineRule="auto"/>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w:t>
      </w:r>
    </w:p>
    <w:p w14:paraId="6F60F7BC">
      <w:pPr>
        <w:spacing w:line="440" w:lineRule="exact"/>
        <w:rPr>
          <w:rFonts w:ascii="宋体" w:hAnsi="宋体" w:cs="宋体"/>
          <w:sz w:val="24"/>
          <w:szCs w:val="24"/>
        </w:rPr>
      </w:pPr>
      <w:r>
        <w:rPr>
          <w:rFonts w:hint="eastAsia" w:ascii="宋体" w:hAnsi="宋体" w:cs="宋体"/>
          <w:sz w:val="24"/>
          <w:szCs w:val="24"/>
        </w:rPr>
        <w:t>本工程质量保修书作为施工合同附件</w:t>
      </w:r>
    </w:p>
    <w:p w14:paraId="30DBDE51">
      <w:pPr>
        <w:ind w:firstLine="360" w:firstLineChars="150"/>
        <w:rPr>
          <w:rFonts w:ascii="宋体" w:hAnsi="宋体" w:cs="宋体"/>
          <w:sz w:val="24"/>
          <w:szCs w:val="24"/>
        </w:rPr>
      </w:pPr>
    </w:p>
    <w:p w14:paraId="1758C5E6">
      <w:pPr>
        <w:rPr>
          <w:rFonts w:ascii="宋体" w:hAnsi="宋体" w:cs="宋体"/>
          <w:sz w:val="24"/>
          <w:szCs w:val="24"/>
        </w:rPr>
      </w:pPr>
      <w:r>
        <w:rPr>
          <w:rFonts w:hint="eastAsia" w:ascii="宋体" w:hAnsi="宋体" w:cs="宋体"/>
          <w:sz w:val="24"/>
          <w:szCs w:val="24"/>
        </w:rPr>
        <w:br w:type="page"/>
      </w:r>
    </w:p>
    <w:p w14:paraId="158D3006">
      <w:pPr>
        <w:spacing w:line="360" w:lineRule="exact"/>
        <w:jc w:val="left"/>
        <w:rPr>
          <w:rFonts w:ascii="宋体" w:hAnsi="宋体" w:cs="宋体"/>
          <w:b/>
          <w:sz w:val="24"/>
          <w:szCs w:val="24"/>
        </w:rPr>
      </w:pPr>
      <w:r>
        <w:rPr>
          <w:rFonts w:hint="eastAsia" w:ascii="宋体" w:hAnsi="宋体" w:cs="宋体"/>
          <w:b/>
          <w:sz w:val="24"/>
          <w:szCs w:val="24"/>
        </w:rPr>
        <w:t>附件2：</w:t>
      </w:r>
    </w:p>
    <w:p w14:paraId="40C4715D">
      <w:pPr>
        <w:spacing w:line="360" w:lineRule="exact"/>
        <w:jc w:val="center"/>
        <w:rPr>
          <w:rFonts w:ascii="宋体" w:hAnsi="宋体" w:cs="宋体"/>
          <w:b/>
          <w:sz w:val="24"/>
          <w:szCs w:val="24"/>
        </w:rPr>
      </w:pPr>
      <w:r>
        <w:rPr>
          <w:rFonts w:hint="eastAsia" w:ascii="宋体" w:hAnsi="宋体" w:cs="宋体"/>
          <w:b/>
          <w:sz w:val="32"/>
          <w:szCs w:val="32"/>
        </w:rPr>
        <w:t>安全生产协议</w:t>
      </w:r>
    </w:p>
    <w:p w14:paraId="2BF89C7C">
      <w:pPr>
        <w:spacing w:line="440" w:lineRule="exact"/>
        <w:rPr>
          <w:rFonts w:ascii="宋体" w:hAnsi="宋体" w:cs="宋体"/>
          <w:sz w:val="24"/>
          <w:szCs w:val="24"/>
        </w:rPr>
      </w:pPr>
    </w:p>
    <w:p w14:paraId="37B064F3">
      <w:pPr>
        <w:spacing w:line="440" w:lineRule="exact"/>
        <w:rPr>
          <w:rFonts w:ascii="宋体" w:hAnsi="宋体" w:cs="宋体"/>
          <w:sz w:val="24"/>
          <w:szCs w:val="24"/>
        </w:rPr>
      </w:pPr>
      <w:r>
        <w:rPr>
          <w:rFonts w:hint="eastAsia" w:ascii="宋体" w:hAnsi="宋体" w:cs="宋体"/>
          <w:b/>
          <w:bCs/>
          <w:sz w:val="24"/>
          <w:szCs w:val="24"/>
        </w:rPr>
        <w:t>甲方：</w:t>
      </w:r>
      <w:r>
        <w:rPr>
          <w:rFonts w:hint="eastAsia" w:ascii="宋体" w:hAnsi="宋体" w:cs="宋体"/>
          <w:sz w:val="24"/>
          <w:szCs w:val="24"/>
          <w:u w:val="single"/>
        </w:rPr>
        <w:t xml:space="preserve">             </w:t>
      </w:r>
      <w:r>
        <w:rPr>
          <w:rFonts w:hint="eastAsia" w:ascii="宋体" w:hAnsi="宋体" w:cs="宋体"/>
          <w:sz w:val="24"/>
          <w:szCs w:val="24"/>
        </w:rPr>
        <w:t>（以下简称“甲方”）</w:t>
      </w:r>
    </w:p>
    <w:p w14:paraId="4719571D">
      <w:pPr>
        <w:spacing w:line="440" w:lineRule="exact"/>
        <w:rPr>
          <w:rFonts w:ascii="宋体" w:hAnsi="宋体" w:cs="宋体"/>
          <w:sz w:val="24"/>
          <w:szCs w:val="24"/>
        </w:rPr>
      </w:pPr>
      <w:r>
        <w:rPr>
          <w:rFonts w:hint="eastAsia" w:ascii="宋体" w:hAnsi="宋体" w:cs="宋体"/>
          <w:b/>
          <w:sz w:val="24"/>
          <w:szCs w:val="24"/>
        </w:rPr>
        <w:t>乙方</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rPr>
        <w:t>（以下简称“乙方”）</w:t>
      </w:r>
    </w:p>
    <w:p w14:paraId="5AEB6D52">
      <w:pPr>
        <w:spacing w:line="440" w:lineRule="exact"/>
        <w:ind w:firstLine="360" w:firstLineChars="150"/>
        <w:rPr>
          <w:rFonts w:ascii="宋体" w:hAnsi="宋体" w:cs="宋体"/>
          <w:sz w:val="24"/>
          <w:szCs w:val="24"/>
        </w:rPr>
      </w:pPr>
      <w:r>
        <w:rPr>
          <w:rFonts w:hint="eastAsia" w:ascii="宋体" w:hAnsi="宋体" w:cs="宋体"/>
          <w:sz w:val="24"/>
          <w:szCs w:val="24"/>
        </w:rPr>
        <w:t>为在</w:t>
      </w:r>
      <w:r>
        <w:rPr>
          <w:rFonts w:hint="eastAsia" w:ascii="宋体" w:hAnsi="宋体" w:cs="宋体"/>
          <w:sz w:val="24"/>
          <w:szCs w:val="24"/>
          <w:u w:val="single"/>
        </w:rPr>
        <w:t xml:space="preserve">                </w:t>
      </w:r>
      <w:r>
        <w:rPr>
          <w:rFonts w:hint="eastAsia" w:ascii="宋体" w:hAnsi="宋体" w:cs="宋体"/>
          <w:sz w:val="24"/>
          <w:szCs w:val="24"/>
        </w:rPr>
        <w:t>施工合同的实施过程中创造安全、高效的施工环境，切实搞好本项目的安全管理工作，特此签订安全生产合同。具体如下：</w:t>
      </w:r>
    </w:p>
    <w:p w14:paraId="4B3EBA06">
      <w:pPr>
        <w:spacing w:line="440" w:lineRule="exact"/>
        <w:rPr>
          <w:rFonts w:ascii="宋体" w:hAnsi="宋体" w:cs="宋体"/>
          <w:b/>
          <w:sz w:val="24"/>
          <w:szCs w:val="24"/>
        </w:rPr>
      </w:pPr>
      <w:r>
        <w:rPr>
          <w:rFonts w:hint="eastAsia" w:ascii="宋体" w:hAnsi="宋体" w:cs="宋体"/>
          <w:b/>
          <w:sz w:val="24"/>
          <w:szCs w:val="24"/>
        </w:rPr>
        <w:t>一、甲方职责</w:t>
      </w:r>
    </w:p>
    <w:p w14:paraId="07540DF9">
      <w:pPr>
        <w:spacing w:line="440" w:lineRule="exact"/>
        <w:ind w:firstLine="240" w:firstLineChars="100"/>
        <w:rPr>
          <w:rFonts w:ascii="宋体" w:hAnsi="宋体" w:cs="宋体"/>
          <w:sz w:val="24"/>
          <w:szCs w:val="24"/>
        </w:rPr>
      </w:pPr>
      <w:r>
        <w:rPr>
          <w:rFonts w:hint="eastAsia" w:ascii="宋体" w:hAnsi="宋体" w:cs="宋体"/>
          <w:sz w:val="24"/>
          <w:szCs w:val="24"/>
        </w:rPr>
        <w:t>1、严格遵守国家有关安全生产的法律法规，认真执行工程承包合同中的有关安全要求。</w:t>
      </w:r>
    </w:p>
    <w:p w14:paraId="2434BAE4">
      <w:pPr>
        <w:spacing w:line="440" w:lineRule="exact"/>
        <w:ind w:firstLine="240" w:firstLineChars="100"/>
        <w:rPr>
          <w:rFonts w:ascii="宋体" w:hAnsi="宋体" w:cs="宋体"/>
          <w:sz w:val="24"/>
          <w:szCs w:val="24"/>
        </w:rPr>
      </w:pPr>
      <w:r>
        <w:rPr>
          <w:rFonts w:hint="eastAsia" w:ascii="宋体" w:hAnsi="宋体" w:cs="宋体"/>
          <w:sz w:val="24"/>
          <w:szCs w:val="24"/>
        </w:rPr>
        <w:t>2、按照“安全第一、预防为主”和坚持“管生产必须管安全”的原则进行安全生产管理，做到生产与安全工作同时计划、布置、检查、总结和评比。</w:t>
      </w:r>
    </w:p>
    <w:p w14:paraId="290A4232">
      <w:pPr>
        <w:spacing w:line="440" w:lineRule="exact"/>
        <w:ind w:firstLine="240" w:firstLineChars="100"/>
        <w:rPr>
          <w:rFonts w:ascii="宋体" w:hAnsi="宋体" w:cs="宋体"/>
          <w:sz w:val="24"/>
          <w:szCs w:val="24"/>
        </w:rPr>
      </w:pPr>
      <w:r>
        <w:rPr>
          <w:rFonts w:hint="eastAsia" w:ascii="宋体" w:hAnsi="宋体" w:cs="宋体"/>
          <w:sz w:val="24"/>
          <w:szCs w:val="24"/>
        </w:rPr>
        <w:t>3、定期召开安全生产协调会，及时传达中央及地方有关安全生产的精神。</w:t>
      </w:r>
    </w:p>
    <w:p w14:paraId="5F6713A9">
      <w:pPr>
        <w:spacing w:line="440" w:lineRule="exact"/>
        <w:ind w:firstLine="240" w:firstLineChars="100"/>
        <w:rPr>
          <w:rFonts w:ascii="宋体" w:hAnsi="宋体" w:cs="宋体"/>
          <w:sz w:val="24"/>
          <w:szCs w:val="24"/>
        </w:rPr>
      </w:pPr>
      <w:r>
        <w:rPr>
          <w:rFonts w:hint="eastAsia" w:ascii="宋体" w:hAnsi="宋体" w:cs="宋体"/>
          <w:sz w:val="24"/>
          <w:szCs w:val="24"/>
        </w:rPr>
        <w:t>4、组织对乙方施工现场安全生产检查，建立安全生产责任制网络、汇总重要危险源、监督乙方及时处理发现的各种安全隐患。</w:t>
      </w:r>
    </w:p>
    <w:p w14:paraId="21B766BE">
      <w:pPr>
        <w:spacing w:line="440" w:lineRule="exact"/>
        <w:rPr>
          <w:rFonts w:ascii="宋体" w:hAnsi="宋体" w:cs="宋体"/>
          <w:b/>
          <w:sz w:val="24"/>
          <w:szCs w:val="24"/>
        </w:rPr>
      </w:pPr>
      <w:r>
        <w:rPr>
          <w:rFonts w:hint="eastAsia" w:ascii="宋体" w:hAnsi="宋体" w:cs="宋体"/>
          <w:b/>
          <w:sz w:val="24"/>
          <w:szCs w:val="24"/>
        </w:rPr>
        <w:t>二、乙方职责</w:t>
      </w:r>
    </w:p>
    <w:p w14:paraId="7BC8994A">
      <w:pPr>
        <w:spacing w:line="440" w:lineRule="exact"/>
        <w:rPr>
          <w:rFonts w:ascii="宋体" w:hAnsi="宋体" w:cs="宋体"/>
          <w:sz w:val="24"/>
          <w:szCs w:val="24"/>
        </w:rPr>
      </w:pPr>
      <w:r>
        <w:rPr>
          <w:rFonts w:hint="eastAsia" w:ascii="宋体" w:hAnsi="宋体" w:cs="宋体"/>
          <w:sz w:val="24"/>
          <w:szCs w:val="24"/>
        </w:rPr>
        <w:t xml:space="preserve">  1、严格遵守国家有关安全生产的法律法规、有关安全生产的规定，认真执行工程承包合同中的有关安全要求，接受甲方和监理工程师对安全生产工作的指导。</w:t>
      </w:r>
    </w:p>
    <w:p w14:paraId="09E0B261">
      <w:pPr>
        <w:spacing w:line="440" w:lineRule="exact"/>
        <w:rPr>
          <w:rFonts w:ascii="宋体" w:hAnsi="宋体" w:cs="宋体"/>
          <w:sz w:val="24"/>
          <w:szCs w:val="24"/>
        </w:rPr>
      </w:pPr>
      <w:r>
        <w:rPr>
          <w:rFonts w:hint="eastAsia" w:ascii="宋体" w:hAnsi="宋体" w:cs="宋体"/>
          <w:sz w:val="24"/>
          <w:szCs w:val="24"/>
        </w:rPr>
        <w:t xml:space="preserve">  2、坚持“安全第一、预防为主”和“管生产必须管安全”的原则，加强安全生产宣传教育，增强全员安全生产意识，建立健全各项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74A7AE7B">
      <w:pPr>
        <w:spacing w:line="440" w:lineRule="exact"/>
        <w:rPr>
          <w:rFonts w:ascii="宋体" w:hAnsi="宋体" w:cs="宋体"/>
          <w:sz w:val="24"/>
          <w:szCs w:val="24"/>
        </w:rPr>
      </w:pPr>
      <w:r>
        <w:rPr>
          <w:rFonts w:hint="eastAsia" w:ascii="宋体" w:hAnsi="宋体" w:cs="宋体"/>
          <w:sz w:val="24"/>
          <w:szCs w:val="24"/>
        </w:rPr>
        <w:t xml:space="preserve">  3、建立健全安全生产责任制网络。从派往项目实施的项目经理到生产工人（包括临时雇请的民工）的安全生产管理系统必须做到纵向到底，一环不漏；各职能部门、人员的安全生产责任制做到横向到边，人人有责。施工单位的主要负责人是工程的安全生产负责人，对安全生产负领导责任，项目经理是工程的安全生产责任人，对安全生产负直接责任，专职安全员和安全员是工程现场的安全生产直接责任人，对安全生产具体负责。现场设置的安全机构，应按施工合同约定，配备安全员（其中专职安全员每标段不少于3人），专职负责所有员工的安全和治安保卫工作及预防事故的发生。安全机构人员，有权按有关规定发布指令，并采取保护性措施防止事故发生。</w:t>
      </w:r>
    </w:p>
    <w:p w14:paraId="6BAD0F28">
      <w:pPr>
        <w:spacing w:line="440" w:lineRule="exact"/>
        <w:rPr>
          <w:rFonts w:ascii="宋体" w:hAnsi="宋体" w:cs="宋体"/>
          <w:sz w:val="24"/>
          <w:szCs w:val="24"/>
        </w:rPr>
      </w:pPr>
      <w:r>
        <w:rPr>
          <w:rFonts w:hint="eastAsia" w:ascii="宋体" w:hAnsi="宋体" w:cs="宋体"/>
          <w:sz w:val="24"/>
          <w:szCs w:val="24"/>
        </w:rPr>
        <w:t xml:space="preserve">  4、乙方在任何时候都应采取各种合理的预防措施，防止其人员发生任何违法、违禁、暴力、违规或妨碍治安的行为。</w:t>
      </w:r>
    </w:p>
    <w:p w14:paraId="420490E3">
      <w:pPr>
        <w:spacing w:line="440" w:lineRule="exact"/>
        <w:rPr>
          <w:rFonts w:ascii="宋体" w:hAnsi="宋体" w:cs="宋体"/>
          <w:sz w:val="24"/>
          <w:szCs w:val="24"/>
        </w:rPr>
      </w:pPr>
      <w:r>
        <w:rPr>
          <w:rFonts w:hint="eastAsia" w:ascii="宋体" w:hAnsi="宋体" w:cs="宋体"/>
          <w:sz w:val="24"/>
          <w:szCs w:val="24"/>
        </w:rPr>
        <w:t xml:space="preserve">  5、乙方必须具有省部级行政主管部门颁发的安全生产证书，参加施工的人员，必须接受安全技术教育，熟知和遵守本工程的各项安全技术操作规程，定期进行安全技术考核，合格者方准上岗操作，对于从事机动车驾驶、电气、起重、建筑登高架设作业、焊接等特殊工程的人员须持证上岗。施工现场如发现无证操作现象时，项目经理必须承担管理责任。</w:t>
      </w:r>
    </w:p>
    <w:p w14:paraId="2F31EEC7">
      <w:pPr>
        <w:spacing w:line="440" w:lineRule="exact"/>
        <w:rPr>
          <w:rFonts w:ascii="宋体" w:hAnsi="宋体" w:cs="宋体"/>
          <w:sz w:val="24"/>
          <w:szCs w:val="24"/>
        </w:rPr>
      </w:pPr>
      <w:r>
        <w:rPr>
          <w:rFonts w:hint="eastAsia" w:ascii="宋体" w:hAnsi="宋体" w:cs="宋体"/>
          <w:sz w:val="24"/>
          <w:szCs w:val="24"/>
        </w:rPr>
        <w:t xml:space="preserve">  6、加强施工中交通运输安全管理，各种运输机械等需划定运输路线行驶。</w:t>
      </w:r>
    </w:p>
    <w:p w14:paraId="02FC7DE3">
      <w:pPr>
        <w:spacing w:line="440" w:lineRule="exact"/>
        <w:rPr>
          <w:rFonts w:ascii="宋体" w:hAnsi="宋体" w:cs="宋体"/>
          <w:sz w:val="24"/>
          <w:szCs w:val="24"/>
        </w:rPr>
      </w:pPr>
      <w:r>
        <w:rPr>
          <w:rFonts w:hint="eastAsia" w:ascii="宋体" w:hAnsi="宋体" w:cs="宋体"/>
          <w:sz w:val="24"/>
          <w:szCs w:val="24"/>
        </w:rPr>
        <w:t xml:space="preserve">  7、对于易燃易爆的材料除应专门有效封闭、妥善保管之外，还应配备有足够的消防设备，所有施工人员都应熟悉消防设备的性能和使用方法。</w:t>
      </w:r>
    </w:p>
    <w:p w14:paraId="19996934">
      <w:pPr>
        <w:spacing w:line="440" w:lineRule="exact"/>
        <w:rPr>
          <w:rFonts w:ascii="宋体" w:hAnsi="宋体" w:cs="宋体"/>
          <w:sz w:val="24"/>
          <w:szCs w:val="24"/>
        </w:rPr>
      </w:pPr>
      <w:r>
        <w:rPr>
          <w:rFonts w:hint="eastAsia" w:ascii="宋体" w:hAnsi="宋体" w:cs="宋体"/>
          <w:sz w:val="24"/>
          <w:szCs w:val="24"/>
        </w:rPr>
        <w:t xml:space="preserve">  8、操作人员上岗，必须按规定穿戴防护用品。施工负责人和安全检查员应随时检查劳动防护用品的穿戴情况，不按规定穿戴防护用品的人员不得上岗。</w:t>
      </w:r>
    </w:p>
    <w:p w14:paraId="38C63047">
      <w:pPr>
        <w:spacing w:line="440" w:lineRule="exact"/>
        <w:rPr>
          <w:rFonts w:ascii="宋体" w:hAnsi="宋体" w:cs="宋体"/>
          <w:sz w:val="24"/>
          <w:szCs w:val="24"/>
        </w:rPr>
      </w:pPr>
      <w:r>
        <w:rPr>
          <w:rFonts w:hint="eastAsia" w:ascii="宋体" w:hAnsi="宋体" w:cs="宋体"/>
          <w:sz w:val="24"/>
          <w:szCs w:val="24"/>
        </w:rPr>
        <w:t xml:space="preserve">  9、所有施工机具、设备和劳动保护用品应具备有效地安检合格证明，并经安全员签字同意后方可使用，施工期间定期检查，保证其处于完好状态；不合格的机具、设备和劳动保护用品严禁使用。</w:t>
      </w:r>
    </w:p>
    <w:p w14:paraId="66F728A4">
      <w:pPr>
        <w:spacing w:line="440" w:lineRule="exact"/>
        <w:rPr>
          <w:rFonts w:ascii="宋体" w:hAnsi="宋体" w:cs="宋体"/>
          <w:sz w:val="24"/>
          <w:szCs w:val="24"/>
        </w:rPr>
      </w:pPr>
      <w:r>
        <w:rPr>
          <w:rFonts w:hint="eastAsia" w:ascii="宋体" w:hAnsi="宋体" w:cs="宋体"/>
          <w:sz w:val="24"/>
          <w:szCs w:val="24"/>
        </w:rPr>
        <w:t xml:space="preserve">  10、施工现场必须具有相关的安全标志牌。</w:t>
      </w:r>
    </w:p>
    <w:p w14:paraId="3E06A0CB">
      <w:pPr>
        <w:spacing w:line="440" w:lineRule="exact"/>
        <w:rPr>
          <w:rFonts w:ascii="宋体" w:hAnsi="宋体" w:cs="宋体"/>
          <w:sz w:val="24"/>
          <w:szCs w:val="24"/>
        </w:rPr>
      </w:pPr>
      <w:r>
        <w:rPr>
          <w:rFonts w:hint="eastAsia" w:ascii="宋体" w:hAnsi="宋体" w:cs="宋体"/>
          <w:sz w:val="24"/>
          <w:szCs w:val="24"/>
        </w:rPr>
        <w:t xml:space="preserve">  11、建立主要危险源备案制度，要明确潜在隐患、防范措施和落实责任人。</w:t>
      </w:r>
    </w:p>
    <w:p w14:paraId="26320A2B">
      <w:pPr>
        <w:spacing w:line="440" w:lineRule="exact"/>
        <w:rPr>
          <w:rFonts w:ascii="宋体" w:hAnsi="宋体" w:cs="宋体"/>
          <w:sz w:val="24"/>
          <w:szCs w:val="24"/>
        </w:rPr>
      </w:pPr>
      <w:r>
        <w:rPr>
          <w:rFonts w:hint="eastAsia" w:ascii="宋体" w:hAnsi="宋体" w:cs="宋体"/>
          <w:sz w:val="24"/>
          <w:szCs w:val="24"/>
        </w:rPr>
        <w:t xml:space="preserve">  12、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3B31E9D8">
      <w:pPr>
        <w:spacing w:line="440" w:lineRule="exact"/>
        <w:rPr>
          <w:rFonts w:ascii="宋体" w:hAnsi="宋体" w:cs="宋体"/>
          <w:b/>
          <w:sz w:val="24"/>
          <w:szCs w:val="24"/>
        </w:rPr>
      </w:pPr>
      <w:r>
        <w:rPr>
          <w:rFonts w:hint="eastAsia" w:ascii="宋体" w:hAnsi="宋体" w:cs="宋体"/>
          <w:b/>
          <w:sz w:val="24"/>
          <w:szCs w:val="24"/>
        </w:rPr>
        <w:t>三、违约责任</w:t>
      </w:r>
    </w:p>
    <w:p w14:paraId="23E191BB">
      <w:pPr>
        <w:spacing w:line="440" w:lineRule="exact"/>
        <w:rPr>
          <w:rFonts w:ascii="宋体" w:hAnsi="宋体" w:cs="宋体"/>
          <w:sz w:val="24"/>
          <w:szCs w:val="24"/>
        </w:rPr>
      </w:pPr>
      <w:r>
        <w:rPr>
          <w:rFonts w:hint="eastAsia" w:ascii="宋体" w:hAnsi="宋体" w:cs="宋体"/>
          <w:sz w:val="24"/>
          <w:szCs w:val="24"/>
        </w:rPr>
        <w:tab/>
      </w:r>
      <w:r>
        <w:rPr>
          <w:rFonts w:hint="eastAsia" w:ascii="宋体" w:hAnsi="宋体" w:cs="宋体"/>
          <w:sz w:val="24"/>
          <w:szCs w:val="24"/>
        </w:rPr>
        <w:t>如因甲方或乙方违约造成安全事故，将报请有关部门依法追究责任。</w:t>
      </w:r>
    </w:p>
    <w:p w14:paraId="40A952C6">
      <w:pPr>
        <w:spacing w:line="440" w:lineRule="exact"/>
        <w:rPr>
          <w:rFonts w:ascii="宋体" w:hAnsi="宋体" w:cs="宋体"/>
          <w:sz w:val="24"/>
          <w:szCs w:val="24"/>
        </w:rPr>
      </w:pPr>
      <w:r>
        <w:rPr>
          <w:rFonts w:hint="eastAsia" w:ascii="宋体" w:hAnsi="宋体" w:cs="宋体"/>
          <w:sz w:val="24"/>
          <w:szCs w:val="24"/>
        </w:rPr>
        <w:tab/>
      </w:r>
    </w:p>
    <w:p w14:paraId="04E71832">
      <w:pPr>
        <w:spacing w:line="440" w:lineRule="exact"/>
        <w:rPr>
          <w:rFonts w:ascii="宋体" w:hAnsi="宋体" w:cs="宋体"/>
          <w:sz w:val="24"/>
          <w:szCs w:val="24"/>
        </w:rPr>
      </w:pPr>
      <w:r>
        <w:rPr>
          <w:rFonts w:hint="eastAsia" w:ascii="宋体" w:hAnsi="宋体" w:cs="宋体"/>
          <w:sz w:val="24"/>
          <w:szCs w:val="24"/>
        </w:rPr>
        <w:t>本安全生产协议作为施工合同附件</w:t>
      </w:r>
    </w:p>
    <w:p w14:paraId="05029965">
      <w:pPr>
        <w:pStyle w:val="2"/>
        <w:sectPr>
          <w:pgSz w:w="11906" w:h="16838"/>
          <w:pgMar w:top="1134" w:right="1134" w:bottom="1134" w:left="1134" w:header="851" w:footer="992" w:gutter="0"/>
          <w:pgNumType w:fmt="numberInDash" w:start="1"/>
          <w:cols w:space="720" w:num="1"/>
          <w:docGrid w:type="lines" w:linePitch="312" w:charSpace="0"/>
        </w:sectPr>
      </w:pPr>
    </w:p>
    <w:p w14:paraId="69CD93F6">
      <w:pPr>
        <w:spacing w:line="360" w:lineRule="auto"/>
        <w:jc w:val="center"/>
        <w:outlineLvl w:val="0"/>
        <w:rPr>
          <w:rFonts w:ascii="黑体" w:hAnsi="黑体" w:eastAsia="黑体"/>
          <w:sz w:val="28"/>
        </w:rPr>
      </w:pPr>
      <w:r>
        <w:rPr>
          <w:rFonts w:hint="eastAsia" w:ascii="黑体" w:hAnsi="黑体" w:eastAsia="黑体"/>
          <w:sz w:val="28"/>
        </w:rPr>
        <w:t>第六章 附件（投标文件格式）</w:t>
      </w:r>
      <w:bookmarkEnd w:id="61"/>
      <w:bookmarkEnd w:id="62"/>
      <w:bookmarkEnd w:id="63"/>
    </w:p>
    <w:p w14:paraId="6A6861E2">
      <w:pPr>
        <w:rPr>
          <w:rFonts w:ascii="黑体" w:eastAsia="黑体"/>
          <w:b/>
          <w:sz w:val="120"/>
          <w:szCs w:val="120"/>
        </w:rPr>
      </w:pPr>
    </w:p>
    <w:p w14:paraId="4EE115F0">
      <w:pPr>
        <w:jc w:val="center"/>
        <w:rPr>
          <w:rFonts w:ascii="宋体" w:hAnsi="宋体"/>
          <w:b/>
          <w:sz w:val="120"/>
          <w:szCs w:val="120"/>
        </w:rPr>
      </w:pPr>
      <w:r>
        <w:rPr>
          <w:rFonts w:hint="eastAsia" w:ascii="宋体" w:hAnsi="宋体"/>
          <w:b/>
          <w:sz w:val="120"/>
          <w:szCs w:val="120"/>
        </w:rPr>
        <w:t>投</w:t>
      </w:r>
    </w:p>
    <w:p w14:paraId="7DADACBD">
      <w:pPr>
        <w:jc w:val="center"/>
        <w:rPr>
          <w:rFonts w:ascii="宋体" w:hAnsi="宋体"/>
          <w:b/>
          <w:sz w:val="120"/>
          <w:szCs w:val="120"/>
        </w:rPr>
      </w:pPr>
      <w:r>
        <w:rPr>
          <w:rFonts w:hint="eastAsia" w:ascii="宋体" w:hAnsi="宋体"/>
          <w:b/>
          <w:sz w:val="120"/>
          <w:szCs w:val="120"/>
        </w:rPr>
        <w:t>标</w:t>
      </w:r>
    </w:p>
    <w:p w14:paraId="34FA46CC">
      <w:pPr>
        <w:jc w:val="center"/>
        <w:rPr>
          <w:rFonts w:ascii="宋体" w:hAnsi="宋体"/>
          <w:b/>
          <w:sz w:val="120"/>
          <w:szCs w:val="120"/>
        </w:rPr>
      </w:pPr>
      <w:r>
        <w:rPr>
          <w:rFonts w:hint="eastAsia" w:ascii="宋体" w:hAnsi="宋体"/>
          <w:b/>
          <w:sz w:val="120"/>
          <w:szCs w:val="120"/>
        </w:rPr>
        <w:t>文</w:t>
      </w:r>
    </w:p>
    <w:p w14:paraId="29214FE8">
      <w:pPr>
        <w:jc w:val="center"/>
        <w:rPr>
          <w:rFonts w:ascii="宋体" w:hAnsi="宋体"/>
          <w:b/>
          <w:sz w:val="120"/>
          <w:szCs w:val="120"/>
        </w:rPr>
      </w:pPr>
      <w:r>
        <w:rPr>
          <w:rFonts w:hint="eastAsia" w:ascii="宋体" w:hAnsi="宋体"/>
          <w:b/>
          <w:sz w:val="120"/>
          <w:szCs w:val="120"/>
        </w:rPr>
        <w:t>件</w:t>
      </w:r>
    </w:p>
    <w:p w14:paraId="5C36E8D7">
      <w:pPr>
        <w:jc w:val="center"/>
        <w:rPr>
          <w:rFonts w:ascii="宋体" w:hAnsi="宋体"/>
          <w:b/>
          <w:sz w:val="32"/>
          <w:szCs w:val="32"/>
        </w:rPr>
      </w:pPr>
    </w:p>
    <w:p w14:paraId="5989EB66">
      <w:pPr>
        <w:jc w:val="center"/>
        <w:rPr>
          <w:rFonts w:ascii="宋体" w:hAnsi="宋体"/>
          <w:b/>
          <w:sz w:val="30"/>
          <w:szCs w:val="30"/>
          <w:u w:val="single"/>
        </w:rPr>
      </w:pPr>
      <w:r>
        <w:rPr>
          <w:rFonts w:hint="eastAsia" w:ascii="宋体" w:hAnsi="宋体"/>
          <w:b/>
          <w:sz w:val="30"/>
          <w:szCs w:val="30"/>
        </w:rPr>
        <w:t>项目编号：</w:t>
      </w:r>
      <w:r>
        <w:rPr>
          <w:rFonts w:hint="eastAsia" w:ascii="宋体" w:hAnsi="宋体"/>
          <w:b/>
          <w:sz w:val="30"/>
          <w:szCs w:val="30"/>
          <w:u w:val="single"/>
        </w:rPr>
        <w:t xml:space="preserve">YXJDS-JJK-2025-006 </w:t>
      </w:r>
    </w:p>
    <w:p w14:paraId="7ED29C0B">
      <w:pPr>
        <w:jc w:val="center"/>
        <w:rPr>
          <w:rFonts w:ascii="宋体" w:hAnsi="宋体"/>
          <w:b/>
          <w:sz w:val="30"/>
          <w:szCs w:val="30"/>
        </w:rPr>
      </w:pPr>
      <w:r>
        <w:rPr>
          <w:rFonts w:hint="eastAsia" w:ascii="宋体" w:hAnsi="宋体"/>
          <w:b/>
          <w:sz w:val="30"/>
          <w:szCs w:val="30"/>
        </w:rPr>
        <w:t>项目名称：</w:t>
      </w:r>
      <w:r>
        <w:rPr>
          <w:rFonts w:hint="eastAsia" w:ascii="宋体" w:hAnsi="宋体"/>
          <w:b/>
          <w:sz w:val="30"/>
          <w:szCs w:val="30"/>
          <w:u w:val="single"/>
        </w:rPr>
        <w:t>江苏省宜兴强制隔离戒毒所配餐中心局部维修改造项目</w:t>
      </w:r>
    </w:p>
    <w:p w14:paraId="6A6C8688">
      <w:pPr>
        <w:spacing w:line="360" w:lineRule="auto"/>
        <w:rPr>
          <w:rStyle w:val="47"/>
          <w:rFonts w:ascii="宋体" w:hAnsi="宋体"/>
          <w:b/>
          <w:sz w:val="32"/>
          <w:szCs w:val="32"/>
        </w:rPr>
      </w:pPr>
      <w:r>
        <w:rPr>
          <w:rStyle w:val="47"/>
          <w:rFonts w:hint="eastAsia" w:ascii="宋体" w:hAnsi="宋体"/>
          <w:b/>
          <w:sz w:val="32"/>
          <w:szCs w:val="32"/>
        </w:rPr>
        <w:t>投标人</w:t>
      </w:r>
      <w:r>
        <w:rPr>
          <w:rStyle w:val="47"/>
          <w:rFonts w:ascii="宋体" w:hAnsi="宋体"/>
          <w:b/>
          <w:sz w:val="32"/>
          <w:szCs w:val="32"/>
        </w:rPr>
        <w:t>名称：</w:t>
      </w:r>
      <w:r>
        <w:rPr>
          <w:rStyle w:val="47"/>
          <w:rFonts w:ascii="宋体" w:hAnsi="宋体"/>
          <w:b/>
          <w:sz w:val="32"/>
          <w:szCs w:val="32"/>
          <w:u w:val="single"/>
        </w:rPr>
        <w:t xml:space="preserve">  </w:t>
      </w:r>
      <w:r>
        <w:rPr>
          <w:rStyle w:val="47"/>
          <w:rFonts w:hint="eastAsia" w:ascii="宋体" w:hAnsi="宋体"/>
          <w:b/>
          <w:sz w:val="32"/>
          <w:szCs w:val="32"/>
          <w:u w:val="single"/>
        </w:rPr>
        <w:t xml:space="preserve">                                </w:t>
      </w:r>
      <w:r>
        <w:rPr>
          <w:rStyle w:val="47"/>
          <w:rFonts w:ascii="宋体" w:hAnsi="宋体"/>
          <w:b/>
          <w:sz w:val="32"/>
          <w:szCs w:val="32"/>
          <w:u w:val="single"/>
        </w:rPr>
        <w:t xml:space="preserve"> （盖公章）</w:t>
      </w:r>
    </w:p>
    <w:p w14:paraId="2BEDFD13">
      <w:pPr>
        <w:spacing w:line="360" w:lineRule="auto"/>
        <w:rPr>
          <w:rStyle w:val="47"/>
          <w:rFonts w:ascii="宋体" w:hAnsi="宋体"/>
        </w:rPr>
      </w:pPr>
      <w:r>
        <w:rPr>
          <w:rStyle w:val="47"/>
          <w:rFonts w:ascii="宋体" w:hAnsi="宋体"/>
          <w:b/>
          <w:sz w:val="32"/>
          <w:szCs w:val="32"/>
        </w:rPr>
        <w:t>法定代表人或其被授权代表人：</w:t>
      </w:r>
      <w:r>
        <w:rPr>
          <w:rStyle w:val="47"/>
          <w:rFonts w:ascii="宋体" w:hAnsi="宋体"/>
          <w:b/>
          <w:sz w:val="32"/>
          <w:szCs w:val="32"/>
          <w:u w:val="single"/>
        </w:rPr>
        <w:t xml:space="preserve">   </w:t>
      </w:r>
      <w:r>
        <w:rPr>
          <w:rStyle w:val="47"/>
          <w:rFonts w:hint="eastAsia" w:ascii="宋体" w:hAnsi="宋体"/>
          <w:b/>
          <w:sz w:val="32"/>
          <w:szCs w:val="32"/>
          <w:u w:val="single"/>
        </w:rPr>
        <w:t xml:space="preserve">                  </w:t>
      </w:r>
      <w:r>
        <w:rPr>
          <w:rStyle w:val="47"/>
          <w:rFonts w:ascii="宋体" w:hAnsi="宋体"/>
          <w:b/>
          <w:sz w:val="32"/>
          <w:szCs w:val="32"/>
          <w:u w:val="single"/>
        </w:rPr>
        <w:t>（签名）</w:t>
      </w:r>
    </w:p>
    <w:p w14:paraId="5AD8B87C">
      <w:pPr>
        <w:spacing w:line="360" w:lineRule="auto"/>
        <w:jc w:val="center"/>
        <w:rPr>
          <w:rStyle w:val="47"/>
          <w:rFonts w:ascii="宋体" w:hAnsi="宋体"/>
          <w:b/>
          <w:sz w:val="32"/>
          <w:szCs w:val="32"/>
        </w:rPr>
      </w:pPr>
    </w:p>
    <w:p w14:paraId="1B80CAA2">
      <w:pPr>
        <w:spacing w:line="360" w:lineRule="auto"/>
        <w:jc w:val="center"/>
        <w:rPr>
          <w:rStyle w:val="47"/>
          <w:rFonts w:ascii="宋体" w:hAnsi="宋体"/>
          <w:b/>
          <w:sz w:val="120"/>
          <w:szCs w:val="120"/>
        </w:rPr>
      </w:pPr>
      <w:r>
        <w:rPr>
          <w:rStyle w:val="47"/>
          <w:rFonts w:ascii="宋体" w:hAnsi="宋体"/>
          <w:b/>
          <w:sz w:val="32"/>
          <w:szCs w:val="32"/>
        </w:rPr>
        <w:t>日期：</w:t>
      </w:r>
      <w:r>
        <w:rPr>
          <w:rStyle w:val="47"/>
          <w:rFonts w:ascii="宋体" w:hAnsi="宋体"/>
          <w:b/>
          <w:sz w:val="32"/>
          <w:szCs w:val="32"/>
          <w:u w:val="single"/>
        </w:rPr>
        <w:t xml:space="preserve">      年    月    日</w:t>
      </w:r>
    </w:p>
    <w:p w14:paraId="347484E9">
      <w:pPr>
        <w:rPr>
          <w:rFonts w:ascii="宋体"/>
          <w:b/>
          <w:bCs/>
          <w:sz w:val="24"/>
          <w:szCs w:val="24"/>
        </w:rPr>
      </w:pPr>
      <w:r>
        <w:rPr>
          <w:rFonts w:hint="eastAsia" w:ascii="黑体" w:hAnsi="宋体" w:eastAsia="黑体"/>
          <w:bCs/>
          <w:sz w:val="24"/>
          <w:szCs w:val="24"/>
        </w:rPr>
        <w:br w:type="page" w:clear="all"/>
      </w:r>
      <w:bookmarkStart w:id="103" w:name="OLE_LINK24"/>
      <w:r>
        <w:rPr>
          <w:rFonts w:hint="eastAsia" w:ascii="黑体" w:hAnsi="宋体" w:eastAsia="黑体"/>
          <w:bCs/>
          <w:sz w:val="24"/>
          <w:szCs w:val="24"/>
        </w:rPr>
        <w:t>（一）投标函（格式）：</w:t>
      </w:r>
      <w:bookmarkEnd w:id="103"/>
    </w:p>
    <w:p w14:paraId="316DED7C">
      <w:pPr>
        <w:spacing w:before="156" w:after="156" w:line="360" w:lineRule="auto"/>
        <w:jc w:val="center"/>
        <w:rPr>
          <w:rFonts w:ascii="黑体" w:eastAsia="黑体"/>
          <w:bCs/>
          <w:sz w:val="28"/>
          <w:szCs w:val="28"/>
        </w:rPr>
      </w:pPr>
      <w:r>
        <w:rPr>
          <w:rFonts w:hint="eastAsia" w:ascii="黑体" w:eastAsia="黑体"/>
          <w:bCs/>
          <w:sz w:val="28"/>
          <w:szCs w:val="28"/>
        </w:rPr>
        <w:t>投标函</w:t>
      </w:r>
    </w:p>
    <w:p w14:paraId="2BB4285E">
      <w:pPr>
        <w:spacing w:line="360" w:lineRule="auto"/>
        <w:rPr>
          <w:rFonts w:ascii="宋体" w:hAnsi="宋体"/>
          <w:bCs/>
          <w:sz w:val="24"/>
          <w:lang w:val="zh-CN"/>
        </w:rPr>
      </w:pPr>
      <w:r>
        <w:rPr>
          <w:rFonts w:hint="eastAsia" w:ascii="宋体" w:hAnsi="宋体"/>
          <w:bCs/>
          <w:sz w:val="24"/>
          <w:lang w:val="zh-CN"/>
        </w:rPr>
        <w:t>致江苏省宜兴强制隔离戒毒所、</w:t>
      </w:r>
      <w:r>
        <w:rPr>
          <w:rFonts w:hint="eastAsia" w:ascii="宋体" w:hAnsi="宋体"/>
          <w:bCs/>
          <w:sz w:val="24"/>
          <w:szCs w:val="24"/>
        </w:rPr>
        <w:t>江苏鼎坚工程咨询有限公司</w:t>
      </w:r>
      <w:r>
        <w:rPr>
          <w:rFonts w:hint="eastAsia" w:ascii="宋体" w:hAnsi="宋体"/>
          <w:bCs/>
          <w:sz w:val="24"/>
          <w:lang w:val="zh-CN"/>
        </w:rPr>
        <w:t>：</w:t>
      </w:r>
    </w:p>
    <w:p w14:paraId="2032BBA6">
      <w:pPr>
        <w:spacing w:line="360" w:lineRule="auto"/>
        <w:ind w:firstLine="480"/>
        <w:rPr>
          <w:rFonts w:ascii="宋体" w:hAnsi="宋体"/>
          <w:bCs/>
          <w:sz w:val="24"/>
          <w:lang w:val="zh-CN"/>
        </w:rPr>
      </w:pPr>
      <w:r>
        <w:rPr>
          <w:rFonts w:hint="eastAsia" w:ascii="宋体" w:hAnsi="宋体"/>
          <w:bCs/>
          <w:sz w:val="24"/>
          <w:lang w:val="zh-CN"/>
        </w:rPr>
        <w:t>我方收到你们YXJDS-JJK-2025-006  招标文件，经仔细阅读和研究，我方决定参加投标。</w:t>
      </w:r>
    </w:p>
    <w:p w14:paraId="31B06675">
      <w:pPr>
        <w:numPr>
          <w:ilvl w:val="0"/>
          <w:numId w:val="22"/>
        </w:numPr>
        <w:spacing w:line="360" w:lineRule="auto"/>
        <w:ind w:firstLine="480"/>
        <w:rPr>
          <w:rFonts w:ascii="宋体" w:hAnsi="宋体"/>
          <w:bCs/>
          <w:sz w:val="24"/>
          <w:lang w:val="zh-CN"/>
        </w:rPr>
      </w:pPr>
      <w:r>
        <w:rPr>
          <w:rFonts w:hint="eastAsia" w:ascii="宋体" w:hAnsi="宋体"/>
          <w:bCs/>
          <w:sz w:val="24"/>
          <w:lang w:val="zh-CN"/>
        </w:rPr>
        <w:t>我方愿意按照招标文件的一切要求，提供</w:t>
      </w:r>
      <w:r>
        <w:rPr>
          <w:rFonts w:hint="eastAsia" w:ascii="宋体" w:hAnsi="宋体"/>
          <w:bCs/>
          <w:sz w:val="24"/>
        </w:rPr>
        <w:t>服务</w:t>
      </w:r>
      <w:r>
        <w:rPr>
          <w:rFonts w:hint="eastAsia" w:ascii="宋体" w:hAnsi="宋体"/>
          <w:bCs/>
          <w:sz w:val="24"/>
          <w:lang w:val="zh-CN"/>
        </w:rPr>
        <w:t>，投标总价详见《开标一览表》。</w:t>
      </w:r>
    </w:p>
    <w:p w14:paraId="5BF463E4">
      <w:pPr>
        <w:numPr>
          <w:ilvl w:val="0"/>
          <w:numId w:val="22"/>
        </w:numPr>
        <w:spacing w:line="360" w:lineRule="auto"/>
        <w:ind w:firstLine="480"/>
        <w:rPr>
          <w:rFonts w:ascii="宋体" w:hAnsi="宋体"/>
          <w:bCs/>
          <w:sz w:val="24"/>
          <w:lang w:val="zh-CN"/>
        </w:rPr>
      </w:pPr>
      <w:r>
        <w:rPr>
          <w:rFonts w:hint="eastAsia" w:ascii="宋体" w:hAnsi="宋体"/>
          <w:bCs/>
          <w:sz w:val="24"/>
          <w:lang w:val="zh-CN"/>
        </w:rPr>
        <w:t>我方已对照</w:t>
      </w:r>
      <w:r>
        <w:rPr>
          <w:rFonts w:hint="eastAsia" w:ascii="宋体" w:hAnsi="宋体"/>
          <w:bCs/>
          <w:sz w:val="24"/>
        </w:rPr>
        <w:t>采购</w:t>
      </w:r>
      <w:r>
        <w:rPr>
          <w:rFonts w:hint="eastAsia" w:ascii="宋体" w:hAnsi="宋体"/>
          <w:bCs/>
          <w:sz w:val="24"/>
          <w:lang w:val="zh-CN"/>
        </w:rPr>
        <w:t>要求，填写了</w:t>
      </w:r>
      <w:r>
        <w:rPr>
          <w:rFonts w:hint="eastAsia" w:ascii="宋体" w:hAnsi="宋体"/>
          <w:bCs/>
          <w:sz w:val="24"/>
        </w:rPr>
        <w:t>报价服务的偏离情况</w:t>
      </w:r>
      <w:r>
        <w:rPr>
          <w:rFonts w:hint="eastAsia" w:ascii="宋体" w:hAnsi="宋体"/>
          <w:bCs/>
          <w:sz w:val="24"/>
          <w:lang w:val="zh-CN"/>
        </w:rPr>
        <w:t>，详见《偏离表》。</w:t>
      </w:r>
    </w:p>
    <w:p w14:paraId="53D9FB3B">
      <w:pPr>
        <w:numPr>
          <w:ilvl w:val="0"/>
          <w:numId w:val="22"/>
        </w:numPr>
        <w:spacing w:line="360" w:lineRule="auto"/>
        <w:ind w:firstLine="480"/>
        <w:rPr>
          <w:rFonts w:ascii="宋体" w:hAnsi="宋体"/>
          <w:bCs/>
          <w:sz w:val="24"/>
          <w:lang w:val="zh-CN"/>
        </w:rPr>
      </w:pPr>
      <w:r>
        <w:rPr>
          <w:rFonts w:hint="eastAsia" w:ascii="宋体" w:hAnsi="宋体"/>
          <w:bCs/>
          <w:sz w:val="24"/>
          <w:lang w:val="zh-CN"/>
        </w:rPr>
        <w:t>我方同意按招标文件中的规定，本投标文件的有效期为投标截止之日起的60天（含提交当日）。在特殊情况下，可与贵方协商延长投标文件的有效期。</w:t>
      </w:r>
    </w:p>
    <w:p w14:paraId="2E0E12E7">
      <w:pPr>
        <w:numPr>
          <w:ilvl w:val="0"/>
          <w:numId w:val="22"/>
        </w:numPr>
        <w:spacing w:line="360" w:lineRule="auto"/>
        <w:ind w:firstLine="480"/>
        <w:rPr>
          <w:rFonts w:ascii="宋体" w:hAnsi="宋体"/>
          <w:bCs/>
          <w:sz w:val="24"/>
          <w:lang w:val="zh-CN"/>
        </w:rPr>
      </w:pPr>
      <w:r>
        <w:rPr>
          <w:rFonts w:hint="eastAsia" w:ascii="宋体" w:hAnsi="宋体"/>
          <w:bCs/>
          <w:sz w:val="24"/>
          <w:lang w:val="zh-CN"/>
        </w:rPr>
        <w:t>如果我方的投标文件被接受，我方将履行招投标文件中规定的每一项要求，按期、按质、按量、按地点，完</w:t>
      </w:r>
      <w:r>
        <w:rPr>
          <w:rFonts w:hint="eastAsia" w:ascii="宋体" w:hAnsi="宋体"/>
          <w:bCs/>
          <w:sz w:val="24"/>
        </w:rPr>
        <w:t>成服务</w:t>
      </w:r>
      <w:r>
        <w:rPr>
          <w:rFonts w:hint="eastAsia" w:ascii="宋体" w:hAnsi="宋体"/>
          <w:bCs/>
          <w:sz w:val="24"/>
          <w:lang w:val="zh-CN"/>
        </w:rPr>
        <w:t>任务。</w:t>
      </w:r>
    </w:p>
    <w:p w14:paraId="53E0DF6F">
      <w:pPr>
        <w:numPr>
          <w:ilvl w:val="0"/>
          <w:numId w:val="22"/>
        </w:numPr>
        <w:spacing w:line="360" w:lineRule="auto"/>
        <w:ind w:firstLine="480"/>
        <w:rPr>
          <w:rFonts w:ascii="宋体" w:hAnsi="宋体"/>
          <w:bCs/>
          <w:sz w:val="24"/>
          <w:lang w:val="zh-CN"/>
        </w:rPr>
      </w:pPr>
      <w:r>
        <w:rPr>
          <w:rFonts w:hint="eastAsia" w:ascii="宋体" w:hAnsi="宋体"/>
          <w:bCs/>
          <w:sz w:val="24"/>
          <w:lang w:val="zh-CN"/>
        </w:rPr>
        <w:t>我方愿意根据贵方及评标委员会的要求，提供投标文件中所有材料的原件及相关证明性资料。</w:t>
      </w:r>
    </w:p>
    <w:p w14:paraId="612FFD9E">
      <w:pPr>
        <w:numPr>
          <w:ilvl w:val="0"/>
          <w:numId w:val="22"/>
        </w:numPr>
        <w:spacing w:line="360" w:lineRule="auto"/>
        <w:ind w:firstLine="480"/>
        <w:rPr>
          <w:rFonts w:ascii="宋体" w:hAnsi="宋体"/>
          <w:bCs/>
          <w:sz w:val="24"/>
          <w:lang w:val="zh-CN"/>
        </w:rPr>
      </w:pPr>
      <w:r>
        <w:rPr>
          <w:rFonts w:hint="eastAsia" w:ascii="宋体" w:hAnsi="宋体"/>
          <w:bCs/>
          <w:sz w:val="24"/>
          <w:lang w:val="zh-CN"/>
        </w:rPr>
        <w:t>我方认为采购人有权确定中标投标人。</w:t>
      </w:r>
      <w:r>
        <w:rPr>
          <w:rFonts w:hint="eastAsia" w:ascii="宋体" w:hAnsi="宋体"/>
          <w:bCs/>
          <w:sz w:val="24"/>
          <w:szCs w:val="24"/>
          <w:lang w:val="zh-CN"/>
        </w:rPr>
        <w:t>除因不可抗力或招标文件认可的情形以外，我方绝不放弃中标资格</w:t>
      </w:r>
      <w:r>
        <w:rPr>
          <w:rFonts w:hint="eastAsia" w:ascii="宋体" w:hAnsi="宋体"/>
          <w:bCs/>
          <w:sz w:val="24"/>
          <w:lang w:val="zh-CN"/>
        </w:rPr>
        <w:t>。</w:t>
      </w:r>
    </w:p>
    <w:p w14:paraId="1E0C8B81">
      <w:pPr>
        <w:numPr>
          <w:ilvl w:val="0"/>
          <w:numId w:val="22"/>
        </w:numPr>
        <w:spacing w:line="360" w:lineRule="auto"/>
        <w:ind w:firstLine="480"/>
        <w:rPr>
          <w:rFonts w:ascii="宋体" w:hAnsi="宋体"/>
          <w:bCs/>
          <w:sz w:val="24"/>
          <w:lang w:val="zh-CN"/>
        </w:rPr>
      </w:pPr>
      <w:r>
        <w:rPr>
          <w:rFonts w:hint="eastAsia" w:ascii="宋体" w:hAnsi="宋体"/>
          <w:bCs/>
          <w:sz w:val="24"/>
          <w:lang w:val="zh-CN"/>
        </w:rPr>
        <w:t>我方愿意按</w:t>
      </w:r>
      <w:r>
        <w:rPr>
          <w:rFonts w:hint="eastAsia" w:ascii="宋体" w:hAnsi="宋体" w:cs="宋体"/>
          <w:sz w:val="24"/>
          <w:lang w:val="zh-CN"/>
        </w:rPr>
        <w:t>《中华人民共和国民法典》</w:t>
      </w:r>
      <w:r>
        <w:rPr>
          <w:rFonts w:hint="eastAsia" w:ascii="宋体" w:hAnsi="宋体"/>
          <w:bCs/>
          <w:sz w:val="24"/>
          <w:lang w:val="zh-CN"/>
        </w:rPr>
        <w:t>和合同条款履行自己的全部责任。</w:t>
      </w:r>
    </w:p>
    <w:p w14:paraId="74D4F789">
      <w:pPr>
        <w:numPr>
          <w:ilvl w:val="0"/>
          <w:numId w:val="22"/>
        </w:numPr>
        <w:spacing w:line="360" w:lineRule="auto"/>
        <w:ind w:firstLine="480"/>
        <w:rPr>
          <w:rFonts w:ascii="宋体" w:hAnsi="宋体"/>
          <w:bCs/>
          <w:sz w:val="24"/>
          <w:lang w:val="zh-CN"/>
        </w:rPr>
      </w:pPr>
      <w:r>
        <w:rPr>
          <w:rFonts w:hint="eastAsia" w:ascii="宋体" w:hAnsi="宋体"/>
          <w:bCs/>
          <w:sz w:val="24"/>
          <w:lang w:val="zh-CN"/>
        </w:rPr>
        <w:t>如果我方中标，我方愿意遵守招标文件和中标通知书的规定，在指定时间和地点与采购人签订合同，</w:t>
      </w:r>
      <w:r>
        <w:rPr>
          <w:rFonts w:hint="eastAsia" w:ascii="宋体" w:hAnsi="宋体"/>
          <w:bCs/>
          <w:sz w:val="24"/>
        </w:rPr>
        <w:t>并在合同签订前缴纳履约保证金</w:t>
      </w:r>
      <w:r>
        <w:rPr>
          <w:rFonts w:hint="eastAsia" w:ascii="宋体" w:hAnsi="宋体"/>
          <w:bCs/>
          <w:sz w:val="24"/>
          <w:lang w:val="zh-CN"/>
        </w:rPr>
        <w:t>。</w:t>
      </w:r>
    </w:p>
    <w:p w14:paraId="174517B0">
      <w:pPr>
        <w:numPr>
          <w:ilvl w:val="0"/>
          <w:numId w:val="22"/>
        </w:numPr>
        <w:spacing w:line="360" w:lineRule="auto"/>
        <w:ind w:firstLine="480"/>
        <w:rPr>
          <w:rFonts w:ascii="宋体" w:hAnsi="宋体"/>
          <w:bCs/>
          <w:sz w:val="24"/>
          <w:lang w:val="zh-CN"/>
        </w:rPr>
      </w:pPr>
      <w:r>
        <w:rPr>
          <w:rFonts w:hint="eastAsia" w:ascii="宋体" w:hAnsi="宋体"/>
          <w:bCs/>
          <w:sz w:val="24"/>
          <w:szCs w:val="24"/>
        </w:rPr>
        <w:t>我方决不提供虚假材料谋取中标，决不采取不正当手段诋毁、排挤其他投标人，决不与采购人、其它投标人或者采购代理机构恶意串通，决不向采购人、采购代理机构工作人员和评委进行商业贿赂，决不在采购过程中与采购人进行协商谈判，决不拒绝有关部门监督检查，如有违反，无条件接受相关管理部门的处罚。</w:t>
      </w:r>
    </w:p>
    <w:p w14:paraId="31036695">
      <w:pPr>
        <w:numPr>
          <w:ilvl w:val="0"/>
          <w:numId w:val="22"/>
        </w:numPr>
        <w:spacing w:line="360" w:lineRule="auto"/>
        <w:ind w:firstLine="480"/>
        <w:rPr>
          <w:rFonts w:ascii="宋体" w:hAnsi="宋体"/>
          <w:bCs/>
          <w:sz w:val="24"/>
          <w:lang w:val="zh-CN"/>
        </w:rPr>
      </w:pPr>
      <w:bookmarkStart w:id="104" w:name="OLE_LINK231"/>
      <w:r>
        <w:rPr>
          <w:rFonts w:hint="eastAsia" w:ascii="宋体" w:hAnsi="宋体"/>
          <w:bCs/>
          <w:sz w:val="24"/>
          <w:szCs w:val="24"/>
        </w:rPr>
        <w:t>我方不是为本项目</w:t>
      </w:r>
      <w:r>
        <w:rPr>
          <w:rFonts w:ascii="宋体" w:hAnsi="宋体"/>
          <w:bCs/>
          <w:sz w:val="24"/>
          <w:szCs w:val="24"/>
        </w:rPr>
        <w:t>提供规范编制或者项目管理、监理、检测等服务的</w:t>
      </w:r>
      <w:r>
        <w:rPr>
          <w:rFonts w:hint="eastAsia" w:ascii="宋体" w:hAnsi="宋体"/>
          <w:bCs/>
          <w:sz w:val="24"/>
          <w:szCs w:val="24"/>
        </w:rPr>
        <w:t>投标人。</w:t>
      </w:r>
      <w:bookmarkEnd w:id="104"/>
    </w:p>
    <w:p w14:paraId="4476517B">
      <w:pPr>
        <w:numPr>
          <w:ilvl w:val="0"/>
          <w:numId w:val="22"/>
        </w:numPr>
        <w:spacing w:line="360" w:lineRule="auto"/>
        <w:ind w:firstLine="480"/>
        <w:rPr>
          <w:rFonts w:ascii="宋体" w:hAnsi="宋体"/>
          <w:bCs/>
          <w:sz w:val="24"/>
          <w:lang w:val="zh-CN"/>
        </w:rPr>
      </w:pPr>
      <w:bookmarkStart w:id="105" w:name="OLE_LINK233"/>
      <w:r>
        <w:rPr>
          <w:rFonts w:hint="eastAsia" w:ascii="宋体" w:hAnsi="宋体"/>
          <w:bCs/>
          <w:sz w:val="24"/>
          <w:szCs w:val="24"/>
        </w:rPr>
        <w:t>关联单位情况说明：</w:t>
      </w:r>
    </w:p>
    <w:tbl>
      <w:tblPr>
        <w:tblStyle w:val="21"/>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4680"/>
      </w:tblGrid>
      <w:tr w14:paraId="3BF1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707" w:type="dxa"/>
            <w:vAlign w:val="center"/>
          </w:tcPr>
          <w:p w14:paraId="703EF27F">
            <w:pPr>
              <w:spacing w:line="360" w:lineRule="auto"/>
              <w:rPr>
                <w:rFonts w:ascii="宋体" w:hAnsi="宋体"/>
                <w:bCs/>
                <w:sz w:val="24"/>
                <w:lang w:val="zh-CN"/>
              </w:rPr>
            </w:pPr>
            <w:r>
              <w:rPr>
                <w:rFonts w:hint="eastAsia" w:ascii="宋体" w:hAnsi="宋体"/>
                <w:bCs/>
                <w:sz w:val="24"/>
                <w:lang w:val="zh-CN"/>
              </w:rPr>
              <w:t>与我方</w:t>
            </w:r>
            <w:r>
              <w:rPr>
                <w:rFonts w:hint="eastAsia" w:ascii="宋体" w:hAnsi="宋体"/>
                <w:bCs/>
                <w:sz w:val="24"/>
              </w:rPr>
              <w:t>单位负责人为同一人的其他单位</w:t>
            </w:r>
          </w:p>
        </w:tc>
        <w:tc>
          <w:tcPr>
            <w:tcW w:w="4680" w:type="dxa"/>
            <w:vAlign w:val="center"/>
          </w:tcPr>
          <w:p w14:paraId="49958416">
            <w:pPr>
              <w:spacing w:line="360" w:lineRule="auto"/>
              <w:rPr>
                <w:rFonts w:ascii="宋体" w:hAnsi="宋体"/>
                <w:bCs/>
                <w:sz w:val="24"/>
                <w:lang w:val="zh-CN"/>
              </w:rPr>
            </w:pPr>
          </w:p>
        </w:tc>
      </w:tr>
      <w:tr w14:paraId="75C2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707" w:type="dxa"/>
            <w:vAlign w:val="center"/>
          </w:tcPr>
          <w:p w14:paraId="5D2B61F8">
            <w:pPr>
              <w:spacing w:line="360" w:lineRule="auto"/>
              <w:rPr>
                <w:rFonts w:ascii="宋体" w:hAnsi="宋体"/>
                <w:bCs/>
                <w:sz w:val="24"/>
                <w:lang w:val="zh-CN"/>
              </w:rPr>
            </w:pPr>
            <w:r>
              <w:rPr>
                <w:rFonts w:hint="eastAsia" w:ascii="宋体" w:hAnsi="宋体"/>
                <w:bCs/>
                <w:sz w:val="24"/>
                <w:lang w:val="zh-CN"/>
              </w:rPr>
              <w:t>与我方</w:t>
            </w:r>
            <w:r>
              <w:rPr>
                <w:rFonts w:hint="eastAsia" w:ascii="宋体" w:hAnsi="宋体"/>
                <w:bCs/>
                <w:sz w:val="24"/>
              </w:rPr>
              <w:t>存在直接控股、管理关系的其他单位</w:t>
            </w:r>
          </w:p>
        </w:tc>
        <w:tc>
          <w:tcPr>
            <w:tcW w:w="4680" w:type="dxa"/>
            <w:vAlign w:val="center"/>
          </w:tcPr>
          <w:p w14:paraId="631AD95B">
            <w:pPr>
              <w:spacing w:line="360" w:lineRule="auto"/>
              <w:rPr>
                <w:rFonts w:ascii="宋体" w:hAnsi="宋体"/>
                <w:bCs/>
                <w:sz w:val="24"/>
                <w:lang w:val="zh-CN"/>
              </w:rPr>
            </w:pPr>
          </w:p>
        </w:tc>
      </w:tr>
    </w:tbl>
    <w:p w14:paraId="25A45FC8">
      <w:pPr>
        <w:spacing w:line="360" w:lineRule="auto"/>
        <w:ind w:left="480"/>
        <w:rPr>
          <w:rFonts w:ascii="宋体" w:hAnsi="宋体"/>
          <w:bCs/>
          <w:sz w:val="24"/>
          <w:lang w:val="zh-CN"/>
        </w:rPr>
      </w:pPr>
      <w:r>
        <w:rPr>
          <w:rFonts w:hint="eastAsia" w:ascii="宋体" w:hAnsi="宋体"/>
          <w:bCs/>
          <w:sz w:val="24"/>
          <w:lang w:val="zh-CN"/>
        </w:rPr>
        <w:t>注：没有请填无。</w:t>
      </w:r>
    </w:p>
    <w:p w14:paraId="3ECC1E36">
      <w:pPr>
        <w:numPr>
          <w:ilvl w:val="0"/>
          <w:numId w:val="22"/>
        </w:numPr>
        <w:spacing w:line="360" w:lineRule="auto"/>
        <w:ind w:firstLine="480"/>
        <w:rPr>
          <w:rFonts w:ascii="宋体" w:hAnsi="宋体"/>
          <w:bCs/>
          <w:sz w:val="24"/>
          <w:lang w:val="zh-CN"/>
        </w:rPr>
      </w:pPr>
      <w:r>
        <w:rPr>
          <w:rFonts w:hint="eastAsia" w:ascii="宋体" w:hAnsi="宋体"/>
          <w:bCs/>
          <w:sz w:val="24"/>
          <w:lang w:val="zh-CN"/>
        </w:rPr>
        <w:t>与本投标有关的一切正式往来函电，请联系：</w:t>
      </w:r>
    </w:p>
    <w:tbl>
      <w:tblPr>
        <w:tblStyle w:val="21"/>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2823"/>
        <w:gridCol w:w="1252"/>
        <w:gridCol w:w="3675"/>
      </w:tblGrid>
      <w:tr w14:paraId="5E51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542B9E76">
            <w:pPr>
              <w:spacing w:line="360" w:lineRule="auto"/>
              <w:jc w:val="center"/>
              <w:rPr>
                <w:rFonts w:ascii="宋体" w:hAnsi="宋体"/>
                <w:bCs/>
                <w:sz w:val="24"/>
                <w:lang w:val="zh-CN"/>
              </w:rPr>
            </w:pPr>
            <w:bookmarkStart w:id="106" w:name="OLE_LINK249"/>
            <w:r>
              <w:rPr>
                <w:rFonts w:hint="eastAsia" w:ascii="宋体" w:hAnsi="宋体"/>
                <w:bCs/>
                <w:sz w:val="24"/>
                <w:lang w:val="zh-CN"/>
              </w:rPr>
              <w:t>地址</w:t>
            </w:r>
          </w:p>
        </w:tc>
        <w:tc>
          <w:tcPr>
            <w:tcW w:w="2823" w:type="dxa"/>
            <w:vAlign w:val="center"/>
          </w:tcPr>
          <w:p w14:paraId="52B35B57">
            <w:pPr>
              <w:spacing w:line="360" w:lineRule="auto"/>
              <w:jc w:val="center"/>
              <w:rPr>
                <w:rFonts w:ascii="宋体" w:hAnsi="宋体"/>
                <w:bCs/>
                <w:sz w:val="24"/>
                <w:lang w:val="zh-CN"/>
              </w:rPr>
            </w:pPr>
          </w:p>
        </w:tc>
        <w:tc>
          <w:tcPr>
            <w:tcW w:w="1252" w:type="dxa"/>
            <w:vAlign w:val="center"/>
          </w:tcPr>
          <w:p w14:paraId="2EC76F96">
            <w:pPr>
              <w:spacing w:line="360" w:lineRule="auto"/>
              <w:jc w:val="center"/>
              <w:rPr>
                <w:rFonts w:ascii="宋体" w:hAnsi="宋体"/>
                <w:bCs/>
                <w:sz w:val="24"/>
                <w:lang w:val="zh-CN"/>
              </w:rPr>
            </w:pPr>
            <w:r>
              <w:rPr>
                <w:rFonts w:hint="eastAsia" w:ascii="宋体" w:hAnsi="宋体"/>
                <w:bCs/>
                <w:sz w:val="24"/>
                <w:lang w:val="zh-CN"/>
              </w:rPr>
              <w:t>邮编</w:t>
            </w:r>
          </w:p>
        </w:tc>
        <w:tc>
          <w:tcPr>
            <w:tcW w:w="3675" w:type="dxa"/>
            <w:vAlign w:val="center"/>
          </w:tcPr>
          <w:p w14:paraId="1C9A59BD">
            <w:pPr>
              <w:spacing w:line="360" w:lineRule="auto"/>
              <w:jc w:val="center"/>
              <w:rPr>
                <w:rFonts w:ascii="宋体" w:hAnsi="宋体"/>
                <w:bCs/>
                <w:sz w:val="24"/>
                <w:lang w:val="zh-CN"/>
              </w:rPr>
            </w:pPr>
          </w:p>
        </w:tc>
      </w:tr>
      <w:tr w14:paraId="4C5C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061001BD">
            <w:pPr>
              <w:spacing w:line="360" w:lineRule="auto"/>
              <w:jc w:val="center"/>
              <w:rPr>
                <w:rFonts w:ascii="宋体" w:hAnsi="宋体"/>
                <w:bCs/>
                <w:sz w:val="24"/>
                <w:lang w:val="zh-CN"/>
              </w:rPr>
            </w:pPr>
            <w:r>
              <w:rPr>
                <w:rFonts w:hint="eastAsia" w:ascii="宋体" w:hAnsi="宋体"/>
                <w:bCs/>
                <w:sz w:val="24"/>
                <w:lang w:val="zh-CN"/>
              </w:rPr>
              <w:t>传真</w:t>
            </w:r>
          </w:p>
        </w:tc>
        <w:tc>
          <w:tcPr>
            <w:tcW w:w="2823" w:type="dxa"/>
            <w:vAlign w:val="center"/>
          </w:tcPr>
          <w:p w14:paraId="5A112031">
            <w:pPr>
              <w:spacing w:line="360" w:lineRule="auto"/>
              <w:jc w:val="center"/>
              <w:rPr>
                <w:rFonts w:ascii="宋体" w:hAnsi="宋体"/>
                <w:bCs/>
                <w:sz w:val="24"/>
                <w:lang w:val="zh-CN"/>
              </w:rPr>
            </w:pPr>
          </w:p>
        </w:tc>
        <w:tc>
          <w:tcPr>
            <w:tcW w:w="1252" w:type="dxa"/>
            <w:vAlign w:val="center"/>
          </w:tcPr>
          <w:p w14:paraId="54EA0E79">
            <w:pPr>
              <w:spacing w:line="360" w:lineRule="auto"/>
              <w:jc w:val="center"/>
              <w:rPr>
                <w:rFonts w:ascii="宋体" w:hAnsi="宋体"/>
                <w:bCs/>
                <w:sz w:val="24"/>
                <w:lang w:val="zh-CN"/>
              </w:rPr>
            </w:pPr>
            <w:r>
              <w:rPr>
                <w:rFonts w:hint="eastAsia" w:ascii="宋体" w:hAnsi="宋体"/>
                <w:bCs/>
                <w:sz w:val="24"/>
                <w:lang w:val="zh-CN"/>
              </w:rPr>
              <w:t>办公电话</w:t>
            </w:r>
          </w:p>
        </w:tc>
        <w:tc>
          <w:tcPr>
            <w:tcW w:w="3675" w:type="dxa"/>
            <w:vAlign w:val="center"/>
          </w:tcPr>
          <w:p w14:paraId="48A316CD">
            <w:pPr>
              <w:spacing w:line="360" w:lineRule="auto"/>
              <w:jc w:val="center"/>
              <w:rPr>
                <w:rFonts w:ascii="宋体" w:hAnsi="宋体"/>
                <w:bCs/>
                <w:sz w:val="24"/>
                <w:lang w:val="zh-CN"/>
              </w:rPr>
            </w:pPr>
          </w:p>
        </w:tc>
      </w:tr>
      <w:tr w14:paraId="4A07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7E342A98">
            <w:pPr>
              <w:spacing w:line="360" w:lineRule="auto"/>
              <w:jc w:val="center"/>
              <w:rPr>
                <w:rFonts w:ascii="宋体" w:hAnsi="宋体"/>
                <w:bCs/>
                <w:sz w:val="24"/>
              </w:rPr>
            </w:pPr>
            <w:r>
              <w:rPr>
                <w:rFonts w:hint="eastAsia" w:ascii="宋体" w:hAnsi="宋体"/>
                <w:bCs/>
                <w:sz w:val="24"/>
              </w:rPr>
              <w:t>法定代表人</w:t>
            </w:r>
          </w:p>
        </w:tc>
        <w:tc>
          <w:tcPr>
            <w:tcW w:w="2823" w:type="dxa"/>
            <w:vAlign w:val="center"/>
          </w:tcPr>
          <w:p w14:paraId="5B690ECD">
            <w:pPr>
              <w:spacing w:line="360" w:lineRule="auto"/>
              <w:jc w:val="center"/>
              <w:rPr>
                <w:rFonts w:ascii="宋体" w:hAnsi="宋体"/>
                <w:bCs/>
                <w:sz w:val="24"/>
                <w:lang w:val="zh-CN"/>
              </w:rPr>
            </w:pPr>
          </w:p>
        </w:tc>
        <w:tc>
          <w:tcPr>
            <w:tcW w:w="1252" w:type="dxa"/>
            <w:vAlign w:val="center"/>
          </w:tcPr>
          <w:p w14:paraId="65CA3851">
            <w:pPr>
              <w:spacing w:line="360" w:lineRule="auto"/>
              <w:jc w:val="center"/>
              <w:rPr>
                <w:rFonts w:ascii="宋体" w:hAnsi="宋体"/>
                <w:bCs/>
                <w:sz w:val="24"/>
                <w:lang w:val="zh-CN"/>
              </w:rPr>
            </w:pPr>
            <w:r>
              <w:rPr>
                <w:rFonts w:hint="eastAsia" w:ascii="宋体" w:hAnsi="宋体"/>
                <w:bCs/>
                <w:sz w:val="24"/>
                <w:lang w:val="zh-CN"/>
              </w:rPr>
              <w:t>手机号码</w:t>
            </w:r>
          </w:p>
        </w:tc>
        <w:tc>
          <w:tcPr>
            <w:tcW w:w="3675" w:type="dxa"/>
            <w:vAlign w:val="center"/>
          </w:tcPr>
          <w:p w14:paraId="3C2BF6DB">
            <w:pPr>
              <w:spacing w:line="360" w:lineRule="auto"/>
              <w:jc w:val="center"/>
              <w:rPr>
                <w:rFonts w:ascii="宋体" w:hAnsi="宋体"/>
                <w:bCs/>
                <w:sz w:val="24"/>
                <w:lang w:val="zh-CN"/>
              </w:rPr>
            </w:pPr>
          </w:p>
        </w:tc>
      </w:tr>
      <w:tr w14:paraId="3E9E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4C7B9B4E">
            <w:pPr>
              <w:spacing w:line="360" w:lineRule="auto"/>
              <w:jc w:val="center"/>
              <w:rPr>
                <w:rFonts w:ascii="宋体" w:hAnsi="宋体"/>
                <w:bCs/>
                <w:sz w:val="24"/>
                <w:lang w:val="zh-CN"/>
              </w:rPr>
            </w:pPr>
            <w:r>
              <w:rPr>
                <w:rFonts w:hint="eastAsia" w:ascii="宋体" w:hAnsi="宋体"/>
                <w:bCs/>
                <w:sz w:val="24"/>
                <w:lang w:val="zh-CN"/>
              </w:rPr>
              <w:t>联系人</w:t>
            </w:r>
          </w:p>
        </w:tc>
        <w:tc>
          <w:tcPr>
            <w:tcW w:w="2823" w:type="dxa"/>
            <w:vAlign w:val="center"/>
          </w:tcPr>
          <w:p w14:paraId="0BAC78B0">
            <w:pPr>
              <w:spacing w:line="360" w:lineRule="auto"/>
              <w:jc w:val="center"/>
              <w:rPr>
                <w:rFonts w:ascii="宋体" w:hAnsi="宋体"/>
                <w:bCs/>
                <w:sz w:val="24"/>
                <w:lang w:val="zh-CN"/>
              </w:rPr>
            </w:pPr>
          </w:p>
        </w:tc>
        <w:tc>
          <w:tcPr>
            <w:tcW w:w="1252" w:type="dxa"/>
            <w:vAlign w:val="center"/>
          </w:tcPr>
          <w:p w14:paraId="4F7E74A2">
            <w:pPr>
              <w:spacing w:line="360" w:lineRule="auto"/>
              <w:jc w:val="center"/>
              <w:rPr>
                <w:rFonts w:ascii="宋体" w:hAnsi="宋体"/>
                <w:bCs/>
                <w:sz w:val="24"/>
                <w:lang w:val="zh-CN"/>
              </w:rPr>
            </w:pPr>
            <w:r>
              <w:rPr>
                <w:rFonts w:hint="eastAsia" w:ascii="宋体" w:hAnsi="宋体"/>
                <w:bCs/>
                <w:sz w:val="24"/>
                <w:lang w:val="zh-CN"/>
              </w:rPr>
              <w:t>手机号码</w:t>
            </w:r>
          </w:p>
        </w:tc>
        <w:tc>
          <w:tcPr>
            <w:tcW w:w="3675" w:type="dxa"/>
            <w:vAlign w:val="center"/>
          </w:tcPr>
          <w:p w14:paraId="4DCF3C37">
            <w:pPr>
              <w:spacing w:line="360" w:lineRule="auto"/>
              <w:jc w:val="center"/>
              <w:rPr>
                <w:rFonts w:ascii="宋体" w:hAnsi="宋体"/>
                <w:bCs/>
                <w:sz w:val="24"/>
                <w:lang w:val="zh-CN"/>
              </w:rPr>
            </w:pPr>
          </w:p>
        </w:tc>
      </w:tr>
      <w:tr w14:paraId="1A54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3E6FABF4">
            <w:pPr>
              <w:spacing w:line="360" w:lineRule="auto"/>
              <w:jc w:val="center"/>
              <w:rPr>
                <w:rFonts w:ascii="宋体" w:hAnsi="宋体"/>
                <w:bCs/>
                <w:sz w:val="24"/>
                <w:lang w:val="zh-CN"/>
              </w:rPr>
            </w:pPr>
            <w:r>
              <w:rPr>
                <w:rFonts w:hint="eastAsia" w:ascii="宋体" w:hAnsi="宋体"/>
                <w:bCs/>
                <w:sz w:val="24"/>
                <w:lang w:val="zh-CN"/>
              </w:rPr>
              <w:t>开户名称</w:t>
            </w:r>
          </w:p>
        </w:tc>
        <w:tc>
          <w:tcPr>
            <w:tcW w:w="7750" w:type="dxa"/>
            <w:gridSpan w:val="3"/>
            <w:vAlign w:val="center"/>
          </w:tcPr>
          <w:p w14:paraId="47952A7E">
            <w:pPr>
              <w:spacing w:line="360" w:lineRule="auto"/>
              <w:jc w:val="center"/>
              <w:rPr>
                <w:rFonts w:ascii="宋体" w:hAnsi="宋体"/>
                <w:bCs/>
                <w:sz w:val="24"/>
                <w:lang w:val="zh-CN"/>
              </w:rPr>
            </w:pPr>
          </w:p>
        </w:tc>
      </w:tr>
      <w:tr w14:paraId="58C4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3455ECF3">
            <w:pPr>
              <w:spacing w:line="360" w:lineRule="auto"/>
              <w:jc w:val="center"/>
              <w:rPr>
                <w:rFonts w:ascii="宋体" w:hAnsi="宋体"/>
                <w:bCs/>
                <w:sz w:val="24"/>
                <w:lang w:val="zh-CN"/>
              </w:rPr>
            </w:pPr>
            <w:r>
              <w:rPr>
                <w:rFonts w:hint="eastAsia" w:ascii="宋体" w:hAnsi="宋体"/>
                <w:bCs/>
                <w:sz w:val="24"/>
                <w:lang w:val="zh-CN"/>
              </w:rPr>
              <w:t>开户银行</w:t>
            </w:r>
          </w:p>
        </w:tc>
        <w:tc>
          <w:tcPr>
            <w:tcW w:w="2823" w:type="dxa"/>
            <w:vAlign w:val="center"/>
          </w:tcPr>
          <w:p w14:paraId="68A8BCBF">
            <w:pPr>
              <w:spacing w:line="360" w:lineRule="auto"/>
              <w:jc w:val="center"/>
              <w:rPr>
                <w:rFonts w:ascii="宋体" w:hAnsi="宋体"/>
                <w:bCs/>
                <w:sz w:val="24"/>
                <w:lang w:val="zh-CN"/>
              </w:rPr>
            </w:pPr>
          </w:p>
        </w:tc>
        <w:tc>
          <w:tcPr>
            <w:tcW w:w="1252" w:type="dxa"/>
            <w:vAlign w:val="center"/>
          </w:tcPr>
          <w:p w14:paraId="0502F132">
            <w:pPr>
              <w:spacing w:line="360" w:lineRule="auto"/>
              <w:jc w:val="center"/>
              <w:rPr>
                <w:rFonts w:ascii="宋体" w:hAnsi="宋体"/>
                <w:bCs/>
                <w:sz w:val="24"/>
                <w:lang w:val="zh-CN"/>
              </w:rPr>
            </w:pPr>
            <w:r>
              <w:rPr>
                <w:rFonts w:hint="eastAsia" w:ascii="宋体" w:hAnsi="宋体"/>
                <w:bCs/>
                <w:sz w:val="24"/>
                <w:lang w:val="zh-CN"/>
              </w:rPr>
              <w:t>开户账号</w:t>
            </w:r>
          </w:p>
          <w:bookmarkEnd w:id="105"/>
          <w:bookmarkEnd w:id="106"/>
        </w:tc>
        <w:tc>
          <w:tcPr>
            <w:tcW w:w="3675" w:type="dxa"/>
            <w:vAlign w:val="center"/>
          </w:tcPr>
          <w:p w14:paraId="5C4E3BC9">
            <w:pPr>
              <w:spacing w:line="360" w:lineRule="auto"/>
              <w:jc w:val="center"/>
              <w:rPr>
                <w:rFonts w:ascii="宋体" w:hAnsi="宋体"/>
                <w:bCs/>
                <w:sz w:val="24"/>
                <w:lang w:val="zh-CN"/>
              </w:rPr>
            </w:pPr>
          </w:p>
        </w:tc>
      </w:tr>
    </w:tbl>
    <w:p w14:paraId="1ADC83CD">
      <w:pPr>
        <w:numPr>
          <w:ilvl w:val="0"/>
          <w:numId w:val="22"/>
        </w:numPr>
        <w:spacing w:line="360" w:lineRule="auto"/>
        <w:ind w:firstLine="480"/>
        <w:rPr>
          <w:rFonts w:ascii="宋体" w:hAnsi="宋体"/>
          <w:bCs/>
          <w:sz w:val="24"/>
          <w:lang w:val="zh-CN"/>
        </w:rPr>
      </w:pPr>
      <w:r>
        <w:rPr>
          <w:rFonts w:hint="eastAsia" w:ascii="宋体" w:hAnsi="宋体"/>
          <w:bCs/>
          <w:sz w:val="24"/>
          <w:lang w:val="zh-CN"/>
        </w:rPr>
        <w:t>若我方中标，请将中标通知书邮寄到以下地址：</w:t>
      </w:r>
    </w:p>
    <w:tbl>
      <w:tblPr>
        <w:tblStyle w:val="21"/>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6469"/>
      </w:tblGrid>
      <w:tr w14:paraId="09A5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9" w:type="dxa"/>
            <w:vAlign w:val="center"/>
          </w:tcPr>
          <w:p w14:paraId="56C12533">
            <w:pPr>
              <w:spacing w:line="360" w:lineRule="auto"/>
              <w:jc w:val="center"/>
              <w:rPr>
                <w:rFonts w:ascii="宋体" w:hAnsi="宋体"/>
                <w:bCs/>
                <w:sz w:val="24"/>
                <w:lang w:val="zh-CN"/>
              </w:rPr>
            </w:pPr>
            <w:r>
              <w:rPr>
                <w:rFonts w:hint="eastAsia" w:ascii="宋体" w:hAnsi="宋体"/>
                <w:bCs/>
                <w:sz w:val="24"/>
                <w:lang w:val="zh-CN"/>
              </w:rPr>
              <w:t>中标通知书邮寄地址</w:t>
            </w:r>
          </w:p>
        </w:tc>
        <w:tc>
          <w:tcPr>
            <w:tcW w:w="6469" w:type="dxa"/>
          </w:tcPr>
          <w:p w14:paraId="379DBF51">
            <w:pPr>
              <w:spacing w:line="360" w:lineRule="auto"/>
              <w:rPr>
                <w:rFonts w:ascii="宋体" w:hAnsi="宋体"/>
                <w:bCs/>
                <w:sz w:val="24"/>
                <w:lang w:val="zh-CN"/>
              </w:rPr>
            </w:pPr>
          </w:p>
        </w:tc>
      </w:tr>
      <w:tr w14:paraId="52B5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9" w:type="dxa"/>
            <w:vAlign w:val="center"/>
          </w:tcPr>
          <w:p w14:paraId="05D042E2">
            <w:pPr>
              <w:spacing w:line="360" w:lineRule="auto"/>
              <w:jc w:val="center"/>
              <w:rPr>
                <w:rFonts w:ascii="宋体" w:hAnsi="宋体"/>
                <w:bCs/>
                <w:sz w:val="24"/>
                <w:lang w:val="zh-CN"/>
              </w:rPr>
            </w:pPr>
            <w:r>
              <w:rPr>
                <w:rFonts w:hint="eastAsia" w:ascii="宋体" w:hAnsi="宋体"/>
                <w:bCs/>
                <w:sz w:val="24"/>
                <w:lang w:val="zh-CN"/>
              </w:rPr>
              <w:t>邮政编码</w:t>
            </w:r>
          </w:p>
        </w:tc>
        <w:tc>
          <w:tcPr>
            <w:tcW w:w="6469" w:type="dxa"/>
          </w:tcPr>
          <w:p w14:paraId="2DBE7FFB">
            <w:pPr>
              <w:spacing w:line="360" w:lineRule="auto"/>
              <w:rPr>
                <w:rFonts w:ascii="宋体" w:hAnsi="宋体"/>
                <w:bCs/>
                <w:sz w:val="24"/>
                <w:lang w:val="zh-CN"/>
              </w:rPr>
            </w:pPr>
          </w:p>
        </w:tc>
      </w:tr>
      <w:tr w14:paraId="780A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9" w:type="dxa"/>
            <w:vAlign w:val="center"/>
          </w:tcPr>
          <w:p w14:paraId="1E1F658C">
            <w:pPr>
              <w:spacing w:line="360" w:lineRule="auto"/>
              <w:jc w:val="center"/>
              <w:rPr>
                <w:rFonts w:ascii="宋体" w:hAnsi="宋体"/>
                <w:bCs/>
                <w:sz w:val="24"/>
                <w:lang w:val="zh-CN"/>
              </w:rPr>
            </w:pPr>
            <w:r>
              <w:rPr>
                <w:rFonts w:hint="eastAsia" w:ascii="宋体" w:hAnsi="宋体"/>
                <w:bCs/>
                <w:sz w:val="24"/>
                <w:lang w:val="zh-CN"/>
              </w:rPr>
              <w:t>收件人姓名</w:t>
            </w:r>
          </w:p>
        </w:tc>
        <w:tc>
          <w:tcPr>
            <w:tcW w:w="6469" w:type="dxa"/>
          </w:tcPr>
          <w:p w14:paraId="03474DCA">
            <w:pPr>
              <w:spacing w:line="360" w:lineRule="auto"/>
              <w:rPr>
                <w:rFonts w:ascii="宋体" w:hAnsi="宋体"/>
                <w:bCs/>
                <w:sz w:val="24"/>
                <w:lang w:val="zh-CN"/>
              </w:rPr>
            </w:pPr>
          </w:p>
        </w:tc>
      </w:tr>
      <w:tr w14:paraId="7064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79" w:type="dxa"/>
            <w:vAlign w:val="center"/>
          </w:tcPr>
          <w:p w14:paraId="2FF343A1">
            <w:pPr>
              <w:spacing w:line="360" w:lineRule="auto"/>
              <w:jc w:val="center"/>
              <w:rPr>
                <w:rFonts w:ascii="宋体" w:hAnsi="宋体"/>
                <w:bCs/>
                <w:sz w:val="24"/>
                <w:lang w:val="zh-CN"/>
              </w:rPr>
            </w:pPr>
            <w:r>
              <w:rPr>
                <w:rFonts w:hint="eastAsia" w:ascii="宋体" w:hAnsi="宋体"/>
                <w:bCs/>
                <w:sz w:val="24"/>
                <w:lang w:val="zh-CN"/>
              </w:rPr>
              <w:t>联系电话</w:t>
            </w:r>
          </w:p>
        </w:tc>
        <w:tc>
          <w:tcPr>
            <w:tcW w:w="6469" w:type="dxa"/>
          </w:tcPr>
          <w:p w14:paraId="02732195">
            <w:pPr>
              <w:spacing w:line="360" w:lineRule="auto"/>
              <w:rPr>
                <w:rFonts w:ascii="宋体" w:hAnsi="宋体"/>
                <w:bCs/>
                <w:sz w:val="24"/>
                <w:lang w:val="zh-CN"/>
              </w:rPr>
            </w:pPr>
          </w:p>
        </w:tc>
      </w:tr>
      <w:tr w14:paraId="2481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79" w:type="dxa"/>
            <w:vAlign w:val="center"/>
          </w:tcPr>
          <w:p w14:paraId="48F71FAB">
            <w:pPr>
              <w:spacing w:line="360" w:lineRule="auto"/>
              <w:jc w:val="center"/>
              <w:rPr>
                <w:rFonts w:ascii="宋体" w:hAnsi="宋体"/>
                <w:bCs/>
                <w:sz w:val="24"/>
                <w:lang w:val="zh-CN"/>
              </w:rPr>
            </w:pPr>
            <w:r>
              <w:rPr>
                <w:rFonts w:hint="eastAsia" w:ascii="宋体" w:hAnsi="宋体"/>
                <w:bCs/>
                <w:sz w:val="24"/>
                <w:lang w:val="zh-CN"/>
              </w:rPr>
              <w:t>备注</w:t>
            </w:r>
          </w:p>
        </w:tc>
        <w:tc>
          <w:tcPr>
            <w:tcW w:w="6469" w:type="dxa"/>
          </w:tcPr>
          <w:p w14:paraId="73ED8D50">
            <w:pPr>
              <w:spacing w:line="360" w:lineRule="auto"/>
              <w:rPr>
                <w:rFonts w:ascii="宋体" w:hAnsi="宋体"/>
                <w:bCs/>
                <w:sz w:val="24"/>
                <w:lang w:val="zh-CN"/>
              </w:rPr>
            </w:pPr>
            <w:r>
              <w:rPr>
                <w:rFonts w:hint="eastAsia" w:ascii="宋体" w:hAnsi="宋体"/>
                <w:bCs/>
                <w:sz w:val="24"/>
              </w:rPr>
              <w:t>我方认可中标通知书以EMS到付的方式发出，并及时签收；若未填写邮寄地址，请将中标通知书邮寄到我方法定地址。因我方收件信息填写错误或未及时签收，造成的邮件丢失、延误或退回的，责任由我方全权承担。</w:t>
            </w:r>
          </w:p>
        </w:tc>
      </w:tr>
    </w:tbl>
    <w:p w14:paraId="2CB45DD3">
      <w:pPr>
        <w:jc w:val="center"/>
        <w:rPr>
          <w:rFonts w:ascii="宋体" w:hAnsi="宋体"/>
          <w:sz w:val="28"/>
          <w:szCs w:val="28"/>
        </w:rPr>
      </w:pPr>
    </w:p>
    <w:p w14:paraId="3018A2D4">
      <w:pPr>
        <w:jc w:val="center"/>
        <w:rPr>
          <w:rFonts w:ascii="宋体" w:hAnsi="宋体"/>
          <w:sz w:val="28"/>
          <w:szCs w:val="28"/>
        </w:rPr>
      </w:pPr>
    </w:p>
    <w:p w14:paraId="55EFE402">
      <w:pPr>
        <w:spacing w:line="360" w:lineRule="auto"/>
        <w:ind w:left="5460" w:hanging="5460"/>
        <w:jc w:val="center"/>
        <w:rPr>
          <w:rFonts w:ascii="宋体" w:hAnsi="宋体"/>
          <w:bCs/>
          <w:sz w:val="24"/>
          <w:lang w:val="zh-CN"/>
        </w:rPr>
      </w:pPr>
      <w:bookmarkStart w:id="107" w:name="OLE_LINK30"/>
      <w:r>
        <w:rPr>
          <w:rFonts w:hint="eastAsia" w:ascii="宋体" w:hAnsi="宋体"/>
          <w:bCs/>
          <w:sz w:val="24"/>
        </w:rPr>
        <w:t xml:space="preserve">        </w:t>
      </w:r>
      <w:bookmarkStart w:id="108" w:name="OLE_LINK34"/>
      <w:r>
        <w:rPr>
          <w:rFonts w:hint="eastAsia" w:ascii="宋体" w:hAnsi="宋体"/>
          <w:bCs/>
          <w:sz w:val="24"/>
        </w:rPr>
        <w:t xml:space="preserve">  </w:t>
      </w:r>
      <w:bookmarkEnd w:id="107"/>
      <w:bookmarkEnd w:id="108"/>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50D78BE2">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45EDE560">
      <w:pPr>
        <w:rPr>
          <w:rFonts w:ascii="黑体" w:hAnsi="宋体" w:eastAsia="黑体"/>
          <w:bCs/>
          <w:sz w:val="24"/>
          <w:szCs w:val="24"/>
        </w:rPr>
      </w:pPr>
      <w:r>
        <w:rPr>
          <w:rFonts w:ascii="黑体" w:hAnsi="宋体" w:eastAsia="黑体"/>
          <w:bCs/>
          <w:sz w:val="24"/>
          <w:szCs w:val="24"/>
        </w:rPr>
        <w:br w:type="page" w:clear="all"/>
      </w:r>
    </w:p>
    <w:p w14:paraId="39E3C890">
      <w:pPr>
        <w:pStyle w:val="19"/>
        <w:tabs>
          <w:tab w:val="left" w:pos="255"/>
        </w:tabs>
        <w:spacing w:before="156" w:beforeAutospacing="0" w:after="156" w:afterAutospacing="0" w:line="360" w:lineRule="auto"/>
        <w:rPr>
          <w:rFonts w:ascii="黑体" w:hAnsi="宋体" w:eastAsia="黑体" w:cs="黑体"/>
          <w:color w:val="000000"/>
          <w:sz w:val="28"/>
          <w:szCs w:val="28"/>
        </w:rPr>
      </w:pPr>
      <w:r>
        <w:rPr>
          <w:rFonts w:hint="eastAsia" w:ascii="黑体" w:hAnsi="宋体" w:eastAsia="黑体" w:cs="黑体"/>
          <w:color w:val="000000"/>
          <w:szCs w:val="24"/>
        </w:rPr>
        <w:t>（二）</w:t>
      </w:r>
      <w:r>
        <w:rPr>
          <w:rFonts w:ascii="黑体" w:hAnsi="宋体" w:eastAsia="黑体" w:cs="黑体"/>
          <w:color w:val="000000"/>
          <w:szCs w:val="24"/>
        </w:rPr>
        <w:t>联合体协议书（格式）：</w:t>
      </w:r>
    </w:p>
    <w:p w14:paraId="32D21FFB">
      <w:pPr>
        <w:pStyle w:val="19"/>
        <w:tabs>
          <w:tab w:val="left" w:pos="255"/>
        </w:tabs>
        <w:spacing w:before="156" w:beforeAutospacing="0" w:after="156" w:afterAutospacing="0" w:line="360" w:lineRule="auto"/>
        <w:jc w:val="center"/>
      </w:pPr>
      <w:r>
        <w:rPr>
          <w:rFonts w:ascii="黑体" w:hAnsi="宋体" w:eastAsia="黑体" w:cs="黑体"/>
          <w:color w:val="000000"/>
          <w:sz w:val="28"/>
          <w:szCs w:val="28"/>
        </w:rPr>
        <w:t>联合体协议书</w:t>
      </w:r>
    </w:p>
    <w:p w14:paraId="3197E566">
      <w:pPr>
        <w:pStyle w:val="19"/>
        <w:tabs>
          <w:tab w:val="left" w:pos="255"/>
        </w:tabs>
        <w:spacing w:beforeAutospacing="0" w:afterAutospacing="0" w:line="360" w:lineRule="auto"/>
        <w:jc w:val="center"/>
      </w:pPr>
      <w:r>
        <w:rPr>
          <w:rFonts w:hint="eastAsia" w:ascii="宋体" w:hAnsi="宋体" w:cs="宋体"/>
          <w:color w:val="000000"/>
          <w:szCs w:val="24"/>
        </w:rPr>
        <w:t xml:space="preserve">                                </w:t>
      </w:r>
    </w:p>
    <w:p w14:paraId="3C81C5A4">
      <w:pPr>
        <w:pStyle w:val="19"/>
        <w:tabs>
          <w:tab w:val="left" w:pos="255"/>
        </w:tabs>
        <w:spacing w:beforeAutospacing="0" w:afterAutospacing="0" w:line="360" w:lineRule="auto"/>
        <w:ind w:left="420" w:firstLine="480"/>
      </w:pPr>
      <w:bookmarkStart w:id="109" w:name="OLE_LINK83"/>
      <w:r>
        <w:rPr>
          <w:rFonts w:hint="eastAsia" w:ascii="宋体" w:hAnsi="宋体" w:cs="宋体"/>
          <w:color w:val="000000"/>
          <w:szCs w:val="24"/>
          <w:u w:val="single"/>
        </w:rPr>
        <w:t xml:space="preserve">（所有成员单位名称）                  </w:t>
      </w:r>
      <w:r>
        <w:rPr>
          <w:rFonts w:hint="eastAsia" w:ascii="宋体" w:hAnsi="宋体" w:cs="宋体"/>
          <w:color w:val="000000"/>
          <w:szCs w:val="24"/>
        </w:rPr>
        <w:t>自愿组成联合体，共同参加本项目（项目编号：YXJDS-JJK-2025-006）的投标。现就联合体投标事宜订立如下协议：</w:t>
      </w:r>
      <w:bookmarkEnd w:id="109"/>
    </w:p>
    <w:p w14:paraId="04016038">
      <w:pPr>
        <w:pStyle w:val="19"/>
        <w:tabs>
          <w:tab w:val="left" w:pos="255"/>
        </w:tabs>
        <w:spacing w:beforeAutospacing="0" w:afterAutospacing="0" w:line="360" w:lineRule="auto"/>
        <w:ind w:left="420" w:firstLine="480"/>
      </w:pPr>
      <w:r>
        <w:rPr>
          <w:rFonts w:hint="eastAsia" w:ascii="宋体" w:hAnsi="宋体" w:cs="宋体"/>
          <w:color w:val="000000"/>
          <w:szCs w:val="24"/>
        </w:rPr>
        <w:t>1、</w:t>
      </w:r>
      <w:r>
        <w:rPr>
          <w:rFonts w:hint="eastAsia" w:ascii="宋体" w:hAnsi="宋体" w:cs="宋体"/>
          <w:color w:val="000000"/>
          <w:szCs w:val="24"/>
          <w:u w:val="single"/>
        </w:rPr>
        <w:t xml:space="preserve">（联合体主体单位名称）              </w:t>
      </w:r>
      <w:r>
        <w:rPr>
          <w:rFonts w:hint="eastAsia" w:ascii="宋体" w:hAnsi="宋体" w:cs="宋体"/>
          <w:color w:val="000000"/>
          <w:szCs w:val="24"/>
        </w:rPr>
        <w:t>为本次投标的主体单位，联合体以主体单位的名义参加投标。</w:t>
      </w:r>
    </w:p>
    <w:p w14:paraId="5C94607C">
      <w:pPr>
        <w:pStyle w:val="19"/>
        <w:tabs>
          <w:tab w:val="left" w:pos="255"/>
        </w:tabs>
        <w:spacing w:beforeAutospacing="0" w:afterAutospacing="0" w:line="360" w:lineRule="auto"/>
        <w:ind w:left="420" w:firstLine="480"/>
      </w:pPr>
      <w:r>
        <w:rPr>
          <w:rFonts w:hint="eastAsia" w:ascii="宋体" w:hAnsi="宋体" w:cs="宋体"/>
          <w:color w:val="000000"/>
          <w:szCs w:val="24"/>
        </w:rPr>
        <w:t>2、联合体主体单位代表联合体各成员负责本次招标项目投标文件的编制和合同谈判活动，并代表联合体提交和接收相关的资料、信息及指示，并处理与之有关的一切事务，负责合同实施阶段的主办、组织和协调工作。联合体主体单位在投标、开标、评标、合同谈判过程中所签署的一切文件和处理与本次招标有关的一切事务，联合体各方均予以承认并承担法律责任。</w:t>
      </w:r>
    </w:p>
    <w:p w14:paraId="2CD68478">
      <w:pPr>
        <w:pStyle w:val="19"/>
        <w:tabs>
          <w:tab w:val="left" w:pos="255"/>
        </w:tabs>
        <w:spacing w:beforeAutospacing="0" w:afterAutospacing="0" w:line="360" w:lineRule="auto"/>
        <w:ind w:left="420" w:firstLine="480"/>
      </w:pPr>
      <w:r>
        <w:rPr>
          <w:rFonts w:hint="eastAsia" w:ascii="宋体" w:hAnsi="宋体" w:cs="宋体"/>
          <w:color w:val="000000"/>
          <w:szCs w:val="24"/>
        </w:rPr>
        <w:t>3、联合体将严格按照招标文件的各项要求，提交投标文件，履行合同，并对外承担连带责任。</w:t>
      </w:r>
    </w:p>
    <w:p w14:paraId="14A68A1A">
      <w:pPr>
        <w:pStyle w:val="19"/>
        <w:tabs>
          <w:tab w:val="left" w:pos="255"/>
        </w:tabs>
        <w:spacing w:beforeAutospacing="0" w:afterAutospacing="0" w:line="360" w:lineRule="auto"/>
        <w:ind w:left="420" w:firstLine="480"/>
      </w:pPr>
      <w:r>
        <w:rPr>
          <w:rFonts w:hint="eastAsia" w:ascii="宋体" w:hAnsi="宋体" w:cs="宋体"/>
          <w:color w:val="000000"/>
          <w:szCs w:val="24"/>
        </w:rPr>
        <w:t>4、联合体各成员单位内部的职责分工如下：</w:t>
      </w:r>
    </w:p>
    <w:p w14:paraId="09BB87DA">
      <w:pPr>
        <w:pStyle w:val="19"/>
        <w:tabs>
          <w:tab w:val="left" w:pos="255"/>
        </w:tabs>
        <w:spacing w:beforeAutospacing="0" w:afterAutospacing="0" w:line="360" w:lineRule="auto"/>
        <w:ind w:left="420" w:firstLine="480"/>
        <w:rPr>
          <w:rFonts w:ascii="宋体" w:hAnsi="宋体" w:cs="宋体"/>
          <w:color w:val="000000"/>
          <w:szCs w:val="24"/>
        </w:rPr>
      </w:pPr>
      <w:r>
        <w:rPr>
          <w:rFonts w:hint="eastAsia" w:ascii="宋体" w:hAnsi="宋体" w:cs="宋体"/>
          <w:color w:val="000000"/>
          <w:szCs w:val="24"/>
        </w:rPr>
        <w:t>若我们联合中标、成交，</w:t>
      </w:r>
      <w:r>
        <w:rPr>
          <w:rFonts w:hint="eastAsia" w:ascii="宋体" w:hAnsi="宋体" w:cs="宋体"/>
          <w:color w:val="000000"/>
          <w:szCs w:val="24"/>
          <w:u w:val="single"/>
        </w:rPr>
        <w:t>（投标人单位1全称）</w:t>
      </w:r>
      <w:r>
        <w:rPr>
          <w:rFonts w:hint="eastAsia" w:ascii="宋体" w:hAnsi="宋体" w:cs="宋体"/>
          <w:color w:val="000000"/>
          <w:szCs w:val="24"/>
        </w:rPr>
        <w:t>为牵头方实施项目中</w:t>
      </w:r>
      <w:r>
        <w:rPr>
          <w:rFonts w:hint="eastAsia" w:ascii="宋体" w:hAnsi="宋体" w:cs="宋体"/>
          <w:color w:val="000000"/>
          <w:szCs w:val="24"/>
          <w:u w:val="single"/>
        </w:rPr>
        <w:t>（工作内容）</w:t>
      </w:r>
      <w:r>
        <w:rPr>
          <w:rFonts w:hint="eastAsia" w:ascii="宋体" w:hAnsi="宋体" w:cs="宋体"/>
          <w:color w:val="000000"/>
          <w:szCs w:val="24"/>
        </w:rPr>
        <w:t>部分工作，并承担相应的责任。</w:t>
      </w:r>
      <w:r>
        <w:rPr>
          <w:rFonts w:hint="eastAsia" w:ascii="宋体" w:hAnsi="宋体" w:cs="宋体"/>
          <w:color w:val="000000"/>
          <w:szCs w:val="24"/>
          <w:u w:val="single"/>
        </w:rPr>
        <w:t>（投标人单位2全称）</w:t>
      </w:r>
      <w:r>
        <w:rPr>
          <w:rFonts w:hint="eastAsia" w:ascii="宋体" w:hAnsi="宋体" w:cs="宋体"/>
          <w:color w:val="000000"/>
          <w:szCs w:val="24"/>
        </w:rPr>
        <w:t>为协办方实施项目中</w:t>
      </w:r>
      <w:r>
        <w:rPr>
          <w:rFonts w:hint="eastAsia" w:ascii="宋体" w:hAnsi="宋体" w:cs="宋体"/>
          <w:color w:val="000000"/>
          <w:szCs w:val="24"/>
          <w:u w:val="single"/>
        </w:rPr>
        <w:t>（工作内容）</w:t>
      </w:r>
      <w:r>
        <w:rPr>
          <w:rFonts w:hint="eastAsia" w:ascii="宋体" w:hAnsi="宋体" w:cs="宋体"/>
          <w:color w:val="000000"/>
          <w:szCs w:val="24"/>
        </w:rPr>
        <w:t>部分工作，并承担相应的责任……。（注：联合体中各投标人都应明示所承担的工作和相应的责任）。  </w:t>
      </w:r>
    </w:p>
    <w:p w14:paraId="66ADCC42">
      <w:pPr>
        <w:pStyle w:val="19"/>
        <w:tabs>
          <w:tab w:val="left" w:pos="255"/>
        </w:tabs>
        <w:spacing w:beforeAutospacing="0" w:afterAutospacing="0" w:line="360" w:lineRule="auto"/>
        <w:ind w:left="420" w:firstLine="420"/>
        <w:rPr>
          <w:rFonts w:ascii="宋体" w:hAnsi="宋体" w:cs="宋体"/>
          <w:color w:val="000000"/>
          <w:szCs w:val="24"/>
        </w:rPr>
      </w:pPr>
      <w:r>
        <w:rPr>
          <w:rFonts w:hint="eastAsia" w:ascii="宋体" w:hAnsi="宋体" w:cs="宋体"/>
          <w:color w:val="000000"/>
          <w:szCs w:val="24"/>
        </w:rPr>
        <w:t>工程款支付方式由发包人支付给联合体牵头单位，该成员在收到发包人的付款后再向其它成员支付。设计费与施工费的分配由联合体双方自行商讨决定。</w:t>
      </w:r>
    </w:p>
    <w:p w14:paraId="4DA4C4A2">
      <w:pPr>
        <w:pStyle w:val="19"/>
        <w:tabs>
          <w:tab w:val="left" w:pos="255"/>
        </w:tabs>
        <w:spacing w:beforeAutospacing="0" w:afterAutospacing="0" w:line="360" w:lineRule="auto"/>
        <w:ind w:left="420" w:firstLine="480"/>
        <w:rPr>
          <w:rFonts w:ascii="宋体" w:hAnsi="宋体" w:cs="宋体"/>
          <w:color w:val="000000"/>
          <w:szCs w:val="24"/>
          <w:u w:val="single"/>
        </w:rPr>
      </w:pPr>
      <w:r>
        <w:rPr>
          <w:rFonts w:hint="eastAsia" w:ascii="宋体" w:hAnsi="宋体" w:cs="宋体"/>
          <w:color w:val="000000"/>
          <w:szCs w:val="24"/>
        </w:rPr>
        <w:t>5、其他：</w:t>
      </w:r>
      <w:r>
        <w:rPr>
          <w:rFonts w:hint="eastAsia" w:ascii="宋体" w:hAnsi="宋体" w:cs="宋体"/>
          <w:color w:val="000000"/>
          <w:szCs w:val="24"/>
          <w:u w:val="single"/>
        </w:rPr>
        <w:t xml:space="preserve">                                               </w:t>
      </w:r>
    </w:p>
    <w:p w14:paraId="3EB8E4C7">
      <w:pPr>
        <w:pStyle w:val="19"/>
        <w:tabs>
          <w:tab w:val="left" w:pos="255"/>
        </w:tabs>
        <w:spacing w:beforeAutospacing="0" w:afterAutospacing="0" w:line="360" w:lineRule="auto"/>
        <w:ind w:left="420" w:firstLine="480"/>
      </w:pPr>
      <w:r>
        <w:rPr>
          <w:rFonts w:hint="eastAsia" w:ascii="宋体" w:hAnsi="宋体" w:cs="宋体"/>
          <w:color w:val="000000"/>
          <w:szCs w:val="24"/>
        </w:rPr>
        <w:t>6、本协议书自签署之日起生效，至本次招投标有关事务结束且合同履行完毕后自动失效。</w:t>
      </w:r>
    </w:p>
    <w:p w14:paraId="72012821">
      <w:pPr>
        <w:pStyle w:val="19"/>
        <w:spacing w:beforeAutospacing="0" w:afterAutospacing="0" w:line="480" w:lineRule="auto"/>
        <w:ind w:right="240"/>
        <w:jc w:val="right"/>
      </w:pPr>
      <w:r>
        <w:rPr>
          <w:rFonts w:hint="eastAsia" w:ascii="宋体" w:hAnsi="宋体" w:cs="宋体"/>
          <w:color w:val="000000"/>
          <w:szCs w:val="24"/>
        </w:rPr>
        <w:t>联合体主体单位（盖章）：</w:t>
      </w:r>
    </w:p>
    <w:p w14:paraId="16D444F9">
      <w:pPr>
        <w:pStyle w:val="19"/>
        <w:spacing w:beforeAutospacing="0" w:afterAutospacing="0" w:line="480" w:lineRule="auto"/>
        <w:ind w:right="480"/>
        <w:jc w:val="right"/>
      </w:pPr>
      <w:r>
        <w:rPr>
          <w:rFonts w:hint="eastAsia" w:ascii="宋体" w:hAnsi="宋体" w:cs="宋体"/>
          <w:color w:val="000000"/>
          <w:szCs w:val="24"/>
        </w:rPr>
        <w:t>成员单位（盖章）：</w:t>
      </w:r>
    </w:p>
    <w:p w14:paraId="6468C02A">
      <w:pPr>
        <w:pStyle w:val="19"/>
        <w:spacing w:beforeAutospacing="0" w:afterAutospacing="0" w:line="480" w:lineRule="auto"/>
        <w:ind w:right="480"/>
        <w:jc w:val="right"/>
        <w:rPr>
          <w:rFonts w:ascii="宋体" w:hAnsi="宋体" w:cs="宋体"/>
          <w:color w:val="000000"/>
          <w:szCs w:val="24"/>
        </w:rPr>
        <w:sectPr>
          <w:pgSz w:w="11906" w:h="16838"/>
          <w:pgMar w:top="1134" w:right="1134" w:bottom="1134" w:left="1134" w:header="851" w:footer="992" w:gutter="0"/>
          <w:pgNumType w:fmt="numberInDash" w:start="1"/>
          <w:cols w:space="720" w:num="1"/>
          <w:docGrid w:type="lines" w:linePitch="312" w:charSpace="0"/>
        </w:sectPr>
      </w:pPr>
      <w:r>
        <w:rPr>
          <w:rFonts w:hint="eastAsia" w:ascii="宋体" w:hAnsi="宋体" w:cs="宋体"/>
          <w:color w:val="000000"/>
          <w:szCs w:val="24"/>
        </w:rPr>
        <w:t>日期：___年___月__日</w:t>
      </w:r>
    </w:p>
    <w:p w14:paraId="43E7475F">
      <w:pPr>
        <w:pStyle w:val="19"/>
        <w:spacing w:beforeAutospacing="0" w:afterAutospacing="0" w:line="480" w:lineRule="auto"/>
        <w:ind w:right="480"/>
        <w:rPr>
          <w:rFonts w:ascii="黑体" w:hAnsi="宋体" w:eastAsia="黑体"/>
          <w:bCs/>
          <w:sz w:val="28"/>
          <w:szCs w:val="28"/>
        </w:rPr>
      </w:pPr>
      <w:r>
        <w:rPr>
          <w:rFonts w:hint="eastAsia" w:ascii="黑体" w:hAnsi="宋体" w:eastAsia="黑体"/>
          <w:bCs/>
          <w:szCs w:val="24"/>
        </w:rPr>
        <w:t>（三）报价文件：</w:t>
      </w:r>
    </w:p>
    <w:p w14:paraId="013C2D6A">
      <w:pPr>
        <w:ind w:firstLine="480"/>
        <w:jc w:val="left"/>
        <w:rPr>
          <w:rFonts w:ascii="宋体" w:hAnsi="宋体" w:cs="宋体"/>
          <w:bCs/>
          <w:sz w:val="24"/>
          <w:szCs w:val="24"/>
        </w:rPr>
      </w:pPr>
    </w:p>
    <w:p w14:paraId="5AD510DE">
      <w:pPr>
        <w:ind w:firstLine="480"/>
        <w:jc w:val="left"/>
        <w:rPr>
          <w:rFonts w:ascii="宋体" w:hAnsi="宋体"/>
          <w:sz w:val="28"/>
          <w:szCs w:val="28"/>
        </w:rPr>
      </w:pPr>
      <w:r>
        <w:rPr>
          <w:rFonts w:hint="eastAsia" w:ascii="宋体" w:hAnsi="宋体" w:cs="宋体"/>
          <w:bCs/>
          <w:sz w:val="24"/>
          <w:szCs w:val="24"/>
        </w:rPr>
        <w:t>1、</w:t>
      </w:r>
      <w:r>
        <w:rPr>
          <w:rFonts w:hint="eastAsia" w:ascii="黑体" w:hAnsi="宋体" w:eastAsia="黑体"/>
          <w:bCs/>
          <w:sz w:val="24"/>
          <w:szCs w:val="24"/>
        </w:rPr>
        <w:t>开标一览表（格式）：</w:t>
      </w:r>
    </w:p>
    <w:p w14:paraId="0994EBA2">
      <w:pPr>
        <w:spacing w:before="156" w:after="156"/>
        <w:jc w:val="center"/>
        <w:rPr>
          <w:rFonts w:ascii="黑体" w:hAnsi="黑体" w:eastAsia="黑体"/>
          <w:sz w:val="28"/>
          <w:szCs w:val="28"/>
        </w:rPr>
      </w:pPr>
      <w:r>
        <w:rPr>
          <w:rFonts w:hint="eastAsia" w:ascii="黑体" w:eastAsia="黑体"/>
          <w:bCs/>
          <w:sz w:val="28"/>
          <w:szCs w:val="28"/>
        </w:rPr>
        <w:t>开标一览表</w:t>
      </w:r>
    </w:p>
    <w:p w14:paraId="026AB9CA">
      <w:pPr>
        <w:spacing w:before="156" w:after="156"/>
        <w:jc w:val="left"/>
        <w:rPr>
          <w:rFonts w:ascii="宋体" w:hAnsi="宋体"/>
          <w:sz w:val="24"/>
          <w:szCs w:val="24"/>
        </w:rPr>
      </w:pPr>
      <w:r>
        <w:rPr>
          <w:rFonts w:hint="eastAsia" w:ascii="宋体" w:hAnsi="宋体"/>
          <w:sz w:val="24"/>
          <w:szCs w:val="24"/>
        </w:rPr>
        <w:t>项目名称：江苏省宜兴强制隔离戒毒所配餐中心局部维修改造项目</w:t>
      </w:r>
    </w:p>
    <w:p w14:paraId="5099D6F7">
      <w:pPr>
        <w:rPr>
          <w:rFonts w:ascii="宋体" w:hAnsi="宋体"/>
          <w:sz w:val="24"/>
          <w:szCs w:val="24"/>
        </w:rPr>
      </w:pPr>
      <w:r>
        <w:rPr>
          <w:rFonts w:hint="eastAsia" w:ascii="宋体" w:hAnsi="宋体"/>
          <w:sz w:val="24"/>
          <w:szCs w:val="24"/>
        </w:rPr>
        <w:t xml:space="preserve">项目编号：YXJDS-JJK-2025-006 </w:t>
      </w:r>
      <w:r>
        <w:rPr>
          <w:rFonts w:hint="eastAsia" w:ascii="宋体" w:hAnsi="宋体"/>
          <w:sz w:val="28"/>
          <w:szCs w:val="28"/>
        </w:rPr>
        <w:t xml:space="preserve">                     </w:t>
      </w:r>
      <w:r>
        <w:rPr>
          <w:rFonts w:hint="eastAsia" w:ascii="宋体" w:hAnsi="宋体"/>
          <w:sz w:val="24"/>
          <w:szCs w:val="24"/>
        </w:rPr>
        <w:t xml:space="preserve"> 单位：元</w:t>
      </w:r>
    </w:p>
    <w:tbl>
      <w:tblPr>
        <w:tblStyle w:val="21"/>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610"/>
        <w:gridCol w:w="2100"/>
        <w:gridCol w:w="2265"/>
        <w:gridCol w:w="2205"/>
      </w:tblGrid>
      <w:tr w14:paraId="3693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50" w:type="dxa"/>
            <w:vAlign w:val="center"/>
          </w:tcPr>
          <w:p w14:paraId="71174E9C">
            <w:pPr>
              <w:ind w:left="1"/>
              <w:jc w:val="center"/>
              <w:rPr>
                <w:rFonts w:ascii="宋体"/>
                <w:sz w:val="24"/>
                <w:szCs w:val="24"/>
              </w:rPr>
            </w:pPr>
            <w:r>
              <w:rPr>
                <w:rFonts w:hint="eastAsia" w:ascii="宋体"/>
                <w:sz w:val="24"/>
                <w:szCs w:val="24"/>
              </w:rPr>
              <w:t>序号</w:t>
            </w:r>
          </w:p>
        </w:tc>
        <w:tc>
          <w:tcPr>
            <w:tcW w:w="2610" w:type="dxa"/>
            <w:vAlign w:val="center"/>
          </w:tcPr>
          <w:p w14:paraId="075D1358">
            <w:pPr>
              <w:ind w:left="1"/>
              <w:jc w:val="center"/>
              <w:rPr>
                <w:rFonts w:ascii="宋体"/>
                <w:sz w:val="24"/>
                <w:szCs w:val="24"/>
              </w:rPr>
            </w:pPr>
            <w:r>
              <w:rPr>
                <w:rFonts w:hint="eastAsia" w:ascii="宋体"/>
                <w:sz w:val="24"/>
                <w:szCs w:val="24"/>
              </w:rPr>
              <w:t>项目名称</w:t>
            </w:r>
          </w:p>
        </w:tc>
        <w:tc>
          <w:tcPr>
            <w:tcW w:w="2100" w:type="dxa"/>
            <w:vAlign w:val="center"/>
          </w:tcPr>
          <w:p w14:paraId="36352146">
            <w:pPr>
              <w:ind w:left="1"/>
              <w:jc w:val="center"/>
              <w:rPr>
                <w:rFonts w:ascii="宋体"/>
                <w:sz w:val="24"/>
                <w:szCs w:val="24"/>
              </w:rPr>
            </w:pPr>
            <w:r>
              <w:rPr>
                <w:rFonts w:hint="eastAsia" w:ascii="宋体"/>
                <w:sz w:val="24"/>
                <w:szCs w:val="24"/>
              </w:rPr>
              <w:t>数量</w:t>
            </w:r>
          </w:p>
        </w:tc>
        <w:tc>
          <w:tcPr>
            <w:tcW w:w="2265" w:type="dxa"/>
            <w:vAlign w:val="center"/>
          </w:tcPr>
          <w:p w14:paraId="093177CF">
            <w:pPr>
              <w:ind w:left="1"/>
              <w:jc w:val="center"/>
              <w:rPr>
                <w:rFonts w:ascii="宋体"/>
                <w:sz w:val="24"/>
                <w:szCs w:val="24"/>
              </w:rPr>
            </w:pPr>
            <w:r>
              <w:rPr>
                <w:rFonts w:hint="eastAsia" w:ascii="宋体"/>
                <w:sz w:val="24"/>
                <w:szCs w:val="24"/>
              </w:rPr>
              <w:t>单价</w:t>
            </w:r>
          </w:p>
        </w:tc>
        <w:tc>
          <w:tcPr>
            <w:tcW w:w="2205" w:type="dxa"/>
            <w:vAlign w:val="center"/>
          </w:tcPr>
          <w:p w14:paraId="6EBA8ED6">
            <w:pPr>
              <w:ind w:left="1"/>
              <w:jc w:val="center"/>
              <w:rPr>
                <w:rFonts w:ascii="宋体"/>
                <w:sz w:val="24"/>
                <w:szCs w:val="24"/>
              </w:rPr>
            </w:pPr>
            <w:r>
              <w:rPr>
                <w:rFonts w:hint="eastAsia" w:ascii="宋体"/>
                <w:sz w:val="24"/>
                <w:szCs w:val="24"/>
              </w:rPr>
              <w:t>分项费用报价</w:t>
            </w:r>
          </w:p>
        </w:tc>
      </w:tr>
      <w:tr w14:paraId="6FF5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50" w:type="dxa"/>
            <w:vAlign w:val="center"/>
          </w:tcPr>
          <w:p w14:paraId="19365D3B">
            <w:pPr>
              <w:ind w:left="1"/>
              <w:jc w:val="center"/>
              <w:rPr>
                <w:rFonts w:ascii="宋体"/>
                <w:sz w:val="24"/>
                <w:szCs w:val="24"/>
              </w:rPr>
            </w:pPr>
            <w:r>
              <w:rPr>
                <w:rFonts w:hint="eastAsia" w:ascii="宋体"/>
                <w:sz w:val="24"/>
                <w:szCs w:val="24"/>
              </w:rPr>
              <w:t>1</w:t>
            </w:r>
          </w:p>
        </w:tc>
        <w:tc>
          <w:tcPr>
            <w:tcW w:w="2610" w:type="dxa"/>
            <w:vAlign w:val="center"/>
          </w:tcPr>
          <w:p w14:paraId="24F731E6">
            <w:pPr>
              <w:jc w:val="center"/>
              <w:rPr>
                <w:rFonts w:ascii="宋体"/>
                <w:sz w:val="24"/>
                <w:szCs w:val="28"/>
              </w:rPr>
            </w:pPr>
            <w:r>
              <w:rPr>
                <w:rFonts w:hint="eastAsia" w:ascii="宋体" w:hAnsi="宋体"/>
                <w:sz w:val="24"/>
                <w:szCs w:val="24"/>
              </w:rPr>
              <w:t>江苏省宜兴强制隔离戒毒所配餐中心局部维修改造项目</w:t>
            </w:r>
          </w:p>
        </w:tc>
        <w:tc>
          <w:tcPr>
            <w:tcW w:w="2100" w:type="dxa"/>
            <w:vAlign w:val="center"/>
          </w:tcPr>
          <w:p w14:paraId="1B124F96">
            <w:pPr>
              <w:ind w:left="1"/>
              <w:jc w:val="center"/>
              <w:rPr>
                <w:rFonts w:ascii="宋体"/>
                <w:sz w:val="24"/>
                <w:szCs w:val="24"/>
              </w:rPr>
            </w:pPr>
            <w:r>
              <w:rPr>
                <w:rFonts w:hint="eastAsia" w:ascii="宋体"/>
                <w:sz w:val="24"/>
                <w:szCs w:val="24"/>
              </w:rPr>
              <w:t>1项</w:t>
            </w:r>
          </w:p>
        </w:tc>
        <w:tc>
          <w:tcPr>
            <w:tcW w:w="2265" w:type="dxa"/>
            <w:vAlign w:val="center"/>
          </w:tcPr>
          <w:p w14:paraId="16B87819">
            <w:pPr>
              <w:ind w:left="1"/>
              <w:jc w:val="center"/>
              <w:rPr>
                <w:rFonts w:ascii="宋体"/>
                <w:sz w:val="24"/>
                <w:szCs w:val="24"/>
              </w:rPr>
            </w:pPr>
          </w:p>
        </w:tc>
        <w:tc>
          <w:tcPr>
            <w:tcW w:w="2205" w:type="dxa"/>
            <w:vAlign w:val="center"/>
          </w:tcPr>
          <w:p w14:paraId="5A89528F">
            <w:pPr>
              <w:ind w:left="1"/>
              <w:jc w:val="center"/>
              <w:rPr>
                <w:rFonts w:ascii="宋体"/>
                <w:sz w:val="24"/>
                <w:szCs w:val="24"/>
                <w:u w:val="single"/>
              </w:rPr>
            </w:pPr>
          </w:p>
        </w:tc>
      </w:tr>
      <w:tr w14:paraId="4934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360" w:type="dxa"/>
            <w:gridSpan w:val="2"/>
            <w:vMerge w:val="restart"/>
            <w:vAlign w:val="center"/>
          </w:tcPr>
          <w:p w14:paraId="186F5318">
            <w:pPr>
              <w:ind w:left="1"/>
              <w:jc w:val="center"/>
              <w:rPr>
                <w:rFonts w:ascii="宋体"/>
                <w:sz w:val="24"/>
                <w:szCs w:val="24"/>
              </w:rPr>
            </w:pPr>
            <w:r>
              <w:rPr>
                <w:rFonts w:hint="eastAsia" w:ascii="宋体"/>
                <w:sz w:val="24"/>
                <w:szCs w:val="24"/>
              </w:rPr>
              <w:t>合  计</w:t>
            </w:r>
          </w:p>
        </w:tc>
        <w:tc>
          <w:tcPr>
            <w:tcW w:w="6570" w:type="dxa"/>
            <w:gridSpan w:val="3"/>
            <w:vAlign w:val="center"/>
          </w:tcPr>
          <w:p w14:paraId="361E11E0">
            <w:pPr>
              <w:ind w:left="1"/>
              <w:rPr>
                <w:rFonts w:ascii="宋体"/>
                <w:sz w:val="24"/>
                <w:szCs w:val="24"/>
              </w:rPr>
            </w:pPr>
            <w:r>
              <w:rPr>
                <w:rFonts w:hint="eastAsia" w:ascii="宋体"/>
                <w:sz w:val="24"/>
                <w:szCs w:val="24"/>
              </w:rPr>
              <w:t>（小写）</w:t>
            </w:r>
          </w:p>
        </w:tc>
      </w:tr>
      <w:tr w14:paraId="3CF2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360" w:type="dxa"/>
            <w:gridSpan w:val="2"/>
            <w:vMerge w:val="continue"/>
            <w:vAlign w:val="center"/>
          </w:tcPr>
          <w:p w14:paraId="33112A11"/>
        </w:tc>
        <w:tc>
          <w:tcPr>
            <w:tcW w:w="6570" w:type="dxa"/>
            <w:gridSpan w:val="3"/>
            <w:vAlign w:val="center"/>
          </w:tcPr>
          <w:p w14:paraId="602EA8A6">
            <w:pPr>
              <w:ind w:left="1"/>
              <w:rPr>
                <w:rFonts w:ascii="宋体"/>
                <w:sz w:val="24"/>
                <w:szCs w:val="24"/>
              </w:rPr>
            </w:pPr>
            <w:r>
              <w:rPr>
                <w:rFonts w:hint="eastAsia" w:ascii="宋体"/>
                <w:sz w:val="24"/>
                <w:szCs w:val="24"/>
              </w:rPr>
              <w:t>（大写）</w:t>
            </w:r>
          </w:p>
        </w:tc>
      </w:tr>
    </w:tbl>
    <w:p w14:paraId="291E7195">
      <w:pPr>
        <w:ind w:left="1"/>
        <w:jc w:val="left"/>
        <w:rPr>
          <w:rFonts w:ascii="宋体" w:hAnsi="宋体"/>
          <w:sz w:val="24"/>
          <w:szCs w:val="24"/>
        </w:rPr>
      </w:pPr>
    </w:p>
    <w:p w14:paraId="3AC1D95A">
      <w:pPr>
        <w:ind w:left="1"/>
        <w:jc w:val="left"/>
        <w:rPr>
          <w:rFonts w:ascii="宋体" w:hAnsi="宋体"/>
          <w:sz w:val="24"/>
          <w:szCs w:val="24"/>
        </w:rPr>
      </w:pPr>
      <w:r>
        <w:rPr>
          <w:rFonts w:hint="eastAsia" w:ascii="宋体" w:hAnsi="宋体"/>
          <w:sz w:val="24"/>
          <w:szCs w:val="24"/>
        </w:rPr>
        <w:t>注：</w:t>
      </w:r>
    </w:p>
    <w:p w14:paraId="07EFC4E8">
      <w:pPr>
        <w:spacing w:line="360" w:lineRule="auto"/>
        <w:ind w:firstLine="480"/>
        <w:jc w:val="left"/>
        <w:rPr>
          <w:rFonts w:ascii="宋体" w:hAnsi="宋体"/>
          <w:bCs/>
          <w:sz w:val="24"/>
          <w:szCs w:val="24"/>
          <w:lang w:val="zh-CN"/>
        </w:rPr>
      </w:pPr>
      <w:r>
        <w:rPr>
          <w:rFonts w:hint="eastAsia" w:ascii="宋体" w:hAnsi="宋体" w:cs="宋体"/>
          <w:bCs/>
          <w:sz w:val="24"/>
          <w:szCs w:val="24"/>
          <w:lang w:val="zh-CN"/>
        </w:rPr>
        <w:t>①报价应包含完成本服务项目发生的所有含税费用、支付给员工的工资和国家强制缴纳的各种社会保障资金，以及投标人认为需要的其他费用等；</w:t>
      </w:r>
    </w:p>
    <w:p w14:paraId="0993AD91">
      <w:pPr>
        <w:spacing w:line="360" w:lineRule="auto"/>
        <w:ind w:firstLine="480"/>
        <w:jc w:val="left"/>
        <w:rPr>
          <w:rFonts w:ascii="宋体"/>
          <w:sz w:val="24"/>
          <w:szCs w:val="24"/>
          <w:lang w:val="zh-CN"/>
        </w:rPr>
      </w:pPr>
      <w:r>
        <w:rPr>
          <w:rFonts w:hint="eastAsia" w:ascii="宋体" w:hAnsi="宋体" w:cs="宋体"/>
          <w:sz w:val="24"/>
          <w:szCs w:val="24"/>
        </w:rPr>
        <w:t>②</w:t>
      </w:r>
      <w:r>
        <w:rPr>
          <w:rFonts w:hint="eastAsia" w:ascii="宋体"/>
          <w:sz w:val="24"/>
          <w:szCs w:val="24"/>
          <w:lang w:val="zh-CN"/>
        </w:rPr>
        <w:t>每一项</w:t>
      </w:r>
      <w:r>
        <w:rPr>
          <w:rFonts w:hint="eastAsia" w:ascii="宋体"/>
          <w:sz w:val="24"/>
          <w:szCs w:val="24"/>
        </w:rPr>
        <w:t>服务</w:t>
      </w:r>
      <w:r>
        <w:rPr>
          <w:rFonts w:hint="eastAsia" w:ascii="宋体"/>
          <w:sz w:val="24"/>
          <w:szCs w:val="24"/>
          <w:lang w:val="zh-CN"/>
        </w:rPr>
        <w:t>仅接受一个价格，投标文件应对《报价一览表》中的全部项目进行报价，只投其中部分项目者，报价无效。</w:t>
      </w:r>
    </w:p>
    <w:p w14:paraId="0260113F">
      <w:pPr>
        <w:spacing w:line="360" w:lineRule="auto"/>
        <w:ind w:firstLine="480"/>
        <w:jc w:val="left"/>
        <w:rPr>
          <w:rStyle w:val="47"/>
          <w:rFonts w:ascii="宋体" w:hAnsi="宋体"/>
          <w:sz w:val="24"/>
          <w:szCs w:val="24"/>
          <w:lang w:val="zh-CN"/>
        </w:rPr>
      </w:pPr>
      <w:r>
        <w:rPr>
          <w:rStyle w:val="47"/>
          <w:rFonts w:hint="eastAsia" w:ascii="宋体" w:hAnsi="宋体" w:cs="宋体"/>
          <w:sz w:val="24"/>
          <w:szCs w:val="24"/>
          <w:lang w:val="zh-CN"/>
        </w:rPr>
        <w:t>③</w:t>
      </w:r>
      <w:r>
        <w:rPr>
          <w:rStyle w:val="47"/>
          <w:rFonts w:hint="eastAsia" w:ascii="宋体" w:hAnsi="宋体"/>
          <w:sz w:val="24"/>
          <w:szCs w:val="24"/>
          <w:lang w:val="zh-CN"/>
        </w:rPr>
        <w:t>投标人</w:t>
      </w:r>
      <w:r>
        <w:rPr>
          <w:rStyle w:val="47"/>
          <w:rFonts w:ascii="宋体" w:hAnsi="宋体"/>
          <w:sz w:val="24"/>
          <w:szCs w:val="24"/>
          <w:lang w:val="zh-CN"/>
        </w:rPr>
        <w:t>一旦</w:t>
      </w:r>
      <w:r>
        <w:rPr>
          <w:rStyle w:val="47"/>
          <w:rFonts w:hint="eastAsia" w:ascii="宋体" w:hAnsi="宋体"/>
          <w:sz w:val="24"/>
          <w:szCs w:val="24"/>
          <w:lang w:val="zh-CN"/>
        </w:rPr>
        <w:t>中标</w:t>
      </w:r>
      <w:r>
        <w:rPr>
          <w:rStyle w:val="47"/>
          <w:rFonts w:ascii="宋体" w:hAnsi="宋体"/>
          <w:sz w:val="24"/>
          <w:szCs w:val="24"/>
          <w:lang w:val="zh-CN"/>
        </w:rPr>
        <w:t>后，如因市场变化、政策性调整等因素导致报价成本的变化，报价将不会得到调整。</w:t>
      </w:r>
    </w:p>
    <w:p w14:paraId="4BA12F95">
      <w:pPr>
        <w:tabs>
          <w:tab w:val="left" w:pos="0"/>
        </w:tabs>
        <w:spacing w:line="360" w:lineRule="auto"/>
        <w:ind w:firstLine="420"/>
        <w:jc w:val="left"/>
        <w:rPr>
          <w:rFonts w:ascii="宋体"/>
          <w:szCs w:val="21"/>
          <w:lang w:val="zh-CN"/>
        </w:rPr>
      </w:pPr>
    </w:p>
    <w:p w14:paraId="12B22FCC">
      <w:pPr>
        <w:pStyle w:val="41"/>
        <w:ind w:firstLine="420"/>
      </w:pPr>
    </w:p>
    <w:p w14:paraId="5C96963C">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5C1D6667">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154B944">
      <w:pPr>
        <w:spacing w:line="360" w:lineRule="auto"/>
        <w:ind w:firstLine="421"/>
        <w:rPr>
          <w:rFonts w:ascii="黑体" w:hAnsi="宋体" w:eastAsia="黑体"/>
          <w:bCs/>
          <w:sz w:val="24"/>
          <w:szCs w:val="24"/>
        </w:rPr>
      </w:pPr>
    </w:p>
    <w:p w14:paraId="379CF0A3">
      <w:pPr>
        <w:ind w:firstLine="480"/>
        <w:jc w:val="left"/>
        <w:rPr>
          <w:rFonts w:ascii="黑体" w:hAnsi="宋体" w:eastAsia="黑体"/>
          <w:bCs/>
          <w:sz w:val="24"/>
          <w:szCs w:val="24"/>
        </w:rPr>
      </w:pPr>
      <w:r>
        <w:rPr>
          <w:rFonts w:ascii="宋体" w:hAnsi="宋体"/>
          <w:sz w:val="24"/>
          <w:szCs w:val="24"/>
        </w:rPr>
        <w:br w:type="page" w:clear="all"/>
      </w:r>
      <w:bookmarkStart w:id="110" w:name="OLE_LINK27"/>
      <w:r>
        <w:rPr>
          <w:rFonts w:hint="eastAsia" w:ascii="黑体" w:hAnsi="宋体" w:eastAsia="黑体"/>
          <w:bCs/>
          <w:sz w:val="24"/>
          <w:szCs w:val="24"/>
        </w:rPr>
        <w:t>2、明细报价表（格式）：</w:t>
      </w:r>
    </w:p>
    <w:p w14:paraId="31EFFEDC">
      <w:pPr>
        <w:jc w:val="center"/>
        <w:rPr>
          <w:rFonts w:ascii="黑体" w:hAnsi="黑体" w:eastAsia="黑体"/>
          <w:sz w:val="28"/>
          <w:szCs w:val="28"/>
        </w:rPr>
      </w:pPr>
      <w:bookmarkStart w:id="111" w:name="OLE_LINK3"/>
      <w:r>
        <w:rPr>
          <w:rFonts w:hint="eastAsia" w:ascii="黑体" w:hAnsi="黑体" w:eastAsia="黑体"/>
          <w:sz w:val="28"/>
          <w:szCs w:val="28"/>
        </w:rPr>
        <w:t>2.1 明细报价表</w:t>
      </w:r>
      <w:bookmarkEnd w:id="111"/>
    </w:p>
    <w:p w14:paraId="5B70B257">
      <w:pPr>
        <w:spacing w:after="156"/>
        <w:rPr>
          <w:rFonts w:ascii="宋体" w:hAnsi="宋体"/>
          <w:sz w:val="24"/>
          <w:szCs w:val="24"/>
        </w:rPr>
      </w:pPr>
      <w:r>
        <w:rPr>
          <w:rFonts w:hint="eastAsia" w:ascii="宋体" w:hAnsi="宋体"/>
          <w:sz w:val="24"/>
          <w:szCs w:val="24"/>
        </w:rPr>
        <w:t xml:space="preserve">项目名称：江苏省宜兴强制隔离戒毒所配餐中心局部维修改造项目                                     </w:t>
      </w:r>
    </w:p>
    <w:p w14:paraId="399907B7">
      <w:pPr>
        <w:jc w:val="left"/>
        <w:rPr>
          <w:rFonts w:ascii="宋体" w:hAnsi="宋体"/>
          <w:bCs/>
          <w:sz w:val="24"/>
        </w:rPr>
      </w:pPr>
      <w:r>
        <w:rPr>
          <w:rFonts w:hint="eastAsia" w:ascii="宋体" w:hAnsi="宋体"/>
          <w:sz w:val="24"/>
          <w:szCs w:val="24"/>
        </w:rPr>
        <w:t>项目编号：YXJDS-JJK-2025-006                                                          单位：元</w:t>
      </w:r>
      <w:r>
        <w:rPr>
          <w:rFonts w:hint="eastAsia" w:ascii="宋体" w:hAnsi="宋体"/>
          <w:bCs/>
          <w:sz w:val="24"/>
        </w:rPr>
        <w:t xml:space="preserve">       </w:t>
      </w:r>
    </w:p>
    <w:tbl>
      <w:tblPr>
        <w:tblStyle w:val="21"/>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60"/>
        <w:gridCol w:w="1080"/>
        <w:gridCol w:w="1260"/>
        <w:gridCol w:w="1260"/>
        <w:gridCol w:w="1260"/>
        <w:gridCol w:w="1107"/>
      </w:tblGrid>
      <w:tr w14:paraId="1189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28" w:type="dxa"/>
            <w:vAlign w:val="center"/>
          </w:tcPr>
          <w:p w14:paraId="5776014E">
            <w:pPr>
              <w:jc w:val="center"/>
              <w:rPr>
                <w:rFonts w:ascii="宋体" w:hAnsi="宋体"/>
                <w:szCs w:val="21"/>
              </w:rPr>
            </w:pPr>
            <w:r>
              <w:rPr>
                <w:rFonts w:ascii="宋体" w:hAnsi="宋体"/>
                <w:szCs w:val="21"/>
              </w:rPr>
              <w:t>序号</w:t>
            </w:r>
          </w:p>
        </w:tc>
        <w:tc>
          <w:tcPr>
            <w:tcW w:w="3060" w:type="dxa"/>
            <w:vAlign w:val="center"/>
          </w:tcPr>
          <w:p w14:paraId="74AA0838">
            <w:pPr>
              <w:jc w:val="center"/>
              <w:rPr>
                <w:rFonts w:ascii="宋体" w:hAnsi="宋体"/>
                <w:szCs w:val="21"/>
              </w:rPr>
            </w:pPr>
            <w:r>
              <w:rPr>
                <w:rFonts w:ascii="宋体" w:hAnsi="宋体"/>
                <w:szCs w:val="21"/>
              </w:rPr>
              <w:t>项目名称</w:t>
            </w:r>
          </w:p>
        </w:tc>
        <w:tc>
          <w:tcPr>
            <w:tcW w:w="1080" w:type="dxa"/>
            <w:vAlign w:val="center"/>
          </w:tcPr>
          <w:p w14:paraId="0A143565">
            <w:pPr>
              <w:jc w:val="center"/>
              <w:rPr>
                <w:rFonts w:ascii="宋体" w:hAnsi="宋体"/>
                <w:szCs w:val="21"/>
              </w:rPr>
            </w:pPr>
            <w:r>
              <w:rPr>
                <w:rFonts w:ascii="宋体" w:hAnsi="宋体"/>
                <w:szCs w:val="21"/>
              </w:rPr>
              <w:t>数量</w:t>
            </w:r>
          </w:p>
        </w:tc>
        <w:tc>
          <w:tcPr>
            <w:tcW w:w="1260" w:type="dxa"/>
            <w:vAlign w:val="center"/>
          </w:tcPr>
          <w:p w14:paraId="34BD9E9E">
            <w:pPr>
              <w:jc w:val="center"/>
              <w:rPr>
                <w:rFonts w:ascii="宋体" w:hAnsi="宋体"/>
                <w:szCs w:val="21"/>
              </w:rPr>
            </w:pPr>
            <w:r>
              <w:rPr>
                <w:rFonts w:ascii="宋体" w:hAnsi="宋体"/>
                <w:szCs w:val="21"/>
              </w:rPr>
              <w:t>单位</w:t>
            </w:r>
          </w:p>
        </w:tc>
        <w:tc>
          <w:tcPr>
            <w:tcW w:w="1260" w:type="dxa"/>
            <w:vAlign w:val="center"/>
          </w:tcPr>
          <w:p w14:paraId="1E8CA367">
            <w:pPr>
              <w:jc w:val="center"/>
              <w:rPr>
                <w:rFonts w:ascii="宋体" w:hAnsi="宋体"/>
                <w:szCs w:val="21"/>
              </w:rPr>
            </w:pPr>
            <w:r>
              <w:rPr>
                <w:rFonts w:ascii="宋体" w:hAnsi="宋体"/>
                <w:szCs w:val="21"/>
              </w:rPr>
              <w:t>单价</w:t>
            </w:r>
          </w:p>
        </w:tc>
        <w:tc>
          <w:tcPr>
            <w:tcW w:w="1260" w:type="dxa"/>
            <w:vAlign w:val="center"/>
          </w:tcPr>
          <w:p w14:paraId="6A2F3FD3">
            <w:pPr>
              <w:jc w:val="center"/>
              <w:rPr>
                <w:rFonts w:ascii="宋体" w:hAnsi="宋体"/>
                <w:szCs w:val="21"/>
              </w:rPr>
            </w:pPr>
            <w:r>
              <w:rPr>
                <w:rFonts w:ascii="宋体" w:hAnsi="宋体"/>
                <w:szCs w:val="21"/>
              </w:rPr>
              <w:t>金额</w:t>
            </w:r>
          </w:p>
        </w:tc>
        <w:tc>
          <w:tcPr>
            <w:tcW w:w="1107" w:type="dxa"/>
            <w:vAlign w:val="center"/>
          </w:tcPr>
          <w:p w14:paraId="41F4460B">
            <w:pPr>
              <w:jc w:val="center"/>
              <w:rPr>
                <w:rFonts w:ascii="宋体" w:hAnsi="宋体"/>
                <w:szCs w:val="21"/>
              </w:rPr>
            </w:pPr>
            <w:r>
              <w:rPr>
                <w:rFonts w:ascii="宋体" w:hAnsi="宋体"/>
                <w:szCs w:val="21"/>
              </w:rPr>
              <w:t>备注</w:t>
            </w:r>
          </w:p>
        </w:tc>
      </w:tr>
      <w:tr w14:paraId="2FD9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3DED620A">
            <w:pPr>
              <w:ind w:left="-111" w:firstLine="54"/>
              <w:jc w:val="center"/>
              <w:rPr>
                <w:rFonts w:ascii="宋体" w:hAnsi="宋体"/>
                <w:szCs w:val="21"/>
              </w:rPr>
            </w:pPr>
          </w:p>
        </w:tc>
        <w:tc>
          <w:tcPr>
            <w:tcW w:w="3060" w:type="dxa"/>
            <w:vAlign w:val="center"/>
          </w:tcPr>
          <w:p w14:paraId="396EB15C">
            <w:pPr>
              <w:jc w:val="center"/>
              <w:rPr>
                <w:rFonts w:ascii="宋体" w:hAnsi="宋体"/>
                <w:szCs w:val="21"/>
              </w:rPr>
            </w:pPr>
          </w:p>
        </w:tc>
        <w:tc>
          <w:tcPr>
            <w:tcW w:w="1080" w:type="dxa"/>
            <w:vAlign w:val="center"/>
          </w:tcPr>
          <w:p w14:paraId="708E7E23">
            <w:pPr>
              <w:jc w:val="center"/>
              <w:rPr>
                <w:rFonts w:ascii="宋体" w:hAnsi="宋体"/>
                <w:szCs w:val="21"/>
              </w:rPr>
            </w:pPr>
          </w:p>
        </w:tc>
        <w:tc>
          <w:tcPr>
            <w:tcW w:w="1260" w:type="dxa"/>
            <w:vAlign w:val="center"/>
          </w:tcPr>
          <w:p w14:paraId="6199B303">
            <w:pPr>
              <w:jc w:val="center"/>
              <w:rPr>
                <w:rFonts w:ascii="宋体" w:hAnsi="宋体"/>
                <w:szCs w:val="21"/>
              </w:rPr>
            </w:pPr>
          </w:p>
        </w:tc>
        <w:tc>
          <w:tcPr>
            <w:tcW w:w="1260" w:type="dxa"/>
            <w:vAlign w:val="center"/>
          </w:tcPr>
          <w:p w14:paraId="3E6B8539">
            <w:pPr>
              <w:jc w:val="center"/>
              <w:rPr>
                <w:rFonts w:ascii="宋体" w:hAnsi="宋体"/>
                <w:szCs w:val="21"/>
              </w:rPr>
            </w:pPr>
          </w:p>
        </w:tc>
        <w:tc>
          <w:tcPr>
            <w:tcW w:w="1260" w:type="dxa"/>
            <w:vAlign w:val="center"/>
          </w:tcPr>
          <w:p w14:paraId="7E0FA21C">
            <w:pPr>
              <w:jc w:val="center"/>
              <w:rPr>
                <w:rFonts w:ascii="宋体" w:hAnsi="宋体"/>
                <w:szCs w:val="21"/>
              </w:rPr>
            </w:pPr>
          </w:p>
        </w:tc>
        <w:tc>
          <w:tcPr>
            <w:tcW w:w="1107" w:type="dxa"/>
            <w:vAlign w:val="center"/>
          </w:tcPr>
          <w:p w14:paraId="358714AE">
            <w:pPr>
              <w:jc w:val="center"/>
              <w:rPr>
                <w:rFonts w:ascii="宋体" w:hAnsi="宋体"/>
                <w:szCs w:val="21"/>
              </w:rPr>
            </w:pPr>
          </w:p>
        </w:tc>
      </w:tr>
      <w:tr w14:paraId="3E23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15835110">
            <w:pPr>
              <w:ind w:left="-111" w:firstLine="54"/>
              <w:jc w:val="center"/>
              <w:rPr>
                <w:rFonts w:ascii="宋体" w:hAnsi="宋体"/>
                <w:szCs w:val="21"/>
              </w:rPr>
            </w:pPr>
          </w:p>
        </w:tc>
        <w:tc>
          <w:tcPr>
            <w:tcW w:w="3060" w:type="dxa"/>
            <w:vAlign w:val="center"/>
          </w:tcPr>
          <w:p w14:paraId="6964991D">
            <w:pPr>
              <w:jc w:val="center"/>
              <w:rPr>
                <w:rFonts w:ascii="宋体" w:hAnsi="宋体"/>
                <w:szCs w:val="21"/>
              </w:rPr>
            </w:pPr>
          </w:p>
        </w:tc>
        <w:tc>
          <w:tcPr>
            <w:tcW w:w="1080" w:type="dxa"/>
            <w:vAlign w:val="center"/>
          </w:tcPr>
          <w:p w14:paraId="3714DCEF">
            <w:pPr>
              <w:jc w:val="center"/>
              <w:rPr>
                <w:rFonts w:ascii="宋体" w:hAnsi="宋体"/>
                <w:szCs w:val="21"/>
              </w:rPr>
            </w:pPr>
          </w:p>
        </w:tc>
        <w:tc>
          <w:tcPr>
            <w:tcW w:w="1260" w:type="dxa"/>
            <w:vAlign w:val="center"/>
          </w:tcPr>
          <w:p w14:paraId="4DC250E2">
            <w:pPr>
              <w:jc w:val="center"/>
              <w:rPr>
                <w:rFonts w:ascii="宋体" w:hAnsi="宋体"/>
                <w:szCs w:val="21"/>
              </w:rPr>
            </w:pPr>
          </w:p>
        </w:tc>
        <w:tc>
          <w:tcPr>
            <w:tcW w:w="1260" w:type="dxa"/>
            <w:vAlign w:val="center"/>
          </w:tcPr>
          <w:p w14:paraId="4FABF783">
            <w:pPr>
              <w:jc w:val="center"/>
              <w:rPr>
                <w:rFonts w:ascii="宋体" w:hAnsi="宋体"/>
                <w:szCs w:val="21"/>
              </w:rPr>
            </w:pPr>
          </w:p>
        </w:tc>
        <w:tc>
          <w:tcPr>
            <w:tcW w:w="1260" w:type="dxa"/>
            <w:vAlign w:val="center"/>
          </w:tcPr>
          <w:p w14:paraId="3673FA7F">
            <w:pPr>
              <w:jc w:val="center"/>
              <w:rPr>
                <w:rFonts w:ascii="宋体" w:hAnsi="宋体"/>
                <w:szCs w:val="21"/>
              </w:rPr>
            </w:pPr>
          </w:p>
        </w:tc>
        <w:tc>
          <w:tcPr>
            <w:tcW w:w="1107" w:type="dxa"/>
            <w:vAlign w:val="center"/>
          </w:tcPr>
          <w:p w14:paraId="2A024EAF">
            <w:pPr>
              <w:jc w:val="center"/>
              <w:rPr>
                <w:rFonts w:ascii="宋体" w:hAnsi="宋体"/>
                <w:szCs w:val="21"/>
              </w:rPr>
            </w:pPr>
          </w:p>
        </w:tc>
      </w:tr>
      <w:tr w14:paraId="4732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3D686B21">
            <w:pPr>
              <w:ind w:left="-111" w:firstLine="54"/>
              <w:jc w:val="center"/>
              <w:rPr>
                <w:rFonts w:ascii="宋体" w:hAnsi="宋体"/>
                <w:szCs w:val="21"/>
              </w:rPr>
            </w:pPr>
          </w:p>
        </w:tc>
        <w:tc>
          <w:tcPr>
            <w:tcW w:w="3060" w:type="dxa"/>
            <w:vAlign w:val="center"/>
          </w:tcPr>
          <w:p w14:paraId="623E0A3A">
            <w:pPr>
              <w:jc w:val="center"/>
              <w:rPr>
                <w:rFonts w:ascii="宋体" w:hAnsi="宋体"/>
                <w:szCs w:val="21"/>
              </w:rPr>
            </w:pPr>
          </w:p>
        </w:tc>
        <w:tc>
          <w:tcPr>
            <w:tcW w:w="1080" w:type="dxa"/>
            <w:vAlign w:val="center"/>
          </w:tcPr>
          <w:p w14:paraId="534F3EBE">
            <w:pPr>
              <w:jc w:val="center"/>
              <w:rPr>
                <w:rFonts w:ascii="宋体" w:hAnsi="宋体"/>
                <w:szCs w:val="21"/>
              </w:rPr>
            </w:pPr>
          </w:p>
        </w:tc>
        <w:tc>
          <w:tcPr>
            <w:tcW w:w="1260" w:type="dxa"/>
            <w:vAlign w:val="center"/>
          </w:tcPr>
          <w:p w14:paraId="4F5BD2A3">
            <w:pPr>
              <w:jc w:val="center"/>
              <w:rPr>
                <w:rFonts w:ascii="宋体" w:hAnsi="宋体"/>
                <w:szCs w:val="21"/>
              </w:rPr>
            </w:pPr>
          </w:p>
        </w:tc>
        <w:tc>
          <w:tcPr>
            <w:tcW w:w="1260" w:type="dxa"/>
            <w:vAlign w:val="center"/>
          </w:tcPr>
          <w:p w14:paraId="058D14ED">
            <w:pPr>
              <w:jc w:val="center"/>
              <w:rPr>
                <w:rFonts w:ascii="宋体" w:hAnsi="宋体"/>
                <w:szCs w:val="21"/>
              </w:rPr>
            </w:pPr>
          </w:p>
        </w:tc>
        <w:tc>
          <w:tcPr>
            <w:tcW w:w="1260" w:type="dxa"/>
            <w:vAlign w:val="center"/>
          </w:tcPr>
          <w:p w14:paraId="53F4F0AC">
            <w:pPr>
              <w:jc w:val="center"/>
              <w:rPr>
                <w:rFonts w:ascii="宋体" w:hAnsi="宋体"/>
                <w:szCs w:val="21"/>
              </w:rPr>
            </w:pPr>
          </w:p>
        </w:tc>
        <w:tc>
          <w:tcPr>
            <w:tcW w:w="1107" w:type="dxa"/>
            <w:vAlign w:val="center"/>
          </w:tcPr>
          <w:p w14:paraId="61E52CD8">
            <w:pPr>
              <w:jc w:val="center"/>
              <w:rPr>
                <w:rFonts w:ascii="宋体" w:hAnsi="宋体"/>
                <w:szCs w:val="21"/>
              </w:rPr>
            </w:pPr>
          </w:p>
        </w:tc>
      </w:tr>
      <w:tr w14:paraId="0FD9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0425DA81">
            <w:pPr>
              <w:ind w:left="-111" w:firstLine="54"/>
              <w:jc w:val="center"/>
              <w:rPr>
                <w:rFonts w:ascii="宋体" w:hAnsi="宋体"/>
                <w:szCs w:val="21"/>
              </w:rPr>
            </w:pPr>
          </w:p>
        </w:tc>
        <w:tc>
          <w:tcPr>
            <w:tcW w:w="3060" w:type="dxa"/>
            <w:vAlign w:val="center"/>
          </w:tcPr>
          <w:p w14:paraId="0BDDF6B2">
            <w:pPr>
              <w:jc w:val="center"/>
              <w:rPr>
                <w:rFonts w:ascii="宋体" w:hAnsi="宋体"/>
                <w:szCs w:val="21"/>
              </w:rPr>
            </w:pPr>
          </w:p>
        </w:tc>
        <w:tc>
          <w:tcPr>
            <w:tcW w:w="1080" w:type="dxa"/>
            <w:vAlign w:val="center"/>
          </w:tcPr>
          <w:p w14:paraId="53F3319F">
            <w:pPr>
              <w:jc w:val="center"/>
              <w:rPr>
                <w:rFonts w:ascii="宋体" w:hAnsi="宋体"/>
                <w:szCs w:val="21"/>
              </w:rPr>
            </w:pPr>
          </w:p>
        </w:tc>
        <w:tc>
          <w:tcPr>
            <w:tcW w:w="1260" w:type="dxa"/>
            <w:vAlign w:val="center"/>
          </w:tcPr>
          <w:p w14:paraId="7FA84F50">
            <w:pPr>
              <w:jc w:val="center"/>
              <w:rPr>
                <w:rFonts w:ascii="宋体" w:hAnsi="宋体"/>
                <w:szCs w:val="21"/>
              </w:rPr>
            </w:pPr>
          </w:p>
        </w:tc>
        <w:tc>
          <w:tcPr>
            <w:tcW w:w="1260" w:type="dxa"/>
            <w:vAlign w:val="center"/>
          </w:tcPr>
          <w:p w14:paraId="26E8B1D0">
            <w:pPr>
              <w:jc w:val="center"/>
              <w:rPr>
                <w:rFonts w:ascii="宋体" w:hAnsi="宋体"/>
                <w:szCs w:val="21"/>
              </w:rPr>
            </w:pPr>
          </w:p>
        </w:tc>
        <w:tc>
          <w:tcPr>
            <w:tcW w:w="1260" w:type="dxa"/>
            <w:vAlign w:val="center"/>
          </w:tcPr>
          <w:p w14:paraId="1C92B3E0">
            <w:pPr>
              <w:jc w:val="center"/>
              <w:rPr>
                <w:rFonts w:ascii="宋体" w:hAnsi="宋体"/>
                <w:szCs w:val="21"/>
              </w:rPr>
            </w:pPr>
          </w:p>
        </w:tc>
        <w:tc>
          <w:tcPr>
            <w:tcW w:w="1107" w:type="dxa"/>
            <w:vAlign w:val="center"/>
          </w:tcPr>
          <w:p w14:paraId="38A7D4AF">
            <w:pPr>
              <w:jc w:val="center"/>
              <w:rPr>
                <w:rFonts w:ascii="宋体" w:hAnsi="宋体"/>
                <w:szCs w:val="21"/>
              </w:rPr>
            </w:pPr>
          </w:p>
        </w:tc>
      </w:tr>
      <w:tr w14:paraId="7A83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42829FD6">
            <w:pPr>
              <w:ind w:left="-111" w:firstLine="54"/>
              <w:jc w:val="center"/>
              <w:rPr>
                <w:rFonts w:ascii="宋体" w:hAnsi="宋体"/>
                <w:szCs w:val="21"/>
              </w:rPr>
            </w:pPr>
          </w:p>
        </w:tc>
        <w:tc>
          <w:tcPr>
            <w:tcW w:w="3060" w:type="dxa"/>
            <w:vAlign w:val="center"/>
          </w:tcPr>
          <w:p w14:paraId="1EE85556">
            <w:pPr>
              <w:jc w:val="center"/>
              <w:rPr>
                <w:rFonts w:ascii="宋体" w:hAnsi="宋体"/>
                <w:szCs w:val="21"/>
              </w:rPr>
            </w:pPr>
          </w:p>
        </w:tc>
        <w:tc>
          <w:tcPr>
            <w:tcW w:w="1080" w:type="dxa"/>
            <w:vAlign w:val="center"/>
          </w:tcPr>
          <w:p w14:paraId="0A17875D">
            <w:pPr>
              <w:jc w:val="center"/>
              <w:rPr>
                <w:rFonts w:ascii="宋体" w:hAnsi="宋体"/>
                <w:szCs w:val="21"/>
              </w:rPr>
            </w:pPr>
          </w:p>
        </w:tc>
        <w:tc>
          <w:tcPr>
            <w:tcW w:w="1260" w:type="dxa"/>
            <w:vAlign w:val="center"/>
          </w:tcPr>
          <w:p w14:paraId="27AD2168">
            <w:pPr>
              <w:jc w:val="center"/>
              <w:rPr>
                <w:rFonts w:ascii="宋体" w:hAnsi="宋体"/>
                <w:szCs w:val="21"/>
              </w:rPr>
            </w:pPr>
          </w:p>
        </w:tc>
        <w:tc>
          <w:tcPr>
            <w:tcW w:w="1260" w:type="dxa"/>
            <w:vAlign w:val="center"/>
          </w:tcPr>
          <w:p w14:paraId="595E28C0">
            <w:pPr>
              <w:jc w:val="center"/>
              <w:rPr>
                <w:rFonts w:ascii="宋体" w:hAnsi="宋体"/>
                <w:szCs w:val="21"/>
              </w:rPr>
            </w:pPr>
          </w:p>
        </w:tc>
        <w:tc>
          <w:tcPr>
            <w:tcW w:w="1260" w:type="dxa"/>
            <w:vAlign w:val="center"/>
          </w:tcPr>
          <w:p w14:paraId="392B7C3D">
            <w:pPr>
              <w:jc w:val="center"/>
              <w:rPr>
                <w:rFonts w:ascii="宋体" w:hAnsi="宋体"/>
                <w:szCs w:val="21"/>
              </w:rPr>
            </w:pPr>
          </w:p>
        </w:tc>
        <w:tc>
          <w:tcPr>
            <w:tcW w:w="1107" w:type="dxa"/>
            <w:vAlign w:val="center"/>
          </w:tcPr>
          <w:p w14:paraId="79176BE1">
            <w:pPr>
              <w:jc w:val="center"/>
              <w:rPr>
                <w:rFonts w:ascii="宋体" w:hAnsi="宋体"/>
                <w:szCs w:val="21"/>
              </w:rPr>
            </w:pPr>
          </w:p>
        </w:tc>
      </w:tr>
      <w:tr w14:paraId="5374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3C88F0C1">
            <w:pPr>
              <w:ind w:left="-111" w:firstLine="54"/>
              <w:jc w:val="center"/>
              <w:rPr>
                <w:rFonts w:ascii="宋体" w:hAnsi="宋体"/>
                <w:szCs w:val="21"/>
              </w:rPr>
            </w:pPr>
          </w:p>
        </w:tc>
        <w:tc>
          <w:tcPr>
            <w:tcW w:w="3060" w:type="dxa"/>
            <w:vAlign w:val="center"/>
          </w:tcPr>
          <w:p w14:paraId="2A279C4C">
            <w:pPr>
              <w:jc w:val="center"/>
              <w:rPr>
                <w:rFonts w:ascii="宋体" w:hAnsi="宋体"/>
                <w:szCs w:val="21"/>
              </w:rPr>
            </w:pPr>
          </w:p>
        </w:tc>
        <w:tc>
          <w:tcPr>
            <w:tcW w:w="1080" w:type="dxa"/>
            <w:vAlign w:val="center"/>
          </w:tcPr>
          <w:p w14:paraId="32C0F78F">
            <w:pPr>
              <w:jc w:val="center"/>
              <w:rPr>
                <w:rFonts w:ascii="宋体" w:hAnsi="宋体"/>
                <w:szCs w:val="21"/>
              </w:rPr>
            </w:pPr>
          </w:p>
        </w:tc>
        <w:tc>
          <w:tcPr>
            <w:tcW w:w="1260" w:type="dxa"/>
            <w:vAlign w:val="center"/>
          </w:tcPr>
          <w:p w14:paraId="23ADCCDD">
            <w:pPr>
              <w:jc w:val="center"/>
              <w:rPr>
                <w:rFonts w:ascii="宋体" w:hAnsi="宋体"/>
                <w:szCs w:val="21"/>
              </w:rPr>
            </w:pPr>
          </w:p>
        </w:tc>
        <w:tc>
          <w:tcPr>
            <w:tcW w:w="1260" w:type="dxa"/>
            <w:vAlign w:val="center"/>
          </w:tcPr>
          <w:p w14:paraId="4C68184C">
            <w:pPr>
              <w:jc w:val="center"/>
              <w:rPr>
                <w:rFonts w:ascii="宋体" w:hAnsi="宋体"/>
                <w:szCs w:val="21"/>
              </w:rPr>
            </w:pPr>
          </w:p>
        </w:tc>
        <w:tc>
          <w:tcPr>
            <w:tcW w:w="1260" w:type="dxa"/>
            <w:vAlign w:val="center"/>
          </w:tcPr>
          <w:p w14:paraId="6373CF33">
            <w:pPr>
              <w:jc w:val="center"/>
              <w:rPr>
                <w:rFonts w:ascii="宋体" w:hAnsi="宋体"/>
                <w:szCs w:val="21"/>
              </w:rPr>
            </w:pPr>
          </w:p>
        </w:tc>
        <w:tc>
          <w:tcPr>
            <w:tcW w:w="1107" w:type="dxa"/>
            <w:vAlign w:val="center"/>
          </w:tcPr>
          <w:p w14:paraId="7563761B">
            <w:pPr>
              <w:jc w:val="center"/>
              <w:rPr>
                <w:rFonts w:ascii="宋体" w:hAnsi="宋体"/>
                <w:szCs w:val="21"/>
              </w:rPr>
            </w:pPr>
          </w:p>
        </w:tc>
      </w:tr>
      <w:tr w14:paraId="6247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88" w:type="dxa"/>
            <w:gridSpan w:val="2"/>
            <w:vMerge w:val="restart"/>
            <w:vAlign w:val="center"/>
          </w:tcPr>
          <w:p w14:paraId="1CFCD47B">
            <w:pPr>
              <w:jc w:val="center"/>
              <w:rPr>
                <w:rFonts w:ascii="宋体" w:hAnsi="宋体"/>
                <w:szCs w:val="21"/>
              </w:rPr>
            </w:pPr>
            <w:r>
              <w:rPr>
                <w:rFonts w:ascii="宋体" w:hAnsi="宋体"/>
                <w:szCs w:val="21"/>
              </w:rPr>
              <w:t>合计</w:t>
            </w:r>
          </w:p>
        </w:tc>
        <w:tc>
          <w:tcPr>
            <w:tcW w:w="5967" w:type="dxa"/>
            <w:gridSpan w:val="5"/>
            <w:vAlign w:val="center"/>
          </w:tcPr>
          <w:p w14:paraId="417BCBE0">
            <w:pPr>
              <w:jc w:val="left"/>
              <w:rPr>
                <w:rFonts w:ascii="宋体" w:hAnsi="宋体"/>
                <w:szCs w:val="21"/>
              </w:rPr>
            </w:pPr>
            <w:r>
              <w:rPr>
                <w:rFonts w:ascii="宋体" w:hAnsi="宋体"/>
                <w:szCs w:val="21"/>
              </w:rPr>
              <w:t>（小写）</w:t>
            </w:r>
          </w:p>
        </w:tc>
      </w:tr>
      <w:tr w14:paraId="5F60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88" w:type="dxa"/>
            <w:gridSpan w:val="2"/>
            <w:vMerge w:val="continue"/>
            <w:vAlign w:val="center"/>
          </w:tcPr>
          <w:p w14:paraId="41BFAAD2">
            <w:pPr>
              <w:jc w:val="center"/>
              <w:rPr>
                <w:rFonts w:ascii="宋体" w:hAnsi="宋体"/>
                <w:szCs w:val="21"/>
              </w:rPr>
            </w:pPr>
          </w:p>
        </w:tc>
        <w:tc>
          <w:tcPr>
            <w:tcW w:w="5967" w:type="dxa"/>
            <w:gridSpan w:val="5"/>
            <w:vAlign w:val="center"/>
          </w:tcPr>
          <w:p w14:paraId="48769227">
            <w:pPr>
              <w:jc w:val="left"/>
              <w:rPr>
                <w:rFonts w:ascii="宋体" w:hAnsi="宋体"/>
                <w:szCs w:val="21"/>
              </w:rPr>
            </w:pPr>
            <w:r>
              <w:rPr>
                <w:rFonts w:ascii="宋体" w:hAnsi="宋体"/>
                <w:szCs w:val="21"/>
              </w:rPr>
              <w:t>（大写）</w:t>
            </w:r>
          </w:p>
        </w:tc>
      </w:tr>
    </w:tbl>
    <w:p w14:paraId="57AD4A21">
      <w:pPr>
        <w:spacing w:line="360" w:lineRule="auto"/>
        <w:rPr>
          <w:rFonts w:ascii="宋体" w:hAnsi="宋体"/>
          <w:bCs/>
          <w:sz w:val="24"/>
          <w:lang w:val="zh-CN"/>
        </w:rPr>
      </w:pPr>
    </w:p>
    <w:p w14:paraId="52CC0ED5">
      <w:pPr>
        <w:spacing w:line="360" w:lineRule="auto"/>
        <w:ind w:left="5459" w:hanging="5459"/>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3BE724FF">
      <w:pPr>
        <w:spacing w:line="360" w:lineRule="auto"/>
        <w:ind w:left="5459" w:hanging="5459"/>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14C7844">
      <w:pPr>
        <w:pStyle w:val="8"/>
        <w:rPr>
          <w:lang w:val="zh-CN"/>
        </w:rPr>
      </w:pPr>
    </w:p>
    <w:p w14:paraId="29FBFD3B">
      <w:pPr>
        <w:spacing w:line="360" w:lineRule="auto"/>
        <w:rPr>
          <w:rFonts w:ascii="宋体" w:hAnsi="宋体"/>
          <w:bCs/>
          <w:sz w:val="24"/>
        </w:rPr>
      </w:pPr>
      <w:r>
        <w:rPr>
          <w:rFonts w:hint="eastAsia" w:ascii="宋体" w:hAnsi="宋体"/>
          <w:bCs/>
          <w:sz w:val="24"/>
        </w:rPr>
        <w:t xml:space="preserve">                                             日期：</w:t>
      </w:r>
    </w:p>
    <w:p w14:paraId="2F0F276B">
      <w:pPr>
        <w:pStyle w:val="41"/>
        <w:ind w:firstLine="420"/>
      </w:pPr>
    </w:p>
    <w:p w14:paraId="76A1A716">
      <w:pPr>
        <w:spacing w:line="360" w:lineRule="auto"/>
        <w:rPr>
          <w:rFonts w:ascii="宋体" w:hAnsi="宋体"/>
          <w:bCs/>
          <w:szCs w:val="21"/>
        </w:rPr>
      </w:pPr>
      <w:bookmarkStart w:id="112" w:name="OLE_LINK149"/>
      <w:r>
        <w:rPr>
          <w:rFonts w:hint="eastAsia" w:ascii="宋体" w:hAnsi="宋体"/>
          <w:bCs/>
          <w:szCs w:val="21"/>
        </w:rPr>
        <w:t xml:space="preserve">注： </w:t>
      </w:r>
    </w:p>
    <w:p w14:paraId="455A2E84">
      <w:pPr>
        <w:spacing w:line="360" w:lineRule="auto"/>
        <w:ind w:firstLine="421"/>
        <w:rPr>
          <w:rFonts w:ascii="宋体" w:hAnsi="宋体"/>
          <w:bCs/>
          <w:szCs w:val="21"/>
        </w:rPr>
      </w:pPr>
      <w:r>
        <w:rPr>
          <w:rFonts w:hint="eastAsia" w:ascii="宋体" w:hAnsi="宋体"/>
          <w:bCs/>
          <w:szCs w:val="21"/>
        </w:rPr>
        <w:t>（1）投标人应当根据“第四章 项目技术要求和有关说明”的内容详细填写明细报价表，须包括本次采购的所有细项；“明细报价表”合计金额应与“开标一览表”报价一致。</w:t>
      </w:r>
      <w:bookmarkEnd w:id="112"/>
    </w:p>
    <w:p w14:paraId="44FFECD1">
      <w:pPr>
        <w:ind w:firstLine="420" w:firstLineChars="200"/>
        <w:rPr>
          <w:rFonts w:hint="eastAsia" w:ascii="宋体" w:hAnsi="宋体"/>
          <w:bCs/>
          <w:szCs w:val="21"/>
        </w:rPr>
      </w:pPr>
      <w:r>
        <w:rPr>
          <w:rFonts w:hint="eastAsia" w:ascii="宋体" w:hAnsi="宋体"/>
          <w:bCs/>
          <w:szCs w:val="21"/>
        </w:rPr>
        <w:t>（2）表格不够可自行延长。</w:t>
      </w:r>
    </w:p>
    <w:p w14:paraId="09558233">
      <w:pPr>
        <w:ind w:firstLine="420" w:firstLineChars="200"/>
        <w:rPr>
          <w:rFonts w:ascii="宋体" w:hAnsi="宋体"/>
          <w:b/>
          <w:bCs/>
          <w:szCs w:val="21"/>
        </w:rPr>
      </w:pPr>
      <w:r>
        <w:rPr>
          <w:rFonts w:hint="eastAsia" w:ascii="宋体" w:hAnsi="宋体"/>
          <w:bCs/>
          <w:szCs w:val="21"/>
          <w:lang w:eastAsia="zh-CN"/>
        </w:rPr>
        <w:t>（</w:t>
      </w:r>
      <w:r>
        <w:rPr>
          <w:rFonts w:hint="eastAsia" w:ascii="宋体" w:hAnsi="宋体"/>
          <w:bCs/>
          <w:szCs w:val="21"/>
          <w:lang w:val="en-US" w:eastAsia="zh-CN"/>
        </w:rPr>
        <w:t>3</w:t>
      </w:r>
      <w:r>
        <w:rPr>
          <w:rFonts w:hint="eastAsia" w:ascii="宋体" w:hAnsi="宋体"/>
          <w:bCs/>
          <w:szCs w:val="21"/>
          <w:lang w:eastAsia="zh-CN"/>
        </w:rPr>
        <w:t>）</w:t>
      </w:r>
      <w:r>
        <w:rPr>
          <w:rFonts w:hint="eastAsia" w:ascii="宋体" w:hAnsi="宋体"/>
          <w:b w:val="0"/>
          <w:bCs w:val="0"/>
          <w:szCs w:val="21"/>
        </w:rPr>
        <w:t>政府采购政策功能落实</w:t>
      </w:r>
    </w:p>
    <w:p w14:paraId="6562F151">
      <w:pPr>
        <w:ind w:firstLine="420" w:firstLineChars="200"/>
        <w:rPr>
          <w:rFonts w:ascii="宋体" w:hAnsi="宋体"/>
          <w:szCs w:val="21"/>
        </w:rPr>
      </w:pPr>
      <w:r>
        <w:rPr>
          <w:rFonts w:hint="eastAsia" w:ascii="宋体" w:hAnsi="宋体"/>
          <w:szCs w:val="21"/>
        </w:rPr>
        <w:t>1、小微型企业价格扣除</w:t>
      </w:r>
    </w:p>
    <w:p w14:paraId="1CD23592">
      <w:pPr>
        <w:ind w:firstLine="420" w:firstLineChars="200"/>
        <w:rPr>
          <w:rFonts w:ascii="宋体" w:hAnsi="宋体"/>
          <w:szCs w:val="21"/>
        </w:rPr>
      </w:pPr>
      <w:r>
        <w:rPr>
          <w:rFonts w:hint="eastAsia" w:ascii="宋体" w:hAnsi="宋体"/>
          <w:szCs w:val="21"/>
        </w:rPr>
        <w:t>（1）本项目对小型和微型企业产品给予5%的扣除价格，用扣除后的价格参与评审。</w:t>
      </w:r>
    </w:p>
    <w:p w14:paraId="1944A395">
      <w:pPr>
        <w:ind w:firstLine="420" w:firstLineChars="200"/>
        <w:rPr>
          <w:rFonts w:ascii="宋体" w:hAnsi="宋体"/>
          <w:szCs w:val="21"/>
        </w:rPr>
      </w:pPr>
      <w:r>
        <w:rPr>
          <w:rFonts w:hint="eastAsia" w:ascii="宋体" w:hAnsi="宋体"/>
          <w:szCs w:val="21"/>
        </w:rPr>
        <w:t>（2）供应商需按照招标文件的要求提供相应的《企业声明函》。</w:t>
      </w:r>
    </w:p>
    <w:p w14:paraId="4E6AF430">
      <w:pPr>
        <w:ind w:firstLine="420" w:firstLineChars="200"/>
        <w:rPr>
          <w:rFonts w:ascii="宋体" w:hAnsi="宋体"/>
          <w:szCs w:val="21"/>
        </w:rPr>
      </w:pPr>
      <w:r>
        <w:rPr>
          <w:rFonts w:hint="eastAsia" w:ascii="宋体" w:hAnsi="宋体"/>
          <w:szCs w:val="21"/>
        </w:rPr>
        <w:t>（3）企业标准请参照《关于印发中小企业划型标准规定的通知》（工信部联企业[2011]300号）文件规定自行填写。</w:t>
      </w:r>
    </w:p>
    <w:p w14:paraId="3C230F39">
      <w:pPr>
        <w:ind w:firstLine="420" w:firstLineChars="200"/>
        <w:rPr>
          <w:rFonts w:ascii="宋体" w:hAnsi="宋体"/>
          <w:szCs w:val="21"/>
        </w:rPr>
      </w:pPr>
      <w:r>
        <w:rPr>
          <w:rFonts w:hint="eastAsia" w:ascii="宋体" w:hAnsi="宋体"/>
          <w:szCs w:val="21"/>
        </w:rPr>
        <w:t>2、残疾人福利单位价格扣除</w:t>
      </w:r>
    </w:p>
    <w:p w14:paraId="3BFB9263">
      <w:pPr>
        <w:ind w:firstLine="420" w:firstLineChars="200"/>
        <w:rPr>
          <w:rFonts w:ascii="宋体" w:hAnsi="宋体"/>
          <w:szCs w:val="21"/>
        </w:rPr>
      </w:pPr>
      <w:r>
        <w:rPr>
          <w:rFonts w:hint="eastAsia" w:ascii="宋体" w:hAnsi="宋体"/>
          <w:szCs w:val="21"/>
        </w:rPr>
        <w:t>（1）本项目对残疾人福利性单位视同小型、微型企业，给予5%的价格扣除，用扣除后的价格参与评审。</w:t>
      </w:r>
    </w:p>
    <w:p w14:paraId="3AFAC06B">
      <w:pPr>
        <w:ind w:firstLine="420" w:firstLineChars="200"/>
        <w:rPr>
          <w:rFonts w:ascii="宋体" w:hAnsi="宋体"/>
          <w:szCs w:val="21"/>
        </w:rPr>
      </w:pPr>
      <w:r>
        <w:rPr>
          <w:rFonts w:hint="eastAsia" w:ascii="宋体" w:hAnsi="宋体"/>
          <w:szCs w:val="21"/>
        </w:rPr>
        <w:t>（2）残疾人福利单位需按照采购文件的要求提供《残疾人福利性单位声明函》。</w:t>
      </w:r>
    </w:p>
    <w:p w14:paraId="3244B8F4">
      <w:pPr>
        <w:ind w:firstLine="420" w:firstLineChars="200"/>
        <w:rPr>
          <w:rFonts w:ascii="宋体" w:hAnsi="宋体"/>
          <w:szCs w:val="21"/>
        </w:rPr>
      </w:pPr>
      <w:r>
        <w:rPr>
          <w:rFonts w:hint="eastAsia" w:ascii="宋体" w:hAnsi="宋体"/>
          <w:szCs w:val="21"/>
        </w:rPr>
        <w:t>（3）残疾人福利单位标准请参照《关于促进残疾人就业政府采购政策的通知》（财库〔2017〕141号）。</w:t>
      </w:r>
    </w:p>
    <w:p w14:paraId="7120279C">
      <w:pPr>
        <w:ind w:firstLine="420" w:firstLineChars="200"/>
        <w:rPr>
          <w:rFonts w:ascii="宋体" w:hAnsi="宋体"/>
          <w:szCs w:val="21"/>
        </w:rPr>
      </w:pPr>
      <w:r>
        <w:rPr>
          <w:rFonts w:hint="eastAsia" w:ascii="宋体" w:hAnsi="宋体"/>
          <w:szCs w:val="21"/>
        </w:rPr>
        <w:t>3、监狱和戒毒企业价格扣除</w:t>
      </w:r>
    </w:p>
    <w:p w14:paraId="4F254235">
      <w:pPr>
        <w:ind w:firstLine="420" w:firstLineChars="200"/>
        <w:rPr>
          <w:rFonts w:ascii="宋体" w:hAnsi="宋体"/>
          <w:szCs w:val="21"/>
        </w:rPr>
      </w:pPr>
      <w:r>
        <w:rPr>
          <w:rFonts w:hint="eastAsia" w:ascii="宋体" w:hAnsi="宋体"/>
          <w:szCs w:val="21"/>
        </w:rPr>
        <w:t>（1）本项目对监狱和戒毒企业（简称监狱企业）视同小型、微型企业，给予5%的价格扣除，用扣除后的价格参与评审。</w:t>
      </w:r>
    </w:p>
    <w:p w14:paraId="00947C2E">
      <w:pPr>
        <w:ind w:firstLine="420" w:firstLineChars="200"/>
        <w:rPr>
          <w:rFonts w:ascii="宋体" w:hAnsi="宋体"/>
          <w:szCs w:val="21"/>
        </w:rPr>
      </w:pPr>
      <w:r>
        <w:rPr>
          <w:rFonts w:hint="eastAsia" w:ascii="宋体" w:hAnsi="宋体"/>
          <w:szCs w:val="21"/>
        </w:rPr>
        <w:t>（2）监狱企业参加政府采购活动时，需提供由省级以上监狱管理局、戒毒管理局(含新疆生产建设兵团)出具的属于监狱企业的证明文件。供应商如不提供上述证明文件，价格将不做相应扣除。</w:t>
      </w:r>
    </w:p>
    <w:p w14:paraId="1DD017D9">
      <w:pPr>
        <w:ind w:firstLine="420" w:firstLineChars="200"/>
        <w:rPr>
          <w:rFonts w:ascii="宋体" w:hAnsi="宋体"/>
          <w:szCs w:val="21"/>
        </w:rPr>
      </w:pPr>
      <w:r>
        <w:rPr>
          <w:rFonts w:hint="eastAsia" w:ascii="宋体" w:hAnsi="宋体"/>
          <w:szCs w:val="21"/>
        </w:rPr>
        <w:t>（3）监狱企业标准请参照《关于政府采购支持监狱企业发展有关问题的通知》（财库[2014]68号）。</w:t>
      </w:r>
    </w:p>
    <w:p w14:paraId="14DF8D97">
      <w:pPr>
        <w:ind w:firstLine="420" w:firstLineChars="200"/>
        <w:rPr>
          <w:rFonts w:ascii="宋体" w:hAnsi="宋体"/>
          <w:szCs w:val="21"/>
        </w:rPr>
      </w:pPr>
      <w:r>
        <w:rPr>
          <w:rFonts w:hint="eastAsia" w:ascii="宋体" w:hAnsi="宋体"/>
          <w:szCs w:val="21"/>
        </w:rPr>
        <w:t>4、残疾人福利单位、监狱企业属于小型、微型企业的，不重复享受政策。</w:t>
      </w:r>
    </w:p>
    <w:p w14:paraId="09C86096">
      <w:pPr>
        <w:spacing w:line="360" w:lineRule="auto"/>
        <w:ind w:firstLine="421"/>
        <w:rPr>
          <w:rFonts w:ascii="宋体" w:hAnsi="宋体"/>
          <w:bCs/>
          <w:szCs w:val="21"/>
        </w:rPr>
      </w:pPr>
    </w:p>
    <w:p w14:paraId="35A9CBB5">
      <w:pPr>
        <w:rPr>
          <w:rFonts w:ascii="黑体" w:eastAsia="黑体"/>
          <w:bCs/>
          <w:sz w:val="24"/>
          <w:szCs w:val="24"/>
        </w:rPr>
      </w:pPr>
      <w:r>
        <w:rPr>
          <w:rFonts w:hint="eastAsia" w:ascii="黑体" w:eastAsia="黑体"/>
          <w:bCs/>
          <w:sz w:val="24"/>
          <w:szCs w:val="24"/>
        </w:rPr>
        <w:br w:type="page" w:clear="all"/>
      </w:r>
    </w:p>
    <w:p w14:paraId="58B6CF2C">
      <w:pPr>
        <w:jc w:val="center"/>
        <w:rPr>
          <w:rFonts w:ascii="黑体" w:hAnsi="黑体" w:eastAsia="黑体"/>
          <w:sz w:val="28"/>
          <w:szCs w:val="28"/>
        </w:rPr>
      </w:pPr>
      <w:r>
        <w:rPr>
          <w:rFonts w:hint="eastAsia" w:ascii="黑体" w:hAnsi="黑体" w:eastAsia="黑体"/>
          <w:sz w:val="28"/>
          <w:szCs w:val="28"/>
        </w:rPr>
        <w:t>2.2 供应商企业性质及产品类别说明</w:t>
      </w:r>
    </w:p>
    <w:p w14:paraId="3B4FAC4D">
      <w:pPr>
        <w:spacing w:before="156" w:beforeLines="50" w:after="156" w:afterLines="50"/>
        <w:rPr>
          <w:rFonts w:ascii="宋体" w:hAnsi="宋体"/>
          <w:sz w:val="24"/>
          <w:szCs w:val="24"/>
        </w:rPr>
      </w:pPr>
      <w:r>
        <w:rPr>
          <w:rFonts w:hint="eastAsia" w:ascii="宋体" w:hAnsi="宋体"/>
          <w:sz w:val="24"/>
          <w:szCs w:val="24"/>
        </w:rPr>
        <w:t xml:space="preserve">项目名称：江苏省宜兴强制隔离戒毒所配餐中心局部维修改造项目         </w:t>
      </w:r>
    </w:p>
    <w:p w14:paraId="611E0A63">
      <w:pPr>
        <w:spacing w:before="156" w:beforeLines="50" w:after="156" w:afterLines="50"/>
        <w:rPr>
          <w:rFonts w:ascii="宋体" w:hAnsi="宋体"/>
          <w:sz w:val="24"/>
          <w:szCs w:val="24"/>
        </w:rPr>
      </w:pPr>
      <w:r>
        <w:rPr>
          <w:rFonts w:hint="eastAsia" w:ascii="宋体" w:hAnsi="宋体"/>
          <w:sz w:val="24"/>
          <w:szCs w:val="24"/>
        </w:rPr>
        <w:t>项目编号：YXJDS-JJK-2025-006</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45"/>
        <w:gridCol w:w="2782"/>
        <w:gridCol w:w="3478"/>
        <w:gridCol w:w="1545"/>
      </w:tblGrid>
      <w:tr w14:paraId="6416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50" w:type="dxa"/>
            <w:vAlign w:val="center"/>
          </w:tcPr>
          <w:p w14:paraId="249DD0E0">
            <w:pPr>
              <w:spacing w:line="360" w:lineRule="auto"/>
              <w:jc w:val="center"/>
              <w:rPr>
                <w:rFonts w:ascii="宋体" w:hAnsi="宋体" w:cs="宋体"/>
                <w:kern w:val="0"/>
                <w:szCs w:val="21"/>
                <w:lang w:val="zh-CN"/>
              </w:rPr>
            </w:pPr>
            <w:r>
              <w:rPr>
                <w:rFonts w:hint="eastAsia" w:ascii="宋体" w:hAnsi="宋体"/>
                <w:szCs w:val="21"/>
                <w:lang w:val="zh-CN"/>
              </w:rPr>
              <w:t>序号</w:t>
            </w:r>
          </w:p>
        </w:tc>
        <w:tc>
          <w:tcPr>
            <w:tcW w:w="1145" w:type="dxa"/>
            <w:vAlign w:val="center"/>
          </w:tcPr>
          <w:p w14:paraId="11A753A7">
            <w:pPr>
              <w:spacing w:line="360" w:lineRule="auto"/>
              <w:jc w:val="center"/>
              <w:rPr>
                <w:rFonts w:ascii="宋体" w:hAnsi="宋体" w:cs="宋体"/>
                <w:kern w:val="0"/>
                <w:szCs w:val="21"/>
                <w:lang w:val="zh-CN"/>
              </w:rPr>
            </w:pPr>
            <w:r>
              <w:rPr>
                <w:rFonts w:hint="eastAsia" w:ascii="宋体" w:hAnsi="宋体" w:cs="宋体"/>
                <w:kern w:val="0"/>
                <w:szCs w:val="21"/>
                <w:lang w:val="zh-CN"/>
              </w:rPr>
              <w:t>企业</w:t>
            </w:r>
          </w:p>
          <w:p w14:paraId="7E8B501E">
            <w:pPr>
              <w:spacing w:line="360" w:lineRule="auto"/>
              <w:jc w:val="center"/>
              <w:rPr>
                <w:rFonts w:ascii="宋体" w:hAnsi="宋体" w:cs="宋体"/>
                <w:kern w:val="0"/>
                <w:szCs w:val="21"/>
                <w:lang w:val="zh-CN"/>
              </w:rPr>
            </w:pPr>
            <w:r>
              <w:rPr>
                <w:rFonts w:hint="eastAsia" w:ascii="宋体" w:hAnsi="宋体" w:cs="宋体"/>
                <w:kern w:val="0"/>
                <w:szCs w:val="21"/>
                <w:lang w:val="zh-CN"/>
              </w:rPr>
              <w:t>性质</w:t>
            </w:r>
          </w:p>
        </w:tc>
        <w:tc>
          <w:tcPr>
            <w:tcW w:w="2782" w:type="dxa"/>
            <w:vAlign w:val="center"/>
          </w:tcPr>
          <w:p w14:paraId="5059FFA2">
            <w:pPr>
              <w:spacing w:line="360" w:lineRule="auto"/>
              <w:jc w:val="center"/>
              <w:rPr>
                <w:rFonts w:ascii="宋体" w:hAnsi="宋体" w:cs="宋体"/>
                <w:kern w:val="0"/>
                <w:szCs w:val="21"/>
                <w:lang w:val="zh-CN"/>
              </w:rPr>
            </w:pPr>
            <w:r>
              <w:rPr>
                <w:rFonts w:hint="eastAsia" w:ascii="宋体" w:hAnsi="宋体" w:cs="宋体"/>
                <w:kern w:val="0"/>
                <w:szCs w:val="21"/>
                <w:lang w:val="zh-CN"/>
              </w:rPr>
              <w:t>报价产品类别</w:t>
            </w:r>
          </w:p>
        </w:tc>
        <w:tc>
          <w:tcPr>
            <w:tcW w:w="3478" w:type="dxa"/>
            <w:vAlign w:val="center"/>
          </w:tcPr>
          <w:p w14:paraId="5CA85CAF">
            <w:pPr>
              <w:spacing w:line="360" w:lineRule="auto"/>
              <w:jc w:val="center"/>
              <w:rPr>
                <w:rFonts w:ascii="宋体" w:hAnsi="宋体" w:cs="宋体"/>
                <w:kern w:val="0"/>
                <w:szCs w:val="21"/>
                <w:lang w:val="zh-CN"/>
              </w:rPr>
            </w:pPr>
            <w:r>
              <w:rPr>
                <w:rFonts w:hint="eastAsia" w:ascii="宋体" w:hAnsi="宋体" w:cs="宋体"/>
                <w:kern w:val="0"/>
                <w:szCs w:val="21"/>
                <w:lang w:val="zh-CN"/>
              </w:rPr>
              <w:t>响应文件中需要提供的</w:t>
            </w:r>
          </w:p>
          <w:p w14:paraId="1A5485F0">
            <w:pPr>
              <w:spacing w:line="360" w:lineRule="auto"/>
              <w:jc w:val="center"/>
              <w:rPr>
                <w:rFonts w:ascii="宋体" w:hAnsi="宋体" w:cs="宋体"/>
                <w:kern w:val="0"/>
                <w:szCs w:val="21"/>
                <w:lang w:val="zh-CN"/>
              </w:rPr>
            </w:pPr>
            <w:r>
              <w:rPr>
                <w:rFonts w:hint="eastAsia" w:ascii="宋体" w:hAnsi="宋体" w:cs="宋体"/>
                <w:kern w:val="0"/>
                <w:szCs w:val="21"/>
                <w:lang w:val="zh-CN"/>
              </w:rPr>
              <w:t>相关证明材料</w:t>
            </w:r>
          </w:p>
        </w:tc>
        <w:tc>
          <w:tcPr>
            <w:tcW w:w="1545" w:type="dxa"/>
            <w:vAlign w:val="center"/>
          </w:tcPr>
          <w:p w14:paraId="72477BC6">
            <w:pPr>
              <w:spacing w:line="360" w:lineRule="auto"/>
              <w:jc w:val="center"/>
              <w:rPr>
                <w:rFonts w:ascii="宋体" w:hAnsi="宋体" w:cs="宋体"/>
                <w:kern w:val="0"/>
                <w:szCs w:val="21"/>
                <w:lang w:val="zh-CN"/>
              </w:rPr>
            </w:pPr>
            <w:r>
              <w:rPr>
                <w:rFonts w:hint="eastAsia" w:ascii="宋体" w:hAnsi="宋体" w:cs="宋体"/>
                <w:kern w:val="0"/>
                <w:szCs w:val="21"/>
                <w:lang w:val="zh-CN"/>
              </w:rPr>
              <w:t>供应商（产品）类型声明</w:t>
            </w:r>
          </w:p>
        </w:tc>
      </w:tr>
      <w:tr w14:paraId="298B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750" w:type="dxa"/>
            <w:vAlign w:val="center"/>
          </w:tcPr>
          <w:p w14:paraId="552F1470">
            <w:pPr>
              <w:spacing w:line="360" w:lineRule="auto"/>
              <w:jc w:val="center"/>
              <w:rPr>
                <w:rFonts w:ascii="宋体" w:hAnsi="宋体" w:cs="宋体"/>
                <w:kern w:val="0"/>
                <w:szCs w:val="21"/>
              </w:rPr>
            </w:pPr>
            <w:r>
              <w:rPr>
                <w:rFonts w:hint="eastAsia" w:ascii="宋体" w:hAnsi="宋体" w:cs="宋体"/>
                <w:kern w:val="0"/>
                <w:szCs w:val="21"/>
              </w:rPr>
              <w:t>1</w:t>
            </w:r>
          </w:p>
        </w:tc>
        <w:tc>
          <w:tcPr>
            <w:tcW w:w="1145" w:type="dxa"/>
            <w:vAlign w:val="center"/>
          </w:tcPr>
          <w:p w14:paraId="39D00A81">
            <w:pPr>
              <w:spacing w:line="360" w:lineRule="auto"/>
              <w:jc w:val="center"/>
              <w:rPr>
                <w:rFonts w:ascii="宋体" w:hAnsi="宋体" w:cs="宋体"/>
                <w:kern w:val="0"/>
                <w:szCs w:val="21"/>
                <w:lang w:val="zh-CN"/>
              </w:rPr>
            </w:pPr>
            <w:r>
              <w:rPr>
                <w:rFonts w:hint="eastAsia" w:ascii="宋体" w:hAnsi="宋体" w:cs="宋体"/>
                <w:kern w:val="0"/>
                <w:szCs w:val="21"/>
                <w:lang w:val="zh-CN"/>
              </w:rPr>
              <w:t>小微型</w:t>
            </w:r>
          </w:p>
          <w:p w14:paraId="0393D42A">
            <w:pPr>
              <w:spacing w:line="360" w:lineRule="auto"/>
              <w:jc w:val="center"/>
              <w:rPr>
                <w:rFonts w:ascii="宋体" w:hAnsi="宋体" w:cs="宋体"/>
                <w:kern w:val="0"/>
                <w:szCs w:val="21"/>
                <w:lang w:val="zh-CN"/>
              </w:rPr>
            </w:pPr>
            <w:r>
              <w:rPr>
                <w:rFonts w:hint="eastAsia" w:ascii="宋体" w:hAnsi="宋体" w:cs="宋体"/>
                <w:kern w:val="0"/>
                <w:szCs w:val="21"/>
                <w:lang w:val="zh-CN"/>
              </w:rPr>
              <w:t>企业</w:t>
            </w:r>
          </w:p>
        </w:tc>
        <w:tc>
          <w:tcPr>
            <w:tcW w:w="2782" w:type="dxa"/>
            <w:vAlign w:val="center"/>
          </w:tcPr>
          <w:p w14:paraId="5350B42F">
            <w:pPr>
              <w:spacing w:line="360" w:lineRule="auto"/>
              <w:jc w:val="center"/>
              <w:rPr>
                <w:rFonts w:ascii="宋体" w:hAnsi="宋体" w:cs="宋体"/>
                <w:kern w:val="0"/>
                <w:szCs w:val="21"/>
              </w:rPr>
            </w:pPr>
            <w:r>
              <w:rPr>
                <w:rFonts w:hint="eastAsia" w:ascii="宋体" w:hAnsi="宋体" w:cs="宋体"/>
                <w:kern w:val="0"/>
                <w:szCs w:val="21"/>
              </w:rPr>
              <w:t>服务的承接商为</w:t>
            </w:r>
          </w:p>
          <w:p w14:paraId="775E7066">
            <w:pPr>
              <w:spacing w:line="360" w:lineRule="auto"/>
              <w:jc w:val="center"/>
              <w:rPr>
                <w:rFonts w:ascii="宋体" w:hAnsi="宋体" w:cs="宋体"/>
                <w:kern w:val="0"/>
                <w:szCs w:val="21"/>
                <w:lang w:val="zh-CN"/>
              </w:rPr>
            </w:pPr>
            <w:r>
              <w:rPr>
                <w:rFonts w:hint="eastAsia" w:ascii="宋体" w:hAnsi="宋体" w:cs="宋体"/>
                <w:kern w:val="0"/>
                <w:szCs w:val="21"/>
              </w:rPr>
              <w:t>小微企业</w:t>
            </w:r>
          </w:p>
        </w:tc>
        <w:tc>
          <w:tcPr>
            <w:tcW w:w="3478" w:type="dxa"/>
            <w:vAlign w:val="center"/>
          </w:tcPr>
          <w:p w14:paraId="20607047">
            <w:pPr>
              <w:spacing w:line="360" w:lineRule="auto"/>
              <w:jc w:val="left"/>
              <w:rPr>
                <w:rFonts w:ascii="宋体" w:hAnsi="宋体" w:cs="宋体"/>
                <w:kern w:val="0"/>
                <w:szCs w:val="21"/>
                <w:lang w:val="zh-CN"/>
              </w:rPr>
            </w:pPr>
            <w:bookmarkStart w:id="113" w:name="OLE_LINK72"/>
            <w:r>
              <w:rPr>
                <w:rFonts w:hint="eastAsia" w:ascii="宋体" w:hAnsi="宋体" w:cs="宋体"/>
                <w:kern w:val="0"/>
                <w:szCs w:val="21"/>
                <w:lang w:val="zh-CN"/>
              </w:rPr>
              <w:t>供应商《中小企业声明函》</w:t>
            </w:r>
            <w:bookmarkEnd w:id="113"/>
            <w:bookmarkStart w:id="114" w:name="OLE_LINK65"/>
            <w:r>
              <w:rPr>
                <w:rFonts w:hint="eastAsia" w:ascii="宋体" w:hAnsi="宋体" w:cs="宋体"/>
                <w:kern w:val="0"/>
                <w:szCs w:val="21"/>
                <w:lang w:val="zh-CN"/>
              </w:rPr>
              <w:t>（附件</w:t>
            </w:r>
            <w:r>
              <w:rPr>
                <w:rFonts w:hint="eastAsia" w:ascii="宋体" w:hAnsi="宋体" w:cs="宋体"/>
                <w:kern w:val="0"/>
                <w:szCs w:val="21"/>
              </w:rPr>
              <w:t>1</w:t>
            </w:r>
            <w:r>
              <w:rPr>
                <w:rFonts w:hint="eastAsia" w:ascii="宋体" w:hAnsi="宋体" w:cs="宋体"/>
                <w:kern w:val="0"/>
                <w:szCs w:val="21"/>
                <w:lang w:val="zh-CN"/>
              </w:rPr>
              <w:t>）</w:t>
            </w:r>
            <w:bookmarkEnd w:id="114"/>
          </w:p>
        </w:tc>
        <w:tc>
          <w:tcPr>
            <w:tcW w:w="1545" w:type="dxa"/>
            <w:vAlign w:val="center"/>
          </w:tcPr>
          <w:p w14:paraId="1782594A">
            <w:pPr>
              <w:spacing w:line="360" w:lineRule="auto"/>
              <w:jc w:val="center"/>
              <w:rPr>
                <w:rFonts w:ascii="宋体" w:hAnsi="宋体" w:cs="宋体"/>
                <w:kern w:val="0"/>
                <w:szCs w:val="21"/>
                <w:lang w:val="zh-CN"/>
              </w:rPr>
            </w:pPr>
            <w:r>
              <w:rPr>
                <w:rFonts w:hint="eastAsia" w:ascii="宋体" w:hAnsi="宋体" w:cs="宋体"/>
                <w:kern w:val="0"/>
                <w:szCs w:val="21"/>
                <w:lang w:val="zh-CN"/>
              </w:rPr>
              <w:t>是</w:t>
            </w:r>
            <w:r>
              <w:rPr>
                <w:rFonts w:hint="eastAsia" w:ascii="宋体" w:hAnsi="宋体" w:cs="宋体"/>
                <w:kern w:val="0"/>
                <w:szCs w:val="21"/>
              </w:rPr>
              <w:t>/</w:t>
            </w:r>
            <w:r>
              <w:rPr>
                <w:rFonts w:hint="eastAsia" w:ascii="宋体" w:hAnsi="宋体" w:cs="宋体"/>
                <w:kern w:val="0"/>
                <w:szCs w:val="21"/>
                <w:lang w:val="zh-CN"/>
              </w:rPr>
              <w:t>不是</w:t>
            </w:r>
          </w:p>
        </w:tc>
      </w:tr>
      <w:tr w14:paraId="0D8F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750" w:type="dxa"/>
            <w:vAlign w:val="center"/>
          </w:tcPr>
          <w:p w14:paraId="1468C2C9">
            <w:pPr>
              <w:spacing w:line="360" w:lineRule="auto"/>
              <w:jc w:val="center"/>
              <w:rPr>
                <w:rFonts w:ascii="宋体" w:hAnsi="宋体" w:cs="宋体"/>
                <w:kern w:val="0"/>
                <w:szCs w:val="21"/>
              </w:rPr>
            </w:pPr>
            <w:r>
              <w:rPr>
                <w:rFonts w:hint="eastAsia" w:ascii="宋体" w:hAnsi="宋体" w:cs="宋体"/>
                <w:kern w:val="0"/>
                <w:szCs w:val="21"/>
              </w:rPr>
              <w:t>2</w:t>
            </w:r>
          </w:p>
        </w:tc>
        <w:tc>
          <w:tcPr>
            <w:tcW w:w="1145" w:type="dxa"/>
            <w:vAlign w:val="center"/>
          </w:tcPr>
          <w:p w14:paraId="71E84BBD">
            <w:pPr>
              <w:spacing w:line="360" w:lineRule="auto"/>
              <w:jc w:val="center"/>
              <w:rPr>
                <w:rFonts w:ascii="宋体" w:hAnsi="宋体" w:cs="宋体"/>
                <w:kern w:val="0"/>
                <w:szCs w:val="21"/>
                <w:lang w:val="zh-CN"/>
              </w:rPr>
            </w:pPr>
            <w:r>
              <w:rPr>
                <w:rFonts w:hint="eastAsia" w:ascii="宋体" w:hAnsi="宋体" w:cs="宋体"/>
                <w:kern w:val="0"/>
                <w:szCs w:val="21"/>
                <w:lang w:val="zh-CN"/>
              </w:rPr>
              <w:t>残疾人福利性单位</w:t>
            </w:r>
          </w:p>
        </w:tc>
        <w:tc>
          <w:tcPr>
            <w:tcW w:w="2782" w:type="dxa"/>
            <w:vAlign w:val="center"/>
          </w:tcPr>
          <w:p w14:paraId="21120A42">
            <w:pPr>
              <w:spacing w:line="360" w:lineRule="auto"/>
              <w:jc w:val="center"/>
              <w:rPr>
                <w:rFonts w:ascii="宋体" w:hAnsi="宋体" w:cs="宋体"/>
                <w:kern w:val="0"/>
                <w:szCs w:val="21"/>
              </w:rPr>
            </w:pPr>
            <w:r>
              <w:rPr>
                <w:rFonts w:hint="eastAsia" w:ascii="宋体" w:hAnsi="宋体" w:cs="宋体"/>
                <w:kern w:val="0"/>
                <w:szCs w:val="21"/>
              </w:rPr>
              <w:t>服务的承接商为</w:t>
            </w:r>
          </w:p>
          <w:p w14:paraId="23125FA4">
            <w:pPr>
              <w:spacing w:line="360" w:lineRule="auto"/>
              <w:jc w:val="center"/>
              <w:rPr>
                <w:rFonts w:ascii="宋体" w:hAnsi="宋体" w:cs="宋体"/>
                <w:kern w:val="0"/>
                <w:szCs w:val="21"/>
                <w:lang w:val="zh-CN"/>
              </w:rPr>
            </w:pPr>
            <w:r>
              <w:rPr>
                <w:rFonts w:hint="eastAsia" w:ascii="宋体" w:hAnsi="宋体" w:cs="宋体"/>
                <w:kern w:val="0"/>
                <w:szCs w:val="21"/>
                <w:lang w:val="zh-CN"/>
              </w:rPr>
              <w:t>残疾人福利性单位</w:t>
            </w:r>
          </w:p>
        </w:tc>
        <w:tc>
          <w:tcPr>
            <w:tcW w:w="3478" w:type="dxa"/>
            <w:vAlign w:val="center"/>
          </w:tcPr>
          <w:p w14:paraId="692B7833">
            <w:pPr>
              <w:spacing w:line="360" w:lineRule="auto"/>
              <w:jc w:val="left"/>
              <w:rPr>
                <w:rFonts w:ascii="宋体" w:hAnsi="宋体" w:cs="宋体"/>
                <w:kern w:val="0"/>
                <w:szCs w:val="21"/>
                <w:lang w:val="zh-CN"/>
              </w:rPr>
            </w:pPr>
            <w:bookmarkStart w:id="115" w:name="OLE_LINK73"/>
            <w:r>
              <w:rPr>
                <w:rFonts w:hint="eastAsia" w:ascii="宋体" w:hAnsi="宋体" w:cs="宋体"/>
                <w:kern w:val="0"/>
                <w:szCs w:val="21"/>
                <w:lang w:val="zh-CN"/>
              </w:rPr>
              <w:t>供应商《残疾人福利性单位声明函》</w:t>
            </w:r>
            <w:bookmarkEnd w:id="115"/>
            <w:r>
              <w:rPr>
                <w:rFonts w:hint="eastAsia" w:ascii="宋体" w:hAnsi="宋体" w:cs="宋体"/>
                <w:kern w:val="0"/>
                <w:szCs w:val="21"/>
                <w:lang w:val="zh-CN"/>
              </w:rPr>
              <w:t>（附件</w:t>
            </w:r>
            <w:r>
              <w:rPr>
                <w:rFonts w:hint="eastAsia" w:ascii="宋体" w:hAnsi="宋体" w:cs="宋体"/>
                <w:kern w:val="0"/>
                <w:szCs w:val="21"/>
              </w:rPr>
              <w:t>2</w:t>
            </w:r>
            <w:r>
              <w:rPr>
                <w:rFonts w:hint="eastAsia" w:ascii="宋体" w:hAnsi="宋体" w:cs="宋体"/>
                <w:kern w:val="0"/>
                <w:szCs w:val="21"/>
                <w:lang w:val="zh-CN"/>
              </w:rPr>
              <w:t>）</w:t>
            </w:r>
          </w:p>
        </w:tc>
        <w:tc>
          <w:tcPr>
            <w:tcW w:w="1545" w:type="dxa"/>
            <w:vAlign w:val="center"/>
          </w:tcPr>
          <w:p w14:paraId="6E48C251">
            <w:pPr>
              <w:spacing w:line="360" w:lineRule="auto"/>
              <w:jc w:val="center"/>
              <w:rPr>
                <w:rFonts w:ascii="宋体" w:hAnsi="宋体" w:cs="宋体"/>
                <w:kern w:val="0"/>
                <w:szCs w:val="21"/>
                <w:lang w:val="zh-CN"/>
              </w:rPr>
            </w:pPr>
            <w:r>
              <w:rPr>
                <w:rFonts w:hint="eastAsia" w:ascii="宋体" w:hAnsi="宋体" w:cs="宋体"/>
                <w:kern w:val="0"/>
                <w:szCs w:val="21"/>
                <w:lang w:val="zh-CN"/>
              </w:rPr>
              <w:t>是</w:t>
            </w:r>
            <w:r>
              <w:rPr>
                <w:rFonts w:hint="eastAsia" w:ascii="宋体" w:hAnsi="宋体" w:cs="宋体"/>
                <w:kern w:val="0"/>
                <w:szCs w:val="21"/>
              </w:rPr>
              <w:t>/</w:t>
            </w:r>
            <w:r>
              <w:rPr>
                <w:rFonts w:hint="eastAsia" w:ascii="宋体" w:hAnsi="宋体" w:cs="宋体"/>
                <w:kern w:val="0"/>
                <w:szCs w:val="21"/>
                <w:lang w:val="zh-CN"/>
              </w:rPr>
              <w:t>不是</w:t>
            </w:r>
          </w:p>
        </w:tc>
      </w:tr>
      <w:tr w14:paraId="6952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50" w:type="dxa"/>
            <w:vAlign w:val="center"/>
          </w:tcPr>
          <w:p w14:paraId="458944ED">
            <w:pPr>
              <w:spacing w:line="360" w:lineRule="auto"/>
              <w:jc w:val="center"/>
              <w:rPr>
                <w:rFonts w:ascii="宋体" w:hAnsi="宋体" w:cs="宋体"/>
                <w:bCs/>
                <w:szCs w:val="21"/>
              </w:rPr>
            </w:pPr>
            <w:r>
              <w:rPr>
                <w:rFonts w:hint="eastAsia" w:ascii="宋体" w:hAnsi="宋体" w:cs="宋体"/>
                <w:bCs/>
                <w:szCs w:val="21"/>
              </w:rPr>
              <w:t>3</w:t>
            </w:r>
          </w:p>
        </w:tc>
        <w:tc>
          <w:tcPr>
            <w:tcW w:w="1145" w:type="dxa"/>
            <w:vAlign w:val="center"/>
          </w:tcPr>
          <w:p w14:paraId="3C81FB9F">
            <w:pPr>
              <w:spacing w:line="360" w:lineRule="auto"/>
              <w:jc w:val="center"/>
              <w:rPr>
                <w:rFonts w:ascii="宋体" w:hAnsi="宋体" w:cs="宋体"/>
                <w:bCs/>
                <w:szCs w:val="21"/>
              </w:rPr>
            </w:pPr>
            <w:r>
              <w:rPr>
                <w:rFonts w:hint="eastAsia" w:ascii="宋体" w:hAnsi="宋体" w:cs="宋体"/>
                <w:bCs/>
                <w:szCs w:val="21"/>
              </w:rPr>
              <w:t>监狱</w:t>
            </w:r>
          </w:p>
          <w:p w14:paraId="13711AC9">
            <w:pPr>
              <w:spacing w:line="360" w:lineRule="auto"/>
              <w:jc w:val="center"/>
              <w:rPr>
                <w:rFonts w:ascii="宋体" w:hAnsi="宋体" w:cs="宋体"/>
                <w:bCs/>
                <w:szCs w:val="21"/>
              </w:rPr>
            </w:pPr>
            <w:r>
              <w:rPr>
                <w:rFonts w:hint="eastAsia" w:ascii="宋体" w:hAnsi="宋体" w:cs="宋体"/>
                <w:bCs/>
                <w:szCs w:val="21"/>
              </w:rPr>
              <w:t>企业</w:t>
            </w:r>
          </w:p>
        </w:tc>
        <w:tc>
          <w:tcPr>
            <w:tcW w:w="2782" w:type="dxa"/>
            <w:vAlign w:val="center"/>
          </w:tcPr>
          <w:p w14:paraId="1BE0120D">
            <w:pPr>
              <w:spacing w:line="360" w:lineRule="auto"/>
              <w:jc w:val="center"/>
              <w:rPr>
                <w:rFonts w:ascii="宋体" w:hAnsi="宋体" w:cs="宋体"/>
                <w:kern w:val="0"/>
                <w:szCs w:val="21"/>
              </w:rPr>
            </w:pPr>
            <w:r>
              <w:rPr>
                <w:rFonts w:hint="eastAsia" w:ascii="宋体" w:hAnsi="宋体" w:cs="宋体"/>
                <w:kern w:val="0"/>
                <w:szCs w:val="21"/>
              </w:rPr>
              <w:t>服务的承接商为</w:t>
            </w:r>
          </w:p>
          <w:p w14:paraId="7855552A">
            <w:pPr>
              <w:spacing w:line="360" w:lineRule="auto"/>
              <w:jc w:val="center"/>
              <w:rPr>
                <w:rFonts w:ascii="宋体" w:hAnsi="宋体" w:cs="宋体"/>
                <w:color w:val="000000"/>
                <w:szCs w:val="21"/>
                <w:lang w:bidi="ar"/>
              </w:rPr>
            </w:pPr>
            <w:r>
              <w:rPr>
                <w:rFonts w:hint="eastAsia" w:ascii="宋体" w:hAnsi="宋体" w:cs="宋体"/>
                <w:bCs/>
                <w:szCs w:val="21"/>
              </w:rPr>
              <w:t>监狱企业</w:t>
            </w:r>
          </w:p>
        </w:tc>
        <w:tc>
          <w:tcPr>
            <w:tcW w:w="3478" w:type="dxa"/>
            <w:vAlign w:val="center"/>
          </w:tcPr>
          <w:p w14:paraId="4D17188F">
            <w:pPr>
              <w:spacing w:line="360" w:lineRule="auto"/>
              <w:jc w:val="left"/>
              <w:rPr>
                <w:rFonts w:ascii="宋体" w:hAnsi="宋体" w:cs="宋体"/>
                <w:kern w:val="0"/>
                <w:szCs w:val="21"/>
                <w:lang w:val="zh-CN"/>
              </w:rPr>
            </w:pPr>
            <w:r>
              <w:rPr>
                <w:rFonts w:hint="eastAsia" w:ascii="宋体" w:hAnsi="宋体" w:cs="宋体"/>
                <w:kern w:val="0"/>
                <w:szCs w:val="21"/>
                <w:lang w:val="zh-CN"/>
              </w:rPr>
              <w:t>省级以上监狱管理局、戒毒管理局（含新疆生产建设兵团）出具的属于监狱企业的证明文件</w:t>
            </w:r>
          </w:p>
        </w:tc>
        <w:tc>
          <w:tcPr>
            <w:tcW w:w="1545" w:type="dxa"/>
            <w:vAlign w:val="center"/>
          </w:tcPr>
          <w:p w14:paraId="645D6A40">
            <w:pPr>
              <w:spacing w:line="360" w:lineRule="auto"/>
              <w:jc w:val="center"/>
              <w:rPr>
                <w:rFonts w:ascii="宋体" w:hAnsi="宋体" w:cs="宋体"/>
                <w:kern w:val="0"/>
                <w:szCs w:val="21"/>
                <w:lang w:val="zh-CN"/>
              </w:rPr>
            </w:pPr>
            <w:r>
              <w:rPr>
                <w:rFonts w:hint="eastAsia" w:ascii="宋体" w:hAnsi="宋体" w:cs="宋体"/>
                <w:kern w:val="0"/>
                <w:szCs w:val="21"/>
                <w:lang w:val="zh-CN"/>
              </w:rPr>
              <w:t>是</w:t>
            </w:r>
            <w:r>
              <w:rPr>
                <w:rFonts w:hint="eastAsia" w:ascii="宋体" w:hAnsi="宋体" w:cs="宋体"/>
                <w:kern w:val="0"/>
                <w:szCs w:val="21"/>
              </w:rPr>
              <w:t>/</w:t>
            </w:r>
            <w:r>
              <w:rPr>
                <w:rFonts w:hint="eastAsia" w:ascii="宋体" w:hAnsi="宋体" w:cs="宋体"/>
                <w:kern w:val="0"/>
                <w:szCs w:val="21"/>
                <w:lang w:val="zh-CN"/>
              </w:rPr>
              <w:t>不是</w:t>
            </w:r>
          </w:p>
        </w:tc>
      </w:tr>
    </w:tbl>
    <w:p w14:paraId="424ACAF3">
      <w:pPr>
        <w:jc w:val="left"/>
        <w:rPr>
          <w:rFonts w:ascii="宋体" w:hAnsi="宋体" w:cs="宋体"/>
          <w:b/>
          <w:bCs/>
          <w:kern w:val="0"/>
          <w:szCs w:val="21"/>
          <w:lang w:val="zh-CN"/>
        </w:rPr>
      </w:pPr>
    </w:p>
    <w:p w14:paraId="423169D7">
      <w:pPr>
        <w:jc w:val="left"/>
        <w:rPr>
          <w:rFonts w:ascii="宋体" w:hAnsi="宋体" w:cs="宋体"/>
          <w:b/>
          <w:bCs/>
          <w:kern w:val="0"/>
          <w:szCs w:val="21"/>
          <w:lang w:val="zh-CN"/>
        </w:rPr>
      </w:pPr>
    </w:p>
    <w:p w14:paraId="7D51F381">
      <w:pPr>
        <w:spacing w:line="360" w:lineRule="auto"/>
        <w:ind w:left="2311" w:hanging="2311" w:hangingChars="963"/>
        <w:jc w:val="center"/>
        <w:rPr>
          <w:rFonts w:ascii="宋体" w:hAnsi="宋体"/>
          <w:bCs/>
          <w:sz w:val="24"/>
          <w:lang w:val="zh-CN"/>
        </w:rPr>
      </w:pPr>
      <w:r>
        <w:rPr>
          <w:rFonts w:hint="eastAsia" w:ascii="宋体" w:hAnsi="宋体"/>
          <w:bCs/>
          <w:sz w:val="24"/>
          <w:lang w:val="zh-CN"/>
        </w:rPr>
        <w:t xml:space="preserve">                     </w:t>
      </w: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3EE98823">
      <w:pPr>
        <w:spacing w:line="360" w:lineRule="auto"/>
        <w:ind w:left="2311" w:hanging="2311" w:hangingChars="963"/>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EA45AAF">
      <w:pPr>
        <w:jc w:val="left"/>
        <w:rPr>
          <w:rFonts w:ascii="宋体" w:hAnsi="宋体" w:cs="宋体"/>
          <w:b/>
          <w:bCs/>
          <w:kern w:val="0"/>
          <w:szCs w:val="21"/>
          <w:lang w:val="zh-CN"/>
        </w:rPr>
      </w:pPr>
    </w:p>
    <w:p w14:paraId="4442D2D5">
      <w:pPr>
        <w:jc w:val="left"/>
        <w:rPr>
          <w:rFonts w:ascii="宋体" w:hAnsi="宋体" w:cs="宋体"/>
          <w:b/>
          <w:bCs/>
          <w:kern w:val="0"/>
          <w:szCs w:val="21"/>
          <w:lang w:val="zh-CN"/>
        </w:rPr>
      </w:pPr>
      <w:r>
        <w:rPr>
          <w:rFonts w:hint="eastAsia" w:ascii="宋体" w:hAnsi="宋体" w:cs="宋体"/>
          <w:b/>
          <w:bCs/>
          <w:kern w:val="0"/>
          <w:szCs w:val="21"/>
          <w:lang w:val="zh-CN"/>
        </w:rPr>
        <w:t>注：</w:t>
      </w:r>
      <w:bookmarkStart w:id="116" w:name="OLE_LINK264"/>
      <w:r>
        <w:rPr>
          <w:rFonts w:hint="eastAsia" w:ascii="宋体" w:hAnsi="宋体" w:cs="宋体"/>
          <w:b/>
          <w:bCs/>
          <w:kern w:val="0"/>
          <w:szCs w:val="21"/>
          <w:lang w:val="zh-CN"/>
        </w:rPr>
        <w:t>①相关证明材料请附在本表之后，若不享受政府采购政策优惠，附件</w:t>
      </w:r>
      <w:r>
        <w:rPr>
          <w:rFonts w:hint="eastAsia" w:ascii="宋体" w:hAnsi="宋体" w:cs="宋体"/>
          <w:b/>
          <w:bCs/>
          <w:kern w:val="0"/>
          <w:szCs w:val="21"/>
        </w:rPr>
        <w:t>1-附件2可自行删除</w:t>
      </w:r>
      <w:r>
        <w:rPr>
          <w:rFonts w:hint="eastAsia" w:ascii="宋体" w:hAnsi="宋体" w:cs="宋体"/>
          <w:b/>
          <w:bCs/>
          <w:kern w:val="0"/>
          <w:szCs w:val="21"/>
          <w:lang w:val="zh-CN"/>
        </w:rPr>
        <w:t>；</w:t>
      </w:r>
    </w:p>
    <w:p w14:paraId="1DFA4CB3">
      <w:pPr>
        <w:jc w:val="left"/>
        <w:rPr>
          <w:rFonts w:ascii="宋体" w:hAnsi="宋体" w:cs="宋体"/>
          <w:b/>
          <w:bCs/>
          <w:kern w:val="0"/>
          <w:szCs w:val="21"/>
          <w:lang w:val="zh-CN"/>
        </w:rPr>
      </w:pPr>
      <w:r>
        <w:rPr>
          <w:rFonts w:hint="eastAsia" w:ascii="宋体" w:hAnsi="宋体" w:cs="宋体"/>
          <w:b/>
          <w:bCs/>
          <w:kern w:val="0"/>
          <w:szCs w:val="21"/>
        </w:rPr>
        <w:t xml:space="preserve">    ②</w:t>
      </w:r>
      <w:r>
        <w:rPr>
          <w:rFonts w:hint="eastAsia" w:ascii="宋体" w:hAnsi="宋体" w:cs="宋体"/>
          <w:b/>
          <w:bCs/>
          <w:kern w:val="0"/>
          <w:szCs w:val="21"/>
          <w:lang w:val="zh-CN"/>
        </w:rPr>
        <w:t>成交供应商《中小企业声明函》、《残疾人福利性单位声明函》，采购人将随成交公告一并公示。</w:t>
      </w:r>
    </w:p>
    <w:bookmarkEnd w:id="116"/>
    <w:p w14:paraId="740FAC7B">
      <w:pPr>
        <w:tabs>
          <w:tab w:val="left" w:pos="255"/>
        </w:tabs>
        <w:spacing w:line="360" w:lineRule="auto"/>
        <w:ind w:left="420" w:leftChars="200" w:firstLine="480" w:firstLineChars="200"/>
        <w:rPr>
          <w:rFonts w:ascii="宋体" w:hAnsi="宋体"/>
          <w:sz w:val="24"/>
          <w:szCs w:val="21"/>
          <w:lang w:val="zh-CN"/>
        </w:rPr>
      </w:pPr>
    </w:p>
    <w:p w14:paraId="558FC99E">
      <w:pPr>
        <w:ind w:firstLine="480" w:firstLineChars="200"/>
        <w:jc w:val="left"/>
        <w:rPr>
          <w:rFonts w:ascii="黑体" w:hAnsi="宋体" w:eastAsia="黑体"/>
          <w:bCs/>
          <w:sz w:val="24"/>
          <w:szCs w:val="24"/>
        </w:rPr>
      </w:pPr>
    </w:p>
    <w:p w14:paraId="76D99FE5">
      <w:pPr>
        <w:spacing w:line="360" w:lineRule="auto"/>
        <w:ind w:left="5460" w:hanging="5460" w:hangingChars="2275"/>
        <w:jc w:val="center"/>
        <w:rPr>
          <w:rFonts w:ascii="宋体" w:hAnsi="宋体"/>
          <w:bCs/>
          <w:sz w:val="24"/>
          <w:lang w:val="zh-CN"/>
        </w:rPr>
      </w:pPr>
    </w:p>
    <w:p w14:paraId="65364487">
      <w:pPr>
        <w:ind w:firstLine="560" w:firstLineChars="200"/>
        <w:jc w:val="left"/>
        <w:rPr>
          <w:rFonts w:ascii="黑体" w:hAnsi="宋体" w:eastAsia="黑体"/>
          <w:bCs/>
          <w:sz w:val="24"/>
          <w:szCs w:val="24"/>
        </w:rPr>
      </w:pPr>
      <w:r>
        <w:rPr>
          <w:rFonts w:hint="eastAsia" w:ascii="宋体" w:hAnsi="宋体"/>
          <w:sz w:val="28"/>
          <w:szCs w:val="28"/>
        </w:rPr>
        <w:br w:type="page"/>
      </w:r>
      <w:r>
        <w:rPr>
          <w:rFonts w:hint="eastAsia" w:ascii="黑体" w:hAnsi="宋体" w:eastAsia="黑体"/>
          <w:bCs/>
          <w:sz w:val="24"/>
          <w:szCs w:val="24"/>
        </w:rPr>
        <w:t>附件1：中小企业声明函（格式）：</w:t>
      </w:r>
    </w:p>
    <w:p w14:paraId="273BE736">
      <w:pPr>
        <w:jc w:val="center"/>
        <w:rPr>
          <w:rFonts w:ascii="黑体" w:eastAsia="黑体"/>
          <w:bCs/>
          <w:sz w:val="28"/>
          <w:szCs w:val="28"/>
        </w:rPr>
      </w:pPr>
    </w:p>
    <w:p w14:paraId="7EACF5FB">
      <w:pPr>
        <w:jc w:val="center"/>
        <w:rPr>
          <w:rFonts w:ascii="黑体" w:eastAsia="黑体"/>
          <w:bCs/>
          <w:sz w:val="28"/>
          <w:szCs w:val="28"/>
        </w:rPr>
      </w:pPr>
      <w:bookmarkStart w:id="117" w:name="OLE_LINK150"/>
      <w:r>
        <w:rPr>
          <w:rFonts w:hint="eastAsia" w:ascii="黑体" w:eastAsia="黑体"/>
          <w:bCs/>
          <w:sz w:val="28"/>
          <w:szCs w:val="28"/>
        </w:rPr>
        <w:t>中小企业声明函（工程）</w:t>
      </w:r>
    </w:p>
    <w:p w14:paraId="3226F6C2">
      <w:pPr>
        <w:spacing w:line="580" w:lineRule="exact"/>
        <w:ind w:firstLine="480" w:firstLineChars="200"/>
        <w:rPr>
          <w:rFonts w:ascii="宋体" w:hAnsi="宋体"/>
          <w:bCs/>
          <w:sz w:val="24"/>
          <w:szCs w:val="24"/>
        </w:rPr>
      </w:pPr>
      <w:r>
        <w:rPr>
          <w:rFonts w:hint="eastAsia" w:ascii="宋体" w:hAnsi="宋体"/>
          <w:bCs/>
          <w:sz w:val="24"/>
          <w:szCs w:val="24"/>
        </w:rPr>
        <w:t>本公司（联合体）郑重声明，根据《政府采购促进中小企业发展管理办法》（财库﹝2020﹞46 号）的规定，本公司（联合体）参加</w:t>
      </w:r>
      <w:r>
        <w:rPr>
          <w:rFonts w:hint="eastAsia" w:ascii="宋体" w:hAnsi="宋体"/>
          <w:bCs/>
          <w:sz w:val="24"/>
          <w:szCs w:val="24"/>
          <w:u w:val="single"/>
        </w:rPr>
        <w:t>（单位名称）</w:t>
      </w:r>
      <w:r>
        <w:rPr>
          <w:rFonts w:hint="eastAsia" w:ascii="宋体" w:hAnsi="宋体"/>
          <w:bCs/>
          <w:sz w:val="24"/>
          <w:szCs w:val="24"/>
        </w:rPr>
        <w:t>的</w:t>
      </w:r>
      <w:r>
        <w:rPr>
          <w:rFonts w:hint="eastAsia" w:ascii="宋体" w:hAnsi="宋体"/>
          <w:bCs/>
          <w:sz w:val="24"/>
          <w:szCs w:val="24"/>
          <w:u w:val="single"/>
        </w:rPr>
        <w:t>（项目名称）</w:t>
      </w:r>
      <w:r>
        <w:rPr>
          <w:rFonts w:hint="eastAsia" w:ascii="宋体" w:hAnsi="宋体"/>
          <w:bCs/>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3A3541B3">
      <w:pPr>
        <w:spacing w:line="580" w:lineRule="exact"/>
        <w:ind w:firstLine="480" w:firstLineChars="200"/>
        <w:rPr>
          <w:rFonts w:ascii="宋体" w:hAnsi="宋体"/>
          <w:bCs/>
          <w:sz w:val="24"/>
          <w:szCs w:val="24"/>
        </w:rPr>
      </w:pPr>
      <w:r>
        <w:rPr>
          <w:rFonts w:hint="eastAsia" w:ascii="宋体" w:hAnsi="宋体"/>
          <w:bCs/>
          <w:sz w:val="24"/>
          <w:szCs w:val="24"/>
        </w:rPr>
        <w:t>1.</w:t>
      </w:r>
      <w:r>
        <w:rPr>
          <w:rFonts w:hint="eastAsia" w:ascii="宋体" w:hAnsi="宋体"/>
          <w:bCs/>
          <w:sz w:val="24"/>
          <w:szCs w:val="24"/>
          <w:u w:val="single"/>
        </w:rPr>
        <w:t>（标的名称）</w:t>
      </w:r>
      <w:r>
        <w:rPr>
          <w:rFonts w:hint="eastAsia" w:ascii="宋体" w:hAnsi="宋体"/>
          <w:bCs/>
          <w:sz w:val="24"/>
          <w:szCs w:val="24"/>
        </w:rPr>
        <w:t>，属于</w:t>
      </w:r>
      <w:r>
        <w:rPr>
          <w:rFonts w:hint="eastAsia" w:ascii="宋体" w:hAnsi="宋体"/>
          <w:bCs/>
          <w:sz w:val="24"/>
          <w:szCs w:val="24"/>
          <w:u w:val="single"/>
        </w:rPr>
        <w:t>（采购文件中明确的所属行业）</w:t>
      </w:r>
      <w:r>
        <w:rPr>
          <w:rFonts w:hint="eastAsia" w:ascii="宋体" w:hAnsi="宋体"/>
          <w:bCs/>
          <w:sz w:val="24"/>
          <w:szCs w:val="24"/>
        </w:rPr>
        <w:t>；承接企业为</w:t>
      </w:r>
      <w:r>
        <w:rPr>
          <w:rFonts w:hint="eastAsia" w:ascii="宋体" w:hAnsi="宋体"/>
          <w:bCs/>
          <w:sz w:val="24"/>
          <w:szCs w:val="24"/>
          <w:u w:val="single"/>
        </w:rPr>
        <w:t>（企业名称）</w:t>
      </w:r>
      <w:r>
        <w:rPr>
          <w:rFonts w:hint="eastAsia" w:ascii="宋体" w:hAnsi="宋体"/>
          <w:bCs/>
          <w:sz w:val="24"/>
          <w:szCs w:val="24"/>
        </w:rPr>
        <w:t>，从业人员</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人，营业收入为</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万元，资产总额为</w:t>
      </w:r>
      <w:r>
        <w:rPr>
          <w:rFonts w:hint="eastAsia" w:ascii="宋体" w:hAnsi="宋体"/>
          <w:bCs/>
          <w:sz w:val="24"/>
          <w:szCs w:val="24"/>
          <w:u w:val="single"/>
        </w:rPr>
        <w:t xml:space="preserve">    </w:t>
      </w:r>
      <w:r>
        <w:rPr>
          <w:rFonts w:hint="eastAsia" w:ascii="宋体" w:hAnsi="宋体"/>
          <w:bCs/>
          <w:sz w:val="24"/>
          <w:szCs w:val="24"/>
        </w:rPr>
        <w:t>万元，属于</w:t>
      </w:r>
      <w:r>
        <w:rPr>
          <w:rFonts w:hint="eastAsia" w:ascii="宋体" w:hAnsi="宋体"/>
          <w:bCs/>
          <w:sz w:val="24"/>
          <w:szCs w:val="24"/>
          <w:u w:val="single"/>
        </w:rPr>
        <w:t>（中型企业、小型企业、微型企业）</w:t>
      </w:r>
      <w:r>
        <w:rPr>
          <w:rFonts w:hint="eastAsia" w:ascii="宋体" w:hAnsi="宋体"/>
          <w:bCs/>
          <w:sz w:val="24"/>
          <w:szCs w:val="24"/>
        </w:rPr>
        <w:t>；</w:t>
      </w:r>
    </w:p>
    <w:p w14:paraId="3B2DA116">
      <w:pPr>
        <w:spacing w:line="580" w:lineRule="exact"/>
        <w:ind w:firstLine="480" w:firstLineChars="200"/>
        <w:rPr>
          <w:rFonts w:ascii="宋体" w:hAnsi="宋体"/>
          <w:bCs/>
          <w:sz w:val="24"/>
          <w:szCs w:val="24"/>
        </w:rPr>
      </w:pPr>
      <w:r>
        <w:rPr>
          <w:rFonts w:hint="eastAsia" w:ascii="宋体" w:hAnsi="宋体"/>
          <w:bCs/>
          <w:sz w:val="24"/>
          <w:szCs w:val="24"/>
        </w:rPr>
        <w:t>2.</w:t>
      </w:r>
      <w:r>
        <w:rPr>
          <w:rFonts w:hint="eastAsia" w:ascii="宋体" w:hAnsi="宋体"/>
          <w:bCs/>
          <w:sz w:val="24"/>
          <w:szCs w:val="24"/>
          <w:u w:val="single"/>
        </w:rPr>
        <w:t>（标的名称）</w:t>
      </w:r>
      <w:r>
        <w:rPr>
          <w:rFonts w:hint="eastAsia" w:ascii="宋体" w:hAnsi="宋体"/>
          <w:bCs/>
          <w:sz w:val="24"/>
          <w:szCs w:val="24"/>
        </w:rPr>
        <w:t>，属于</w:t>
      </w:r>
      <w:r>
        <w:rPr>
          <w:rFonts w:hint="eastAsia" w:ascii="宋体" w:hAnsi="宋体"/>
          <w:bCs/>
          <w:sz w:val="24"/>
          <w:szCs w:val="24"/>
          <w:u w:val="single"/>
        </w:rPr>
        <w:t>（采购文件中明确的所属行业）</w:t>
      </w:r>
      <w:r>
        <w:rPr>
          <w:rFonts w:hint="eastAsia" w:ascii="宋体" w:hAnsi="宋体"/>
          <w:bCs/>
          <w:sz w:val="24"/>
          <w:szCs w:val="24"/>
        </w:rPr>
        <w:t>；承接企业为</w:t>
      </w:r>
      <w:r>
        <w:rPr>
          <w:rFonts w:hint="eastAsia" w:ascii="宋体" w:hAnsi="宋体"/>
          <w:bCs/>
          <w:sz w:val="24"/>
          <w:szCs w:val="24"/>
          <w:u w:val="single"/>
        </w:rPr>
        <w:t>（企业名称）</w:t>
      </w:r>
      <w:r>
        <w:rPr>
          <w:rFonts w:hint="eastAsia" w:ascii="宋体" w:hAnsi="宋体"/>
          <w:bCs/>
          <w:sz w:val="24"/>
          <w:szCs w:val="24"/>
        </w:rPr>
        <w:t>，从业人员</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人，营业收入为</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万元，资产总额为</w:t>
      </w:r>
      <w:r>
        <w:rPr>
          <w:rFonts w:hint="eastAsia" w:ascii="宋体" w:hAnsi="宋体"/>
          <w:bCs/>
          <w:sz w:val="24"/>
          <w:szCs w:val="24"/>
          <w:u w:val="single"/>
        </w:rPr>
        <w:t xml:space="preserve">    </w:t>
      </w:r>
      <w:r>
        <w:rPr>
          <w:rFonts w:hint="eastAsia" w:ascii="宋体" w:hAnsi="宋体"/>
          <w:bCs/>
          <w:sz w:val="24"/>
          <w:szCs w:val="24"/>
        </w:rPr>
        <w:t>万元，属于</w:t>
      </w:r>
      <w:r>
        <w:rPr>
          <w:rFonts w:hint="eastAsia" w:ascii="宋体" w:hAnsi="宋体"/>
          <w:bCs/>
          <w:sz w:val="24"/>
          <w:szCs w:val="24"/>
          <w:u w:val="single"/>
        </w:rPr>
        <w:t>（中型企业、小型企业、微型企业）</w:t>
      </w:r>
      <w:r>
        <w:rPr>
          <w:rFonts w:hint="eastAsia" w:ascii="宋体" w:hAnsi="宋体"/>
          <w:bCs/>
          <w:sz w:val="24"/>
          <w:szCs w:val="24"/>
        </w:rPr>
        <w:t>；</w:t>
      </w:r>
    </w:p>
    <w:p w14:paraId="08214194">
      <w:pPr>
        <w:spacing w:line="580" w:lineRule="exact"/>
        <w:ind w:firstLine="480" w:firstLineChars="200"/>
        <w:rPr>
          <w:rFonts w:ascii="宋体" w:hAnsi="宋体"/>
          <w:bCs/>
          <w:sz w:val="24"/>
          <w:szCs w:val="24"/>
        </w:rPr>
      </w:pPr>
      <w:r>
        <w:rPr>
          <w:rFonts w:hint="eastAsia" w:ascii="宋体" w:hAnsi="宋体"/>
          <w:bCs/>
          <w:sz w:val="24"/>
          <w:szCs w:val="24"/>
        </w:rPr>
        <w:t>……</w:t>
      </w:r>
    </w:p>
    <w:p w14:paraId="289AE7F4">
      <w:pPr>
        <w:spacing w:line="580" w:lineRule="exact"/>
        <w:ind w:firstLine="480" w:firstLineChars="200"/>
        <w:rPr>
          <w:rFonts w:ascii="宋体" w:hAnsi="宋体"/>
          <w:bCs/>
          <w:sz w:val="24"/>
          <w:szCs w:val="24"/>
        </w:rPr>
      </w:pPr>
      <w:r>
        <w:rPr>
          <w:rFonts w:hint="eastAsia" w:ascii="宋体" w:hAnsi="宋体"/>
          <w:bCs/>
          <w:sz w:val="24"/>
          <w:szCs w:val="24"/>
        </w:rPr>
        <w:t>以上企业，不属于大企业的分支机构，不存在控股股东为大企业的情形，也不存在与大企业的负责人为同一人的情形。</w:t>
      </w:r>
    </w:p>
    <w:p w14:paraId="719111F7">
      <w:pPr>
        <w:spacing w:line="580" w:lineRule="exact"/>
        <w:ind w:firstLine="480" w:firstLineChars="200"/>
        <w:rPr>
          <w:rFonts w:ascii="宋体" w:hAnsi="宋体"/>
          <w:bCs/>
          <w:sz w:val="24"/>
          <w:szCs w:val="24"/>
        </w:rPr>
      </w:pPr>
      <w:r>
        <w:rPr>
          <w:rFonts w:hint="eastAsia" w:ascii="宋体" w:hAnsi="宋体"/>
          <w:bCs/>
          <w:sz w:val="24"/>
          <w:szCs w:val="24"/>
        </w:rPr>
        <w:t>本企业对上述声明内容的真实性负责。如有虚假，将依 法承担相应责任。</w:t>
      </w:r>
    </w:p>
    <w:p w14:paraId="4396A46E">
      <w:pPr>
        <w:spacing w:line="360" w:lineRule="auto"/>
        <w:rPr>
          <w:rFonts w:ascii="宋体"/>
          <w:bCs/>
          <w:sz w:val="24"/>
          <w:szCs w:val="24"/>
        </w:rPr>
      </w:pPr>
    </w:p>
    <w:p w14:paraId="1781B1DA">
      <w:pPr>
        <w:spacing w:before="156" w:beforeLines="50" w:line="360" w:lineRule="auto"/>
        <w:ind w:left="5460" w:hanging="5460" w:hangingChars="2275"/>
        <w:jc w:val="center"/>
        <w:rPr>
          <w:rFonts w:ascii="宋体" w:hAnsi="宋体"/>
          <w:sz w:val="28"/>
          <w:szCs w:val="28"/>
        </w:rPr>
      </w:pPr>
      <w:r>
        <w:rPr>
          <w:rFonts w:hint="eastAsia" w:ascii="宋体" w:hAnsi="宋体"/>
          <w:bCs/>
          <w:sz w:val="24"/>
        </w:rPr>
        <w:t xml:space="preserve">                              </w:t>
      </w:r>
      <w:r>
        <w:rPr>
          <w:rFonts w:hint="eastAsia" w:ascii="宋体" w:hAnsi="宋体"/>
          <w:bCs/>
          <w:sz w:val="24"/>
          <w:lang w:val="zh-CN"/>
        </w:rPr>
        <w:t>投  标  人（签章）：</w:t>
      </w:r>
    </w:p>
    <w:p w14:paraId="5B765C3F">
      <w:pPr>
        <w:spacing w:line="360" w:lineRule="auto"/>
        <w:jc w:val="center"/>
        <w:rPr>
          <w:rFonts w:ascii="宋体"/>
          <w:bCs/>
          <w:sz w:val="24"/>
          <w:szCs w:val="24"/>
        </w:rPr>
      </w:pPr>
      <w:r>
        <w:rPr>
          <w:rFonts w:hint="eastAsia" w:ascii="宋体" w:hAnsi="宋体"/>
          <w:bCs/>
          <w:sz w:val="24"/>
        </w:rPr>
        <w:t xml:space="preserve">                              </w:t>
      </w:r>
      <w:r>
        <w:rPr>
          <w:rFonts w:hint="eastAsia" w:ascii="宋体" w:hAnsi="宋体"/>
          <w:bCs/>
          <w:sz w:val="24"/>
          <w:lang w:val="zh-CN"/>
        </w:rPr>
        <w:t>投  标  人（签名）：</w:t>
      </w:r>
    </w:p>
    <w:p w14:paraId="76BE97D4">
      <w:pPr>
        <w:ind w:firstLine="480" w:firstLineChars="200"/>
        <w:jc w:val="left"/>
        <w:rPr>
          <w:rFonts w:ascii="宋体" w:hAnsi="宋体"/>
          <w:sz w:val="24"/>
          <w:szCs w:val="21"/>
        </w:rPr>
      </w:pPr>
      <w:r>
        <w:rPr>
          <w:rFonts w:hint="eastAsia" w:ascii="宋体" w:hAnsi="宋体"/>
          <w:sz w:val="24"/>
          <w:szCs w:val="21"/>
        </w:rPr>
        <w:t>注：</w:t>
      </w:r>
    </w:p>
    <w:p w14:paraId="72B402C6">
      <w:pPr>
        <w:spacing w:line="360" w:lineRule="auto"/>
        <w:ind w:firstLine="421"/>
        <w:rPr>
          <w:rFonts w:ascii="宋体" w:hAnsi="宋体"/>
          <w:bCs/>
          <w:szCs w:val="21"/>
        </w:rPr>
      </w:pPr>
      <w:r>
        <w:rPr>
          <w:rFonts w:hint="eastAsia" w:ascii="宋体" w:hAnsi="宋体"/>
          <w:bCs/>
          <w:szCs w:val="21"/>
        </w:rPr>
        <w:t>（1）从业人员、营业收入、资产总额填报上一年度数据，无上一年度数据的新成立企业可不填报。</w:t>
      </w:r>
    </w:p>
    <w:p w14:paraId="7E1120F1">
      <w:pPr>
        <w:ind w:firstLine="420" w:firstLineChars="200"/>
        <w:jc w:val="left"/>
        <w:rPr>
          <w:rFonts w:ascii="宋体" w:hAnsi="宋体"/>
          <w:bCs/>
          <w:szCs w:val="21"/>
        </w:rPr>
      </w:pPr>
      <w:r>
        <w:rPr>
          <w:rFonts w:hint="eastAsia" w:ascii="宋体" w:hAnsi="宋体"/>
          <w:bCs/>
          <w:szCs w:val="21"/>
        </w:rPr>
        <w:t>（2）供应商按照本办法规定提供声明函内容不实的，属于提供虚假材料谋取成交，依照《中华人民共和国政府采购法》等国家有关规定追究相应责任。</w:t>
      </w:r>
      <w:bookmarkStart w:id="118" w:name="OLE_LINK205"/>
    </w:p>
    <w:p w14:paraId="6CCA3348">
      <w:pPr>
        <w:ind w:firstLine="420" w:firstLineChars="200"/>
        <w:jc w:val="left"/>
        <w:rPr>
          <w:rFonts w:ascii="宋体" w:hAnsi="宋体"/>
          <w:bCs/>
          <w:szCs w:val="21"/>
        </w:rPr>
      </w:pPr>
    </w:p>
    <w:p w14:paraId="1232A059">
      <w:pPr>
        <w:ind w:firstLine="420" w:firstLineChars="200"/>
        <w:jc w:val="left"/>
        <w:rPr>
          <w:rFonts w:ascii="宋体" w:hAnsi="宋体"/>
          <w:bCs/>
          <w:szCs w:val="21"/>
        </w:rPr>
      </w:pPr>
    </w:p>
    <w:p w14:paraId="66F45B12">
      <w:pPr>
        <w:ind w:firstLine="420" w:firstLineChars="200"/>
        <w:jc w:val="left"/>
        <w:rPr>
          <w:rFonts w:ascii="宋体" w:hAnsi="宋体"/>
          <w:bCs/>
          <w:szCs w:val="21"/>
        </w:rPr>
      </w:pPr>
    </w:p>
    <w:p w14:paraId="0014B00A">
      <w:pPr>
        <w:ind w:firstLine="420" w:firstLineChars="200"/>
        <w:jc w:val="left"/>
        <w:rPr>
          <w:rFonts w:ascii="宋体" w:hAnsi="宋体"/>
          <w:bCs/>
          <w:szCs w:val="21"/>
        </w:rPr>
      </w:pPr>
    </w:p>
    <w:p w14:paraId="41A19E80">
      <w:pPr>
        <w:ind w:firstLine="420" w:firstLineChars="200"/>
        <w:jc w:val="left"/>
        <w:rPr>
          <w:rFonts w:ascii="宋体" w:hAnsi="宋体"/>
          <w:bCs/>
          <w:szCs w:val="21"/>
        </w:rPr>
      </w:pPr>
    </w:p>
    <w:p w14:paraId="19FC616D">
      <w:pPr>
        <w:ind w:firstLine="480" w:firstLineChars="200"/>
        <w:jc w:val="left"/>
        <w:rPr>
          <w:rFonts w:ascii="黑体" w:hAnsi="宋体" w:eastAsia="黑体"/>
          <w:bCs/>
          <w:sz w:val="24"/>
          <w:szCs w:val="24"/>
        </w:rPr>
      </w:pPr>
      <w:r>
        <w:rPr>
          <w:rFonts w:hint="eastAsia" w:ascii="黑体" w:hAnsi="宋体" w:eastAsia="黑体"/>
          <w:bCs/>
          <w:sz w:val="24"/>
          <w:szCs w:val="24"/>
        </w:rPr>
        <w:t>附件2：残疾人福利性单位声明函（格式）：</w:t>
      </w:r>
    </w:p>
    <w:p w14:paraId="5060CF99">
      <w:pPr>
        <w:spacing w:line="360" w:lineRule="auto"/>
        <w:rPr>
          <w:rFonts w:ascii="宋体" w:hAnsi="宋体"/>
          <w:sz w:val="28"/>
        </w:rPr>
      </w:pPr>
    </w:p>
    <w:p w14:paraId="28491041">
      <w:pPr>
        <w:jc w:val="center"/>
        <w:rPr>
          <w:rFonts w:ascii="黑体" w:eastAsia="黑体"/>
          <w:bCs/>
          <w:sz w:val="28"/>
          <w:szCs w:val="28"/>
        </w:rPr>
      </w:pPr>
      <w:bookmarkStart w:id="119" w:name="OLE_LINK64"/>
      <w:bookmarkStart w:id="120" w:name="OLE_LINK33"/>
      <w:r>
        <w:rPr>
          <w:rFonts w:hint="eastAsia" w:ascii="黑体" w:eastAsia="黑体"/>
          <w:bCs/>
          <w:sz w:val="28"/>
          <w:szCs w:val="28"/>
        </w:rPr>
        <w:t>残疾人福利性单位</w:t>
      </w:r>
      <w:bookmarkEnd w:id="119"/>
      <w:r>
        <w:rPr>
          <w:rFonts w:hint="eastAsia" w:ascii="黑体" w:eastAsia="黑体"/>
          <w:bCs/>
          <w:sz w:val="28"/>
          <w:szCs w:val="28"/>
        </w:rPr>
        <w:t>声明函</w:t>
      </w:r>
      <w:bookmarkEnd w:id="118"/>
      <w:bookmarkEnd w:id="120"/>
    </w:p>
    <w:p w14:paraId="78E98240">
      <w:pPr>
        <w:spacing w:line="588" w:lineRule="exact"/>
        <w:rPr>
          <w:rFonts w:ascii="仿宋_GB2312" w:eastAsia="仿宋_GB2312"/>
          <w:b/>
          <w:spacing w:val="6"/>
          <w:sz w:val="30"/>
          <w:szCs w:val="30"/>
        </w:rPr>
      </w:pPr>
    </w:p>
    <w:p w14:paraId="5AB7B7E5">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项目编号：）提供本单位制造的货物，或者提供其他残疾人福利性单位制造的货物（不包括使用非残疾人福利性单位注册商标的货物）。</w:t>
      </w:r>
    </w:p>
    <w:p w14:paraId="4175E6EE">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14:paraId="42AF67B0">
      <w:pPr>
        <w:spacing w:line="580" w:lineRule="exact"/>
        <w:ind w:firstLine="480" w:firstLineChars="200"/>
        <w:rPr>
          <w:rFonts w:ascii="宋体" w:hAnsi="宋体"/>
          <w:bCs/>
          <w:sz w:val="24"/>
          <w:szCs w:val="24"/>
        </w:rPr>
      </w:pPr>
    </w:p>
    <w:bookmarkEnd w:id="117"/>
    <w:p w14:paraId="1767E0E2">
      <w:pPr>
        <w:spacing w:before="156" w:beforeLines="50" w:line="360" w:lineRule="auto"/>
        <w:ind w:left="5460" w:hanging="5460" w:hangingChars="2275"/>
        <w:jc w:val="center"/>
        <w:rPr>
          <w:rFonts w:ascii="宋体" w:hAnsi="宋体"/>
          <w:sz w:val="28"/>
          <w:szCs w:val="28"/>
        </w:rPr>
      </w:pPr>
      <w:r>
        <w:rPr>
          <w:rFonts w:hint="eastAsia" w:ascii="宋体" w:hAnsi="宋体"/>
          <w:bCs/>
          <w:sz w:val="24"/>
        </w:rPr>
        <w:t xml:space="preserve">                              </w:t>
      </w:r>
      <w:r>
        <w:rPr>
          <w:rFonts w:hint="eastAsia" w:ascii="宋体" w:hAnsi="宋体"/>
          <w:bCs/>
          <w:sz w:val="24"/>
          <w:lang w:val="zh-CN"/>
        </w:rPr>
        <w:t>投  标  人（签章）：</w:t>
      </w:r>
    </w:p>
    <w:p w14:paraId="1BF94D5D">
      <w:pPr>
        <w:spacing w:line="360" w:lineRule="auto"/>
        <w:jc w:val="left"/>
        <w:rPr>
          <w:rFonts w:ascii="黑体" w:hAnsi="宋体" w:eastAsia="黑体"/>
          <w:bCs/>
          <w:sz w:val="24"/>
          <w:szCs w:val="24"/>
        </w:rPr>
      </w:pPr>
      <w:r>
        <w:rPr>
          <w:rFonts w:hint="eastAsia" w:ascii="宋体" w:hAnsi="宋体"/>
          <w:bCs/>
          <w:sz w:val="24"/>
        </w:rPr>
        <w:t xml:space="preserve">                                             </w:t>
      </w:r>
      <w:r>
        <w:rPr>
          <w:rFonts w:hint="eastAsia" w:ascii="宋体" w:hAnsi="宋体"/>
          <w:bCs/>
          <w:sz w:val="24"/>
          <w:lang w:val="zh-CN"/>
        </w:rPr>
        <w:t>投  标  人（签名）：</w:t>
      </w:r>
      <w:r>
        <w:rPr>
          <w:rFonts w:hint="eastAsia" w:ascii="黑体" w:eastAsia="黑体"/>
          <w:bCs/>
          <w:sz w:val="24"/>
          <w:szCs w:val="24"/>
        </w:rPr>
        <w:br w:type="page" w:clear="all"/>
      </w:r>
      <w:bookmarkEnd w:id="110"/>
      <w:r>
        <w:rPr>
          <w:rFonts w:hint="eastAsia" w:ascii="黑体" w:hAnsi="宋体" w:eastAsia="黑体"/>
          <w:bCs/>
          <w:sz w:val="24"/>
          <w:szCs w:val="24"/>
        </w:rPr>
        <w:t>（四）资格证明文件</w:t>
      </w:r>
    </w:p>
    <w:p w14:paraId="6DC3ADD7">
      <w:pPr>
        <w:ind w:firstLine="480"/>
        <w:rPr>
          <w:rFonts w:ascii="黑体" w:hAnsi="宋体" w:eastAsia="黑体"/>
          <w:bCs/>
          <w:sz w:val="24"/>
          <w:szCs w:val="24"/>
        </w:rPr>
      </w:pPr>
    </w:p>
    <w:p w14:paraId="3C4F81A5">
      <w:pPr>
        <w:ind w:firstLine="480"/>
        <w:rPr>
          <w:rFonts w:ascii="黑体" w:eastAsia="黑体"/>
          <w:bCs/>
          <w:sz w:val="36"/>
        </w:rPr>
      </w:pPr>
      <w:r>
        <w:rPr>
          <w:rFonts w:hint="eastAsia" w:ascii="黑体" w:hAnsi="宋体" w:eastAsia="黑体"/>
          <w:bCs/>
          <w:sz w:val="24"/>
          <w:szCs w:val="24"/>
        </w:rPr>
        <w:t>1、关于资格的声明函（格式）：</w:t>
      </w:r>
    </w:p>
    <w:p w14:paraId="45AE19F8">
      <w:pPr>
        <w:spacing w:before="156" w:after="156"/>
        <w:jc w:val="center"/>
        <w:rPr>
          <w:rFonts w:ascii="黑体" w:eastAsia="黑体"/>
          <w:bCs/>
          <w:sz w:val="32"/>
        </w:rPr>
      </w:pPr>
      <w:r>
        <w:rPr>
          <w:rFonts w:hint="eastAsia" w:ascii="黑体" w:eastAsia="黑体"/>
          <w:bCs/>
          <w:sz w:val="28"/>
          <w:szCs w:val="28"/>
        </w:rPr>
        <w:t>关于资格的声明函</w:t>
      </w:r>
    </w:p>
    <w:p w14:paraId="39F90DED">
      <w:pPr>
        <w:spacing w:line="480" w:lineRule="auto"/>
        <w:jc w:val="center"/>
        <w:rPr>
          <w:rFonts w:ascii="宋体"/>
          <w:bCs/>
          <w:sz w:val="24"/>
          <w:szCs w:val="24"/>
        </w:rPr>
      </w:pPr>
      <w:bookmarkStart w:id="121" w:name="OLE_LINK80"/>
      <w:r>
        <w:rPr>
          <w:rFonts w:hint="eastAsia" w:ascii="宋体"/>
          <w:bCs/>
          <w:sz w:val="24"/>
          <w:szCs w:val="24"/>
        </w:rPr>
        <w:t xml:space="preserve">项目编号：YXJDS-JJK-2025-006 </w:t>
      </w:r>
    </w:p>
    <w:p w14:paraId="5DA86E9A">
      <w:pPr>
        <w:spacing w:line="480" w:lineRule="auto"/>
        <w:jc w:val="center"/>
      </w:pPr>
      <w:r>
        <w:rPr>
          <w:rFonts w:hint="eastAsia" w:ascii="宋体"/>
          <w:bCs/>
          <w:sz w:val="24"/>
          <w:szCs w:val="24"/>
        </w:rPr>
        <w:t>日期：</w:t>
      </w:r>
    </w:p>
    <w:p w14:paraId="44B0CDFB">
      <w:pPr>
        <w:spacing w:line="480" w:lineRule="auto"/>
        <w:rPr>
          <w:rFonts w:ascii="宋体"/>
          <w:bCs/>
          <w:sz w:val="24"/>
          <w:szCs w:val="24"/>
        </w:rPr>
      </w:pPr>
      <w:r>
        <w:rPr>
          <w:rFonts w:hint="eastAsia" w:ascii="宋体" w:hAnsi="宋体"/>
          <w:bCs/>
          <w:sz w:val="24"/>
          <w:lang w:val="zh-CN"/>
        </w:rPr>
        <w:t>江苏省宜兴强制隔离戒毒所</w:t>
      </w:r>
      <w:r>
        <w:rPr>
          <w:rFonts w:hint="eastAsia" w:ascii="宋体" w:hAnsi="宋体"/>
          <w:bCs/>
          <w:sz w:val="24"/>
          <w:szCs w:val="24"/>
        </w:rPr>
        <w:t>：</w:t>
      </w:r>
      <w:bookmarkEnd w:id="121"/>
    </w:p>
    <w:p w14:paraId="20C9EA13">
      <w:pPr>
        <w:spacing w:line="480" w:lineRule="auto"/>
        <w:ind w:firstLine="720" w:firstLineChars="300"/>
        <w:rPr>
          <w:rFonts w:ascii="宋体"/>
          <w:bCs/>
          <w:sz w:val="24"/>
          <w:szCs w:val="24"/>
        </w:rPr>
      </w:pPr>
      <w:r>
        <w:rPr>
          <w:rFonts w:hint="eastAsia" w:ascii="宋体" w:hAnsi="宋体"/>
          <w:bCs/>
          <w:sz w:val="24"/>
          <w:szCs w:val="24"/>
        </w:rPr>
        <w:t>我公司（单位）参加本次项目自主采购活动前三年内，在经营活动中没有重大违法记录，且具备履行合同所必需的设备和专业技术能力。我公司（单位）愿针对本次项目进行投标，投标文件中所有关于投标资格的文件、证明、陈述均是真实的、准确的。若有违背，我公司（单位）</w:t>
      </w:r>
      <w:r>
        <w:rPr>
          <w:rFonts w:ascii="宋体"/>
          <w:bCs/>
          <w:sz w:val="24"/>
          <w:szCs w:val="24"/>
        </w:rPr>
        <w:t>同意监管部门做出的相关决定并承担由此而产生的一切后果</w:t>
      </w:r>
      <w:r>
        <w:rPr>
          <w:rFonts w:hint="eastAsia" w:ascii="宋体"/>
          <w:bCs/>
          <w:sz w:val="24"/>
          <w:szCs w:val="24"/>
        </w:rPr>
        <w:t>。</w:t>
      </w:r>
    </w:p>
    <w:p w14:paraId="2B4ACD69">
      <w:pPr>
        <w:rPr>
          <w:rFonts w:ascii="宋体" w:hAnsi="宋体"/>
          <w:sz w:val="24"/>
          <w:szCs w:val="28"/>
        </w:rPr>
      </w:pPr>
      <w:r>
        <w:rPr>
          <w:rFonts w:ascii="宋体" w:hAnsi="宋体"/>
          <w:bCs/>
          <w:sz w:val="24"/>
          <w:szCs w:val="24"/>
        </w:rPr>
        <w:t xml:space="preserve">                                     </w:t>
      </w:r>
      <w:bookmarkStart w:id="122" w:name="OLE_LINK81"/>
    </w:p>
    <w:p w14:paraId="686B89AF">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4AFC94B2">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bookmarkEnd w:id="122"/>
    <w:p w14:paraId="5FCAE6C3">
      <w:pPr>
        <w:spacing w:line="360" w:lineRule="auto"/>
        <w:jc w:val="center"/>
        <w:rPr>
          <w:rFonts w:ascii="宋体" w:hAnsi="宋体"/>
          <w:bCs/>
          <w:sz w:val="24"/>
          <w:lang w:val="zh-CN"/>
        </w:rPr>
      </w:pPr>
    </w:p>
    <w:p w14:paraId="5ED36D73">
      <w:pPr>
        <w:spacing w:line="360" w:lineRule="auto"/>
        <w:jc w:val="center"/>
        <w:rPr>
          <w:rFonts w:ascii="黑体" w:eastAsia="黑体"/>
          <w:bCs/>
          <w:sz w:val="28"/>
          <w:szCs w:val="28"/>
        </w:rPr>
      </w:pPr>
    </w:p>
    <w:p w14:paraId="2F3FD37A">
      <w:pPr>
        <w:spacing w:line="360" w:lineRule="auto"/>
        <w:rPr>
          <w:rFonts w:ascii="黑体" w:eastAsia="黑体"/>
          <w:bCs/>
          <w:sz w:val="28"/>
          <w:szCs w:val="28"/>
        </w:rPr>
      </w:pPr>
      <w:r>
        <w:rPr>
          <w:rFonts w:hint="eastAsia" w:ascii="楷体_GB2312" w:hAnsi="宋体" w:eastAsia="楷体_GB2312"/>
          <w:bCs/>
          <w:sz w:val="24"/>
        </w:rPr>
        <mc:AlternateContent>
          <mc:Choice Requires="wps">
            <w:drawing>
              <wp:anchor distT="0" distB="0" distL="114300" distR="114300" simplePos="0" relativeHeight="251660288" behindDoc="0" locked="0" layoutInCell="1" allowOverlap="1">
                <wp:simplePos x="0" y="0"/>
                <wp:positionH relativeFrom="column">
                  <wp:posOffset>3122930</wp:posOffset>
                </wp:positionH>
                <wp:positionV relativeFrom="paragraph">
                  <wp:posOffset>26035</wp:posOffset>
                </wp:positionV>
                <wp:extent cx="3065145" cy="2070100"/>
                <wp:effectExtent l="5080" t="4445" r="15875" b="20955"/>
                <wp:wrapNone/>
                <wp:docPr id="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65145" cy="2070100"/>
                        </a:xfrm>
                        <a:prstGeom prst="rect">
                          <a:avLst/>
                        </a:prstGeom>
                        <a:solidFill>
                          <a:srgbClr val="FFFFFF"/>
                        </a:solidFill>
                        <a:ln w="9525">
                          <a:solidFill>
                            <a:srgbClr val="000000"/>
                          </a:solidFill>
                          <a:miter lim="800000"/>
                        </a:ln>
                        <a:effectLst/>
                      </wps:spPr>
                      <wps:txbx>
                        <w:txbxContent>
                          <w:p w14:paraId="2CE1D4E6">
                            <w:pPr>
                              <w:jc w:val="left"/>
                              <w:rPr>
                                <w:rFonts w:ascii="黑体" w:eastAsia="黑体"/>
                                <w:sz w:val="32"/>
                                <w:szCs w:val="32"/>
                              </w:rPr>
                            </w:pPr>
                          </w:p>
                          <w:p w14:paraId="098BC041">
                            <w:pPr>
                              <w:jc w:val="center"/>
                              <w:rPr>
                                <w:rFonts w:ascii="楷体_GB2312" w:eastAsia="楷体_GB2312"/>
                                <w:sz w:val="28"/>
                                <w:szCs w:val="28"/>
                              </w:rPr>
                            </w:pPr>
                            <w:r>
                              <w:rPr>
                                <w:rFonts w:hint="eastAsia" w:ascii="楷体_GB2312" w:eastAsia="楷体_GB2312"/>
                                <w:sz w:val="28"/>
                                <w:szCs w:val="28"/>
                              </w:rPr>
                              <w:t>法定代表人身份证复印件</w:t>
                            </w:r>
                          </w:p>
                          <w:p w14:paraId="4E50CD42">
                            <w:pPr>
                              <w:jc w:val="center"/>
                              <w:rPr>
                                <w:rFonts w:ascii="楷体_GB2312" w:eastAsia="楷体_GB2312"/>
                                <w:sz w:val="28"/>
                                <w:szCs w:val="28"/>
                              </w:rPr>
                            </w:pPr>
                            <w:r>
                              <w:rPr>
                                <w:rFonts w:hint="eastAsia" w:ascii="楷体_GB2312" w:eastAsia="楷体_GB2312"/>
                                <w:sz w:val="28"/>
                                <w:szCs w:val="28"/>
                              </w:rPr>
                              <w:t>反面</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5.9pt;margin-top:2.05pt;height:163pt;width:241.35pt;z-index:251660288;mso-width-relative:page;mso-height-relative:page;" fillcolor="#FFFFFF" filled="t" stroked="t"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jk+SdkAAAAJAQAADwAAAAAAAAAB&#10;ACAAAAAiAAAAZHJzL2Rvd25yZXYueG1sUEsBAhQAFAAAAAgAh07iQNs0+AhIAgAAlgQAAA4AAAAA&#10;AAAAAQAgAAAAKAEAAGRycy9lMm9Eb2MueG1sUEsFBgAAAAAGAAYAWQEAAOIFAAAAAA==&#10;">
                <v:fill on="t" focussize="0,0"/>
                <v:stroke color="#000000" miterlimit="8" joinstyle="miter"/>
                <v:imagedata o:title=""/>
                <o:lock v:ext="edit" aspectratio="f"/>
                <v:textbox>
                  <w:txbxContent>
                    <w:p w14:paraId="2CE1D4E6">
                      <w:pPr>
                        <w:jc w:val="left"/>
                        <w:rPr>
                          <w:rFonts w:ascii="黑体" w:eastAsia="黑体"/>
                          <w:sz w:val="32"/>
                          <w:szCs w:val="32"/>
                        </w:rPr>
                      </w:pPr>
                    </w:p>
                    <w:p w14:paraId="098BC041">
                      <w:pPr>
                        <w:jc w:val="center"/>
                        <w:rPr>
                          <w:rFonts w:ascii="楷体_GB2312" w:eastAsia="楷体_GB2312"/>
                          <w:sz w:val="28"/>
                          <w:szCs w:val="28"/>
                        </w:rPr>
                      </w:pPr>
                      <w:r>
                        <w:rPr>
                          <w:rFonts w:hint="eastAsia" w:ascii="楷体_GB2312" w:eastAsia="楷体_GB2312"/>
                          <w:sz w:val="28"/>
                          <w:szCs w:val="28"/>
                        </w:rPr>
                        <w:t>法定代表人身份证复印件</w:t>
                      </w:r>
                    </w:p>
                    <w:p w14:paraId="4E50CD42">
                      <w:pPr>
                        <w:jc w:val="center"/>
                        <w:rPr>
                          <w:rFonts w:ascii="楷体_GB2312" w:eastAsia="楷体_GB2312"/>
                          <w:sz w:val="28"/>
                          <w:szCs w:val="28"/>
                        </w:rPr>
                      </w:pPr>
                      <w:r>
                        <w:rPr>
                          <w:rFonts w:hint="eastAsia" w:ascii="楷体_GB2312" w:eastAsia="楷体_GB2312"/>
                          <w:sz w:val="28"/>
                          <w:szCs w:val="28"/>
                        </w:rPr>
                        <w:t>反面</w:t>
                      </w:r>
                    </w:p>
                  </w:txbxContent>
                </v:textbox>
              </v:shape>
            </w:pict>
          </mc:Fallback>
        </mc:AlternateContent>
      </w:r>
      <w:r>
        <w:rPr>
          <w:rFonts w:hint="eastAsia" w:ascii="楷体_GB2312" w:hAnsi="宋体" w:eastAsia="楷体_GB2312"/>
          <w:bCs/>
          <w:sz w:val="24"/>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29210</wp:posOffset>
                </wp:positionV>
                <wp:extent cx="2999105" cy="2070735"/>
                <wp:effectExtent l="4445" t="4445" r="6350" b="20320"/>
                <wp:wrapNone/>
                <wp:docPr id="5"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99105" cy="2070735"/>
                        </a:xfrm>
                        <a:prstGeom prst="rect">
                          <a:avLst/>
                        </a:prstGeom>
                        <a:solidFill>
                          <a:srgbClr val="FFFFFF"/>
                        </a:solidFill>
                        <a:ln w="9525">
                          <a:solidFill>
                            <a:srgbClr val="000000"/>
                          </a:solidFill>
                          <a:miter lim="800000"/>
                        </a:ln>
                        <a:effectLst/>
                      </wps:spPr>
                      <wps:txbx>
                        <w:txbxContent>
                          <w:p w14:paraId="6C67EACB">
                            <w:pPr>
                              <w:jc w:val="left"/>
                              <w:rPr>
                                <w:rFonts w:ascii="黑体" w:eastAsia="黑体"/>
                                <w:sz w:val="32"/>
                                <w:szCs w:val="32"/>
                              </w:rPr>
                            </w:pPr>
                          </w:p>
                          <w:p w14:paraId="44DF51FF">
                            <w:pPr>
                              <w:jc w:val="center"/>
                              <w:rPr>
                                <w:rFonts w:ascii="楷体_GB2312" w:eastAsia="楷体_GB2312"/>
                                <w:sz w:val="28"/>
                                <w:szCs w:val="28"/>
                              </w:rPr>
                            </w:pPr>
                            <w:r>
                              <w:rPr>
                                <w:rFonts w:hint="eastAsia" w:ascii="楷体_GB2312" w:eastAsia="楷体_GB2312"/>
                                <w:sz w:val="28"/>
                                <w:szCs w:val="28"/>
                              </w:rPr>
                              <w:t>法定代表人身份证复印件</w:t>
                            </w:r>
                          </w:p>
                          <w:p w14:paraId="15B74E53">
                            <w:pPr>
                              <w:jc w:val="center"/>
                              <w:rPr>
                                <w:rFonts w:ascii="楷体_GB2312" w:eastAsia="楷体_GB2312"/>
                                <w:sz w:val="28"/>
                                <w:szCs w:val="28"/>
                              </w:rPr>
                            </w:pPr>
                            <w:r>
                              <w:rPr>
                                <w:rFonts w:hint="eastAsia" w:ascii="楷体_GB2312" w:eastAsia="楷体_GB2312"/>
                                <w:sz w:val="28"/>
                                <w:szCs w:val="28"/>
                              </w:rPr>
                              <w:t>正面</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1pt;margin-top:2.3pt;height:163.05pt;width:236.15pt;z-index:251659264;mso-width-relative:page;mso-height-relative:page;" fillcolor="#FFFFFF" filled="t" stroked="t"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0FjRdgAAAAIAQAADwAAAAAAAAAB&#10;ACAAAAAiAAAAZHJzL2Rvd25yZXYueG1sUEsBAhQAFAAAAAgAh07iQBaPS7ZJAgAAlgQAAA4AAAAA&#10;AAAAAQAgAAAAJwEAAGRycy9lMm9Eb2MueG1sUEsFBgAAAAAGAAYAWQEAAOIFAAAAAA==&#10;">
                <v:fill on="t" focussize="0,0"/>
                <v:stroke color="#000000" miterlimit="8" joinstyle="miter"/>
                <v:imagedata o:title=""/>
                <o:lock v:ext="edit" aspectratio="f"/>
                <v:textbox>
                  <w:txbxContent>
                    <w:p w14:paraId="6C67EACB">
                      <w:pPr>
                        <w:jc w:val="left"/>
                        <w:rPr>
                          <w:rFonts w:ascii="黑体" w:eastAsia="黑体"/>
                          <w:sz w:val="32"/>
                          <w:szCs w:val="32"/>
                        </w:rPr>
                      </w:pPr>
                    </w:p>
                    <w:p w14:paraId="44DF51FF">
                      <w:pPr>
                        <w:jc w:val="center"/>
                        <w:rPr>
                          <w:rFonts w:ascii="楷体_GB2312" w:eastAsia="楷体_GB2312"/>
                          <w:sz w:val="28"/>
                          <w:szCs w:val="28"/>
                        </w:rPr>
                      </w:pPr>
                      <w:r>
                        <w:rPr>
                          <w:rFonts w:hint="eastAsia" w:ascii="楷体_GB2312" w:eastAsia="楷体_GB2312"/>
                          <w:sz w:val="28"/>
                          <w:szCs w:val="28"/>
                        </w:rPr>
                        <w:t>法定代表人身份证复印件</w:t>
                      </w:r>
                    </w:p>
                    <w:p w14:paraId="15B74E53">
                      <w:pPr>
                        <w:jc w:val="center"/>
                        <w:rPr>
                          <w:rFonts w:ascii="楷体_GB2312" w:eastAsia="楷体_GB2312"/>
                          <w:sz w:val="28"/>
                          <w:szCs w:val="28"/>
                        </w:rPr>
                      </w:pPr>
                      <w:r>
                        <w:rPr>
                          <w:rFonts w:hint="eastAsia" w:ascii="楷体_GB2312" w:eastAsia="楷体_GB2312"/>
                          <w:sz w:val="28"/>
                          <w:szCs w:val="28"/>
                        </w:rPr>
                        <w:t>正面</w:t>
                      </w:r>
                    </w:p>
                  </w:txbxContent>
                </v:textbox>
              </v:shape>
            </w:pict>
          </mc:Fallback>
        </mc:AlternateContent>
      </w:r>
    </w:p>
    <w:p w14:paraId="32B19C74">
      <w:pPr>
        <w:spacing w:line="360" w:lineRule="auto"/>
        <w:rPr>
          <w:rFonts w:ascii="黑体" w:eastAsia="黑体"/>
          <w:bCs/>
          <w:sz w:val="28"/>
          <w:szCs w:val="28"/>
        </w:rPr>
      </w:pPr>
    </w:p>
    <w:p w14:paraId="18CFBCA4">
      <w:pPr>
        <w:spacing w:line="360" w:lineRule="auto"/>
        <w:jc w:val="center"/>
        <w:rPr>
          <w:rFonts w:ascii="黑体" w:eastAsia="黑体"/>
          <w:bCs/>
          <w:sz w:val="28"/>
          <w:szCs w:val="28"/>
        </w:rPr>
      </w:pPr>
    </w:p>
    <w:p w14:paraId="77CF4A75">
      <w:pPr>
        <w:spacing w:line="360" w:lineRule="auto"/>
        <w:jc w:val="center"/>
        <w:rPr>
          <w:rFonts w:ascii="黑体" w:eastAsia="黑体"/>
          <w:bCs/>
          <w:sz w:val="28"/>
          <w:szCs w:val="28"/>
        </w:rPr>
      </w:pPr>
    </w:p>
    <w:p w14:paraId="655F2D05">
      <w:pPr>
        <w:spacing w:line="360" w:lineRule="auto"/>
        <w:jc w:val="center"/>
        <w:rPr>
          <w:rFonts w:ascii="黑体" w:eastAsia="黑体"/>
          <w:bCs/>
          <w:sz w:val="28"/>
          <w:szCs w:val="28"/>
        </w:rPr>
      </w:pPr>
    </w:p>
    <w:p w14:paraId="585D17CE">
      <w:pPr>
        <w:pStyle w:val="48"/>
      </w:pPr>
    </w:p>
    <w:p w14:paraId="6A05BBB7">
      <w:pPr>
        <w:rPr>
          <w:rFonts w:ascii="黑体" w:hAnsi="宋体" w:eastAsia="黑体"/>
          <w:bCs/>
          <w:sz w:val="24"/>
          <w:szCs w:val="24"/>
        </w:rPr>
      </w:pPr>
      <w:r>
        <w:rPr>
          <w:rFonts w:hint="eastAsia" w:ascii="黑体" w:hAnsi="宋体" w:eastAsia="黑体"/>
          <w:bCs/>
          <w:sz w:val="24"/>
          <w:szCs w:val="24"/>
        </w:rPr>
        <w:br w:type="page"/>
      </w:r>
    </w:p>
    <w:p w14:paraId="53D99C68">
      <w:pPr>
        <w:ind w:firstLine="480"/>
        <w:rPr>
          <w:rFonts w:ascii="宋体" w:hAnsi="宋体"/>
          <w:sz w:val="24"/>
          <w:szCs w:val="28"/>
        </w:rPr>
      </w:pPr>
      <w:r>
        <w:rPr>
          <w:rFonts w:hint="eastAsia" w:ascii="黑体" w:hAnsi="宋体" w:eastAsia="黑体"/>
          <w:bCs/>
          <w:sz w:val="24"/>
          <w:szCs w:val="24"/>
        </w:rPr>
        <w:t>2、</w:t>
      </w:r>
      <w:r>
        <w:rPr>
          <w:rFonts w:hint="eastAsia" w:ascii="黑体" w:hAnsi="宋体" w:eastAsia="黑体"/>
          <w:bCs/>
          <w:sz w:val="24"/>
          <w:szCs w:val="24"/>
          <w:lang w:val="zh-CN"/>
        </w:rPr>
        <w:t>被授权代表身份证明</w:t>
      </w:r>
      <w:r>
        <w:rPr>
          <w:rFonts w:hint="eastAsia" w:ascii="黑体" w:hAnsi="宋体" w:eastAsia="黑体"/>
          <w:bCs/>
          <w:sz w:val="24"/>
          <w:szCs w:val="24"/>
        </w:rPr>
        <w:t>（格式）：</w:t>
      </w:r>
      <w:r>
        <w:rPr>
          <w:rFonts w:hint="eastAsia" w:ascii="宋体" w:hAnsi="宋体"/>
          <w:sz w:val="24"/>
          <w:szCs w:val="28"/>
        </w:rPr>
        <w:t xml:space="preserve"> </w:t>
      </w:r>
    </w:p>
    <w:p w14:paraId="0A8E23A9">
      <w:pPr>
        <w:spacing w:before="156" w:after="156"/>
        <w:jc w:val="center"/>
        <w:rPr>
          <w:rFonts w:ascii="黑体" w:hAnsi="黑体" w:eastAsia="黑体"/>
          <w:sz w:val="28"/>
          <w:szCs w:val="28"/>
        </w:rPr>
      </w:pPr>
      <w:r>
        <w:rPr>
          <w:rFonts w:hint="eastAsia" w:ascii="黑体" w:hAnsi="黑体" w:eastAsia="黑体"/>
          <w:sz w:val="28"/>
          <w:szCs w:val="28"/>
        </w:rPr>
        <w:t>法定代表人授权委托书</w:t>
      </w:r>
    </w:p>
    <w:p w14:paraId="644BD1B2">
      <w:pPr>
        <w:tabs>
          <w:tab w:val="left" w:pos="255"/>
        </w:tabs>
        <w:spacing w:line="360" w:lineRule="auto"/>
        <w:ind w:left="420"/>
        <w:rPr>
          <w:rFonts w:ascii="宋体" w:hAnsi="宋体"/>
          <w:sz w:val="24"/>
          <w:szCs w:val="21"/>
          <w:lang w:val="zh-CN"/>
        </w:rPr>
      </w:pPr>
      <w:r>
        <w:rPr>
          <w:rFonts w:hint="eastAsia" w:ascii="宋体" w:hAnsi="宋体"/>
          <w:sz w:val="24"/>
          <w:szCs w:val="28"/>
        </w:rPr>
        <w:t xml:space="preserve">                                   </w:t>
      </w:r>
    </w:p>
    <w:p w14:paraId="0A45F7FE">
      <w:pPr>
        <w:tabs>
          <w:tab w:val="left" w:pos="255"/>
        </w:tabs>
        <w:spacing w:line="360" w:lineRule="auto"/>
        <w:ind w:left="420"/>
        <w:rPr>
          <w:rFonts w:ascii="宋体" w:hAnsi="宋体"/>
          <w:sz w:val="24"/>
          <w:szCs w:val="21"/>
          <w:lang w:val="zh-CN"/>
        </w:rPr>
      </w:pPr>
      <w:r>
        <w:rPr>
          <w:rFonts w:hint="eastAsia" w:ascii="宋体" w:hAnsi="宋体"/>
          <w:bCs/>
          <w:sz w:val="24"/>
          <w:lang w:val="zh-CN"/>
        </w:rPr>
        <w:t>江苏省宜兴强制隔离戒毒所、</w:t>
      </w:r>
      <w:r>
        <w:rPr>
          <w:rFonts w:hint="eastAsia" w:ascii="宋体" w:hAnsi="宋体"/>
          <w:bCs/>
          <w:sz w:val="24"/>
          <w:szCs w:val="24"/>
        </w:rPr>
        <w:t>江苏鼎坚工程咨询有限公司</w:t>
      </w:r>
      <w:r>
        <w:rPr>
          <w:rFonts w:hint="eastAsia" w:ascii="宋体" w:hAnsi="宋体"/>
          <w:sz w:val="24"/>
          <w:szCs w:val="21"/>
          <w:lang w:val="zh-CN"/>
        </w:rPr>
        <w:t>：</w:t>
      </w:r>
    </w:p>
    <w:p w14:paraId="28A48567">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 xml:space="preserve"> </w:t>
      </w:r>
      <w:r>
        <w:rPr>
          <w:rFonts w:hint="eastAsia" w:ascii="宋体" w:hAnsi="宋体"/>
          <w:sz w:val="24"/>
          <w:szCs w:val="21"/>
          <w:u w:val="single"/>
          <w:lang w:val="zh-CN"/>
        </w:rPr>
        <w:t xml:space="preserve">                   </w:t>
      </w:r>
      <w:r>
        <w:rPr>
          <w:rFonts w:hint="eastAsia" w:ascii="宋体" w:hAnsi="宋体"/>
          <w:sz w:val="24"/>
          <w:szCs w:val="21"/>
          <w:lang w:val="zh-CN"/>
        </w:rPr>
        <w:t>系中华人民共和国合法企业。法定地址：</w:t>
      </w:r>
      <w:r>
        <w:rPr>
          <w:rFonts w:hint="eastAsia" w:ascii="宋体" w:hAnsi="宋体"/>
          <w:sz w:val="24"/>
          <w:szCs w:val="21"/>
          <w:u w:val="single"/>
          <w:lang w:val="zh-CN"/>
        </w:rPr>
        <w:t xml:space="preserve">    </w:t>
      </w:r>
      <w:r>
        <w:rPr>
          <w:rFonts w:hint="eastAsia" w:ascii="宋体" w:hAnsi="宋体"/>
          <w:sz w:val="24"/>
          <w:szCs w:val="21"/>
          <w:u w:val="single"/>
        </w:rPr>
        <w:t xml:space="preserve">      </w:t>
      </w:r>
      <w:r>
        <w:rPr>
          <w:rFonts w:hint="eastAsia" w:ascii="宋体" w:hAnsi="宋体"/>
          <w:sz w:val="24"/>
          <w:szCs w:val="21"/>
          <w:u w:val="single"/>
          <w:lang w:val="zh-CN"/>
        </w:rPr>
        <w:t xml:space="preserve">      </w:t>
      </w:r>
      <w:r>
        <w:rPr>
          <w:rFonts w:hint="eastAsia" w:ascii="宋体" w:hAnsi="宋体"/>
          <w:sz w:val="24"/>
          <w:szCs w:val="21"/>
          <w:lang w:val="zh-CN"/>
        </w:rPr>
        <w:t>特授权</w:t>
      </w:r>
      <w:r>
        <w:rPr>
          <w:rFonts w:hint="eastAsia" w:ascii="宋体" w:hAnsi="宋体"/>
          <w:sz w:val="24"/>
          <w:szCs w:val="21"/>
          <w:u w:val="single"/>
          <w:lang w:val="zh-CN"/>
        </w:rPr>
        <w:t xml:space="preserve"> </w:t>
      </w:r>
      <w:r>
        <w:rPr>
          <w:rFonts w:hint="eastAsia" w:ascii="宋体" w:hAnsi="宋体"/>
          <w:sz w:val="24"/>
          <w:szCs w:val="21"/>
          <w:u w:val="single"/>
        </w:rPr>
        <w:t xml:space="preserve">     </w:t>
      </w:r>
      <w:r>
        <w:rPr>
          <w:rFonts w:hint="eastAsia" w:ascii="宋体" w:hAnsi="宋体"/>
          <w:sz w:val="24"/>
          <w:szCs w:val="21"/>
          <w:u w:val="single"/>
          <w:lang w:val="zh-CN"/>
        </w:rPr>
        <w:t xml:space="preserve">   </w:t>
      </w:r>
      <w:r>
        <w:rPr>
          <w:rFonts w:hint="eastAsia" w:ascii="宋体" w:hAnsi="宋体"/>
          <w:sz w:val="24"/>
          <w:szCs w:val="21"/>
          <w:lang w:val="zh-CN"/>
        </w:rPr>
        <w:t>代表我公司（单位）全权办理针对江苏省宜兴强制隔离戒毒所配餐中心局部维修改造项目（YXJDS-JJK-2025-006 ）的投标、参与开标、谈判、签约等具体工作，并签署全部有关的文件、协议及合同。</w:t>
      </w:r>
    </w:p>
    <w:p w14:paraId="6387329E">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我公司（单位）对被授权代表的签名负全部责任。</w:t>
      </w:r>
    </w:p>
    <w:p w14:paraId="29344DB2">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在撤销授权的书面通知送达你处以前，本授权书一直有效，被授权代表签署的所有文件（在授权书有效期内签署的）不因授权的撤销而失效。</w:t>
      </w:r>
    </w:p>
    <w:p w14:paraId="14014E0E">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被授权代表情况：</w:t>
      </w:r>
    </w:p>
    <w:p w14:paraId="196BEE53">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姓名：           性别：        年龄：         职务：</w:t>
      </w:r>
    </w:p>
    <w:p w14:paraId="65FDE41F">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身份证号码：                   手机号码：</w:t>
      </w:r>
    </w:p>
    <w:p w14:paraId="180CB90C">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办公电话：                     传真：</w:t>
      </w:r>
    </w:p>
    <w:p w14:paraId="7A9C59EA">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通讯地址：</w:t>
      </w:r>
    </w:p>
    <w:p w14:paraId="3958E167">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 xml:space="preserve">被授权代表签名：                 </w:t>
      </w:r>
    </w:p>
    <w:p w14:paraId="79D6BB1E">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161A1C42">
      <w:pPr>
        <w:spacing w:line="360" w:lineRule="auto"/>
        <w:ind w:left="5460" w:hanging="5460"/>
        <w:jc w:val="center"/>
        <w:rPr>
          <w:rFonts w:ascii="黑体" w:eastAsia="黑体"/>
          <w:bCs/>
          <w:sz w:val="28"/>
          <w:szCs w:val="28"/>
        </w:rPr>
      </w:pPr>
      <w:r>
        <w:rPr>
          <w:rFonts w:hint="eastAsia" w:ascii="宋体" w:hAnsi="宋体"/>
          <w:bCs/>
          <w:sz w:val="24"/>
        </w:rPr>
        <w:t xml:space="preserve">                             法定代表人</w:t>
      </w:r>
      <w:r>
        <w:rPr>
          <w:rFonts w:hint="eastAsia" w:ascii="宋体" w:hAnsi="宋体"/>
          <w:bCs/>
          <w:sz w:val="24"/>
          <w:lang w:val="zh-CN"/>
        </w:rPr>
        <w:t>（签名）：</w:t>
      </w:r>
      <w:bookmarkStart w:id="123" w:name="OLE_LINK153"/>
    </w:p>
    <w:p w14:paraId="66069CBC">
      <w:pPr>
        <w:spacing w:line="360" w:lineRule="auto"/>
        <w:rPr>
          <w:rFonts w:ascii="黑体" w:eastAsia="黑体"/>
          <w:bCs/>
          <w:sz w:val="28"/>
          <w:szCs w:val="28"/>
        </w:rPr>
      </w:pPr>
      <w:r>
        <w:rPr>
          <w:rFonts w:hint="eastAsia" w:ascii="楷体_GB2312" w:hAnsi="宋体" w:eastAsia="楷体_GB2312"/>
          <w:bCs/>
          <w:sz w:val="24"/>
        </w:rPr>
        <mc:AlternateContent>
          <mc:Choice Requires="wps">
            <w:drawing>
              <wp:anchor distT="0" distB="0" distL="114300" distR="114300" simplePos="0" relativeHeight="251662336" behindDoc="0" locked="0" layoutInCell="1" allowOverlap="1">
                <wp:simplePos x="0" y="0"/>
                <wp:positionH relativeFrom="column">
                  <wp:posOffset>3122930</wp:posOffset>
                </wp:positionH>
                <wp:positionV relativeFrom="paragraph">
                  <wp:posOffset>26035</wp:posOffset>
                </wp:positionV>
                <wp:extent cx="3065145" cy="2070100"/>
                <wp:effectExtent l="5080" t="4445" r="15875" b="20955"/>
                <wp:wrapNone/>
                <wp:docPr id="6"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65145" cy="2070100"/>
                        </a:xfrm>
                        <a:prstGeom prst="rect">
                          <a:avLst/>
                        </a:prstGeom>
                        <a:solidFill>
                          <a:srgbClr val="FFFFFF"/>
                        </a:solidFill>
                        <a:ln w="9525">
                          <a:solidFill>
                            <a:srgbClr val="000000"/>
                          </a:solidFill>
                          <a:miter lim="800000"/>
                        </a:ln>
                        <a:effectLst/>
                      </wps:spPr>
                      <wps:txbx>
                        <w:txbxContent>
                          <w:p w14:paraId="7F5EE828">
                            <w:pPr>
                              <w:jc w:val="left"/>
                              <w:rPr>
                                <w:rFonts w:ascii="黑体" w:eastAsia="黑体"/>
                                <w:sz w:val="32"/>
                                <w:szCs w:val="32"/>
                              </w:rPr>
                            </w:pPr>
                          </w:p>
                          <w:p w14:paraId="7E7862D8">
                            <w:pPr>
                              <w:jc w:val="center"/>
                              <w:rPr>
                                <w:rFonts w:ascii="楷体_GB2312" w:eastAsia="楷体_GB2312"/>
                                <w:sz w:val="28"/>
                                <w:szCs w:val="28"/>
                              </w:rPr>
                            </w:pPr>
                            <w:r>
                              <w:rPr>
                                <w:rFonts w:hint="eastAsia" w:ascii="楷体_GB2312" w:eastAsia="楷体_GB2312"/>
                                <w:sz w:val="28"/>
                                <w:szCs w:val="28"/>
                              </w:rPr>
                              <w:t>被授权代表身份证复印件</w:t>
                            </w:r>
                          </w:p>
                          <w:p w14:paraId="51E24384">
                            <w:pPr>
                              <w:jc w:val="center"/>
                              <w:rPr>
                                <w:rFonts w:ascii="楷体_GB2312" w:eastAsia="楷体_GB2312"/>
                                <w:sz w:val="28"/>
                                <w:szCs w:val="28"/>
                              </w:rPr>
                            </w:pPr>
                            <w:r>
                              <w:rPr>
                                <w:rFonts w:hint="eastAsia" w:ascii="楷体_GB2312" w:eastAsia="楷体_GB2312"/>
                                <w:sz w:val="28"/>
                                <w:szCs w:val="28"/>
                              </w:rPr>
                              <w:t>反面</w:t>
                            </w:r>
                          </w:p>
                          <w:p w14:paraId="23D63232">
                            <w:pPr>
                              <w:jc w:val="center"/>
                              <w:rPr>
                                <w:rFonts w:ascii="楷体_GB2312" w:eastAsia="楷体_GB2312"/>
                                <w:sz w:val="28"/>
                                <w:szCs w:val="28"/>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5.9pt;margin-top:2.05pt;height:163pt;width:241.35pt;z-index:251662336;mso-width-relative:page;mso-height-relative:page;" fillcolor="#FFFFFF" filled="t" stroked="t"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jk+SdkAAAAJAQAADwAAAAAAAAAB&#10;ACAAAAAiAAAAZHJzL2Rvd25yZXYueG1sUEsBAhQAFAAAAAgAh07iQPvYtzxIAgAAlgQAAA4AAAAA&#10;AAAAAQAgAAAAKAEAAGRycy9lMm9Eb2MueG1sUEsFBgAAAAAGAAYAWQEAAOIFAAAAAA==&#10;">
                <v:fill on="t" focussize="0,0"/>
                <v:stroke color="#000000" miterlimit="8" joinstyle="miter"/>
                <v:imagedata o:title=""/>
                <o:lock v:ext="edit" aspectratio="f"/>
                <v:textbox>
                  <w:txbxContent>
                    <w:p w14:paraId="7F5EE828">
                      <w:pPr>
                        <w:jc w:val="left"/>
                        <w:rPr>
                          <w:rFonts w:ascii="黑体" w:eastAsia="黑体"/>
                          <w:sz w:val="32"/>
                          <w:szCs w:val="32"/>
                        </w:rPr>
                      </w:pPr>
                    </w:p>
                    <w:p w14:paraId="7E7862D8">
                      <w:pPr>
                        <w:jc w:val="center"/>
                        <w:rPr>
                          <w:rFonts w:ascii="楷体_GB2312" w:eastAsia="楷体_GB2312"/>
                          <w:sz w:val="28"/>
                          <w:szCs w:val="28"/>
                        </w:rPr>
                      </w:pPr>
                      <w:r>
                        <w:rPr>
                          <w:rFonts w:hint="eastAsia" w:ascii="楷体_GB2312" w:eastAsia="楷体_GB2312"/>
                          <w:sz w:val="28"/>
                          <w:szCs w:val="28"/>
                        </w:rPr>
                        <w:t>被授权代表身份证复印件</w:t>
                      </w:r>
                    </w:p>
                    <w:p w14:paraId="51E24384">
                      <w:pPr>
                        <w:jc w:val="center"/>
                        <w:rPr>
                          <w:rFonts w:ascii="楷体_GB2312" w:eastAsia="楷体_GB2312"/>
                          <w:sz w:val="28"/>
                          <w:szCs w:val="28"/>
                        </w:rPr>
                      </w:pPr>
                      <w:r>
                        <w:rPr>
                          <w:rFonts w:hint="eastAsia" w:ascii="楷体_GB2312" w:eastAsia="楷体_GB2312"/>
                          <w:sz w:val="28"/>
                          <w:szCs w:val="28"/>
                        </w:rPr>
                        <w:t>反面</w:t>
                      </w:r>
                    </w:p>
                    <w:p w14:paraId="23D63232">
                      <w:pPr>
                        <w:jc w:val="center"/>
                        <w:rPr>
                          <w:rFonts w:ascii="楷体_GB2312" w:eastAsia="楷体_GB2312"/>
                          <w:sz w:val="28"/>
                          <w:szCs w:val="28"/>
                        </w:rPr>
                      </w:pPr>
                    </w:p>
                  </w:txbxContent>
                </v:textbox>
              </v:shape>
            </w:pict>
          </mc:Fallback>
        </mc:AlternateContent>
      </w:r>
      <w:r>
        <w:rPr>
          <w:rFonts w:hint="eastAsia" w:ascii="楷体_GB2312" w:hAnsi="宋体" w:eastAsia="楷体_GB2312"/>
          <w:bCs/>
          <w:sz w:val="24"/>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29210</wp:posOffset>
                </wp:positionV>
                <wp:extent cx="2999105" cy="2070735"/>
                <wp:effectExtent l="4445" t="4445" r="6350" b="20320"/>
                <wp:wrapNone/>
                <wp:docPr id="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99105" cy="2070735"/>
                        </a:xfrm>
                        <a:prstGeom prst="rect">
                          <a:avLst/>
                        </a:prstGeom>
                        <a:solidFill>
                          <a:srgbClr val="FFFFFF"/>
                        </a:solidFill>
                        <a:ln w="9525">
                          <a:solidFill>
                            <a:srgbClr val="000000"/>
                          </a:solidFill>
                          <a:miter lim="800000"/>
                        </a:ln>
                        <a:effectLst/>
                      </wps:spPr>
                      <wps:txbx>
                        <w:txbxContent>
                          <w:p w14:paraId="0F16BBD5">
                            <w:pPr>
                              <w:jc w:val="left"/>
                              <w:rPr>
                                <w:rFonts w:ascii="黑体" w:eastAsia="黑体"/>
                                <w:sz w:val="32"/>
                                <w:szCs w:val="32"/>
                              </w:rPr>
                            </w:pPr>
                          </w:p>
                          <w:p w14:paraId="5821674E">
                            <w:pPr>
                              <w:jc w:val="center"/>
                              <w:rPr>
                                <w:rFonts w:ascii="楷体_GB2312" w:eastAsia="楷体_GB2312"/>
                                <w:sz w:val="28"/>
                                <w:szCs w:val="28"/>
                              </w:rPr>
                            </w:pPr>
                            <w:r>
                              <w:rPr>
                                <w:rFonts w:hint="eastAsia" w:ascii="楷体_GB2312" w:eastAsia="楷体_GB2312"/>
                                <w:sz w:val="28"/>
                                <w:szCs w:val="28"/>
                              </w:rPr>
                              <w:t>被授权代表身份证复印件</w:t>
                            </w:r>
                          </w:p>
                          <w:p w14:paraId="51C14B73">
                            <w:pPr>
                              <w:jc w:val="center"/>
                              <w:rPr>
                                <w:rFonts w:ascii="楷体_GB2312" w:eastAsia="楷体_GB2312"/>
                                <w:sz w:val="28"/>
                                <w:szCs w:val="28"/>
                              </w:rPr>
                            </w:pPr>
                            <w:r>
                              <w:rPr>
                                <w:rFonts w:hint="eastAsia" w:ascii="楷体_GB2312" w:eastAsia="楷体_GB2312"/>
                                <w:sz w:val="28"/>
                                <w:szCs w:val="28"/>
                              </w:rPr>
                              <w:t>正面</w:t>
                            </w:r>
                          </w:p>
                          <w:p w14:paraId="74512B62">
                            <w:pPr>
                              <w:jc w:val="center"/>
                              <w:rPr>
                                <w:rFonts w:ascii="楷体_GB2312" w:eastAsia="楷体_GB2312"/>
                                <w:sz w:val="28"/>
                                <w:szCs w:val="28"/>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1pt;margin-top:2.3pt;height:163.05pt;width:236.15pt;z-index:251661312;mso-width-relative:page;mso-height-relative:page;" fillcolor="#FFFFFF" filled="t" stroked="t"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NBY0XYAAAACAEAAA8AAAAAAAAA&#10;AQAgAAAAIgAAAGRycy9kb3ducmV2LnhtbFBLAQIUABQAAAAIAIdO4kA2YwSCSgIAAJYEAAAOAAAA&#10;AAAAAAEAIAAAACcBAABkcnMvZTJvRG9jLnhtbFBLBQYAAAAABgAGAFkBAADjBQAAAAA=&#10;">
                <v:fill on="t" focussize="0,0"/>
                <v:stroke color="#000000" miterlimit="8" joinstyle="miter"/>
                <v:imagedata o:title=""/>
                <o:lock v:ext="edit" aspectratio="f"/>
                <v:textbox>
                  <w:txbxContent>
                    <w:p w14:paraId="0F16BBD5">
                      <w:pPr>
                        <w:jc w:val="left"/>
                        <w:rPr>
                          <w:rFonts w:ascii="黑体" w:eastAsia="黑体"/>
                          <w:sz w:val="32"/>
                          <w:szCs w:val="32"/>
                        </w:rPr>
                      </w:pPr>
                    </w:p>
                    <w:p w14:paraId="5821674E">
                      <w:pPr>
                        <w:jc w:val="center"/>
                        <w:rPr>
                          <w:rFonts w:ascii="楷体_GB2312" w:eastAsia="楷体_GB2312"/>
                          <w:sz w:val="28"/>
                          <w:szCs w:val="28"/>
                        </w:rPr>
                      </w:pPr>
                      <w:r>
                        <w:rPr>
                          <w:rFonts w:hint="eastAsia" w:ascii="楷体_GB2312" w:eastAsia="楷体_GB2312"/>
                          <w:sz w:val="28"/>
                          <w:szCs w:val="28"/>
                        </w:rPr>
                        <w:t>被授权代表身份证复印件</w:t>
                      </w:r>
                    </w:p>
                    <w:p w14:paraId="51C14B73">
                      <w:pPr>
                        <w:jc w:val="center"/>
                        <w:rPr>
                          <w:rFonts w:ascii="楷体_GB2312" w:eastAsia="楷体_GB2312"/>
                          <w:sz w:val="28"/>
                          <w:szCs w:val="28"/>
                        </w:rPr>
                      </w:pPr>
                      <w:r>
                        <w:rPr>
                          <w:rFonts w:hint="eastAsia" w:ascii="楷体_GB2312" w:eastAsia="楷体_GB2312"/>
                          <w:sz w:val="28"/>
                          <w:szCs w:val="28"/>
                        </w:rPr>
                        <w:t>正面</w:t>
                      </w:r>
                    </w:p>
                    <w:p w14:paraId="74512B62">
                      <w:pPr>
                        <w:jc w:val="center"/>
                        <w:rPr>
                          <w:rFonts w:ascii="楷体_GB2312" w:eastAsia="楷体_GB2312"/>
                          <w:sz w:val="28"/>
                          <w:szCs w:val="28"/>
                        </w:rPr>
                      </w:pPr>
                    </w:p>
                  </w:txbxContent>
                </v:textbox>
              </v:shape>
            </w:pict>
          </mc:Fallback>
        </mc:AlternateContent>
      </w:r>
    </w:p>
    <w:p w14:paraId="7623F6FF">
      <w:pPr>
        <w:spacing w:line="360" w:lineRule="auto"/>
        <w:rPr>
          <w:rFonts w:ascii="黑体" w:eastAsia="黑体"/>
          <w:bCs/>
          <w:sz w:val="28"/>
          <w:szCs w:val="28"/>
        </w:rPr>
      </w:pPr>
    </w:p>
    <w:p w14:paraId="46332CF3">
      <w:pPr>
        <w:spacing w:line="360" w:lineRule="auto"/>
        <w:jc w:val="center"/>
        <w:rPr>
          <w:rFonts w:ascii="黑体" w:eastAsia="黑体"/>
          <w:bCs/>
          <w:sz w:val="28"/>
          <w:szCs w:val="28"/>
        </w:rPr>
      </w:pPr>
    </w:p>
    <w:p w14:paraId="2E746A64">
      <w:pPr>
        <w:spacing w:line="360" w:lineRule="auto"/>
        <w:jc w:val="center"/>
        <w:rPr>
          <w:rFonts w:ascii="黑体" w:eastAsia="黑体"/>
          <w:bCs/>
          <w:sz w:val="28"/>
          <w:szCs w:val="28"/>
        </w:rPr>
      </w:pPr>
    </w:p>
    <w:p w14:paraId="4376A01C">
      <w:pPr>
        <w:spacing w:line="360" w:lineRule="auto"/>
        <w:ind w:firstLine="480"/>
        <w:rPr>
          <w:rFonts w:ascii="黑体" w:hAnsi="宋体" w:eastAsia="黑体"/>
          <w:bCs/>
          <w:sz w:val="24"/>
          <w:szCs w:val="24"/>
        </w:rPr>
      </w:pPr>
    </w:p>
    <w:bookmarkEnd w:id="123"/>
    <w:p w14:paraId="13866EBF">
      <w:pPr>
        <w:rPr>
          <w:rFonts w:ascii="黑体" w:hAnsi="宋体" w:eastAsia="黑体"/>
          <w:bCs/>
          <w:sz w:val="24"/>
          <w:szCs w:val="24"/>
        </w:rPr>
      </w:pPr>
    </w:p>
    <w:p w14:paraId="48F72AF0">
      <w:pPr>
        <w:rPr>
          <w:rFonts w:ascii="黑体" w:hAnsi="宋体" w:eastAsia="黑体"/>
          <w:bCs/>
          <w:sz w:val="24"/>
          <w:szCs w:val="24"/>
        </w:rPr>
      </w:pPr>
    </w:p>
    <w:p w14:paraId="67BF91E3">
      <w:pPr>
        <w:rPr>
          <w:rFonts w:ascii="黑体" w:hAnsi="宋体" w:eastAsia="黑体"/>
          <w:bCs/>
          <w:sz w:val="24"/>
          <w:szCs w:val="24"/>
        </w:rPr>
      </w:pPr>
      <w:r>
        <w:rPr>
          <w:rFonts w:ascii="黑体" w:hAnsi="宋体" w:eastAsia="黑体"/>
          <w:bCs/>
          <w:sz w:val="24"/>
          <w:szCs w:val="24"/>
        </w:rPr>
        <w:br w:type="page" w:clear="all"/>
      </w:r>
    </w:p>
    <w:p w14:paraId="11436C22">
      <w:pPr>
        <w:ind w:firstLine="480"/>
        <w:rPr>
          <w:rFonts w:ascii="黑体" w:hAnsi="宋体" w:eastAsia="黑体"/>
          <w:bCs/>
          <w:sz w:val="24"/>
          <w:szCs w:val="24"/>
        </w:rPr>
      </w:pPr>
      <w:r>
        <w:rPr>
          <w:rFonts w:hint="eastAsia" w:ascii="黑体" w:hAnsi="宋体" w:eastAsia="黑体"/>
          <w:bCs/>
          <w:sz w:val="24"/>
          <w:szCs w:val="24"/>
        </w:rPr>
        <w:t>3、资格性证明材料复印件：</w:t>
      </w:r>
    </w:p>
    <w:p w14:paraId="32F315BD">
      <w:pPr>
        <w:spacing w:before="156" w:after="156" w:line="480" w:lineRule="auto"/>
        <w:jc w:val="center"/>
        <w:rPr>
          <w:rFonts w:ascii="宋体" w:hAnsi="宋体"/>
          <w:bCs/>
          <w:sz w:val="24"/>
          <w:szCs w:val="24"/>
        </w:rPr>
      </w:pPr>
      <w:r>
        <w:rPr>
          <w:rFonts w:hint="eastAsia" w:ascii="黑体" w:hAnsi="黑体" w:eastAsia="黑体"/>
          <w:bCs/>
          <w:sz w:val="28"/>
          <w:szCs w:val="24"/>
        </w:rPr>
        <w:t>资格性证明材料</w:t>
      </w:r>
      <w:r>
        <w:rPr>
          <w:rFonts w:hint="eastAsia" w:ascii="宋体" w:hAnsi="宋体"/>
          <w:bCs/>
          <w:sz w:val="24"/>
          <w:szCs w:val="24"/>
        </w:rPr>
        <w:t xml:space="preserve">                                 </w:t>
      </w:r>
    </w:p>
    <w:p w14:paraId="52665389">
      <w:pPr>
        <w:spacing w:line="480" w:lineRule="auto"/>
        <w:rPr>
          <w:rFonts w:ascii="宋体" w:hAnsi="宋体"/>
          <w:bCs/>
          <w:sz w:val="24"/>
          <w:szCs w:val="24"/>
        </w:rPr>
      </w:pPr>
      <w:r>
        <w:rPr>
          <w:rFonts w:hint="eastAsia" w:ascii="宋体" w:hAnsi="宋体"/>
          <w:bCs/>
          <w:sz w:val="24"/>
          <w:szCs w:val="24"/>
        </w:rPr>
        <w:t>投标人应按以下顺序提供相关材料复印件：</w:t>
      </w:r>
    </w:p>
    <w:p w14:paraId="60201612">
      <w:pPr>
        <w:tabs>
          <w:tab w:val="left" w:pos="525"/>
          <w:tab w:val="left" w:pos="945"/>
        </w:tabs>
        <w:spacing w:line="360" w:lineRule="auto"/>
        <w:ind w:firstLine="480"/>
        <w:rPr>
          <w:rFonts w:ascii="宋体" w:hAnsi="宋体"/>
          <w:bCs/>
          <w:sz w:val="24"/>
          <w:szCs w:val="24"/>
          <w:lang w:val="zh-CN"/>
        </w:rPr>
      </w:pPr>
      <w:r>
        <w:rPr>
          <w:rFonts w:hint="eastAsia" w:ascii="宋体" w:hAnsi="宋体" w:cs="宋体"/>
          <w:bCs/>
          <w:sz w:val="24"/>
          <w:szCs w:val="24"/>
          <w:lang w:val="zh-CN"/>
        </w:rPr>
        <w:t>①</w:t>
      </w:r>
      <w:r>
        <w:rPr>
          <w:rFonts w:hint="eastAsia" w:ascii="宋体" w:hAnsi="宋体" w:cs="宋体"/>
          <w:bCs/>
          <w:sz w:val="24"/>
          <w:szCs w:val="24"/>
        </w:rPr>
        <w:t xml:space="preserve"> </w:t>
      </w:r>
      <w:r>
        <w:rPr>
          <w:rFonts w:hint="eastAsia" w:ascii="宋体" w:hAnsi="宋体"/>
          <w:b/>
          <w:sz w:val="24"/>
          <w:szCs w:val="24"/>
          <w:lang w:val="zh-CN"/>
        </w:rPr>
        <w:t>资格声明函；</w:t>
      </w:r>
      <w:r>
        <w:rPr>
          <w:rFonts w:hint="eastAsia" w:ascii="宋体" w:hAnsi="宋体"/>
          <w:bCs/>
          <w:sz w:val="24"/>
          <w:szCs w:val="24"/>
          <w:lang w:val="zh-CN"/>
        </w:rPr>
        <w:t>关于资格的声明函；</w:t>
      </w:r>
    </w:p>
    <w:p w14:paraId="0E45CA4B">
      <w:pPr>
        <w:tabs>
          <w:tab w:val="left" w:pos="0"/>
          <w:tab w:val="left" w:pos="255"/>
        </w:tabs>
        <w:spacing w:line="360" w:lineRule="auto"/>
        <w:ind w:left="420"/>
        <w:rPr>
          <w:rFonts w:ascii="宋体" w:hAnsi="宋体"/>
          <w:bCs/>
          <w:sz w:val="24"/>
          <w:szCs w:val="24"/>
          <w:lang w:val="zh-CN"/>
        </w:rPr>
      </w:pPr>
      <w:r>
        <w:rPr>
          <w:rFonts w:hint="eastAsia" w:ascii="宋体" w:hAnsi="宋体" w:cs="宋体"/>
          <w:bCs/>
          <w:sz w:val="24"/>
          <w:szCs w:val="24"/>
          <w:lang w:val="zh-CN"/>
        </w:rPr>
        <w:t>②</w:t>
      </w:r>
      <w:r>
        <w:rPr>
          <w:rFonts w:hint="eastAsia" w:ascii="宋体" w:hAnsi="宋体" w:cs="宋体"/>
          <w:bCs/>
          <w:sz w:val="24"/>
          <w:szCs w:val="24"/>
        </w:rPr>
        <w:t xml:space="preserve"> </w:t>
      </w:r>
      <w:r>
        <w:rPr>
          <w:rFonts w:hint="eastAsia" w:ascii="宋体" w:hAnsi="宋体"/>
          <w:b/>
          <w:sz w:val="24"/>
          <w:szCs w:val="24"/>
          <w:lang w:val="zh-CN"/>
        </w:rPr>
        <w:t>被授权代表身份证明</w:t>
      </w:r>
      <w:r>
        <w:rPr>
          <w:rFonts w:hint="eastAsia" w:ascii="宋体" w:hAnsi="宋体"/>
          <w:b/>
          <w:sz w:val="24"/>
          <w:szCs w:val="24"/>
        </w:rPr>
        <w:t>：</w:t>
      </w:r>
      <w:r>
        <w:rPr>
          <w:rFonts w:hint="eastAsia" w:ascii="宋体" w:hAnsi="宋体"/>
          <w:bCs/>
          <w:sz w:val="24"/>
          <w:szCs w:val="24"/>
          <w:lang w:val="zh-CN"/>
        </w:rPr>
        <w:t>投标人法定代表人授权委托书（法定代表人亲自参加的除外）；</w:t>
      </w:r>
    </w:p>
    <w:p w14:paraId="1793CD9E">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③</w:t>
      </w:r>
      <w:r>
        <w:rPr>
          <w:rFonts w:hint="eastAsia" w:ascii="宋体" w:hAnsi="宋体" w:cs="宋体"/>
          <w:bCs/>
          <w:sz w:val="24"/>
          <w:szCs w:val="24"/>
        </w:rPr>
        <w:t xml:space="preserve"> </w:t>
      </w:r>
      <w:r>
        <w:rPr>
          <w:rFonts w:hint="eastAsia" w:ascii="宋体" w:hAnsi="宋体"/>
          <w:b/>
          <w:sz w:val="24"/>
          <w:szCs w:val="24"/>
          <w:lang w:val="zh-CN"/>
        </w:rPr>
        <w:t>具有独立承担民事责任的能力：</w:t>
      </w:r>
      <w:r>
        <w:rPr>
          <w:rFonts w:hint="eastAsia" w:ascii="宋体" w:hAnsi="宋体"/>
          <w:bCs/>
          <w:sz w:val="24"/>
          <w:szCs w:val="24"/>
        </w:rPr>
        <w:t>投标人（如投标人是联合体，则为各方）</w:t>
      </w:r>
      <w:r>
        <w:rPr>
          <w:rFonts w:hint="eastAsia" w:ascii="宋体" w:hAnsi="宋体"/>
          <w:bCs/>
          <w:sz w:val="24"/>
          <w:szCs w:val="24"/>
          <w:lang w:val="zh-CN"/>
        </w:rPr>
        <w:t>为法人或其他组织的提供投标人营业执照或法人（登记）证书复印件，投标人为自然人的提供自然人身份证复印件；</w:t>
      </w:r>
    </w:p>
    <w:p w14:paraId="73F71CD1">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④</w:t>
      </w:r>
      <w:r>
        <w:rPr>
          <w:rFonts w:hint="eastAsia" w:ascii="宋体" w:hAnsi="宋体" w:cs="宋体"/>
          <w:bCs/>
          <w:sz w:val="24"/>
          <w:szCs w:val="24"/>
        </w:rPr>
        <w:t xml:space="preserve"> </w:t>
      </w:r>
      <w:r>
        <w:rPr>
          <w:rFonts w:hint="eastAsia" w:ascii="宋体" w:hAnsi="宋体"/>
          <w:b/>
          <w:sz w:val="24"/>
          <w:szCs w:val="24"/>
          <w:lang w:val="zh-CN"/>
        </w:rPr>
        <w:t>具有良好的商业信誉和健全的财务会计制度：</w:t>
      </w:r>
      <w:r>
        <w:rPr>
          <w:rFonts w:hint="eastAsia" w:ascii="宋体" w:hAnsi="宋体"/>
          <w:bCs/>
          <w:sz w:val="24"/>
          <w:szCs w:val="24"/>
          <w:lang w:val="zh-CN"/>
        </w:rPr>
        <w:t>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r>
        <w:rPr>
          <w:rFonts w:hint="eastAsia" w:ascii="宋体" w:hAnsi="宋体"/>
          <w:bCs/>
          <w:sz w:val="24"/>
          <w:szCs w:val="24"/>
        </w:rPr>
        <w:t>（如投标人是联合体，则为各方）</w:t>
      </w:r>
    </w:p>
    <w:p w14:paraId="73CE6B9D">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⑤</w:t>
      </w:r>
      <w:r>
        <w:rPr>
          <w:rFonts w:hint="eastAsia" w:ascii="宋体" w:hAnsi="宋体" w:cs="宋体"/>
          <w:bCs/>
          <w:sz w:val="24"/>
          <w:szCs w:val="24"/>
        </w:rPr>
        <w:t xml:space="preserve"> </w:t>
      </w:r>
      <w:r>
        <w:rPr>
          <w:rFonts w:hint="eastAsia" w:ascii="宋体" w:hAnsi="宋体"/>
          <w:b/>
          <w:sz w:val="24"/>
          <w:szCs w:val="24"/>
          <w:lang w:val="zh-CN"/>
        </w:rPr>
        <w:t>有依法缴纳税收的良好记录：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依法缴纳近十二个月中任意一个月份税收的相关材料（提供相关主管部门证明或银行代扣证明）复印件；</w:t>
      </w:r>
    </w:p>
    <w:p w14:paraId="3587D399">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⑥</w:t>
      </w:r>
      <w:r>
        <w:rPr>
          <w:rFonts w:hint="eastAsia" w:ascii="宋体" w:hAnsi="宋体" w:cs="宋体"/>
          <w:bCs/>
          <w:sz w:val="24"/>
          <w:szCs w:val="24"/>
        </w:rPr>
        <w:t xml:space="preserve"> </w:t>
      </w:r>
      <w:r>
        <w:rPr>
          <w:rFonts w:hint="eastAsia" w:ascii="宋体" w:hAnsi="宋体"/>
          <w:b/>
          <w:sz w:val="24"/>
          <w:szCs w:val="24"/>
          <w:lang w:val="zh-CN"/>
        </w:rPr>
        <w:t>有依法缴纳社会保障资金的良好记录：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依法缴纳近十二个月中任意一个月份社会保障资金的相关材料（提供相关主管部门证明或银行代扣证明）复印件；</w:t>
      </w:r>
    </w:p>
    <w:p w14:paraId="7671112C">
      <w:pPr>
        <w:tabs>
          <w:tab w:val="left" w:pos="0"/>
          <w:tab w:val="left" w:pos="255"/>
        </w:tabs>
        <w:spacing w:line="360" w:lineRule="auto"/>
        <w:ind w:firstLine="480"/>
        <w:rPr>
          <w:rFonts w:ascii="宋体" w:hAnsi="宋体"/>
          <w:b/>
          <w:sz w:val="24"/>
          <w:szCs w:val="24"/>
          <w:lang w:val="zh-CN"/>
        </w:rPr>
      </w:pPr>
      <w:r>
        <w:rPr>
          <w:rFonts w:hint="eastAsia" w:ascii="宋体" w:hAnsi="宋体" w:cs="宋体"/>
          <w:bCs/>
          <w:sz w:val="24"/>
          <w:szCs w:val="24"/>
        </w:rPr>
        <w:t>⑦</w:t>
      </w:r>
      <w:r>
        <w:rPr>
          <w:rFonts w:hint="eastAsia" w:ascii="宋体" w:hAnsi="宋体" w:cs="宋体"/>
          <w:b/>
          <w:sz w:val="24"/>
          <w:szCs w:val="24"/>
        </w:rPr>
        <w:t xml:space="preserve"> </w:t>
      </w:r>
      <w:r>
        <w:rPr>
          <w:rFonts w:hint="eastAsia" w:ascii="宋体" w:hAnsi="宋体"/>
          <w:b/>
          <w:sz w:val="24"/>
          <w:szCs w:val="24"/>
        </w:rPr>
        <w:t>无不良信用记录：</w:t>
      </w:r>
      <w:r>
        <w:rPr>
          <w:rFonts w:hint="eastAsia" w:ascii="宋体" w:hAnsi="宋体"/>
          <w:bCs/>
          <w:sz w:val="24"/>
          <w:szCs w:val="24"/>
        </w:rPr>
        <w:t>未被“</w:t>
      </w:r>
      <w:r>
        <w:rPr>
          <w:rFonts w:hint="eastAsia" w:ascii="宋体" w:hAnsi="宋体"/>
          <w:bCs/>
          <w:sz w:val="24"/>
          <w:szCs w:val="24"/>
          <w:lang w:val="zh-CN"/>
        </w:rPr>
        <w:t>信用中国</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（www.creditchina.gov.cn）</w:t>
      </w:r>
      <w:r>
        <w:rPr>
          <w:rFonts w:hint="eastAsia" w:ascii="宋体" w:hAnsi="宋体"/>
          <w:bCs/>
          <w:sz w:val="24"/>
          <w:szCs w:val="24"/>
          <w:lang w:val="zh-CN"/>
        </w:rPr>
        <w:t>列入失信</w:t>
      </w:r>
      <w:r>
        <w:rPr>
          <w:rFonts w:hint="eastAsia" w:ascii="宋体" w:hAnsi="宋体"/>
          <w:bCs/>
          <w:sz w:val="24"/>
          <w:szCs w:val="24"/>
          <w:lang w:val="en-US" w:eastAsia="zh-CN"/>
        </w:rPr>
        <w:t>被</w:t>
      </w:r>
      <w:r>
        <w:rPr>
          <w:rFonts w:hint="eastAsia" w:ascii="宋体" w:hAnsi="宋体"/>
          <w:bCs/>
          <w:sz w:val="24"/>
          <w:szCs w:val="24"/>
          <w:lang w:val="zh-CN"/>
        </w:rPr>
        <w:t>执行人、重大税收违法案件当事人名单、政府采购严重违法失信名单</w:t>
      </w:r>
      <w:r>
        <w:rPr>
          <w:rFonts w:hint="eastAsia" w:ascii="宋体" w:hAnsi="宋体"/>
          <w:bCs/>
          <w:sz w:val="24"/>
          <w:szCs w:val="24"/>
        </w:rPr>
        <w:t>，</w:t>
      </w:r>
      <w:r>
        <w:rPr>
          <w:rFonts w:hint="eastAsia" w:ascii="宋体" w:hAnsi="宋体"/>
          <w:bCs/>
          <w:sz w:val="24"/>
          <w:szCs w:val="24"/>
          <w:lang w:val="zh-CN"/>
        </w:rPr>
        <w:t>或未在</w:t>
      </w:r>
      <w:r>
        <w:rPr>
          <w:rFonts w:hint="eastAsia" w:ascii="宋体" w:hAnsi="宋体"/>
          <w:bCs/>
          <w:sz w:val="24"/>
          <w:szCs w:val="24"/>
        </w:rPr>
        <w:t>“</w:t>
      </w:r>
      <w:r>
        <w:rPr>
          <w:rFonts w:hint="eastAsia" w:ascii="宋体" w:hAnsi="宋体"/>
          <w:bCs/>
          <w:sz w:val="24"/>
          <w:szCs w:val="24"/>
          <w:lang w:val="zh-CN"/>
        </w:rPr>
        <w:t>中国政府采购网</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（www.ccgp.gov.cn）</w:t>
      </w:r>
      <w:r>
        <w:rPr>
          <w:rFonts w:hint="eastAsia" w:ascii="宋体" w:hAnsi="宋体"/>
          <w:bCs/>
          <w:sz w:val="24"/>
          <w:szCs w:val="24"/>
          <w:lang w:val="zh-CN"/>
        </w:rPr>
        <w:t>被列入政府采购严重违法失信行为记录名单；</w:t>
      </w:r>
      <w:r>
        <w:rPr>
          <w:rFonts w:hint="eastAsia" w:ascii="宋体" w:hAnsi="宋体"/>
          <w:bCs/>
          <w:sz w:val="24"/>
          <w:szCs w:val="24"/>
        </w:rPr>
        <w:t>（如投标人是联合体，则为各方）</w:t>
      </w:r>
      <w:r>
        <w:rPr>
          <w:rFonts w:hint="eastAsia" w:ascii="宋体" w:hAnsi="宋体"/>
          <w:b/>
          <w:sz w:val="24"/>
          <w:szCs w:val="24"/>
          <w:lang w:val="zh-CN"/>
        </w:rPr>
        <w:t>（</w:t>
      </w:r>
      <w:r>
        <w:rPr>
          <w:rFonts w:ascii="宋体" w:hAnsi="宋体"/>
          <w:b/>
          <w:sz w:val="24"/>
          <w:szCs w:val="24"/>
        </w:rPr>
        <w:t>若投标人企业信息已录入以上网站的，</w:t>
      </w:r>
      <w:r>
        <w:rPr>
          <w:rFonts w:hint="eastAsia" w:ascii="宋体" w:hAnsi="宋体"/>
          <w:b/>
          <w:sz w:val="24"/>
          <w:szCs w:val="24"/>
          <w:lang w:val="zh-CN"/>
        </w:rPr>
        <w:t>无需提供相关证明材料</w:t>
      </w:r>
      <w:r>
        <w:rPr>
          <w:rFonts w:ascii="宋体" w:hAnsi="宋体"/>
          <w:b/>
          <w:sz w:val="24"/>
          <w:szCs w:val="24"/>
        </w:rPr>
        <w:t>；</w:t>
      </w:r>
      <w:r>
        <w:rPr>
          <w:rFonts w:hint="eastAsia" w:ascii="宋体" w:hAnsi="宋体"/>
          <w:b/>
          <w:sz w:val="24"/>
          <w:szCs w:val="24"/>
        </w:rPr>
        <w:t>若投标人企业信息</w:t>
      </w:r>
      <w:r>
        <w:rPr>
          <w:rFonts w:ascii="宋体" w:hAnsi="宋体"/>
          <w:b/>
          <w:sz w:val="24"/>
          <w:szCs w:val="24"/>
        </w:rPr>
        <w:t>未</w:t>
      </w:r>
      <w:r>
        <w:rPr>
          <w:rFonts w:hint="eastAsia" w:ascii="宋体" w:hAnsi="宋体"/>
          <w:b/>
          <w:sz w:val="24"/>
          <w:szCs w:val="24"/>
        </w:rPr>
        <w:t>录入以上网站的，须在投标文件中提供</w:t>
      </w:r>
      <w:r>
        <w:rPr>
          <w:rFonts w:ascii="宋体" w:hAnsi="宋体"/>
          <w:b/>
          <w:sz w:val="24"/>
          <w:szCs w:val="24"/>
        </w:rPr>
        <w:t>无不良信用记录</w:t>
      </w:r>
      <w:r>
        <w:rPr>
          <w:rFonts w:hint="eastAsia" w:ascii="宋体" w:hAnsi="宋体"/>
          <w:b/>
          <w:sz w:val="24"/>
          <w:szCs w:val="24"/>
        </w:rPr>
        <w:t>承诺</w:t>
      </w:r>
      <w:r>
        <w:rPr>
          <w:rFonts w:ascii="宋体" w:hAnsi="宋体"/>
          <w:b/>
          <w:sz w:val="24"/>
          <w:szCs w:val="24"/>
        </w:rPr>
        <w:t>书</w:t>
      </w:r>
      <w:r>
        <w:rPr>
          <w:rFonts w:hint="eastAsia" w:ascii="宋体" w:hAnsi="宋体"/>
          <w:b/>
          <w:sz w:val="24"/>
          <w:szCs w:val="24"/>
          <w:lang w:val="zh-CN"/>
        </w:rPr>
        <w:t>）。接受联合体的项目，两个自然人、法人或者其他组织组成一个联合体，以一个供应商的身份共同参加政府采购活动的,联合体成员中任何一方存在不良信用记录的，视同联合体存在不良应用记录。</w:t>
      </w:r>
    </w:p>
    <w:p w14:paraId="32121EDA">
      <w:pPr>
        <w:tabs>
          <w:tab w:val="left" w:pos="0"/>
          <w:tab w:val="left" w:pos="255"/>
        </w:tabs>
        <w:spacing w:line="360" w:lineRule="auto"/>
        <w:ind w:left="420"/>
        <w:rPr>
          <w:rFonts w:ascii="宋体" w:hAnsi="宋体"/>
          <w:sz w:val="24"/>
          <w:szCs w:val="24"/>
        </w:rPr>
      </w:pPr>
      <w:r>
        <w:rPr>
          <w:rFonts w:hint="eastAsia" w:ascii="宋体" w:hAnsi="宋体"/>
          <w:sz w:val="24"/>
          <w:szCs w:val="24"/>
        </w:rPr>
        <w:t>注：以上“近十二个月”是指投标截止日之前近十二个月（不含投标当月）。</w:t>
      </w:r>
    </w:p>
    <w:p w14:paraId="3148539E">
      <w:pPr>
        <w:tabs>
          <w:tab w:val="left" w:pos="0"/>
          <w:tab w:val="left" w:pos="255"/>
        </w:tabs>
        <w:spacing w:line="360" w:lineRule="auto"/>
        <w:ind w:left="420"/>
        <w:rPr>
          <w:rFonts w:ascii="宋体" w:hAnsi="宋体"/>
          <w:sz w:val="24"/>
          <w:szCs w:val="24"/>
        </w:rPr>
      </w:pPr>
      <w:bookmarkStart w:id="124" w:name="_GoBack"/>
      <w:bookmarkEnd w:id="124"/>
      <w:r>
        <w:rPr>
          <w:rFonts w:hint="eastAsia" w:ascii="宋体" w:hAnsi="宋体" w:cs="宋体"/>
          <w:bCs/>
          <w:sz w:val="24"/>
          <w:szCs w:val="24"/>
        </w:rPr>
        <w:t xml:space="preserve">⑧ </w:t>
      </w:r>
      <w:r>
        <w:rPr>
          <w:rFonts w:hint="eastAsia" w:ascii="宋体" w:hAnsi="宋体" w:cs="宋体"/>
          <w:b/>
          <w:sz w:val="24"/>
          <w:szCs w:val="24"/>
        </w:rPr>
        <w:t>采购人特殊要求：</w:t>
      </w:r>
      <w:r>
        <w:rPr>
          <w:rFonts w:hint="eastAsia" w:ascii="宋体" w:hAnsi="宋体"/>
          <w:sz w:val="24"/>
          <w:szCs w:val="24"/>
        </w:rPr>
        <w:t>1、投标人应当具备下列（1）项资质之一和（2）项资质</w:t>
      </w:r>
    </w:p>
    <w:p w14:paraId="0885A119">
      <w:pPr>
        <w:tabs>
          <w:tab w:val="left" w:pos="0"/>
          <w:tab w:val="left" w:pos="255"/>
        </w:tabs>
        <w:spacing w:line="360" w:lineRule="auto"/>
        <w:ind w:left="420"/>
        <w:rPr>
          <w:rFonts w:ascii="宋体" w:hAnsi="宋体"/>
          <w:sz w:val="24"/>
          <w:szCs w:val="24"/>
        </w:rPr>
      </w:pPr>
      <w:r>
        <w:rPr>
          <w:rFonts w:ascii="宋体" w:hAnsi="宋体"/>
          <w:sz w:val="24"/>
          <w:szCs w:val="24"/>
        </w:rPr>
        <w:t>（1）设计资质要求</w:t>
      </w:r>
    </w:p>
    <w:p w14:paraId="5877CFE0">
      <w:pPr>
        <w:tabs>
          <w:tab w:val="left" w:pos="0"/>
          <w:tab w:val="left" w:pos="255"/>
        </w:tabs>
        <w:spacing w:line="360" w:lineRule="auto"/>
        <w:ind w:left="420"/>
        <w:rPr>
          <w:rFonts w:ascii="宋体" w:hAnsi="宋体"/>
          <w:sz w:val="24"/>
          <w:szCs w:val="24"/>
        </w:rPr>
      </w:pPr>
      <w:r>
        <w:rPr>
          <w:rFonts w:ascii="宋体" w:hAnsi="宋体"/>
          <w:sz w:val="24"/>
          <w:szCs w:val="24"/>
        </w:rPr>
        <w:t>具有工程设计综合甲级资质或工程设计建筑行业乙级及以上资质或工程设计建筑行业（建筑工程）乙级及以上资质</w:t>
      </w:r>
      <w:r>
        <w:rPr>
          <w:rFonts w:hint="eastAsia" w:ascii="宋体" w:hAnsi="宋体"/>
          <w:sz w:val="24"/>
          <w:szCs w:val="24"/>
        </w:rPr>
        <w:t>或</w:t>
      </w:r>
      <w:r>
        <w:rPr>
          <w:rFonts w:ascii="宋体" w:hAnsi="宋体"/>
          <w:sz w:val="24"/>
          <w:szCs w:val="24"/>
        </w:rPr>
        <w:t>建筑装饰工程设计专项乙级资质及以上资质</w:t>
      </w:r>
      <w:r>
        <w:rPr>
          <w:rFonts w:hint="eastAsia" w:ascii="宋体" w:hAnsi="宋体"/>
          <w:sz w:val="24"/>
          <w:szCs w:val="24"/>
        </w:rPr>
        <w:t>。</w:t>
      </w:r>
    </w:p>
    <w:p w14:paraId="3AF6F18E">
      <w:pPr>
        <w:tabs>
          <w:tab w:val="left" w:pos="0"/>
          <w:tab w:val="left" w:pos="255"/>
        </w:tabs>
        <w:spacing w:line="360" w:lineRule="auto"/>
        <w:ind w:left="420"/>
        <w:rPr>
          <w:rFonts w:ascii="宋体" w:hAnsi="宋体"/>
          <w:sz w:val="24"/>
          <w:szCs w:val="24"/>
        </w:rPr>
      </w:pPr>
      <w:r>
        <w:rPr>
          <w:rFonts w:ascii="宋体" w:hAnsi="宋体"/>
          <w:sz w:val="24"/>
          <w:szCs w:val="24"/>
        </w:rPr>
        <w:t>（2）施工资质要求</w:t>
      </w:r>
    </w:p>
    <w:p w14:paraId="12F05429">
      <w:pPr>
        <w:tabs>
          <w:tab w:val="left" w:pos="0"/>
          <w:tab w:val="left" w:pos="255"/>
        </w:tabs>
        <w:spacing w:line="360" w:lineRule="auto"/>
        <w:ind w:left="420"/>
        <w:rPr>
          <w:rFonts w:ascii="宋体" w:hAnsi="宋体"/>
          <w:sz w:val="24"/>
          <w:szCs w:val="24"/>
        </w:rPr>
      </w:pPr>
      <w:r>
        <w:rPr>
          <w:rFonts w:ascii="宋体" w:hAnsi="宋体"/>
          <w:sz w:val="24"/>
          <w:szCs w:val="24"/>
        </w:rPr>
        <w:t>建筑装修装饰工程专业承包贰级及以上资质</w:t>
      </w:r>
      <w:r>
        <w:rPr>
          <w:rFonts w:hint="eastAsia" w:ascii="宋体" w:hAnsi="宋体"/>
          <w:sz w:val="24"/>
          <w:szCs w:val="24"/>
        </w:rPr>
        <w:t>，取得安全生产许可证（指全国一体化政务服务平台标准电子证照，相关规定不作要求的除外）并在人员、设备、资金等方面具有相应的施工能力。</w:t>
      </w:r>
    </w:p>
    <w:p w14:paraId="37E2F153">
      <w:pPr>
        <w:tabs>
          <w:tab w:val="left" w:pos="0"/>
          <w:tab w:val="left" w:pos="255"/>
        </w:tabs>
        <w:spacing w:line="360" w:lineRule="auto"/>
        <w:ind w:left="420"/>
        <w:rPr>
          <w:rFonts w:ascii="宋体" w:hAnsi="宋体"/>
          <w:sz w:val="24"/>
          <w:szCs w:val="24"/>
        </w:rPr>
      </w:pPr>
      <w:r>
        <w:rPr>
          <w:rFonts w:hint="eastAsia" w:ascii="宋体" w:hAnsi="宋体"/>
          <w:sz w:val="24"/>
          <w:szCs w:val="24"/>
        </w:rPr>
        <w:t>2、设计负责人要求</w:t>
      </w:r>
    </w:p>
    <w:p w14:paraId="12BD4000">
      <w:pPr>
        <w:tabs>
          <w:tab w:val="left" w:pos="0"/>
          <w:tab w:val="left" w:pos="255"/>
        </w:tabs>
        <w:spacing w:line="360" w:lineRule="auto"/>
        <w:ind w:left="420"/>
        <w:rPr>
          <w:rFonts w:ascii="宋体" w:hAnsi="宋体"/>
          <w:sz w:val="24"/>
          <w:szCs w:val="24"/>
        </w:rPr>
      </w:pPr>
      <w:r>
        <w:rPr>
          <w:rFonts w:hint="eastAsia" w:ascii="宋体" w:hAnsi="宋体"/>
          <w:sz w:val="24"/>
          <w:szCs w:val="24"/>
        </w:rPr>
        <w:t>（1）若以建筑装饰工程设计专项乙级及以上资质投标的，设计负责人需具备建筑工程相关专业工程师及以上职称或二级及以上注册建筑师资格；</w:t>
      </w:r>
    </w:p>
    <w:p w14:paraId="444EA829">
      <w:pPr>
        <w:tabs>
          <w:tab w:val="left" w:pos="0"/>
          <w:tab w:val="left" w:pos="255"/>
        </w:tabs>
        <w:spacing w:line="360" w:lineRule="auto"/>
        <w:ind w:left="420"/>
        <w:rPr>
          <w:rFonts w:ascii="宋体" w:hAnsi="宋体"/>
          <w:sz w:val="24"/>
          <w:szCs w:val="24"/>
        </w:rPr>
      </w:pPr>
      <w:r>
        <w:rPr>
          <w:rFonts w:hint="eastAsia" w:ascii="宋体" w:hAnsi="宋体"/>
          <w:sz w:val="24"/>
          <w:szCs w:val="24"/>
        </w:rPr>
        <w:t>（2）若以工程设计综合甲级资质、工程设计建筑行业（建筑工程）乙级及以上资质或工程设计建筑行业乙级及以上资质之一投标的，设计负责人需提供二级及以上注册建筑师资格。</w:t>
      </w:r>
    </w:p>
    <w:p w14:paraId="4F4EC420">
      <w:pPr>
        <w:tabs>
          <w:tab w:val="left" w:pos="0"/>
          <w:tab w:val="left" w:pos="255"/>
        </w:tabs>
        <w:spacing w:line="360" w:lineRule="auto"/>
        <w:ind w:left="420"/>
        <w:rPr>
          <w:rFonts w:ascii="宋体" w:hAnsi="宋体"/>
          <w:sz w:val="24"/>
          <w:szCs w:val="24"/>
        </w:rPr>
      </w:pPr>
      <w:r>
        <w:rPr>
          <w:rFonts w:hint="eastAsia" w:ascii="宋体" w:hAnsi="宋体"/>
          <w:sz w:val="24"/>
          <w:szCs w:val="24"/>
        </w:rPr>
        <w:t>3、项目负责人要求</w:t>
      </w:r>
    </w:p>
    <w:p w14:paraId="5696D348">
      <w:pPr>
        <w:tabs>
          <w:tab w:val="left" w:pos="0"/>
          <w:tab w:val="left" w:pos="255"/>
        </w:tabs>
        <w:spacing w:line="360" w:lineRule="auto"/>
        <w:ind w:left="420"/>
        <w:rPr>
          <w:rFonts w:ascii="宋体" w:hAnsi="宋体"/>
          <w:sz w:val="24"/>
          <w:szCs w:val="24"/>
        </w:rPr>
      </w:pPr>
      <w:r>
        <w:rPr>
          <w:rFonts w:hint="eastAsia" w:ascii="宋体" w:hAnsi="宋体"/>
          <w:sz w:val="24"/>
          <w:szCs w:val="24"/>
        </w:rPr>
        <w:t>建筑工程专业二级及以上注册建造师执业资格，具备有效的安全生产考核合格证书，并提供投标截止日期前6个月（2024年11月-2025年4月）本单位为其办理的任意一个月社保缴费清单。</w:t>
      </w:r>
    </w:p>
    <w:p w14:paraId="0D56A09B">
      <w:pPr>
        <w:tabs>
          <w:tab w:val="left" w:pos="0"/>
          <w:tab w:val="left" w:pos="255"/>
        </w:tabs>
        <w:spacing w:line="360" w:lineRule="auto"/>
        <w:ind w:left="420"/>
        <w:rPr>
          <w:rFonts w:ascii="宋体" w:hAnsi="宋体"/>
          <w:sz w:val="24"/>
          <w:szCs w:val="24"/>
        </w:rPr>
      </w:pPr>
      <w:r>
        <w:rPr>
          <w:rFonts w:hint="eastAsia" w:ascii="宋体" w:hAnsi="宋体"/>
          <w:sz w:val="24"/>
          <w:szCs w:val="24"/>
        </w:rPr>
        <w:t>4、设计负责人与项目负责人不可为同一人。</w:t>
      </w:r>
    </w:p>
    <w:p w14:paraId="2AB38F2D">
      <w:pPr>
        <w:tabs>
          <w:tab w:val="left" w:pos="0"/>
          <w:tab w:val="left" w:pos="255"/>
        </w:tabs>
        <w:spacing w:line="360" w:lineRule="auto"/>
        <w:ind w:left="420"/>
        <w:rPr>
          <w:rFonts w:ascii="宋体" w:hAnsi="宋体"/>
          <w:sz w:val="24"/>
          <w:szCs w:val="24"/>
        </w:rPr>
      </w:pPr>
      <w:r>
        <w:rPr>
          <w:rFonts w:hint="eastAsia" w:ascii="宋体" w:hAnsi="宋体"/>
          <w:sz w:val="24"/>
          <w:szCs w:val="24"/>
        </w:rPr>
        <w:t>4.1拟派项目负责人不得同时在两个或者两个以上单位受聘或者执业。</w:t>
      </w:r>
    </w:p>
    <w:p w14:paraId="590BC20B">
      <w:pPr>
        <w:tabs>
          <w:tab w:val="left" w:pos="0"/>
          <w:tab w:val="left" w:pos="255"/>
        </w:tabs>
        <w:spacing w:line="360" w:lineRule="auto"/>
        <w:ind w:left="420"/>
        <w:rPr>
          <w:rFonts w:ascii="宋体" w:hAnsi="宋体"/>
          <w:sz w:val="24"/>
          <w:szCs w:val="24"/>
        </w:rPr>
      </w:pPr>
      <w:r>
        <w:rPr>
          <w:rFonts w:hint="eastAsia" w:ascii="宋体" w:hAnsi="宋体"/>
          <w:sz w:val="24"/>
          <w:szCs w:val="24"/>
        </w:rPr>
        <w:t>4.2拟派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0F6B5010">
      <w:pPr>
        <w:tabs>
          <w:tab w:val="left" w:pos="0"/>
          <w:tab w:val="left" w:pos="255"/>
        </w:tabs>
        <w:spacing w:line="360" w:lineRule="auto"/>
        <w:ind w:left="420"/>
        <w:rPr>
          <w:rFonts w:ascii="宋体" w:hAnsi="宋体"/>
          <w:sz w:val="24"/>
          <w:szCs w:val="24"/>
        </w:rPr>
      </w:pPr>
      <w:r>
        <w:rPr>
          <w:rFonts w:hint="eastAsia" w:ascii="宋体" w:hAnsi="宋体"/>
          <w:sz w:val="24"/>
          <w:szCs w:val="24"/>
        </w:rPr>
        <w:t>4.3拟派项目负责人无行贿犯罪行为记录；或有行贿犯罪行为记录，但自记录之日起已超过5年的。</w:t>
      </w:r>
    </w:p>
    <w:p w14:paraId="438A383E">
      <w:pPr>
        <w:tabs>
          <w:tab w:val="left" w:pos="0"/>
          <w:tab w:val="left" w:pos="255"/>
        </w:tabs>
        <w:spacing w:line="360" w:lineRule="auto"/>
        <w:ind w:left="420"/>
        <w:rPr>
          <w:rFonts w:ascii="宋体" w:hAnsi="宋体" w:cs="宋体"/>
          <w:bCs/>
          <w:sz w:val="24"/>
          <w:szCs w:val="24"/>
          <w:highlight w:val="yellow"/>
        </w:rPr>
      </w:pPr>
      <w:r>
        <w:rPr>
          <w:rFonts w:hint="eastAsia" w:ascii="宋体" w:hAnsi="宋体"/>
          <w:sz w:val="24"/>
          <w:szCs w:val="24"/>
        </w:rPr>
        <w:t>4.4项目负责人为本单位正式职工，如有人员已调出仍用于本工程的，视为弄虚作假并查处；本项目不接受退休续聘的项目负责人投标。</w:t>
      </w:r>
    </w:p>
    <w:p w14:paraId="41E293E5">
      <w:pPr>
        <w:tabs>
          <w:tab w:val="left" w:pos="9450"/>
        </w:tabs>
        <w:rPr>
          <w:lang w:val="zh-CN"/>
        </w:rPr>
      </w:pPr>
    </w:p>
    <w:p w14:paraId="50586790">
      <w:pPr>
        <w:tabs>
          <w:tab w:val="left" w:pos="0"/>
          <w:tab w:val="left" w:pos="255"/>
        </w:tabs>
        <w:spacing w:line="360" w:lineRule="auto"/>
        <w:ind w:left="420"/>
        <w:rPr>
          <w:rFonts w:ascii="宋体" w:hAnsi="宋体"/>
          <w:bCs/>
          <w:sz w:val="24"/>
        </w:rPr>
      </w:pPr>
      <w:r>
        <w:rPr>
          <w:rFonts w:hint="eastAsia" w:ascii="宋体" w:hAnsi="宋体"/>
          <w:sz w:val="24"/>
          <w:szCs w:val="24"/>
        </w:rPr>
        <w:t>注：以上“近十二个月”是指投标截止日之前近十二个月（不含投标当月）。</w:t>
      </w:r>
    </w:p>
    <w:p w14:paraId="1481FE0E">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5814289A">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6A58E81">
      <w:pPr>
        <w:rPr>
          <w:rFonts w:ascii="黑体" w:hAnsi="宋体" w:eastAsia="黑体"/>
          <w:bCs/>
          <w:sz w:val="24"/>
          <w:szCs w:val="24"/>
        </w:rPr>
      </w:pPr>
    </w:p>
    <w:p w14:paraId="65E5B05E">
      <w:pPr>
        <w:rPr>
          <w:rFonts w:ascii="黑体" w:hAnsi="宋体" w:eastAsia="黑体"/>
          <w:bCs/>
          <w:sz w:val="24"/>
          <w:szCs w:val="24"/>
        </w:rPr>
      </w:pPr>
      <w:r>
        <w:rPr>
          <w:rFonts w:hint="eastAsia" w:ascii="黑体" w:hAnsi="宋体" w:eastAsia="黑体"/>
          <w:bCs/>
          <w:sz w:val="24"/>
          <w:szCs w:val="24"/>
        </w:rPr>
        <w:br w:type="page"/>
      </w:r>
    </w:p>
    <w:p w14:paraId="55E3500D">
      <w:pPr>
        <w:rPr>
          <w:rFonts w:ascii="黑体" w:hAnsi="宋体" w:eastAsia="黑体"/>
          <w:bCs/>
          <w:sz w:val="28"/>
          <w:szCs w:val="28"/>
          <w:lang w:val="zh-CN"/>
        </w:rPr>
      </w:pPr>
      <w:r>
        <w:rPr>
          <w:rFonts w:hint="eastAsia" w:ascii="黑体" w:hAnsi="宋体" w:eastAsia="黑体"/>
          <w:bCs/>
          <w:sz w:val="24"/>
          <w:szCs w:val="24"/>
        </w:rPr>
        <w:t>（五）</w:t>
      </w:r>
      <w:r>
        <w:rPr>
          <w:rFonts w:hint="eastAsia" w:ascii="黑体" w:hAnsi="宋体" w:eastAsia="黑体"/>
          <w:bCs/>
          <w:sz w:val="24"/>
          <w:szCs w:val="24"/>
          <w:lang w:val="zh-CN"/>
        </w:rPr>
        <w:t>技术参数及相关要求偏离表</w:t>
      </w:r>
      <w:r>
        <w:rPr>
          <w:rFonts w:hint="eastAsia" w:ascii="黑体" w:hAnsi="宋体" w:eastAsia="黑体"/>
          <w:bCs/>
          <w:sz w:val="24"/>
          <w:szCs w:val="24"/>
        </w:rPr>
        <w:t>（格式）：</w:t>
      </w:r>
    </w:p>
    <w:p w14:paraId="74E7E1C3">
      <w:pPr>
        <w:tabs>
          <w:tab w:val="left" w:pos="255"/>
        </w:tabs>
        <w:spacing w:before="156" w:after="156" w:line="360" w:lineRule="auto"/>
        <w:jc w:val="center"/>
        <w:rPr>
          <w:rFonts w:ascii="黑体" w:hAnsi="黑体" w:eastAsia="黑体"/>
          <w:sz w:val="28"/>
          <w:szCs w:val="21"/>
          <w:lang w:val="zh-CN"/>
        </w:rPr>
      </w:pPr>
      <w:r>
        <w:rPr>
          <w:rFonts w:hint="eastAsia" w:ascii="黑体" w:hAnsi="黑体" w:eastAsia="黑体"/>
          <w:sz w:val="28"/>
          <w:szCs w:val="21"/>
          <w:lang w:val="zh-CN"/>
        </w:rPr>
        <w:t xml:space="preserve"> 技术参数及相关要求偏离表</w:t>
      </w:r>
    </w:p>
    <w:p w14:paraId="329AC937">
      <w:pPr>
        <w:spacing w:after="156"/>
        <w:rPr>
          <w:rFonts w:ascii="宋体" w:hAnsi="宋体"/>
          <w:sz w:val="24"/>
          <w:szCs w:val="24"/>
        </w:rPr>
      </w:pPr>
      <w:r>
        <w:rPr>
          <w:rFonts w:hint="eastAsia" w:ascii="宋体" w:hAnsi="宋体"/>
          <w:sz w:val="24"/>
          <w:szCs w:val="24"/>
        </w:rPr>
        <w:t xml:space="preserve">项目名称：江苏省宜兴强制隔离戒毒所配餐中心局部维修改造项目                                     </w:t>
      </w:r>
    </w:p>
    <w:p w14:paraId="046E9C54">
      <w:pPr>
        <w:spacing w:after="156"/>
        <w:rPr>
          <w:rFonts w:ascii="宋体" w:hAnsi="宋体"/>
          <w:sz w:val="24"/>
          <w:szCs w:val="21"/>
          <w:lang w:val="zh-CN"/>
        </w:rPr>
      </w:pPr>
      <w:r>
        <w:rPr>
          <w:rFonts w:hint="eastAsia" w:ascii="宋体" w:hAnsi="宋体"/>
          <w:sz w:val="24"/>
          <w:szCs w:val="24"/>
        </w:rPr>
        <w:t xml:space="preserve">项目编号：YXJDS-JJK-2025-006 </w:t>
      </w:r>
      <w:r>
        <w:rPr>
          <w:rFonts w:hint="eastAsia" w:ascii="宋体" w:hAnsi="宋体"/>
          <w:sz w:val="24"/>
          <w:szCs w:val="21"/>
          <w:lang w:val="zh-CN"/>
        </w:rPr>
        <w:t xml:space="preserve"> </w:t>
      </w:r>
    </w:p>
    <w:tbl>
      <w:tblPr>
        <w:tblStyle w:val="2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73"/>
        <w:gridCol w:w="2315"/>
        <w:gridCol w:w="2327"/>
        <w:gridCol w:w="1969"/>
      </w:tblGrid>
      <w:tr w14:paraId="3F02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22D62BB3">
            <w:pPr>
              <w:tabs>
                <w:tab w:val="left" w:pos="255"/>
              </w:tabs>
              <w:spacing w:line="360" w:lineRule="auto"/>
              <w:jc w:val="center"/>
              <w:rPr>
                <w:rFonts w:ascii="宋体" w:hAnsi="宋体"/>
                <w:sz w:val="24"/>
                <w:szCs w:val="21"/>
                <w:lang w:val="zh-CN"/>
              </w:rPr>
            </w:pPr>
            <w:r>
              <w:rPr>
                <w:rFonts w:hint="eastAsia" w:ascii="宋体" w:hAnsi="宋体"/>
                <w:sz w:val="24"/>
                <w:szCs w:val="21"/>
                <w:lang w:val="zh-CN"/>
              </w:rPr>
              <w:t>序号</w:t>
            </w:r>
          </w:p>
        </w:tc>
        <w:tc>
          <w:tcPr>
            <w:tcW w:w="1973" w:type="dxa"/>
            <w:vAlign w:val="center"/>
          </w:tcPr>
          <w:p w14:paraId="51D6840C">
            <w:pPr>
              <w:tabs>
                <w:tab w:val="left" w:pos="255"/>
              </w:tabs>
              <w:spacing w:line="360" w:lineRule="auto"/>
              <w:jc w:val="center"/>
              <w:rPr>
                <w:rFonts w:ascii="宋体" w:hAnsi="宋体"/>
                <w:sz w:val="24"/>
                <w:szCs w:val="21"/>
                <w:lang w:val="zh-CN"/>
              </w:rPr>
            </w:pPr>
            <w:r>
              <w:rPr>
                <w:rFonts w:hint="eastAsia" w:ascii="宋体" w:hAnsi="宋体"/>
                <w:sz w:val="24"/>
                <w:szCs w:val="21"/>
                <w:lang w:val="zh-CN"/>
              </w:rPr>
              <w:t>项目名称</w:t>
            </w:r>
          </w:p>
        </w:tc>
        <w:tc>
          <w:tcPr>
            <w:tcW w:w="2315" w:type="dxa"/>
            <w:vAlign w:val="center"/>
          </w:tcPr>
          <w:p w14:paraId="12F825B7">
            <w:pPr>
              <w:tabs>
                <w:tab w:val="left" w:pos="255"/>
              </w:tabs>
              <w:spacing w:line="360" w:lineRule="auto"/>
              <w:jc w:val="center"/>
              <w:rPr>
                <w:rFonts w:ascii="宋体" w:hAnsi="宋体"/>
                <w:sz w:val="24"/>
                <w:szCs w:val="21"/>
                <w:lang w:val="zh-CN"/>
              </w:rPr>
            </w:pPr>
            <w:r>
              <w:rPr>
                <w:rFonts w:hint="eastAsia" w:ascii="宋体" w:hAnsi="宋体"/>
                <w:sz w:val="24"/>
                <w:szCs w:val="21"/>
                <w:lang w:val="zh-CN"/>
              </w:rPr>
              <w:t>采购内容</w:t>
            </w:r>
          </w:p>
        </w:tc>
        <w:tc>
          <w:tcPr>
            <w:tcW w:w="2327" w:type="dxa"/>
            <w:vAlign w:val="center"/>
          </w:tcPr>
          <w:p w14:paraId="74733D61">
            <w:pPr>
              <w:tabs>
                <w:tab w:val="left" w:pos="255"/>
              </w:tabs>
              <w:spacing w:line="360" w:lineRule="auto"/>
              <w:jc w:val="center"/>
              <w:rPr>
                <w:rFonts w:ascii="宋体" w:hAnsi="宋体"/>
                <w:sz w:val="24"/>
                <w:szCs w:val="21"/>
                <w:lang w:val="zh-CN"/>
              </w:rPr>
            </w:pPr>
            <w:r>
              <w:rPr>
                <w:rFonts w:hint="eastAsia" w:ascii="宋体" w:hAnsi="宋体"/>
                <w:sz w:val="24"/>
                <w:szCs w:val="21"/>
                <w:lang w:val="zh-CN"/>
              </w:rPr>
              <w:t>报价内容</w:t>
            </w:r>
          </w:p>
        </w:tc>
        <w:tc>
          <w:tcPr>
            <w:tcW w:w="1969" w:type="dxa"/>
            <w:vAlign w:val="center"/>
          </w:tcPr>
          <w:p w14:paraId="5C99C6B3">
            <w:pPr>
              <w:tabs>
                <w:tab w:val="left" w:pos="255"/>
              </w:tabs>
              <w:spacing w:line="360" w:lineRule="auto"/>
              <w:jc w:val="center"/>
              <w:rPr>
                <w:rFonts w:ascii="宋体" w:hAnsi="宋体"/>
                <w:sz w:val="24"/>
                <w:szCs w:val="21"/>
                <w:lang w:val="zh-CN"/>
              </w:rPr>
            </w:pPr>
            <w:r>
              <w:rPr>
                <w:rFonts w:hint="eastAsia" w:ascii="宋体" w:hAnsi="宋体"/>
                <w:sz w:val="24"/>
                <w:szCs w:val="21"/>
                <w:lang w:val="zh-CN"/>
              </w:rPr>
              <w:t>正偏离/负偏离</w:t>
            </w:r>
          </w:p>
        </w:tc>
      </w:tr>
      <w:tr w14:paraId="06F2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15A94AE9">
            <w:pPr>
              <w:tabs>
                <w:tab w:val="left" w:pos="255"/>
              </w:tabs>
              <w:spacing w:line="360" w:lineRule="auto"/>
              <w:ind w:left="420" w:firstLine="480"/>
              <w:rPr>
                <w:rFonts w:ascii="宋体" w:hAnsi="宋体"/>
                <w:sz w:val="24"/>
                <w:szCs w:val="21"/>
                <w:lang w:val="zh-CN"/>
              </w:rPr>
            </w:pPr>
          </w:p>
        </w:tc>
        <w:tc>
          <w:tcPr>
            <w:tcW w:w="1973" w:type="dxa"/>
            <w:vAlign w:val="center"/>
          </w:tcPr>
          <w:p w14:paraId="4D9F1BBD">
            <w:pPr>
              <w:tabs>
                <w:tab w:val="left" w:pos="255"/>
              </w:tabs>
              <w:spacing w:line="360" w:lineRule="auto"/>
              <w:ind w:left="420" w:firstLine="480"/>
              <w:rPr>
                <w:rFonts w:ascii="宋体" w:hAnsi="宋体"/>
                <w:sz w:val="24"/>
                <w:szCs w:val="21"/>
                <w:lang w:val="zh-CN"/>
              </w:rPr>
            </w:pPr>
          </w:p>
        </w:tc>
        <w:tc>
          <w:tcPr>
            <w:tcW w:w="2315" w:type="dxa"/>
            <w:vAlign w:val="center"/>
          </w:tcPr>
          <w:p w14:paraId="465A2544">
            <w:pPr>
              <w:tabs>
                <w:tab w:val="left" w:pos="255"/>
              </w:tabs>
              <w:spacing w:line="360" w:lineRule="auto"/>
              <w:ind w:left="420" w:firstLine="480"/>
              <w:rPr>
                <w:rFonts w:ascii="宋体" w:hAnsi="宋体"/>
                <w:sz w:val="24"/>
                <w:szCs w:val="21"/>
                <w:lang w:val="zh-CN"/>
              </w:rPr>
            </w:pPr>
          </w:p>
        </w:tc>
        <w:tc>
          <w:tcPr>
            <w:tcW w:w="2327" w:type="dxa"/>
            <w:vAlign w:val="center"/>
          </w:tcPr>
          <w:p w14:paraId="0B7BD2DF">
            <w:pPr>
              <w:tabs>
                <w:tab w:val="left" w:pos="255"/>
              </w:tabs>
              <w:spacing w:line="360" w:lineRule="auto"/>
              <w:ind w:left="420" w:firstLine="480"/>
              <w:rPr>
                <w:rFonts w:ascii="宋体" w:hAnsi="宋体"/>
                <w:sz w:val="24"/>
                <w:szCs w:val="21"/>
                <w:lang w:val="zh-CN"/>
              </w:rPr>
            </w:pPr>
          </w:p>
        </w:tc>
        <w:tc>
          <w:tcPr>
            <w:tcW w:w="1969" w:type="dxa"/>
            <w:vAlign w:val="center"/>
          </w:tcPr>
          <w:p w14:paraId="2CBCBE49">
            <w:pPr>
              <w:tabs>
                <w:tab w:val="left" w:pos="255"/>
              </w:tabs>
              <w:spacing w:line="360" w:lineRule="auto"/>
              <w:ind w:left="420" w:firstLine="480"/>
              <w:rPr>
                <w:rFonts w:ascii="宋体" w:hAnsi="宋体"/>
                <w:sz w:val="24"/>
                <w:szCs w:val="21"/>
                <w:lang w:val="zh-CN"/>
              </w:rPr>
            </w:pPr>
          </w:p>
        </w:tc>
      </w:tr>
      <w:tr w14:paraId="2191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3C7C243C">
            <w:pPr>
              <w:tabs>
                <w:tab w:val="left" w:pos="255"/>
              </w:tabs>
              <w:spacing w:line="360" w:lineRule="auto"/>
              <w:ind w:left="420" w:firstLine="480"/>
              <w:rPr>
                <w:rFonts w:ascii="宋体" w:hAnsi="宋体"/>
                <w:sz w:val="24"/>
                <w:szCs w:val="21"/>
                <w:lang w:val="zh-CN"/>
              </w:rPr>
            </w:pPr>
          </w:p>
        </w:tc>
        <w:tc>
          <w:tcPr>
            <w:tcW w:w="1973" w:type="dxa"/>
            <w:vAlign w:val="center"/>
          </w:tcPr>
          <w:p w14:paraId="3C8DF144">
            <w:pPr>
              <w:tabs>
                <w:tab w:val="left" w:pos="255"/>
              </w:tabs>
              <w:spacing w:line="360" w:lineRule="auto"/>
              <w:ind w:left="420" w:firstLine="480"/>
              <w:rPr>
                <w:rFonts w:ascii="宋体" w:hAnsi="宋体"/>
                <w:sz w:val="24"/>
                <w:szCs w:val="21"/>
                <w:lang w:val="zh-CN"/>
              </w:rPr>
            </w:pPr>
          </w:p>
        </w:tc>
        <w:tc>
          <w:tcPr>
            <w:tcW w:w="2315" w:type="dxa"/>
            <w:vAlign w:val="center"/>
          </w:tcPr>
          <w:p w14:paraId="7BCB3292">
            <w:pPr>
              <w:tabs>
                <w:tab w:val="left" w:pos="255"/>
              </w:tabs>
              <w:spacing w:line="360" w:lineRule="auto"/>
              <w:ind w:left="420" w:firstLine="480"/>
              <w:rPr>
                <w:rFonts w:ascii="宋体" w:hAnsi="宋体"/>
                <w:sz w:val="24"/>
                <w:szCs w:val="21"/>
                <w:lang w:val="zh-CN"/>
              </w:rPr>
            </w:pPr>
          </w:p>
        </w:tc>
        <w:tc>
          <w:tcPr>
            <w:tcW w:w="2327" w:type="dxa"/>
            <w:vAlign w:val="center"/>
          </w:tcPr>
          <w:p w14:paraId="08C7F533">
            <w:pPr>
              <w:tabs>
                <w:tab w:val="left" w:pos="255"/>
              </w:tabs>
              <w:spacing w:line="360" w:lineRule="auto"/>
              <w:ind w:left="420" w:firstLine="480"/>
              <w:rPr>
                <w:rFonts w:ascii="宋体" w:hAnsi="宋体"/>
                <w:sz w:val="24"/>
                <w:szCs w:val="21"/>
                <w:lang w:val="zh-CN"/>
              </w:rPr>
            </w:pPr>
          </w:p>
        </w:tc>
        <w:tc>
          <w:tcPr>
            <w:tcW w:w="1969" w:type="dxa"/>
            <w:vAlign w:val="center"/>
          </w:tcPr>
          <w:p w14:paraId="25B9A1FA">
            <w:pPr>
              <w:tabs>
                <w:tab w:val="left" w:pos="255"/>
              </w:tabs>
              <w:spacing w:line="360" w:lineRule="auto"/>
              <w:ind w:left="420" w:firstLine="480"/>
              <w:rPr>
                <w:rFonts w:ascii="宋体" w:hAnsi="宋体"/>
                <w:sz w:val="24"/>
                <w:szCs w:val="21"/>
                <w:lang w:val="zh-CN"/>
              </w:rPr>
            </w:pPr>
          </w:p>
        </w:tc>
      </w:tr>
      <w:tr w14:paraId="5A6C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58CF49DF">
            <w:pPr>
              <w:tabs>
                <w:tab w:val="left" w:pos="255"/>
              </w:tabs>
              <w:spacing w:line="360" w:lineRule="auto"/>
              <w:ind w:left="420" w:firstLine="480"/>
              <w:rPr>
                <w:rFonts w:ascii="宋体" w:hAnsi="宋体"/>
                <w:sz w:val="24"/>
                <w:szCs w:val="21"/>
                <w:lang w:val="zh-CN"/>
              </w:rPr>
            </w:pPr>
          </w:p>
        </w:tc>
        <w:tc>
          <w:tcPr>
            <w:tcW w:w="1973" w:type="dxa"/>
            <w:vAlign w:val="center"/>
          </w:tcPr>
          <w:p w14:paraId="004D5E14">
            <w:pPr>
              <w:tabs>
                <w:tab w:val="left" w:pos="255"/>
              </w:tabs>
              <w:spacing w:line="360" w:lineRule="auto"/>
              <w:ind w:left="420" w:firstLine="480"/>
              <w:rPr>
                <w:rFonts w:ascii="宋体" w:hAnsi="宋体"/>
                <w:sz w:val="24"/>
                <w:szCs w:val="21"/>
                <w:lang w:val="zh-CN"/>
              </w:rPr>
            </w:pPr>
          </w:p>
        </w:tc>
        <w:tc>
          <w:tcPr>
            <w:tcW w:w="2315" w:type="dxa"/>
            <w:vAlign w:val="center"/>
          </w:tcPr>
          <w:p w14:paraId="37BA41CD">
            <w:pPr>
              <w:tabs>
                <w:tab w:val="left" w:pos="255"/>
              </w:tabs>
              <w:spacing w:line="360" w:lineRule="auto"/>
              <w:ind w:left="420" w:firstLine="480"/>
              <w:rPr>
                <w:rFonts w:ascii="宋体" w:hAnsi="宋体"/>
                <w:sz w:val="24"/>
                <w:szCs w:val="21"/>
                <w:lang w:val="zh-CN"/>
              </w:rPr>
            </w:pPr>
          </w:p>
        </w:tc>
        <w:tc>
          <w:tcPr>
            <w:tcW w:w="2327" w:type="dxa"/>
            <w:vAlign w:val="center"/>
          </w:tcPr>
          <w:p w14:paraId="017EB624">
            <w:pPr>
              <w:tabs>
                <w:tab w:val="left" w:pos="255"/>
              </w:tabs>
              <w:spacing w:line="360" w:lineRule="auto"/>
              <w:ind w:left="420" w:firstLine="480"/>
              <w:rPr>
                <w:rFonts w:ascii="宋体" w:hAnsi="宋体"/>
                <w:sz w:val="24"/>
                <w:szCs w:val="21"/>
                <w:lang w:val="zh-CN"/>
              </w:rPr>
            </w:pPr>
          </w:p>
        </w:tc>
        <w:tc>
          <w:tcPr>
            <w:tcW w:w="1969" w:type="dxa"/>
            <w:vAlign w:val="center"/>
          </w:tcPr>
          <w:p w14:paraId="1FE8A39D">
            <w:pPr>
              <w:tabs>
                <w:tab w:val="left" w:pos="255"/>
              </w:tabs>
              <w:spacing w:line="360" w:lineRule="auto"/>
              <w:ind w:left="420" w:firstLine="480"/>
              <w:rPr>
                <w:rFonts w:ascii="宋体" w:hAnsi="宋体"/>
                <w:sz w:val="24"/>
                <w:szCs w:val="21"/>
                <w:lang w:val="zh-CN"/>
              </w:rPr>
            </w:pPr>
          </w:p>
        </w:tc>
      </w:tr>
      <w:tr w14:paraId="1E4A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FEEBE14">
            <w:pPr>
              <w:tabs>
                <w:tab w:val="left" w:pos="255"/>
              </w:tabs>
              <w:spacing w:line="360" w:lineRule="auto"/>
              <w:ind w:left="420" w:firstLine="480"/>
              <w:rPr>
                <w:rFonts w:ascii="宋体" w:hAnsi="宋体"/>
                <w:sz w:val="24"/>
                <w:szCs w:val="21"/>
                <w:lang w:val="zh-CN"/>
              </w:rPr>
            </w:pPr>
          </w:p>
        </w:tc>
        <w:tc>
          <w:tcPr>
            <w:tcW w:w="1973" w:type="dxa"/>
            <w:vAlign w:val="center"/>
          </w:tcPr>
          <w:p w14:paraId="3E47E0E2">
            <w:pPr>
              <w:tabs>
                <w:tab w:val="left" w:pos="255"/>
              </w:tabs>
              <w:spacing w:line="360" w:lineRule="auto"/>
              <w:ind w:left="420" w:firstLine="480"/>
              <w:rPr>
                <w:rFonts w:ascii="宋体" w:hAnsi="宋体"/>
                <w:sz w:val="24"/>
                <w:szCs w:val="21"/>
                <w:lang w:val="zh-CN"/>
              </w:rPr>
            </w:pPr>
          </w:p>
        </w:tc>
        <w:tc>
          <w:tcPr>
            <w:tcW w:w="2315" w:type="dxa"/>
            <w:vAlign w:val="center"/>
          </w:tcPr>
          <w:p w14:paraId="7FF89C94">
            <w:pPr>
              <w:tabs>
                <w:tab w:val="left" w:pos="255"/>
              </w:tabs>
              <w:spacing w:line="360" w:lineRule="auto"/>
              <w:ind w:left="420" w:firstLine="480"/>
              <w:rPr>
                <w:rFonts w:ascii="宋体" w:hAnsi="宋体"/>
                <w:sz w:val="24"/>
                <w:szCs w:val="21"/>
                <w:lang w:val="zh-CN"/>
              </w:rPr>
            </w:pPr>
          </w:p>
        </w:tc>
        <w:tc>
          <w:tcPr>
            <w:tcW w:w="2327" w:type="dxa"/>
            <w:vAlign w:val="center"/>
          </w:tcPr>
          <w:p w14:paraId="390336D4">
            <w:pPr>
              <w:tabs>
                <w:tab w:val="left" w:pos="255"/>
              </w:tabs>
              <w:spacing w:line="360" w:lineRule="auto"/>
              <w:ind w:left="420" w:firstLine="480"/>
              <w:rPr>
                <w:rFonts w:ascii="宋体" w:hAnsi="宋体"/>
                <w:sz w:val="24"/>
                <w:szCs w:val="21"/>
                <w:lang w:val="zh-CN"/>
              </w:rPr>
            </w:pPr>
          </w:p>
        </w:tc>
        <w:tc>
          <w:tcPr>
            <w:tcW w:w="1969" w:type="dxa"/>
            <w:vAlign w:val="center"/>
          </w:tcPr>
          <w:p w14:paraId="7F1B21EF">
            <w:pPr>
              <w:tabs>
                <w:tab w:val="left" w:pos="255"/>
              </w:tabs>
              <w:spacing w:line="360" w:lineRule="auto"/>
              <w:ind w:left="420" w:firstLine="480"/>
              <w:rPr>
                <w:rFonts w:ascii="宋体" w:hAnsi="宋体"/>
                <w:sz w:val="24"/>
                <w:szCs w:val="21"/>
                <w:lang w:val="zh-CN"/>
              </w:rPr>
            </w:pPr>
          </w:p>
        </w:tc>
      </w:tr>
      <w:tr w14:paraId="6A8D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5D93565F">
            <w:pPr>
              <w:tabs>
                <w:tab w:val="left" w:pos="255"/>
              </w:tabs>
              <w:spacing w:line="360" w:lineRule="auto"/>
              <w:ind w:left="420" w:firstLine="480"/>
              <w:rPr>
                <w:rFonts w:ascii="宋体" w:hAnsi="宋体"/>
                <w:sz w:val="24"/>
                <w:szCs w:val="21"/>
                <w:lang w:val="zh-CN"/>
              </w:rPr>
            </w:pPr>
          </w:p>
        </w:tc>
        <w:tc>
          <w:tcPr>
            <w:tcW w:w="1973" w:type="dxa"/>
            <w:vAlign w:val="center"/>
          </w:tcPr>
          <w:p w14:paraId="57FC0F8C">
            <w:pPr>
              <w:tabs>
                <w:tab w:val="left" w:pos="255"/>
              </w:tabs>
              <w:spacing w:line="360" w:lineRule="auto"/>
              <w:ind w:left="420" w:firstLine="480"/>
              <w:rPr>
                <w:rFonts w:ascii="宋体" w:hAnsi="宋体"/>
                <w:sz w:val="24"/>
                <w:szCs w:val="21"/>
                <w:lang w:val="zh-CN"/>
              </w:rPr>
            </w:pPr>
          </w:p>
        </w:tc>
        <w:tc>
          <w:tcPr>
            <w:tcW w:w="2315" w:type="dxa"/>
            <w:vAlign w:val="center"/>
          </w:tcPr>
          <w:p w14:paraId="485E9EE7">
            <w:pPr>
              <w:tabs>
                <w:tab w:val="left" w:pos="255"/>
              </w:tabs>
              <w:spacing w:line="360" w:lineRule="auto"/>
              <w:ind w:left="420" w:firstLine="480"/>
              <w:rPr>
                <w:rFonts w:ascii="宋体" w:hAnsi="宋体"/>
                <w:sz w:val="24"/>
                <w:szCs w:val="21"/>
                <w:lang w:val="zh-CN"/>
              </w:rPr>
            </w:pPr>
          </w:p>
        </w:tc>
        <w:tc>
          <w:tcPr>
            <w:tcW w:w="2327" w:type="dxa"/>
            <w:vAlign w:val="center"/>
          </w:tcPr>
          <w:p w14:paraId="1C7D3725">
            <w:pPr>
              <w:tabs>
                <w:tab w:val="left" w:pos="255"/>
              </w:tabs>
              <w:spacing w:line="360" w:lineRule="auto"/>
              <w:ind w:left="420" w:firstLine="480"/>
              <w:rPr>
                <w:rFonts w:ascii="宋体" w:hAnsi="宋体"/>
                <w:sz w:val="24"/>
                <w:szCs w:val="21"/>
                <w:lang w:val="zh-CN"/>
              </w:rPr>
            </w:pPr>
          </w:p>
        </w:tc>
        <w:tc>
          <w:tcPr>
            <w:tcW w:w="1969" w:type="dxa"/>
            <w:vAlign w:val="center"/>
          </w:tcPr>
          <w:p w14:paraId="4E59460E">
            <w:pPr>
              <w:tabs>
                <w:tab w:val="left" w:pos="255"/>
              </w:tabs>
              <w:spacing w:line="360" w:lineRule="auto"/>
              <w:ind w:left="420" w:firstLine="480"/>
              <w:rPr>
                <w:rFonts w:ascii="宋体" w:hAnsi="宋体"/>
                <w:sz w:val="24"/>
                <w:szCs w:val="21"/>
                <w:lang w:val="zh-CN"/>
              </w:rPr>
            </w:pPr>
          </w:p>
        </w:tc>
      </w:tr>
    </w:tbl>
    <w:p w14:paraId="7FD56C2D">
      <w:pPr>
        <w:rPr>
          <w:rFonts w:ascii="黑体" w:hAnsi="宋体" w:eastAsia="黑体"/>
          <w:bCs/>
          <w:sz w:val="28"/>
          <w:szCs w:val="28"/>
        </w:rPr>
      </w:pPr>
    </w:p>
    <w:p w14:paraId="4061D19A">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605E3831">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D4C0FA4">
      <w:pPr>
        <w:rPr>
          <w:rFonts w:ascii="黑体" w:hAnsi="宋体" w:eastAsia="黑体"/>
          <w:bCs/>
          <w:sz w:val="28"/>
          <w:szCs w:val="28"/>
        </w:rPr>
      </w:pPr>
    </w:p>
    <w:p w14:paraId="1FA9CBD1">
      <w:pPr>
        <w:spacing w:line="360" w:lineRule="auto"/>
        <w:ind w:left="420"/>
        <w:rPr>
          <w:rFonts w:ascii="宋体" w:hAnsi="宋体"/>
          <w:bCs/>
          <w:szCs w:val="21"/>
          <w:lang w:val="zh-CN"/>
        </w:rPr>
      </w:pPr>
      <w:r>
        <w:rPr>
          <w:rFonts w:hint="eastAsia" w:ascii="宋体" w:hAnsi="宋体"/>
          <w:bCs/>
          <w:szCs w:val="21"/>
          <w:lang w:val="zh-CN"/>
        </w:rPr>
        <w:t>注：（</w:t>
      </w:r>
      <w:r>
        <w:rPr>
          <w:rFonts w:hint="eastAsia" w:ascii="宋体" w:hAnsi="宋体"/>
          <w:bCs/>
          <w:szCs w:val="21"/>
        </w:rPr>
        <w:t>1</w:t>
      </w:r>
      <w:r>
        <w:rPr>
          <w:rFonts w:hint="eastAsia" w:ascii="宋体" w:hAnsi="宋体"/>
          <w:bCs/>
          <w:szCs w:val="21"/>
          <w:lang w:val="zh-CN"/>
        </w:rPr>
        <w:t>）投标人应对照招标文件“第</w:t>
      </w:r>
      <w:r>
        <w:rPr>
          <w:rFonts w:hint="eastAsia" w:ascii="宋体" w:hAnsi="宋体"/>
          <w:bCs/>
          <w:szCs w:val="21"/>
        </w:rPr>
        <w:t>四</w:t>
      </w:r>
      <w:r>
        <w:rPr>
          <w:rFonts w:hint="eastAsia" w:ascii="宋体" w:hAnsi="宋体"/>
          <w:bCs/>
          <w:szCs w:val="21"/>
          <w:lang w:val="zh-CN"/>
        </w:rPr>
        <w:t>章 项目技术要求和有关说明”的相关要求，将自身响应的偏离情况（与招标文件要求不一致的地方）详细填入上表，并注明“正偏离/负偏离”；若未填写上表，视为完全响应；</w:t>
      </w:r>
    </w:p>
    <w:p w14:paraId="1A9392B2">
      <w:pPr>
        <w:spacing w:line="360" w:lineRule="auto"/>
        <w:ind w:left="420" w:firstLine="420"/>
        <w:rPr>
          <w:rFonts w:ascii="宋体" w:hAnsi="宋体"/>
          <w:bCs/>
          <w:szCs w:val="21"/>
          <w:lang w:val="zh-CN"/>
        </w:rPr>
      </w:pPr>
      <w:r>
        <w:rPr>
          <w:rFonts w:hint="eastAsia" w:ascii="宋体" w:hAnsi="宋体"/>
          <w:bCs/>
          <w:szCs w:val="21"/>
        </w:rPr>
        <w:t>（2）招标文件“第四章 项目技术要求和有关说明”中若有要求提供相关证明材料的，</w:t>
      </w:r>
      <w:r>
        <w:rPr>
          <w:rFonts w:hint="eastAsia" w:ascii="宋体" w:hAnsi="宋体"/>
          <w:bCs/>
          <w:szCs w:val="21"/>
          <w:lang w:val="zh-CN"/>
        </w:rPr>
        <w:t>请在本表后自行添加</w:t>
      </w:r>
      <w:r>
        <w:rPr>
          <w:rFonts w:hint="eastAsia" w:ascii="宋体" w:hAnsi="宋体"/>
          <w:bCs/>
          <w:szCs w:val="21"/>
        </w:rPr>
        <w:t>。</w:t>
      </w:r>
    </w:p>
    <w:p w14:paraId="35BFB0F6">
      <w:pPr>
        <w:tabs>
          <w:tab w:val="left" w:pos="255"/>
        </w:tabs>
        <w:spacing w:line="360" w:lineRule="auto"/>
        <w:jc w:val="left"/>
        <w:rPr>
          <w:rFonts w:ascii="黑体" w:hAnsi="宋体" w:eastAsia="黑体"/>
          <w:bCs/>
          <w:sz w:val="24"/>
          <w:szCs w:val="24"/>
        </w:rPr>
      </w:pPr>
    </w:p>
    <w:p w14:paraId="1E859E7F">
      <w:pPr>
        <w:tabs>
          <w:tab w:val="left" w:pos="255"/>
        </w:tabs>
        <w:spacing w:line="360" w:lineRule="auto"/>
        <w:jc w:val="left"/>
        <w:rPr>
          <w:rFonts w:ascii="黑体" w:hAnsi="宋体" w:eastAsia="黑体"/>
          <w:bCs/>
          <w:sz w:val="24"/>
          <w:szCs w:val="24"/>
        </w:rPr>
      </w:pPr>
    </w:p>
    <w:p w14:paraId="755AF784">
      <w:pPr>
        <w:tabs>
          <w:tab w:val="left" w:pos="255"/>
        </w:tabs>
        <w:spacing w:line="360" w:lineRule="auto"/>
        <w:jc w:val="left"/>
        <w:rPr>
          <w:rFonts w:ascii="黑体" w:hAnsi="宋体" w:eastAsia="黑体"/>
          <w:bCs/>
          <w:sz w:val="24"/>
          <w:szCs w:val="24"/>
        </w:rPr>
      </w:pPr>
    </w:p>
    <w:p w14:paraId="3DCE1C9B">
      <w:pPr>
        <w:tabs>
          <w:tab w:val="left" w:pos="255"/>
        </w:tabs>
        <w:spacing w:line="360" w:lineRule="auto"/>
        <w:jc w:val="left"/>
        <w:rPr>
          <w:rFonts w:ascii="黑体" w:hAnsi="宋体" w:eastAsia="黑体"/>
          <w:bCs/>
          <w:sz w:val="24"/>
          <w:szCs w:val="24"/>
        </w:rPr>
      </w:pPr>
    </w:p>
    <w:p w14:paraId="02154ECB">
      <w:pPr>
        <w:tabs>
          <w:tab w:val="left" w:pos="255"/>
        </w:tabs>
        <w:spacing w:line="360" w:lineRule="auto"/>
        <w:ind w:firstLine="480"/>
        <w:jc w:val="left"/>
        <w:rPr>
          <w:rFonts w:ascii="黑体" w:eastAsia="黑体"/>
          <w:bCs/>
          <w:sz w:val="24"/>
          <w:szCs w:val="24"/>
          <w:lang w:val="zh-CN"/>
        </w:rPr>
      </w:pPr>
      <w:r>
        <w:rPr>
          <w:rFonts w:hint="eastAsia" w:ascii="黑体" w:hAnsi="宋体" w:eastAsia="黑体"/>
          <w:bCs/>
          <w:sz w:val="24"/>
          <w:szCs w:val="24"/>
        </w:rPr>
        <w:t>（六）</w:t>
      </w:r>
      <w:r>
        <w:rPr>
          <w:rFonts w:hint="eastAsia" w:ascii="黑体" w:eastAsia="黑体"/>
          <w:bCs/>
          <w:sz w:val="24"/>
          <w:szCs w:val="24"/>
          <w:lang w:val="zh-CN"/>
        </w:rPr>
        <w:t>投标人企业概况（格式）</w:t>
      </w:r>
    </w:p>
    <w:p w14:paraId="63BB395B">
      <w:pPr>
        <w:tabs>
          <w:tab w:val="left" w:pos="255"/>
        </w:tabs>
        <w:spacing w:line="360" w:lineRule="auto"/>
        <w:rPr>
          <w:rFonts w:ascii="宋体"/>
          <w:bCs/>
          <w:sz w:val="24"/>
          <w:szCs w:val="24"/>
          <w:lang w:val="zh-CN"/>
        </w:rPr>
      </w:pPr>
    </w:p>
    <w:p w14:paraId="2E9322E1">
      <w:pPr>
        <w:tabs>
          <w:tab w:val="left" w:pos="255"/>
        </w:tabs>
        <w:spacing w:before="156" w:after="156" w:line="360" w:lineRule="auto"/>
        <w:jc w:val="center"/>
        <w:rPr>
          <w:rFonts w:ascii="黑体" w:eastAsia="黑体"/>
          <w:sz w:val="28"/>
          <w:szCs w:val="21"/>
          <w:lang w:val="zh-CN"/>
        </w:rPr>
      </w:pPr>
      <w:r>
        <w:rPr>
          <w:rFonts w:hint="eastAsia" w:ascii="黑体" w:eastAsia="黑体"/>
          <w:sz w:val="28"/>
          <w:szCs w:val="21"/>
          <w:lang w:val="zh-CN"/>
        </w:rPr>
        <w:t>投标人企业概况</w:t>
      </w:r>
    </w:p>
    <w:p w14:paraId="18A61831">
      <w:pPr>
        <w:tabs>
          <w:tab w:val="left" w:pos="255"/>
        </w:tabs>
        <w:spacing w:line="360" w:lineRule="auto"/>
        <w:jc w:val="left"/>
        <w:rPr>
          <w:rFonts w:ascii="宋体"/>
          <w:sz w:val="24"/>
          <w:szCs w:val="21"/>
          <w:lang w:val="zh-CN"/>
        </w:rPr>
      </w:pPr>
      <w:r>
        <w:rPr>
          <w:rFonts w:hint="eastAsia" w:ascii="宋体" w:hAnsi="宋体"/>
          <w:sz w:val="24"/>
          <w:szCs w:val="24"/>
        </w:rPr>
        <w:t xml:space="preserve">项目名称：江苏省宜兴强制隔离戒毒所配餐中心局部维修改造项目                 </w:t>
      </w:r>
      <w:r>
        <w:rPr>
          <w:rFonts w:hint="eastAsia" w:ascii="宋体"/>
          <w:sz w:val="24"/>
          <w:szCs w:val="21"/>
          <w:lang w:val="zh-CN"/>
        </w:rPr>
        <w:t xml:space="preserve"> </w:t>
      </w:r>
    </w:p>
    <w:p w14:paraId="2A5CD17F">
      <w:pPr>
        <w:tabs>
          <w:tab w:val="left" w:pos="255"/>
        </w:tabs>
        <w:spacing w:line="360" w:lineRule="auto"/>
        <w:jc w:val="left"/>
        <w:rPr>
          <w:rFonts w:ascii="宋体"/>
          <w:bCs/>
          <w:sz w:val="24"/>
          <w:szCs w:val="24"/>
          <w:lang w:val="zh-CN"/>
        </w:rPr>
      </w:pPr>
      <w:r>
        <w:rPr>
          <w:rFonts w:hint="eastAsia" w:ascii="宋体"/>
          <w:sz w:val="24"/>
          <w:szCs w:val="21"/>
          <w:lang w:val="zh-CN"/>
        </w:rPr>
        <w:t>项目编号：</w:t>
      </w:r>
      <w:r>
        <w:rPr>
          <w:rFonts w:hint="eastAsia" w:ascii="宋体"/>
          <w:sz w:val="24"/>
          <w:szCs w:val="24"/>
        </w:rPr>
        <w:t xml:space="preserve">YXJDS-JJK-2025-006  </w:t>
      </w:r>
    </w:p>
    <w:tbl>
      <w:tblPr>
        <w:tblStyle w:val="2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869"/>
        <w:gridCol w:w="2350"/>
        <w:gridCol w:w="2640"/>
      </w:tblGrid>
      <w:tr w14:paraId="1886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0364EE65">
            <w:pPr>
              <w:spacing w:line="360" w:lineRule="auto"/>
              <w:jc w:val="center"/>
              <w:rPr>
                <w:sz w:val="24"/>
              </w:rPr>
            </w:pPr>
            <w:r>
              <w:rPr>
                <w:rFonts w:hint="eastAsia" w:ascii="宋体"/>
                <w:sz w:val="24"/>
              </w:rPr>
              <w:t>公司名称</w:t>
            </w:r>
          </w:p>
        </w:tc>
        <w:tc>
          <w:tcPr>
            <w:tcW w:w="2869" w:type="dxa"/>
            <w:tcBorders>
              <w:top w:val="single" w:color="auto" w:sz="4" w:space="0"/>
              <w:left w:val="single" w:color="auto" w:sz="4" w:space="0"/>
              <w:bottom w:val="single" w:color="auto" w:sz="4" w:space="0"/>
              <w:right w:val="single" w:color="auto" w:sz="4" w:space="0"/>
            </w:tcBorders>
            <w:vAlign w:val="center"/>
          </w:tcPr>
          <w:p w14:paraId="652E909D">
            <w:pPr>
              <w:spacing w:line="360" w:lineRule="auto"/>
              <w:jc w:val="center"/>
              <w:rPr>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0AFCB584">
            <w:pPr>
              <w:spacing w:line="360" w:lineRule="auto"/>
              <w:jc w:val="center"/>
              <w:rPr>
                <w:sz w:val="24"/>
              </w:rPr>
            </w:pPr>
            <w:r>
              <w:rPr>
                <w:rFonts w:hint="eastAsia" w:ascii="宋体"/>
                <w:sz w:val="24"/>
              </w:rPr>
              <w:t>营业执照编号</w:t>
            </w:r>
          </w:p>
        </w:tc>
        <w:tc>
          <w:tcPr>
            <w:tcW w:w="2640" w:type="dxa"/>
            <w:tcBorders>
              <w:top w:val="single" w:color="auto" w:sz="4" w:space="0"/>
              <w:left w:val="single" w:color="auto" w:sz="4" w:space="0"/>
              <w:bottom w:val="single" w:color="auto" w:sz="4" w:space="0"/>
              <w:right w:val="single" w:color="auto" w:sz="4" w:space="0"/>
            </w:tcBorders>
            <w:vAlign w:val="center"/>
          </w:tcPr>
          <w:p w14:paraId="66CF1EB2">
            <w:pPr>
              <w:spacing w:line="360" w:lineRule="auto"/>
              <w:jc w:val="center"/>
              <w:rPr>
                <w:sz w:val="24"/>
              </w:rPr>
            </w:pPr>
          </w:p>
        </w:tc>
      </w:tr>
      <w:tr w14:paraId="5834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3DBEA83D">
            <w:pPr>
              <w:spacing w:line="360" w:lineRule="auto"/>
              <w:jc w:val="center"/>
              <w:rPr>
                <w:sz w:val="24"/>
              </w:rPr>
            </w:pPr>
            <w:r>
              <w:rPr>
                <w:rFonts w:hint="eastAsia" w:ascii="宋体"/>
                <w:sz w:val="24"/>
              </w:rPr>
              <w:t>法定代表人</w:t>
            </w:r>
          </w:p>
        </w:tc>
        <w:tc>
          <w:tcPr>
            <w:tcW w:w="2869" w:type="dxa"/>
            <w:tcBorders>
              <w:top w:val="single" w:color="auto" w:sz="4" w:space="0"/>
              <w:left w:val="single" w:color="auto" w:sz="4" w:space="0"/>
              <w:bottom w:val="single" w:color="auto" w:sz="4" w:space="0"/>
              <w:right w:val="single" w:color="auto" w:sz="4" w:space="0"/>
            </w:tcBorders>
            <w:vAlign w:val="center"/>
          </w:tcPr>
          <w:p w14:paraId="5901DBD6">
            <w:pPr>
              <w:spacing w:line="360" w:lineRule="auto"/>
              <w:jc w:val="center"/>
              <w:rPr>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3A280BBA">
            <w:pPr>
              <w:spacing w:line="360" w:lineRule="auto"/>
              <w:jc w:val="center"/>
              <w:rPr>
                <w:sz w:val="24"/>
              </w:rPr>
            </w:pPr>
            <w:r>
              <w:rPr>
                <w:rFonts w:hint="eastAsia" w:ascii="宋体"/>
                <w:sz w:val="24"/>
              </w:rPr>
              <w:t>注册地址</w:t>
            </w:r>
          </w:p>
        </w:tc>
        <w:tc>
          <w:tcPr>
            <w:tcW w:w="2640" w:type="dxa"/>
            <w:tcBorders>
              <w:top w:val="single" w:color="auto" w:sz="4" w:space="0"/>
              <w:left w:val="single" w:color="auto" w:sz="4" w:space="0"/>
              <w:bottom w:val="single" w:color="auto" w:sz="4" w:space="0"/>
              <w:right w:val="single" w:color="auto" w:sz="4" w:space="0"/>
            </w:tcBorders>
            <w:vAlign w:val="center"/>
          </w:tcPr>
          <w:p w14:paraId="1EBC321F">
            <w:pPr>
              <w:spacing w:line="360" w:lineRule="auto"/>
              <w:jc w:val="center"/>
              <w:rPr>
                <w:sz w:val="24"/>
              </w:rPr>
            </w:pPr>
          </w:p>
        </w:tc>
      </w:tr>
      <w:tr w14:paraId="1931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003F9834">
            <w:pPr>
              <w:spacing w:line="360" w:lineRule="auto"/>
              <w:jc w:val="center"/>
              <w:rPr>
                <w:sz w:val="24"/>
              </w:rPr>
            </w:pPr>
            <w:r>
              <w:rPr>
                <w:rFonts w:hint="eastAsia" w:ascii="宋体"/>
                <w:sz w:val="24"/>
              </w:rPr>
              <w:t>企业资质</w:t>
            </w:r>
          </w:p>
        </w:tc>
        <w:tc>
          <w:tcPr>
            <w:tcW w:w="2869" w:type="dxa"/>
            <w:tcBorders>
              <w:top w:val="single" w:color="auto" w:sz="4" w:space="0"/>
              <w:left w:val="single" w:color="auto" w:sz="4" w:space="0"/>
              <w:bottom w:val="single" w:color="auto" w:sz="4" w:space="0"/>
              <w:right w:val="single" w:color="auto" w:sz="4" w:space="0"/>
            </w:tcBorders>
            <w:vAlign w:val="center"/>
          </w:tcPr>
          <w:p w14:paraId="7CF84260">
            <w:pPr>
              <w:spacing w:line="360" w:lineRule="auto"/>
              <w:jc w:val="center"/>
              <w:rPr>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25019DF1">
            <w:pPr>
              <w:spacing w:line="360" w:lineRule="auto"/>
              <w:jc w:val="center"/>
              <w:rPr>
                <w:sz w:val="24"/>
              </w:rPr>
            </w:pPr>
            <w:r>
              <w:rPr>
                <w:rFonts w:hint="eastAsia" w:ascii="宋体"/>
                <w:sz w:val="24"/>
              </w:rPr>
              <w:t>成立时间</w:t>
            </w:r>
          </w:p>
        </w:tc>
        <w:tc>
          <w:tcPr>
            <w:tcW w:w="2640" w:type="dxa"/>
            <w:tcBorders>
              <w:top w:val="single" w:color="auto" w:sz="4" w:space="0"/>
              <w:left w:val="single" w:color="auto" w:sz="4" w:space="0"/>
              <w:bottom w:val="single" w:color="auto" w:sz="4" w:space="0"/>
              <w:right w:val="single" w:color="auto" w:sz="4" w:space="0"/>
            </w:tcBorders>
            <w:vAlign w:val="center"/>
          </w:tcPr>
          <w:p w14:paraId="7427554D">
            <w:pPr>
              <w:spacing w:line="360" w:lineRule="auto"/>
              <w:jc w:val="center"/>
              <w:rPr>
                <w:sz w:val="24"/>
              </w:rPr>
            </w:pPr>
          </w:p>
        </w:tc>
      </w:tr>
      <w:tr w14:paraId="1542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3"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4840FEBB">
            <w:pPr>
              <w:spacing w:line="360" w:lineRule="auto"/>
              <w:jc w:val="center"/>
              <w:rPr>
                <w:sz w:val="24"/>
              </w:rPr>
            </w:pPr>
            <w:r>
              <w:rPr>
                <w:rFonts w:hint="eastAsia" w:ascii="宋体"/>
                <w:sz w:val="24"/>
              </w:rPr>
              <w:t>公司主要业务综述</w:t>
            </w:r>
          </w:p>
        </w:tc>
        <w:tc>
          <w:tcPr>
            <w:tcW w:w="7859" w:type="dxa"/>
            <w:gridSpan w:val="3"/>
            <w:tcBorders>
              <w:top w:val="single" w:color="auto" w:sz="4" w:space="0"/>
              <w:left w:val="single" w:color="auto" w:sz="4" w:space="0"/>
              <w:bottom w:val="single" w:color="auto" w:sz="4" w:space="0"/>
              <w:right w:val="single" w:color="auto" w:sz="4" w:space="0"/>
            </w:tcBorders>
            <w:vAlign w:val="center"/>
          </w:tcPr>
          <w:p w14:paraId="24BBDC64">
            <w:pPr>
              <w:spacing w:line="360" w:lineRule="auto"/>
              <w:jc w:val="center"/>
              <w:rPr>
                <w:sz w:val="24"/>
              </w:rPr>
            </w:pPr>
          </w:p>
        </w:tc>
      </w:tr>
    </w:tbl>
    <w:p w14:paraId="77966822">
      <w:pPr>
        <w:tabs>
          <w:tab w:val="left" w:pos="255"/>
        </w:tabs>
        <w:spacing w:line="360" w:lineRule="auto"/>
        <w:ind w:left="840"/>
        <w:rPr>
          <w:rFonts w:ascii="宋体"/>
          <w:bCs/>
          <w:sz w:val="24"/>
          <w:szCs w:val="24"/>
          <w:lang w:val="zh-CN"/>
        </w:rPr>
      </w:pPr>
    </w:p>
    <w:p w14:paraId="7FCB6654">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412B6B95">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AC852AE">
      <w:pPr>
        <w:jc w:val="center"/>
        <w:rPr>
          <w:rFonts w:ascii="宋体"/>
          <w:sz w:val="24"/>
          <w:szCs w:val="21"/>
          <w:lang w:val="zh-CN"/>
        </w:rPr>
      </w:pPr>
      <w:r>
        <w:rPr>
          <w:rFonts w:hint="eastAsia" w:ascii="宋体"/>
          <w:sz w:val="24"/>
          <w:szCs w:val="21"/>
          <w:lang w:val="zh-CN"/>
        </w:rPr>
        <w:t xml:space="preserve">               </w:t>
      </w:r>
      <w:r>
        <w:rPr>
          <w:rFonts w:hint="eastAsia" w:ascii="宋体"/>
          <w:sz w:val="24"/>
          <w:szCs w:val="21"/>
        </w:rPr>
        <w:t xml:space="preserve">  </w:t>
      </w:r>
    </w:p>
    <w:p w14:paraId="4DD045D4">
      <w:pPr>
        <w:tabs>
          <w:tab w:val="left" w:pos="255"/>
          <w:tab w:val="left" w:pos="1860"/>
        </w:tabs>
        <w:spacing w:line="360" w:lineRule="auto"/>
        <w:jc w:val="left"/>
        <w:rPr>
          <w:rFonts w:ascii="宋体"/>
          <w:sz w:val="24"/>
        </w:rPr>
      </w:pPr>
    </w:p>
    <w:p w14:paraId="50416A4F">
      <w:pPr>
        <w:tabs>
          <w:tab w:val="left" w:pos="255"/>
        </w:tabs>
        <w:spacing w:line="360" w:lineRule="auto"/>
        <w:ind w:firstLine="480"/>
        <w:jc w:val="left"/>
        <w:rPr>
          <w:rFonts w:ascii="黑体" w:eastAsia="黑体"/>
          <w:bCs/>
          <w:sz w:val="24"/>
          <w:szCs w:val="24"/>
          <w:lang w:val="zh-CN"/>
        </w:rPr>
      </w:pPr>
      <w:r>
        <w:rPr>
          <w:rFonts w:hint="eastAsia" w:ascii="黑体" w:eastAsia="黑体"/>
          <w:bCs/>
          <w:sz w:val="24"/>
          <w:szCs w:val="24"/>
        </w:rPr>
        <w:br w:type="page" w:clear="all"/>
      </w:r>
      <w:r>
        <w:rPr>
          <w:rFonts w:hint="eastAsia" w:ascii="黑体" w:eastAsia="黑体"/>
          <w:bCs/>
          <w:sz w:val="24"/>
          <w:szCs w:val="24"/>
          <w:lang w:val="zh-CN"/>
        </w:rPr>
        <w:t>（</w:t>
      </w:r>
      <w:r>
        <w:rPr>
          <w:rFonts w:hint="eastAsia" w:ascii="黑体" w:eastAsia="黑体"/>
          <w:bCs/>
          <w:sz w:val="24"/>
          <w:szCs w:val="24"/>
        </w:rPr>
        <w:t>七</w:t>
      </w:r>
      <w:r>
        <w:rPr>
          <w:rFonts w:hint="eastAsia" w:ascii="黑体" w:eastAsia="黑体"/>
          <w:bCs/>
          <w:sz w:val="24"/>
          <w:szCs w:val="24"/>
          <w:lang w:val="zh-CN"/>
        </w:rPr>
        <w:t>）项目人员配置清单（格式）</w:t>
      </w:r>
    </w:p>
    <w:p w14:paraId="033F4CAE">
      <w:pPr>
        <w:tabs>
          <w:tab w:val="left" w:pos="255"/>
        </w:tabs>
        <w:spacing w:line="360" w:lineRule="auto"/>
        <w:rPr>
          <w:rFonts w:ascii="宋体"/>
          <w:bCs/>
          <w:sz w:val="24"/>
          <w:szCs w:val="24"/>
          <w:lang w:val="zh-CN"/>
        </w:rPr>
      </w:pPr>
    </w:p>
    <w:p w14:paraId="25FDA5B9">
      <w:pPr>
        <w:tabs>
          <w:tab w:val="left" w:pos="255"/>
        </w:tabs>
        <w:spacing w:before="156" w:after="156" w:line="360" w:lineRule="auto"/>
        <w:jc w:val="center"/>
        <w:rPr>
          <w:rFonts w:ascii="黑体" w:eastAsia="黑体"/>
          <w:sz w:val="28"/>
          <w:szCs w:val="21"/>
          <w:lang w:val="zh-CN"/>
        </w:rPr>
      </w:pPr>
      <w:r>
        <w:rPr>
          <w:rFonts w:hint="eastAsia" w:ascii="黑体" w:eastAsia="黑体"/>
          <w:sz w:val="28"/>
          <w:szCs w:val="21"/>
          <w:lang w:val="zh-CN"/>
        </w:rPr>
        <w:t>项目人员配置清单</w:t>
      </w:r>
    </w:p>
    <w:p w14:paraId="023EC21C">
      <w:pPr>
        <w:tabs>
          <w:tab w:val="left" w:pos="255"/>
        </w:tabs>
        <w:spacing w:line="360" w:lineRule="auto"/>
        <w:jc w:val="left"/>
        <w:rPr>
          <w:rFonts w:ascii="宋体"/>
          <w:sz w:val="24"/>
          <w:szCs w:val="21"/>
          <w:lang w:val="zh-CN"/>
        </w:rPr>
      </w:pPr>
      <w:r>
        <w:rPr>
          <w:rFonts w:hint="eastAsia" w:ascii="宋体" w:hAnsi="宋体" w:cs="宋体"/>
          <w:sz w:val="24"/>
          <w:szCs w:val="24"/>
        </w:rPr>
        <w:t>项目名称：江苏省宜兴强制隔离戒毒所配餐中心局部维修改造项目</w:t>
      </w:r>
      <w:r>
        <w:rPr>
          <w:rFonts w:hint="eastAsia" w:ascii="宋体"/>
          <w:sz w:val="24"/>
          <w:szCs w:val="21"/>
          <w:lang w:val="zh-CN"/>
        </w:rPr>
        <w:t xml:space="preserve">       </w:t>
      </w:r>
      <w:r>
        <w:rPr>
          <w:rFonts w:hint="eastAsia" w:ascii="宋体"/>
          <w:sz w:val="24"/>
          <w:szCs w:val="21"/>
        </w:rPr>
        <w:t xml:space="preserve"> </w:t>
      </w:r>
      <w:r>
        <w:rPr>
          <w:rFonts w:hint="eastAsia" w:ascii="宋体"/>
          <w:sz w:val="24"/>
          <w:szCs w:val="21"/>
          <w:lang w:val="zh-CN"/>
        </w:rPr>
        <w:t xml:space="preserve">        </w:t>
      </w:r>
    </w:p>
    <w:p w14:paraId="507656D9">
      <w:pPr>
        <w:tabs>
          <w:tab w:val="left" w:pos="255"/>
        </w:tabs>
        <w:spacing w:line="360" w:lineRule="auto"/>
        <w:jc w:val="left"/>
        <w:rPr>
          <w:rFonts w:ascii="宋体"/>
          <w:bCs/>
          <w:sz w:val="24"/>
          <w:szCs w:val="24"/>
          <w:lang w:val="zh-CN"/>
        </w:rPr>
      </w:pPr>
      <w:r>
        <w:rPr>
          <w:rFonts w:hint="eastAsia" w:ascii="宋体"/>
          <w:sz w:val="24"/>
          <w:szCs w:val="21"/>
          <w:lang w:val="zh-CN"/>
        </w:rPr>
        <w:t>项目编号：</w:t>
      </w:r>
      <w:r>
        <w:rPr>
          <w:rFonts w:hint="eastAsia" w:ascii="宋体"/>
          <w:sz w:val="24"/>
          <w:szCs w:val="24"/>
        </w:rPr>
        <w:t xml:space="preserve">YXJDS-JJK-2025-006  </w:t>
      </w:r>
      <w:r>
        <w:rPr>
          <w:rFonts w:hint="eastAsia" w:ascii="宋体"/>
          <w:sz w:val="24"/>
          <w:szCs w:val="21"/>
          <w:lang w:val="zh-CN"/>
        </w:rPr>
        <w:t xml:space="preserve"> </w:t>
      </w:r>
    </w:p>
    <w:tbl>
      <w:tblPr>
        <w:tblStyle w:val="21"/>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30"/>
        <w:gridCol w:w="1185"/>
        <w:gridCol w:w="1134"/>
        <w:gridCol w:w="1276"/>
        <w:gridCol w:w="1134"/>
        <w:gridCol w:w="992"/>
        <w:gridCol w:w="1276"/>
        <w:gridCol w:w="1004"/>
      </w:tblGrid>
      <w:tr w14:paraId="499C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227408BE">
            <w:pPr>
              <w:jc w:val="center"/>
              <w:rPr>
                <w:b/>
                <w:sz w:val="24"/>
              </w:rPr>
            </w:pPr>
            <w:r>
              <w:rPr>
                <w:rFonts w:hint="eastAsia" w:ascii="宋体"/>
                <w:b/>
                <w:sz w:val="24"/>
              </w:rPr>
              <w:t>序号</w:t>
            </w:r>
          </w:p>
        </w:tc>
        <w:tc>
          <w:tcPr>
            <w:tcW w:w="1130" w:type="dxa"/>
            <w:tcBorders>
              <w:top w:val="single" w:color="auto" w:sz="4" w:space="0"/>
              <w:left w:val="single" w:color="auto" w:sz="4" w:space="0"/>
              <w:bottom w:val="single" w:color="auto" w:sz="4" w:space="0"/>
              <w:right w:val="single" w:color="auto" w:sz="4" w:space="0"/>
            </w:tcBorders>
            <w:vAlign w:val="center"/>
          </w:tcPr>
          <w:p w14:paraId="2EA03926">
            <w:pPr>
              <w:jc w:val="center"/>
              <w:rPr>
                <w:b/>
                <w:sz w:val="24"/>
              </w:rPr>
            </w:pPr>
            <w:r>
              <w:rPr>
                <w:rFonts w:hint="eastAsia" w:ascii="宋体"/>
                <w:b/>
                <w:sz w:val="24"/>
              </w:rPr>
              <w:t>姓名</w:t>
            </w:r>
          </w:p>
        </w:tc>
        <w:tc>
          <w:tcPr>
            <w:tcW w:w="1185" w:type="dxa"/>
            <w:tcBorders>
              <w:top w:val="single" w:color="auto" w:sz="4" w:space="0"/>
              <w:left w:val="single" w:color="auto" w:sz="4" w:space="0"/>
              <w:bottom w:val="single" w:color="auto" w:sz="4" w:space="0"/>
              <w:right w:val="single" w:color="auto" w:sz="4" w:space="0"/>
            </w:tcBorders>
            <w:vAlign w:val="center"/>
          </w:tcPr>
          <w:p w14:paraId="70A36631">
            <w:pPr>
              <w:rPr>
                <w:b/>
                <w:sz w:val="24"/>
              </w:rPr>
            </w:pPr>
            <w:r>
              <w:rPr>
                <w:rFonts w:hint="eastAsia" w:ascii="宋体"/>
                <w:b/>
                <w:sz w:val="24"/>
              </w:rPr>
              <w:t>性别</w:t>
            </w:r>
          </w:p>
        </w:tc>
        <w:tc>
          <w:tcPr>
            <w:tcW w:w="1134" w:type="dxa"/>
            <w:tcBorders>
              <w:top w:val="single" w:color="auto" w:sz="4" w:space="0"/>
              <w:left w:val="single" w:color="auto" w:sz="4" w:space="0"/>
              <w:bottom w:val="single" w:color="auto" w:sz="4" w:space="0"/>
              <w:right w:val="single" w:color="auto" w:sz="4" w:space="0"/>
            </w:tcBorders>
            <w:vAlign w:val="center"/>
          </w:tcPr>
          <w:p w14:paraId="769C35C1">
            <w:pPr>
              <w:jc w:val="center"/>
              <w:rPr>
                <w:b/>
                <w:sz w:val="24"/>
              </w:rPr>
            </w:pPr>
            <w:r>
              <w:rPr>
                <w:rFonts w:hint="eastAsia" w:ascii="宋体"/>
                <w:b/>
                <w:sz w:val="24"/>
              </w:rPr>
              <w:t>年龄</w:t>
            </w:r>
          </w:p>
        </w:tc>
        <w:tc>
          <w:tcPr>
            <w:tcW w:w="1276" w:type="dxa"/>
            <w:tcBorders>
              <w:top w:val="single" w:color="auto" w:sz="4" w:space="0"/>
              <w:left w:val="single" w:color="auto" w:sz="4" w:space="0"/>
              <w:bottom w:val="single" w:color="auto" w:sz="4" w:space="0"/>
              <w:right w:val="single" w:color="auto" w:sz="4" w:space="0"/>
            </w:tcBorders>
            <w:vAlign w:val="center"/>
          </w:tcPr>
          <w:p w14:paraId="14C60A8E">
            <w:pPr>
              <w:jc w:val="center"/>
              <w:rPr>
                <w:b/>
                <w:sz w:val="24"/>
              </w:rPr>
            </w:pPr>
            <w:r>
              <w:rPr>
                <w:rFonts w:hint="eastAsia" w:ascii="宋体"/>
                <w:b/>
                <w:sz w:val="24"/>
              </w:rPr>
              <w:t>岗位名称</w:t>
            </w:r>
          </w:p>
        </w:tc>
        <w:tc>
          <w:tcPr>
            <w:tcW w:w="1134" w:type="dxa"/>
            <w:tcBorders>
              <w:top w:val="single" w:color="auto" w:sz="4" w:space="0"/>
              <w:left w:val="single" w:color="auto" w:sz="4" w:space="0"/>
              <w:bottom w:val="single" w:color="auto" w:sz="4" w:space="0"/>
              <w:right w:val="single" w:color="auto" w:sz="4" w:space="0"/>
            </w:tcBorders>
            <w:vAlign w:val="center"/>
          </w:tcPr>
          <w:p w14:paraId="67CB2089">
            <w:pPr>
              <w:jc w:val="center"/>
              <w:rPr>
                <w:b/>
                <w:sz w:val="24"/>
              </w:rPr>
            </w:pPr>
            <w:r>
              <w:rPr>
                <w:rFonts w:hint="eastAsia" w:ascii="宋体"/>
                <w:b/>
                <w:sz w:val="24"/>
              </w:rPr>
              <w:t>学历</w:t>
            </w:r>
          </w:p>
        </w:tc>
        <w:tc>
          <w:tcPr>
            <w:tcW w:w="992" w:type="dxa"/>
            <w:tcBorders>
              <w:top w:val="single" w:color="auto" w:sz="4" w:space="0"/>
              <w:left w:val="single" w:color="auto" w:sz="4" w:space="0"/>
              <w:bottom w:val="single" w:color="auto" w:sz="4" w:space="0"/>
              <w:right w:val="single" w:color="auto" w:sz="4" w:space="0"/>
            </w:tcBorders>
            <w:vAlign w:val="center"/>
          </w:tcPr>
          <w:p w14:paraId="03FC5F29">
            <w:pPr>
              <w:jc w:val="center"/>
              <w:rPr>
                <w:b/>
                <w:sz w:val="24"/>
              </w:rPr>
            </w:pPr>
            <w:r>
              <w:rPr>
                <w:rFonts w:hint="eastAsia" w:ascii="宋体"/>
                <w:b/>
                <w:sz w:val="24"/>
              </w:rPr>
              <w:t>职称</w:t>
            </w:r>
          </w:p>
        </w:tc>
        <w:tc>
          <w:tcPr>
            <w:tcW w:w="1276" w:type="dxa"/>
            <w:tcBorders>
              <w:top w:val="single" w:color="auto" w:sz="4" w:space="0"/>
              <w:left w:val="single" w:color="auto" w:sz="4" w:space="0"/>
              <w:bottom w:val="single" w:color="auto" w:sz="4" w:space="0"/>
              <w:right w:val="single" w:color="auto" w:sz="4" w:space="0"/>
            </w:tcBorders>
            <w:vAlign w:val="center"/>
          </w:tcPr>
          <w:p w14:paraId="06855D78">
            <w:pPr>
              <w:jc w:val="center"/>
              <w:rPr>
                <w:b/>
                <w:sz w:val="24"/>
              </w:rPr>
            </w:pPr>
            <w:r>
              <w:rPr>
                <w:rFonts w:hint="eastAsia" w:ascii="宋体"/>
                <w:b/>
                <w:sz w:val="24"/>
              </w:rPr>
              <w:t>资格证书编号</w:t>
            </w:r>
          </w:p>
        </w:tc>
        <w:tc>
          <w:tcPr>
            <w:tcW w:w="1004" w:type="dxa"/>
            <w:tcBorders>
              <w:top w:val="single" w:color="auto" w:sz="4" w:space="0"/>
              <w:left w:val="single" w:color="auto" w:sz="4" w:space="0"/>
              <w:bottom w:val="single" w:color="auto" w:sz="4" w:space="0"/>
              <w:right w:val="single" w:color="auto" w:sz="4" w:space="0"/>
            </w:tcBorders>
            <w:vAlign w:val="center"/>
          </w:tcPr>
          <w:p w14:paraId="5461B6D8">
            <w:pPr>
              <w:rPr>
                <w:b/>
                <w:sz w:val="24"/>
              </w:rPr>
            </w:pPr>
            <w:r>
              <w:rPr>
                <w:rFonts w:hint="eastAsia" w:ascii="宋体"/>
                <w:b/>
                <w:sz w:val="24"/>
              </w:rPr>
              <w:t>是否驻扎现场</w:t>
            </w:r>
          </w:p>
        </w:tc>
      </w:tr>
      <w:tr w14:paraId="4014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4200C0E">
            <w:pPr>
              <w:jc w:val="center"/>
              <w:rPr>
                <w:rFonts w:ascii="宋体"/>
                <w:sz w:val="24"/>
              </w:rPr>
            </w:pPr>
            <w:r>
              <w:rPr>
                <w:rFonts w:hint="eastAsia" w:ascii="宋体"/>
                <w:sz w:val="24"/>
              </w:rPr>
              <w:t>1</w:t>
            </w:r>
          </w:p>
        </w:tc>
        <w:tc>
          <w:tcPr>
            <w:tcW w:w="1130" w:type="dxa"/>
            <w:tcBorders>
              <w:top w:val="single" w:color="auto" w:sz="4" w:space="0"/>
              <w:left w:val="single" w:color="auto" w:sz="4" w:space="0"/>
              <w:bottom w:val="single" w:color="auto" w:sz="4" w:space="0"/>
              <w:right w:val="single" w:color="auto" w:sz="4" w:space="0"/>
            </w:tcBorders>
            <w:vAlign w:val="center"/>
          </w:tcPr>
          <w:p w14:paraId="2FECB552">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24EE6638">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6995294">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76DF5F4">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89653D1">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4B114AE">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24ECD58">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0A22949A">
            <w:pPr>
              <w:jc w:val="center"/>
              <w:rPr>
                <w:rFonts w:ascii="宋体"/>
                <w:sz w:val="24"/>
              </w:rPr>
            </w:pPr>
          </w:p>
        </w:tc>
      </w:tr>
      <w:tr w14:paraId="42C2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046823BB">
            <w:pPr>
              <w:jc w:val="center"/>
              <w:rPr>
                <w:rFonts w:ascii="宋体"/>
                <w:sz w:val="24"/>
              </w:rPr>
            </w:pPr>
            <w:r>
              <w:rPr>
                <w:rFonts w:hint="eastAsia" w:ascii="宋体"/>
                <w:sz w:val="24"/>
              </w:rPr>
              <w:t>2</w:t>
            </w:r>
          </w:p>
        </w:tc>
        <w:tc>
          <w:tcPr>
            <w:tcW w:w="1130" w:type="dxa"/>
            <w:tcBorders>
              <w:top w:val="single" w:color="auto" w:sz="4" w:space="0"/>
              <w:left w:val="single" w:color="auto" w:sz="4" w:space="0"/>
              <w:bottom w:val="single" w:color="auto" w:sz="4" w:space="0"/>
              <w:right w:val="single" w:color="auto" w:sz="4" w:space="0"/>
            </w:tcBorders>
            <w:vAlign w:val="center"/>
          </w:tcPr>
          <w:p w14:paraId="751C231B">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11847E17">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5E5439A">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B30B6C5">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D31689D">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9AC094A">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8C49285">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DD22A4A">
            <w:pPr>
              <w:jc w:val="center"/>
              <w:rPr>
                <w:rFonts w:ascii="宋体"/>
                <w:sz w:val="24"/>
              </w:rPr>
            </w:pPr>
          </w:p>
        </w:tc>
      </w:tr>
      <w:tr w14:paraId="1467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523FA54D">
            <w:pPr>
              <w:jc w:val="center"/>
              <w:rPr>
                <w:rFonts w:ascii="宋体"/>
                <w:sz w:val="24"/>
              </w:rPr>
            </w:pPr>
            <w:r>
              <w:rPr>
                <w:rFonts w:hint="eastAsia" w:ascii="宋体"/>
                <w:sz w:val="24"/>
              </w:rPr>
              <w:t>3</w:t>
            </w:r>
          </w:p>
        </w:tc>
        <w:tc>
          <w:tcPr>
            <w:tcW w:w="1130" w:type="dxa"/>
            <w:tcBorders>
              <w:top w:val="single" w:color="auto" w:sz="4" w:space="0"/>
              <w:left w:val="single" w:color="auto" w:sz="4" w:space="0"/>
              <w:bottom w:val="single" w:color="auto" w:sz="4" w:space="0"/>
              <w:right w:val="single" w:color="auto" w:sz="4" w:space="0"/>
            </w:tcBorders>
            <w:vAlign w:val="center"/>
          </w:tcPr>
          <w:p w14:paraId="73050839">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2206675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38A8DBF">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17F3725">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B1A2FC5">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16EB61D">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B8517C0">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3807CF08">
            <w:pPr>
              <w:jc w:val="center"/>
              <w:rPr>
                <w:rFonts w:ascii="宋体"/>
                <w:sz w:val="24"/>
              </w:rPr>
            </w:pPr>
          </w:p>
        </w:tc>
      </w:tr>
      <w:tr w14:paraId="3E20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06E675F">
            <w:pPr>
              <w:jc w:val="center"/>
              <w:rPr>
                <w:rFonts w:ascii="宋体"/>
                <w:sz w:val="24"/>
              </w:rPr>
            </w:pPr>
            <w:r>
              <w:rPr>
                <w:rFonts w:hint="eastAsia" w:ascii="宋体"/>
                <w:sz w:val="24"/>
              </w:rPr>
              <w:t>4</w:t>
            </w:r>
          </w:p>
        </w:tc>
        <w:tc>
          <w:tcPr>
            <w:tcW w:w="1130" w:type="dxa"/>
            <w:tcBorders>
              <w:top w:val="single" w:color="auto" w:sz="4" w:space="0"/>
              <w:left w:val="single" w:color="auto" w:sz="4" w:space="0"/>
              <w:bottom w:val="single" w:color="auto" w:sz="4" w:space="0"/>
              <w:right w:val="single" w:color="auto" w:sz="4" w:space="0"/>
            </w:tcBorders>
            <w:vAlign w:val="center"/>
          </w:tcPr>
          <w:p w14:paraId="64FC146B">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00874E94">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79B3BAE">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0EBC3CD">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AEC70E5">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1ACA420">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7B4826E">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7B15D5AD">
            <w:pPr>
              <w:jc w:val="center"/>
              <w:rPr>
                <w:rFonts w:ascii="宋体"/>
                <w:sz w:val="24"/>
              </w:rPr>
            </w:pPr>
          </w:p>
        </w:tc>
      </w:tr>
      <w:tr w14:paraId="3758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4B69616">
            <w:pPr>
              <w:jc w:val="center"/>
              <w:rPr>
                <w:rFonts w:ascii="宋体"/>
                <w:sz w:val="24"/>
              </w:rPr>
            </w:pPr>
            <w:r>
              <w:rPr>
                <w:rFonts w:hint="eastAsia" w:ascii="宋体"/>
                <w:sz w:val="24"/>
              </w:rPr>
              <w:t>5</w:t>
            </w:r>
          </w:p>
        </w:tc>
        <w:tc>
          <w:tcPr>
            <w:tcW w:w="1130" w:type="dxa"/>
            <w:tcBorders>
              <w:top w:val="single" w:color="auto" w:sz="4" w:space="0"/>
              <w:left w:val="single" w:color="auto" w:sz="4" w:space="0"/>
              <w:bottom w:val="single" w:color="auto" w:sz="4" w:space="0"/>
              <w:right w:val="single" w:color="auto" w:sz="4" w:space="0"/>
            </w:tcBorders>
            <w:vAlign w:val="center"/>
          </w:tcPr>
          <w:p w14:paraId="075EE2D8">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0CDA9D79">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99AF2BB">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9B7AF4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4F4C803">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62AD51B">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3F729DC">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EFE36C7">
            <w:pPr>
              <w:jc w:val="center"/>
              <w:rPr>
                <w:rFonts w:ascii="宋体"/>
                <w:sz w:val="24"/>
              </w:rPr>
            </w:pPr>
          </w:p>
        </w:tc>
      </w:tr>
      <w:tr w14:paraId="431B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A321F9B">
            <w:pPr>
              <w:jc w:val="center"/>
              <w:rPr>
                <w:rFonts w:ascii="宋体"/>
                <w:sz w:val="24"/>
              </w:rPr>
            </w:pPr>
            <w:r>
              <w:rPr>
                <w:rFonts w:hint="eastAsia" w:ascii="宋体"/>
                <w:sz w:val="24"/>
              </w:rPr>
              <w:t>6</w:t>
            </w:r>
          </w:p>
        </w:tc>
        <w:tc>
          <w:tcPr>
            <w:tcW w:w="1130" w:type="dxa"/>
            <w:tcBorders>
              <w:top w:val="single" w:color="auto" w:sz="4" w:space="0"/>
              <w:left w:val="single" w:color="auto" w:sz="4" w:space="0"/>
              <w:bottom w:val="single" w:color="auto" w:sz="4" w:space="0"/>
              <w:right w:val="single" w:color="auto" w:sz="4" w:space="0"/>
            </w:tcBorders>
            <w:vAlign w:val="center"/>
          </w:tcPr>
          <w:p w14:paraId="156C7CF3">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30FBEDB2">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A574BE3">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AD1E44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E4A32C6">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26252FB">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92C4170">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6D41945B">
            <w:pPr>
              <w:jc w:val="center"/>
              <w:rPr>
                <w:rFonts w:ascii="宋体"/>
                <w:sz w:val="24"/>
              </w:rPr>
            </w:pPr>
          </w:p>
        </w:tc>
      </w:tr>
      <w:tr w14:paraId="1B2A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D1FD0C9">
            <w:pPr>
              <w:jc w:val="center"/>
              <w:rPr>
                <w:rFonts w:ascii="宋体"/>
                <w:sz w:val="24"/>
              </w:rPr>
            </w:pPr>
            <w:r>
              <w:rPr>
                <w:rFonts w:hint="eastAsia" w:ascii="宋体"/>
                <w:sz w:val="24"/>
              </w:rPr>
              <w:t>7</w:t>
            </w:r>
          </w:p>
        </w:tc>
        <w:tc>
          <w:tcPr>
            <w:tcW w:w="1130" w:type="dxa"/>
            <w:tcBorders>
              <w:top w:val="single" w:color="auto" w:sz="4" w:space="0"/>
              <w:left w:val="single" w:color="auto" w:sz="4" w:space="0"/>
              <w:bottom w:val="single" w:color="auto" w:sz="4" w:space="0"/>
              <w:right w:val="single" w:color="auto" w:sz="4" w:space="0"/>
            </w:tcBorders>
            <w:vAlign w:val="center"/>
          </w:tcPr>
          <w:p w14:paraId="7208CDB8">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5635009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A4A8912">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2A2F49A">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93D0D1A">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E71409F">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4046AA9">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0662A010">
            <w:pPr>
              <w:jc w:val="center"/>
              <w:rPr>
                <w:rFonts w:ascii="宋体"/>
                <w:sz w:val="24"/>
              </w:rPr>
            </w:pPr>
          </w:p>
        </w:tc>
      </w:tr>
      <w:tr w14:paraId="7FD5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7AAE0CE4">
            <w:pPr>
              <w:jc w:val="center"/>
              <w:rPr>
                <w:rFonts w:ascii="宋体"/>
                <w:sz w:val="24"/>
              </w:rPr>
            </w:pPr>
            <w:r>
              <w:rPr>
                <w:rFonts w:hint="eastAsia" w:ascii="宋体"/>
                <w:sz w:val="24"/>
              </w:rPr>
              <w:t>8</w:t>
            </w:r>
          </w:p>
        </w:tc>
        <w:tc>
          <w:tcPr>
            <w:tcW w:w="1130" w:type="dxa"/>
            <w:tcBorders>
              <w:top w:val="single" w:color="auto" w:sz="4" w:space="0"/>
              <w:left w:val="single" w:color="auto" w:sz="4" w:space="0"/>
              <w:bottom w:val="single" w:color="auto" w:sz="4" w:space="0"/>
              <w:right w:val="single" w:color="auto" w:sz="4" w:space="0"/>
            </w:tcBorders>
            <w:vAlign w:val="center"/>
          </w:tcPr>
          <w:p w14:paraId="5FC1F231">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61A531D8">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52BBD23">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E06795E">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E36CE27">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B694BDD">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C4129CF">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58430B1">
            <w:pPr>
              <w:jc w:val="center"/>
              <w:rPr>
                <w:rFonts w:ascii="宋体"/>
                <w:sz w:val="24"/>
              </w:rPr>
            </w:pPr>
          </w:p>
        </w:tc>
      </w:tr>
      <w:tr w14:paraId="284B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E91503A">
            <w:pPr>
              <w:jc w:val="center"/>
              <w:rPr>
                <w:rFonts w:ascii="宋体"/>
                <w:sz w:val="24"/>
              </w:rPr>
            </w:pPr>
            <w:r>
              <w:rPr>
                <w:rFonts w:hint="eastAsia" w:ascii="宋体"/>
                <w:sz w:val="24"/>
              </w:rPr>
              <w:t>9</w:t>
            </w:r>
          </w:p>
        </w:tc>
        <w:tc>
          <w:tcPr>
            <w:tcW w:w="1130" w:type="dxa"/>
            <w:tcBorders>
              <w:top w:val="single" w:color="auto" w:sz="4" w:space="0"/>
              <w:left w:val="single" w:color="auto" w:sz="4" w:space="0"/>
              <w:bottom w:val="single" w:color="auto" w:sz="4" w:space="0"/>
              <w:right w:val="single" w:color="auto" w:sz="4" w:space="0"/>
            </w:tcBorders>
            <w:vAlign w:val="center"/>
          </w:tcPr>
          <w:p w14:paraId="7558FC36">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0470A3B6">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B3B601A">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90D7381">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C848CD8">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67A6161">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91F3025">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17609771">
            <w:pPr>
              <w:jc w:val="center"/>
              <w:rPr>
                <w:rFonts w:ascii="宋体"/>
                <w:sz w:val="24"/>
              </w:rPr>
            </w:pPr>
          </w:p>
        </w:tc>
      </w:tr>
      <w:tr w14:paraId="7A59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EA3E9AF">
            <w:pPr>
              <w:jc w:val="center"/>
              <w:rPr>
                <w:rFonts w:ascii="宋体"/>
                <w:sz w:val="24"/>
              </w:rPr>
            </w:pPr>
            <w:r>
              <w:rPr>
                <w:rFonts w:hint="eastAsia" w:ascii="宋体"/>
                <w:sz w:val="24"/>
              </w:rPr>
              <w:t>10</w:t>
            </w:r>
          </w:p>
        </w:tc>
        <w:tc>
          <w:tcPr>
            <w:tcW w:w="1130" w:type="dxa"/>
            <w:tcBorders>
              <w:top w:val="single" w:color="auto" w:sz="4" w:space="0"/>
              <w:left w:val="single" w:color="auto" w:sz="4" w:space="0"/>
              <w:bottom w:val="single" w:color="auto" w:sz="4" w:space="0"/>
              <w:right w:val="single" w:color="auto" w:sz="4" w:space="0"/>
            </w:tcBorders>
            <w:vAlign w:val="center"/>
          </w:tcPr>
          <w:p w14:paraId="30A4B071">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2522392D">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EB58893">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3869F2F">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8F1918F">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140FA302">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45937D7">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1BEC5966">
            <w:pPr>
              <w:jc w:val="center"/>
              <w:rPr>
                <w:rFonts w:ascii="宋体"/>
                <w:sz w:val="24"/>
              </w:rPr>
            </w:pPr>
          </w:p>
        </w:tc>
      </w:tr>
      <w:tr w14:paraId="2C88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9B6E222">
            <w:pPr>
              <w:jc w:val="center"/>
              <w:rPr>
                <w:sz w:val="24"/>
              </w:rPr>
            </w:pPr>
            <w:r>
              <w:rPr>
                <w:rFonts w:hint="eastAsia"/>
                <w:sz w:val="24"/>
              </w:rPr>
              <w:t>…</w:t>
            </w:r>
            <w:r>
              <w:rPr>
                <w:rFonts w:hint="eastAsia" w:ascii="宋体"/>
                <w:sz w:val="24"/>
              </w:rPr>
              <w:t xml:space="preserve"> </w:t>
            </w:r>
            <w:r>
              <w:rPr>
                <w:rFonts w:hint="eastAsia"/>
                <w:sz w:val="24"/>
              </w:rPr>
              <w:t>…</w:t>
            </w:r>
          </w:p>
        </w:tc>
        <w:tc>
          <w:tcPr>
            <w:tcW w:w="1130" w:type="dxa"/>
            <w:tcBorders>
              <w:top w:val="single" w:color="auto" w:sz="4" w:space="0"/>
              <w:left w:val="single" w:color="auto" w:sz="4" w:space="0"/>
              <w:bottom w:val="single" w:color="auto" w:sz="4" w:space="0"/>
              <w:right w:val="single" w:color="auto" w:sz="4" w:space="0"/>
            </w:tcBorders>
            <w:vAlign w:val="center"/>
          </w:tcPr>
          <w:p w14:paraId="23918D0A">
            <w:pPr>
              <w:jc w:val="center"/>
              <w:rPr>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14784C15">
            <w:pPr>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A293AAE">
            <w:pPr>
              <w:jc w:val="center"/>
              <w:rPr>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A3FE5C5">
            <w:pPr>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743A0ED">
            <w:pPr>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0AA195">
            <w:pPr>
              <w:jc w:val="center"/>
              <w:rPr>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AF144EE">
            <w:pPr>
              <w:jc w:val="center"/>
              <w:rPr>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052572E">
            <w:pPr>
              <w:jc w:val="center"/>
              <w:rPr>
                <w:sz w:val="24"/>
              </w:rPr>
            </w:pPr>
          </w:p>
        </w:tc>
      </w:tr>
    </w:tbl>
    <w:p w14:paraId="31FCD51F">
      <w:pPr>
        <w:tabs>
          <w:tab w:val="left" w:pos="255"/>
        </w:tabs>
        <w:spacing w:line="360" w:lineRule="auto"/>
        <w:ind w:left="840"/>
        <w:rPr>
          <w:rFonts w:ascii="宋体"/>
          <w:bCs/>
          <w:sz w:val="24"/>
          <w:szCs w:val="24"/>
          <w:lang w:val="zh-CN"/>
        </w:rPr>
      </w:pPr>
    </w:p>
    <w:p w14:paraId="6CC766EE">
      <w:r>
        <w:rPr>
          <w:rFonts w:hint="eastAsia" w:ascii="宋体"/>
        </w:rPr>
        <w:t>注：1. 表格不够可自行延长。</w:t>
      </w:r>
    </w:p>
    <w:p w14:paraId="3D78E10E">
      <w:pPr>
        <w:ind w:firstLine="420"/>
        <w:rPr>
          <w:rFonts w:ascii="黑体" w:hAnsi="宋体" w:eastAsia="黑体"/>
          <w:sz w:val="24"/>
        </w:rPr>
      </w:pPr>
      <w:r>
        <w:rPr>
          <w:rFonts w:hint="eastAsia" w:ascii="宋体" w:hAnsi="宋体"/>
        </w:rPr>
        <w:t>2.上述</w:t>
      </w:r>
      <w:r>
        <w:rPr>
          <w:rFonts w:hint="eastAsia"/>
        </w:rPr>
        <w:t>人员如在项目执行过程中需要更换，须经采购人同意。擅自更换或不到位属违约行为。</w:t>
      </w:r>
    </w:p>
    <w:p w14:paraId="3FD80843">
      <w:pPr>
        <w:tabs>
          <w:tab w:val="left" w:pos="255"/>
        </w:tabs>
        <w:spacing w:line="360" w:lineRule="auto"/>
        <w:ind w:left="840"/>
        <w:rPr>
          <w:rFonts w:ascii="宋体"/>
          <w:bCs/>
          <w:sz w:val="24"/>
          <w:szCs w:val="24"/>
          <w:lang w:val="zh-CN"/>
        </w:rPr>
      </w:pPr>
    </w:p>
    <w:p w14:paraId="1F2D2EBD">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68DA985A">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7AD3D9D">
      <w:pPr>
        <w:jc w:val="center"/>
        <w:rPr>
          <w:rFonts w:ascii="宋体"/>
          <w:sz w:val="24"/>
          <w:szCs w:val="21"/>
          <w:lang w:val="zh-CN"/>
        </w:rPr>
      </w:pPr>
      <w:r>
        <w:rPr>
          <w:rFonts w:hint="eastAsia" w:ascii="宋体"/>
          <w:sz w:val="24"/>
          <w:szCs w:val="21"/>
          <w:lang w:val="zh-CN"/>
        </w:rPr>
        <w:t xml:space="preserve">                                  </w:t>
      </w:r>
    </w:p>
    <w:p w14:paraId="5992B59C">
      <w:pPr>
        <w:tabs>
          <w:tab w:val="left" w:pos="255"/>
        </w:tabs>
        <w:spacing w:line="360" w:lineRule="auto"/>
        <w:ind w:firstLine="480"/>
        <w:jc w:val="left"/>
        <w:rPr>
          <w:rFonts w:ascii="宋体"/>
          <w:sz w:val="24"/>
          <w:szCs w:val="21"/>
          <w:lang w:val="zh-CN"/>
        </w:rPr>
      </w:pPr>
      <w:r>
        <w:rPr>
          <w:rFonts w:hint="eastAsia" w:ascii="黑体" w:eastAsia="黑体"/>
          <w:bCs/>
          <w:sz w:val="24"/>
          <w:szCs w:val="24"/>
        </w:rPr>
        <w:br w:type="page" w:clear="all"/>
      </w:r>
      <w:r>
        <w:rPr>
          <w:rFonts w:hint="eastAsia" w:ascii="黑体" w:eastAsia="黑体"/>
          <w:bCs/>
          <w:sz w:val="24"/>
          <w:szCs w:val="24"/>
        </w:rPr>
        <w:t>（八）</w:t>
      </w:r>
      <w:r>
        <w:rPr>
          <w:rFonts w:hint="eastAsia" w:ascii="宋体"/>
          <w:sz w:val="24"/>
          <w:szCs w:val="21"/>
          <w:lang w:val="zh-CN"/>
        </w:rPr>
        <w:t>服务内容的详细说明及服务方案（自拟并自行添加）</w:t>
      </w:r>
      <w:r>
        <w:rPr>
          <w:rFonts w:hint="eastAsia" w:ascii="黑体" w:eastAsia="黑体"/>
          <w:bCs/>
          <w:sz w:val="24"/>
          <w:szCs w:val="24"/>
        </w:rPr>
        <w:br w:type="page" w:clear="all"/>
      </w:r>
      <w:r>
        <w:rPr>
          <w:rFonts w:hint="eastAsia" w:ascii="黑体" w:eastAsia="黑体"/>
          <w:bCs/>
          <w:sz w:val="24"/>
          <w:szCs w:val="24"/>
        </w:rPr>
        <w:t>（九）技术商务部分评分导读表（格式）：</w:t>
      </w:r>
    </w:p>
    <w:p w14:paraId="04CF8736">
      <w:pPr>
        <w:tabs>
          <w:tab w:val="left" w:pos="255"/>
        </w:tabs>
        <w:spacing w:before="156" w:after="156" w:line="360" w:lineRule="auto"/>
        <w:jc w:val="center"/>
        <w:rPr>
          <w:rFonts w:ascii="黑体" w:eastAsia="黑体"/>
          <w:sz w:val="28"/>
          <w:szCs w:val="21"/>
          <w:lang w:val="zh-CN"/>
        </w:rPr>
      </w:pPr>
      <w:r>
        <w:rPr>
          <w:rFonts w:hint="eastAsia" w:ascii="黑体" w:eastAsia="黑体"/>
          <w:sz w:val="28"/>
          <w:szCs w:val="21"/>
          <w:lang w:val="zh-CN"/>
        </w:rPr>
        <w:t xml:space="preserve"> 技术商务部分评分导读表</w:t>
      </w:r>
    </w:p>
    <w:p w14:paraId="0806D53F">
      <w:pPr>
        <w:tabs>
          <w:tab w:val="left" w:pos="255"/>
        </w:tabs>
        <w:spacing w:before="156" w:after="156" w:line="360" w:lineRule="auto"/>
        <w:rPr>
          <w:rFonts w:ascii="宋体"/>
          <w:sz w:val="24"/>
          <w:szCs w:val="21"/>
          <w:lang w:val="zh-CN"/>
        </w:rPr>
      </w:pPr>
      <w:r>
        <w:rPr>
          <w:rFonts w:hint="eastAsia" w:ascii="宋体" w:hAnsi="宋体"/>
          <w:sz w:val="24"/>
          <w:szCs w:val="24"/>
        </w:rPr>
        <w:t>项目名称：江苏省宜兴强制隔离戒毒所配餐中心局部维修改造项目</w:t>
      </w:r>
      <w:r>
        <w:rPr>
          <w:rFonts w:hint="eastAsia" w:ascii="宋体"/>
          <w:sz w:val="24"/>
          <w:szCs w:val="21"/>
          <w:lang w:val="zh-CN"/>
        </w:rPr>
        <w:t xml:space="preserve">               </w:t>
      </w:r>
    </w:p>
    <w:p w14:paraId="356AAD5C">
      <w:pPr>
        <w:tabs>
          <w:tab w:val="left" w:pos="255"/>
        </w:tabs>
        <w:spacing w:before="156" w:after="156" w:line="360" w:lineRule="auto"/>
        <w:rPr>
          <w:rFonts w:ascii="宋体"/>
          <w:sz w:val="24"/>
          <w:szCs w:val="21"/>
          <w:lang w:val="zh-CN"/>
        </w:rPr>
      </w:pPr>
      <w:r>
        <w:rPr>
          <w:rFonts w:hint="eastAsia" w:ascii="宋体"/>
          <w:sz w:val="24"/>
          <w:szCs w:val="21"/>
          <w:lang w:val="zh-CN"/>
        </w:rPr>
        <w:t>项目编号：</w:t>
      </w:r>
      <w:r>
        <w:rPr>
          <w:rFonts w:hint="eastAsia" w:ascii="宋体"/>
          <w:sz w:val="24"/>
          <w:szCs w:val="24"/>
        </w:rPr>
        <w:t xml:space="preserve">YXJDS-JJK-2025-006  </w:t>
      </w:r>
      <w:r>
        <w:rPr>
          <w:rFonts w:hint="eastAsia" w:ascii="宋体"/>
          <w:sz w:val="24"/>
          <w:szCs w:val="21"/>
          <w:lang w:val="zh-CN"/>
        </w:rPr>
        <w:t xml:space="preserve"> </w:t>
      </w:r>
    </w:p>
    <w:tbl>
      <w:tblPr>
        <w:tblStyle w:val="21"/>
        <w:tblW w:w="9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60"/>
        <w:gridCol w:w="5040"/>
        <w:gridCol w:w="1404"/>
        <w:gridCol w:w="1404"/>
      </w:tblGrid>
      <w:tr w14:paraId="6186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91140FF">
            <w:pPr>
              <w:jc w:val="center"/>
              <w:rPr>
                <w:rFonts w:ascii="宋体"/>
                <w:sz w:val="24"/>
                <w:szCs w:val="24"/>
              </w:rPr>
            </w:pPr>
            <w:r>
              <w:rPr>
                <w:rFonts w:hint="eastAsia" w:ascii="宋体"/>
                <w:sz w:val="24"/>
                <w:szCs w:val="24"/>
              </w:rPr>
              <w:t>序号</w:t>
            </w:r>
          </w:p>
        </w:tc>
        <w:tc>
          <w:tcPr>
            <w:tcW w:w="1260" w:type="dxa"/>
            <w:tcBorders>
              <w:top w:val="single" w:color="auto" w:sz="4" w:space="0"/>
              <w:left w:val="single" w:color="auto" w:sz="4" w:space="0"/>
              <w:right w:val="single" w:color="auto" w:sz="4" w:space="0"/>
            </w:tcBorders>
            <w:vAlign w:val="center"/>
          </w:tcPr>
          <w:p w14:paraId="425605A4">
            <w:pPr>
              <w:jc w:val="center"/>
              <w:rPr>
                <w:rFonts w:ascii="宋体"/>
                <w:sz w:val="24"/>
                <w:szCs w:val="24"/>
              </w:rPr>
            </w:pPr>
            <w:r>
              <w:rPr>
                <w:rFonts w:hint="eastAsia" w:ascii="宋体"/>
                <w:sz w:val="24"/>
                <w:szCs w:val="24"/>
              </w:rPr>
              <w:t>评审项目</w:t>
            </w:r>
          </w:p>
        </w:tc>
        <w:tc>
          <w:tcPr>
            <w:tcW w:w="5040" w:type="dxa"/>
            <w:tcBorders>
              <w:top w:val="single" w:color="auto" w:sz="4" w:space="0"/>
              <w:left w:val="single" w:color="auto" w:sz="4" w:space="0"/>
              <w:bottom w:val="single" w:color="auto" w:sz="4" w:space="0"/>
              <w:right w:val="single" w:color="auto" w:sz="4" w:space="0"/>
            </w:tcBorders>
            <w:vAlign w:val="center"/>
          </w:tcPr>
          <w:p w14:paraId="5CF0D9B9">
            <w:pPr>
              <w:jc w:val="center"/>
              <w:rPr>
                <w:rFonts w:ascii="宋体"/>
                <w:sz w:val="24"/>
                <w:szCs w:val="24"/>
              </w:rPr>
            </w:pPr>
            <w:r>
              <w:rPr>
                <w:rFonts w:hint="eastAsia" w:ascii="宋体"/>
                <w:sz w:val="24"/>
                <w:szCs w:val="24"/>
              </w:rPr>
              <w:t>响应情况</w:t>
            </w:r>
          </w:p>
        </w:tc>
        <w:tc>
          <w:tcPr>
            <w:tcW w:w="1404" w:type="dxa"/>
            <w:tcBorders>
              <w:top w:val="single" w:color="auto" w:sz="4" w:space="0"/>
              <w:left w:val="single" w:color="auto" w:sz="4" w:space="0"/>
              <w:bottom w:val="single" w:color="auto" w:sz="4" w:space="0"/>
              <w:right w:val="single" w:color="auto" w:sz="4" w:space="0"/>
            </w:tcBorders>
            <w:vAlign w:val="center"/>
          </w:tcPr>
          <w:p w14:paraId="3096DE3F">
            <w:pPr>
              <w:jc w:val="center"/>
              <w:rPr>
                <w:rFonts w:ascii="宋体"/>
                <w:sz w:val="24"/>
                <w:szCs w:val="24"/>
              </w:rPr>
            </w:pPr>
            <w:r>
              <w:rPr>
                <w:rFonts w:hint="eastAsia" w:ascii="宋体"/>
                <w:sz w:val="24"/>
                <w:szCs w:val="24"/>
              </w:rPr>
              <w:t>投标文件对应页码</w:t>
            </w:r>
          </w:p>
        </w:tc>
        <w:tc>
          <w:tcPr>
            <w:tcW w:w="1404" w:type="dxa"/>
            <w:tcBorders>
              <w:top w:val="single" w:color="auto" w:sz="4" w:space="0"/>
              <w:left w:val="single" w:color="auto" w:sz="4" w:space="0"/>
              <w:bottom w:val="single" w:color="auto" w:sz="4" w:space="0"/>
              <w:right w:val="single" w:color="auto" w:sz="4" w:space="0"/>
            </w:tcBorders>
            <w:vAlign w:val="center"/>
          </w:tcPr>
          <w:p w14:paraId="3C8229AA">
            <w:pPr>
              <w:jc w:val="center"/>
              <w:rPr>
                <w:rFonts w:ascii="宋体"/>
                <w:sz w:val="24"/>
                <w:szCs w:val="24"/>
              </w:rPr>
            </w:pPr>
            <w:r>
              <w:rPr>
                <w:rFonts w:hint="eastAsia" w:ascii="宋体"/>
                <w:sz w:val="24"/>
                <w:szCs w:val="24"/>
              </w:rPr>
              <w:t>自评分</w:t>
            </w:r>
          </w:p>
        </w:tc>
      </w:tr>
      <w:tr w14:paraId="3484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6138651">
            <w:pPr>
              <w:jc w:val="center"/>
              <w:rPr>
                <w:rFonts w:ascii="宋体"/>
                <w:sz w:val="24"/>
                <w:szCs w:val="24"/>
              </w:rPr>
            </w:pPr>
            <w:r>
              <w:rPr>
                <w:rFonts w:hint="eastAsia" w:ascii="宋体"/>
                <w:sz w:val="24"/>
                <w:szCs w:val="24"/>
              </w:rPr>
              <w:t>1</w:t>
            </w:r>
          </w:p>
        </w:tc>
        <w:tc>
          <w:tcPr>
            <w:tcW w:w="1260" w:type="dxa"/>
            <w:tcBorders>
              <w:top w:val="single" w:color="auto" w:sz="4" w:space="0"/>
              <w:left w:val="single" w:color="auto" w:sz="4" w:space="0"/>
              <w:right w:val="single" w:color="auto" w:sz="4" w:space="0"/>
            </w:tcBorders>
            <w:vAlign w:val="center"/>
          </w:tcPr>
          <w:p w14:paraId="247A7E20">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4F78A586">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5C35E394">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05A53DC9">
            <w:pPr>
              <w:jc w:val="center"/>
              <w:rPr>
                <w:rFonts w:ascii="宋体"/>
                <w:sz w:val="24"/>
                <w:szCs w:val="24"/>
              </w:rPr>
            </w:pPr>
          </w:p>
        </w:tc>
      </w:tr>
      <w:tr w14:paraId="0601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7A5531C5">
            <w:pPr>
              <w:jc w:val="center"/>
              <w:rPr>
                <w:rFonts w:ascii="宋体"/>
                <w:sz w:val="24"/>
                <w:szCs w:val="24"/>
              </w:rPr>
            </w:pPr>
            <w:r>
              <w:rPr>
                <w:rFonts w:hint="eastAsia" w:ascii="宋体"/>
                <w:sz w:val="24"/>
                <w:szCs w:val="24"/>
              </w:rPr>
              <w:t>2</w:t>
            </w:r>
          </w:p>
        </w:tc>
        <w:tc>
          <w:tcPr>
            <w:tcW w:w="1260" w:type="dxa"/>
            <w:tcBorders>
              <w:top w:val="single" w:color="auto" w:sz="4" w:space="0"/>
              <w:left w:val="single" w:color="auto" w:sz="4" w:space="0"/>
              <w:right w:val="single" w:color="auto" w:sz="4" w:space="0"/>
            </w:tcBorders>
            <w:vAlign w:val="center"/>
          </w:tcPr>
          <w:p w14:paraId="7A4F62F1">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452F922D">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498A371C">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33C370E8">
            <w:pPr>
              <w:jc w:val="center"/>
              <w:rPr>
                <w:rFonts w:ascii="宋体"/>
                <w:sz w:val="24"/>
                <w:szCs w:val="24"/>
              </w:rPr>
            </w:pPr>
          </w:p>
        </w:tc>
      </w:tr>
      <w:tr w14:paraId="7E61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5393CCE1">
            <w:pPr>
              <w:jc w:val="center"/>
              <w:rPr>
                <w:rFonts w:ascii="宋体"/>
                <w:sz w:val="24"/>
                <w:szCs w:val="24"/>
              </w:rPr>
            </w:pPr>
            <w:r>
              <w:rPr>
                <w:rFonts w:hint="eastAsia" w:ascii="宋体"/>
                <w:sz w:val="24"/>
                <w:szCs w:val="24"/>
              </w:rPr>
              <w:t>3</w:t>
            </w:r>
          </w:p>
        </w:tc>
        <w:tc>
          <w:tcPr>
            <w:tcW w:w="1260" w:type="dxa"/>
            <w:tcBorders>
              <w:top w:val="single" w:color="auto" w:sz="4" w:space="0"/>
              <w:left w:val="single" w:color="auto" w:sz="4" w:space="0"/>
              <w:bottom w:val="single" w:color="auto" w:sz="4" w:space="0"/>
              <w:right w:val="single" w:color="auto" w:sz="4" w:space="0"/>
            </w:tcBorders>
            <w:vAlign w:val="center"/>
          </w:tcPr>
          <w:p w14:paraId="08C853B3">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7E4B7B6C">
            <w:pPr>
              <w:jc w:val="left"/>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7ADB9DA2">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7A571E5C">
            <w:pPr>
              <w:jc w:val="center"/>
              <w:rPr>
                <w:rFonts w:ascii="宋体"/>
                <w:sz w:val="24"/>
                <w:szCs w:val="24"/>
              </w:rPr>
            </w:pPr>
          </w:p>
        </w:tc>
      </w:tr>
      <w:tr w14:paraId="5B7E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57EF2DB">
            <w:pPr>
              <w:jc w:val="center"/>
              <w:rPr>
                <w:rFonts w:ascii="宋体"/>
                <w:sz w:val="24"/>
                <w:szCs w:val="24"/>
              </w:rPr>
            </w:pPr>
            <w:r>
              <w:rPr>
                <w:rFonts w:hint="eastAsia" w:ascii="宋体"/>
                <w:sz w:val="24"/>
                <w:szCs w:val="24"/>
              </w:rPr>
              <w:t>...</w:t>
            </w:r>
          </w:p>
        </w:tc>
        <w:tc>
          <w:tcPr>
            <w:tcW w:w="1260" w:type="dxa"/>
            <w:tcBorders>
              <w:top w:val="single" w:color="auto" w:sz="4" w:space="0"/>
              <w:left w:val="single" w:color="auto" w:sz="4" w:space="0"/>
              <w:right w:val="single" w:color="auto" w:sz="4" w:space="0"/>
            </w:tcBorders>
            <w:vAlign w:val="center"/>
          </w:tcPr>
          <w:p w14:paraId="0A821659">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613E564E">
            <w:pPr>
              <w:jc w:val="left"/>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01587799">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1896C78A">
            <w:pPr>
              <w:jc w:val="center"/>
              <w:rPr>
                <w:rFonts w:ascii="宋体"/>
                <w:sz w:val="24"/>
                <w:szCs w:val="24"/>
              </w:rPr>
            </w:pPr>
          </w:p>
        </w:tc>
      </w:tr>
    </w:tbl>
    <w:p w14:paraId="35094B1A">
      <w:pPr>
        <w:spacing w:line="580" w:lineRule="exact"/>
        <w:ind w:firstLine="480"/>
        <w:rPr>
          <w:rFonts w:ascii="宋体"/>
          <w:bCs/>
          <w:sz w:val="24"/>
          <w:szCs w:val="24"/>
          <w:lang w:val="zh-CN"/>
        </w:rPr>
      </w:pPr>
    </w:p>
    <w:p w14:paraId="5381E8E3">
      <w:pPr>
        <w:spacing w:line="580" w:lineRule="exact"/>
        <w:ind w:firstLine="480"/>
        <w:rPr>
          <w:rFonts w:ascii="宋体"/>
          <w:bCs/>
          <w:sz w:val="24"/>
          <w:szCs w:val="24"/>
          <w:lang w:val="zh-CN"/>
        </w:rPr>
      </w:pPr>
      <w:r>
        <w:rPr>
          <w:rFonts w:hint="eastAsia" w:ascii="宋体"/>
          <w:bCs/>
          <w:sz w:val="24"/>
          <w:szCs w:val="24"/>
          <w:lang w:val="zh-CN"/>
        </w:rPr>
        <w:t>注：投标人应对照</w:t>
      </w:r>
      <w:r>
        <w:rPr>
          <w:rFonts w:hint="eastAsia" w:ascii="宋体"/>
          <w:bCs/>
          <w:sz w:val="24"/>
          <w:szCs w:val="24"/>
        </w:rPr>
        <w:t>招标</w:t>
      </w:r>
      <w:r>
        <w:rPr>
          <w:rFonts w:hint="eastAsia" w:ascii="宋体"/>
          <w:bCs/>
          <w:sz w:val="24"/>
          <w:szCs w:val="24"/>
          <w:lang w:val="zh-CN"/>
        </w:rPr>
        <w:t>文件“第三章</w:t>
      </w:r>
      <w:r>
        <w:rPr>
          <w:rFonts w:hint="eastAsia" w:ascii="宋体"/>
          <w:bCs/>
          <w:sz w:val="24"/>
          <w:szCs w:val="24"/>
        </w:rPr>
        <w:t xml:space="preserve"> </w:t>
      </w:r>
      <w:r>
        <w:rPr>
          <w:rFonts w:hint="eastAsia" w:ascii="宋体"/>
          <w:bCs/>
          <w:sz w:val="24"/>
          <w:szCs w:val="24"/>
          <w:lang w:val="zh-CN"/>
        </w:rPr>
        <w:t>评审方法和标准”的相关要求，根据自身响应情况填写上表；并在“</w:t>
      </w:r>
      <w:r>
        <w:rPr>
          <w:rFonts w:hint="eastAsia" w:ascii="宋体"/>
          <w:sz w:val="24"/>
          <w:szCs w:val="24"/>
        </w:rPr>
        <w:t>响应情况</w:t>
      </w:r>
      <w:r>
        <w:rPr>
          <w:rFonts w:hint="eastAsia" w:ascii="宋体"/>
          <w:bCs/>
          <w:sz w:val="24"/>
          <w:szCs w:val="24"/>
          <w:lang w:val="zh-CN"/>
        </w:rPr>
        <w:t>”栏填入所提供的证明材料清单，</w:t>
      </w:r>
      <w:r>
        <w:rPr>
          <w:rFonts w:hint="eastAsia" w:ascii="宋体"/>
          <w:bCs/>
          <w:sz w:val="24"/>
          <w:szCs w:val="24"/>
        </w:rPr>
        <w:t>没有证明材料的此栏填“无”</w:t>
      </w:r>
      <w:r>
        <w:rPr>
          <w:rFonts w:hint="eastAsia" w:ascii="宋体"/>
          <w:bCs/>
          <w:sz w:val="24"/>
          <w:szCs w:val="24"/>
          <w:lang w:val="zh-CN"/>
        </w:rPr>
        <w:t>。</w:t>
      </w:r>
    </w:p>
    <w:p w14:paraId="2DF5651D">
      <w:pPr>
        <w:tabs>
          <w:tab w:val="left" w:pos="255"/>
        </w:tabs>
        <w:spacing w:line="360" w:lineRule="auto"/>
        <w:ind w:left="420" w:firstLine="480"/>
        <w:rPr>
          <w:rFonts w:ascii="宋体"/>
          <w:sz w:val="24"/>
          <w:szCs w:val="21"/>
          <w:lang w:val="zh-CN"/>
        </w:rPr>
      </w:pPr>
    </w:p>
    <w:p w14:paraId="7F717EFB">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401918FF">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A526116"/>
    <w:sectPr>
      <w:pgSz w:w="11906" w:h="16838"/>
      <w:pgMar w:top="1134" w:right="1134" w:bottom="1134" w:left="1134"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体">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auto"/>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209A">
    <w:pPr>
      <w:pStyle w:val="14"/>
      <w:framePr w:wrap="around" w:vAnchor="text" w:hAnchor="margin" w:xAlign="right" w:yAlign="to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9B648">
    <w:pPr>
      <w:pStyle w:val="14"/>
      <w:framePr w:wrap="around" w:vAnchor="text" w:hAnchor="margin" w:xAlign="center" w:yAlign="top"/>
    </w:pPr>
    <w:r>
      <w:fldChar w:fldCharType="begin"/>
    </w:r>
    <w:r>
      <w:rPr>
        <w:rStyle w:val="24"/>
      </w:rPr>
      <w:instrText xml:space="preserve"> PAGE  </w:instrText>
    </w:r>
    <w:r>
      <w:fldChar w:fldCharType="separate"/>
    </w:r>
    <w:r>
      <w:rPr>
        <w:rStyle w:val="24"/>
      </w:rPr>
      <w:t>32</w:t>
    </w:r>
    <w:r>
      <w:fldChar w:fldCharType="end"/>
    </w:r>
  </w:p>
  <w:p w14:paraId="2A28011A">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672F3">
    <w:pPr>
      <w:pStyle w:val="14"/>
      <w:jc w:val="center"/>
    </w:pPr>
    <w:r>
      <w:fldChar w:fldCharType="begin"/>
    </w:r>
    <w:r>
      <w:instrText xml:space="preserve"> PAGE   \* MERGEFORMAT </w:instrText>
    </w:r>
    <w:r>
      <w:fldChar w:fldCharType="separate"/>
    </w:r>
    <w:r>
      <w:rPr>
        <w:lang w:val="zh-CN"/>
      </w:rPr>
      <w:t>132</w:t>
    </w:r>
    <w:r>
      <w:fldChar w:fldCharType="end"/>
    </w:r>
  </w:p>
  <w:p w14:paraId="66565962">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5BB8">
    <w:pPr>
      <w:pStyle w:val="14"/>
      <w:framePr w:wrap="around" w:vAnchor="text" w:hAnchor="margin" w:xAlign="center" w:yAlign="top"/>
    </w:pPr>
    <w:r>
      <w:fldChar w:fldCharType="begin"/>
    </w:r>
    <w:r>
      <w:rPr>
        <w:rStyle w:val="24"/>
      </w:rPr>
      <w:instrText xml:space="preserve"> PAGE  </w:instrText>
    </w:r>
    <w:r>
      <w:fldChar w:fldCharType="separate"/>
    </w:r>
    <w:r>
      <w:rPr>
        <w:rStyle w:val="24"/>
      </w:rPr>
      <w:t>- 2 -</w:t>
    </w:r>
    <w:r>
      <w:fldChar w:fldCharType="end"/>
    </w:r>
  </w:p>
  <w:p w14:paraId="5DA8D139">
    <w:pPr>
      <w:pStyle w:val="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8BC8D">
    <w:pPr>
      <w:pStyle w:val="15"/>
      <w:rPr>
        <w:rFonts w:ascii="华文新魏" w:hAnsi="华文新魏" w:eastAsia="华文新魏"/>
        <w:sz w:val="21"/>
        <w:szCs w:val="28"/>
        <w:u w:val="single"/>
      </w:rPr>
    </w:pPr>
    <w:r>
      <w:rPr>
        <w:rFonts w:hint="eastAsia" w:ascii="华文新魏" w:hAnsi="华文新魏" w:eastAsia="华文新魏"/>
        <w:sz w:val="21"/>
        <w:szCs w:val="28"/>
        <w:u w:val="single"/>
      </w:rPr>
      <w:t xml:space="preserve">   </w:t>
    </w:r>
    <w:r>
      <w:rPr>
        <w:rFonts w:hint="eastAsia" w:ascii="华文新魏" w:hAnsi="华文新魏" w:eastAsia="华文新魏"/>
        <w:sz w:val="21"/>
        <w:u w:val="single"/>
      </w:rPr>
      <w:t xml:space="preserve">YXJDS-JJK-2025-006                                             </w:t>
    </w:r>
    <w:r>
      <w:rPr>
        <w:rFonts w:hint="eastAsia" w:ascii="华文新魏" w:hAnsi="华文新魏" w:eastAsia="华文新魏"/>
        <w:sz w:val="21"/>
        <w:u w:val="single"/>
        <w:lang w:val="zh-CN"/>
      </w:rPr>
      <w:t>江苏鼎坚工程咨询有限公司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EnclosedCircleChinese"/>
      <w:suff w:val="nothing"/>
      <w:lvlText w:val="%1　"/>
      <w:lvlJc w:val="left"/>
      <w:pPr>
        <w:ind w:left="0" w:firstLine="400"/>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9288B902"/>
    <w:multiLevelType w:val="multilevel"/>
    <w:tmpl w:val="9288B902"/>
    <w:lvl w:ilvl="0" w:tentative="0">
      <w:start w:val="1"/>
      <w:numFmt w:val="decimal"/>
      <w:suff w:val="nothing"/>
      <w:lvlText w:val="（%1）"/>
      <w:lvlJc w:val="left"/>
      <w:pPr>
        <w:tabs>
          <w:tab w:val="left" w:pos="0"/>
        </w:tabs>
        <w:ind w:left="0" w:firstLine="400"/>
      </w:pPr>
      <w:rPr>
        <w:rFonts w:hint="default" w:ascii="宋体" w:hAnsi="宋体" w:eastAsia="宋体" w:cs="宋体"/>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982EEDF9"/>
    <w:multiLevelType w:val="singleLevel"/>
    <w:tmpl w:val="982EEDF9"/>
    <w:lvl w:ilvl="0" w:tentative="0">
      <w:start w:val="1"/>
      <w:numFmt w:val="decimal"/>
      <w:suff w:val="nothing"/>
      <w:lvlText w:val="%1、"/>
      <w:lvlJc w:val="left"/>
    </w:lvl>
  </w:abstractNum>
  <w:abstractNum w:abstractNumId="3">
    <w:nsid w:val="B5E306ED"/>
    <w:multiLevelType w:val="multilevel"/>
    <w:tmpl w:val="B5E306ED"/>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4">
    <w:nsid w:val="BF205925"/>
    <w:multiLevelType w:val="multilevel"/>
    <w:tmpl w:val="BF205925"/>
    <w:lvl w:ilvl="0" w:tentative="0">
      <w:start w:val="8"/>
      <w:numFmt w:val="decimal"/>
      <w:lvlText w:val="%1."/>
      <w:lvlJc w:val="left"/>
      <w:pPr>
        <w:tabs>
          <w:tab w:val="left" w:pos="312"/>
        </w:tabs>
      </w:pPr>
    </w:lvl>
    <w:lvl w:ilvl="1" w:tentative="0">
      <w:start w:val="1"/>
      <w:numFmt w:val="bullet"/>
      <w:pStyle w:val="57"/>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pStyle w:val="59"/>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CF092B84"/>
    <w:multiLevelType w:val="multilevel"/>
    <w:tmpl w:val="CF092B84"/>
    <w:lvl w:ilvl="0" w:tentative="0">
      <w:start w:val="1"/>
      <w:numFmt w:val="decimal"/>
      <w:pStyle w:val="52"/>
      <w:lvlText w:val="%1."/>
      <w:lvlJc w:val="left"/>
      <w:pPr>
        <w:ind w:left="780" w:hanging="360"/>
      </w:pPr>
      <w:rPr>
        <w:rFonts w:ascii="Times New Roman" w:hAnsi="Times New Roman" w:cs="Times New Roman"/>
        <w:b w:val="0"/>
        <w:bCs w:val="0"/>
        <w:i w:val="0"/>
        <w:iCs w:val="0"/>
        <w:caps w:val="0"/>
        <w:smallCaps w:val="0"/>
        <w:strike w:val="0"/>
        <w:vanish w:val="0"/>
        <w:color w:val="000000"/>
        <w:spacing w:val="0"/>
        <w:position w:val="0"/>
        <w:sz w:val="16"/>
        <w:szCs w:val="0"/>
        <w:u w:val="none"/>
        <w:shd w:val="clear" w:color="000000" w:fill="000000"/>
        <w:vertAlign w:val="baseline"/>
        <w:lang w:val="zh-CN" w:eastAsia="zh-CN" w:bidi="zh-CN"/>
      </w:rPr>
    </w:lvl>
    <w:lvl w:ilvl="1" w:tentative="0">
      <w:start w:val="1"/>
      <w:numFmt w:val="decimal"/>
      <w:lvlText w:val="%2)"/>
      <w:lvlJc w:val="left"/>
      <w:pPr>
        <w:ind w:left="1200" w:hanging="36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0000001"/>
    <w:multiLevelType w:val="singleLevel"/>
    <w:tmpl w:val="00000001"/>
    <w:lvl w:ilvl="0" w:tentative="0">
      <w:start w:val="1"/>
      <w:numFmt w:val="decimal"/>
      <w:suff w:val="nothing"/>
      <w:lvlText w:val="（%1）"/>
      <w:lvlJc w:val="left"/>
      <w:pPr>
        <w:ind w:left="0" w:firstLine="420"/>
      </w:pPr>
      <w:rPr>
        <w:rFonts w:hint="default"/>
      </w:rPr>
    </w:lvl>
  </w:abstractNum>
  <w:abstractNum w:abstractNumId="7">
    <w:nsid w:val="0000001A"/>
    <w:multiLevelType w:val="singleLevel"/>
    <w:tmpl w:val="0000001A"/>
    <w:lvl w:ilvl="0" w:tentative="0">
      <w:start w:val="1"/>
      <w:numFmt w:val="decimal"/>
      <w:suff w:val="nothing"/>
      <w:lvlText w:val="（%1）"/>
      <w:lvlJc w:val="left"/>
      <w:pPr>
        <w:ind w:firstLine="420"/>
      </w:pPr>
      <w:rPr>
        <w:rFonts w:hint="default"/>
      </w:rPr>
    </w:lvl>
  </w:abstractNum>
  <w:abstractNum w:abstractNumId="8">
    <w:nsid w:val="118609E6"/>
    <w:multiLevelType w:val="singleLevel"/>
    <w:tmpl w:val="118609E6"/>
    <w:lvl w:ilvl="0" w:tentative="0">
      <w:start w:val="1"/>
      <w:numFmt w:val="decimal"/>
      <w:suff w:val="nothing"/>
      <w:lvlText w:val="%1、"/>
      <w:lvlJc w:val="left"/>
    </w:lvl>
  </w:abstractNum>
  <w:abstractNum w:abstractNumId="9">
    <w:nsid w:val="252B2CD8"/>
    <w:multiLevelType w:val="singleLevel"/>
    <w:tmpl w:val="252B2CD8"/>
    <w:lvl w:ilvl="0" w:tentative="0">
      <w:start w:val="2"/>
      <w:numFmt w:val="decimal"/>
      <w:suff w:val="nothing"/>
      <w:lvlText w:val="%1、"/>
      <w:lvlJc w:val="left"/>
    </w:lvl>
  </w:abstractNum>
  <w:abstractNum w:abstractNumId="10">
    <w:nsid w:val="25B654F3"/>
    <w:multiLevelType w:val="multilevel"/>
    <w:tmpl w:val="25B654F3"/>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pStyle w:val="60"/>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1">
    <w:nsid w:val="322D85CA"/>
    <w:multiLevelType w:val="multilevel"/>
    <w:tmpl w:val="322D85CA"/>
    <w:lvl w:ilvl="0" w:tentative="0">
      <w:start w:val="1"/>
      <w:numFmt w:val="decimal"/>
      <w:suff w:val="nothing"/>
      <w:lvlText w:val="%1．"/>
      <w:lvlJc w:val="left"/>
      <w:pPr>
        <w:ind w:left="0" w:firstLine="400"/>
      </w:pPr>
      <w:rPr>
        <w:rFonts w:hint="default"/>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2">
    <w:nsid w:val="39A0D9AC"/>
    <w:multiLevelType w:val="multilevel"/>
    <w:tmpl w:val="39A0D9AC"/>
    <w:lvl w:ilvl="0" w:tentative="0">
      <w:start w:val="1"/>
      <w:numFmt w:val="decimalEnclosedCircleChinese"/>
      <w:suff w:val="nothing"/>
      <w:lvlText w:val="%1　"/>
      <w:lvlJc w:val="left"/>
      <w:pPr>
        <w:ind w:left="0" w:firstLine="400"/>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3">
    <w:nsid w:val="552401FC"/>
    <w:multiLevelType w:val="multilevel"/>
    <w:tmpl w:val="552401FC"/>
    <w:lvl w:ilvl="0" w:tentative="0">
      <w:start w:val="1"/>
      <w:numFmt w:val="bullet"/>
      <w:pStyle w:val="1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3165"/>
        </w:tabs>
        <w:ind w:left="3165" w:hanging="420"/>
      </w:pPr>
      <w:rPr>
        <w:rFonts w:hint="default" w:ascii="Wingdings" w:hAnsi="Wingdings"/>
      </w:rPr>
    </w:lvl>
    <w:lvl w:ilvl="2" w:tentative="0">
      <w:start w:val="1"/>
      <w:numFmt w:val="bullet"/>
      <w:lvlText w:val=""/>
      <w:lvlJc w:val="left"/>
      <w:pPr>
        <w:tabs>
          <w:tab w:val="left" w:pos="3585"/>
        </w:tabs>
        <w:ind w:left="3585" w:hanging="420"/>
      </w:pPr>
      <w:rPr>
        <w:rFonts w:hint="default" w:ascii="Wingdings" w:hAnsi="Wingdings"/>
      </w:rPr>
    </w:lvl>
    <w:lvl w:ilvl="3" w:tentative="0">
      <w:start w:val="1"/>
      <w:numFmt w:val="bullet"/>
      <w:lvlText w:val=""/>
      <w:lvlJc w:val="left"/>
      <w:pPr>
        <w:tabs>
          <w:tab w:val="left" w:pos="4005"/>
        </w:tabs>
        <w:ind w:left="4005" w:hanging="420"/>
      </w:pPr>
      <w:rPr>
        <w:rFonts w:hint="default" w:ascii="Wingdings" w:hAnsi="Wingdings"/>
      </w:rPr>
    </w:lvl>
    <w:lvl w:ilvl="4" w:tentative="0">
      <w:start w:val="1"/>
      <w:numFmt w:val="bullet"/>
      <w:lvlText w:val=""/>
      <w:lvlJc w:val="left"/>
      <w:pPr>
        <w:tabs>
          <w:tab w:val="left" w:pos="4425"/>
        </w:tabs>
        <w:ind w:left="4425" w:hanging="420"/>
      </w:pPr>
      <w:rPr>
        <w:rFonts w:hint="default" w:ascii="Wingdings" w:hAnsi="Wingdings"/>
      </w:rPr>
    </w:lvl>
    <w:lvl w:ilvl="5" w:tentative="0">
      <w:start w:val="1"/>
      <w:numFmt w:val="bullet"/>
      <w:lvlText w:val=""/>
      <w:lvlJc w:val="left"/>
      <w:pPr>
        <w:tabs>
          <w:tab w:val="left" w:pos="4845"/>
        </w:tabs>
        <w:ind w:left="4845" w:hanging="420"/>
      </w:pPr>
      <w:rPr>
        <w:rFonts w:hint="default" w:ascii="Wingdings" w:hAnsi="Wingdings"/>
      </w:rPr>
    </w:lvl>
    <w:lvl w:ilvl="6" w:tentative="0">
      <w:start w:val="1"/>
      <w:numFmt w:val="bullet"/>
      <w:lvlText w:val=""/>
      <w:lvlJc w:val="left"/>
      <w:pPr>
        <w:tabs>
          <w:tab w:val="left" w:pos="5265"/>
        </w:tabs>
        <w:ind w:left="5265" w:hanging="420"/>
      </w:pPr>
      <w:rPr>
        <w:rFonts w:hint="default" w:ascii="Wingdings" w:hAnsi="Wingdings"/>
      </w:rPr>
    </w:lvl>
    <w:lvl w:ilvl="7" w:tentative="0">
      <w:start w:val="1"/>
      <w:numFmt w:val="bullet"/>
      <w:lvlText w:val=""/>
      <w:lvlJc w:val="left"/>
      <w:pPr>
        <w:tabs>
          <w:tab w:val="left" w:pos="5685"/>
        </w:tabs>
        <w:ind w:left="5685" w:hanging="420"/>
      </w:pPr>
      <w:rPr>
        <w:rFonts w:hint="default" w:ascii="Wingdings" w:hAnsi="Wingdings"/>
      </w:rPr>
    </w:lvl>
    <w:lvl w:ilvl="8" w:tentative="0">
      <w:start w:val="1"/>
      <w:numFmt w:val="bullet"/>
      <w:lvlText w:val=""/>
      <w:lvlJc w:val="left"/>
      <w:pPr>
        <w:tabs>
          <w:tab w:val="left" w:pos="6105"/>
        </w:tabs>
        <w:ind w:left="6105" w:hanging="420"/>
      </w:pPr>
      <w:rPr>
        <w:rFonts w:hint="default" w:ascii="Wingdings" w:hAnsi="Wingdings"/>
      </w:rPr>
    </w:lvl>
  </w:abstractNum>
  <w:abstractNum w:abstractNumId="14">
    <w:nsid w:val="57628C32"/>
    <w:multiLevelType w:val="singleLevel"/>
    <w:tmpl w:val="57628C32"/>
    <w:lvl w:ilvl="0" w:tentative="0">
      <w:start w:val="8"/>
      <w:numFmt w:val="chineseCounting"/>
      <w:suff w:val="nothing"/>
      <w:lvlText w:val="%1、"/>
      <w:lvlJc w:val="left"/>
      <w:rPr>
        <w:rFonts w:hint="eastAsia"/>
      </w:rPr>
    </w:lvl>
  </w:abstractNum>
  <w:abstractNum w:abstractNumId="15">
    <w:nsid w:val="59ADCABA"/>
    <w:multiLevelType w:val="multilevel"/>
    <w:tmpl w:val="59ADCABA"/>
    <w:lvl w:ilvl="0" w:tentative="0">
      <w:start w:val="8"/>
      <w:numFmt w:val="chineseCounting"/>
      <w:pStyle w:val="56"/>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6">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17">
    <w:nsid w:val="59B20163"/>
    <w:multiLevelType w:val="singleLevel"/>
    <w:tmpl w:val="59B20163"/>
    <w:lvl w:ilvl="0" w:tentative="0">
      <w:start w:val="1"/>
      <w:numFmt w:val="decimal"/>
      <w:suff w:val="nothing"/>
      <w:lvlText w:val="（%1）"/>
      <w:lvlJc w:val="left"/>
      <w:pPr>
        <w:ind w:left="0" w:firstLine="420"/>
      </w:pPr>
      <w:rPr>
        <w:rFonts w:hint="default"/>
      </w:rPr>
    </w:lvl>
  </w:abstractNum>
  <w:abstractNum w:abstractNumId="18">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abstractNum w:abstractNumId="19">
    <w:nsid w:val="59C4F830"/>
    <w:multiLevelType w:val="singleLevel"/>
    <w:tmpl w:val="59C4F830"/>
    <w:lvl w:ilvl="0" w:tentative="0">
      <w:start w:val="1"/>
      <w:numFmt w:val="decimal"/>
      <w:suff w:val="nothing"/>
      <w:lvlText w:val="（%1）"/>
      <w:lvlJc w:val="left"/>
      <w:pPr>
        <w:tabs>
          <w:tab w:val="left" w:pos="0"/>
        </w:tabs>
        <w:ind w:left="0" w:firstLine="400"/>
      </w:pPr>
      <w:rPr>
        <w:rFonts w:hint="default" w:ascii="宋体" w:hAnsi="宋体" w:eastAsia="宋体" w:cs="宋体"/>
      </w:rPr>
    </w:lvl>
  </w:abstractNum>
  <w:abstractNum w:abstractNumId="20">
    <w:nsid w:val="59C66939"/>
    <w:multiLevelType w:val="singleLevel"/>
    <w:tmpl w:val="59C66939"/>
    <w:lvl w:ilvl="0" w:tentative="0">
      <w:start w:val="1"/>
      <w:numFmt w:val="decimal"/>
      <w:suff w:val="nothing"/>
      <w:lvlText w:val="（%1）"/>
      <w:lvlJc w:val="left"/>
      <w:pPr>
        <w:tabs>
          <w:tab w:val="left" w:pos="0"/>
        </w:tabs>
      </w:pPr>
      <w:rPr>
        <w:rFonts w:hint="default" w:ascii="宋体" w:hAnsi="宋体" w:eastAsia="宋体" w:cs="宋体"/>
      </w:rPr>
    </w:lvl>
  </w:abstractNum>
  <w:abstractNum w:abstractNumId="21">
    <w:nsid w:val="60AE39CC"/>
    <w:multiLevelType w:val="multilevel"/>
    <w:tmpl w:val="60AE39CC"/>
    <w:lvl w:ilvl="0" w:tentative="0">
      <w:start w:val="1"/>
      <w:numFmt w:val="none"/>
      <w:lvlText w:val=""/>
      <w:lvlJc w:val="left"/>
      <w:pPr>
        <w:tabs>
          <w:tab w:val="left" w:pos="432"/>
        </w:tabs>
        <w:ind w:left="432" w:hanging="432"/>
      </w:pPr>
      <w:rPr>
        <w:rFonts w:hint="eastAsia" w:cs="Times New Roman"/>
      </w:rPr>
    </w:lvl>
    <w:lvl w:ilvl="1" w:tentative="0">
      <w:start w:val="1"/>
      <w:numFmt w:val="none"/>
      <w:lvlText w:val=" "/>
      <w:lvlJc w:val="left"/>
      <w:pPr>
        <w:tabs>
          <w:tab w:val="left" w:pos="576"/>
        </w:tabs>
        <w:ind w:left="576" w:hanging="576"/>
      </w:pPr>
      <w:rPr>
        <w:rFonts w:hint="eastAsia" w:cs="Times New Roman"/>
      </w:rPr>
    </w:lvl>
    <w:lvl w:ilvl="2" w:tentative="0">
      <w:start w:val="1"/>
      <w:numFmt w:val="none"/>
      <w:pStyle w:val="5"/>
      <w:lvlText w:val=""/>
      <w:lvlJc w:val="left"/>
      <w:pPr>
        <w:tabs>
          <w:tab w:val="left" w:pos="720"/>
        </w:tabs>
        <w:ind w:left="720" w:hanging="720"/>
      </w:pPr>
      <w:rPr>
        <w:rFonts w:hint="eastAsia" w:cs="Times New Roman"/>
      </w:rPr>
    </w:lvl>
    <w:lvl w:ilvl="3" w:tentative="0">
      <w:start w:val="1"/>
      <w:numFmt w:val="none"/>
      <w:lvlText w:val="    "/>
      <w:lvlJc w:val="left"/>
      <w:pPr>
        <w:tabs>
          <w:tab w:val="left" w:pos="864"/>
        </w:tabs>
        <w:ind w:left="864" w:hanging="864"/>
      </w:pPr>
      <w:rPr>
        <w:rFonts w:hint="eastAsia" w:cs="Times New Roman"/>
      </w:rPr>
    </w:lvl>
    <w:lvl w:ilvl="4" w:tentative="0">
      <w:start w:val="1"/>
      <w:numFmt w:val="none"/>
      <w:lvlText w:val="      "/>
      <w:lvlJc w:val="left"/>
      <w:pPr>
        <w:tabs>
          <w:tab w:val="left" w:pos="1008"/>
        </w:tabs>
        <w:ind w:left="1008" w:hanging="1008"/>
      </w:pPr>
      <w:rPr>
        <w:rFonts w:hint="eastAsia" w:cs="Times New Roman"/>
      </w:rPr>
    </w:lvl>
    <w:lvl w:ilvl="5" w:tentative="0">
      <w:start w:val="1"/>
      <w:numFmt w:val="none"/>
      <w:lvlText w:val="           "/>
      <w:lvlJc w:val="left"/>
      <w:pPr>
        <w:tabs>
          <w:tab w:val="left" w:pos="1440"/>
        </w:tabs>
        <w:ind w:left="1152" w:hanging="1152"/>
      </w:pPr>
      <w:rPr>
        <w:rFonts w:hint="eastAsia" w:cs="Times New Roman"/>
      </w:rPr>
    </w:lvl>
    <w:lvl w:ilvl="6" w:tentative="0">
      <w:start w:val="1"/>
      <w:numFmt w:val="decimal"/>
      <w:lvlText w:val="%1.%2.%3.%4.%5.%6.%7"/>
      <w:lvlJc w:val="left"/>
      <w:pPr>
        <w:tabs>
          <w:tab w:val="left" w:pos="2520"/>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num w:numId="1">
    <w:abstractNumId w:val="21"/>
  </w:num>
  <w:num w:numId="2">
    <w:abstractNumId w:val="13"/>
  </w:num>
  <w:num w:numId="3">
    <w:abstractNumId w:val="5"/>
  </w:num>
  <w:num w:numId="4">
    <w:abstractNumId w:val="15"/>
  </w:num>
  <w:num w:numId="5">
    <w:abstractNumId w:val="4"/>
  </w:num>
  <w:num w:numId="6">
    <w:abstractNumId w:val="3"/>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1843" w:firstLine="0"/>
        </w:pPr>
      </w:lvl>
    </w:lvlOverride>
    <w:lvlOverride w:ilvl="2">
      <w:lvl w:ilvl="2" w:tentative="1">
        <w:start w:val="1"/>
        <w:numFmt w:val="decimal"/>
        <w:pStyle w:val="58"/>
        <w:lvlText w:val="%1.%2.%3"/>
        <w:lvlJc w:val="left"/>
        <w:pPr>
          <w:ind w:left="2126" w:firstLine="0"/>
        </w:pPr>
      </w:lvl>
    </w:lvlOverride>
    <w:lvlOverride w:ilvl="3">
      <w:lvl w:ilvl="3" w:tentative="1">
        <w:start w:val="1"/>
        <w:numFmt w:val="decimal"/>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7">
    <w:abstractNumId w:val="10"/>
  </w:num>
  <w:num w:numId="8">
    <w:abstractNumId w:val="1"/>
  </w:num>
  <w:num w:numId="9">
    <w:abstractNumId w:val="12"/>
  </w:num>
  <w:num w:numId="10">
    <w:abstractNumId w:val="19"/>
  </w:num>
  <w:num w:numId="11">
    <w:abstractNumId w:val="18"/>
  </w:num>
  <w:num w:numId="12">
    <w:abstractNumId w:val="0"/>
  </w:num>
  <w:num w:numId="13">
    <w:abstractNumId w:val="16"/>
  </w:num>
  <w:num w:numId="14">
    <w:abstractNumId w:val="17"/>
  </w:num>
  <w:num w:numId="15">
    <w:abstractNumId w:val="6"/>
  </w:num>
  <w:num w:numId="16">
    <w:abstractNumId w:val="20"/>
  </w:num>
  <w:num w:numId="17">
    <w:abstractNumId w:val="7"/>
  </w:num>
  <w:num w:numId="18">
    <w:abstractNumId w:val="2"/>
  </w:num>
  <w:num w:numId="19">
    <w:abstractNumId w:val="8"/>
  </w:num>
  <w:num w:numId="20">
    <w:abstractNumId w:val="14"/>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mNDQ4OTE2ZTc5ZGUzNGM5YzlkNjFkODczNzRiYzYifQ=="/>
  </w:docVars>
  <w:rsids>
    <w:rsidRoot w:val="2FA4100F"/>
    <w:rsid w:val="00025E84"/>
    <w:rsid w:val="00051DD3"/>
    <w:rsid w:val="00070531"/>
    <w:rsid w:val="000B0CEE"/>
    <w:rsid w:val="000B5D13"/>
    <w:rsid w:val="000C2E37"/>
    <w:rsid w:val="000C3407"/>
    <w:rsid w:val="000D5DBA"/>
    <w:rsid w:val="000E0228"/>
    <w:rsid w:val="000E3B30"/>
    <w:rsid w:val="000E75C4"/>
    <w:rsid w:val="0010442E"/>
    <w:rsid w:val="00105A8C"/>
    <w:rsid w:val="00105FB8"/>
    <w:rsid w:val="00130E9A"/>
    <w:rsid w:val="00141032"/>
    <w:rsid w:val="00191973"/>
    <w:rsid w:val="001962D9"/>
    <w:rsid w:val="001A4913"/>
    <w:rsid w:val="001B2561"/>
    <w:rsid w:val="001B359B"/>
    <w:rsid w:val="001C52F4"/>
    <w:rsid w:val="001E201A"/>
    <w:rsid w:val="00221A9D"/>
    <w:rsid w:val="00221CBF"/>
    <w:rsid w:val="002279F3"/>
    <w:rsid w:val="0023275E"/>
    <w:rsid w:val="00244F83"/>
    <w:rsid w:val="00245E9B"/>
    <w:rsid w:val="0025458A"/>
    <w:rsid w:val="0026416A"/>
    <w:rsid w:val="002847A3"/>
    <w:rsid w:val="00286125"/>
    <w:rsid w:val="00286F63"/>
    <w:rsid w:val="002A7A6A"/>
    <w:rsid w:val="002C73F2"/>
    <w:rsid w:val="002D3FBE"/>
    <w:rsid w:val="00333ABB"/>
    <w:rsid w:val="00337051"/>
    <w:rsid w:val="00352318"/>
    <w:rsid w:val="00353DFF"/>
    <w:rsid w:val="003542FC"/>
    <w:rsid w:val="00393B8D"/>
    <w:rsid w:val="003C6096"/>
    <w:rsid w:val="003D27C6"/>
    <w:rsid w:val="003F153A"/>
    <w:rsid w:val="004157A9"/>
    <w:rsid w:val="00441229"/>
    <w:rsid w:val="00460DF3"/>
    <w:rsid w:val="0047481F"/>
    <w:rsid w:val="004B3438"/>
    <w:rsid w:val="004B6D3B"/>
    <w:rsid w:val="004D07F6"/>
    <w:rsid w:val="004E2B30"/>
    <w:rsid w:val="004F185A"/>
    <w:rsid w:val="005048C2"/>
    <w:rsid w:val="005055DD"/>
    <w:rsid w:val="0051409E"/>
    <w:rsid w:val="00532451"/>
    <w:rsid w:val="00541A60"/>
    <w:rsid w:val="00545C14"/>
    <w:rsid w:val="00562359"/>
    <w:rsid w:val="00563656"/>
    <w:rsid w:val="005715C0"/>
    <w:rsid w:val="005767E9"/>
    <w:rsid w:val="005A2677"/>
    <w:rsid w:val="005A3C3B"/>
    <w:rsid w:val="005A708F"/>
    <w:rsid w:val="005E68B2"/>
    <w:rsid w:val="005F0692"/>
    <w:rsid w:val="00607C95"/>
    <w:rsid w:val="006221CE"/>
    <w:rsid w:val="006453C7"/>
    <w:rsid w:val="00692028"/>
    <w:rsid w:val="006A0C0A"/>
    <w:rsid w:val="006B33DD"/>
    <w:rsid w:val="006B4354"/>
    <w:rsid w:val="006D218B"/>
    <w:rsid w:val="006F29A0"/>
    <w:rsid w:val="00711535"/>
    <w:rsid w:val="007127E1"/>
    <w:rsid w:val="007164D1"/>
    <w:rsid w:val="007166EB"/>
    <w:rsid w:val="00744E10"/>
    <w:rsid w:val="0078118F"/>
    <w:rsid w:val="007A23E4"/>
    <w:rsid w:val="007A76C8"/>
    <w:rsid w:val="007B3358"/>
    <w:rsid w:val="007C2AA5"/>
    <w:rsid w:val="007D3B74"/>
    <w:rsid w:val="007E2456"/>
    <w:rsid w:val="007E24EF"/>
    <w:rsid w:val="007E5AE3"/>
    <w:rsid w:val="007F4DA8"/>
    <w:rsid w:val="00821565"/>
    <w:rsid w:val="008238E2"/>
    <w:rsid w:val="008322BB"/>
    <w:rsid w:val="008364C6"/>
    <w:rsid w:val="00860DA4"/>
    <w:rsid w:val="00865833"/>
    <w:rsid w:val="0086799E"/>
    <w:rsid w:val="00877B62"/>
    <w:rsid w:val="00894234"/>
    <w:rsid w:val="008D4680"/>
    <w:rsid w:val="008E4B6D"/>
    <w:rsid w:val="00935722"/>
    <w:rsid w:val="0094443E"/>
    <w:rsid w:val="00954938"/>
    <w:rsid w:val="00965D0D"/>
    <w:rsid w:val="00981AFA"/>
    <w:rsid w:val="009B4520"/>
    <w:rsid w:val="009E6FDC"/>
    <w:rsid w:val="00A14710"/>
    <w:rsid w:val="00A30C0B"/>
    <w:rsid w:val="00A3308D"/>
    <w:rsid w:val="00A36858"/>
    <w:rsid w:val="00A407F9"/>
    <w:rsid w:val="00A505AF"/>
    <w:rsid w:val="00A56734"/>
    <w:rsid w:val="00A61C71"/>
    <w:rsid w:val="00A901B2"/>
    <w:rsid w:val="00A94807"/>
    <w:rsid w:val="00AC086F"/>
    <w:rsid w:val="00AD7D48"/>
    <w:rsid w:val="00AE5367"/>
    <w:rsid w:val="00AF34B4"/>
    <w:rsid w:val="00AF3D38"/>
    <w:rsid w:val="00B02303"/>
    <w:rsid w:val="00B259D5"/>
    <w:rsid w:val="00B31878"/>
    <w:rsid w:val="00B33380"/>
    <w:rsid w:val="00B47DE6"/>
    <w:rsid w:val="00B543AB"/>
    <w:rsid w:val="00B564D5"/>
    <w:rsid w:val="00B67C99"/>
    <w:rsid w:val="00B90D5D"/>
    <w:rsid w:val="00BC026B"/>
    <w:rsid w:val="00BC3A92"/>
    <w:rsid w:val="00BC7A75"/>
    <w:rsid w:val="00BE77AD"/>
    <w:rsid w:val="00C078EC"/>
    <w:rsid w:val="00C40714"/>
    <w:rsid w:val="00C52E63"/>
    <w:rsid w:val="00C56D9D"/>
    <w:rsid w:val="00C6620D"/>
    <w:rsid w:val="00C71D0D"/>
    <w:rsid w:val="00C76451"/>
    <w:rsid w:val="00C87EB3"/>
    <w:rsid w:val="00CB3A2D"/>
    <w:rsid w:val="00CC342E"/>
    <w:rsid w:val="00CD0575"/>
    <w:rsid w:val="00CD26A5"/>
    <w:rsid w:val="00CE3FEC"/>
    <w:rsid w:val="00CE6BE6"/>
    <w:rsid w:val="00CE7E4A"/>
    <w:rsid w:val="00D01DB7"/>
    <w:rsid w:val="00D14BB6"/>
    <w:rsid w:val="00D2041E"/>
    <w:rsid w:val="00D43E2D"/>
    <w:rsid w:val="00D4736C"/>
    <w:rsid w:val="00D5325C"/>
    <w:rsid w:val="00D66099"/>
    <w:rsid w:val="00D93E3A"/>
    <w:rsid w:val="00D967C7"/>
    <w:rsid w:val="00DA049E"/>
    <w:rsid w:val="00DA688B"/>
    <w:rsid w:val="00DA6BFD"/>
    <w:rsid w:val="00DC3484"/>
    <w:rsid w:val="00DD1324"/>
    <w:rsid w:val="00E17992"/>
    <w:rsid w:val="00E2029B"/>
    <w:rsid w:val="00E40052"/>
    <w:rsid w:val="00E455BF"/>
    <w:rsid w:val="00E559B8"/>
    <w:rsid w:val="00E70D9A"/>
    <w:rsid w:val="00E7659F"/>
    <w:rsid w:val="00E85648"/>
    <w:rsid w:val="00E872EB"/>
    <w:rsid w:val="00E9114F"/>
    <w:rsid w:val="00E941D6"/>
    <w:rsid w:val="00EA67A9"/>
    <w:rsid w:val="00EC6BC0"/>
    <w:rsid w:val="00ED2D1E"/>
    <w:rsid w:val="00F04C81"/>
    <w:rsid w:val="00F059EB"/>
    <w:rsid w:val="00F13AEA"/>
    <w:rsid w:val="00F4481B"/>
    <w:rsid w:val="00F9378B"/>
    <w:rsid w:val="00F94B20"/>
    <w:rsid w:val="00F97488"/>
    <w:rsid w:val="00FA6392"/>
    <w:rsid w:val="02C80AFC"/>
    <w:rsid w:val="036C262D"/>
    <w:rsid w:val="03874B29"/>
    <w:rsid w:val="03B17F71"/>
    <w:rsid w:val="041C17B1"/>
    <w:rsid w:val="0528094C"/>
    <w:rsid w:val="0573119D"/>
    <w:rsid w:val="060F397B"/>
    <w:rsid w:val="061C2E98"/>
    <w:rsid w:val="06324E94"/>
    <w:rsid w:val="06524DB1"/>
    <w:rsid w:val="07F27D26"/>
    <w:rsid w:val="084B737B"/>
    <w:rsid w:val="08693119"/>
    <w:rsid w:val="093D1475"/>
    <w:rsid w:val="09660263"/>
    <w:rsid w:val="098E3596"/>
    <w:rsid w:val="09CB00C1"/>
    <w:rsid w:val="0A193F05"/>
    <w:rsid w:val="0B933FD4"/>
    <w:rsid w:val="0C5E3F44"/>
    <w:rsid w:val="0C7A379A"/>
    <w:rsid w:val="0CA22213"/>
    <w:rsid w:val="0CB52D00"/>
    <w:rsid w:val="0D4D1603"/>
    <w:rsid w:val="0D4E5E8E"/>
    <w:rsid w:val="0D502BB6"/>
    <w:rsid w:val="0D506D4F"/>
    <w:rsid w:val="0DDF0D4D"/>
    <w:rsid w:val="0E364E11"/>
    <w:rsid w:val="0E59621F"/>
    <w:rsid w:val="0EF574A3"/>
    <w:rsid w:val="0FBC1346"/>
    <w:rsid w:val="0FFE761F"/>
    <w:rsid w:val="102D6BEE"/>
    <w:rsid w:val="10535CED"/>
    <w:rsid w:val="106B4E08"/>
    <w:rsid w:val="11E1363D"/>
    <w:rsid w:val="1235704B"/>
    <w:rsid w:val="12413F80"/>
    <w:rsid w:val="12503FC7"/>
    <w:rsid w:val="12701979"/>
    <w:rsid w:val="15FD07BA"/>
    <w:rsid w:val="168259E8"/>
    <w:rsid w:val="175045F4"/>
    <w:rsid w:val="17595C44"/>
    <w:rsid w:val="17CF64C1"/>
    <w:rsid w:val="182B3636"/>
    <w:rsid w:val="18316649"/>
    <w:rsid w:val="18463F43"/>
    <w:rsid w:val="18C164EC"/>
    <w:rsid w:val="18CF4799"/>
    <w:rsid w:val="19157F4B"/>
    <w:rsid w:val="195425EF"/>
    <w:rsid w:val="1AA977B0"/>
    <w:rsid w:val="1C08238D"/>
    <w:rsid w:val="1C137988"/>
    <w:rsid w:val="1C1E0C92"/>
    <w:rsid w:val="1E7F4E8A"/>
    <w:rsid w:val="1E8F33AC"/>
    <w:rsid w:val="1EED52E4"/>
    <w:rsid w:val="1F51385D"/>
    <w:rsid w:val="1FCA1D85"/>
    <w:rsid w:val="1FEF4E1F"/>
    <w:rsid w:val="206D569B"/>
    <w:rsid w:val="207C232A"/>
    <w:rsid w:val="20A42589"/>
    <w:rsid w:val="21316869"/>
    <w:rsid w:val="215718B3"/>
    <w:rsid w:val="21A32365"/>
    <w:rsid w:val="22301809"/>
    <w:rsid w:val="224A3310"/>
    <w:rsid w:val="225C2E4A"/>
    <w:rsid w:val="227E248B"/>
    <w:rsid w:val="22A30486"/>
    <w:rsid w:val="235F4102"/>
    <w:rsid w:val="243372A2"/>
    <w:rsid w:val="24534415"/>
    <w:rsid w:val="2595365B"/>
    <w:rsid w:val="2630555E"/>
    <w:rsid w:val="26A122FB"/>
    <w:rsid w:val="26E259AA"/>
    <w:rsid w:val="27097D67"/>
    <w:rsid w:val="27725687"/>
    <w:rsid w:val="27FDCAD9"/>
    <w:rsid w:val="283B2228"/>
    <w:rsid w:val="2A142596"/>
    <w:rsid w:val="2AD0584D"/>
    <w:rsid w:val="2B6D0DA6"/>
    <w:rsid w:val="2BB807BB"/>
    <w:rsid w:val="2D2C0A0E"/>
    <w:rsid w:val="2DF26F6A"/>
    <w:rsid w:val="2E2F0CC0"/>
    <w:rsid w:val="2E3A27FA"/>
    <w:rsid w:val="2E742D46"/>
    <w:rsid w:val="2E862DF3"/>
    <w:rsid w:val="2ED62C05"/>
    <w:rsid w:val="2FA4100F"/>
    <w:rsid w:val="2FE11DE9"/>
    <w:rsid w:val="302529D2"/>
    <w:rsid w:val="31097D0B"/>
    <w:rsid w:val="31350789"/>
    <w:rsid w:val="31490108"/>
    <w:rsid w:val="31534030"/>
    <w:rsid w:val="31CB1053"/>
    <w:rsid w:val="323D6EED"/>
    <w:rsid w:val="334772CE"/>
    <w:rsid w:val="33541FD5"/>
    <w:rsid w:val="33900270"/>
    <w:rsid w:val="339D4057"/>
    <w:rsid w:val="345E4C17"/>
    <w:rsid w:val="348451AB"/>
    <w:rsid w:val="35396519"/>
    <w:rsid w:val="35BF30F3"/>
    <w:rsid w:val="36526239"/>
    <w:rsid w:val="378A44AE"/>
    <w:rsid w:val="37DE378C"/>
    <w:rsid w:val="38315C1E"/>
    <w:rsid w:val="386F2B4A"/>
    <w:rsid w:val="38AD7EAF"/>
    <w:rsid w:val="38C7177E"/>
    <w:rsid w:val="394B1054"/>
    <w:rsid w:val="399B4DCC"/>
    <w:rsid w:val="39A75EF8"/>
    <w:rsid w:val="3A104E04"/>
    <w:rsid w:val="3BFB5130"/>
    <w:rsid w:val="3C017F5D"/>
    <w:rsid w:val="3C495460"/>
    <w:rsid w:val="3CAF0AE0"/>
    <w:rsid w:val="3D3760DF"/>
    <w:rsid w:val="3DB53E65"/>
    <w:rsid w:val="3ECA1C43"/>
    <w:rsid w:val="3F067A26"/>
    <w:rsid w:val="3F6B7328"/>
    <w:rsid w:val="400C0899"/>
    <w:rsid w:val="404F03DD"/>
    <w:rsid w:val="41801BCD"/>
    <w:rsid w:val="41C37A62"/>
    <w:rsid w:val="42466A3A"/>
    <w:rsid w:val="424F5A38"/>
    <w:rsid w:val="42AA11DD"/>
    <w:rsid w:val="43361BE6"/>
    <w:rsid w:val="43673D4B"/>
    <w:rsid w:val="43C96343"/>
    <w:rsid w:val="43D61CCF"/>
    <w:rsid w:val="442451CC"/>
    <w:rsid w:val="44446C38"/>
    <w:rsid w:val="44CD2B36"/>
    <w:rsid w:val="44FC2ADC"/>
    <w:rsid w:val="45A96967"/>
    <w:rsid w:val="45C84EF7"/>
    <w:rsid w:val="46472A10"/>
    <w:rsid w:val="464A59BB"/>
    <w:rsid w:val="4694516D"/>
    <w:rsid w:val="46B45048"/>
    <w:rsid w:val="474D22A8"/>
    <w:rsid w:val="47906638"/>
    <w:rsid w:val="48123BBE"/>
    <w:rsid w:val="48181F0A"/>
    <w:rsid w:val="493E4B1A"/>
    <w:rsid w:val="49690EEF"/>
    <w:rsid w:val="496B231B"/>
    <w:rsid w:val="4A8A55C1"/>
    <w:rsid w:val="4AE3086F"/>
    <w:rsid w:val="4B1F0F80"/>
    <w:rsid w:val="4B3A4288"/>
    <w:rsid w:val="4B495D5F"/>
    <w:rsid w:val="4B733C5F"/>
    <w:rsid w:val="4BF94D80"/>
    <w:rsid w:val="4C0B6D59"/>
    <w:rsid w:val="4CD13F0B"/>
    <w:rsid w:val="4D002E2C"/>
    <w:rsid w:val="4D160E90"/>
    <w:rsid w:val="4D226A4D"/>
    <w:rsid w:val="4D436497"/>
    <w:rsid w:val="4ECE5238"/>
    <w:rsid w:val="4FC77D89"/>
    <w:rsid w:val="50151DD1"/>
    <w:rsid w:val="5042511F"/>
    <w:rsid w:val="509A656F"/>
    <w:rsid w:val="50B76920"/>
    <w:rsid w:val="50B96357"/>
    <w:rsid w:val="514C72EB"/>
    <w:rsid w:val="520207FA"/>
    <w:rsid w:val="52BA2197"/>
    <w:rsid w:val="53373D2E"/>
    <w:rsid w:val="53440794"/>
    <w:rsid w:val="53590226"/>
    <w:rsid w:val="53636BBE"/>
    <w:rsid w:val="53824238"/>
    <w:rsid w:val="53C953AC"/>
    <w:rsid w:val="549C7A4F"/>
    <w:rsid w:val="55015A02"/>
    <w:rsid w:val="55346855"/>
    <w:rsid w:val="563F1005"/>
    <w:rsid w:val="567E64B5"/>
    <w:rsid w:val="56837A94"/>
    <w:rsid w:val="56946A71"/>
    <w:rsid w:val="56E04EE6"/>
    <w:rsid w:val="56F557AB"/>
    <w:rsid w:val="577C4D77"/>
    <w:rsid w:val="581D33A2"/>
    <w:rsid w:val="58C97722"/>
    <w:rsid w:val="59171382"/>
    <w:rsid w:val="593E565E"/>
    <w:rsid w:val="594A678D"/>
    <w:rsid w:val="5A975DF2"/>
    <w:rsid w:val="5ABE4833"/>
    <w:rsid w:val="5AD64DCA"/>
    <w:rsid w:val="5C7C68E9"/>
    <w:rsid w:val="5EAD40F4"/>
    <w:rsid w:val="5F33063D"/>
    <w:rsid w:val="5FB23647"/>
    <w:rsid w:val="6009300E"/>
    <w:rsid w:val="60202AA4"/>
    <w:rsid w:val="604F6C39"/>
    <w:rsid w:val="60531F1D"/>
    <w:rsid w:val="6087099F"/>
    <w:rsid w:val="611C3252"/>
    <w:rsid w:val="61231A09"/>
    <w:rsid w:val="613E15E9"/>
    <w:rsid w:val="61925346"/>
    <w:rsid w:val="61CC3FB5"/>
    <w:rsid w:val="62AF5F29"/>
    <w:rsid w:val="62D864D3"/>
    <w:rsid w:val="631E48EC"/>
    <w:rsid w:val="63476DBE"/>
    <w:rsid w:val="636632F2"/>
    <w:rsid w:val="637C5F97"/>
    <w:rsid w:val="637D385A"/>
    <w:rsid w:val="637F5749"/>
    <w:rsid w:val="638F5D8F"/>
    <w:rsid w:val="63F43B52"/>
    <w:rsid w:val="642F52DB"/>
    <w:rsid w:val="646446AA"/>
    <w:rsid w:val="648C2F2A"/>
    <w:rsid w:val="64B30D1C"/>
    <w:rsid w:val="64F4495F"/>
    <w:rsid w:val="65367C7D"/>
    <w:rsid w:val="653B0D1E"/>
    <w:rsid w:val="655C1705"/>
    <w:rsid w:val="66245DE5"/>
    <w:rsid w:val="666240B1"/>
    <w:rsid w:val="67121C13"/>
    <w:rsid w:val="67720399"/>
    <w:rsid w:val="6774685A"/>
    <w:rsid w:val="67760F4F"/>
    <w:rsid w:val="6798438F"/>
    <w:rsid w:val="680E4AE1"/>
    <w:rsid w:val="68264723"/>
    <w:rsid w:val="6848469A"/>
    <w:rsid w:val="68536064"/>
    <w:rsid w:val="68AC6180"/>
    <w:rsid w:val="68B27D65"/>
    <w:rsid w:val="68DA3FB8"/>
    <w:rsid w:val="69594684"/>
    <w:rsid w:val="697C7272"/>
    <w:rsid w:val="698D2898"/>
    <w:rsid w:val="698F5393"/>
    <w:rsid w:val="69BC62AB"/>
    <w:rsid w:val="69C441F4"/>
    <w:rsid w:val="6A8616A6"/>
    <w:rsid w:val="6AB57FE0"/>
    <w:rsid w:val="6ACE2618"/>
    <w:rsid w:val="6B2857F8"/>
    <w:rsid w:val="6BFB7C75"/>
    <w:rsid w:val="6C4B3573"/>
    <w:rsid w:val="6C9B578F"/>
    <w:rsid w:val="6D110577"/>
    <w:rsid w:val="6DA16033"/>
    <w:rsid w:val="6EC439C2"/>
    <w:rsid w:val="6F5317EF"/>
    <w:rsid w:val="6F540B15"/>
    <w:rsid w:val="70D32F6E"/>
    <w:rsid w:val="71052AC3"/>
    <w:rsid w:val="71377715"/>
    <w:rsid w:val="72D92C9E"/>
    <w:rsid w:val="73216213"/>
    <w:rsid w:val="73B2036C"/>
    <w:rsid w:val="73D80ED0"/>
    <w:rsid w:val="740C0055"/>
    <w:rsid w:val="74387CB8"/>
    <w:rsid w:val="74F26D21"/>
    <w:rsid w:val="75072FB0"/>
    <w:rsid w:val="75314D85"/>
    <w:rsid w:val="75C31803"/>
    <w:rsid w:val="75CA75C8"/>
    <w:rsid w:val="760375C6"/>
    <w:rsid w:val="760D78C7"/>
    <w:rsid w:val="76ED3BAA"/>
    <w:rsid w:val="76FD6975"/>
    <w:rsid w:val="774657CB"/>
    <w:rsid w:val="774A7D09"/>
    <w:rsid w:val="777C530C"/>
    <w:rsid w:val="779D7E32"/>
    <w:rsid w:val="78A3004B"/>
    <w:rsid w:val="78AA4E21"/>
    <w:rsid w:val="798D57C0"/>
    <w:rsid w:val="79BC41A5"/>
    <w:rsid w:val="7B287B73"/>
    <w:rsid w:val="7B5F3FFF"/>
    <w:rsid w:val="7B9512DF"/>
    <w:rsid w:val="7C1C1FA4"/>
    <w:rsid w:val="7C2012CF"/>
    <w:rsid w:val="7D3410F8"/>
    <w:rsid w:val="7D40204F"/>
    <w:rsid w:val="7D553689"/>
    <w:rsid w:val="7D672ACC"/>
    <w:rsid w:val="7D6C09D3"/>
    <w:rsid w:val="7E0C0F9D"/>
    <w:rsid w:val="7EE27724"/>
    <w:rsid w:val="FFFFC3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iPriority="99" w:semiHidden="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link w:val="34"/>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6"/>
    <w:qFormat/>
    <w:uiPriority w:val="0"/>
    <w:pPr>
      <w:keepNext/>
      <w:keepLines/>
      <w:widowControl/>
      <w:numPr>
        <w:ilvl w:val="2"/>
        <w:numId w:val="1"/>
      </w:numPr>
      <w:spacing w:before="120" w:after="120" w:line="360" w:lineRule="auto"/>
      <w:jc w:val="center"/>
      <w:outlineLvl w:val="2"/>
    </w:pPr>
    <w:rPr>
      <w:b/>
      <w:kern w:val="0"/>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tabs>
        <w:tab w:val="center" w:pos="4201"/>
        <w:tab w:val="right" w:leader="dot" w:pos="9298"/>
      </w:tabs>
      <w:ind w:firstLine="420"/>
      <w:jc w:val="both"/>
    </w:pPr>
    <w:rPr>
      <w:rFonts w:ascii="宋体" w:hAnsi="Times New Roman" w:eastAsia="宋体" w:cs="Times New Roman"/>
      <w:sz w:val="21"/>
      <w:szCs w:val="22"/>
      <w:lang w:val="en-US" w:eastAsia="zh-CN" w:bidi="ar-SA"/>
    </w:rPr>
  </w:style>
  <w:style w:type="paragraph" w:styleId="6">
    <w:name w:val="Normal Indent"/>
    <w:basedOn w:val="1"/>
    <w:qFormat/>
    <w:uiPriority w:val="0"/>
    <w:pPr>
      <w:ind w:firstLine="420"/>
    </w:pPr>
  </w:style>
  <w:style w:type="paragraph" w:styleId="7">
    <w:name w:val="annotation text"/>
    <w:basedOn w:val="1"/>
    <w:link w:val="46"/>
    <w:unhideWhenUsed/>
    <w:qFormat/>
    <w:uiPriority w:val="0"/>
    <w:pPr>
      <w:jc w:val="left"/>
    </w:pPr>
  </w:style>
  <w:style w:type="paragraph" w:styleId="8">
    <w:name w:val="Body Text"/>
    <w:basedOn w:val="1"/>
    <w:next w:val="1"/>
    <w:link w:val="45"/>
    <w:qFormat/>
    <w:uiPriority w:val="0"/>
    <w:pPr>
      <w:spacing w:line="0" w:lineRule="atLeast"/>
    </w:pPr>
    <w:rPr>
      <w:sz w:val="30"/>
    </w:rPr>
  </w:style>
  <w:style w:type="paragraph" w:styleId="9">
    <w:name w:val="Body Text Indent"/>
    <w:basedOn w:val="1"/>
    <w:next w:val="10"/>
    <w:unhideWhenUsed/>
    <w:qFormat/>
    <w:uiPriority w:val="99"/>
    <w:pPr>
      <w:spacing w:after="120"/>
      <w:ind w:left="420" w:leftChars="200"/>
    </w:pPr>
  </w:style>
  <w:style w:type="paragraph" w:styleId="10">
    <w:name w:val="envelope return"/>
    <w:basedOn w:val="1"/>
    <w:unhideWhenUsed/>
    <w:qFormat/>
    <w:uiPriority w:val="99"/>
    <w:pPr>
      <w:snapToGrid w:val="0"/>
    </w:pPr>
    <w:rPr>
      <w:rFonts w:ascii="Arial" w:hAnsi="Arial"/>
    </w:rPr>
  </w:style>
  <w:style w:type="paragraph" w:styleId="11">
    <w:name w:val="toc 3"/>
    <w:basedOn w:val="1"/>
    <w:next w:val="1"/>
    <w:qFormat/>
    <w:uiPriority w:val="39"/>
    <w:pPr>
      <w:ind w:left="840" w:leftChars="400"/>
    </w:pPr>
  </w:style>
  <w:style w:type="paragraph" w:styleId="12">
    <w:name w:val="Date"/>
    <w:basedOn w:val="1"/>
    <w:next w:val="1"/>
    <w:qFormat/>
    <w:uiPriority w:val="0"/>
    <w:pPr>
      <w:ind w:left="100" w:leftChars="2500"/>
    </w:pPr>
  </w:style>
  <w:style w:type="paragraph" w:styleId="13">
    <w:name w:val="Balloon Text"/>
    <w:basedOn w:val="1"/>
    <w:link w:val="35"/>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List"/>
    <w:basedOn w:val="1"/>
    <w:qFormat/>
    <w:uiPriority w:val="0"/>
    <w:pPr>
      <w:numPr>
        <w:ilvl w:val="0"/>
        <w:numId w:val="2"/>
      </w:numPr>
      <w:autoSpaceDE w:val="0"/>
      <w:autoSpaceDN w:val="0"/>
      <w:adjustRightInd w:val="0"/>
      <w:spacing w:after="20" w:line="288" w:lineRule="auto"/>
      <w:textAlignment w:val="baseline"/>
    </w:pPr>
    <w:rPr>
      <w:kern w:val="0"/>
      <w:lang w:val="en-GB"/>
    </w:rPr>
  </w:style>
  <w:style w:type="paragraph" w:styleId="18">
    <w:name w:val="Body Text 2"/>
    <w:basedOn w:val="1"/>
    <w:qFormat/>
    <w:uiPriority w:val="0"/>
    <w:pPr>
      <w:spacing w:line="480" w:lineRule="auto"/>
    </w:pPr>
    <w:rPr>
      <w:sz w:val="20"/>
    </w:rPr>
  </w:style>
  <w:style w:type="paragraph" w:styleId="19">
    <w:name w:val="Normal (Web)"/>
    <w:basedOn w:val="1"/>
    <w:semiHidden/>
    <w:unhideWhenUsed/>
    <w:qFormat/>
    <w:uiPriority w:val="0"/>
    <w:pPr>
      <w:spacing w:beforeAutospacing="1" w:afterAutospacing="1"/>
      <w:jc w:val="left"/>
    </w:pPr>
    <w:rPr>
      <w:kern w:val="0"/>
      <w:sz w:val="24"/>
    </w:rPr>
  </w:style>
  <w:style w:type="paragraph" w:styleId="20">
    <w:name w:val="Body Text First Indent 2"/>
    <w:basedOn w:val="9"/>
    <w:next w:val="1"/>
    <w:unhideWhenUsed/>
    <w:qFormat/>
    <w:uiPriority w:val="99"/>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qFormat/>
    <w:uiPriority w:val="0"/>
    <w:rPr>
      <w:color w:val="auto"/>
      <w:u w:val="none"/>
    </w:rPr>
  </w:style>
  <w:style w:type="character" w:styleId="26">
    <w:name w:val="Emphasis"/>
    <w:qFormat/>
    <w:uiPriority w:val="20"/>
    <w:rPr>
      <w:i/>
      <w:iCs/>
    </w:rPr>
  </w:style>
  <w:style w:type="character" w:styleId="27">
    <w:name w:val="Hyperlink"/>
    <w:unhideWhenUsed/>
    <w:qFormat/>
    <w:uiPriority w:val="99"/>
    <w:rPr>
      <w:color w:val="000000"/>
      <w:u w:val="none"/>
    </w:rPr>
  </w:style>
  <w:style w:type="character" w:styleId="28">
    <w:name w:val="annotation reference"/>
    <w:basedOn w:val="23"/>
    <w:semiHidden/>
    <w:unhideWhenUsed/>
    <w:qFormat/>
    <w:uiPriority w:val="0"/>
    <w:rPr>
      <w:sz w:val="21"/>
      <w:szCs w:val="21"/>
    </w:rPr>
  </w:style>
  <w:style w:type="paragraph" w:customStyle="1" w:styleId="29">
    <w:name w:val="正文首行缩进 21"/>
    <w:basedOn w:val="9"/>
    <w:unhideWhenUsed/>
    <w:qFormat/>
    <w:uiPriority w:val="99"/>
    <w:pPr>
      <w:ind w:firstLine="200" w:firstLineChars="200"/>
    </w:pPr>
  </w:style>
  <w:style w:type="paragraph" w:customStyle="1" w:styleId="30">
    <w:name w:val="普通文字"/>
    <w:basedOn w:val="1"/>
    <w:next w:val="1"/>
    <w:qFormat/>
    <w:uiPriority w:val="0"/>
    <w:rPr>
      <w:rFonts w:ascii="宋体"/>
      <w:kern w:val="0"/>
      <w:sz w:val="24"/>
      <w:u w:color="000000"/>
    </w:rPr>
  </w:style>
  <w:style w:type="paragraph" w:customStyle="1" w:styleId="3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样式 标题 2 + 黑色 行距: 1.5 倍行距"/>
    <w:basedOn w:val="4"/>
    <w:qFormat/>
    <w:uiPriority w:val="0"/>
    <w:pPr>
      <w:spacing w:before="260" w:after="260" w:line="600" w:lineRule="exact"/>
    </w:pPr>
    <w:rPr>
      <w:rFonts w:hint="eastAsia" w:ascii="黑体"/>
      <w:color w:val="000000"/>
      <w:szCs w:val="32"/>
    </w:rPr>
  </w:style>
  <w:style w:type="paragraph" w:customStyle="1" w:styleId="33">
    <w:name w:val="正文_12"/>
    <w:basedOn w:val="1"/>
    <w:qFormat/>
    <w:uiPriority w:val="0"/>
    <w:rPr>
      <w:rFonts w:ascii="Calibri" w:hAnsi="Calibri"/>
      <w:szCs w:val="24"/>
    </w:rPr>
  </w:style>
  <w:style w:type="character" w:customStyle="1" w:styleId="34">
    <w:name w:val="标题 2 字符"/>
    <w:basedOn w:val="23"/>
    <w:link w:val="4"/>
    <w:qFormat/>
    <w:uiPriority w:val="0"/>
    <w:rPr>
      <w:rFonts w:ascii="Cambria" w:hAnsi="Cambria" w:eastAsia="宋体" w:cs="Times New Roman"/>
      <w:b/>
      <w:kern w:val="2"/>
      <w:sz w:val="32"/>
      <w:szCs w:val="32"/>
    </w:rPr>
  </w:style>
  <w:style w:type="character" w:customStyle="1" w:styleId="35">
    <w:name w:val="批注框文本 字符"/>
    <w:basedOn w:val="23"/>
    <w:link w:val="13"/>
    <w:qFormat/>
    <w:uiPriority w:val="0"/>
    <w:rPr>
      <w:kern w:val="2"/>
      <w:sz w:val="18"/>
      <w:szCs w:val="18"/>
    </w:rPr>
  </w:style>
  <w:style w:type="paragraph" w:customStyle="1" w:styleId="36">
    <w:name w:val="Table Paragraph"/>
    <w:basedOn w:val="1"/>
    <w:unhideWhenUsed/>
    <w:qFormat/>
    <w:uiPriority w:val="1"/>
    <w:rPr>
      <w:rFonts w:hint="eastAsia"/>
      <w:sz w:val="24"/>
    </w:rPr>
  </w:style>
  <w:style w:type="character" w:customStyle="1" w:styleId="37">
    <w:name w:val="font161"/>
    <w:basedOn w:val="23"/>
    <w:qFormat/>
    <w:uiPriority w:val="0"/>
    <w:rPr>
      <w:rFonts w:hint="eastAsia" w:ascii="宋体" w:hAnsi="宋体" w:eastAsia="宋体" w:cs="宋体"/>
      <w:color w:val="000000"/>
      <w:sz w:val="21"/>
      <w:szCs w:val="21"/>
      <w:u w:val="none"/>
    </w:rPr>
  </w:style>
  <w:style w:type="character" w:customStyle="1" w:styleId="38">
    <w:name w:val="font121"/>
    <w:basedOn w:val="23"/>
    <w:qFormat/>
    <w:uiPriority w:val="0"/>
    <w:rPr>
      <w:rFonts w:hint="default" w:ascii="Times New Roman" w:hAnsi="Times New Roman" w:cs="Times New Roman"/>
      <w:color w:val="000000"/>
      <w:sz w:val="21"/>
      <w:szCs w:val="21"/>
      <w:u w:val="none"/>
    </w:rPr>
  </w:style>
  <w:style w:type="character" w:customStyle="1" w:styleId="39">
    <w:name w:val="font151"/>
    <w:basedOn w:val="23"/>
    <w:qFormat/>
    <w:uiPriority w:val="0"/>
    <w:rPr>
      <w:rFonts w:hint="eastAsia" w:ascii="宋体" w:hAnsi="宋体" w:eastAsia="宋体" w:cs="宋体"/>
      <w:b/>
      <w:color w:val="000000"/>
      <w:sz w:val="22"/>
      <w:szCs w:val="22"/>
      <w:u w:val="none"/>
    </w:rPr>
  </w:style>
  <w:style w:type="character" w:customStyle="1" w:styleId="40">
    <w:name w:val="font81"/>
    <w:basedOn w:val="23"/>
    <w:qFormat/>
    <w:uiPriority w:val="0"/>
    <w:rPr>
      <w:rFonts w:hint="eastAsia" w:ascii="宋体" w:hAnsi="宋体" w:eastAsia="宋体" w:cs="宋体"/>
      <w:color w:val="000000"/>
      <w:sz w:val="22"/>
      <w:szCs w:val="22"/>
      <w:u w:val="none"/>
    </w:rPr>
  </w:style>
  <w:style w:type="paragraph" w:customStyle="1" w:styleId="41">
    <w:name w:val="首行缩进"/>
    <w:basedOn w:val="1"/>
    <w:qFormat/>
    <w:uiPriority w:val="0"/>
    <w:pPr>
      <w:ind w:firstLine="480" w:firstLineChars="200"/>
    </w:pPr>
    <w:rPr>
      <w:lang w:val="zh-CN"/>
    </w:rPr>
  </w:style>
  <w:style w:type="character" w:customStyle="1" w:styleId="42">
    <w:name w:val="Hyperlink.0"/>
    <w:qFormat/>
    <w:uiPriority w:val="0"/>
    <w:rPr>
      <w:lang w:val="zh-TW" w:eastAsia="zh-TW"/>
    </w:rPr>
  </w:style>
  <w:style w:type="paragraph" w:styleId="43">
    <w:name w:val="List Paragraph"/>
    <w:basedOn w:val="1"/>
    <w:unhideWhenUsed/>
    <w:qFormat/>
    <w:uiPriority w:val="99"/>
    <w:pPr>
      <w:ind w:firstLine="420" w:firstLineChars="200"/>
    </w:pPr>
  </w:style>
  <w:style w:type="paragraph" w:customStyle="1" w:styleId="44">
    <w:name w:val="无间隔1"/>
    <w:basedOn w:val="1"/>
    <w:qFormat/>
    <w:uiPriority w:val="99"/>
    <w:pPr>
      <w:jc w:val="center"/>
    </w:pPr>
    <w:rPr>
      <w:rFonts w:ascii="宋体" w:hAnsi="宋体" w:cs="宋体" w:eastAsiaTheme="minorEastAsia"/>
      <w:szCs w:val="24"/>
    </w:rPr>
  </w:style>
  <w:style w:type="character" w:customStyle="1" w:styleId="45">
    <w:name w:val="正文文本 字符"/>
    <w:basedOn w:val="23"/>
    <w:link w:val="8"/>
    <w:qFormat/>
    <w:uiPriority w:val="0"/>
    <w:rPr>
      <w:rFonts w:ascii="Times New Roman" w:hAnsi="Times New Roman"/>
      <w:kern w:val="2"/>
      <w:sz w:val="30"/>
    </w:rPr>
  </w:style>
  <w:style w:type="character" w:customStyle="1" w:styleId="46">
    <w:name w:val="批注文字 字符"/>
    <w:basedOn w:val="23"/>
    <w:link w:val="7"/>
    <w:qFormat/>
    <w:uiPriority w:val="0"/>
    <w:rPr>
      <w:rFonts w:ascii="Times New Roman" w:hAnsi="Times New Roman"/>
      <w:kern w:val="2"/>
      <w:sz w:val="21"/>
    </w:rPr>
  </w:style>
  <w:style w:type="character" w:customStyle="1" w:styleId="47">
    <w:name w:val="NormalCharacter"/>
    <w:qFormat/>
    <w:uiPriority w:val="0"/>
  </w:style>
  <w:style w:type="paragraph" w:customStyle="1" w:styleId="48">
    <w:name w:val="BodyText1I2"/>
    <w:basedOn w:val="49"/>
    <w:next w:val="51"/>
    <w:qFormat/>
    <w:uiPriority w:val="0"/>
    <w:pPr>
      <w:spacing w:after="120"/>
      <w:ind w:left="420" w:firstLine="420"/>
    </w:pPr>
  </w:style>
  <w:style w:type="paragraph" w:customStyle="1" w:styleId="49">
    <w:name w:val="BodyTextIndent"/>
    <w:basedOn w:val="1"/>
    <w:next w:val="50"/>
    <w:qFormat/>
    <w:uiPriority w:val="0"/>
    <w:pPr>
      <w:ind w:firstLine="900"/>
    </w:pPr>
    <w:rPr>
      <w:sz w:val="28"/>
    </w:rPr>
  </w:style>
  <w:style w:type="paragraph" w:customStyle="1" w:styleId="50">
    <w:name w:val="NormalIndent"/>
    <w:basedOn w:val="1"/>
    <w:next w:val="49"/>
    <w:qFormat/>
    <w:uiPriority w:val="0"/>
    <w:pPr>
      <w:ind w:firstLine="420"/>
    </w:pPr>
  </w:style>
  <w:style w:type="paragraph" w:customStyle="1" w:styleId="51">
    <w:name w:val="UserStyle_14"/>
    <w:basedOn w:val="1"/>
    <w:next w:val="1"/>
    <w:qFormat/>
    <w:uiPriority w:val="0"/>
    <w:pPr>
      <w:spacing w:before="280" w:after="280" w:line="100" w:lineRule="exact"/>
      <w:jc w:val="center"/>
    </w:pPr>
    <w:rPr>
      <w:b/>
      <w:sz w:val="20"/>
    </w:rPr>
  </w:style>
  <w:style w:type="paragraph" w:customStyle="1" w:styleId="52">
    <w:name w:val="协议书标题2"/>
    <w:basedOn w:val="4"/>
    <w:next w:val="1"/>
    <w:qFormat/>
    <w:uiPriority w:val="0"/>
    <w:pPr>
      <w:keepNext w:val="0"/>
      <w:keepLines w:val="0"/>
      <w:widowControl/>
      <w:numPr>
        <w:ilvl w:val="0"/>
        <w:numId w:val="3"/>
      </w:numPr>
      <w:tabs>
        <w:tab w:val="left" w:pos="567"/>
      </w:tabs>
      <w:spacing w:after="120" w:line="360" w:lineRule="auto"/>
      <w:ind w:firstLine="0"/>
      <w:jc w:val="left"/>
    </w:pPr>
    <w:rPr>
      <w:rFonts w:ascii="宋体" w:hAnsi="宋体" w:eastAsia="宋体"/>
      <w:sz w:val="24"/>
    </w:rPr>
  </w:style>
  <w:style w:type="paragraph" w:customStyle="1" w:styleId="53">
    <w:name w:val="table"/>
    <w:basedOn w:val="1"/>
    <w:qFormat/>
    <w:uiPriority w:val="0"/>
    <w:pPr>
      <w:widowControl/>
      <w:spacing w:before="60" w:after="60"/>
      <w:ind w:left="-115" w:firstLine="115"/>
      <w:jc w:val="center"/>
    </w:pPr>
    <w:rPr>
      <w:rFonts w:ascii="仿宋体" w:eastAsia="仿宋体"/>
    </w:rPr>
  </w:style>
  <w:style w:type="paragraph" w:customStyle="1" w:styleId="54">
    <w:name w:val="TOC 标题2"/>
    <w:basedOn w:val="55"/>
    <w:next w:val="1"/>
    <w:qFormat/>
    <w:uiPriority w:val="0"/>
    <w:pPr>
      <w:widowControl/>
      <w:tabs>
        <w:tab w:val="left" w:pos="330"/>
        <w:tab w:val="left" w:pos="7020"/>
      </w:tabs>
      <w:spacing w:before="240" w:line="259" w:lineRule="auto"/>
      <w:jc w:val="left"/>
      <w:outlineLvl w:val="9"/>
    </w:pPr>
    <w:rPr>
      <w:rFonts w:ascii="Calibri Light" w:hAnsi="Calibri Light"/>
      <w:b w:val="0"/>
      <w:bCs w:val="0"/>
      <w:color w:val="2E74B5"/>
      <w:sz w:val="32"/>
      <w:szCs w:val="32"/>
    </w:rPr>
  </w:style>
  <w:style w:type="paragraph" w:customStyle="1" w:styleId="55">
    <w:name w:val="标题 11"/>
    <w:basedOn w:val="1"/>
    <w:next w:val="1"/>
    <w:qFormat/>
    <w:uiPriority w:val="0"/>
    <w:pPr>
      <w:keepNext/>
      <w:keepLines/>
      <w:tabs>
        <w:tab w:val="left" w:pos="330"/>
        <w:tab w:val="left" w:pos="7020"/>
      </w:tabs>
      <w:jc w:val="center"/>
      <w:outlineLvl w:val="0"/>
    </w:pPr>
    <w:rPr>
      <w:b/>
      <w:bCs/>
      <w:sz w:val="36"/>
      <w:szCs w:val="44"/>
    </w:rPr>
  </w:style>
  <w:style w:type="paragraph" w:customStyle="1" w:styleId="56">
    <w:name w:val="通用标题2"/>
    <w:basedOn w:val="4"/>
    <w:next w:val="1"/>
    <w:qFormat/>
    <w:uiPriority w:val="0"/>
    <w:pPr>
      <w:keepNext w:val="0"/>
      <w:keepLines w:val="0"/>
      <w:widowControl/>
      <w:numPr>
        <w:ilvl w:val="0"/>
        <w:numId w:val="4"/>
      </w:numPr>
      <w:tabs>
        <w:tab w:val="left" w:pos="993"/>
      </w:tabs>
      <w:spacing w:after="120" w:line="360" w:lineRule="auto"/>
    </w:pPr>
    <w:rPr>
      <w:rFonts w:ascii="黑体" w:hAnsi="黑体"/>
      <w:sz w:val="28"/>
    </w:rPr>
  </w:style>
  <w:style w:type="paragraph" w:customStyle="1" w:styleId="57">
    <w:name w:val="通用标题3"/>
    <w:next w:val="1"/>
    <w:qFormat/>
    <w:uiPriority w:val="0"/>
    <w:pPr>
      <w:widowControl w:val="0"/>
      <w:numPr>
        <w:ilvl w:val="1"/>
        <w:numId w:val="5"/>
      </w:numPr>
      <w:tabs>
        <w:tab w:val="left" w:pos="312"/>
        <w:tab w:val="left" w:pos="851"/>
      </w:tabs>
      <w:spacing w:after="120" w:line="360" w:lineRule="auto"/>
      <w:jc w:val="both"/>
      <w:outlineLvl w:val="2"/>
    </w:pPr>
    <w:rPr>
      <w:rFonts w:ascii="黑体" w:hAnsi="黑体" w:eastAsia="黑体" w:cs="Times New Roman"/>
      <w:b/>
      <w:sz w:val="24"/>
      <w:szCs w:val="24"/>
      <w:lang w:val="en-US" w:eastAsia="zh-CN" w:bidi="ar-SA"/>
    </w:rPr>
  </w:style>
  <w:style w:type="paragraph" w:customStyle="1" w:styleId="58">
    <w:name w:val="通用标题4"/>
    <w:next w:val="1"/>
    <w:qFormat/>
    <w:uiPriority w:val="0"/>
    <w:pPr>
      <w:numPr>
        <w:ilvl w:val="2"/>
        <w:numId w:val="6"/>
      </w:numPr>
      <w:tabs>
        <w:tab w:val="left" w:pos="851"/>
      </w:tabs>
      <w:spacing w:after="120" w:line="360" w:lineRule="auto"/>
      <w:jc w:val="both"/>
      <w:outlineLvl w:val="3"/>
    </w:pPr>
    <w:rPr>
      <w:rFonts w:ascii="宋体" w:hAnsi="宋体" w:eastAsia="宋体" w:cs="Times New Roman"/>
      <w:sz w:val="24"/>
      <w:szCs w:val="21"/>
      <w:lang w:val="en-US" w:eastAsia="zh-CN" w:bidi="ar-SA"/>
    </w:rPr>
  </w:style>
  <w:style w:type="paragraph" w:customStyle="1" w:styleId="59">
    <w:name w:val="通用标题5"/>
    <w:qFormat/>
    <w:uiPriority w:val="0"/>
    <w:pPr>
      <w:widowControl w:val="0"/>
      <w:numPr>
        <w:ilvl w:val="3"/>
        <w:numId w:val="5"/>
      </w:numPr>
      <w:tabs>
        <w:tab w:val="left" w:pos="312"/>
        <w:tab w:val="left" w:pos="1134"/>
      </w:tabs>
      <w:spacing w:after="120" w:line="360" w:lineRule="auto"/>
      <w:jc w:val="both"/>
    </w:pPr>
    <w:rPr>
      <w:rFonts w:ascii="宋体" w:hAnsi="宋体" w:eastAsia="宋体" w:cs="Times New Roman"/>
      <w:sz w:val="24"/>
      <w:szCs w:val="21"/>
      <w:lang w:val="en-US" w:eastAsia="zh-CN" w:bidi="ar-SA"/>
    </w:rPr>
  </w:style>
  <w:style w:type="paragraph" w:customStyle="1" w:styleId="60">
    <w:name w:val="通用标题6"/>
    <w:basedOn w:val="1"/>
    <w:qFormat/>
    <w:uiPriority w:val="0"/>
    <w:pPr>
      <w:widowControl/>
      <w:numPr>
        <w:ilvl w:val="4"/>
        <w:numId w:val="7"/>
      </w:numPr>
      <w:tabs>
        <w:tab w:val="left" w:pos="993"/>
      </w:tabs>
      <w:spacing w:after="120" w:line="360" w:lineRule="auto"/>
    </w:pPr>
    <w:rPr>
      <w:rFonts w:ascii="宋体" w:hAnsi="宋体"/>
      <w:sz w:val="24"/>
    </w:rPr>
  </w:style>
  <w:style w:type="paragraph" w:customStyle="1" w:styleId="61">
    <w:name w:val="专用标题2"/>
    <w:basedOn w:val="4"/>
    <w:next w:val="1"/>
    <w:qFormat/>
    <w:uiPriority w:val="0"/>
    <w:pPr>
      <w:keepNext w:val="0"/>
      <w:keepLines w:val="0"/>
      <w:widowControl/>
      <w:tabs>
        <w:tab w:val="left" w:pos="993"/>
      </w:tabs>
      <w:spacing w:after="120" w:line="360" w:lineRule="auto"/>
    </w:pPr>
    <w:rPr>
      <w:rFonts w:ascii="宋体" w:hAnsi="宋体" w:eastAsia="宋体" w:cs="Times"/>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1"/>
    <customShpInfo spid="_x0000_s2052"/>
    <customShpInfo spid="_x0000_s2055"/>
    <customShpInfo spid="_x0000_s2054"/>
    <customShpInfo spid="_x0000_s2053"/>
    <customShpInfo spid="_x0000_s2056"/>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513</Words>
  <Characters>568</Characters>
  <Lines>1513</Lines>
  <Paragraphs>1566</Paragraphs>
  <TotalTime>0</TotalTime>
  <ScaleCrop>false</ScaleCrop>
  <LinksUpToDate>false</LinksUpToDate>
  <CharactersWithSpaces>655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2025-05-09T19:40:00Z</dcterms:created>
  <dc:creator>Aist</dc:creator>
  <cp:lastModifiedBy>二二得四</cp:lastModifiedBy>
  <cp:lastPrinted>2025-04-27T14:13:00Z</cp:lastPrinted>
  <dcterms:modified xsi:type="dcterms:W3CDTF">2025-05-26T00:55:12Z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EB30FD244A6E425F8E7C85FE144266E0_13</vt:lpwstr>
  </property>
  <property fmtid="{D5CDD505-2E9C-101B-9397-08002B2CF9AE}" pid="4" name="KSOTemplateDocerSaveRecord">
    <vt:lpwstr>eyJoZGlkIjoiOWMxZGQ2NTNlMTg3MTZiNTQ0ZGVmYzJkNWRmZjlhN2MiLCJ1c2VySWQiOiI3MjgzMDI5NDkifQ==</vt:lpwstr>
  </property>
</Properties>
</file>