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F59AA2">
      <w:pPr>
        <w:jc w:val="center"/>
        <w:rPr>
          <w:rFonts w:ascii="Times New Roman" w:hAnsi="Times New Roman" w:eastAsia="等线" w:cs="Times New Roman"/>
          <w:sz w:val="36"/>
        </w:rPr>
      </w:pPr>
      <w:bookmarkStart w:id="0" w:name="_Toc120614210"/>
      <w:bookmarkStart w:id="1" w:name="_Toc479757206"/>
      <w:bookmarkStart w:id="2" w:name="_Toc523127445"/>
      <w:bookmarkStart w:id="3" w:name="_Toc20823272"/>
      <w:bookmarkStart w:id="4" w:name="_Toc16938516"/>
      <w:bookmarkStart w:id="5" w:name="_Toc513029200"/>
    </w:p>
    <w:p w14:paraId="6428300B">
      <w:pPr>
        <w:pStyle w:val="248"/>
        <w:rPr>
          <w:rFonts w:ascii="Times New Roman" w:hAnsi="Times New Roman" w:cs="Times New Roman"/>
        </w:rPr>
      </w:pPr>
    </w:p>
    <w:p w14:paraId="51CA12A2">
      <w:pPr>
        <w:jc w:val="both"/>
        <w:rPr>
          <w:rFonts w:ascii="Times New Roman" w:hAnsi="Times New Roman" w:eastAsia="等线" w:cs="Times New Roman"/>
          <w:sz w:val="36"/>
          <w:lang w:val="en-US" w:eastAsia="zh-CN"/>
        </w:rPr>
      </w:pPr>
    </w:p>
    <w:p w14:paraId="536A9E88">
      <w:pPr>
        <w:pStyle w:val="45"/>
        <w:rPr>
          <w:rFonts w:ascii="Times New Roman" w:hAnsi="Times New Roman" w:eastAsia="等线" w:cs="Times New Roman"/>
          <w:sz w:val="36"/>
          <w:lang w:val="en-US" w:eastAsia="zh-CN"/>
        </w:rPr>
      </w:pPr>
    </w:p>
    <w:p w14:paraId="163AB8B6">
      <w:pPr>
        <w:rPr>
          <w:lang w:val="en-US" w:eastAsia="zh-CN"/>
        </w:rPr>
      </w:pPr>
    </w:p>
    <w:p w14:paraId="1DF9EFA2">
      <w:pPr>
        <w:jc w:val="center"/>
        <w:rPr>
          <w:rFonts w:ascii="Times New Roman" w:hAnsi="Times New Roman" w:eastAsia="方正小标宋_GBK" w:cs="Times New Roman"/>
          <w:bCs/>
          <w:sz w:val="72"/>
          <w:szCs w:val="72"/>
        </w:rPr>
      </w:pPr>
      <w:r>
        <w:rPr>
          <w:rFonts w:ascii="Times New Roman" w:hAnsi="Times New Roman" w:eastAsia="方正小标宋_GBK" w:cs="Times New Roman"/>
          <w:bCs/>
          <w:sz w:val="72"/>
          <w:szCs w:val="72"/>
        </w:rPr>
        <w:t>滨海县政府采购招标文件</w:t>
      </w:r>
    </w:p>
    <w:p w14:paraId="0DC9B02E">
      <w:pPr>
        <w:rPr>
          <w:rFonts w:ascii="Times New Roman" w:hAnsi="Times New Roman" w:eastAsia="等线" w:cs="Times New Roman"/>
          <w:b/>
          <w:sz w:val="32"/>
        </w:rPr>
      </w:pPr>
    </w:p>
    <w:p w14:paraId="477D8EDD">
      <w:pPr>
        <w:jc w:val="center"/>
        <w:rPr>
          <w:rFonts w:ascii="Times New Roman" w:hAnsi="Times New Roman" w:eastAsia="等线" w:cs="Times New Roman"/>
          <w:b/>
          <w:sz w:val="32"/>
        </w:rPr>
      </w:pPr>
    </w:p>
    <w:p w14:paraId="4795E2F4">
      <w:pPr>
        <w:jc w:val="center"/>
        <w:rPr>
          <w:rFonts w:ascii="Times New Roman" w:hAnsi="Times New Roman" w:eastAsia="等线" w:cs="Times New Roman"/>
          <w:b/>
          <w:sz w:val="32"/>
        </w:rPr>
      </w:pPr>
    </w:p>
    <w:p w14:paraId="1B689FC9">
      <w:pPr>
        <w:jc w:val="left"/>
        <w:rPr>
          <w:rFonts w:ascii="Times New Roman" w:hAnsi="Times New Roman" w:eastAsia="宋体" w:cs="Times New Roman"/>
          <w:b/>
          <w:sz w:val="32"/>
          <w:szCs w:val="20"/>
        </w:rPr>
      </w:pPr>
    </w:p>
    <w:p w14:paraId="3E0A94D4">
      <w:pPr>
        <w:jc w:val="left"/>
        <w:rPr>
          <w:rFonts w:ascii="Times New Roman" w:hAnsi="Times New Roman" w:eastAsia="宋体" w:cs="Times New Roman"/>
          <w:b/>
          <w:sz w:val="32"/>
          <w:szCs w:val="20"/>
        </w:rPr>
      </w:pPr>
    </w:p>
    <w:p w14:paraId="1D1035A2">
      <w:pPr>
        <w:pStyle w:val="248"/>
        <w:rPr>
          <w:rFonts w:ascii="Times New Roman" w:hAnsi="Times New Roman" w:cs="Times New Roman"/>
        </w:rPr>
      </w:pPr>
    </w:p>
    <w:p w14:paraId="44A3BE19">
      <w:pPr>
        <w:jc w:val="left"/>
        <w:rPr>
          <w:rFonts w:ascii="Times New Roman" w:hAnsi="Times New Roman" w:eastAsia="宋体" w:cs="Times New Roman"/>
          <w:b/>
          <w:sz w:val="32"/>
          <w:szCs w:val="20"/>
        </w:rPr>
      </w:pPr>
    </w:p>
    <w:p w14:paraId="0E2AF88B">
      <w:pPr>
        <w:jc w:val="left"/>
        <w:rPr>
          <w:rFonts w:ascii="Times New Roman" w:hAnsi="Times New Roman" w:eastAsia="宋体" w:cs="Times New Roman"/>
          <w:b/>
          <w:sz w:val="32"/>
          <w:szCs w:val="20"/>
        </w:rPr>
      </w:pPr>
    </w:p>
    <w:p w14:paraId="697F5892">
      <w:pPr>
        <w:rPr>
          <w:rFonts w:hint="eastAsia" w:ascii="宋体" w:hAnsi="宋体" w:eastAsia="宋体" w:cs="宋体"/>
          <w:b/>
          <w:color w:val="auto"/>
          <w:sz w:val="32"/>
          <w:szCs w:val="32"/>
          <w:lang w:val="en-US" w:eastAsia="zh-CN"/>
        </w:rPr>
      </w:pPr>
    </w:p>
    <w:p w14:paraId="54B87CD8">
      <w:pPr>
        <w:rPr>
          <w:rFonts w:hint="eastAsia" w:ascii="宋体" w:hAnsi="宋体" w:eastAsia="宋体" w:cs="宋体"/>
          <w:b/>
          <w:color w:val="auto"/>
          <w:sz w:val="32"/>
          <w:szCs w:val="32"/>
          <w:lang w:val="en-US" w:eastAsia="zh-CN"/>
        </w:rPr>
      </w:pPr>
    </w:p>
    <w:p w14:paraId="19301F2C">
      <w:pPr>
        <w:rPr>
          <w:rFonts w:hint="eastAsia" w:ascii="宋体" w:hAnsi="宋体" w:eastAsia="宋体" w:cs="宋体"/>
          <w:b/>
          <w:color w:val="auto"/>
          <w:sz w:val="32"/>
          <w:szCs w:val="32"/>
          <w:lang w:val="en-US" w:eastAsia="zh-CN"/>
        </w:rPr>
      </w:pPr>
    </w:p>
    <w:p w14:paraId="6FBA8697">
      <w:pPr>
        <w:rPr>
          <w:rFonts w:hint="eastAsia" w:ascii="宋体" w:hAnsi="宋体" w:eastAsia="宋体" w:cs="宋体"/>
          <w:b/>
          <w:color w:val="auto"/>
          <w:sz w:val="32"/>
          <w:szCs w:val="32"/>
          <w:lang w:val="en-US" w:eastAsia="zh-CN"/>
        </w:rPr>
      </w:pPr>
    </w:p>
    <w:p w14:paraId="5BF75A21">
      <w:pPr>
        <w:rPr>
          <w:rFonts w:hint="eastAsia" w:ascii="宋体" w:hAnsi="宋体" w:eastAsia="宋体" w:cs="宋体"/>
          <w:b/>
          <w:color w:val="auto"/>
          <w:sz w:val="32"/>
          <w:szCs w:val="32"/>
          <w:lang w:val="en-US" w:eastAsia="zh-CN"/>
        </w:rPr>
      </w:pPr>
    </w:p>
    <w:p w14:paraId="6065A8CA">
      <w:pPr>
        <w:rPr>
          <w:rFonts w:hint="eastAsia" w:ascii="宋体" w:hAnsi="宋体" w:eastAsia="宋体" w:cs="宋体"/>
          <w:b/>
          <w:color w:val="auto"/>
          <w:sz w:val="32"/>
          <w:szCs w:val="32"/>
          <w:lang w:val="en-US" w:eastAsia="zh-CN"/>
        </w:rPr>
      </w:pPr>
    </w:p>
    <w:p w14:paraId="5256D097">
      <w:pPr>
        <w:rPr>
          <w:rFonts w:hint="eastAsia" w:ascii="宋体" w:hAnsi="宋体" w:eastAsia="宋体" w:cs="宋体"/>
          <w:b/>
          <w:color w:val="auto"/>
          <w:sz w:val="28"/>
          <w:szCs w:val="28"/>
        </w:rPr>
      </w:pPr>
      <w:r>
        <w:rPr>
          <w:rFonts w:hint="eastAsia" w:ascii="宋体" w:hAnsi="宋体" w:eastAsia="宋体" w:cs="宋体"/>
          <w:b/>
          <w:color w:val="auto"/>
          <w:sz w:val="28"/>
          <w:szCs w:val="28"/>
          <w:lang w:val="en-US" w:eastAsia="zh-CN"/>
        </w:rPr>
        <w:t>采购</w:t>
      </w:r>
      <w:r>
        <w:rPr>
          <w:rFonts w:hint="eastAsia" w:ascii="宋体" w:hAnsi="宋体" w:eastAsia="宋体" w:cs="宋体"/>
          <w:b/>
          <w:color w:val="auto"/>
          <w:sz w:val="28"/>
          <w:szCs w:val="28"/>
        </w:rPr>
        <w:t>项目编号：</w:t>
      </w:r>
      <w:r>
        <w:rPr>
          <w:rFonts w:hint="eastAsia" w:ascii="宋体" w:hAnsi="宋体" w:cs="宋体"/>
          <w:b/>
          <w:color w:val="auto"/>
          <w:sz w:val="28"/>
          <w:szCs w:val="28"/>
          <w:lang w:eastAsia="zh-CN"/>
        </w:rPr>
        <w:t>JSZC-320922-JSJS-G2024-0009</w:t>
      </w:r>
    </w:p>
    <w:p w14:paraId="6B6FA825">
      <w:pPr>
        <w:rPr>
          <w:rFonts w:hint="eastAsia" w:ascii="宋体" w:hAnsi="宋体" w:eastAsia="宋体" w:cs="宋体"/>
          <w:b/>
          <w:color w:val="auto"/>
          <w:sz w:val="28"/>
          <w:szCs w:val="28"/>
          <w:lang w:val="en-US" w:eastAsia="zh-CN"/>
        </w:rPr>
      </w:pPr>
    </w:p>
    <w:p w14:paraId="0BAF7072">
      <w:pPr>
        <w:rPr>
          <w:rFonts w:hint="eastAsia" w:ascii="宋体" w:hAnsi="宋体" w:eastAsia="宋体" w:cs="宋体"/>
          <w:b/>
          <w:color w:val="auto"/>
          <w:sz w:val="28"/>
          <w:szCs w:val="28"/>
        </w:rPr>
      </w:pPr>
      <w:r>
        <w:rPr>
          <w:rFonts w:hint="eastAsia" w:ascii="宋体" w:hAnsi="宋体" w:eastAsia="宋体" w:cs="宋体"/>
          <w:b/>
          <w:color w:val="auto"/>
          <w:sz w:val="28"/>
          <w:szCs w:val="28"/>
          <w:lang w:val="en-US" w:eastAsia="zh-CN"/>
        </w:rPr>
        <w:t>采购</w:t>
      </w:r>
      <w:r>
        <w:rPr>
          <w:rFonts w:hint="eastAsia" w:ascii="宋体" w:hAnsi="宋体" w:eastAsia="宋体" w:cs="宋体"/>
          <w:b/>
          <w:color w:val="auto"/>
          <w:sz w:val="28"/>
          <w:szCs w:val="28"/>
        </w:rPr>
        <w:t>项目名称：</w:t>
      </w:r>
      <w:r>
        <w:rPr>
          <w:rFonts w:hint="eastAsia" w:ascii="宋体" w:hAnsi="宋体" w:cs="宋体"/>
          <w:b/>
          <w:color w:val="auto"/>
          <w:sz w:val="28"/>
          <w:szCs w:val="28"/>
          <w:lang w:eastAsia="zh-CN"/>
        </w:rPr>
        <w:t>滨海县界牌镇村庄规划编制项目</w:t>
      </w:r>
    </w:p>
    <w:p w14:paraId="68833296">
      <w:pPr>
        <w:rPr>
          <w:rFonts w:hint="eastAsia" w:ascii="宋体" w:hAnsi="宋体" w:eastAsia="宋体" w:cs="宋体"/>
          <w:b/>
          <w:color w:val="auto"/>
          <w:sz w:val="28"/>
          <w:szCs w:val="28"/>
        </w:rPr>
      </w:pPr>
    </w:p>
    <w:p w14:paraId="0C3CE7F7">
      <w:pPr>
        <w:rPr>
          <w:rFonts w:hint="eastAsia" w:ascii="宋体" w:hAnsi="宋体" w:eastAsia="宋体" w:cs="宋体"/>
          <w:b/>
          <w:color w:val="auto"/>
          <w:sz w:val="28"/>
          <w:szCs w:val="28"/>
          <w:lang w:eastAsia="zh-CN"/>
        </w:rPr>
      </w:pPr>
      <w:r>
        <w:rPr>
          <w:rFonts w:hint="eastAsia" w:ascii="宋体" w:hAnsi="宋体" w:eastAsia="宋体" w:cs="宋体"/>
          <w:b/>
          <w:color w:val="auto"/>
          <w:sz w:val="28"/>
          <w:szCs w:val="28"/>
        </w:rPr>
        <w:t>采购</w:t>
      </w:r>
      <w:r>
        <w:rPr>
          <w:rFonts w:hint="eastAsia" w:ascii="宋体" w:hAnsi="宋体" w:eastAsia="宋体" w:cs="宋体"/>
          <w:b/>
          <w:color w:val="auto"/>
          <w:sz w:val="28"/>
          <w:szCs w:val="28"/>
          <w:lang w:val="en-US" w:eastAsia="zh-CN"/>
        </w:rPr>
        <w:t>人</w:t>
      </w:r>
      <w:r>
        <w:rPr>
          <w:rFonts w:hint="eastAsia" w:ascii="宋体" w:hAnsi="宋体" w:eastAsia="宋体" w:cs="宋体"/>
          <w:b/>
          <w:color w:val="auto"/>
          <w:sz w:val="28"/>
          <w:szCs w:val="28"/>
        </w:rPr>
        <w:t>：</w:t>
      </w:r>
      <w:r>
        <w:rPr>
          <w:rFonts w:hint="eastAsia" w:ascii="宋体" w:hAnsi="宋体" w:cs="宋体"/>
          <w:b/>
          <w:color w:val="auto"/>
          <w:sz w:val="28"/>
          <w:szCs w:val="28"/>
          <w:lang w:eastAsia="zh-CN"/>
        </w:rPr>
        <w:t>滨海县界牌镇人民政府</w:t>
      </w:r>
      <w:r>
        <w:rPr>
          <w:rFonts w:hint="eastAsia" w:ascii="宋体" w:hAnsi="宋体" w:eastAsia="宋体" w:cs="宋体"/>
          <w:b/>
          <w:color w:val="auto"/>
          <w:sz w:val="28"/>
          <w:szCs w:val="28"/>
          <w:lang w:eastAsia="zh-CN"/>
        </w:rPr>
        <w:t xml:space="preserve"> </w:t>
      </w:r>
    </w:p>
    <w:p w14:paraId="57083583">
      <w:pPr>
        <w:rPr>
          <w:rFonts w:hint="eastAsia" w:eastAsia="等线" w:cs="Times New Roman"/>
          <w:b/>
          <w:color w:val="auto"/>
          <w:sz w:val="28"/>
          <w:szCs w:val="20"/>
          <w:lang w:val="en-US" w:eastAsia="zh-CN"/>
        </w:rPr>
      </w:pPr>
    </w:p>
    <w:p w14:paraId="68829B34">
      <w:pPr>
        <w:rPr>
          <w:rFonts w:hint="default" w:ascii="宋体" w:hAnsi="宋体" w:cs="宋体"/>
          <w:b/>
          <w:color w:val="auto"/>
          <w:sz w:val="28"/>
          <w:szCs w:val="28"/>
          <w:lang w:val="en-US" w:eastAsia="zh-CN"/>
        </w:rPr>
      </w:pPr>
      <w:r>
        <w:rPr>
          <w:rFonts w:hint="eastAsia" w:ascii="宋体" w:hAnsi="宋体" w:cs="宋体"/>
          <w:b/>
          <w:color w:val="auto"/>
          <w:sz w:val="28"/>
          <w:szCs w:val="28"/>
          <w:lang w:val="en-US" w:eastAsia="zh-CN"/>
        </w:rPr>
        <w:t>采购代理机构：江苏建世工程咨询有限公司</w:t>
      </w:r>
    </w:p>
    <w:p w14:paraId="6622CC9A">
      <w:pPr>
        <w:rPr>
          <w:rFonts w:ascii="Times New Roman" w:hAnsi="Times New Roman" w:eastAsia="等线" w:cs="Times New Roman"/>
          <w:b/>
          <w:color w:val="auto"/>
          <w:sz w:val="28"/>
          <w:szCs w:val="20"/>
        </w:rPr>
      </w:pPr>
    </w:p>
    <w:p w14:paraId="442933C6">
      <w:pPr>
        <w:jc w:val="center"/>
        <w:rPr>
          <w:rFonts w:ascii="Times New Roman" w:hAnsi="Times New Roman" w:eastAsia="宋体" w:cs="Times New Roman"/>
          <w:b/>
          <w:color w:val="auto"/>
          <w:sz w:val="32"/>
          <w:szCs w:val="32"/>
        </w:rPr>
      </w:pPr>
      <w:r>
        <w:rPr>
          <w:rFonts w:ascii="Times New Roman" w:hAnsi="Times New Roman" w:eastAsia="宋体" w:cs="Times New Roman"/>
          <w:b/>
          <w:color w:val="auto"/>
          <w:sz w:val="32"/>
          <w:szCs w:val="32"/>
        </w:rPr>
        <w:t>202</w:t>
      </w:r>
      <w:r>
        <w:rPr>
          <w:rFonts w:ascii="Times New Roman" w:hAnsi="Times New Roman" w:eastAsia="宋体" w:cs="Times New Roman"/>
          <w:b/>
          <w:color w:val="auto"/>
          <w:sz w:val="32"/>
          <w:szCs w:val="32"/>
          <w:lang w:val="en-US" w:eastAsia="zh-CN"/>
        </w:rPr>
        <w:t>4</w:t>
      </w:r>
      <w:r>
        <w:rPr>
          <w:rFonts w:ascii="Times New Roman" w:hAnsi="Times New Roman" w:eastAsia="宋体" w:cs="Times New Roman"/>
          <w:b/>
          <w:color w:val="auto"/>
          <w:sz w:val="32"/>
          <w:szCs w:val="32"/>
        </w:rPr>
        <w:t>年</w:t>
      </w:r>
      <w:r>
        <w:rPr>
          <w:rFonts w:hint="eastAsia" w:cs="Times New Roman"/>
          <w:b/>
          <w:color w:val="auto"/>
          <w:sz w:val="32"/>
          <w:szCs w:val="32"/>
          <w:lang w:val="en-US" w:eastAsia="zh-CN"/>
        </w:rPr>
        <w:t>11</w:t>
      </w:r>
      <w:r>
        <w:rPr>
          <w:rFonts w:ascii="Times New Roman" w:hAnsi="Times New Roman" w:eastAsia="宋体" w:cs="Times New Roman"/>
          <w:b/>
          <w:color w:val="auto"/>
          <w:sz w:val="32"/>
          <w:szCs w:val="32"/>
        </w:rPr>
        <w:t>月</w:t>
      </w:r>
    </w:p>
    <w:p w14:paraId="5798AB1D">
      <w:pPr>
        <w:spacing w:line="480" w:lineRule="auto"/>
        <w:jc w:val="center"/>
        <w:outlineLvl w:val="0"/>
        <w:rPr>
          <w:rFonts w:ascii="Times New Roman" w:hAnsi="Times New Roman" w:eastAsia="黑体" w:cs="Times New Roman"/>
          <w:b/>
          <w:sz w:val="44"/>
        </w:rPr>
      </w:pPr>
      <w:r>
        <w:rPr>
          <w:rFonts w:ascii="Times New Roman" w:hAnsi="Times New Roman" w:eastAsia="黑体" w:cs="Times New Roman"/>
          <w:b/>
          <w:sz w:val="44"/>
        </w:rPr>
        <w:br w:type="page" w:clear="all"/>
      </w:r>
    </w:p>
    <w:p w14:paraId="7A5BBE7E">
      <w:pPr>
        <w:rPr>
          <w:rFonts w:ascii="Times New Roman" w:hAnsi="Times New Roman" w:eastAsia="黑体" w:cs="Times New Roman"/>
          <w:b/>
          <w:sz w:val="44"/>
        </w:rPr>
      </w:pPr>
    </w:p>
    <w:p w14:paraId="10A01DD8">
      <w:pPr>
        <w:spacing w:line="480" w:lineRule="auto"/>
        <w:jc w:val="center"/>
        <w:outlineLvl w:val="0"/>
        <w:rPr>
          <w:rFonts w:ascii="Times New Roman" w:hAnsi="Times New Roman" w:eastAsia="黑体" w:cs="Times New Roman"/>
          <w:b/>
          <w:sz w:val="44"/>
        </w:rPr>
      </w:pPr>
      <w:r>
        <w:rPr>
          <w:rFonts w:ascii="Times New Roman" w:hAnsi="Times New Roman" w:eastAsia="黑体" w:cs="Times New Roman"/>
          <w:b/>
          <w:sz w:val="44"/>
        </w:rPr>
        <w:t>总  目  录</w:t>
      </w:r>
    </w:p>
    <w:p w14:paraId="3978D998">
      <w:pPr>
        <w:spacing w:line="480" w:lineRule="auto"/>
        <w:rPr>
          <w:rFonts w:ascii="Times New Roman" w:hAnsi="Times New Roman" w:eastAsia="仿宋_GB2312" w:cs="Times New Roman"/>
          <w:b/>
          <w:sz w:val="28"/>
        </w:rPr>
      </w:pPr>
    </w:p>
    <w:p w14:paraId="0BEB981E">
      <w:pPr>
        <w:numPr>
          <w:ilvl w:val="0"/>
          <w:numId w:val="4"/>
        </w:numPr>
        <w:spacing w:line="960" w:lineRule="auto"/>
        <w:outlineLvl w:val="0"/>
        <w:rPr>
          <w:rFonts w:ascii="Times New Roman" w:hAnsi="Times New Roman" w:eastAsia="黑体" w:cs="Times New Roman"/>
          <w:sz w:val="32"/>
        </w:rPr>
      </w:pPr>
      <w:r>
        <w:rPr>
          <w:rFonts w:ascii="Times New Roman" w:hAnsi="Times New Roman" w:eastAsia="黑体" w:cs="Times New Roman"/>
          <w:sz w:val="36"/>
        </w:rPr>
        <w:t>招标公告</w:t>
      </w:r>
    </w:p>
    <w:p w14:paraId="21A06CC9">
      <w:pPr>
        <w:numPr>
          <w:ilvl w:val="0"/>
          <w:numId w:val="4"/>
        </w:numPr>
        <w:spacing w:line="960" w:lineRule="auto"/>
        <w:outlineLvl w:val="0"/>
        <w:rPr>
          <w:rFonts w:ascii="Times New Roman" w:hAnsi="Times New Roman" w:eastAsia="黑体" w:cs="Times New Roman"/>
          <w:sz w:val="36"/>
        </w:rPr>
      </w:pPr>
      <w:r>
        <w:rPr>
          <w:rFonts w:ascii="Times New Roman" w:hAnsi="Times New Roman" w:eastAsia="黑体" w:cs="Times New Roman"/>
          <w:bCs/>
          <w:sz w:val="36"/>
          <w:szCs w:val="36"/>
        </w:rPr>
        <w:t>投标人须知</w:t>
      </w:r>
    </w:p>
    <w:p w14:paraId="54C2B42C">
      <w:pPr>
        <w:numPr>
          <w:ilvl w:val="0"/>
          <w:numId w:val="4"/>
        </w:numPr>
        <w:spacing w:line="960" w:lineRule="auto"/>
        <w:outlineLvl w:val="0"/>
        <w:rPr>
          <w:rFonts w:ascii="Times New Roman" w:hAnsi="Times New Roman" w:eastAsia="黑体" w:cs="Times New Roman"/>
          <w:sz w:val="36"/>
        </w:rPr>
      </w:pPr>
      <w:r>
        <w:rPr>
          <w:rFonts w:ascii="Times New Roman" w:hAnsi="Times New Roman" w:eastAsia="黑体" w:cs="Times New Roman"/>
          <w:sz w:val="36"/>
        </w:rPr>
        <w:t>合同条款及格式</w:t>
      </w:r>
    </w:p>
    <w:p w14:paraId="245031FD">
      <w:pPr>
        <w:numPr>
          <w:ilvl w:val="0"/>
          <w:numId w:val="4"/>
        </w:numPr>
        <w:spacing w:line="960" w:lineRule="auto"/>
        <w:outlineLvl w:val="0"/>
        <w:rPr>
          <w:rFonts w:ascii="Times New Roman" w:hAnsi="Times New Roman" w:eastAsia="黑体" w:cs="Times New Roman"/>
          <w:sz w:val="36"/>
        </w:rPr>
      </w:pPr>
      <w:r>
        <w:rPr>
          <w:rFonts w:ascii="Times New Roman" w:hAnsi="Times New Roman" w:eastAsia="黑体" w:cs="Times New Roman"/>
          <w:sz w:val="36"/>
        </w:rPr>
        <w:t>项目需求</w:t>
      </w:r>
    </w:p>
    <w:p w14:paraId="00BC3996">
      <w:pPr>
        <w:numPr>
          <w:ilvl w:val="0"/>
          <w:numId w:val="4"/>
        </w:numPr>
        <w:spacing w:line="960" w:lineRule="auto"/>
        <w:outlineLvl w:val="0"/>
        <w:rPr>
          <w:rFonts w:ascii="Times New Roman" w:hAnsi="Times New Roman" w:eastAsia="黑体" w:cs="Times New Roman"/>
          <w:sz w:val="36"/>
        </w:rPr>
      </w:pPr>
      <w:r>
        <w:rPr>
          <w:rFonts w:ascii="Times New Roman" w:hAnsi="Times New Roman" w:eastAsia="黑体" w:cs="Times New Roman"/>
          <w:bCs/>
          <w:sz w:val="36"/>
          <w:szCs w:val="36"/>
        </w:rPr>
        <w:t>评标方法与评标标准</w:t>
      </w:r>
    </w:p>
    <w:p w14:paraId="06FB9F12">
      <w:pPr>
        <w:numPr>
          <w:ilvl w:val="0"/>
          <w:numId w:val="4"/>
        </w:numPr>
        <w:spacing w:line="960" w:lineRule="auto"/>
        <w:outlineLvl w:val="0"/>
        <w:rPr>
          <w:rFonts w:ascii="Times New Roman" w:hAnsi="Times New Roman" w:eastAsia="黑体" w:cs="Times New Roman"/>
          <w:sz w:val="36"/>
        </w:rPr>
      </w:pPr>
      <w:r>
        <w:rPr>
          <w:rFonts w:ascii="Times New Roman" w:hAnsi="Times New Roman" w:eastAsia="黑体" w:cs="Times New Roman"/>
          <w:sz w:val="36"/>
        </w:rPr>
        <w:t>投标文件格式</w:t>
      </w:r>
    </w:p>
    <w:p w14:paraId="198B658B">
      <w:pPr>
        <w:rPr>
          <w:rFonts w:ascii="Times New Roman" w:hAnsi="Times New Roman" w:cs="Times New Roman"/>
        </w:rPr>
        <w:sectPr>
          <w:pgSz w:w="11906" w:h="16838"/>
          <w:pgMar w:top="1440" w:right="1800" w:bottom="1440" w:left="1800" w:header="851" w:footer="992" w:gutter="0"/>
          <w:pgBorders>
            <w:top w:val="none" w:sz="0" w:space="0"/>
            <w:left w:val="none" w:sz="0" w:space="0"/>
            <w:bottom w:val="none" w:sz="0" w:space="0"/>
            <w:right w:val="none" w:sz="0" w:space="0"/>
          </w:pgBorders>
          <w:pgNumType w:start="1"/>
          <w:cols w:space="1701" w:num="1"/>
          <w:docGrid w:linePitch="360" w:charSpace="0"/>
        </w:sectPr>
      </w:pPr>
    </w:p>
    <w:p w14:paraId="6A928EC0">
      <w:pPr>
        <w:pStyle w:val="194"/>
        <w:rPr>
          <w:rFonts w:ascii="Times New Roman" w:hAnsi="Times New Roman" w:eastAsia="宋体" w:cs="Times New Roman"/>
          <w:sz w:val="24"/>
          <w:szCs w:val="24"/>
        </w:rPr>
      </w:pPr>
      <w:r>
        <w:rPr>
          <w:rFonts w:ascii="Times New Roman" w:hAnsi="Times New Roman" w:eastAsia="黑体" w:cs="Times New Roman"/>
          <w:sz w:val="44"/>
          <w:szCs w:val="44"/>
        </w:rPr>
        <w:t xml:space="preserve">第一章  </w:t>
      </w:r>
      <w:bookmarkEnd w:id="0"/>
      <w:r>
        <w:rPr>
          <w:rFonts w:ascii="Times New Roman" w:hAnsi="Times New Roman" w:eastAsia="黑体" w:cs="Times New Roman"/>
          <w:sz w:val="44"/>
          <w:szCs w:val="44"/>
        </w:rPr>
        <w:t>招标公告</w:t>
      </w:r>
    </w:p>
    <w:p w14:paraId="5AB2088A">
      <w:pPr>
        <w:keepNext w:val="0"/>
        <w:keepLines w:val="0"/>
        <w:pageBreakBefore w:val="0"/>
        <w:widowControl w:val="0"/>
        <w:pBdr>
          <w:top w:val="single" w:color="000000" w:sz="4" w:space="1"/>
          <w:left w:val="single" w:color="000000" w:sz="4" w:space="4"/>
          <w:bottom w:val="single" w:color="000000" w:sz="4" w:space="1"/>
          <w:right w:val="single" w:color="000000" w:sz="4" w:space="4"/>
        </w:pBdr>
        <w:spacing w:line="520" w:lineRule="exact"/>
        <w:rPr>
          <w:rFonts w:hint="default" w:ascii="Times New Roman" w:hAnsi="Times New Roman" w:eastAsia="宋体" w:cs="Times New Roman"/>
          <w:color w:val="000000"/>
          <w:sz w:val="21"/>
          <w:szCs w:val="21"/>
          <w:highlight w:val="none"/>
        </w:rPr>
      </w:pPr>
      <w:bookmarkStart w:id="6" w:name="_Toc28359002"/>
      <w:bookmarkStart w:id="7" w:name="_Toc28359079"/>
      <w:bookmarkStart w:id="8" w:name="_Hlk24379207"/>
      <w:bookmarkStart w:id="9" w:name="_Toc35393790"/>
      <w:bookmarkStart w:id="10" w:name="_Toc35393621"/>
      <w:r>
        <w:rPr>
          <w:rFonts w:hint="default" w:ascii="Times New Roman" w:hAnsi="Times New Roman" w:eastAsia="宋体" w:cs="Times New Roman"/>
          <w:color w:val="000000"/>
          <w:sz w:val="21"/>
          <w:szCs w:val="21"/>
          <w:highlight w:val="none"/>
        </w:rPr>
        <w:t>项目概况</w:t>
      </w:r>
    </w:p>
    <w:p w14:paraId="19D5CC5E">
      <w:pPr>
        <w:keepNext w:val="0"/>
        <w:keepLines w:val="0"/>
        <w:pageBreakBefore w:val="0"/>
        <w:widowControl w:val="0"/>
        <w:pBdr>
          <w:top w:val="single" w:color="000000" w:sz="4" w:space="1"/>
          <w:left w:val="single" w:color="000000" w:sz="4" w:space="4"/>
          <w:bottom w:val="single" w:color="000000" w:sz="4" w:space="1"/>
          <w:right w:val="single" w:color="000000" w:sz="4" w:space="4"/>
        </w:pBdr>
        <w:kinsoku/>
        <w:wordWrap w:val="0"/>
        <w:overflowPunct/>
        <w:topLinePunct w:val="0"/>
        <w:autoSpaceDE/>
        <w:autoSpaceDN/>
        <w:bidi w:val="0"/>
        <w:adjustRightInd w:val="0"/>
        <w:snapToGrid w:val="0"/>
        <w:spacing w:line="520" w:lineRule="exact"/>
        <w:ind w:firstLine="482"/>
        <w:textAlignment w:val="auto"/>
        <w:rPr>
          <w:rFonts w:hint="default" w:ascii="Times New Roman" w:hAnsi="Times New Roman" w:eastAsia="宋体" w:cs="Times New Roman"/>
          <w:color w:val="auto"/>
          <w:sz w:val="21"/>
          <w:szCs w:val="21"/>
          <w:highlight w:val="none"/>
        </w:rPr>
      </w:pPr>
      <w:r>
        <w:rPr>
          <w:rFonts w:hint="eastAsia" w:cs="Times New Roman"/>
          <w:color w:val="auto"/>
          <w:sz w:val="21"/>
          <w:szCs w:val="21"/>
          <w:highlight w:val="none"/>
          <w:u w:val="single"/>
          <w:lang w:eastAsia="zh-CN"/>
        </w:rPr>
        <w:t>滨海县界牌镇村庄规划编制项目</w:t>
      </w:r>
      <w:r>
        <w:rPr>
          <w:rFonts w:hint="default" w:ascii="Times New Roman" w:hAnsi="Times New Roman" w:eastAsia="宋体" w:cs="Times New Roman"/>
          <w:color w:val="auto"/>
          <w:sz w:val="21"/>
          <w:szCs w:val="21"/>
          <w:highlight w:val="none"/>
        </w:rPr>
        <w:t>的潜在投标人应在</w:t>
      </w:r>
      <w:r>
        <w:rPr>
          <w:rFonts w:hint="default" w:ascii="Times New Roman" w:hAnsi="Times New Roman" w:eastAsia="宋体" w:cs="Times New Roman"/>
          <w:color w:val="auto"/>
          <w:sz w:val="21"/>
          <w:szCs w:val="21"/>
          <w:highlight w:val="none"/>
          <w:u w:val="single"/>
        </w:rPr>
        <w:t>江苏政府采购网（</w:t>
      </w:r>
      <w:r>
        <w:rPr>
          <w:rFonts w:hint="default" w:ascii="Times New Roman" w:hAnsi="Times New Roman" w:eastAsia="宋体" w:cs="Times New Roman"/>
          <w:color w:val="auto"/>
          <w:sz w:val="21"/>
          <w:szCs w:val="21"/>
          <w:highlight w:val="none"/>
          <w:u w:val="single"/>
        </w:rPr>
        <w:fldChar w:fldCharType="begin"/>
      </w:r>
      <w:r>
        <w:rPr>
          <w:rFonts w:hint="default" w:ascii="Times New Roman" w:hAnsi="Times New Roman" w:eastAsia="宋体" w:cs="Times New Roman"/>
          <w:color w:val="auto"/>
          <w:sz w:val="21"/>
          <w:szCs w:val="21"/>
          <w:highlight w:val="none"/>
          <w:u w:val="single"/>
        </w:rPr>
        <w:instrText xml:space="preserve"> HYPERLINK "http://www.ccgp-jiangsu.gov.cn/" </w:instrText>
      </w:r>
      <w:r>
        <w:rPr>
          <w:rFonts w:hint="default" w:ascii="Times New Roman" w:hAnsi="Times New Roman" w:eastAsia="宋体" w:cs="Times New Roman"/>
          <w:color w:val="auto"/>
          <w:sz w:val="21"/>
          <w:szCs w:val="21"/>
          <w:highlight w:val="none"/>
          <w:u w:val="single"/>
        </w:rPr>
        <w:fldChar w:fldCharType="separate"/>
      </w:r>
      <w:r>
        <w:rPr>
          <w:rStyle w:val="246"/>
          <w:rFonts w:hint="default" w:ascii="Times New Roman" w:hAnsi="Times New Roman" w:eastAsia="宋体" w:cs="Times New Roman"/>
          <w:color w:val="auto"/>
          <w:sz w:val="21"/>
          <w:szCs w:val="21"/>
          <w:highlight w:val="none"/>
        </w:rPr>
        <w:t>http://www.ccgp-jiangsu.gov.cn/</w:t>
      </w:r>
      <w:r>
        <w:rPr>
          <w:rFonts w:hint="default" w:ascii="Times New Roman" w:hAnsi="Times New Roman" w:eastAsia="宋体" w:cs="Times New Roman"/>
          <w:color w:val="auto"/>
          <w:sz w:val="21"/>
          <w:szCs w:val="21"/>
          <w:highlight w:val="none"/>
          <w:u w:val="single"/>
        </w:rPr>
        <w:fldChar w:fldCharType="end"/>
      </w:r>
      <w:r>
        <w:rPr>
          <w:rFonts w:hint="default" w:ascii="Times New Roman" w:hAnsi="Times New Roman" w:eastAsia="宋体" w:cs="Times New Roman"/>
          <w:color w:val="auto"/>
          <w:sz w:val="21"/>
          <w:szCs w:val="21"/>
          <w:highlight w:val="none"/>
          <w:u w:val="single"/>
        </w:rPr>
        <w:t>）、盐城市政府采购网</w:t>
      </w:r>
      <w:r>
        <w:rPr>
          <w:rFonts w:hint="default" w:ascii="Times New Roman" w:hAnsi="Times New Roman" w:eastAsia="宋体" w:cs="Times New Roman"/>
          <w:color w:val="auto"/>
          <w:sz w:val="21"/>
          <w:szCs w:val="21"/>
          <w:highlight w:val="none"/>
          <w:u w:val="single"/>
          <w:lang w:eastAsia="zh-CN"/>
        </w:rPr>
        <w:t>（</w:t>
      </w:r>
      <w:r>
        <w:rPr>
          <w:rFonts w:hint="default" w:ascii="Times New Roman" w:hAnsi="Times New Roman" w:eastAsia="宋体" w:cs="Times New Roman"/>
          <w:color w:val="auto"/>
          <w:sz w:val="21"/>
          <w:szCs w:val="21"/>
          <w:highlight w:val="none"/>
          <w:u w:val="single"/>
        </w:rPr>
        <w:fldChar w:fldCharType="begin"/>
      </w:r>
      <w:r>
        <w:rPr>
          <w:rFonts w:hint="default" w:ascii="Times New Roman" w:hAnsi="Times New Roman" w:eastAsia="宋体" w:cs="Times New Roman"/>
          <w:color w:val="auto"/>
          <w:sz w:val="21"/>
          <w:szCs w:val="21"/>
          <w:highlight w:val="none"/>
          <w:u w:val="single"/>
        </w:rPr>
        <w:instrText xml:space="preserve"> HYPERLINK "http://czj.yancheng.gov.cn/col/col2383/index.html" </w:instrText>
      </w:r>
      <w:r>
        <w:rPr>
          <w:rFonts w:hint="default" w:ascii="Times New Roman" w:hAnsi="Times New Roman" w:eastAsia="宋体" w:cs="Times New Roman"/>
          <w:color w:val="auto"/>
          <w:sz w:val="21"/>
          <w:szCs w:val="21"/>
          <w:highlight w:val="none"/>
          <w:u w:val="single"/>
        </w:rPr>
        <w:fldChar w:fldCharType="separate"/>
      </w:r>
      <w:r>
        <w:rPr>
          <w:rStyle w:val="246"/>
          <w:rFonts w:hint="default" w:ascii="Times New Roman" w:hAnsi="Times New Roman" w:eastAsia="宋体" w:cs="Times New Roman"/>
          <w:color w:val="auto"/>
          <w:sz w:val="21"/>
          <w:szCs w:val="21"/>
          <w:highlight w:val="none"/>
        </w:rPr>
        <w:t>http://czj.yancheng.gov.cn/col/col2383/index.html</w:t>
      </w:r>
      <w:r>
        <w:rPr>
          <w:rFonts w:hint="default" w:ascii="Times New Roman" w:hAnsi="Times New Roman" w:eastAsia="宋体" w:cs="Times New Roman"/>
          <w:color w:val="auto"/>
          <w:sz w:val="21"/>
          <w:szCs w:val="21"/>
          <w:highlight w:val="none"/>
          <w:u w:val="single"/>
        </w:rPr>
        <w:fldChar w:fldCharType="end"/>
      </w:r>
      <w:r>
        <w:rPr>
          <w:rFonts w:hint="default" w:ascii="Times New Roman" w:hAnsi="Times New Roman" w:eastAsia="宋体" w:cs="Times New Roman"/>
          <w:color w:val="auto"/>
          <w:sz w:val="21"/>
          <w:szCs w:val="21"/>
          <w:highlight w:val="none"/>
          <w:u w:val="single"/>
          <w:lang w:eastAsia="zh-CN"/>
        </w:rPr>
        <w:t>）、</w:t>
      </w:r>
      <w:r>
        <w:rPr>
          <w:rFonts w:hint="default" w:ascii="Times New Roman" w:hAnsi="Times New Roman" w:eastAsia="宋体" w:cs="Times New Roman"/>
          <w:color w:val="auto"/>
          <w:sz w:val="21"/>
          <w:szCs w:val="21"/>
          <w:highlight w:val="none"/>
          <w:u w:val="single"/>
          <w:lang w:val="en-US" w:eastAsia="zh-CN"/>
        </w:rPr>
        <w:t>滨海县人民政府网</w:t>
      </w:r>
      <w:r>
        <w:rPr>
          <w:rFonts w:hint="default" w:ascii="Times New Roman" w:hAnsi="Times New Roman" w:eastAsia="宋体" w:cs="Times New Roman"/>
          <w:color w:val="000000"/>
          <w:sz w:val="21"/>
          <w:szCs w:val="21"/>
          <w:highlight w:val="none"/>
          <w:u w:val="single"/>
          <w:lang w:val="en-US" w:eastAsia="zh-CN"/>
        </w:rPr>
        <w:t>（http://www.binhai.gov.cn/）</w:t>
      </w:r>
      <w:r>
        <w:rPr>
          <w:rFonts w:hint="default" w:ascii="Times New Roman" w:hAnsi="Times New Roman" w:eastAsia="宋体" w:cs="Times New Roman"/>
          <w:color w:val="000000"/>
          <w:sz w:val="21"/>
          <w:szCs w:val="21"/>
          <w:highlight w:val="none"/>
        </w:rPr>
        <w:t>获取招标文件</w:t>
      </w:r>
      <w:r>
        <w:rPr>
          <w:rFonts w:hint="default" w:ascii="Times New Roman" w:hAnsi="Times New Roman" w:eastAsia="宋体" w:cs="Times New Roman"/>
          <w:color w:val="auto"/>
          <w:sz w:val="21"/>
          <w:szCs w:val="21"/>
          <w:highlight w:val="none"/>
        </w:rPr>
        <w:t>，并于</w:t>
      </w:r>
      <w:r>
        <w:rPr>
          <w:rFonts w:hint="default" w:ascii="Times New Roman" w:hAnsi="Times New Roman" w:eastAsia="宋体" w:cs="Times New Roman"/>
          <w:color w:val="auto"/>
          <w:sz w:val="21"/>
          <w:szCs w:val="21"/>
          <w:highlight w:val="none"/>
          <w:u w:val="single"/>
          <w:lang w:eastAsia="zh-CN"/>
        </w:rPr>
        <w:t>2024年</w:t>
      </w:r>
      <w:r>
        <w:rPr>
          <w:rFonts w:hint="eastAsia" w:cs="Times New Roman"/>
          <w:color w:val="auto"/>
          <w:sz w:val="21"/>
          <w:szCs w:val="21"/>
          <w:highlight w:val="none"/>
          <w:u w:val="single"/>
          <w:lang w:val="en-US" w:eastAsia="zh-CN"/>
        </w:rPr>
        <w:t>12</w:t>
      </w:r>
      <w:r>
        <w:rPr>
          <w:rFonts w:hint="default" w:ascii="Times New Roman" w:hAnsi="Times New Roman" w:eastAsia="宋体" w:cs="Times New Roman"/>
          <w:color w:val="auto"/>
          <w:sz w:val="21"/>
          <w:szCs w:val="21"/>
          <w:highlight w:val="none"/>
          <w:u w:val="single"/>
          <w:lang w:eastAsia="zh-CN"/>
        </w:rPr>
        <w:t>月</w:t>
      </w:r>
      <w:r>
        <w:rPr>
          <w:rFonts w:hint="eastAsia" w:cs="Times New Roman"/>
          <w:color w:val="auto"/>
          <w:sz w:val="21"/>
          <w:szCs w:val="21"/>
          <w:highlight w:val="none"/>
          <w:u w:val="single"/>
          <w:lang w:val="en-US" w:eastAsia="zh-CN"/>
        </w:rPr>
        <w:t>5</w:t>
      </w:r>
      <w:r>
        <w:rPr>
          <w:rFonts w:hint="default" w:ascii="Times New Roman" w:hAnsi="Times New Roman" w:eastAsia="宋体" w:cs="Times New Roman"/>
          <w:color w:val="auto"/>
          <w:sz w:val="21"/>
          <w:szCs w:val="21"/>
          <w:highlight w:val="none"/>
          <w:u w:val="single"/>
          <w:lang w:eastAsia="zh-CN"/>
        </w:rPr>
        <w:t>日</w:t>
      </w:r>
      <w:r>
        <w:rPr>
          <w:rFonts w:hint="eastAsia" w:cs="Times New Roman"/>
          <w:color w:val="auto"/>
          <w:sz w:val="21"/>
          <w:szCs w:val="21"/>
          <w:highlight w:val="none"/>
          <w:u w:val="single"/>
          <w:lang w:val="en-US" w:eastAsia="zh-CN"/>
        </w:rPr>
        <w:t>15</w:t>
      </w:r>
      <w:r>
        <w:rPr>
          <w:rFonts w:hint="default" w:ascii="Times New Roman" w:hAnsi="Times New Roman" w:eastAsia="宋体" w:cs="Times New Roman"/>
          <w:color w:val="auto"/>
          <w:sz w:val="21"/>
          <w:szCs w:val="21"/>
          <w:highlight w:val="none"/>
          <w:u w:val="single"/>
          <w:lang w:eastAsia="zh-CN"/>
        </w:rPr>
        <w:t>点00分</w:t>
      </w:r>
      <w:r>
        <w:rPr>
          <w:rFonts w:hint="default" w:ascii="Times New Roman" w:hAnsi="Times New Roman" w:eastAsia="宋体" w:cs="Times New Roman"/>
          <w:bCs/>
          <w:color w:val="auto"/>
          <w:sz w:val="21"/>
          <w:szCs w:val="21"/>
          <w:highlight w:val="none"/>
          <w:u w:val="single"/>
        </w:rPr>
        <w:t>（</w:t>
      </w:r>
      <w:r>
        <w:rPr>
          <w:rFonts w:hint="default" w:ascii="Times New Roman" w:hAnsi="Times New Roman" w:eastAsia="宋体" w:cs="Times New Roman"/>
          <w:bCs/>
          <w:color w:val="auto"/>
          <w:sz w:val="21"/>
          <w:szCs w:val="21"/>
          <w:highlight w:val="none"/>
        </w:rPr>
        <w:t>北京时间）前递交投标文件</w:t>
      </w:r>
      <w:r>
        <w:rPr>
          <w:rFonts w:hint="default" w:ascii="Times New Roman" w:hAnsi="Times New Roman" w:eastAsia="宋体" w:cs="Times New Roman"/>
          <w:color w:val="auto"/>
          <w:sz w:val="21"/>
          <w:szCs w:val="21"/>
          <w:highlight w:val="none"/>
        </w:rPr>
        <w:t>。</w:t>
      </w:r>
    </w:p>
    <w:p w14:paraId="02C09538">
      <w:pPr>
        <w:pStyle w:val="194"/>
        <w:keepNext w:val="0"/>
        <w:keepLines w:val="0"/>
        <w:pageBreakBefore w:val="0"/>
        <w:widowControl w:val="0"/>
        <w:tabs>
          <w:tab w:val="left" w:pos="0"/>
          <w:tab w:val="left" w:pos="3165"/>
          <w:tab w:val="center" w:pos="4153"/>
        </w:tabs>
        <w:kinsoku/>
        <w:wordWrap/>
        <w:overflowPunct/>
        <w:topLinePunct w:val="0"/>
        <w:autoSpaceDE/>
        <w:autoSpaceDN/>
        <w:bidi w:val="0"/>
        <w:adjustRightInd w:val="0"/>
        <w:snapToGrid w:val="0"/>
        <w:spacing w:line="480" w:lineRule="exact"/>
        <w:ind w:left="0" w:firstLine="480"/>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一、项目基本情况</w:t>
      </w:r>
      <w:bookmarkEnd w:id="6"/>
      <w:bookmarkEnd w:id="7"/>
      <w:bookmarkEnd w:id="8"/>
      <w:bookmarkEnd w:id="9"/>
      <w:bookmarkEnd w:id="10"/>
    </w:p>
    <w:p w14:paraId="280A043F">
      <w:pPr>
        <w:keepNext w:val="0"/>
        <w:keepLines w:val="0"/>
        <w:pageBreakBefore w:val="0"/>
        <w:widowControl w:val="0"/>
        <w:kinsoku/>
        <w:wordWrap/>
        <w:overflowPunct/>
        <w:topLinePunct w:val="0"/>
        <w:autoSpaceDE/>
        <w:autoSpaceDN/>
        <w:bidi w:val="0"/>
        <w:adjustRightInd w:val="0"/>
        <w:snapToGrid w:val="0"/>
        <w:spacing w:line="480" w:lineRule="exact"/>
        <w:ind w:left="0" w:firstLine="480"/>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1.项目编号：</w:t>
      </w:r>
      <w:r>
        <w:rPr>
          <w:rFonts w:hint="eastAsia" w:cs="Times New Roman"/>
          <w:color w:val="auto"/>
          <w:sz w:val="21"/>
          <w:szCs w:val="21"/>
          <w:highlight w:val="none"/>
          <w:lang w:eastAsia="zh-CN"/>
        </w:rPr>
        <w:t>JSZC-320922-JSJS-G2024-0009</w:t>
      </w:r>
    </w:p>
    <w:p w14:paraId="63A36661">
      <w:pPr>
        <w:keepNext w:val="0"/>
        <w:keepLines w:val="0"/>
        <w:pageBreakBefore w:val="0"/>
        <w:widowControl w:val="0"/>
        <w:kinsoku/>
        <w:wordWrap/>
        <w:overflowPunct/>
        <w:topLinePunct w:val="0"/>
        <w:autoSpaceDE/>
        <w:autoSpaceDN/>
        <w:bidi w:val="0"/>
        <w:adjustRightInd w:val="0"/>
        <w:snapToGrid w:val="0"/>
        <w:spacing w:line="480" w:lineRule="exact"/>
        <w:ind w:left="0" w:firstLine="480"/>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2.项目名称：</w:t>
      </w:r>
      <w:r>
        <w:rPr>
          <w:rFonts w:hint="eastAsia" w:cs="Times New Roman"/>
          <w:color w:val="auto"/>
          <w:sz w:val="21"/>
          <w:szCs w:val="21"/>
          <w:highlight w:val="none"/>
          <w:lang w:eastAsia="zh-CN"/>
        </w:rPr>
        <w:t>滨海县界牌镇村庄规划编制项目</w:t>
      </w:r>
    </w:p>
    <w:p w14:paraId="132FBDDF">
      <w:pPr>
        <w:keepNext w:val="0"/>
        <w:keepLines w:val="0"/>
        <w:pageBreakBefore w:val="0"/>
        <w:widowControl w:val="0"/>
        <w:kinsoku/>
        <w:wordWrap/>
        <w:overflowPunct/>
        <w:topLinePunct w:val="0"/>
        <w:autoSpaceDE/>
        <w:autoSpaceDN/>
        <w:bidi w:val="0"/>
        <w:adjustRightInd w:val="0"/>
        <w:snapToGrid w:val="0"/>
        <w:spacing w:line="480" w:lineRule="exact"/>
        <w:ind w:left="0" w:firstLine="48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3.预算金额：</w:t>
      </w:r>
      <w:r>
        <w:rPr>
          <w:rFonts w:hint="default" w:ascii="Times New Roman" w:hAnsi="Times New Roman" w:eastAsia="宋体" w:cs="Times New Roman"/>
          <w:color w:val="auto"/>
          <w:sz w:val="21"/>
          <w:szCs w:val="21"/>
          <w:highlight w:val="none"/>
          <w:u w:val="none"/>
          <w:lang w:val="en-US" w:eastAsia="zh-CN"/>
        </w:rPr>
        <w:t>人民币</w:t>
      </w:r>
      <w:r>
        <w:rPr>
          <w:rFonts w:hint="eastAsia" w:cs="Times New Roman"/>
          <w:color w:val="auto"/>
          <w:sz w:val="21"/>
          <w:szCs w:val="21"/>
          <w:highlight w:val="none"/>
          <w:u w:val="none"/>
          <w:lang w:val="en-US" w:eastAsia="zh-CN"/>
        </w:rPr>
        <w:t>60</w:t>
      </w:r>
      <w:r>
        <w:rPr>
          <w:rFonts w:hint="default" w:ascii="Times New Roman" w:hAnsi="Times New Roman" w:eastAsia="宋体" w:cs="Times New Roman"/>
          <w:color w:val="auto"/>
          <w:sz w:val="21"/>
          <w:szCs w:val="21"/>
          <w:highlight w:val="none"/>
          <w:u w:val="none"/>
          <w:lang w:val="en-US" w:eastAsia="zh-CN"/>
        </w:rPr>
        <w:t>万元</w:t>
      </w:r>
      <w:r>
        <w:rPr>
          <w:rFonts w:hint="default" w:ascii="Times New Roman" w:hAnsi="Times New Roman" w:eastAsia="宋体" w:cs="Times New Roman"/>
          <w:color w:val="auto"/>
          <w:sz w:val="21"/>
          <w:szCs w:val="21"/>
          <w:highlight w:val="none"/>
        </w:rPr>
        <w:t>；</w:t>
      </w:r>
    </w:p>
    <w:p w14:paraId="76DBCCDD">
      <w:pPr>
        <w:keepNext w:val="0"/>
        <w:keepLines w:val="0"/>
        <w:pageBreakBefore w:val="0"/>
        <w:widowControl w:val="0"/>
        <w:kinsoku/>
        <w:wordWrap/>
        <w:overflowPunct/>
        <w:topLinePunct w:val="0"/>
        <w:autoSpaceDE/>
        <w:autoSpaceDN/>
        <w:bidi w:val="0"/>
        <w:adjustRightInd w:val="0"/>
        <w:snapToGrid w:val="0"/>
        <w:spacing w:line="480" w:lineRule="exact"/>
        <w:ind w:left="0" w:firstLine="48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4.最高限价：</w:t>
      </w:r>
      <w:r>
        <w:rPr>
          <w:rFonts w:hint="default" w:ascii="Times New Roman" w:hAnsi="Times New Roman" w:eastAsia="宋体" w:cs="Times New Roman"/>
          <w:color w:val="auto"/>
          <w:sz w:val="21"/>
          <w:szCs w:val="21"/>
          <w:highlight w:val="none"/>
          <w:u w:val="none"/>
          <w:lang w:val="en-US" w:eastAsia="zh-CN"/>
        </w:rPr>
        <w:t>人民币</w:t>
      </w:r>
      <w:r>
        <w:rPr>
          <w:rFonts w:hint="eastAsia" w:cs="Times New Roman"/>
          <w:color w:val="auto"/>
          <w:sz w:val="21"/>
          <w:szCs w:val="21"/>
          <w:highlight w:val="none"/>
          <w:u w:val="none"/>
          <w:lang w:val="en-US" w:eastAsia="zh-CN"/>
        </w:rPr>
        <w:t>60</w:t>
      </w:r>
      <w:r>
        <w:rPr>
          <w:rFonts w:hint="default" w:ascii="Times New Roman" w:hAnsi="Times New Roman" w:eastAsia="宋体" w:cs="Times New Roman"/>
          <w:color w:val="auto"/>
          <w:sz w:val="21"/>
          <w:szCs w:val="21"/>
          <w:highlight w:val="none"/>
          <w:u w:val="none"/>
          <w:lang w:val="en-US" w:eastAsia="zh-CN"/>
        </w:rPr>
        <w:t>万元</w:t>
      </w:r>
      <w:r>
        <w:rPr>
          <w:rFonts w:hint="default" w:ascii="Times New Roman" w:hAnsi="Times New Roman" w:eastAsia="宋体" w:cs="Times New Roman"/>
          <w:color w:val="auto"/>
          <w:sz w:val="21"/>
          <w:szCs w:val="21"/>
          <w:highlight w:val="none"/>
        </w:rPr>
        <w:t>；</w:t>
      </w:r>
    </w:p>
    <w:p w14:paraId="0BAE913E">
      <w:pPr>
        <w:keepNext w:val="0"/>
        <w:keepLines w:val="0"/>
        <w:pageBreakBefore w:val="0"/>
        <w:widowControl w:val="0"/>
        <w:kinsoku/>
        <w:wordWrap/>
        <w:overflowPunct/>
        <w:topLinePunct w:val="0"/>
        <w:autoSpaceDE/>
        <w:autoSpaceDN/>
        <w:bidi w:val="0"/>
        <w:adjustRightInd w:val="0"/>
        <w:snapToGrid w:val="0"/>
        <w:spacing w:line="480" w:lineRule="exact"/>
        <w:ind w:left="0" w:firstLine="48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5.采购需求：滨海县界牌镇村庄规划编制项目，滨海县界牌镇华林村、界牌村、冲边村、大于庄村、众兴村、双龙港村、新巨村、镇南村以及陆集社区按照《江苏省村庄规划编制指南（2023年版）》中基础版要求编制。（详见招标文件第四章采购需求）</w:t>
      </w:r>
    </w:p>
    <w:p w14:paraId="0E731282">
      <w:pPr>
        <w:keepNext w:val="0"/>
        <w:keepLines w:val="0"/>
        <w:pageBreakBefore w:val="0"/>
        <w:widowControl w:val="0"/>
        <w:kinsoku/>
        <w:wordWrap/>
        <w:overflowPunct/>
        <w:topLinePunct w:val="0"/>
        <w:autoSpaceDE/>
        <w:autoSpaceDN/>
        <w:bidi w:val="0"/>
        <w:adjustRightInd w:val="0"/>
        <w:snapToGrid w:val="0"/>
        <w:spacing w:line="480" w:lineRule="exact"/>
        <w:ind w:left="0" w:firstLine="48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6</w:t>
      </w:r>
      <w:r>
        <w:rPr>
          <w:rFonts w:hint="default" w:ascii="Times New Roman" w:hAnsi="Times New Roman" w:eastAsia="宋体" w:cs="Times New Roman"/>
          <w:color w:val="auto"/>
          <w:sz w:val="21"/>
          <w:szCs w:val="21"/>
          <w:highlight w:val="none"/>
        </w:rPr>
        <w:t>.服务期</w:t>
      </w:r>
      <w:r>
        <w:rPr>
          <w:rFonts w:hint="default" w:ascii="Times New Roman" w:hAnsi="Times New Roman" w:eastAsia="宋体" w:cs="Times New Roman"/>
          <w:color w:val="auto"/>
          <w:sz w:val="21"/>
          <w:szCs w:val="21"/>
          <w:highlight w:val="none"/>
          <w:lang w:eastAsia="zh-CN"/>
        </w:rPr>
        <w:t>限</w:t>
      </w:r>
      <w:r>
        <w:rPr>
          <w:rFonts w:hint="default" w:ascii="Times New Roman" w:hAnsi="Times New Roman" w:eastAsia="宋体" w:cs="Times New Roman"/>
          <w:color w:val="auto"/>
          <w:sz w:val="21"/>
          <w:szCs w:val="21"/>
          <w:highlight w:val="none"/>
        </w:rPr>
        <w:t>：</w:t>
      </w:r>
      <w:r>
        <w:rPr>
          <w:rFonts w:hint="eastAsia" w:ascii="宋体" w:hAnsi="宋体" w:eastAsia="宋体" w:cs="宋体"/>
          <w:color w:val="auto"/>
          <w:sz w:val="21"/>
          <w:szCs w:val="21"/>
          <w:highlight w:val="none"/>
          <w:lang w:val="en-US" w:eastAsia="zh-CN"/>
        </w:rPr>
        <w:t>签订合同后80日历天内完成村庄规划编制，并完成审批及报备</w:t>
      </w:r>
      <w:r>
        <w:rPr>
          <w:rFonts w:hint="default" w:ascii="Times New Roman" w:hAnsi="Times New Roman" w:eastAsia="宋体" w:cs="Times New Roman"/>
          <w:color w:val="auto"/>
          <w:sz w:val="21"/>
          <w:szCs w:val="21"/>
          <w:highlight w:val="none"/>
        </w:rPr>
        <w:t>。</w:t>
      </w:r>
    </w:p>
    <w:p w14:paraId="5E738372">
      <w:pPr>
        <w:keepNext w:val="0"/>
        <w:keepLines w:val="0"/>
        <w:pageBreakBefore w:val="0"/>
        <w:widowControl w:val="0"/>
        <w:kinsoku/>
        <w:wordWrap/>
        <w:overflowPunct/>
        <w:topLinePunct w:val="0"/>
        <w:autoSpaceDE/>
        <w:autoSpaceDN/>
        <w:bidi w:val="0"/>
        <w:adjustRightInd w:val="0"/>
        <w:snapToGrid w:val="0"/>
        <w:spacing w:line="480" w:lineRule="exact"/>
        <w:ind w:left="0" w:firstLine="480"/>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7</w:t>
      </w:r>
      <w:r>
        <w:rPr>
          <w:rFonts w:hint="default" w:ascii="Times New Roman" w:hAnsi="Times New Roman" w:eastAsia="宋体" w:cs="Times New Roman"/>
          <w:color w:val="auto"/>
          <w:sz w:val="21"/>
          <w:szCs w:val="21"/>
          <w:highlight w:val="none"/>
        </w:rPr>
        <w:t>.</w:t>
      </w:r>
      <w:r>
        <w:rPr>
          <w:rFonts w:hint="eastAsia" w:cs="Times New Roman"/>
          <w:color w:val="auto"/>
          <w:sz w:val="21"/>
          <w:szCs w:val="21"/>
          <w:highlight w:val="none"/>
          <w:lang w:eastAsia="zh-CN"/>
        </w:rPr>
        <w:t>服务</w:t>
      </w:r>
      <w:r>
        <w:rPr>
          <w:rFonts w:hint="default" w:ascii="Times New Roman" w:hAnsi="Times New Roman" w:eastAsia="宋体" w:cs="Times New Roman"/>
          <w:color w:val="auto"/>
          <w:sz w:val="21"/>
          <w:szCs w:val="21"/>
          <w:highlight w:val="none"/>
        </w:rPr>
        <w:t>标准：</w:t>
      </w:r>
      <w:r>
        <w:rPr>
          <w:rFonts w:hint="eastAsia" w:cs="Times New Roman"/>
          <w:color w:val="auto"/>
          <w:sz w:val="21"/>
          <w:szCs w:val="21"/>
          <w:highlight w:val="none"/>
          <w:lang w:eastAsia="zh-CN"/>
        </w:rPr>
        <w:t>合格</w:t>
      </w:r>
      <w:r>
        <w:rPr>
          <w:rFonts w:hint="default" w:ascii="Times New Roman" w:hAnsi="Times New Roman" w:eastAsia="宋体" w:cs="Times New Roman"/>
          <w:color w:val="auto"/>
          <w:sz w:val="21"/>
          <w:szCs w:val="21"/>
          <w:highlight w:val="none"/>
          <w:lang w:eastAsia="zh-CN"/>
        </w:rPr>
        <w:t>。</w:t>
      </w:r>
    </w:p>
    <w:p w14:paraId="2688E624">
      <w:pPr>
        <w:keepNext w:val="0"/>
        <w:keepLines w:val="0"/>
        <w:pageBreakBefore w:val="0"/>
        <w:widowControl w:val="0"/>
        <w:kinsoku/>
        <w:wordWrap/>
        <w:overflowPunct/>
        <w:topLinePunct w:val="0"/>
        <w:autoSpaceDE/>
        <w:autoSpaceDN/>
        <w:bidi w:val="0"/>
        <w:adjustRightInd w:val="0"/>
        <w:snapToGrid w:val="0"/>
        <w:spacing w:line="480" w:lineRule="exact"/>
        <w:ind w:left="0" w:firstLine="48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8.</w:t>
      </w:r>
      <w:r>
        <w:rPr>
          <w:rFonts w:hint="default" w:ascii="Times New Roman" w:hAnsi="Times New Roman" w:eastAsia="宋体" w:cs="Times New Roman"/>
          <w:color w:val="auto"/>
          <w:sz w:val="21"/>
          <w:szCs w:val="21"/>
          <w:highlight w:val="none"/>
        </w:rPr>
        <w:t>本项目（</w:t>
      </w:r>
      <w:r>
        <w:rPr>
          <w:rFonts w:hint="default" w:ascii="Times New Roman" w:hAnsi="Times New Roman" w:eastAsia="宋体" w:cs="Times New Roman"/>
          <w:i/>
          <w:color w:val="auto"/>
          <w:sz w:val="21"/>
          <w:szCs w:val="21"/>
          <w:highlight w:val="none"/>
        </w:rPr>
        <w:t>是/否</w:t>
      </w:r>
      <w:r>
        <w:rPr>
          <w:rFonts w:hint="default" w:ascii="Times New Roman" w:hAnsi="Times New Roman" w:eastAsia="宋体" w:cs="Times New Roman"/>
          <w:color w:val="auto"/>
          <w:sz w:val="21"/>
          <w:szCs w:val="21"/>
          <w:highlight w:val="none"/>
        </w:rPr>
        <w:t>）接受联合体投标：</w:t>
      </w:r>
      <w:r>
        <w:rPr>
          <w:rFonts w:hint="default" w:ascii="Times New Roman" w:hAnsi="Times New Roman" w:eastAsia="宋体" w:cs="Times New Roman"/>
          <w:color w:val="auto"/>
          <w:sz w:val="21"/>
          <w:szCs w:val="21"/>
          <w:highlight w:val="none"/>
          <w:u w:val="single"/>
        </w:rPr>
        <w:t>否</w:t>
      </w:r>
      <w:r>
        <w:rPr>
          <w:rFonts w:hint="default" w:ascii="Times New Roman" w:hAnsi="Times New Roman" w:eastAsia="宋体" w:cs="Times New Roman"/>
          <w:color w:val="auto"/>
          <w:sz w:val="21"/>
          <w:szCs w:val="21"/>
          <w:highlight w:val="none"/>
        </w:rPr>
        <w:t>。</w:t>
      </w:r>
    </w:p>
    <w:p w14:paraId="10856B4F">
      <w:pPr>
        <w:pStyle w:val="194"/>
        <w:keepNext w:val="0"/>
        <w:keepLines w:val="0"/>
        <w:pageBreakBefore w:val="0"/>
        <w:widowControl w:val="0"/>
        <w:tabs>
          <w:tab w:val="left" w:pos="0"/>
          <w:tab w:val="left" w:pos="3165"/>
          <w:tab w:val="center" w:pos="4153"/>
        </w:tabs>
        <w:kinsoku/>
        <w:wordWrap/>
        <w:overflowPunct/>
        <w:topLinePunct w:val="0"/>
        <w:autoSpaceDE/>
        <w:autoSpaceDN/>
        <w:bidi w:val="0"/>
        <w:adjustRightInd w:val="0"/>
        <w:snapToGrid w:val="0"/>
        <w:spacing w:line="480" w:lineRule="exact"/>
        <w:ind w:left="0" w:firstLine="480"/>
        <w:jc w:val="left"/>
        <w:textAlignment w:val="auto"/>
        <w:rPr>
          <w:rFonts w:hint="default" w:ascii="Times New Roman" w:hAnsi="Times New Roman" w:eastAsia="宋体" w:cs="Times New Roman"/>
          <w:color w:val="auto"/>
          <w:sz w:val="21"/>
          <w:szCs w:val="21"/>
          <w:highlight w:val="none"/>
        </w:rPr>
      </w:pPr>
      <w:bookmarkStart w:id="11" w:name="_Toc28359003"/>
      <w:bookmarkStart w:id="12" w:name="_Toc35393791"/>
      <w:bookmarkStart w:id="13" w:name="_Toc35393622"/>
      <w:bookmarkStart w:id="14" w:name="_Toc28359080"/>
      <w:r>
        <w:rPr>
          <w:rFonts w:hint="default" w:ascii="Times New Roman" w:hAnsi="Times New Roman" w:eastAsia="宋体" w:cs="Times New Roman"/>
          <w:color w:val="auto"/>
          <w:sz w:val="21"/>
          <w:szCs w:val="21"/>
          <w:highlight w:val="none"/>
        </w:rPr>
        <w:t>二、申请人的资格要求：</w:t>
      </w:r>
      <w:bookmarkEnd w:id="11"/>
      <w:bookmarkEnd w:id="12"/>
      <w:bookmarkEnd w:id="13"/>
      <w:bookmarkEnd w:id="14"/>
    </w:p>
    <w:p w14:paraId="55FBAC20">
      <w:pPr>
        <w:keepNext w:val="0"/>
        <w:keepLines w:val="0"/>
        <w:pageBreakBefore w:val="0"/>
        <w:widowControl w:val="0"/>
        <w:kinsoku/>
        <w:wordWrap/>
        <w:overflowPunct/>
        <w:topLinePunct w:val="0"/>
        <w:autoSpaceDE/>
        <w:autoSpaceDN/>
        <w:bidi w:val="0"/>
        <w:adjustRightInd w:val="0"/>
        <w:snapToGrid w:val="0"/>
        <w:spacing w:line="480" w:lineRule="exact"/>
        <w:ind w:left="0" w:firstLine="480"/>
        <w:textAlignment w:val="auto"/>
        <w:rPr>
          <w:rFonts w:hint="default" w:ascii="Times New Roman" w:hAnsi="Times New Roman" w:eastAsia="宋体" w:cs="Times New Roman"/>
          <w:color w:val="auto"/>
          <w:sz w:val="21"/>
          <w:szCs w:val="21"/>
          <w:highlight w:val="none"/>
        </w:rPr>
      </w:pPr>
      <w:bookmarkStart w:id="15" w:name="_Toc28359081"/>
      <w:bookmarkStart w:id="16" w:name="_Toc28359004"/>
      <w:r>
        <w:rPr>
          <w:rFonts w:hint="default" w:ascii="Times New Roman" w:hAnsi="Times New Roman" w:eastAsia="宋体" w:cs="Times New Roman"/>
          <w:color w:val="auto"/>
          <w:sz w:val="21"/>
          <w:szCs w:val="21"/>
          <w:highlight w:val="none"/>
        </w:rPr>
        <w:t>1.满足《中华人民共和国政府采购法》第二十二条规定，并提供下列材料；</w:t>
      </w:r>
    </w:p>
    <w:p w14:paraId="5538A91D">
      <w:pPr>
        <w:keepNext w:val="0"/>
        <w:keepLines w:val="0"/>
        <w:pageBreakBefore w:val="0"/>
        <w:widowControl w:val="0"/>
        <w:kinsoku/>
        <w:wordWrap/>
        <w:overflowPunct/>
        <w:topLinePunct w:val="0"/>
        <w:autoSpaceDE/>
        <w:autoSpaceDN/>
        <w:bidi w:val="0"/>
        <w:adjustRightInd w:val="0"/>
        <w:snapToGrid w:val="0"/>
        <w:spacing w:line="480" w:lineRule="exact"/>
        <w:ind w:left="0" w:firstLine="48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(1)法人或者其他组织的营业执照等证明文件，自然人的身份证明；</w:t>
      </w:r>
    </w:p>
    <w:p w14:paraId="22338B18">
      <w:pPr>
        <w:keepNext w:val="0"/>
        <w:keepLines w:val="0"/>
        <w:pageBreakBefore w:val="0"/>
        <w:widowControl w:val="0"/>
        <w:kinsoku/>
        <w:wordWrap/>
        <w:overflowPunct/>
        <w:topLinePunct w:val="0"/>
        <w:autoSpaceDE/>
        <w:autoSpaceDN/>
        <w:bidi w:val="0"/>
        <w:adjustRightInd w:val="0"/>
        <w:snapToGrid w:val="0"/>
        <w:spacing w:line="480" w:lineRule="exact"/>
        <w:ind w:left="0" w:firstLine="48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(2)上一年度的财务报表</w:t>
      </w:r>
      <w:r>
        <w:rPr>
          <w:rFonts w:hint="default" w:ascii="Times New Roman" w:hAnsi="Times New Roman" w:eastAsia="宋体" w:cs="Times New Roman"/>
          <w:color w:val="auto"/>
          <w:sz w:val="21"/>
          <w:szCs w:val="21"/>
          <w:highlight w:val="none"/>
          <w:lang w:val="en-US" w:eastAsia="zh-CN"/>
        </w:rPr>
        <w:t>或财务审计报告</w:t>
      </w:r>
      <w:r>
        <w:rPr>
          <w:rFonts w:hint="default" w:ascii="Times New Roman" w:hAnsi="Times New Roman" w:eastAsia="宋体" w:cs="Times New Roman"/>
          <w:color w:val="auto"/>
          <w:sz w:val="21"/>
          <w:szCs w:val="21"/>
          <w:highlight w:val="none"/>
        </w:rPr>
        <w:t>（成立不满一年不需提供）；</w:t>
      </w:r>
    </w:p>
    <w:p w14:paraId="52EB573E">
      <w:pPr>
        <w:keepNext w:val="0"/>
        <w:keepLines w:val="0"/>
        <w:pageBreakBefore w:val="0"/>
        <w:widowControl w:val="0"/>
        <w:kinsoku/>
        <w:wordWrap/>
        <w:overflowPunct/>
        <w:topLinePunct w:val="0"/>
        <w:autoSpaceDE/>
        <w:autoSpaceDN/>
        <w:bidi w:val="0"/>
        <w:adjustRightInd w:val="0"/>
        <w:snapToGrid w:val="0"/>
        <w:spacing w:line="480" w:lineRule="exact"/>
        <w:ind w:left="0" w:firstLine="48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(3)依法缴纳税收和社会保障资金的相关材料；</w:t>
      </w:r>
    </w:p>
    <w:p w14:paraId="3E592060">
      <w:pPr>
        <w:keepNext w:val="0"/>
        <w:keepLines w:val="0"/>
        <w:pageBreakBefore w:val="0"/>
        <w:widowControl w:val="0"/>
        <w:kinsoku/>
        <w:wordWrap/>
        <w:overflowPunct/>
        <w:topLinePunct w:val="0"/>
        <w:autoSpaceDE/>
        <w:autoSpaceDN/>
        <w:bidi w:val="0"/>
        <w:adjustRightInd w:val="0"/>
        <w:snapToGrid w:val="0"/>
        <w:spacing w:line="480" w:lineRule="exact"/>
        <w:ind w:left="0" w:firstLine="48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(4)具备履行合同所必需的设备和专业技术能力的书面声明；</w:t>
      </w:r>
    </w:p>
    <w:p w14:paraId="25C3B592">
      <w:pPr>
        <w:keepNext w:val="0"/>
        <w:keepLines w:val="0"/>
        <w:pageBreakBefore w:val="0"/>
        <w:widowControl w:val="0"/>
        <w:kinsoku/>
        <w:wordWrap/>
        <w:overflowPunct/>
        <w:topLinePunct w:val="0"/>
        <w:autoSpaceDE/>
        <w:autoSpaceDN/>
        <w:bidi w:val="0"/>
        <w:adjustRightInd w:val="0"/>
        <w:snapToGrid w:val="0"/>
        <w:spacing w:line="480" w:lineRule="exact"/>
        <w:ind w:left="0" w:firstLine="48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(5)参加政府采购活动前3年内在经营活动中没有重大违法记录的书面声明；</w:t>
      </w:r>
    </w:p>
    <w:p w14:paraId="79395182">
      <w:pPr>
        <w:keepNext w:val="0"/>
        <w:keepLines w:val="0"/>
        <w:pageBreakBefore w:val="0"/>
        <w:widowControl w:val="0"/>
        <w:kinsoku/>
        <w:wordWrap/>
        <w:overflowPunct/>
        <w:topLinePunct w:val="0"/>
        <w:autoSpaceDE/>
        <w:autoSpaceDN/>
        <w:bidi w:val="0"/>
        <w:adjustRightInd w:val="0"/>
        <w:snapToGrid w:val="0"/>
        <w:spacing w:line="480" w:lineRule="exact"/>
        <w:ind w:left="0" w:firstLine="48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2.落实政府采购政策需满足的资格要求：</w:t>
      </w:r>
    </w:p>
    <w:p w14:paraId="5EBC8F49">
      <w:pPr>
        <w:keepNext w:val="0"/>
        <w:keepLines w:val="0"/>
        <w:pageBreakBefore w:val="0"/>
        <w:widowControl w:val="0"/>
        <w:kinsoku/>
        <w:wordWrap/>
        <w:overflowPunct/>
        <w:topLinePunct w:val="0"/>
        <w:autoSpaceDE/>
        <w:autoSpaceDN/>
        <w:bidi w:val="0"/>
        <w:adjustRightInd w:val="0"/>
        <w:snapToGrid w:val="0"/>
        <w:spacing w:line="480" w:lineRule="exact"/>
        <w:ind w:left="0" w:firstLine="48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本项目（是/否）属于专门面向中小企业采购的项目：</w:t>
      </w:r>
      <w:r>
        <w:rPr>
          <w:rFonts w:hint="eastAsia" w:cs="Times New Roman"/>
          <w:color w:val="auto"/>
          <w:sz w:val="21"/>
          <w:szCs w:val="21"/>
          <w:highlight w:val="none"/>
          <w:lang w:val="en-US" w:eastAsia="zh-CN"/>
        </w:rPr>
        <w:t>是</w:t>
      </w:r>
      <w:r>
        <w:rPr>
          <w:rFonts w:hint="default" w:ascii="Times New Roman" w:hAnsi="Times New Roman" w:eastAsia="宋体" w:cs="Times New Roman"/>
          <w:color w:val="auto"/>
          <w:sz w:val="21"/>
          <w:szCs w:val="21"/>
          <w:highlight w:val="none"/>
        </w:rPr>
        <w:t>。</w:t>
      </w:r>
    </w:p>
    <w:p w14:paraId="27D70117">
      <w:pPr>
        <w:keepNext w:val="0"/>
        <w:keepLines w:val="0"/>
        <w:pageBreakBefore w:val="0"/>
        <w:widowControl w:val="0"/>
        <w:kinsoku/>
        <w:wordWrap/>
        <w:overflowPunct/>
        <w:topLinePunct w:val="0"/>
        <w:autoSpaceDE/>
        <w:autoSpaceDN/>
        <w:bidi w:val="0"/>
        <w:adjustRightInd w:val="0"/>
        <w:snapToGrid w:val="0"/>
        <w:spacing w:line="480" w:lineRule="exact"/>
        <w:ind w:left="0" w:firstLine="48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（注：如属于专门面向中小企业采购的项目,供应商应为中小微企业、监狱企业、残疾人福利性单位)</w:t>
      </w:r>
    </w:p>
    <w:p w14:paraId="0D9909D3">
      <w:pPr>
        <w:keepNext w:val="0"/>
        <w:keepLines w:val="0"/>
        <w:pageBreakBefore w:val="0"/>
        <w:widowControl w:val="0"/>
        <w:kinsoku/>
        <w:wordWrap/>
        <w:overflowPunct/>
        <w:topLinePunct w:val="0"/>
        <w:autoSpaceDE/>
        <w:autoSpaceDN/>
        <w:bidi w:val="0"/>
        <w:adjustRightInd w:val="0"/>
        <w:snapToGrid w:val="0"/>
        <w:spacing w:line="480" w:lineRule="exact"/>
        <w:ind w:left="0" w:firstLine="48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3.本项目的特定资格要求：</w:t>
      </w:r>
    </w:p>
    <w:p w14:paraId="0EA2EB93">
      <w:pPr>
        <w:keepNext w:val="0"/>
        <w:keepLines w:val="0"/>
        <w:pageBreakBefore w:val="0"/>
        <w:widowControl w:val="0"/>
        <w:kinsoku/>
        <w:wordWrap/>
        <w:overflowPunct/>
        <w:topLinePunct w:val="0"/>
        <w:autoSpaceDE/>
        <w:autoSpaceDN/>
        <w:bidi w:val="0"/>
        <w:adjustRightInd w:val="0"/>
        <w:snapToGrid w:val="0"/>
        <w:spacing w:line="480" w:lineRule="exact"/>
        <w:ind w:left="0" w:firstLine="48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（1）投标人（供应商）</w:t>
      </w:r>
      <w:r>
        <w:rPr>
          <w:rFonts w:hint="eastAsia" w:cs="Times New Roman"/>
          <w:color w:val="auto"/>
          <w:sz w:val="21"/>
          <w:szCs w:val="21"/>
          <w:highlight w:val="none"/>
          <w:lang w:eastAsia="zh-CN"/>
        </w:rPr>
        <w:t>须具有</w:t>
      </w:r>
      <w:r>
        <w:rPr>
          <w:rFonts w:hint="default" w:ascii="Times New Roman" w:hAnsi="Times New Roman" w:eastAsia="宋体" w:cs="Times New Roman"/>
          <w:color w:val="auto"/>
          <w:sz w:val="21"/>
          <w:szCs w:val="21"/>
          <w:highlight w:val="none"/>
        </w:rPr>
        <w:t>有效期内的城乡规划编制</w:t>
      </w:r>
      <w:r>
        <w:rPr>
          <w:rFonts w:hint="eastAsia" w:cs="Times New Roman"/>
          <w:color w:val="auto"/>
          <w:sz w:val="21"/>
          <w:szCs w:val="21"/>
          <w:highlight w:val="none"/>
          <w:lang w:eastAsia="zh-CN"/>
        </w:rPr>
        <w:t>乙级</w:t>
      </w:r>
      <w:r>
        <w:rPr>
          <w:rFonts w:hint="default" w:ascii="Times New Roman" w:hAnsi="Times New Roman" w:eastAsia="宋体" w:cs="Times New Roman"/>
          <w:color w:val="auto"/>
          <w:sz w:val="21"/>
          <w:szCs w:val="21"/>
          <w:highlight w:val="none"/>
        </w:rPr>
        <w:t>及以上资质。</w:t>
      </w:r>
    </w:p>
    <w:p w14:paraId="5A8A6FB2">
      <w:pPr>
        <w:keepNext w:val="0"/>
        <w:keepLines w:val="0"/>
        <w:pageBreakBefore w:val="0"/>
        <w:widowControl w:val="0"/>
        <w:kinsoku/>
        <w:wordWrap/>
        <w:overflowPunct/>
        <w:topLinePunct w:val="0"/>
        <w:autoSpaceDE/>
        <w:autoSpaceDN/>
        <w:bidi w:val="0"/>
        <w:adjustRightInd w:val="0"/>
        <w:snapToGrid w:val="0"/>
        <w:spacing w:line="480" w:lineRule="exact"/>
        <w:ind w:left="0" w:firstLine="48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（2）未被“信用中国”网站（www.creditchina.gov.cn）列入失信被执行人、重大税收违法失信主体、政府采购严重失信行为记录名单。</w:t>
      </w:r>
    </w:p>
    <w:p w14:paraId="16418BFB">
      <w:pPr>
        <w:keepNext w:val="0"/>
        <w:keepLines w:val="0"/>
        <w:pageBreakBefore w:val="0"/>
        <w:widowControl w:val="0"/>
        <w:kinsoku/>
        <w:wordWrap/>
        <w:overflowPunct/>
        <w:topLinePunct w:val="0"/>
        <w:autoSpaceDE/>
        <w:autoSpaceDN/>
        <w:bidi w:val="0"/>
        <w:adjustRightInd w:val="0"/>
        <w:snapToGrid w:val="0"/>
        <w:spacing w:line="480" w:lineRule="exact"/>
        <w:ind w:left="0" w:firstLine="48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rPr>
        <w:t>）单位负责人为同一人或者存在直接控股、管理关系的不同供应商，不得参加同一合同项下的政府采购活动。</w:t>
      </w:r>
    </w:p>
    <w:p w14:paraId="226B0768">
      <w:pPr>
        <w:keepNext w:val="0"/>
        <w:keepLines w:val="0"/>
        <w:pageBreakBefore w:val="0"/>
        <w:widowControl w:val="0"/>
        <w:kinsoku/>
        <w:wordWrap/>
        <w:overflowPunct/>
        <w:topLinePunct w:val="0"/>
        <w:autoSpaceDE/>
        <w:autoSpaceDN/>
        <w:bidi w:val="0"/>
        <w:adjustRightInd w:val="0"/>
        <w:snapToGrid w:val="0"/>
        <w:spacing w:line="480" w:lineRule="exact"/>
        <w:ind w:left="0" w:firstLine="48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val="en-US" w:eastAsia="zh-CN"/>
        </w:rPr>
        <w:t>4</w:t>
      </w:r>
      <w:r>
        <w:rPr>
          <w:rFonts w:hint="default" w:ascii="Times New Roman" w:hAnsi="Times New Roman" w:eastAsia="宋体" w:cs="Times New Roman"/>
          <w:color w:val="auto"/>
          <w:sz w:val="21"/>
          <w:szCs w:val="21"/>
          <w:highlight w:val="none"/>
        </w:rPr>
        <w:t>）本项目（是/否）接受联合体投标：否。</w:t>
      </w:r>
    </w:p>
    <w:p w14:paraId="64C1F032">
      <w:pPr>
        <w:pStyle w:val="194"/>
        <w:keepNext w:val="0"/>
        <w:keepLines w:val="0"/>
        <w:pageBreakBefore w:val="0"/>
        <w:widowControl w:val="0"/>
        <w:tabs>
          <w:tab w:val="left" w:pos="0"/>
          <w:tab w:val="left" w:pos="3165"/>
          <w:tab w:val="center" w:pos="4153"/>
        </w:tabs>
        <w:kinsoku/>
        <w:wordWrap/>
        <w:overflowPunct/>
        <w:topLinePunct w:val="0"/>
        <w:autoSpaceDE/>
        <w:autoSpaceDN/>
        <w:bidi w:val="0"/>
        <w:adjustRightInd w:val="0"/>
        <w:snapToGrid w:val="0"/>
        <w:spacing w:line="480" w:lineRule="exact"/>
        <w:ind w:left="0" w:firstLine="480"/>
        <w:jc w:val="left"/>
        <w:textAlignment w:val="auto"/>
        <w:rPr>
          <w:rFonts w:hint="default" w:ascii="Times New Roman" w:hAnsi="Times New Roman" w:eastAsia="宋体" w:cs="Times New Roman"/>
          <w:color w:val="auto"/>
          <w:sz w:val="21"/>
          <w:szCs w:val="21"/>
          <w:highlight w:val="none"/>
        </w:rPr>
      </w:pPr>
      <w:bookmarkStart w:id="17" w:name="_Toc35393623"/>
      <w:bookmarkStart w:id="18" w:name="_Toc35393792"/>
      <w:r>
        <w:rPr>
          <w:rFonts w:hint="default" w:ascii="Times New Roman" w:hAnsi="Times New Roman" w:eastAsia="宋体" w:cs="Times New Roman"/>
          <w:color w:val="auto"/>
          <w:sz w:val="21"/>
          <w:szCs w:val="21"/>
          <w:highlight w:val="none"/>
        </w:rPr>
        <w:t>三、获取招标文件</w:t>
      </w:r>
      <w:bookmarkEnd w:id="15"/>
      <w:bookmarkEnd w:id="16"/>
      <w:bookmarkEnd w:id="17"/>
      <w:bookmarkEnd w:id="18"/>
    </w:p>
    <w:p w14:paraId="30A33748">
      <w:pPr>
        <w:keepNext w:val="0"/>
        <w:keepLines w:val="0"/>
        <w:pageBreakBefore w:val="0"/>
        <w:widowControl w:val="0"/>
        <w:kinsoku/>
        <w:wordWrap/>
        <w:overflowPunct/>
        <w:topLinePunct w:val="0"/>
        <w:autoSpaceDE/>
        <w:autoSpaceDN/>
        <w:bidi w:val="0"/>
        <w:adjustRightInd w:val="0"/>
        <w:snapToGrid w:val="0"/>
        <w:spacing w:line="480" w:lineRule="exact"/>
        <w:ind w:left="0" w:firstLine="480"/>
        <w:textAlignment w:val="auto"/>
        <w:rPr>
          <w:rFonts w:hint="default" w:ascii="Times New Roman" w:hAnsi="Times New Roman" w:eastAsia="宋体" w:cs="Times New Roman"/>
          <w:color w:val="auto"/>
          <w:sz w:val="21"/>
          <w:szCs w:val="21"/>
          <w:highlight w:val="none"/>
          <w:u w:val="none"/>
        </w:rPr>
      </w:pPr>
      <w:bookmarkStart w:id="19" w:name="_Toc28359082"/>
      <w:bookmarkStart w:id="20" w:name="_Toc28359005"/>
      <w:bookmarkStart w:id="21" w:name="_Toc35393624"/>
      <w:bookmarkStart w:id="22" w:name="_Toc35393793"/>
      <w:r>
        <w:rPr>
          <w:rFonts w:hint="default" w:ascii="Times New Roman" w:hAnsi="Times New Roman" w:eastAsia="宋体" w:cs="Times New Roman"/>
          <w:color w:val="auto"/>
          <w:sz w:val="21"/>
          <w:szCs w:val="21"/>
          <w:highlight w:val="none"/>
          <w:lang w:val="en-US" w:eastAsia="zh-CN"/>
        </w:rPr>
        <w:t>1.采购文件获取时间</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u w:val="none"/>
          <w:lang w:eastAsia="zh-CN"/>
        </w:rPr>
        <w:t>2024年</w:t>
      </w:r>
      <w:r>
        <w:rPr>
          <w:rFonts w:hint="eastAsia" w:cs="Times New Roman"/>
          <w:color w:val="auto"/>
          <w:sz w:val="21"/>
          <w:szCs w:val="21"/>
          <w:highlight w:val="none"/>
          <w:u w:val="none"/>
          <w:lang w:val="en-US" w:eastAsia="zh-CN"/>
        </w:rPr>
        <w:t>11</w:t>
      </w:r>
      <w:r>
        <w:rPr>
          <w:rFonts w:hint="default" w:ascii="Times New Roman" w:hAnsi="Times New Roman" w:eastAsia="宋体" w:cs="Times New Roman"/>
          <w:color w:val="auto"/>
          <w:sz w:val="21"/>
          <w:szCs w:val="21"/>
          <w:highlight w:val="none"/>
          <w:u w:val="none"/>
          <w:lang w:eastAsia="zh-CN"/>
        </w:rPr>
        <w:t>月</w:t>
      </w:r>
      <w:r>
        <w:rPr>
          <w:rFonts w:hint="eastAsia" w:cs="Times New Roman"/>
          <w:color w:val="auto"/>
          <w:sz w:val="21"/>
          <w:szCs w:val="21"/>
          <w:highlight w:val="none"/>
          <w:u w:val="none"/>
          <w:lang w:val="en-US" w:eastAsia="zh-CN"/>
        </w:rPr>
        <w:t>14</w:t>
      </w:r>
      <w:r>
        <w:rPr>
          <w:rFonts w:hint="default" w:ascii="Times New Roman" w:hAnsi="Times New Roman" w:eastAsia="宋体" w:cs="Times New Roman"/>
          <w:color w:val="auto"/>
          <w:sz w:val="21"/>
          <w:szCs w:val="21"/>
          <w:highlight w:val="none"/>
          <w:u w:val="none"/>
          <w:lang w:eastAsia="zh-CN"/>
        </w:rPr>
        <w:t>日至2024年</w:t>
      </w:r>
      <w:r>
        <w:rPr>
          <w:rFonts w:hint="eastAsia" w:cs="Times New Roman"/>
          <w:color w:val="auto"/>
          <w:sz w:val="21"/>
          <w:szCs w:val="21"/>
          <w:highlight w:val="none"/>
          <w:u w:val="none"/>
          <w:lang w:val="en-US" w:eastAsia="zh-CN"/>
        </w:rPr>
        <w:t>11</w:t>
      </w:r>
      <w:r>
        <w:rPr>
          <w:rFonts w:hint="default" w:ascii="Times New Roman" w:hAnsi="Times New Roman" w:eastAsia="宋体" w:cs="Times New Roman"/>
          <w:color w:val="auto"/>
          <w:sz w:val="21"/>
          <w:szCs w:val="21"/>
          <w:highlight w:val="none"/>
          <w:u w:val="none"/>
          <w:lang w:eastAsia="zh-CN"/>
        </w:rPr>
        <w:t>月</w:t>
      </w:r>
      <w:r>
        <w:rPr>
          <w:rFonts w:hint="eastAsia" w:cs="Times New Roman"/>
          <w:color w:val="auto"/>
          <w:sz w:val="21"/>
          <w:szCs w:val="21"/>
          <w:highlight w:val="none"/>
          <w:u w:val="none"/>
          <w:lang w:val="en-US" w:eastAsia="zh-CN"/>
        </w:rPr>
        <w:t>21</w:t>
      </w:r>
      <w:r>
        <w:rPr>
          <w:rFonts w:hint="default" w:ascii="Times New Roman" w:hAnsi="Times New Roman" w:eastAsia="宋体" w:cs="Times New Roman"/>
          <w:color w:val="auto"/>
          <w:sz w:val="21"/>
          <w:szCs w:val="21"/>
          <w:highlight w:val="none"/>
          <w:u w:val="none"/>
          <w:lang w:eastAsia="zh-CN"/>
        </w:rPr>
        <w:t>日</w:t>
      </w:r>
      <w:r>
        <w:rPr>
          <w:rFonts w:hint="default" w:ascii="Times New Roman" w:hAnsi="Times New Roman" w:eastAsia="宋体" w:cs="Times New Roman"/>
          <w:color w:val="auto"/>
          <w:sz w:val="21"/>
          <w:szCs w:val="21"/>
          <w:highlight w:val="none"/>
          <w:u w:val="none"/>
        </w:rPr>
        <w:t>，每天上午08:30至11:30，下午14:30至17:30（北京时间，法定节假日除外）。</w:t>
      </w:r>
    </w:p>
    <w:p w14:paraId="25CB0B8F">
      <w:pPr>
        <w:keepNext w:val="0"/>
        <w:keepLines w:val="0"/>
        <w:pageBreakBefore w:val="0"/>
        <w:widowControl w:val="0"/>
        <w:kinsoku/>
        <w:wordWrap/>
        <w:overflowPunct/>
        <w:topLinePunct w:val="0"/>
        <w:autoSpaceDE/>
        <w:autoSpaceDN/>
        <w:bidi w:val="0"/>
        <w:adjustRightInd w:val="0"/>
        <w:snapToGrid w:val="0"/>
        <w:spacing w:line="480" w:lineRule="exact"/>
        <w:ind w:left="0" w:firstLine="480"/>
        <w:textAlignment w:val="auto"/>
        <w:rPr>
          <w:rFonts w:hint="default" w:ascii="Times New Roman" w:hAnsi="Times New Roman" w:eastAsia="宋体" w:cs="Times New Roman"/>
          <w:color w:val="auto"/>
          <w:sz w:val="21"/>
          <w:szCs w:val="21"/>
          <w:highlight w:val="none"/>
          <w:u w:val="none"/>
        </w:rPr>
      </w:pPr>
      <w:r>
        <w:rPr>
          <w:rFonts w:hint="default" w:ascii="Times New Roman" w:hAnsi="Times New Roman" w:eastAsia="宋体" w:cs="Times New Roman"/>
          <w:color w:val="auto"/>
          <w:sz w:val="21"/>
          <w:szCs w:val="21"/>
          <w:highlight w:val="none"/>
          <w:u w:val="none"/>
          <w:lang w:val="en-US" w:eastAsia="zh-CN"/>
        </w:rPr>
        <w:t>2.采购文件获取</w:t>
      </w:r>
      <w:r>
        <w:rPr>
          <w:rFonts w:hint="default" w:ascii="Times New Roman" w:hAnsi="Times New Roman" w:eastAsia="宋体" w:cs="Times New Roman"/>
          <w:color w:val="auto"/>
          <w:sz w:val="21"/>
          <w:szCs w:val="21"/>
          <w:highlight w:val="none"/>
          <w:u w:val="none"/>
        </w:rPr>
        <w:t>地点：</w:t>
      </w:r>
      <w:r>
        <w:rPr>
          <w:rFonts w:hint="default" w:ascii="Times New Roman" w:hAnsi="Times New Roman" w:eastAsia="宋体" w:cs="Times New Roman"/>
          <w:color w:val="000000" w:themeColor="text1"/>
          <w:sz w:val="21"/>
          <w:szCs w:val="21"/>
          <w:highlight w:val="none"/>
          <w:u w:val="none"/>
          <w14:textFill>
            <w14:solidFill>
              <w14:schemeClr w14:val="tx1"/>
            </w14:solidFill>
          </w14:textFill>
        </w:rPr>
        <w:t>苏采云网上系统获取</w:t>
      </w:r>
      <w:r>
        <w:rPr>
          <w:rFonts w:hint="default" w:ascii="Times New Roman" w:hAnsi="Times New Roman" w:eastAsia="宋体" w:cs="Times New Roman"/>
          <w:color w:val="auto"/>
          <w:sz w:val="21"/>
          <w:szCs w:val="21"/>
          <w:highlight w:val="none"/>
          <w:u w:val="none"/>
        </w:rPr>
        <w:t>。</w:t>
      </w:r>
    </w:p>
    <w:p w14:paraId="2CE63E01">
      <w:pPr>
        <w:keepNext w:val="0"/>
        <w:keepLines w:val="0"/>
        <w:pageBreakBefore w:val="0"/>
        <w:widowControl w:val="0"/>
        <w:kinsoku/>
        <w:wordWrap/>
        <w:overflowPunct/>
        <w:topLinePunct w:val="0"/>
        <w:autoSpaceDE/>
        <w:autoSpaceDN/>
        <w:bidi w:val="0"/>
        <w:adjustRightInd w:val="0"/>
        <w:snapToGrid w:val="0"/>
        <w:spacing w:line="480" w:lineRule="exact"/>
        <w:ind w:left="0" w:firstLine="480"/>
        <w:textAlignment w:val="auto"/>
        <w:rPr>
          <w:rFonts w:hint="default" w:ascii="Times New Roman" w:hAnsi="Times New Roman" w:eastAsia="宋体" w:cs="Times New Roman"/>
          <w:color w:val="000000"/>
          <w:sz w:val="21"/>
          <w:szCs w:val="21"/>
          <w:highlight w:val="none"/>
          <w:u w:val="none"/>
        </w:rPr>
      </w:pPr>
      <w:r>
        <w:rPr>
          <w:rFonts w:hint="default" w:ascii="Times New Roman" w:hAnsi="Times New Roman" w:eastAsia="宋体" w:cs="Times New Roman"/>
          <w:color w:val="auto"/>
          <w:sz w:val="21"/>
          <w:szCs w:val="21"/>
          <w:highlight w:val="none"/>
          <w:u w:val="none"/>
          <w:lang w:val="en-US" w:eastAsia="zh-CN"/>
        </w:rPr>
        <w:t>3.采购文件获取</w:t>
      </w:r>
      <w:r>
        <w:rPr>
          <w:rFonts w:hint="default" w:ascii="Times New Roman" w:hAnsi="Times New Roman" w:eastAsia="宋体" w:cs="Times New Roman"/>
          <w:color w:val="auto"/>
          <w:sz w:val="21"/>
          <w:szCs w:val="21"/>
          <w:highlight w:val="none"/>
          <w:u w:val="none"/>
        </w:rPr>
        <w:t>方式：</w:t>
      </w:r>
      <w:r>
        <w:rPr>
          <w:rFonts w:hint="default" w:ascii="Times New Roman" w:hAnsi="Times New Roman" w:eastAsia="宋体" w:cs="Times New Roman"/>
          <w:color w:val="auto"/>
          <w:sz w:val="21"/>
          <w:szCs w:val="21"/>
          <w:highlight w:val="none"/>
          <w:u w:val="none"/>
        </w:rPr>
        <w:fldChar w:fldCharType="begin"/>
      </w:r>
      <w:r>
        <w:rPr>
          <w:rFonts w:hint="default" w:ascii="Times New Roman" w:hAnsi="Times New Roman" w:eastAsia="宋体" w:cs="Times New Roman"/>
          <w:color w:val="auto"/>
          <w:sz w:val="21"/>
          <w:szCs w:val="21"/>
          <w:highlight w:val="none"/>
          <w:u w:val="none"/>
        </w:rPr>
        <w:instrText xml:space="preserve"> HYPERLINK "mailto:供应商须在本招标文件发售时间内，将投标供应商营业执照、授权委托书（或介绍信）、法定代表人身份证原件、授权委托人身份证原件的电子扫描（或截图件）,发送至代理公司电子邮箱1445163943@qq.com中。" </w:instrText>
      </w:r>
      <w:r>
        <w:rPr>
          <w:rFonts w:hint="default" w:ascii="Times New Roman" w:hAnsi="Times New Roman" w:eastAsia="宋体" w:cs="Times New Roman"/>
          <w:color w:val="auto"/>
          <w:sz w:val="21"/>
          <w:szCs w:val="21"/>
          <w:highlight w:val="none"/>
          <w:u w:val="none"/>
        </w:rPr>
        <w:fldChar w:fldCharType="separate"/>
      </w:r>
      <w:r>
        <w:rPr>
          <w:rFonts w:hint="default" w:ascii="Times New Roman" w:hAnsi="Times New Roman" w:eastAsia="宋体" w:cs="Times New Roman"/>
          <w:color w:val="000000" w:themeColor="text1"/>
          <w:sz w:val="21"/>
          <w:szCs w:val="21"/>
          <w:highlight w:val="none"/>
          <w:u w:val="none"/>
          <w14:textFill>
            <w14:solidFill>
              <w14:schemeClr w14:val="tx1"/>
            </w14:solidFill>
          </w14:textFill>
        </w:rPr>
        <w:t>苏采云网上系统获取</w:t>
      </w:r>
      <w:r>
        <w:rPr>
          <w:rStyle w:val="246"/>
          <w:rFonts w:hint="default" w:ascii="Times New Roman" w:hAnsi="Times New Roman" w:eastAsia="宋体" w:cs="Times New Roman"/>
          <w:color w:val="auto"/>
          <w:sz w:val="21"/>
          <w:szCs w:val="21"/>
          <w:highlight w:val="none"/>
          <w:u w:val="none"/>
        </w:rPr>
        <w:t>。</w:t>
      </w:r>
      <w:r>
        <w:rPr>
          <w:rFonts w:hint="default" w:ascii="Times New Roman" w:hAnsi="Times New Roman" w:eastAsia="宋体" w:cs="Times New Roman"/>
          <w:color w:val="auto"/>
          <w:sz w:val="21"/>
          <w:szCs w:val="21"/>
          <w:highlight w:val="none"/>
          <w:u w:val="none"/>
        </w:rPr>
        <w:fldChar w:fldCharType="end"/>
      </w:r>
    </w:p>
    <w:p w14:paraId="2AEFB404">
      <w:pPr>
        <w:keepNext w:val="0"/>
        <w:keepLines w:val="0"/>
        <w:pageBreakBefore w:val="0"/>
        <w:widowControl w:val="0"/>
        <w:kinsoku/>
        <w:wordWrap/>
        <w:overflowPunct/>
        <w:topLinePunct w:val="0"/>
        <w:autoSpaceDE/>
        <w:autoSpaceDN/>
        <w:bidi w:val="0"/>
        <w:adjustRightInd w:val="0"/>
        <w:snapToGrid w:val="0"/>
        <w:spacing w:line="480" w:lineRule="exact"/>
        <w:ind w:left="0" w:firstLine="480"/>
        <w:textAlignment w:val="auto"/>
        <w:rPr>
          <w:rFonts w:hint="default" w:ascii="Times New Roman" w:hAnsi="Times New Roman" w:eastAsia="宋体" w:cs="Times New Roman"/>
          <w:color w:val="000000"/>
          <w:sz w:val="21"/>
          <w:szCs w:val="21"/>
          <w:highlight w:val="none"/>
          <w:lang w:val="en-US" w:eastAsia="zh-CN" w:bidi="ar-SA"/>
        </w:rPr>
      </w:pPr>
      <w:r>
        <w:rPr>
          <w:rFonts w:hint="default" w:ascii="Times New Roman" w:hAnsi="Times New Roman" w:eastAsia="宋体" w:cs="Times New Roman"/>
          <w:color w:val="000000"/>
          <w:sz w:val="21"/>
          <w:szCs w:val="21"/>
          <w:highlight w:val="none"/>
          <w:lang w:val="en-US" w:eastAsia="zh-CN" w:bidi="ar-SA"/>
        </w:rPr>
        <w:t>4.采购文件售价：免费获取。</w:t>
      </w:r>
    </w:p>
    <w:p w14:paraId="6AB717B6">
      <w:pPr>
        <w:pStyle w:val="194"/>
        <w:keepNext w:val="0"/>
        <w:keepLines w:val="0"/>
        <w:pageBreakBefore w:val="0"/>
        <w:widowControl w:val="0"/>
        <w:tabs>
          <w:tab w:val="left" w:pos="0"/>
          <w:tab w:val="left" w:pos="3165"/>
          <w:tab w:val="center" w:pos="4153"/>
        </w:tabs>
        <w:kinsoku/>
        <w:wordWrap/>
        <w:overflowPunct/>
        <w:topLinePunct w:val="0"/>
        <w:autoSpaceDE/>
        <w:autoSpaceDN/>
        <w:bidi w:val="0"/>
        <w:adjustRightInd w:val="0"/>
        <w:snapToGrid w:val="0"/>
        <w:spacing w:line="480" w:lineRule="exact"/>
        <w:ind w:left="0" w:firstLine="480"/>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000000"/>
          <w:sz w:val="21"/>
          <w:szCs w:val="21"/>
          <w:highlight w:val="none"/>
        </w:rPr>
        <w:t>四、提交</w:t>
      </w:r>
      <w:r>
        <w:rPr>
          <w:rFonts w:hint="default" w:ascii="Times New Roman" w:hAnsi="Times New Roman" w:eastAsia="宋体" w:cs="Times New Roman"/>
          <w:color w:val="auto"/>
          <w:sz w:val="21"/>
          <w:szCs w:val="21"/>
          <w:highlight w:val="none"/>
        </w:rPr>
        <w:t>投标文件</w:t>
      </w:r>
      <w:bookmarkEnd w:id="19"/>
      <w:bookmarkEnd w:id="20"/>
      <w:r>
        <w:rPr>
          <w:rFonts w:hint="default" w:ascii="Times New Roman" w:hAnsi="Times New Roman" w:eastAsia="宋体" w:cs="Times New Roman"/>
          <w:color w:val="auto"/>
          <w:sz w:val="21"/>
          <w:szCs w:val="21"/>
          <w:highlight w:val="none"/>
        </w:rPr>
        <w:t>截止时间、开标时间和地点</w:t>
      </w:r>
      <w:bookmarkEnd w:id="21"/>
      <w:bookmarkEnd w:id="22"/>
    </w:p>
    <w:p w14:paraId="25FA7FEF">
      <w:pPr>
        <w:pStyle w:val="194"/>
        <w:keepNext w:val="0"/>
        <w:keepLines w:val="0"/>
        <w:pageBreakBefore w:val="0"/>
        <w:widowControl w:val="0"/>
        <w:tabs>
          <w:tab w:val="left" w:pos="0"/>
          <w:tab w:val="left" w:pos="3165"/>
          <w:tab w:val="center" w:pos="4153"/>
        </w:tabs>
        <w:kinsoku/>
        <w:wordWrap/>
        <w:overflowPunct/>
        <w:topLinePunct w:val="0"/>
        <w:autoSpaceDE/>
        <w:autoSpaceDN/>
        <w:bidi w:val="0"/>
        <w:adjustRightInd w:val="0"/>
        <w:snapToGrid w:val="0"/>
        <w:spacing w:line="480" w:lineRule="exact"/>
        <w:ind w:left="0" w:firstLine="480"/>
        <w:jc w:val="left"/>
        <w:textAlignment w:val="auto"/>
        <w:rPr>
          <w:rFonts w:hint="default" w:ascii="Times New Roman" w:hAnsi="Times New Roman" w:eastAsia="宋体" w:cs="Times New Roman"/>
          <w:color w:val="auto"/>
          <w:sz w:val="21"/>
          <w:szCs w:val="21"/>
          <w:highlight w:val="none"/>
          <w:lang w:eastAsia="zh-CN"/>
        </w:rPr>
      </w:pPr>
      <w:bookmarkStart w:id="23" w:name="_Toc35393794"/>
      <w:bookmarkStart w:id="24" w:name="_Toc35393625"/>
      <w:bookmarkStart w:id="25" w:name="_Toc28359084"/>
      <w:bookmarkStart w:id="26" w:name="_Toc28359007"/>
      <w:r>
        <w:rPr>
          <w:rFonts w:hint="default" w:ascii="Times New Roman" w:hAnsi="Times New Roman" w:eastAsia="宋体" w:cs="Times New Roman"/>
          <w:color w:val="auto"/>
          <w:sz w:val="21"/>
          <w:szCs w:val="21"/>
          <w:highlight w:val="none"/>
        </w:rPr>
        <w:t>1.提交投标文件截止时间、开标时间均为：</w:t>
      </w:r>
      <w:r>
        <w:rPr>
          <w:rFonts w:hint="default" w:ascii="Times New Roman" w:hAnsi="Times New Roman" w:eastAsia="宋体" w:cs="Times New Roman"/>
          <w:b/>
          <w:bCs/>
          <w:color w:val="auto"/>
          <w:sz w:val="21"/>
          <w:szCs w:val="21"/>
          <w:highlight w:val="none"/>
          <w:u w:val="single"/>
          <w:lang w:eastAsia="zh-CN"/>
        </w:rPr>
        <w:t>2024年</w:t>
      </w:r>
      <w:r>
        <w:rPr>
          <w:rFonts w:hint="eastAsia" w:ascii="Times New Roman" w:eastAsia="宋体" w:cs="Times New Roman"/>
          <w:b/>
          <w:bCs/>
          <w:color w:val="auto"/>
          <w:sz w:val="21"/>
          <w:szCs w:val="21"/>
          <w:highlight w:val="none"/>
          <w:u w:val="single"/>
          <w:lang w:val="en-US" w:eastAsia="zh-CN"/>
        </w:rPr>
        <w:t>12</w:t>
      </w:r>
      <w:r>
        <w:rPr>
          <w:rFonts w:hint="default" w:ascii="Times New Roman" w:hAnsi="Times New Roman" w:eastAsia="宋体" w:cs="Times New Roman"/>
          <w:b/>
          <w:bCs/>
          <w:color w:val="auto"/>
          <w:sz w:val="21"/>
          <w:szCs w:val="21"/>
          <w:highlight w:val="none"/>
          <w:u w:val="single"/>
          <w:lang w:eastAsia="zh-CN"/>
        </w:rPr>
        <w:t>月</w:t>
      </w:r>
      <w:r>
        <w:rPr>
          <w:rFonts w:hint="eastAsia" w:ascii="Times New Roman" w:eastAsia="宋体" w:cs="Times New Roman"/>
          <w:b/>
          <w:bCs/>
          <w:color w:val="auto"/>
          <w:sz w:val="21"/>
          <w:szCs w:val="21"/>
          <w:highlight w:val="none"/>
          <w:u w:val="single"/>
          <w:lang w:val="en-US" w:eastAsia="zh-CN"/>
        </w:rPr>
        <w:t>5</w:t>
      </w:r>
      <w:r>
        <w:rPr>
          <w:rFonts w:hint="default" w:ascii="Times New Roman" w:hAnsi="Times New Roman" w:eastAsia="宋体" w:cs="Times New Roman"/>
          <w:b/>
          <w:bCs/>
          <w:color w:val="auto"/>
          <w:sz w:val="21"/>
          <w:szCs w:val="21"/>
          <w:highlight w:val="none"/>
          <w:u w:val="single"/>
          <w:lang w:eastAsia="zh-CN"/>
        </w:rPr>
        <w:t>日15点00分</w:t>
      </w:r>
      <w:r>
        <w:rPr>
          <w:rFonts w:hint="default" w:ascii="Times New Roman" w:hAnsi="Times New Roman" w:eastAsia="宋体" w:cs="Times New Roman"/>
          <w:b/>
          <w:bCs/>
          <w:color w:val="auto"/>
          <w:sz w:val="21"/>
          <w:szCs w:val="21"/>
          <w:highlight w:val="none"/>
          <w:u w:val="single"/>
        </w:rPr>
        <w:t>（北京时间）</w:t>
      </w:r>
      <w:r>
        <w:rPr>
          <w:rFonts w:hint="default" w:ascii="Times New Roman" w:hAnsi="Times New Roman" w:eastAsia="宋体" w:cs="Times New Roman"/>
          <w:color w:val="auto"/>
          <w:sz w:val="21"/>
          <w:szCs w:val="21"/>
          <w:highlight w:val="none"/>
          <w:lang w:eastAsia="zh-CN"/>
        </w:rPr>
        <w:t>。</w:t>
      </w:r>
    </w:p>
    <w:p w14:paraId="79232D06">
      <w:pPr>
        <w:pStyle w:val="194"/>
        <w:keepNext w:val="0"/>
        <w:keepLines w:val="0"/>
        <w:pageBreakBefore w:val="0"/>
        <w:widowControl w:val="0"/>
        <w:tabs>
          <w:tab w:val="left" w:pos="0"/>
          <w:tab w:val="left" w:pos="3165"/>
          <w:tab w:val="center" w:pos="4153"/>
        </w:tabs>
        <w:kinsoku/>
        <w:wordWrap/>
        <w:overflowPunct/>
        <w:topLinePunct w:val="0"/>
        <w:autoSpaceDE/>
        <w:autoSpaceDN/>
        <w:bidi w:val="0"/>
        <w:adjustRightInd w:val="0"/>
        <w:snapToGrid w:val="0"/>
        <w:spacing w:line="480" w:lineRule="exact"/>
        <w:ind w:left="0" w:firstLine="480"/>
        <w:jc w:val="left"/>
        <w:textAlignment w:val="auto"/>
        <w:rPr>
          <w:rFonts w:hint="default" w:ascii="Times New Roman" w:hAnsi="Times New Roman" w:eastAsia="宋体" w:cs="Times New Roman"/>
          <w:color w:val="auto"/>
          <w:sz w:val="21"/>
          <w:szCs w:val="21"/>
          <w:highlight w:val="none"/>
          <w:u w:val="single"/>
          <w:lang w:val="en-US" w:eastAsia="zh-CN"/>
        </w:rPr>
      </w:pPr>
      <w:r>
        <w:rPr>
          <w:rFonts w:hint="default" w:ascii="Times New Roman" w:hAnsi="Times New Roman" w:eastAsia="宋体" w:cs="Times New Roman"/>
          <w:color w:val="auto"/>
          <w:sz w:val="21"/>
          <w:szCs w:val="21"/>
          <w:highlight w:val="none"/>
        </w:rPr>
        <w:t>2.</w:t>
      </w:r>
      <w:r>
        <w:rPr>
          <w:rFonts w:hint="default" w:ascii="Times New Roman" w:hAnsi="Times New Roman" w:eastAsia="宋体" w:cs="Times New Roman"/>
          <w:color w:val="auto"/>
          <w:sz w:val="21"/>
          <w:szCs w:val="21"/>
          <w:highlight w:val="none"/>
          <w:lang w:eastAsia="zh-CN"/>
        </w:rPr>
        <w:t>地点：</w:t>
      </w:r>
      <w:r>
        <w:rPr>
          <w:rFonts w:hint="default" w:ascii="Times New Roman" w:hAnsi="Times New Roman" w:eastAsia="宋体" w:cs="Times New Roman"/>
          <w:color w:val="auto"/>
          <w:sz w:val="21"/>
          <w:szCs w:val="21"/>
          <w:highlight w:val="none"/>
        </w:rPr>
        <w:t>“苏采云”政府采购交易系统网上开标大厅。</w:t>
      </w:r>
    </w:p>
    <w:p w14:paraId="649CC968">
      <w:pPr>
        <w:pStyle w:val="194"/>
        <w:keepNext w:val="0"/>
        <w:keepLines w:val="0"/>
        <w:pageBreakBefore w:val="0"/>
        <w:widowControl w:val="0"/>
        <w:tabs>
          <w:tab w:val="left" w:pos="0"/>
          <w:tab w:val="left" w:pos="3165"/>
          <w:tab w:val="center" w:pos="4153"/>
        </w:tabs>
        <w:kinsoku/>
        <w:wordWrap/>
        <w:overflowPunct/>
        <w:topLinePunct w:val="0"/>
        <w:autoSpaceDE/>
        <w:autoSpaceDN/>
        <w:bidi w:val="0"/>
        <w:adjustRightInd w:val="0"/>
        <w:snapToGrid w:val="0"/>
        <w:spacing w:line="480" w:lineRule="exact"/>
        <w:ind w:left="0" w:firstLine="480"/>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五、公告期限</w:t>
      </w:r>
      <w:bookmarkEnd w:id="23"/>
      <w:bookmarkEnd w:id="24"/>
      <w:bookmarkEnd w:id="25"/>
      <w:bookmarkEnd w:id="26"/>
    </w:p>
    <w:p w14:paraId="13DC0C1B">
      <w:pPr>
        <w:keepNext w:val="0"/>
        <w:keepLines w:val="0"/>
        <w:pageBreakBefore w:val="0"/>
        <w:widowControl w:val="0"/>
        <w:kinsoku/>
        <w:wordWrap/>
        <w:overflowPunct/>
        <w:topLinePunct w:val="0"/>
        <w:autoSpaceDE/>
        <w:autoSpaceDN/>
        <w:bidi w:val="0"/>
        <w:adjustRightInd w:val="0"/>
        <w:snapToGrid w:val="0"/>
        <w:spacing w:line="480" w:lineRule="exact"/>
        <w:ind w:left="0" w:firstLine="48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自本公告发布之日起5个工作日。</w:t>
      </w:r>
    </w:p>
    <w:p w14:paraId="333A135D">
      <w:pPr>
        <w:pStyle w:val="194"/>
        <w:keepNext w:val="0"/>
        <w:keepLines w:val="0"/>
        <w:pageBreakBefore w:val="0"/>
        <w:widowControl w:val="0"/>
        <w:tabs>
          <w:tab w:val="left" w:pos="0"/>
          <w:tab w:val="left" w:pos="3165"/>
          <w:tab w:val="center" w:pos="4153"/>
        </w:tabs>
        <w:kinsoku/>
        <w:wordWrap/>
        <w:overflowPunct/>
        <w:topLinePunct w:val="0"/>
        <w:autoSpaceDE/>
        <w:autoSpaceDN/>
        <w:bidi w:val="0"/>
        <w:adjustRightInd w:val="0"/>
        <w:snapToGrid w:val="0"/>
        <w:spacing w:line="480" w:lineRule="exact"/>
        <w:ind w:left="0" w:firstLine="480"/>
        <w:jc w:val="left"/>
        <w:textAlignment w:val="auto"/>
        <w:rPr>
          <w:rFonts w:hint="default" w:ascii="Times New Roman" w:hAnsi="Times New Roman" w:eastAsia="宋体" w:cs="Times New Roman"/>
          <w:color w:val="auto"/>
          <w:sz w:val="21"/>
          <w:szCs w:val="21"/>
          <w:highlight w:val="none"/>
        </w:rPr>
      </w:pPr>
      <w:bookmarkStart w:id="27" w:name="_Toc35393626"/>
      <w:bookmarkStart w:id="28" w:name="_Toc35393795"/>
      <w:r>
        <w:rPr>
          <w:rFonts w:hint="default" w:ascii="Times New Roman" w:hAnsi="Times New Roman" w:eastAsia="宋体" w:cs="Times New Roman"/>
          <w:color w:val="auto"/>
          <w:sz w:val="21"/>
          <w:szCs w:val="21"/>
          <w:highlight w:val="none"/>
        </w:rPr>
        <w:t>六、其他补充事宜</w:t>
      </w:r>
      <w:bookmarkEnd w:id="27"/>
      <w:bookmarkEnd w:id="28"/>
    </w:p>
    <w:p w14:paraId="4D7C168E">
      <w:pPr>
        <w:keepNext w:val="0"/>
        <w:keepLines w:val="0"/>
        <w:pageBreakBefore w:val="0"/>
        <w:widowControl w:val="0"/>
        <w:kinsoku/>
        <w:wordWrap/>
        <w:overflowPunct/>
        <w:topLinePunct w:val="0"/>
        <w:autoSpaceDE/>
        <w:autoSpaceDN/>
        <w:bidi w:val="0"/>
        <w:adjustRightInd w:val="0"/>
        <w:snapToGrid w:val="0"/>
        <w:spacing w:line="480" w:lineRule="exact"/>
        <w:ind w:left="0" w:firstLine="420" w:firstLineChars="20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p>
    <w:p w14:paraId="75630425">
      <w:pPr>
        <w:keepNext w:val="0"/>
        <w:keepLines w:val="0"/>
        <w:pageBreakBefore w:val="0"/>
        <w:widowControl w:val="0"/>
        <w:kinsoku/>
        <w:wordWrap/>
        <w:overflowPunct/>
        <w:topLinePunct w:val="0"/>
        <w:autoSpaceDE/>
        <w:autoSpaceDN/>
        <w:bidi w:val="0"/>
        <w:adjustRightInd w:val="0"/>
        <w:snapToGrid w:val="0"/>
        <w:spacing w:line="480" w:lineRule="exact"/>
        <w:ind w:left="0" w:firstLine="420" w:firstLineChars="20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http://czj.yancheng.gov.cn/art/2023/9/14/art_2407_4057499.html。</w:t>
      </w:r>
    </w:p>
    <w:p w14:paraId="7A486E6F">
      <w:pPr>
        <w:keepNext w:val="0"/>
        <w:keepLines w:val="0"/>
        <w:pageBreakBefore w:val="0"/>
        <w:widowControl w:val="0"/>
        <w:kinsoku/>
        <w:wordWrap/>
        <w:overflowPunct/>
        <w:topLinePunct w:val="0"/>
        <w:autoSpaceDE/>
        <w:autoSpaceDN/>
        <w:bidi w:val="0"/>
        <w:adjustRightInd w:val="0"/>
        <w:snapToGrid w:val="0"/>
        <w:spacing w:line="480" w:lineRule="exact"/>
        <w:ind w:left="0" w:firstLine="420" w:firstLineChars="20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rPr>
        <w:t>有关本次招标的事项若存在变动或修改，敬请及时关注采购人在“中国政府采购网”、“江苏政府采购网”、“盐城市政府采购网”发布的更正公告。</w:t>
      </w:r>
    </w:p>
    <w:p w14:paraId="7375F931">
      <w:pPr>
        <w:keepNext w:val="0"/>
        <w:keepLines w:val="0"/>
        <w:pageBreakBefore w:val="0"/>
        <w:widowControl w:val="0"/>
        <w:kinsoku/>
        <w:wordWrap/>
        <w:overflowPunct/>
        <w:topLinePunct w:val="0"/>
        <w:autoSpaceDE/>
        <w:autoSpaceDN/>
        <w:bidi w:val="0"/>
        <w:adjustRightInd w:val="0"/>
        <w:snapToGrid w:val="0"/>
        <w:spacing w:line="480" w:lineRule="exact"/>
        <w:ind w:firstLine="420" w:firstLineChars="200"/>
        <w:textAlignment w:val="auto"/>
        <w:rPr>
          <w:rFonts w:hint="default" w:ascii="Times New Roman" w:hAnsi="Times New Roman" w:eastAsia="宋体" w:cs="Times New Roman"/>
          <w:bCs/>
          <w:color w:val="auto"/>
          <w:sz w:val="21"/>
          <w:szCs w:val="21"/>
          <w:highlight w:val="none"/>
          <w:u w:val="none"/>
        </w:rPr>
      </w:pP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eastAsia="宋体" w:cs="Times New Roman"/>
          <w:bCs/>
          <w:color w:val="auto"/>
          <w:sz w:val="21"/>
          <w:szCs w:val="21"/>
          <w:highlight w:val="none"/>
          <w:u w:val="none"/>
        </w:rPr>
        <w:t>本项目采用“资格后审”的“综合评分法”确定中标候选人。未通过资格审查的投标文件将被视为无效标处理；对通过初步评审的投标文件，评标委员会将按评分办法和标准进行评分，总分值为100分，评分细则详见</w:t>
      </w:r>
      <w:r>
        <w:rPr>
          <w:rFonts w:hint="default" w:ascii="Times New Roman" w:hAnsi="Times New Roman" w:eastAsia="宋体" w:cs="Times New Roman"/>
          <w:bCs/>
          <w:color w:val="auto"/>
          <w:sz w:val="21"/>
          <w:szCs w:val="21"/>
          <w:highlight w:val="none"/>
          <w:u w:val="none"/>
          <w:lang w:val="en-US" w:eastAsia="zh-CN"/>
        </w:rPr>
        <w:t>采购文件</w:t>
      </w:r>
      <w:r>
        <w:rPr>
          <w:rFonts w:hint="default" w:ascii="Times New Roman" w:hAnsi="Times New Roman" w:eastAsia="宋体" w:cs="Times New Roman"/>
          <w:bCs/>
          <w:color w:val="auto"/>
          <w:sz w:val="21"/>
          <w:szCs w:val="21"/>
          <w:highlight w:val="none"/>
          <w:u w:val="none"/>
        </w:rPr>
        <w:t>。</w:t>
      </w:r>
    </w:p>
    <w:p w14:paraId="0A7B134A">
      <w:pPr>
        <w:keepNext w:val="0"/>
        <w:keepLines w:val="0"/>
        <w:pageBreakBefore w:val="0"/>
        <w:widowControl w:val="0"/>
        <w:kinsoku/>
        <w:wordWrap/>
        <w:overflowPunct/>
        <w:topLinePunct w:val="0"/>
        <w:autoSpaceDE/>
        <w:autoSpaceDN/>
        <w:bidi w:val="0"/>
        <w:adjustRightInd w:val="0"/>
        <w:snapToGrid w:val="0"/>
        <w:spacing w:line="480" w:lineRule="exact"/>
        <w:ind w:firstLine="420" w:firstLineChars="200"/>
        <w:textAlignment w:val="auto"/>
        <w:rPr>
          <w:rFonts w:hint="default" w:ascii="Times New Roman" w:hAnsi="Times New Roman" w:eastAsia="宋体" w:cs="Times New Roman"/>
          <w:bCs/>
          <w:color w:val="auto"/>
          <w:sz w:val="21"/>
          <w:szCs w:val="21"/>
          <w:highlight w:val="none"/>
          <w:u w:val="none"/>
        </w:rPr>
      </w:pPr>
      <w:r>
        <w:rPr>
          <w:rFonts w:hint="default" w:ascii="Times New Roman" w:hAnsi="Times New Roman" w:eastAsia="宋体" w:cs="Times New Roman"/>
          <w:color w:val="auto"/>
          <w:sz w:val="21"/>
          <w:szCs w:val="21"/>
          <w:highlight w:val="none"/>
          <w:lang w:val="en-US" w:eastAsia="zh-CN"/>
        </w:rPr>
        <w:t>4.</w:t>
      </w:r>
      <w:r>
        <w:rPr>
          <w:rFonts w:hint="default" w:ascii="Times New Roman" w:hAnsi="Times New Roman" w:eastAsia="宋体" w:cs="Times New Roman"/>
          <w:bCs/>
          <w:color w:val="auto"/>
          <w:sz w:val="21"/>
          <w:szCs w:val="21"/>
          <w:highlight w:val="none"/>
          <w:u w:val="none"/>
        </w:rPr>
        <w:t>投标供应商在获取招标文件后，若对招标文件有疑问（包括询问、质疑和投诉），应当按照《政府采购质疑和投诉办法》（中华人民共和国财政部令第94号）要求提交书面函件至采购人或招标代理机构。未按照《政府采购质疑和投诉办法》（中华人民共和国财政部令第94号）规定方式和时间递交的疑问（包括询问、质疑和投诉）均将根据江苏省财政厅印发的《政府采购质疑处理流程》（苏财购（2018）86号）规定依法不予受理或采购人有权拒绝回答，也不承担由此带来的对投标供应商投标结果的影响。</w:t>
      </w:r>
    </w:p>
    <w:p w14:paraId="0518B199">
      <w:pPr>
        <w:keepNext w:val="0"/>
        <w:keepLines w:val="0"/>
        <w:pageBreakBefore w:val="0"/>
        <w:widowControl w:val="0"/>
        <w:kinsoku/>
        <w:wordWrap/>
        <w:overflowPunct/>
        <w:topLinePunct w:val="0"/>
        <w:autoSpaceDE/>
        <w:autoSpaceDN/>
        <w:bidi w:val="0"/>
        <w:adjustRightInd w:val="0"/>
        <w:snapToGrid w:val="0"/>
        <w:spacing w:line="480" w:lineRule="exact"/>
        <w:ind w:firstLine="420" w:firstLineChars="200"/>
        <w:textAlignment w:val="auto"/>
        <w:rPr>
          <w:rFonts w:hint="default" w:ascii="Times New Roman" w:hAnsi="Times New Roman" w:eastAsia="宋体" w:cs="Times New Roman"/>
          <w:bCs/>
          <w:color w:val="auto"/>
          <w:sz w:val="21"/>
          <w:szCs w:val="21"/>
          <w:highlight w:val="none"/>
          <w:u w:val="none"/>
        </w:rPr>
      </w:pPr>
      <w:r>
        <w:rPr>
          <w:rFonts w:hint="default" w:ascii="Times New Roman" w:hAnsi="Times New Roman" w:eastAsia="宋体" w:cs="Times New Roman"/>
          <w:color w:val="auto"/>
          <w:sz w:val="21"/>
          <w:szCs w:val="21"/>
          <w:highlight w:val="none"/>
          <w:lang w:val="en-US" w:eastAsia="zh-CN"/>
        </w:rPr>
        <w:t>5.</w:t>
      </w:r>
      <w:r>
        <w:rPr>
          <w:rFonts w:hint="default" w:ascii="Times New Roman" w:hAnsi="Times New Roman" w:eastAsia="宋体" w:cs="Times New Roman"/>
          <w:bCs/>
          <w:color w:val="auto"/>
          <w:sz w:val="21"/>
          <w:szCs w:val="21"/>
          <w:highlight w:val="none"/>
          <w:u w:val="none"/>
        </w:rPr>
        <w:t>采购人若收到质疑函后，将根据《政府采购质疑处理流程》（苏财购（2018）86号）审查质疑人是否具有质疑资格，经审查不具备质疑资格的，采购人将依法不予受理，并且告知质疑人不予受理的原因。不具备质疑资格的质疑人若严重扰乱本项目招投标活动秩序、造成重大影响或损失的（包括但不限于耽误工期、各项费用损失等），采购人将依法追究其法律责任并上报相关行政主管部门。</w:t>
      </w:r>
    </w:p>
    <w:p w14:paraId="04A809DD">
      <w:pPr>
        <w:keepNext w:val="0"/>
        <w:keepLines w:val="0"/>
        <w:pageBreakBefore w:val="0"/>
        <w:widowControl/>
        <w:shd w:val="clear" w:color="auto" w:fill="FFFFFF"/>
        <w:kinsoku/>
        <w:wordWrap/>
        <w:overflowPunct/>
        <w:topLinePunct w:val="0"/>
        <w:autoSpaceDE/>
        <w:autoSpaceDN/>
        <w:bidi w:val="0"/>
        <w:adjustRightInd w:val="0"/>
        <w:snapToGrid w:val="0"/>
        <w:spacing w:line="480" w:lineRule="exact"/>
        <w:ind w:firstLine="420" w:firstLineChars="200"/>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6.</w:t>
      </w:r>
      <w:r>
        <w:rPr>
          <w:rFonts w:hint="default" w:ascii="Times New Roman" w:hAnsi="Times New Roman" w:eastAsia="宋体" w:cs="Times New Roman"/>
          <w:color w:val="auto"/>
          <w:sz w:val="21"/>
          <w:szCs w:val="21"/>
          <w:highlight w:val="none"/>
        </w:rPr>
        <w:t>本项目不收取投标保证金，不收取质量保证金。</w:t>
      </w:r>
    </w:p>
    <w:p w14:paraId="28D2422D">
      <w:pPr>
        <w:keepNext w:val="0"/>
        <w:keepLines w:val="0"/>
        <w:pageBreakBefore w:val="0"/>
        <w:widowControl/>
        <w:shd w:val="clear" w:color="auto" w:fill="FFFFFF"/>
        <w:kinsoku/>
        <w:wordWrap/>
        <w:overflowPunct/>
        <w:topLinePunct w:val="0"/>
        <w:autoSpaceDE/>
        <w:autoSpaceDN/>
        <w:bidi w:val="0"/>
        <w:adjustRightInd w:val="0"/>
        <w:snapToGrid w:val="0"/>
        <w:spacing w:line="480" w:lineRule="exact"/>
        <w:ind w:firstLine="420" w:firstLineChars="200"/>
        <w:jc w:val="left"/>
        <w:textAlignment w:val="auto"/>
        <w:rPr>
          <w:rFonts w:hint="default" w:ascii="Times New Roman" w:hAnsi="Times New Roman" w:eastAsia="宋体" w:cs="Times New Roman"/>
          <w:color w:val="auto"/>
          <w:sz w:val="21"/>
          <w:szCs w:val="21"/>
          <w:highlight w:val="none"/>
          <w:lang w:bidi="ar"/>
        </w:rPr>
      </w:pPr>
      <w:r>
        <w:rPr>
          <w:rFonts w:hint="default" w:ascii="Times New Roman" w:hAnsi="Times New Roman" w:eastAsia="宋体" w:cs="Times New Roman"/>
          <w:color w:val="auto"/>
          <w:sz w:val="21"/>
          <w:szCs w:val="21"/>
          <w:highlight w:val="none"/>
          <w:lang w:val="en-US" w:eastAsia="zh-CN" w:bidi="ar"/>
        </w:rPr>
        <w:t>7</w:t>
      </w:r>
      <w:r>
        <w:rPr>
          <w:rFonts w:hint="default" w:ascii="Times New Roman" w:hAnsi="Times New Roman" w:eastAsia="宋体" w:cs="Times New Roman"/>
          <w:color w:val="auto"/>
          <w:sz w:val="21"/>
          <w:szCs w:val="21"/>
          <w:highlight w:val="none"/>
          <w:lang w:bidi="ar"/>
        </w:rPr>
        <w:t>.本项目落实小微型企业扶持政府采购政策（详见招标文件）。</w:t>
      </w:r>
    </w:p>
    <w:p w14:paraId="658330F7">
      <w:pPr>
        <w:keepNext w:val="0"/>
        <w:keepLines w:val="0"/>
        <w:pageBreakBefore w:val="0"/>
        <w:widowControl w:val="0"/>
        <w:kinsoku/>
        <w:wordWrap w:val="0"/>
        <w:overflowPunct/>
        <w:topLinePunct w:val="0"/>
        <w:autoSpaceDE/>
        <w:autoSpaceDN/>
        <w:bidi w:val="0"/>
        <w:adjustRightInd/>
        <w:snapToGrid w:val="0"/>
        <w:spacing w:line="480" w:lineRule="exact"/>
        <w:ind w:firstLine="420" w:firstLineChars="200"/>
        <w:textAlignment w:val="auto"/>
        <w:rPr>
          <w:rFonts w:hint="default" w:ascii="Times New Roman" w:hAnsi="Times New Roman" w:eastAsia="宋体" w:cs="Times New Roman"/>
          <w:color w:val="auto"/>
          <w:sz w:val="21"/>
          <w:szCs w:val="21"/>
          <w:highlight w:val="none"/>
          <w:lang w:bidi="ar"/>
        </w:rPr>
      </w:pPr>
      <w:r>
        <w:rPr>
          <w:rFonts w:hint="default" w:ascii="Times New Roman" w:hAnsi="Times New Roman" w:eastAsia="宋体" w:cs="Times New Roman"/>
          <w:color w:val="auto"/>
          <w:sz w:val="21"/>
          <w:szCs w:val="21"/>
          <w:highlight w:val="none"/>
          <w:lang w:val="en-US" w:eastAsia="zh-CN" w:bidi="ar"/>
        </w:rPr>
        <w:t>8</w:t>
      </w:r>
      <w:r>
        <w:rPr>
          <w:rFonts w:hint="default" w:ascii="Times New Roman" w:hAnsi="Times New Roman" w:eastAsia="宋体" w:cs="Times New Roman"/>
          <w:color w:val="auto"/>
          <w:sz w:val="21"/>
          <w:szCs w:val="21"/>
          <w:highlight w:val="none"/>
          <w:lang w:bidi="ar"/>
        </w:rPr>
        <w:t>.付款方式：</w:t>
      </w:r>
      <w:r>
        <w:rPr>
          <w:rFonts w:hint="eastAsia" w:ascii="宋体" w:hAnsi="宋体" w:eastAsia="宋体" w:cs="宋体"/>
          <w:color w:val="auto"/>
          <w:sz w:val="21"/>
          <w:szCs w:val="21"/>
          <w:highlight w:val="none"/>
          <w:lang w:bidi="ar"/>
        </w:rPr>
        <w:t>合同签订生效后</w:t>
      </w:r>
      <w:r>
        <w:rPr>
          <w:rFonts w:hint="eastAsia" w:ascii="宋体" w:hAnsi="宋体" w:eastAsia="宋体" w:cs="宋体"/>
          <w:color w:val="auto"/>
          <w:sz w:val="21"/>
          <w:szCs w:val="21"/>
          <w:highlight w:val="none"/>
          <w:lang w:val="en-US" w:eastAsia="zh-CN" w:bidi="ar"/>
        </w:rPr>
        <w:t>7日内</w:t>
      </w:r>
      <w:r>
        <w:rPr>
          <w:rFonts w:hint="eastAsia" w:ascii="宋体" w:hAnsi="宋体" w:eastAsia="宋体" w:cs="宋体"/>
          <w:color w:val="auto"/>
          <w:sz w:val="21"/>
          <w:szCs w:val="21"/>
          <w:highlight w:val="none"/>
          <w:lang w:bidi="ar"/>
        </w:rPr>
        <w:t>，支付合同总额的10%作为预付款(中标人须提供合同总价10%的银行保函)，提交报批成果，取得村庄规划批复，并且将村庄规划成果按照要求汇交到江苏省自然资源厅审查通过后付至合同总金额50%，汇交到江苏省自然资源厅审查通过满一年后结清余款。(均无息,付款及结算时,中标人须提供税务发票)。</w:t>
      </w:r>
    </w:p>
    <w:p w14:paraId="1DBD2813">
      <w:pPr>
        <w:pStyle w:val="194"/>
        <w:keepNext w:val="0"/>
        <w:keepLines w:val="0"/>
        <w:pageBreakBefore w:val="0"/>
        <w:widowControl w:val="0"/>
        <w:tabs>
          <w:tab w:val="left" w:pos="0"/>
          <w:tab w:val="left" w:pos="3165"/>
          <w:tab w:val="center" w:pos="4153"/>
        </w:tabs>
        <w:kinsoku/>
        <w:wordWrap/>
        <w:overflowPunct/>
        <w:topLinePunct w:val="0"/>
        <w:autoSpaceDE/>
        <w:autoSpaceDN/>
        <w:bidi w:val="0"/>
        <w:adjustRightInd w:val="0"/>
        <w:snapToGrid w:val="0"/>
        <w:spacing w:line="480" w:lineRule="exact"/>
        <w:ind w:left="0" w:firstLine="480"/>
        <w:jc w:val="left"/>
        <w:textAlignment w:val="auto"/>
        <w:rPr>
          <w:rFonts w:hint="default" w:ascii="Times New Roman" w:hAnsi="Times New Roman" w:eastAsia="宋体" w:cs="Times New Roman"/>
          <w:color w:val="auto"/>
          <w:sz w:val="21"/>
          <w:szCs w:val="21"/>
          <w:highlight w:val="none"/>
        </w:rPr>
      </w:pPr>
      <w:bookmarkStart w:id="29" w:name="_Toc35393796"/>
      <w:bookmarkStart w:id="30" w:name="_Toc35393627"/>
      <w:bookmarkStart w:id="31" w:name="_Toc28359085"/>
      <w:bookmarkStart w:id="32" w:name="_Toc28359008"/>
      <w:r>
        <w:rPr>
          <w:rFonts w:hint="default" w:ascii="Times New Roman" w:hAnsi="Times New Roman" w:eastAsia="宋体" w:cs="Times New Roman"/>
          <w:color w:val="auto"/>
          <w:sz w:val="21"/>
          <w:szCs w:val="21"/>
          <w:highlight w:val="none"/>
        </w:rPr>
        <w:t>七、对本次招标提出询问，请按以下方式联系。</w:t>
      </w:r>
      <w:bookmarkEnd w:id="29"/>
      <w:bookmarkEnd w:id="30"/>
      <w:bookmarkEnd w:id="31"/>
      <w:bookmarkEnd w:id="32"/>
    </w:p>
    <w:p w14:paraId="5290CEF5">
      <w:pPr>
        <w:keepNext w:val="0"/>
        <w:keepLines w:val="0"/>
        <w:pageBreakBefore w:val="0"/>
        <w:widowControl/>
        <w:shd w:val="clear" w:color="auto" w:fill="FFFFFF"/>
        <w:kinsoku/>
        <w:wordWrap/>
        <w:overflowPunct/>
        <w:topLinePunct w:val="0"/>
        <w:autoSpaceDE/>
        <w:autoSpaceDN/>
        <w:bidi w:val="0"/>
        <w:adjustRightInd w:val="0"/>
        <w:snapToGrid w:val="0"/>
        <w:spacing w:line="480" w:lineRule="exact"/>
        <w:ind w:firstLine="425"/>
        <w:jc w:val="left"/>
        <w:textAlignment w:val="auto"/>
        <w:rPr>
          <w:rFonts w:hint="default" w:ascii="Times New Roman" w:hAnsi="Times New Roman" w:eastAsia="宋体" w:cs="Times New Roman"/>
          <w:color w:val="auto"/>
          <w:sz w:val="21"/>
          <w:szCs w:val="21"/>
          <w:highlight w:val="none"/>
        </w:rPr>
      </w:pPr>
      <w:bookmarkStart w:id="33" w:name="_Toc35393806"/>
      <w:bookmarkStart w:id="34" w:name="_Toc35393637"/>
      <w:bookmarkStart w:id="35" w:name="_Toc28359019"/>
      <w:bookmarkStart w:id="36" w:name="_Toc13035"/>
      <w:bookmarkStart w:id="37" w:name="_Toc28359096"/>
      <w:bookmarkStart w:id="38" w:name="_Toc120614211"/>
      <w:r>
        <w:rPr>
          <w:rFonts w:hint="default" w:ascii="Times New Roman" w:hAnsi="Times New Roman" w:eastAsia="宋体" w:cs="Times New Roman"/>
          <w:color w:val="auto"/>
          <w:sz w:val="21"/>
          <w:szCs w:val="21"/>
          <w:highlight w:val="none"/>
        </w:rPr>
        <w:t>1.采购人信息</w:t>
      </w:r>
      <w:bookmarkEnd w:id="33"/>
      <w:bookmarkEnd w:id="34"/>
      <w:bookmarkEnd w:id="35"/>
      <w:bookmarkEnd w:id="36"/>
      <w:bookmarkEnd w:id="37"/>
    </w:p>
    <w:p w14:paraId="574B8FA3">
      <w:pPr>
        <w:keepNext w:val="0"/>
        <w:keepLines w:val="0"/>
        <w:pageBreakBefore w:val="0"/>
        <w:widowControl/>
        <w:shd w:val="clear" w:color="auto" w:fill="FFFFFF"/>
        <w:kinsoku/>
        <w:wordWrap/>
        <w:overflowPunct/>
        <w:topLinePunct w:val="0"/>
        <w:autoSpaceDE/>
        <w:autoSpaceDN/>
        <w:bidi w:val="0"/>
        <w:adjustRightInd w:val="0"/>
        <w:snapToGrid w:val="0"/>
        <w:spacing w:line="480" w:lineRule="exact"/>
        <w:ind w:firstLine="425"/>
        <w:jc w:val="left"/>
        <w:textAlignment w:val="auto"/>
        <w:rPr>
          <w:rFonts w:hint="default" w:ascii="Times New Roman" w:hAnsi="Times New Roman" w:eastAsia="宋体" w:cs="Times New Roman"/>
          <w:color w:val="auto"/>
          <w:sz w:val="21"/>
          <w:szCs w:val="21"/>
          <w:highlight w:val="none"/>
          <w:lang w:val="en-US" w:eastAsia="zh-CN"/>
        </w:rPr>
      </w:pPr>
      <w:bookmarkStart w:id="39" w:name="_Toc28359098"/>
      <w:bookmarkStart w:id="40" w:name="_Toc28359021"/>
      <w:bookmarkStart w:id="41" w:name="_Toc35393639"/>
      <w:bookmarkStart w:id="42" w:name="_Toc35393808"/>
      <w:bookmarkStart w:id="43" w:name="_Toc15910"/>
      <w:r>
        <w:rPr>
          <w:rFonts w:hint="default" w:ascii="Times New Roman" w:hAnsi="Times New Roman" w:eastAsia="宋体" w:cs="Times New Roman"/>
          <w:color w:val="auto"/>
          <w:sz w:val="21"/>
          <w:szCs w:val="21"/>
          <w:highlight w:val="none"/>
          <w:lang w:val="en-US" w:eastAsia="zh-CN"/>
        </w:rPr>
        <w:t>名 称：</w:t>
      </w:r>
      <w:r>
        <w:rPr>
          <w:rFonts w:hint="eastAsia" w:cs="Times New Roman"/>
          <w:color w:val="auto"/>
          <w:sz w:val="21"/>
          <w:szCs w:val="21"/>
          <w:highlight w:val="none"/>
          <w:lang w:val="en-US" w:eastAsia="zh-CN"/>
        </w:rPr>
        <w:t>滨海县界牌镇人民政府</w:t>
      </w:r>
    </w:p>
    <w:p w14:paraId="07A64BCA">
      <w:pPr>
        <w:keepNext w:val="0"/>
        <w:keepLines w:val="0"/>
        <w:pageBreakBefore w:val="0"/>
        <w:widowControl/>
        <w:shd w:val="clear" w:color="auto" w:fill="FFFFFF"/>
        <w:kinsoku/>
        <w:wordWrap/>
        <w:overflowPunct/>
        <w:topLinePunct w:val="0"/>
        <w:autoSpaceDE/>
        <w:autoSpaceDN/>
        <w:bidi w:val="0"/>
        <w:adjustRightInd w:val="0"/>
        <w:snapToGrid w:val="0"/>
        <w:spacing w:line="480" w:lineRule="exact"/>
        <w:ind w:firstLine="425"/>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地 址：</w:t>
      </w:r>
      <w:r>
        <w:rPr>
          <w:rFonts w:hint="eastAsia" w:cs="Times New Roman"/>
          <w:color w:val="auto"/>
          <w:sz w:val="21"/>
          <w:szCs w:val="21"/>
          <w:highlight w:val="none"/>
          <w:lang w:val="en-US" w:eastAsia="zh-CN"/>
        </w:rPr>
        <w:t>江苏省盐城市滨海县界牌镇陆集大道1号</w:t>
      </w:r>
    </w:p>
    <w:p w14:paraId="51587E3B">
      <w:pPr>
        <w:keepNext w:val="0"/>
        <w:keepLines w:val="0"/>
        <w:pageBreakBefore w:val="0"/>
        <w:widowControl/>
        <w:shd w:val="clear" w:color="auto" w:fill="FFFFFF"/>
        <w:kinsoku/>
        <w:wordWrap/>
        <w:overflowPunct/>
        <w:topLinePunct w:val="0"/>
        <w:autoSpaceDE/>
        <w:autoSpaceDN/>
        <w:bidi w:val="0"/>
        <w:adjustRightInd w:val="0"/>
        <w:snapToGrid w:val="0"/>
        <w:spacing w:line="480" w:lineRule="exact"/>
        <w:ind w:firstLine="425"/>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联系人：</w:t>
      </w:r>
      <w:r>
        <w:rPr>
          <w:rFonts w:hint="eastAsia" w:ascii="宋体" w:hAnsi="宋体" w:eastAsia="宋体" w:cs="宋体"/>
          <w:color w:val="auto"/>
          <w:sz w:val="21"/>
          <w:szCs w:val="21"/>
          <w:highlight w:val="none"/>
          <w:lang w:val="en-US" w:eastAsia="zh-CN"/>
        </w:rPr>
        <w:t>曾先生</w:t>
      </w:r>
      <w:r>
        <w:rPr>
          <w:rFonts w:hint="default" w:ascii="Times New Roman" w:hAnsi="Times New Roman" w:eastAsia="宋体" w:cs="Times New Roman"/>
          <w:color w:val="auto"/>
          <w:sz w:val="21"/>
          <w:szCs w:val="21"/>
          <w:highlight w:val="none"/>
          <w:lang w:val="en-US" w:eastAsia="zh-CN"/>
        </w:rPr>
        <w:t xml:space="preserve"> </w:t>
      </w:r>
    </w:p>
    <w:p w14:paraId="4BA34CDC">
      <w:pPr>
        <w:keepNext w:val="0"/>
        <w:keepLines w:val="0"/>
        <w:pageBreakBefore w:val="0"/>
        <w:widowControl/>
        <w:shd w:val="clear" w:color="auto" w:fill="FFFFFF"/>
        <w:kinsoku/>
        <w:wordWrap/>
        <w:overflowPunct/>
        <w:topLinePunct w:val="0"/>
        <w:autoSpaceDE/>
        <w:autoSpaceDN/>
        <w:bidi w:val="0"/>
        <w:adjustRightInd w:val="0"/>
        <w:snapToGrid w:val="0"/>
        <w:spacing w:line="480" w:lineRule="exact"/>
        <w:ind w:firstLine="425"/>
        <w:jc w:val="left"/>
        <w:textAlignment w:val="auto"/>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联系电话：</w:t>
      </w:r>
      <w:bookmarkEnd w:id="39"/>
      <w:bookmarkEnd w:id="40"/>
      <w:bookmarkEnd w:id="41"/>
      <w:bookmarkEnd w:id="42"/>
      <w:bookmarkEnd w:id="43"/>
      <w:r>
        <w:rPr>
          <w:rFonts w:hint="default" w:ascii="Times New Roman" w:hAnsi="Times New Roman" w:eastAsia="宋体" w:cs="Times New Roman"/>
          <w:color w:val="auto"/>
          <w:sz w:val="21"/>
          <w:szCs w:val="21"/>
          <w:highlight w:val="none"/>
          <w:lang w:val="en-US" w:eastAsia="zh-CN"/>
        </w:rPr>
        <w:t>13815515998</w:t>
      </w:r>
    </w:p>
    <w:p w14:paraId="0F36C17F">
      <w:pPr>
        <w:keepNext w:val="0"/>
        <w:keepLines w:val="0"/>
        <w:pageBreakBefore w:val="0"/>
        <w:widowControl/>
        <w:shd w:val="clear" w:color="auto" w:fill="FFFFFF"/>
        <w:kinsoku/>
        <w:wordWrap/>
        <w:overflowPunct/>
        <w:topLinePunct w:val="0"/>
        <w:autoSpaceDE/>
        <w:autoSpaceDN/>
        <w:bidi w:val="0"/>
        <w:adjustRightInd w:val="0"/>
        <w:snapToGrid w:val="0"/>
        <w:spacing w:line="480" w:lineRule="exact"/>
        <w:ind w:firstLine="425"/>
        <w:jc w:val="left"/>
        <w:textAlignment w:va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2.采购代理机构信息</w:t>
      </w:r>
    </w:p>
    <w:p w14:paraId="45C1F62B">
      <w:pPr>
        <w:keepNext w:val="0"/>
        <w:keepLines w:val="0"/>
        <w:pageBreakBefore w:val="0"/>
        <w:widowControl/>
        <w:shd w:val="clear" w:color="auto" w:fill="FFFFFF"/>
        <w:kinsoku/>
        <w:wordWrap/>
        <w:overflowPunct/>
        <w:topLinePunct w:val="0"/>
        <w:autoSpaceDE/>
        <w:autoSpaceDN/>
        <w:bidi w:val="0"/>
        <w:adjustRightInd w:val="0"/>
        <w:snapToGrid w:val="0"/>
        <w:spacing w:line="480" w:lineRule="exact"/>
        <w:ind w:firstLine="425"/>
        <w:jc w:val="left"/>
        <w:textAlignment w:va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名 称：江苏建世工程咨询有限公司</w:t>
      </w:r>
    </w:p>
    <w:p w14:paraId="351C213D">
      <w:pPr>
        <w:keepNext w:val="0"/>
        <w:keepLines w:val="0"/>
        <w:pageBreakBefore w:val="0"/>
        <w:widowControl/>
        <w:shd w:val="clear" w:color="auto" w:fill="FFFFFF"/>
        <w:kinsoku/>
        <w:wordWrap/>
        <w:overflowPunct/>
        <w:topLinePunct w:val="0"/>
        <w:autoSpaceDE/>
        <w:autoSpaceDN/>
        <w:bidi w:val="0"/>
        <w:adjustRightInd w:val="0"/>
        <w:snapToGrid w:val="0"/>
        <w:spacing w:line="480" w:lineRule="exact"/>
        <w:ind w:firstLine="425"/>
        <w:jc w:val="left"/>
        <w:textAlignment w:va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地　址：滨海县S327/西湖路西北侧配送超市商务楼1幢6层607室</w:t>
      </w:r>
    </w:p>
    <w:p w14:paraId="2EB76522">
      <w:pPr>
        <w:keepNext w:val="0"/>
        <w:keepLines w:val="0"/>
        <w:pageBreakBefore w:val="0"/>
        <w:widowControl/>
        <w:shd w:val="clear" w:color="auto" w:fill="FFFFFF"/>
        <w:kinsoku/>
        <w:wordWrap/>
        <w:overflowPunct/>
        <w:topLinePunct w:val="0"/>
        <w:autoSpaceDE/>
        <w:autoSpaceDN/>
        <w:bidi w:val="0"/>
        <w:adjustRightInd w:val="0"/>
        <w:snapToGrid w:val="0"/>
        <w:spacing w:line="480" w:lineRule="exact"/>
        <w:ind w:firstLine="425"/>
        <w:jc w:val="left"/>
        <w:textAlignment w:val="auto"/>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rPr>
        <w:t>联系人：</w:t>
      </w:r>
      <w:r>
        <w:rPr>
          <w:rFonts w:hint="default" w:ascii="Times New Roman" w:hAnsi="Times New Roman" w:eastAsia="宋体" w:cs="Times New Roman"/>
          <w:color w:val="000000"/>
          <w:sz w:val="21"/>
          <w:szCs w:val="21"/>
          <w:highlight w:val="none"/>
          <w:lang w:eastAsia="zh-CN"/>
        </w:rPr>
        <w:t>辛</w:t>
      </w:r>
      <w:r>
        <w:rPr>
          <w:rFonts w:hint="default" w:ascii="Times New Roman" w:hAnsi="Times New Roman" w:eastAsia="宋体" w:cs="Times New Roman"/>
          <w:color w:val="000000"/>
          <w:sz w:val="21"/>
          <w:szCs w:val="21"/>
          <w:highlight w:val="none"/>
          <w:lang w:val="en-US" w:eastAsia="zh-CN"/>
        </w:rPr>
        <w:t>先生</w:t>
      </w:r>
    </w:p>
    <w:p w14:paraId="32A48063">
      <w:pPr>
        <w:keepNext w:val="0"/>
        <w:keepLines w:val="0"/>
        <w:pageBreakBefore w:val="0"/>
        <w:widowControl/>
        <w:shd w:val="clear" w:color="auto" w:fill="FFFFFF"/>
        <w:kinsoku/>
        <w:wordWrap/>
        <w:overflowPunct/>
        <w:topLinePunct w:val="0"/>
        <w:autoSpaceDE/>
        <w:autoSpaceDN/>
        <w:bidi w:val="0"/>
        <w:adjustRightInd w:val="0"/>
        <w:snapToGrid w:val="0"/>
        <w:spacing w:line="480" w:lineRule="exact"/>
        <w:ind w:firstLine="425"/>
        <w:jc w:val="left"/>
        <w:textAlignment w:val="auto"/>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rPr>
        <w:t>联系电话：0515-89168829、</w:t>
      </w:r>
      <w:r>
        <w:rPr>
          <w:rFonts w:hint="default" w:ascii="Times New Roman" w:hAnsi="Times New Roman" w:eastAsia="宋体" w:cs="Times New Roman"/>
          <w:color w:val="000000"/>
          <w:sz w:val="21"/>
          <w:szCs w:val="21"/>
          <w:highlight w:val="none"/>
          <w:lang w:val="en-US" w:eastAsia="zh-CN"/>
        </w:rPr>
        <w:t>18352000889</w:t>
      </w:r>
    </w:p>
    <w:p w14:paraId="56830D2E">
      <w:pPr>
        <w:keepNext w:val="0"/>
        <w:keepLines w:val="0"/>
        <w:pageBreakBefore w:val="0"/>
        <w:widowControl/>
        <w:shd w:val="clear" w:color="auto" w:fill="FFFFFF"/>
        <w:kinsoku/>
        <w:wordWrap/>
        <w:overflowPunct/>
        <w:topLinePunct w:val="0"/>
        <w:autoSpaceDE/>
        <w:autoSpaceDN/>
        <w:bidi w:val="0"/>
        <w:adjustRightInd w:val="0"/>
        <w:snapToGrid w:val="0"/>
        <w:spacing w:line="480" w:lineRule="exact"/>
        <w:ind w:firstLine="425"/>
        <w:jc w:val="left"/>
        <w:textAlignment w:va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通讯电子邮箱：</w:t>
      </w:r>
      <w:r>
        <w:rPr>
          <w:rFonts w:hint="default" w:ascii="Times New Roman" w:hAnsi="Times New Roman" w:eastAsia="宋体" w:cs="Times New Roman"/>
          <w:color w:val="000000"/>
          <w:sz w:val="21"/>
          <w:szCs w:val="21"/>
          <w:highlight w:val="none"/>
        </w:rPr>
        <w:fldChar w:fldCharType="begin"/>
      </w:r>
      <w:r>
        <w:rPr>
          <w:rFonts w:hint="default" w:ascii="Times New Roman" w:hAnsi="Times New Roman" w:eastAsia="宋体" w:cs="Times New Roman"/>
          <w:color w:val="000000"/>
          <w:sz w:val="21"/>
          <w:szCs w:val="21"/>
          <w:highlight w:val="none"/>
        </w:rPr>
        <w:instrText xml:space="preserve"> HYPERLINK "mailto:19926983@qq.com" </w:instrText>
      </w:r>
      <w:r>
        <w:rPr>
          <w:rFonts w:hint="default" w:ascii="Times New Roman" w:hAnsi="Times New Roman" w:eastAsia="宋体" w:cs="Times New Roman"/>
          <w:color w:val="000000"/>
          <w:sz w:val="21"/>
          <w:szCs w:val="21"/>
          <w:highlight w:val="none"/>
        </w:rPr>
        <w:fldChar w:fldCharType="separate"/>
      </w:r>
      <w:r>
        <w:rPr>
          <w:rFonts w:hint="default" w:ascii="Times New Roman" w:hAnsi="Times New Roman" w:eastAsia="宋体" w:cs="Times New Roman"/>
          <w:color w:val="000000"/>
          <w:sz w:val="21"/>
          <w:szCs w:val="21"/>
          <w:highlight w:val="none"/>
          <w:lang w:val="en-US" w:eastAsia="zh-CN"/>
        </w:rPr>
        <w:t>19926983</w:t>
      </w:r>
      <w:r>
        <w:rPr>
          <w:rFonts w:hint="default" w:ascii="Times New Roman" w:hAnsi="Times New Roman" w:eastAsia="宋体" w:cs="Times New Roman"/>
          <w:color w:val="000000"/>
          <w:sz w:val="21"/>
          <w:szCs w:val="21"/>
          <w:highlight w:val="none"/>
        </w:rPr>
        <w:t>@qq.com</w:t>
      </w:r>
      <w:r>
        <w:rPr>
          <w:rFonts w:hint="default" w:ascii="Times New Roman" w:hAnsi="Times New Roman" w:eastAsia="宋体" w:cs="Times New Roman"/>
          <w:color w:val="000000"/>
          <w:sz w:val="21"/>
          <w:szCs w:val="21"/>
          <w:highlight w:val="none"/>
        </w:rPr>
        <w:fldChar w:fldCharType="end"/>
      </w:r>
    </w:p>
    <w:p w14:paraId="44C9B880">
      <w:pPr>
        <w:keepNext w:val="0"/>
        <w:keepLines w:val="0"/>
        <w:pageBreakBefore w:val="0"/>
        <w:widowControl/>
        <w:shd w:val="clear" w:color="auto" w:fill="FFFFFF"/>
        <w:kinsoku/>
        <w:wordWrap/>
        <w:overflowPunct/>
        <w:topLinePunct w:val="0"/>
        <w:autoSpaceDE/>
        <w:autoSpaceDN/>
        <w:bidi w:val="0"/>
        <w:adjustRightInd w:val="0"/>
        <w:snapToGrid w:val="0"/>
        <w:spacing w:line="480" w:lineRule="exact"/>
        <w:ind w:firstLine="425"/>
        <w:jc w:val="left"/>
        <w:textAlignment w:va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3.项目联系方式</w:t>
      </w:r>
    </w:p>
    <w:p w14:paraId="7B5797EF">
      <w:pPr>
        <w:keepNext w:val="0"/>
        <w:keepLines w:val="0"/>
        <w:pageBreakBefore w:val="0"/>
        <w:widowControl/>
        <w:shd w:val="clear" w:color="auto" w:fill="FFFFFF"/>
        <w:kinsoku/>
        <w:wordWrap/>
        <w:overflowPunct/>
        <w:topLinePunct w:val="0"/>
        <w:autoSpaceDE/>
        <w:autoSpaceDN/>
        <w:bidi w:val="0"/>
        <w:adjustRightInd w:val="0"/>
        <w:snapToGrid w:val="0"/>
        <w:spacing w:line="480" w:lineRule="exact"/>
        <w:ind w:firstLine="425"/>
        <w:jc w:val="left"/>
        <w:textAlignment w:va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联系人：</w:t>
      </w:r>
      <w:r>
        <w:rPr>
          <w:rFonts w:hint="eastAsia" w:ascii="宋体" w:hAnsi="宋体" w:eastAsia="宋体" w:cs="宋体"/>
          <w:color w:val="auto"/>
          <w:sz w:val="21"/>
          <w:szCs w:val="21"/>
          <w:highlight w:val="none"/>
          <w:lang w:val="en-US" w:eastAsia="zh-CN"/>
        </w:rPr>
        <w:t>曾先生</w:t>
      </w:r>
      <w:r>
        <w:rPr>
          <w:rFonts w:hint="default" w:ascii="Times New Roman" w:hAnsi="Times New Roman" w:eastAsia="宋体" w:cs="Times New Roman"/>
          <w:color w:val="000000"/>
          <w:sz w:val="21"/>
          <w:szCs w:val="21"/>
          <w:highlight w:val="none"/>
          <w:lang w:val="en-US" w:eastAsia="zh-CN"/>
        </w:rPr>
        <w:t>、辛先生</w:t>
      </w:r>
    </w:p>
    <w:p w14:paraId="38760EA2">
      <w:pPr>
        <w:keepNext w:val="0"/>
        <w:keepLines w:val="0"/>
        <w:pageBreakBefore w:val="0"/>
        <w:widowControl/>
        <w:shd w:val="clear" w:color="auto" w:fill="FFFFFF"/>
        <w:kinsoku/>
        <w:wordWrap/>
        <w:overflowPunct/>
        <w:topLinePunct w:val="0"/>
        <w:autoSpaceDE/>
        <w:autoSpaceDN/>
        <w:bidi w:val="0"/>
        <w:adjustRightInd w:val="0"/>
        <w:snapToGrid w:val="0"/>
        <w:spacing w:line="480" w:lineRule="exact"/>
        <w:ind w:firstLine="425"/>
        <w:jc w:val="left"/>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联系电话：</w:t>
      </w:r>
      <w:r>
        <w:rPr>
          <w:rFonts w:hint="default" w:ascii="Times New Roman" w:hAnsi="Times New Roman" w:eastAsia="宋体" w:cs="Times New Roman"/>
          <w:color w:val="auto"/>
          <w:sz w:val="21"/>
          <w:szCs w:val="21"/>
          <w:highlight w:val="none"/>
          <w:lang w:val="en-US" w:eastAsia="zh-CN"/>
        </w:rPr>
        <w:t>13815515998</w:t>
      </w:r>
      <w:r>
        <w:rPr>
          <w:rFonts w:hint="default" w:ascii="Times New Roman" w:hAnsi="Times New Roman" w:eastAsia="宋体" w:cs="Times New Roman"/>
          <w:sz w:val="21"/>
          <w:szCs w:val="21"/>
        </w:rPr>
        <w:t>、</w:t>
      </w:r>
      <w:r>
        <w:rPr>
          <w:rFonts w:hint="default" w:ascii="Times New Roman" w:hAnsi="Times New Roman" w:eastAsia="宋体" w:cs="Times New Roman"/>
          <w:color w:val="000000"/>
          <w:sz w:val="21"/>
          <w:szCs w:val="21"/>
          <w:highlight w:val="none"/>
          <w:lang w:val="en-US" w:eastAsia="zh-CN"/>
        </w:rPr>
        <w:t>18352000889</w:t>
      </w:r>
    </w:p>
    <w:p w14:paraId="6CFBA0A5">
      <w:pPr>
        <w:keepNext w:val="0"/>
        <w:keepLines w:val="0"/>
        <w:pageBreakBefore w:val="0"/>
        <w:widowControl w:val="0"/>
        <w:spacing w:line="520" w:lineRule="exact"/>
        <w:jc w:val="center"/>
        <w:rPr>
          <w:rFonts w:ascii="Times New Roman" w:hAnsi="Times New Roman" w:cs="Times New Roman"/>
        </w:rPr>
      </w:pPr>
      <w:r>
        <w:rPr>
          <w:rFonts w:ascii="Times New Roman" w:hAnsi="Times New Roman" w:eastAsia="黑体" w:cs="Times New Roman"/>
        </w:rPr>
        <w:br w:type="page" w:clear="all"/>
      </w:r>
      <w:bookmarkEnd w:id="1"/>
      <w:bookmarkEnd w:id="2"/>
      <w:bookmarkEnd w:id="3"/>
      <w:bookmarkEnd w:id="4"/>
      <w:bookmarkEnd w:id="5"/>
      <w:bookmarkEnd w:id="38"/>
      <w:bookmarkStart w:id="44" w:name="_Toc513029202"/>
      <w:bookmarkStart w:id="45" w:name="_Toc16938518"/>
      <w:bookmarkStart w:id="46" w:name="_Toc120614213"/>
      <w:bookmarkStart w:id="47" w:name="_Toc20823274"/>
      <w:r>
        <w:rPr>
          <w:rFonts w:ascii="Times New Roman" w:hAnsi="Times New Roman" w:eastAsia="黑体" w:cs="Times New Roman"/>
          <w:sz w:val="44"/>
          <w:szCs w:val="44"/>
          <w:lang w:val="en-US" w:eastAsia="zh-CN" w:bidi="ar-SA"/>
        </w:rPr>
        <w:t>第二章 投标人须知</w:t>
      </w:r>
      <w:bookmarkEnd w:id="44"/>
      <w:bookmarkEnd w:id="45"/>
      <w:bookmarkEnd w:id="46"/>
      <w:bookmarkEnd w:id="47"/>
    </w:p>
    <w:p w14:paraId="3EF58BBA">
      <w:pPr>
        <w:pStyle w:val="195"/>
        <w:keepNext w:val="0"/>
        <w:keepLines w:val="0"/>
        <w:pageBreakBefore w:val="0"/>
        <w:widowControl w:val="0"/>
        <w:numPr>
          <w:ilvl w:val="0"/>
          <w:numId w:val="0"/>
        </w:numPr>
        <w:spacing w:before="0" w:after="0" w:line="240" w:lineRule="auto"/>
        <w:jc w:val="center"/>
        <w:rPr>
          <w:rFonts w:ascii="Times New Roman" w:hAnsi="Times New Roman" w:cs="Times New Roman"/>
          <w:sz w:val="28"/>
          <w:szCs w:val="28"/>
        </w:rPr>
      </w:pPr>
      <w:r>
        <w:rPr>
          <w:rFonts w:ascii="Times New Roman" w:hAnsi="Times New Roman" w:eastAsia="黑体" w:cs="Times New Roman"/>
          <w:sz w:val="28"/>
          <w:szCs w:val="28"/>
          <w:lang w:val="en-US" w:eastAsia="zh-CN"/>
        </w:rPr>
        <w:t>投标人须知前附表</w:t>
      </w:r>
    </w:p>
    <w:tbl>
      <w:tblPr>
        <w:tblStyle w:val="38"/>
        <w:tblW w:w="9458"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FFFFFF"/>
        <w:tblLayout w:type="fixed"/>
        <w:tblCellMar>
          <w:top w:w="0" w:type="dxa"/>
          <w:left w:w="108" w:type="dxa"/>
          <w:bottom w:w="0" w:type="dxa"/>
          <w:right w:w="108" w:type="dxa"/>
        </w:tblCellMar>
      </w:tblPr>
      <w:tblGrid>
        <w:gridCol w:w="830"/>
        <w:gridCol w:w="979"/>
        <w:gridCol w:w="1708"/>
        <w:gridCol w:w="5941"/>
      </w:tblGrid>
      <w:tr w14:paraId="4025959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FFFFFF"/>
          <w:tblCellMar>
            <w:top w:w="0" w:type="dxa"/>
            <w:left w:w="108" w:type="dxa"/>
            <w:bottom w:w="0" w:type="dxa"/>
            <w:right w:w="108" w:type="dxa"/>
          </w:tblCellMar>
        </w:tblPrEx>
        <w:trPr>
          <w:trHeight w:val="817" w:hRule="atLeast"/>
          <w:jc w:val="center"/>
        </w:trPr>
        <w:tc>
          <w:tcPr>
            <w:tcW w:w="830" w:type="dxa"/>
            <w:shd w:val="clear" w:color="auto" w:fill="D7D7D7"/>
            <w:noWrap w:val="0"/>
            <w:vAlign w:val="center"/>
          </w:tcPr>
          <w:p w14:paraId="0D84DEC8">
            <w:pPr>
              <w:keepNext w:val="0"/>
              <w:keepLines w:val="0"/>
              <w:pageBreakBefore w:val="0"/>
              <w:widowControl w:val="0"/>
              <w:spacing w:line="240" w:lineRule="auto"/>
              <w:jc w:val="center"/>
              <w:rPr>
                <w:rFonts w:hint="default" w:ascii="Times New Roman" w:hAnsi="Times New Roman" w:eastAsia="宋体" w:cs="Times New Roman"/>
                <w:b/>
                <w:color w:val="000000"/>
                <w:sz w:val="21"/>
                <w:szCs w:val="21"/>
                <w:highlight w:val="none"/>
              </w:rPr>
            </w:pPr>
            <w:r>
              <w:rPr>
                <w:rFonts w:hint="default" w:ascii="Times New Roman" w:hAnsi="Times New Roman" w:eastAsia="宋体" w:cs="Times New Roman"/>
                <w:b/>
                <w:color w:val="000000"/>
                <w:sz w:val="21"/>
                <w:szCs w:val="21"/>
                <w:highlight w:val="none"/>
              </w:rPr>
              <w:t>序号</w:t>
            </w:r>
          </w:p>
        </w:tc>
        <w:tc>
          <w:tcPr>
            <w:tcW w:w="979" w:type="dxa"/>
            <w:shd w:val="clear" w:color="auto" w:fill="D7D7D7"/>
            <w:noWrap w:val="0"/>
            <w:vAlign w:val="center"/>
          </w:tcPr>
          <w:p w14:paraId="1127BB37">
            <w:pPr>
              <w:keepNext w:val="0"/>
              <w:keepLines w:val="0"/>
              <w:pageBreakBefore w:val="0"/>
              <w:widowControl w:val="0"/>
              <w:spacing w:line="240" w:lineRule="auto"/>
              <w:jc w:val="center"/>
              <w:rPr>
                <w:rFonts w:hint="default" w:ascii="Times New Roman" w:hAnsi="Times New Roman" w:eastAsia="宋体" w:cs="Times New Roman"/>
                <w:b/>
                <w:color w:val="000000"/>
                <w:sz w:val="21"/>
                <w:szCs w:val="21"/>
                <w:highlight w:val="none"/>
              </w:rPr>
            </w:pPr>
            <w:r>
              <w:rPr>
                <w:rFonts w:hint="default" w:ascii="Times New Roman" w:hAnsi="Times New Roman" w:eastAsia="宋体" w:cs="Times New Roman"/>
                <w:b/>
                <w:color w:val="000000"/>
                <w:sz w:val="21"/>
                <w:szCs w:val="21"/>
                <w:highlight w:val="none"/>
              </w:rPr>
              <w:t>条款号</w:t>
            </w:r>
          </w:p>
        </w:tc>
        <w:tc>
          <w:tcPr>
            <w:tcW w:w="1708" w:type="dxa"/>
            <w:shd w:val="clear" w:color="auto" w:fill="D7D7D7"/>
            <w:noWrap w:val="0"/>
            <w:vAlign w:val="center"/>
          </w:tcPr>
          <w:p w14:paraId="141A0FE2">
            <w:pPr>
              <w:keepNext w:val="0"/>
              <w:keepLines w:val="0"/>
              <w:pageBreakBefore w:val="0"/>
              <w:widowControl w:val="0"/>
              <w:spacing w:line="240" w:lineRule="auto"/>
              <w:jc w:val="center"/>
              <w:rPr>
                <w:rFonts w:hint="default" w:ascii="Times New Roman" w:hAnsi="Times New Roman" w:eastAsia="宋体" w:cs="Times New Roman"/>
                <w:b/>
                <w:color w:val="000000"/>
                <w:sz w:val="21"/>
                <w:szCs w:val="21"/>
                <w:highlight w:val="none"/>
                <w:lang w:val="zh-CN"/>
              </w:rPr>
            </w:pPr>
            <w:r>
              <w:rPr>
                <w:rFonts w:hint="default" w:ascii="Times New Roman" w:hAnsi="Times New Roman" w:eastAsia="宋体" w:cs="Times New Roman"/>
                <w:b/>
                <w:color w:val="000000"/>
                <w:sz w:val="21"/>
                <w:szCs w:val="21"/>
                <w:highlight w:val="none"/>
              </w:rPr>
              <w:t>条款</w:t>
            </w:r>
            <w:r>
              <w:rPr>
                <w:rFonts w:hint="default" w:ascii="Times New Roman" w:hAnsi="Times New Roman" w:eastAsia="宋体" w:cs="Times New Roman"/>
                <w:b/>
                <w:color w:val="000000"/>
                <w:sz w:val="21"/>
                <w:szCs w:val="21"/>
                <w:highlight w:val="none"/>
                <w:lang w:val="zh-CN"/>
              </w:rPr>
              <w:t>名称</w:t>
            </w:r>
          </w:p>
        </w:tc>
        <w:tc>
          <w:tcPr>
            <w:tcW w:w="5941" w:type="dxa"/>
            <w:shd w:val="clear" w:color="auto" w:fill="D7D7D7"/>
            <w:noWrap w:val="0"/>
            <w:vAlign w:val="center"/>
          </w:tcPr>
          <w:p w14:paraId="7CB7537A">
            <w:pPr>
              <w:keepNext w:val="0"/>
              <w:keepLines w:val="0"/>
              <w:pageBreakBefore w:val="0"/>
              <w:widowControl w:val="0"/>
              <w:spacing w:line="240" w:lineRule="auto"/>
              <w:jc w:val="center"/>
              <w:rPr>
                <w:rFonts w:hint="default" w:ascii="Times New Roman" w:hAnsi="Times New Roman" w:eastAsia="宋体" w:cs="Times New Roman"/>
                <w:b/>
                <w:color w:val="000000"/>
                <w:sz w:val="21"/>
                <w:szCs w:val="21"/>
                <w:highlight w:val="none"/>
              </w:rPr>
            </w:pPr>
            <w:r>
              <w:rPr>
                <w:rFonts w:hint="default" w:ascii="Times New Roman" w:hAnsi="Times New Roman" w:eastAsia="宋体" w:cs="Times New Roman"/>
                <w:b/>
                <w:color w:val="000000"/>
                <w:sz w:val="21"/>
                <w:szCs w:val="21"/>
                <w:highlight w:val="none"/>
              </w:rPr>
              <w:t>编列</w:t>
            </w:r>
            <w:r>
              <w:rPr>
                <w:rFonts w:hint="default" w:ascii="Times New Roman" w:hAnsi="Times New Roman" w:eastAsia="宋体" w:cs="Times New Roman"/>
                <w:b/>
                <w:color w:val="000000"/>
                <w:sz w:val="21"/>
                <w:szCs w:val="21"/>
                <w:highlight w:val="none"/>
                <w:lang w:val="zh-CN"/>
              </w:rPr>
              <w:t>内容</w:t>
            </w:r>
          </w:p>
        </w:tc>
      </w:tr>
      <w:tr w14:paraId="4154FE2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30" w:type="dxa"/>
            <w:shd w:val="clear" w:color="auto" w:fill="FFFFFF"/>
            <w:noWrap w:val="0"/>
            <w:vAlign w:val="center"/>
          </w:tcPr>
          <w:p w14:paraId="0DB7D8AF">
            <w:pPr>
              <w:keepNext w:val="0"/>
              <w:keepLines w:val="0"/>
              <w:pageBreakBefore w:val="0"/>
              <w:widowControl w:val="0"/>
              <w:numPr>
                <w:ilvl w:val="0"/>
                <w:numId w:val="5"/>
              </w:numPr>
              <w:spacing w:line="520" w:lineRule="exact"/>
              <w:ind w:firstLine="0"/>
              <w:jc w:val="center"/>
              <w:rPr>
                <w:rFonts w:hint="default" w:ascii="Times New Roman" w:hAnsi="Times New Roman" w:eastAsia="宋体" w:cs="Times New Roman"/>
                <w:color w:val="000000"/>
                <w:sz w:val="21"/>
                <w:szCs w:val="21"/>
                <w:highlight w:val="none"/>
              </w:rPr>
            </w:pPr>
          </w:p>
        </w:tc>
        <w:tc>
          <w:tcPr>
            <w:tcW w:w="979" w:type="dxa"/>
            <w:shd w:val="clear" w:color="auto" w:fill="FFFFFF"/>
            <w:noWrap w:val="0"/>
            <w:vAlign w:val="center"/>
          </w:tcPr>
          <w:p w14:paraId="1333BD4C">
            <w:pPr>
              <w:keepNext w:val="0"/>
              <w:keepLines w:val="0"/>
              <w:pageBreakBefore w:val="0"/>
              <w:widowControl w:val="0"/>
              <w:spacing w:line="520" w:lineRule="exact"/>
              <w:jc w:val="center"/>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w:t>
            </w:r>
          </w:p>
        </w:tc>
        <w:tc>
          <w:tcPr>
            <w:tcW w:w="1708" w:type="dxa"/>
            <w:shd w:val="clear" w:color="auto" w:fill="FFFFFF"/>
            <w:noWrap w:val="0"/>
            <w:vAlign w:val="center"/>
          </w:tcPr>
          <w:p w14:paraId="5EA90C5D">
            <w:pPr>
              <w:keepNext w:val="0"/>
              <w:keepLines w:val="0"/>
              <w:pageBreakBefore w:val="0"/>
              <w:widowControl w:val="0"/>
              <w:tabs>
                <w:tab w:val="left" w:pos="3600"/>
              </w:tabs>
              <w:spacing w:line="520" w:lineRule="exact"/>
              <w:jc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zh-CN"/>
                <w14:textFill>
                  <w14:solidFill>
                    <w14:schemeClr w14:val="tx1"/>
                  </w14:solidFill>
                </w14:textFill>
              </w:rPr>
              <w:t>采购人</w:t>
            </w:r>
          </w:p>
        </w:tc>
        <w:tc>
          <w:tcPr>
            <w:tcW w:w="5941" w:type="dxa"/>
            <w:shd w:val="clear" w:color="auto" w:fill="FFFFFF"/>
            <w:noWrap w:val="0"/>
            <w:vAlign w:val="center"/>
          </w:tcPr>
          <w:p w14:paraId="76C2EEED">
            <w:pPr>
              <w:keepNext w:val="0"/>
              <w:keepLines w:val="0"/>
              <w:pageBreakBefore w:val="0"/>
              <w:widowControl w:val="0"/>
              <w:tabs>
                <w:tab w:val="left" w:pos="3600"/>
              </w:tabs>
              <w:spacing w:line="520" w:lineRule="exact"/>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采购人：</w:t>
            </w:r>
            <w:r>
              <w:rPr>
                <w:rFonts w:hint="eastAsia" w:cs="Times New Roman"/>
                <w:color w:val="000000" w:themeColor="text1"/>
                <w:sz w:val="21"/>
                <w:szCs w:val="21"/>
                <w:highlight w:val="none"/>
                <w:lang w:eastAsia="zh-CN"/>
                <w14:textFill>
                  <w14:solidFill>
                    <w14:schemeClr w14:val="tx1"/>
                  </w14:solidFill>
                </w14:textFill>
              </w:rPr>
              <w:t>滨海县界牌镇人民政府</w:t>
            </w:r>
          </w:p>
          <w:p w14:paraId="231B3464">
            <w:pPr>
              <w:keepNext w:val="0"/>
              <w:keepLines w:val="0"/>
              <w:pageBreakBefore w:val="0"/>
              <w:widowControl w:val="0"/>
              <w:tabs>
                <w:tab w:val="left" w:pos="3600"/>
              </w:tabs>
              <w:spacing w:line="520" w:lineRule="exact"/>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联系人：</w:t>
            </w:r>
            <w:r>
              <w:rPr>
                <w:rFonts w:hint="eastAsia" w:ascii="宋体" w:hAnsi="宋体" w:eastAsia="宋体" w:cs="宋体"/>
                <w:color w:val="auto"/>
                <w:sz w:val="21"/>
                <w:szCs w:val="21"/>
                <w:highlight w:val="none"/>
                <w:lang w:val="en-US" w:eastAsia="zh-CN"/>
              </w:rPr>
              <w:t>曾先生</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 </w:t>
            </w:r>
          </w:p>
          <w:p w14:paraId="79286D14">
            <w:pPr>
              <w:keepNext w:val="0"/>
              <w:keepLines w:val="0"/>
              <w:pageBreakBefore w:val="0"/>
              <w:widowControl w:val="0"/>
              <w:tabs>
                <w:tab w:val="left" w:pos="3600"/>
              </w:tabs>
              <w:spacing w:line="520" w:lineRule="exact"/>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联系电话：</w:t>
            </w:r>
            <w:r>
              <w:rPr>
                <w:rFonts w:hint="default" w:ascii="Times New Roman" w:hAnsi="Times New Roman" w:eastAsia="宋体" w:cs="Times New Roman"/>
                <w:color w:val="auto"/>
                <w:sz w:val="21"/>
                <w:szCs w:val="21"/>
                <w:highlight w:val="none"/>
                <w:lang w:val="en-US" w:eastAsia="zh-CN"/>
              </w:rPr>
              <w:t>13815515998</w:t>
            </w:r>
          </w:p>
          <w:p w14:paraId="0113C904">
            <w:pPr>
              <w:keepNext w:val="0"/>
              <w:keepLines w:val="0"/>
              <w:pageBreakBefore w:val="0"/>
              <w:widowControl w:val="0"/>
              <w:tabs>
                <w:tab w:val="left" w:pos="3600"/>
              </w:tabs>
              <w:spacing w:line="520" w:lineRule="exact"/>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通讯地址：</w:t>
            </w:r>
            <w:r>
              <w:rPr>
                <w:rFonts w:hint="eastAsia" w:cs="Times New Roman"/>
                <w:color w:val="000000" w:themeColor="text1"/>
                <w:sz w:val="21"/>
                <w:szCs w:val="21"/>
                <w:highlight w:val="none"/>
                <w:lang w:eastAsia="zh-CN"/>
                <w14:textFill>
                  <w14:solidFill>
                    <w14:schemeClr w14:val="tx1"/>
                  </w14:solidFill>
                </w14:textFill>
              </w:rPr>
              <w:t>江苏省盐城市滨海县界牌镇陆集大道1号</w:t>
            </w:r>
          </w:p>
          <w:p w14:paraId="5D1E3F7D">
            <w:pPr>
              <w:keepNext w:val="0"/>
              <w:keepLines w:val="0"/>
              <w:pageBreakBefore w:val="0"/>
              <w:widowControl w:val="0"/>
              <w:tabs>
                <w:tab w:val="left" w:pos="3600"/>
              </w:tabs>
              <w:spacing w:line="520" w:lineRule="exact"/>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 xml:space="preserve">采购事项联系人：辛先生 </w:t>
            </w:r>
          </w:p>
          <w:p w14:paraId="04F3AA79">
            <w:pPr>
              <w:keepNext w:val="0"/>
              <w:keepLines w:val="0"/>
              <w:pageBreakBefore w:val="0"/>
              <w:widowControl w:val="0"/>
              <w:tabs>
                <w:tab w:val="left" w:pos="3600"/>
              </w:tabs>
              <w:spacing w:line="520" w:lineRule="exact"/>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联系电话：</w:t>
            </w:r>
            <w:r>
              <w:rPr>
                <w:rFonts w:hint="default" w:ascii="Times New Roman" w:hAnsi="Times New Roman" w:eastAsia="宋体" w:cs="Times New Roman"/>
                <w:color w:val="000000"/>
                <w:sz w:val="21"/>
                <w:szCs w:val="21"/>
                <w:highlight w:val="none"/>
                <w:lang w:val="en-US" w:eastAsia="zh-CN"/>
              </w:rPr>
              <w:t>18352000889</w:t>
            </w:r>
            <w:r>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 xml:space="preserve"> </w:t>
            </w:r>
          </w:p>
        </w:tc>
      </w:tr>
      <w:tr w14:paraId="0A5AB6F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30" w:type="dxa"/>
            <w:shd w:val="clear" w:color="auto" w:fill="FFFFFF"/>
            <w:noWrap w:val="0"/>
            <w:vAlign w:val="center"/>
          </w:tcPr>
          <w:p w14:paraId="462CD097">
            <w:pPr>
              <w:keepNext w:val="0"/>
              <w:keepLines w:val="0"/>
              <w:pageBreakBefore w:val="0"/>
              <w:widowControl w:val="0"/>
              <w:numPr>
                <w:ilvl w:val="0"/>
                <w:numId w:val="5"/>
              </w:numPr>
              <w:spacing w:line="520" w:lineRule="exact"/>
              <w:ind w:firstLine="0"/>
              <w:jc w:val="center"/>
              <w:rPr>
                <w:rFonts w:hint="default" w:ascii="Times New Roman" w:hAnsi="Times New Roman" w:eastAsia="宋体" w:cs="Times New Roman"/>
                <w:color w:val="000000"/>
                <w:sz w:val="21"/>
                <w:szCs w:val="21"/>
                <w:highlight w:val="none"/>
              </w:rPr>
            </w:pPr>
          </w:p>
        </w:tc>
        <w:tc>
          <w:tcPr>
            <w:tcW w:w="979" w:type="dxa"/>
            <w:shd w:val="clear" w:color="auto" w:fill="FFFFFF"/>
            <w:noWrap w:val="0"/>
            <w:vAlign w:val="center"/>
          </w:tcPr>
          <w:p w14:paraId="47EFCA9E">
            <w:pPr>
              <w:keepNext w:val="0"/>
              <w:keepLines w:val="0"/>
              <w:pageBreakBefore w:val="0"/>
              <w:widowControl w:val="0"/>
              <w:spacing w:line="520" w:lineRule="exact"/>
              <w:jc w:val="center"/>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w:t>
            </w:r>
          </w:p>
        </w:tc>
        <w:tc>
          <w:tcPr>
            <w:tcW w:w="1708" w:type="dxa"/>
            <w:shd w:val="clear" w:color="auto" w:fill="FFFFFF"/>
            <w:noWrap w:val="0"/>
            <w:vAlign w:val="center"/>
          </w:tcPr>
          <w:p w14:paraId="52983ACE">
            <w:pPr>
              <w:keepNext w:val="0"/>
              <w:keepLines w:val="0"/>
              <w:pageBreakBefore w:val="0"/>
              <w:widowControl w:val="0"/>
              <w:spacing w:line="520" w:lineRule="exact"/>
              <w:jc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采购</w:t>
            </w:r>
            <w:r>
              <w:rPr>
                <w:rFonts w:hint="default" w:ascii="Times New Roman" w:hAnsi="Times New Roman" w:eastAsia="宋体" w:cs="Times New Roman"/>
                <w:color w:val="000000" w:themeColor="text1"/>
                <w:sz w:val="21"/>
                <w:szCs w:val="21"/>
                <w:highlight w:val="none"/>
                <w:lang w:val="zh-CN"/>
                <w14:textFill>
                  <w14:solidFill>
                    <w14:schemeClr w14:val="tx1"/>
                  </w14:solidFill>
                </w14:textFill>
              </w:rPr>
              <w:t>项目编号</w:t>
            </w:r>
          </w:p>
        </w:tc>
        <w:tc>
          <w:tcPr>
            <w:tcW w:w="5941" w:type="dxa"/>
            <w:shd w:val="clear" w:color="auto" w:fill="FFFFFF"/>
            <w:noWrap w:val="0"/>
            <w:vAlign w:val="center"/>
          </w:tcPr>
          <w:p w14:paraId="14C3AE68">
            <w:pPr>
              <w:keepNext w:val="0"/>
              <w:keepLines w:val="0"/>
              <w:pageBreakBefore w:val="0"/>
              <w:widowControl w:val="0"/>
              <w:spacing w:line="520" w:lineRule="exact"/>
              <w:rPr>
                <w:rFonts w:hint="default" w:ascii="Times New Roman" w:hAnsi="Times New Roman" w:eastAsia="宋体" w:cs="Times New Roman"/>
                <w:color w:val="auto"/>
                <w:sz w:val="21"/>
                <w:szCs w:val="21"/>
                <w:highlight w:val="none"/>
              </w:rPr>
            </w:pPr>
            <w:r>
              <w:rPr>
                <w:rFonts w:hint="eastAsia" w:cs="Times New Roman"/>
                <w:color w:val="auto"/>
                <w:sz w:val="21"/>
                <w:szCs w:val="21"/>
                <w:highlight w:val="none"/>
                <w:lang w:eastAsia="zh-CN"/>
              </w:rPr>
              <w:t>JSZC-320922-JSJS-G2024-0009</w:t>
            </w:r>
          </w:p>
        </w:tc>
      </w:tr>
      <w:tr w14:paraId="79724EA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30" w:type="dxa"/>
            <w:shd w:val="clear" w:color="auto" w:fill="FFFFFF"/>
            <w:noWrap w:val="0"/>
            <w:vAlign w:val="center"/>
          </w:tcPr>
          <w:p w14:paraId="0CE15C89">
            <w:pPr>
              <w:keepNext w:val="0"/>
              <w:keepLines w:val="0"/>
              <w:pageBreakBefore w:val="0"/>
              <w:widowControl w:val="0"/>
              <w:numPr>
                <w:ilvl w:val="0"/>
                <w:numId w:val="5"/>
              </w:numPr>
              <w:spacing w:line="520" w:lineRule="exact"/>
              <w:ind w:firstLine="0"/>
              <w:jc w:val="center"/>
              <w:rPr>
                <w:rFonts w:hint="default" w:ascii="Times New Roman" w:hAnsi="Times New Roman" w:eastAsia="宋体" w:cs="Times New Roman"/>
                <w:color w:val="000000"/>
                <w:sz w:val="21"/>
                <w:szCs w:val="21"/>
                <w:highlight w:val="none"/>
              </w:rPr>
            </w:pPr>
          </w:p>
        </w:tc>
        <w:tc>
          <w:tcPr>
            <w:tcW w:w="979" w:type="dxa"/>
            <w:shd w:val="clear" w:color="auto" w:fill="FFFFFF"/>
            <w:noWrap w:val="0"/>
            <w:vAlign w:val="center"/>
          </w:tcPr>
          <w:p w14:paraId="36ED7EDA">
            <w:pPr>
              <w:keepNext w:val="0"/>
              <w:keepLines w:val="0"/>
              <w:pageBreakBefore w:val="0"/>
              <w:widowControl w:val="0"/>
              <w:spacing w:line="520" w:lineRule="exact"/>
              <w:jc w:val="center"/>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w:t>
            </w:r>
          </w:p>
        </w:tc>
        <w:tc>
          <w:tcPr>
            <w:tcW w:w="1708" w:type="dxa"/>
            <w:shd w:val="clear" w:color="auto" w:fill="FFFFFF"/>
            <w:noWrap w:val="0"/>
            <w:vAlign w:val="center"/>
          </w:tcPr>
          <w:p w14:paraId="2532FC47">
            <w:pPr>
              <w:keepNext w:val="0"/>
              <w:keepLines w:val="0"/>
              <w:pageBreakBefore w:val="0"/>
              <w:widowControl w:val="0"/>
              <w:spacing w:line="520" w:lineRule="exact"/>
              <w:jc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采购</w:t>
            </w:r>
            <w:r>
              <w:rPr>
                <w:rFonts w:hint="default" w:ascii="Times New Roman" w:hAnsi="Times New Roman" w:eastAsia="宋体" w:cs="Times New Roman"/>
                <w:color w:val="000000" w:themeColor="text1"/>
                <w:sz w:val="21"/>
                <w:szCs w:val="21"/>
                <w:highlight w:val="none"/>
                <w:lang w:val="zh-CN"/>
                <w14:textFill>
                  <w14:solidFill>
                    <w14:schemeClr w14:val="tx1"/>
                  </w14:solidFill>
                </w14:textFill>
              </w:rPr>
              <w:t>项目名称</w:t>
            </w:r>
          </w:p>
        </w:tc>
        <w:tc>
          <w:tcPr>
            <w:tcW w:w="5941" w:type="dxa"/>
            <w:shd w:val="clear" w:color="auto" w:fill="FFFFFF"/>
            <w:noWrap w:val="0"/>
            <w:vAlign w:val="center"/>
          </w:tcPr>
          <w:p w14:paraId="21A2214B">
            <w:pPr>
              <w:pStyle w:val="214"/>
              <w:keepNext w:val="0"/>
              <w:keepLines w:val="0"/>
              <w:pageBreakBefore w:val="0"/>
              <w:widowControl w:val="0"/>
              <w:spacing w:line="520" w:lineRule="exact"/>
              <w:ind w:firstLine="0"/>
              <w:jc w:val="left"/>
              <w:rPr>
                <w:rFonts w:hint="default" w:ascii="Times New Roman" w:hAnsi="Times New Roman" w:eastAsia="宋体" w:cs="Times New Roman"/>
                <w:color w:val="auto"/>
                <w:sz w:val="21"/>
                <w:szCs w:val="21"/>
                <w:highlight w:val="none"/>
              </w:rPr>
            </w:pPr>
            <w:r>
              <w:rPr>
                <w:rFonts w:hint="eastAsia" w:ascii="Times New Roman" w:eastAsia="宋体" w:cs="Times New Roman"/>
                <w:color w:val="auto"/>
                <w:sz w:val="21"/>
                <w:szCs w:val="21"/>
                <w:highlight w:val="none"/>
                <w:lang w:val="zh-CN" w:eastAsia="zh-CN" w:bidi="ar-SA"/>
              </w:rPr>
              <w:t>滨海县界牌镇村庄规划编制项目</w:t>
            </w:r>
          </w:p>
        </w:tc>
      </w:tr>
      <w:tr w14:paraId="71064B9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30" w:type="dxa"/>
            <w:shd w:val="clear" w:color="auto" w:fill="FFFFFF"/>
            <w:noWrap w:val="0"/>
            <w:vAlign w:val="center"/>
          </w:tcPr>
          <w:p w14:paraId="6B3686A4">
            <w:pPr>
              <w:keepNext w:val="0"/>
              <w:keepLines w:val="0"/>
              <w:pageBreakBefore w:val="0"/>
              <w:widowControl w:val="0"/>
              <w:numPr>
                <w:ilvl w:val="0"/>
                <w:numId w:val="5"/>
              </w:numPr>
              <w:spacing w:line="520" w:lineRule="exact"/>
              <w:ind w:firstLine="0"/>
              <w:jc w:val="center"/>
              <w:rPr>
                <w:rFonts w:hint="default" w:ascii="Times New Roman" w:hAnsi="Times New Roman" w:eastAsia="宋体" w:cs="Times New Roman"/>
                <w:color w:val="000000"/>
                <w:sz w:val="21"/>
                <w:szCs w:val="21"/>
                <w:highlight w:val="none"/>
              </w:rPr>
            </w:pPr>
          </w:p>
        </w:tc>
        <w:tc>
          <w:tcPr>
            <w:tcW w:w="979" w:type="dxa"/>
            <w:shd w:val="clear" w:color="auto" w:fill="FFFFFF"/>
            <w:noWrap w:val="0"/>
            <w:vAlign w:val="center"/>
          </w:tcPr>
          <w:p w14:paraId="5D79D390">
            <w:pPr>
              <w:keepNext w:val="0"/>
              <w:keepLines w:val="0"/>
              <w:pageBreakBefore w:val="0"/>
              <w:widowControl w:val="0"/>
              <w:spacing w:line="520" w:lineRule="exact"/>
              <w:jc w:val="center"/>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w:t>
            </w:r>
          </w:p>
        </w:tc>
        <w:tc>
          <w:tcPr>
            <w:tcW w:w="1708" w:type="dxa"/>
            <w:shd w:val="clear" w:color="auto" w:fill="FFFFFF"/>
            <w:noWrap w:val="0"/>
            <w:vAlign w:val="center"/>
          </w:tcPr>
          <w:p w14:paraId="590AEA15">
            <w:pPr>
              <w:keepNext w:val="0"/>
              <w:keepLines w:val="0"/>
              <w:pageBreakBefore w:val="0"/>
              <w:widowControl w:val="0"/>
              <w:spacing w:line="520" w:lineRule="exact"/>
              <w:jc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采购预算金额</w:t>
            </w:r>
          </w:p>
        </w:tc>
        <w:tc>
          <w:tcPr>
            <w:tcW w:w="5941" w:type="dxa"/>
            <w:shd w:val="clear" w:color="auto" w:fill="FFFFFF"/>
            <w:noWrap w:val="0"/>
            <w:vAlign w:val="bottom"/>
          </w:tcPr>
          <w:p w14:paraId="4C60FB49">
            <w:pPr>
              <w:keepNext w:val="0"/>
              <w:keepLines w:val="0"/>
              <w:pageBreakBefore w:val="0"/>
              <w:widowControl w:val="0"/>
              <w:spacing w:line="520" w:lineRule="exact"/>
              <w:rPr>
                <w:rFonts w:hint="default" w:ascii="Times New Roman" w:hAnsi="Times New Roman" w:eastAsia="宋体" w:cs="Times New Roman"/>
                <w:color w:val="auto"/>
                <w:sz w:val="21"/>
                <w:szCs w:val="21"/>
                <w:highlight w:val="none"/>
              </w:rPr>
            </w:pPr>
            <w:r>
              <w:rPr>
                <w:rFonts w:hint="eastAsia" w:cs="Times New Roman"/>
                <w:color w:val="auto"/>
                <w:sz w:val="21"/>
                <w:szCs w:val="21"/>
                <w:highlight w:val="none"/>
                <w:lang w:val="en-US" w:eastAsia="zh-CN"/>
              </w:rPr>
              <w:t>60</w:t>
            </w:r>
            <w:r>
              <w:rPr>
                <w:rFonts w:hint="default" w:ascii="Times New Roman" w:hAnsi="Times New Roman" w:eastAsia="宋体" w:cs="Times New Roman"/>
                <w:color w:val="auto"/>
                <w:sz w:val="21"/>
                <w:szCs w:val="21"/>
                <w:highlight w:val="none"/>
                <w:lang w:eastAsia="zh-CN"/>
              </w:rPr>
              <w:t>万元</w:t>
            </w:r>
          </w:p>
        </w:tc>
      </w:tr>
      <w:tr w14:paraId="73D9DCC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30" w:type="dxa"/>
            <w:shd w:val="clear" w:color="auto" w:fill="FFFFFF"/>
            <w:noWrap w:val="0"/>
            <w:vAlign w:val="center"/>
          </w:tcPr>
          <w:p w14:paraId="2F30B5AC">
            <w:pPr>
              <w:keepNext w:val="0"/>
              <w:keepLines w:val="0"/>
              <w:pageBreakBefore w:val="0"/>
              <w:widowControl w:val="0"/>
              <w:numPr>
                <w:ilvl w:val="0"/>
                <w:numId w:val="5"/>
              </w:numPr>
              <w:spacing w:line="520" w:lineRule="exact"/>
              <w:ind w:firstLine="0"/>
              <w:jc w:val="center"/>
              <w:rPr>
                <w:rFonts w:hint="default" w:ascii="Times New Roman" w:hAnsi="Times New Roman" w:eastAsia="宋体" w:cs="Times New Roman"/>
                <w:color w:val="000000"/>
                <w:sz w:val="21"/>
                <w:szCs w:val="21"/>
                <w:highlight w:val="none"/>
              </w:rPr>
            </w:pPr>
          </w:p>
        </w:tc>
        <w:tc>
          <w:tcPr>
            <w:tcW w:w="979" w:type="dxa"/>
            <w:shd w:val="clear" w:color="auto" w:fill="FFFFFF"/>
            <w:noWrap w:val="0"/>
            <w:vAlign w:val="center"/>
          </w:tcPr>
          <w:p w14:paraId="25EDB96A">
            <w:pPr>
              <w:keepNext w:val="0"/>
              <w:keepLines w:val="0"/>
              <w:pageBreakBefore w:val="0"/>
              <w:widowControl w:val="0"/>
              <w:spacing w:line="520" w:lineRule="exact"/>
              <w:jc w:val="center"/>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w:t>
            </w:r>
          </w:p>
        </w:tc>
        <w:tc>
          <w:tcPr>
            <w:tcW w:w="1708" w:type="dxa"/>
            <w:shd w:val="clear" w:color="auto" w:fill="FFFFFF"/>
            <w:noWrap w:val="0"/>
            <w:vAlign w:val="center"/>
          </w:tcPr>
          <w:p w14:paraId="715AF47F">
            <w:pPr>
              <w:keepNext w:val="0"/>
              <w:keepLines w:val="0"/>
              <w:pageBreakBefore w:val="0"/>
              <w:widowControl w:val="0"/>
              <w:spacing w:line="520" w:lineRule="exact"/>
              <w:jc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资金来源</w:t>
            </w:r>
          </w:p>
        </w:tc>
        <w:tc>
          <w:tcPr>
            <w:tcW w:w="5941" w:type="dxa"/>
            <w:shd w:val="clear" w:color="auto" w:fill="FFFFFF"/>
            <w:noWrap w:val="0"/>
            <w:vAlign w:val="center"/>
          </w:tcPr>
          <w:p w14:paraId="7B78C1D4">
            <w:pPr>
              <w:keepNext w:val="0"/>
              <w:keepLines w:val="0"/>
              <w:pageBreakBefore w:val="0"/>
              <w:widowControl w:val="0"/>
              <w:tabs>
                <w:tab w:val="left" w:pos="3600"/>
              </w:tabs>
              <w:spacing w:line="52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财政</w:t>
            </w:r>
          </w:p>
        </w:tc>
      </w:tr>
      <w:tr w14:paraId="583AFEF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30" w:type="dxa"/>
            <w:shd w:val="clear" w:color="auto" w:fill="FFFFFF"/>
            <w:noWrap w:val="0"/>
            <w:vAlign w:val="center"/>
          </w:tcPr>
          <w:p w14:paraId="01041797">
            <w:pPr>
              <w:keepNext w:val="0"/>
              <w:keepLines w:val="0"/>
              <w:pageBreakBefore w:val="0"/>
              <w:widowControl w:val="0"/>
              <w:numPr>
                <w:ilvl w:val="0"/>
                <w:numId w:val="5"/>
              </w:numPr>
              <w:spacing w:line="520" w:lineRule="exact"/>
              <w:ind w:firstLine="0"/>
              <w:jc w:val="center"/>
              <w:rPr>
                <w:rFonts w:hint="default" w:ascii="Times New Roman" w:hAnsi="Times New Roman" w:eastAsia="宋体" w:cs="Times New Roman"/>
                <w:color w:val="000000"/>
                <w:sz w:val="21"/>
                <w:szCs w:val="21"/>
                <w:highlight w:val="none"/>
              </w:rPr>
            </w:pPr>
          </w:p>
        </w:tc>
        <w:tc>
          <w:tcPr>
            <w:tcW w:w="979" w:type="dxa"/>
            <w:shd w:val="clear" w:color="auto" w:fill="FFFFFF"/>
            <w:noWrap w:val="0"/>
            <w:vAlign w:val="center"/>
          </w:tcPr>
          <w:p w14:paraId="17DD462D">
            <w:pPr>
              <w:keepNext w:val="0"/>
              <w:keepLines w:val="0"/>
              <w:pageBreakBefore w:val="0"/>
              <w:widowControl w:val="0"/>
              <w:spacing w:line="520" w:lineRule="exact"/>
              <w:jc w:val="center"/>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w:t>
            </w:r>
          </w:p>
        </w:tc>
        <w:tc>
          <w:tcPr>
            <w:tcW w:w="1708" w:type="dxa"/>
            <w:shd w:val="clear" w:color="auto" w:fill="FFFFFF"/>
            <w:noWrap w:val="0"/>
            <w:vAlign w:val="center"/>
          </w:tcPr>
          <w:p w14:paraId="2E814CD0">
            <w:pPr>
              <w:keepNext w:val="0"/>
              <w:keepLines w:val="0"/>
              <w:pageBreakBefore w:val="0"/>
              <w:widowControl w:val="0"/>
              <w:spacing w:line="520" w:lineRule="exact"/>
              <w:jc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采购内容</w:t>
            </w:r>
          </w:p>
        </w:tc>
        <w:tc>
          <w:tcPr>
            <w:tcW w:w="5941" w:type="dxa"/>
            <w:shd w:val="clear" w:color="auto" w:fill="FFFFFF"/>
            <w:noWrap w:val="0"/>
            <w:vAlign w:val="bottom"/>
          </w:tcPr>
          <w:p w14:paraId="44E0A493">
            <w:pPr>
              <w:keepNext w:val="0"/>
              <w:keepLines w:val="0"/>
              <w:pageBreakBefore w:val="0"/>
              <w:widowControl w:val="0"/>
              <w:spacing w:line="520" w:lineRule="exact"/>
              <w:rPr>
                <w:rFonts w:hint="default" w:ascii="Times New Roman" w:hAnsi="Times New Roman" w:eastAsia="宋体" w:cs="Times New Roman"/>
                <w:bCs/>
                <w:color w:val="000000" w:themeColor="text1"/>
                <w:sz w:val="21"/>
                <w:szCs w:val="21"/>
                <w:highlight w:val="none"/>
                <w14:textFill>
                  <w14:solidFill>
                    <w14:schemeClr w14:val="tx1"/>
                  </w14:solidFill>
                </w14:textFill>
              </w:rPr>
            </w:pPr>
            <w:r>
              <w:rPr>
                <w:rFonts w:hint="eastAsia" w:ascii="宋体" w:hAnsi="宋体" w:eastAsia="宋体" w:cs="宋体"/>
                <w:color w:val="auto"/>
                <w:sz w:val="21"/>
                <w:szCs w:val="21"/>
                <w:highlight w:val="none"/>
                <w:lang w:val="en-US" w:eastAsia="zh-CN"/>
              </w:rPr>
              <w:t>滨海县界牌镇村庄规划编制项目，滨海县界牌镇华林村、界牌村、冲边村、大于庄村、众兴村、双龙港村、新巨村、镇南村以及陆集社区按照《江苏省村庄规划编制指南（2023年版）》中基础版要求编制。（详见招标文件第四章采购需求）</w:t>
            </w:r>
          </w:p>
        </w:tc>
      </w:tr>
      <w:tr w14:paraId="7E5C3CF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30" w:type="dxa"/>
            <w:shd w:val="clear" w:color="auto" w:fill="FFFFFF"/>
            <w:noWrap w:val="0"/>
            <w:vAlign w:val="center"/>
          </w:tcPr>
          <w:p w14:paraId="0ECC8F8D">
            <w:pPr>
              <w:keepNext w:val="0"/>
              <w:keepLines w:val="0"/>
              <w:pageBreakBefore w:val="0"/>
              <w:widowControl w:val="0"/>
              <w:numPr>
                <w:ilvl w:val="0"/>
                <w:numId w:val="5"/>
              </w:numPr>
              <w:spacing w:line="520" w:lineRule="exact"/>
              <w:ind w:firstLine="0"/>
              <w:jc w:val="center"/>
              <w:rPr>
                <w:rFonts w:hint="default" w:ascii="Times New Roman" w:hAnsi="Times New Roman" w:eastAsia="宋体" w:cs="Times New Roman"/>
                <w:color w:val="000000"/>
                <w:sz w:val="21"/>
                <w:szCs w:val="21"/>
                <w:highlight w:val="none"/>
              </w:rPr>
            </w:pPr>
          </w:p>
        </w:tc>
        <w:tc>
          <w:tcPr>
            <w:tcW w:w="979" w:type="dxa"/>
            <w:shd w:val="clear" w:color="auto" w:fill="FFFFFF"/>
            <w:noWrap w:val="0"/>
            <w:vAlign w:val="center"/>
          </w:tcPr>
          <w:p w14:paraId="58D63333">
            <w:pPr>
              <w:keepNext w:val="0"/>
              <w:keepLines w:val="0"/>
              <w:pageBreakBefore w:val="0"/>
              <w:widowControl w:val="0"/>
              <w:spacing w:line="520" w:lineRule="exact"/>
              <w:jc w:val="center"/>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17.1</w:t>
            </w:r>
          </w:p>
        </w:tc>
        <w:tc>
          <w:tcPr>
            <w:tcW w:w="1708" w:type="dxa"/>
            <w:shd w:val="clear" w:color="auto" w:fill="FFFFFF"/>
            <w:noWrap w:val="0"/>
            <w:vAlign w:val="center"/>
          </w:tcPr>
          <w:p w14:paraId="255D3AAA">
            <w:pPr>
              <w:keepNext w:val="0"/>
              <w:keepLines w:val="0"/>
              <w:pageBreakBefore w:val="0"/>
              <w:widowControl w:val="0"/>
              <w:spacing w:line="520" w:lineRule="exact"/>
              <w:jc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zh-CN"/>
                <w14:textFill>
                  <w14:solidFill>
                    <w14:schemeClr w14:val="tx1"/>
                  </w14:solidFill>
                </w14:textFill>
              </w:rPr>
              <w:t>投标有效期</w:t>
            </w:r>
          </w:p>
        </w:tc>
        <w:tc>
          <w:tcPr>
            <w:tcW w:w="5941" w:type="dxa"/>
            <w:shd w:val="clear" w:color="auto" w:fill="FFFFFF"/>
            <w:noWrap w:val="0"/>
            <w:vAlign w:val="center"/>
          </w:tcPr>
          <w:p w14:paraId="2FE05C48">
            <w:pPr>
              <w:keepNext w:val="0"/>
              <w:keepLines w:val="0"/>
              <w:pageBreakBefore w:val="0"/>
              <w:widowControl w:val="0"/>
              <w:spacing w:line="520" w:lineRule="exact"/>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90日历天</w:t>
            </w:r>
          </w:p>
        </w:tc>
      </w:tr>
      <w:tr w14:paraId="47B60AF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30" w:type="dxa"/>
            <w:shd w:val="clear" w:color="auto" w:fill="FFFFFF"/>
            <w:noWrap w:val="0"/>
            <w:vAlign w:val="center"/>
          </w:tcPr>
          <w:p w14:paraId="071160E2">
            <w:pPr>
              <w:keepNext w:val="0"/>
              <w:keepLines w:val="0"/>
              <w:pageBreakBefore w:val="0"/>
              <w:widowControl w:val="0"/>
              <w:numPr>
                <w:ilvl w:val="0"/>
                <w:numId w:val="5"/>
              </w:numPr>
              <w:spacing w:line="520" w:lineRule="exact"/>
              <w:ind w:firstLine="0"/>
              <w:jc w:val="center"/>
              <w:rPr>
                <w:rFonts w:hint="default" w:ascii="Times New Roman" w:hAnsi="Times New Roman" w:eastAsia="宋体" w:cs="Times New Roman"/>
                <w:color w:val="000000"/>
                <w:sz w:val="21"/>
                <w:szCs w:val="21"/>
                <w:highlight w:val="none"/>
              </w:rPr>
            </w:pPr>
          </w:p>
        </w:tc>
        <w:tc>
          <w:tcPr>
            <w:tcW w:w="979" w:type="dxa"/>
            <w:shd w:val="clear" w:color="auto" w:fill="FFFFFF"/>
            <w:noWrap w:val="0"/>
            <w:vAlign w:val="center"/>
          </w:tcPr>
          <w:p w14:paraId="216FD95F">
            <w:pPr>
              <w:keepNext w:val="0"/>
              <w:keepLines w:val="0"/>
              <w:pageBreakBefore w:val="0"/>
              <w:widowControl w:val="0"/>
              <w:spacing w:line="520" w:lineRule="exact"/>
              <w:jc w:val="center"/>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w:t>
            </w:r>
          </w:p>
        </w:tc>
        <w:tc>
          <w:tcPr>
            <w:tcW w:w="1708" w:type="dxa"/>
            <w:shd w:val="clear" w:color="auto" w:fill="FFFFFF"/>
            <w:noWrap w:val="0"/>
            <w:vAlign w:val="center"/>
          </w:tcPr>
          <w:p w14:paraId="04944D1A">
            <w:pPr>
              <w:keepNext w:val="0"/>
              <w:keepLines w:val="0"/>
              <w:pageBreakBefore w:val="0"/>
              <w:widowControl w:val="0"/>
              <w:spacing w:line="520" w:lineRule="exact"/>
              <w:jc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zh-CN"/>
                <w14:textFill>
                  <w14:solidFill>
                    <w14:schemeClr w14:val="tx1"/>
                  </w14:solidFill>
                </w14:textFill>
              </w:rPr>
              <w:t>投标保证金缴纳</w:t>
            </w:r>
          </w:p>
        </w:tc>
        <w:tc>
          <w:tcPr>
            <w:tcW w:w="5941" w:type="dxa"/>
            <w:shd w:val="clear" w:color="auto" w:fill="FFFFFF"/>
            <w:noWrap w:val="0"/>
            <w:vAlign w:val="bottom"/>
          </w:tcPr>
          <w:p w14:paraId="57E30CCD">
            <w:pPr>
              <w:keepNext w:val="0"/>
              <w:keepLines w:val="0"/>
              <w:pageBreakBefore w:val="0"/>
              <w:widowControl w:val="0"/>
              <w:spacing w:line="520" w:lineRule="exact"/>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根据政府采购相关规定，本项目无须缴纳投标保证金。本采购文件涉及投标保证金相关条款均不赘述修改。</w:t>
            </w:r>
          </w:p>
        </w:tc>
      </w:tr>
      <w:tr w14:paraId="5659472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30" w:type="dxa"/>
            <w:shd w:val="clear" w:color="auto" w:fill="FFFFFF"/>
            <w:noWrap w:val="0"/>
            <w:vAlign w:val="center"/>
          </w:tcPr>
          <w:p w14:paraId="541B4E96">
            <w:pPr>
              <w:keepNext w:val="0"/>
              <w:keepLines w:val="0"/>
              <w:pageBreakBefore w:val="0"/>
              <w:widowControl w:val="0"/>
              <w:numPr>
                <w:ilvl w:val="0"/>
                <w:numId w:val="5"/>
              </w:numPr>
              <w:spacing w:line="520" w:lineRule="exact"/>
              <w:ind w:firstLine="0"/>
              <w:jc w:val="center"/>
              <w:rPr>
                <w:rFonts w:hint="default" w:ascii="Times New Roman" w:hAnsi="Times New Roman" w:eastAsia="宋体" w:cs="Times New Roman"/>
                <w:color w:val="000000"/>
                <w:sz w:val="21"/>
                <w:szCs w:val="21"/>
                <w:highlight w:val="none"/>
              </w:rPr>
            </w:pPr>
          </w:p>
        </w:tc>
        <w:tc>
          <w:tcPr>
            <w:tcW w:w="979" w:type="dxa"/>
            <w:shd w:val="clear" w:color="auto" w:fill="FFFFFF"/>
            <w:noWrap w:val="0"/>
            <w:vAlign w:val="center"/>
          </w:tcPr>
          <w:p w14:paraId="5D1D7797">
            <w:pPr>
              <w:keepNext w:val="0"/>
              <w:keepLines w:val="0"/>
              <w:pageBreakBefore w:val="0"/>
              <w:widowControl w:val="0"/>
              <w:spacing w:line="520" w:lineRule="exact"/>
              <w:jc w:val="center"/>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w:t>
            </w:r>
          </w:p>
        </w:tc>
        <w:tc>
          <w:tcPr>
            <w:tcW w:w="1708" w:type="dxa"/>
            <w:shd w:val="clear" w:color="auto" w:fill="FFFFFF"/>
            <w:noWrap w:val="0"/>
            <w:vAlign w:val="center"/>
          </w:tcPr>
          <w:p w14:paraId="4A970958">
            <w:pPr>
              <w:keepNext w:val="0"/>
              <w:keepLines w:val="0"/>
              <w:pageBreakBefore w:val="0"/>
              <w:widowControl w:val="0"/>
              <w:spacing w:line="520" w:lineRule="exact"/>
              <w:jc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zh-CN"/>
                <w14:textFill>
                  <w14:solidFill>
                    <w14:schemeClr w14:val="tx1"/>
                  </w14:solidFill>
                </w14:textFill>
              </w:rPr>
              <w:t>采购文件的获取</w:t>
            </w:r>
          </w:p>
        </w:tc>
        <w:tc>
          <w:tcPr>
            <w:tcW w:w="5941" w:type="dxa"/>
            <w:shd w:val="clear" w:color="auto" w:fill="FFFFFF"/>
            <w:noWrap w:val="0"/>
            <w:vAlign w:val="top"/>
          </w:tcPr>
          <w:p w14:paraId="6CDEEB3F">
            <w:pPr>
              <w:keepNext w:val="0"/>
              <w:keepLines w:val="0"/>
              <w:pageBreakBefore w:val="0"/>
              <w:widowControl w:val="0"/>
              <w:spacing w:line="520" w:lineRule="exact"/>
              <w:ind w:firstLine="210" w:firstLineChars="100"/>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1.采购</w:t>
            </w:r>
            <w:r>
              <w:rPr>
                <w:rFonts w:hint="default" w:ascii="Times New Roman" w:hAnsi="Times New Roman" w:eastAsia="宋体" w:cs="Times New Roman"/>
                <w:color w:val="auto"/>
                <w:sz w:val="21"/>
                <w:szCs w:val="21"/>
                <w:highlight w:val="none"/>
                <w:lang w:val="en-US" w:eastAsia="zh-CN"/>
              </w:rPr>
              <w:t>文件获取时间</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u w:val="single"/>
                <w:lang w:eastAsia="zh-CN"/>
              </w:rPr>
              <w:t>2024年</w:t>
            </w:r>
            <w:r>
              <w:rPr>
                <w:rFonts w:hint="eastAsia" w:cs="Times New Roman"/>
                <w:color w:val="auto"/>
                <w:sz w:val="21"/>
                <w:szCs w:val="21"/>
                <w:highlight w:val="none"/>
                <w:u w:val="single"/>
                <w:lang w:val="en-US" w:eastAsia="zh-CN"/>
              </w:rPr>
              <w:t>11</w:t>
            </w:r>
            <w:r>
              <w:rPr>
                <w:rFonts w:hint="default" w:ascii="Times New Roman" w:hAnsi="Times New Roman" w:eastAsia="宋体" w:cs="Times New Roman"/>
                <w:color w:val="auto"/>
                <w:sz w:val="21"/>
                <w:szCs w:val="21"/>
                <w:highlight w:val="none"/>
                <w:u w:val="single"/>
                <w:lang w:eastAsia="zh-CN"/>
              </w:rPr>
              <w:t>月</w:t>
            </w:r>
            <w:r>
              <w:rPr>
                <w:rFonts w:hint="eastAsia" w:cs="Times New Roman"/>
                <w:color w:val="auto"/>
                <w:sz w:val="21"/>
                <w:szCs w:val="21"/>
                <w:highlight w:val="none"/>
                <w:u w:val="single"/>
                <w:lang w:val="en-US" w:eastAsia="zh-CN"/>
              </w:rPr>
              <w:t>14</w:t>
            </w:r>
            <w:r>
              <w:rPr>
                <w:rFonts w:hint="default" w:ascii="Times New Roman" w:hAnsi="Times New Roman" w:eastAsia="宋体" w:cs="Times New Roman"/>
                <w:color w:val="auto"/>
                <w:sz w:val="21"/>
                <w:szCs w:val="21"/>
                <w:highlight w:val="none"/>
                <w:u w:val="single"/>
                <w:lang w:eastAsia="zh-CN"/>
              </w:rPr>
              <w:t>日至2024年</w:t>
            </w:r>
            <w:r>
              <w:rPr>
                <w:rFonts w:hint="eastAsia" w:cs="Times New Roman"/>
                <w:color w:val="auto"/>
                <w:sz w:val="21"/>
                <w:szCs w:val="21"/>
                <w:highlight w:val="none"/>
                <w:u w:val="single"/>
                <w:lang w:val="en-US" w:eastAsia="zh-CN"/>
              </w:rPr>
              <w:t>11</w:t>
            </w:r>
            <w:r>
              <w:rPr>
                <w:rFonts w:hint="default" w:ascii="Times New Roman" w:hAnsi="Times New Roman" w:eastAsia="宋体" w:cs="Times New Roman"/>
                <w:color w:val="auto"/>
                <w:sz w:val="21"/>
                <w:szCs w:val="21"/>
                <w:highlight w:val="none"/>
                <w:u w:val="single"/>
                <w:lang w:eastAsia="zh-CN"/>
              </w:rPr>
              <w:t>月</w:t>
            </w:r>
            <w:r>
              <w:rPr>
                <w:rFonts w:hint="eastAsia" w:cs="Times New Roman"/>
                <w:color w:val="auto"/>
                <w:sz w:val="21"/>
                <w:szCs w:val="21"/>
                <w:highlight w:val="none"/>
                <w:u w:val="single"/>
                <w:lang w:val="en-US" w:eastAsia="zh-CN"/>
              </w:rPr>
              <w:t>21</w:t>
            </w:r>
            <w:r>
              <w:rPr>
                <w:rFonts w:hint="default" w:ascii="Times New Roman" w:hAnsi="Times New Roman" w:eastAsia="宋体" w:cs="Times New Roman"/>
                <w:color w:val="auto"/>
                <w:sz w:val="21"/>
                <w:szCs w:val="21"/>
                <w:highlight w:val="none"/>
                <w:u w:val="single"/>
                <w:lang w:eastAsia="zh-CN"/>
              </w:rPr>
              <w:t>日</w:t>
            </w:r>
            <w:r>
              <w:rPr>
                <w:rFonts w:hint="default" w:ascii="Times New Roman" w:hAnsi="Times New Roman" w:eastAsia="宋体" w:cs="Times New Roman"/>
                <w:color w:val="auto"/>
                <w:sz w:val="21"/>
                <w:szCs w:val="21"/>
                <w:highlight w:val="none"/>
                <w:u w:val="single"/>
              </w:rPr>
              <w:t>，每</w:t>
            </w:r>
            <w:r>
              <w:rPr>
                <w:rFonts w:hint="default" w:ascii="Times New Roman" w:hAnsi="Times New Roman" w:eastAsia="宋体" w:cs="Times New Roman"/>
                <w:color w:val="000000" w:themeColor="text1"/>
                <w:sz w:val="21"/>
                <w:szCs w:val="21"/>
                <w:highlight w:val="none"/>
                <w:u w:val="single"/>
                <w14:textFill>
                  <w14:solidFill>
                    <w14:schemeClr w14:val="tx1"/>
                  </w14:solidFill>
                </w14:textFill>
              </w:rPr>
              <w:t>天上午08:30至11:30，下午14:30至17:30（北京时间，法定节假日除外）</w:t>
            </w:r>
            <w:r>
              <w:rPr>
                <w:rFonts w:hint="default" w:ascii="Times New Roman" w:hAnsi="Times New Roman" w:eastAsia="宋体" w:cs="Times New Roman"/>
                <w:color w:val="000000" w:themeColor="text1"/>
                <w:sz w:val="21"/>
                <w:szCs w:val="21"/>
                <w:highlight w:val="none"/>
                <w14:textFill>
                  <w14:solidFill>
                    <w14:schemeClr w14:val="tx1"/>
                  </w14:solidFill>
                </w14:textFill>
              </w:rPr>
              <w:t>。</w:t>
            </w:r>
          </w:p>
          <w:p w14:paraId="605A6BF3">
            <w:pPr>
              <w:keepNext w:val="0"/>
              <w:keepLines w:val="0"/>
              <w:pageBreakBefore w:val="0"/>
              <w:widowControl w:val="0"/>
              <w:spacing w:line="520" w:lineRule="exact"/>
              <w:rPr>
                <w:rFonts w:hint="default" w:ascii="Times New Roman" w:hAnsi="Times New Roman" w:eastAsia="宋体" w:cs="Times New Roman"/>
                <w:color w:val="000000" w:themeColor="text1"/>
                <w:sz w:val="21"/>
                <w:szCs w:val="21"/>
                <w:highlight w:val="none"/>
                <w:u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2.采购文件获取</w:t>
            </w:r>
            <w:r>
              <w:rPr>
                <w:rFonts w:hint="default" w:ascii="Times New Roman" w:hAnsi="Times New Roman" w:eastAsia="宋体" w:cs="Times New Roman"/>
                <w:color w:val="000000" w:themeColor="text1"/>
                <w:sz w:val="21"/>
                <w:szCs w:val="21"/>
                <w:highlight w:val="none"/>
                <w14:textFill>
                  <w14:solidFill>
                    <w14:schemeClr w14:val="tx1"/>
                  </w14:solidFill>
                </w14:textFill>
              </w:rPr>
              <w:t>地点：</w:t>
            </w:r>
            <w:r>
              <w:rPr>
                <w:rFonts w:hint="default" w:ascii="Times New Roman" w:hAnsi="Times New Roman" w:eastAsia="宋体" w:cs="Times New Roman"/>
                <w:color w:val="000000" w:themeColor="text1"/>
                <w:sz w:val="21"/>
                <w:szCs w:val="21"/>
                <w:highlight w:val="none"/>
                <w:u w:val="none"/>
                <w14:textFill>
                  <w14:solidFill>
                    <w14:schemeClr w14:val="tx1"/>
                  </w14:solidFill>
                </w14:textFill>
              </w:rPr>
              <w:t>苏采云网上系统获取。</w:t>
            </w:r>
          </w:p>
          <w:p w14:paraId="1DA3ACD6">
            <w:pPr>
              <w:keepNext w:val="0"/>
              <w:keepLines w:val="0"/>
              <w:pageBreakBefore w:val="0"/>
              <w:widowControl w:val="0"/>
              <w:spacing w:line="520" w:lineRule="exact"/>
              <w:rPr>
                <w:rFonts w:hint="default" w:ascii="Times New Roman" w:hAnsi="Times New Roman" w:eastAsia="宋体" w:cs="Times New Roman"/>
                <w:color w:val="000000" w:themeColor="text1"/>
                <w:sz w:val="21"/>
                <w:szCs w:val="21"/>
                <w:highlight w:val="none"/>
                <w:u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u w:val="none"/>
                <w14:textFill>
                  <w14:solidFill>
                    <w14:schemeClr w14:val="tx1"/>
                  </w14:solidFill>
                </w14:textFill>
              </w:rPr>
              <w:t>3.采购文件获取方式：苏采云网上系统获取。</w:t>
            </w:r>
          </w:p>
          <w:p w14:paraId="0872820C">
            <w:pPr>
              <w:keepNext w:val="0"/>
              <w:keepLines w:val="0"/>
              <w:pageBreakBefore w:val="0"/>
              <w:widowControl w:val="0"/>
              <w:spacing w:line="520" w:lineRule="exact"/>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4.采购</w:t>
            </w:r>
            <w:r>
              <w:rPr>
                <w:rFonts w:hint="default" w:ascii="Times New Roman" w:hAnsi="Times New Roman" w:eastAsia="宋体" w:cs="Times New Roman"/>
                <w:color w:val="000000" w:themeColor="text1"/>
                <w:sz w:val="21"/>
                <w:szCs w:val="21"/>
                <w:highlight w:val="none"/>
                <w14:textFill>
                  <w14:solidFill>
                    <w14:schemeClr w14:val="tx1"/>
                  </w14:solidFill>
                </w14:textFill>
              </w:rPr>
              <w:t>文件售价：</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免费获取。</w:t>
            </w:r>
          </w:p>
        </w:tc>
      </w:tr>
      <w:tr w14:paraId="1CDCE81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30" w:type="dxa"/>
            <w:shd w:val="clear" w:color="auto" w:fill="FFFFFF"/>
            <w:noWrap w:val="0"/>
            <w:vAlign w:val="center"/>
          </w:tcPr>
          <w:p w14:paraId="2C9FA4C7">
            <w:pPr>
              <w:keepNext w:val="0"/>
              <w:keepLines w:val="0"/>
              <w:pageBreakBefore w:val="0"/>
              <w:widowControl w:val="0"/>
              <w:numPr>
                <w:ilvl w:val="0"/>
                <w:numId w:val="5"/>
              </w:numPr>
              <w:spacing w:line="520" w:lineRule="exact"/>
              <w:ind w:firstLine="0"/>
              <w:jc w:val="center"/>
              <w:rPr>
                <w:rFonts w:hint="default" w:ascii="Times New Roman" w:hAnsi="Times New Roman" w:eastAsia="宋体" w:cs="Times New Roman"/>
                <w:color w:val="000000"/>
                <w:sz w:val="21"/>
                <w:szCs w:val="21"/>
                <w:highlight w:val="none"/>
              </w:rPr>
            </w:pPr>
          </w:p>
        </w:tc>
        <w:tc>
          <w:tcPr>
            <w:tcW w:w="979" w:type="dxa"/>
            <w:shd w:val="clear" w:color="auto" w:fill="FFFFFF"/>
            <w:noWrap w:val="0"/>
            <w:vAlign w:val="center"/>
          </w:tcPr>
          <w:p w14:paraId="36B43440">
            <w:pPr>
              <w:keepNext w:val="0"/>
              <w:keepLines w:val="0"/>
              <w:pageBreakBefore w:val="0"/>
              <w:widowControl w:val="0"/>
              <w:spacing w:line="520" w:lineRule="exact"/>
              <w:jc w:val="center"/>
              <w:rPr>
                <w:rFonts w:hint="default" w:ascii="Times New Roman" w:hAnsi="Times New Roman" w:eastAsia="宋体" w:cs="Times New Roman"/>
                <w:color w:val="000000"/>
                <w:sz w:val="21"/>
                <w:szCs w:val="21"/>
                <w:highlight w:val="none"/>
                <w:lang w:eastAsia="zh-CN"/>
              </w:rPr>
            </w:pPr>
            <w:r>
              <w:rPr>
                <w:rFonts w:hint="default" w:ascii="Times New Roman" w:hAnsi="Times New Roman" w:eastAsia="宋体" w:cs="Times New Roman"/>
                <w:color w:val="000000"/>
                <w:sz w:val="21"/>
                <w:szCs w:val="21"/>
                <w:highlight w:val="none"/>
                <w:lang w:val="en-US" w:eastAsia="zh-CN"/>
              </w:rPr>
              <w:t>/</w:t>
            </w:r>
          </w:p>
        </w:tc>
        <w:tc>
          <w:tcPr>
            <w:tcW w:w="1708" w:type="dxa"/>
            <w:shd w:val="clear" w:color="auto" w:fill="FFFFFF"/>
            <w:noWrap w:val="0"/>
            <w:vAlign w:val="center"/>
          </w:tcPr>
          <w:p w14:paraId="08B60453">
            <w:pPr>
              <w:keepNext w:val="0"/>
              <w:keepLines w:val="0"/>
              <w:pageBreakBefore w:val="0"/>
              <w:widowControl w:val="0"/>
              <w:spacing w:line="520" w:lineRule="exact"/>
              <w:jc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zh-CN"/>
                <w14:textFill>
                  <w14:solidFill>
                    <w14:schemeClr w14:val="tx1"/>
                  </w14:solidFill>
                </w14:textFill>
              </w:rPr>
              <w:t>答疑会召开时间</w:t>
            </w:r>
          </w:p>
        </w:tc>
        <w:tc>
          <w:tcPr>
            <w:tcW w:w="5941" w:type="dxa"/>
            <w:shd w:val="clear" w:color="auto" w:fill="FFFFFF"/>
            <w:noWrap w:val="0"/>
            <w:vAlign w:val="bottom"/>
          </w:tcPr>
          <w:p w14:paraId="20B685A2">
            <w:pPr>
              <w:keepNext w:val="0"/>
              <w:keepLines w:val="0"/>
              <w:pageBreakBefore w:val="0"/>
              <w:widowControl w:val="0"/>
              <w:spacing w:line="52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zh-CN"/>
              </w:rPr>
              <w:t>不集中召开答疑会</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val="zh-CN"/>
              </w:rPr>
              <w:t>投标供应商对采购文件如有疑问</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val="zh-CN"/>
              </w:rPr>
              <w:t>请将疑问于</w:t>
            </w:r>
            <w:r>
              <w:rPr>
                <w:rFonts w:hint="default" w:ascii="Times New Roman" w:hAnsi="Times New Roman" w:eastAsia="宋体" w:cs="Times New Roman"/>
                <w:color w:val="auto"/>
                <w:sz w:val="21"/>
                <w:szCs w:val="21"/>
                <w:highlight w:val="none"/>
                <w:u w:val="single"/>
                <w:lang w:eastAsia="zh-CN"/>
              </w:rPr>
              <w:t>2024年</w:t>
            </w:r>
            <w:r>
              <w:rPr>
                <w:rFonts w:hint="eastAsia" w:cs="Times New Roman"/>
                <w:color w:val="auto"/>
                <w:sz w:val="21"/>
                <w:szCs w:val="21"/>
                <w:highlight w:val="none"/>
                <w:u w:val="single"/>
                <w:lang w:val="en-US" w:eastAsia="zh-CN"/>
              </w:rPr>
              <w:t>11</w:t>
            </w:r>
            <w:r>
              <w:rPr>
                <w:rFonts w:hint="default" w:ascii="Times New Roman" w:hAnsi="Times New Roman" w:eastAsia="宋体" w:cs="Times New Roman"/>
                <w:color w:val="auto"/>
                <w:sz w:val="21"/>
                <w:szCs w:val="21"/>
                <w:highlight w:val="none"/>
                <w:u w:val="single"/>
                <w:lang w:eastAsia="zh-CN"/>
              </w:rPr>
              <w:t>月</w:t>
            </w:r>
            <w:r>
              <w:rPr>
                <w:rFonts w:hint="eastAsia" w:cs="Times New Roman"/>
                <w:color w:val="auto"/>
                <w:sz w:val="21"/>
                <w:szCs w:val="21"/>
                <w:highlight w:val="none"/>
                <w:u w:val="single"/>
                <w:lang w:val="en-US" w:eastAsia="zh-CN"/>
              </w:rPr>
              <w:t>21</w:t>
            </w:r>
            <w:r>
              <w:rPr>
                <w:rFonts w:hint="default" w:ascii="Times New Roman" w:hAnsi="Times New Roman" w:eastAsia="宋体" w:cs="Times New Roman"/>
                <w:color w:val="auto"/>
                <w:sz w:val="21"/>
                <w:szCs w:val="21"/>
                <w:highlight w:val="none"/>
                <w:u w:val="single"/>
                <w:lang w:eastAsia="zh-CN"/>
              </w:rPr>
              <w:t>日</w:t>
            </w:r>
            <w:r>
              <w:rPr>
                <w:rFonts w:hint="default" w:ascii="Times New Roman" w:hAnsi="Times New Roman" w:eastAsia="宋体" w:cs="Times New Roman"/>
                <w:color w:val="auto"/>
                <w:sz w:val="21"/>
                <w:szCs w:val="21"/>
                <w:highlight w:val="none"/>
                <w:u w:val="single"/>
              </w:rPr>
              <w:t>1</w:t>
            </w:r>
            <w:r>
              <w:rPr>
                <w:rFonts w:hint="default" w:ascii="Times New Roman" w:hAnsi="Times New Roman" w:eastAsia="宋体" w:cs="Times New Roman"/>
                <w:color w:val="auto"/>
                <w:sz w:val="21"/>
                <w:szCs w:val="21"/>
                <w:highlight w:val="none"/>
                <w:u w:val="single"/>
                <w:lang w:val="en-US" w:eastAsia="zh-CN"/>
              </w:rPr>
              <w:t>7</w:t>
            </w:r>
            <w:r>
              <w:rPr>
                <w:rFonts w:hint="default" w:ascii="Times New Roman" w:hAnsi="Times New Roman" w:eastAsia="宋体" w:cs="Times New Roman"/>
                <w:color w:val="auto"/>
                <w:sz w:val="21"/>
                <w:szCs w:val="21"/>
                <w:highlight w:val="none"/>
                <w:u w:val="single"/>
              </w:rPr>
              <w:t>:30</w:t>
            </w:r>
            <w:r>
              <w:rPr>
                <w:rFonts w:hint="default" w:ascii="Times New Roman" w:hAnsi="Times New Roman" w:eastAsia="宋体" w:cs="Times New Roman"/>
                <w:color w:val="auto"/>
                <w:sz w:val="21"/>
                <w:szCs w:val="21"/>
                <w:highlight w:val="none"/>
                <w:u w:val="single"/>
                <w:lang w:val="zh-CN"/>
              </w:rPr>
              <w:t>前</w:t>
            </w:r>
            <w:r>
              <w:rPr>
                <w:rFonts w:hint="default" w:ascii="Times New Roman" w:hAnsi="Times New Roman" w:eastAsia="宋体" w:cs="Times New Roman"/>
                <w:color w:val="auto"/>
                <w:sz w:val="21"/>
                <w:szCs w:val="21"/>
                <w:highlight w:val="none"/>
                <w:lang w:val="zh-CN"/>
              </w:rPr>
              <w:t>以书面原件形式提出明确的疑问及相关佐证材料递交至采购人</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val="zh-CN"/>
              </w:rPr>
              <w:t>同时发送清晰扫描件至采购人邮箱</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val="zh-CN"/>
              </w:rPr>
              <w:t>邮箱</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rPr>
              <w:fldChar w:fldCharType="begin"/>
            </w:r>
            <w:r>
              <w:rPr>
                <w:rFonts w:hint="default" w:ascii="Times New Roman" w:hAnsi="Times New Roman" w:eastAsia="宋体" w:cs="Times New Roman"/>
                <w:color w:val="auto"/>
                <w:sz w:val="21"/>
                <w:szCs w:val="21"/>
                <w:highlight w:val="none"/>
              </w:rPr>
              <w:instrText xml:space="preserve"> HYPERLINK "mailto:22499121@qq.com），递交地址见本表，同时电话告知招标代理机构，否则将视为无疑问。" </w:instrText>
            </w:r>
            <w:r>
              <w:rPr>
                <w:rFonts w:hint="default" w:ascii="Times New Roman" w:hAnsi="Times New Roman" w:eastAsia="宋体" w:cs="Times New Roman"/>
                <w:color w:val="auto"/>
                <w:sz w:val="21"/>
                <w:szCs w:val="21"/>
                <w:highlight w:val="none"/>
              </w:rPr>
              <w:fldChar w:fldCharType="separate"/>
            </w:r>
            <w:r>
              <w:rPr>
                <w:rFonts w:hint="default" w:ascii="Times New Roman" w:hAnsi="Times New Roman" w:eastAsia="宋体" w:cs="Times New Roman"/>
                <w:color w:val="auto"/>
                <w:sz w:val="21"/>
                <w:szCs w:val="21"/>
                <w:highlight w:val="none"/>
                <w:lang w:val="en-US" w:eastAsia="zh-CN"/>
              </w:rPr>
              <w:t>19926983</w:t>
            </w:r>
            <w:r>
              <w:rPr>
                <w:rFonts w:hint="default" w:ascii="Times New Roman" w:hAnsi="Times New Roman" w:eastAsia="宋体" w:cs="Times New Roman"/>
                <w:color w:val="auto"/>
                <w:sz w:val="21"/>
                <w:szCs w:val="21"/>
                <w:highlight w:val="none"/>
              </w:rPr>
              <w:t>@qq.com），</w:t>
            </w:r>
            <w:r>
              <w:rPr>
                <w:rFonts w:hint="default" w:ascii="Times New Roman" w:hAnsi="Times New Roman" w:eastAsia="宋体" w:cs="Times New Roman"/>
                <w:color w:val="auto"/>
                <w:sz w:val="21"/>
                <w:szCs w:val="21"/>
                <w:highlight w:val="none"/>
                <w:lang w:val="zh-CN"/>
              </w:rPr>
              <w:t>递交地址见本表</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val="zh-CN"/>
              </w:rPr>
              <w:t>同时电话告知采购人</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val="zh-CN"/>
              </w:rPr>
              <w:t>否则将视为无疑问。</w:t>
            </w:r>
            <w:r>
              <w:rPr>
                <w:rFonts w:hint="default" w:ascii="Times New Roman" w:hAnsi="Times New Roman" w:eastAsia="宋体" w:cs="Times New Roman"/>
                <w:color w:val="auto"/>
                <w:sz w:val="21"/>
                <w:szCs w:val="21"/>
                <w:highlight w:val="none"/>
                <w:lang w:val="zh-CN"/>
              </w:rPr>
              <w:fldChar w:fldCharType="end"/>
            </w:r>
            <w:r>
              <w:rPr>
                <w:rFonts w:hint="default" w:ascii="Times New Roman" w:hAnsi="Times New Roman" w:eastAsia="宋体" w:cs="Times New Roman"/>
                <w:color w:val="auto"/>
                <w:sz w:val="21"/>
                <w:szCs w:val="21"/>
                <w:highlight w:val="none"/>
                <w:lang w:val="zh-CN"/>
              </w:rPr>
              <w:t>若投标供应商在答疑截止时间前未提出疑问，视为同意本采购文件各项条款且无异议，采购人不接受未在规定时间内提出的疑问或质疑。</w:t>
            </w:r>
          </w:p>
        </w:tc>
      </w:tr>
      <w:tr w14:paraId="0E7FAED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FFFFFF"/>
          <w:tblCellMar>
            <w:top w:w="0" w:type="dxa"/>
            <w:left w:w="108" w:type="dxa"/>
            <w:bottom w:w="0" w:type="dxa"/>
            <w:right w:w="108" w:type="dxa"/>
          </w:tblCellMar>
        </w:tblPrEx>
        <w:trPr>
          <w:trHeight w:val="90" w:hRule="atLeast"/>
          <w:jc w:val="center"/>
        </w:trPr>
        <w:tc>
          <w:tcPr>
            <w:tcW w:w="830" w:type="dxa"/>
            <w:shd w:val="clear" w:color="auto" w:fill="FFFFFF"/>
            <w:noWrap w:val="0"/>
            <w:vAlign w:val="center"/>
          </w:tcPr>
          <w:p w14:paraId="07F2AC79">
            <w:pPr>
              <w:keepNext w:val="0"/>
              <w:keepLines w:val="0"/>
              <w:pageBreakBefore w:val="0"/>
              <w:widowControl w:val="0"/>
              <w:numPr>
                <w:ilvl w:val="0"/>
                <w:numId w:val="5"/>
              </w:numPr>
              <w:spacing w:line="520" w:lineRule="exact"/>
              <w:ind w:firstLine="0"/>
              <w:jc w:val="center"/>
              <w:rPr>
                <w:rFonts w:hint="default" w:ascii="Times New Roman" w:hAnsi="Times New Roman" w:eastAsia="宋体" w:cs="Times New Roman"/>
                <w:color w:val="000000"/>
                <w:sz w:val="21"/>
                <w:szCs w:val="21"/>
                <w:highlight w:val="none"/>
              </w:rPr>
            </w:pPr>
          </w:p>
        </w:tc>
        <w:tc>
          <w:tcPr>
            <w:tcW w:w="979" w:type="dxa"/>
            <w:shd w:val="clear" w:color="auto" w:fill="FFFFFF"/>
            <w:noWrap w:val="0"/>
            <w:vAlign w:val="center"/>
          </w:tcPr>
          <w:p w14:paraId="3945C27C">
            <w:pPr>
              <w:keepNext w:val="0"/>
              <w:keepLines w:val="0"/>
              <w:pageBreakBefore w:val="0"/>
              <w:widowControl w:val="0"/>
              <w:spacing w:line="520" w:lineRule="exact"/>
              <w:jc w:val="center"/>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19.1.1</w:t>
            </w:r>
          </w:p>
        </w:tc>
        <w:tc>
          <w:tcPr>
            <w:tcW w:w="1708" w:type="dxa"/>
            <w:shd w:val="clear" w:color="auto" w:fill="FFFFFF"/>
            <w:noWrap w:val="0"/>
            <w:vAlign w:val="center"/>
          </w:tcPr>
          <w:p w14:paraId="1E90EB33">
            <w:pPr>
              <w:keepNext w:val="0"/>
              <w:keepLines w:val="0"/>
              <w:pageBreakBefore w:val="0"/>
              <w:widowControl w:val="0"/>
              <w:spacing w:line="520" w:lineRule="exact"/>
              <w:jc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zh-CN"/>
                <w14:textFill>
                  <w14:solidFill>
                    <w14:schemeClr w14:val="tx1"/>
                  </w14:solidFill>
                </w14:textFill>
              </w:rPr>
              <w:t>投标文件</w:t>
            </w:r>
          </w:p>
          <w:p w14:paraId="342E63AE">
            <w:pPr>
              <w:keepNext w:val="0"/>
              <w:keepLines w:val="0"/>
              <w:pageBreakBefore w:val="0"/>
              <w:widowControl w:val="0"/>
              <w:spacing w:line="520" w:lineRule="exact"/>
              <w:jc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zh-CN"/>
                <w14:textFill>
                  <w14:solidFill>
                    <w14:schemeClr w14:val="tx1"/>
                  </w14:solidFill>
                </w14:textFill>
              </w:rPr>
              <w:t>递交时间</w:t>
            </w:r>
          </w:p>
        </w:tc>
        <w:tc>
          <w:tcPr>
            <w:tcW w:w="5941" w:type="dxa"/>
            <w:shd w:val="clear" w:color="auto" w:fill="FFFFFF"/>
            <w:noWrap w:val="0"/>
            <w:vAlign w:val="center"/>
          </w:tcPr>
          <w:p w14:paraId="425E00D0">
            <w:pPr>
              <w:keepNext w:val="0"/>
              <w:keepLines w:val="0"/>
              <w:pageBreakBefore w:val="0"/>
              <w:widowControl w:val="0"/>
              <w:spacing w:line="52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zh-CN"/>
              </w:rPr>
              <w:t>时间：</w:t>
            </w:r>
            <w:r>
              <w:rPr>
                <w:rFonts w:hint="default" w:ascii="Times New Roman" w:hAnsi="Times New Roman" w:eastAsia="宋体" w:cs="Times New Roman"/>
                <w:color w:val="auto"/>
                <w:sz w:val="21"/>
                <w:szCs w:val="21"/>
                <w:highlight w:val="none"/>
                <w:lang w:eastAsia="zh-CN"/>
              </w:rPr>
              <w:t>2024年</w:t>
            </w:r>
            <w:r>
              <w:rPr>
                <w:rFonts w:hint="eastAsia" w:cs="Times New Roman"/>
                <w:color w:val="auto"/>
                <w:sz w:val="21"/>
                <w:szCs w:val="21"/>
                <w:highlight w:val="none"/>
                <w:lang w:val="en-US" w:eastAsia="zh-CN"/>
              </w:rPr>
              <w:t>12</w:t>
            </w:r>
            <w:r>
              <w:rPr>
                <w:rFonts w:hint="default" w:ascii="Times New Roman" w:hAnsi="Times New Roman" w:eastAsia="宋体" w:cs="Times New Roman"/>
                <w:color w:val="auto"/>
                <w:sz w:val="21"/>
                <w:szCs w:val="21"/>
                <w:highlight w:val="none"/>
                <w:lang w:eastAsia="zh-CN"/>
              </w:rPr>
              <w:t>月</w:t>
            </w:r>
            <w:r>
              <w:rPr>
                <w:rFonts w:hint="eastAsia" w:cs="Times New Roman"/>
                <w:color w:val="auto"/>
                <w:sz w:val="21"/>
                <w:szCs w:val="21"/>
                <w:highlight w:val="none"/>
                <w:lang w:val="en-US" w:eastAsia="zh-CN"/>
              </w:rPr>
              <w:t>5</w:t>
            </w:r>
            <w:r>
              <w:rPr>
                <w:rFonts w:hint="default" w:ascii="Times New Roman" w:hAnsi="Times New Roman" w:eastAsia="宋体" w:cs="Times New Roman"/>
                <w:color w:val="auto"/>
                <w:sz w:val="21"/>
                <w:szCs w:val="21"/>
                <w:highlight w:val="none"/>
                <w:lang w:eastAsia="zh-CN"/>
              </w:rPr>
              <w:t>日15点00分00秒</w:t>
            </w:r>
            <w:r>
              <w:rPr>
                <w:rFonts w:hint="default" w:ascii="Times New Roman" w:hAnsi="Times New Roman" w:eastAsia="宋体" w:cs="Times New Roman"/>
                <w:color w:val="auto"/>
                <w:sz w:val="21"/>
                <w:szCs w:val="21"/>
                <w:highlight w:val="none"/>
              </w:rPr>
              <w:t>整前</w:t>
            </w:r>
            <w:r>
              <w:rPr>
                <w:rFonts w:hint="default" w:ascii="Times New Roman" w:hAnsi="Times New Roman" w:eastAsia="宋体" w:cs="Times New Roman"/>
                <w:color w:val="auto"/>
                <w:sz w:val="21"/>
                <w:szCs w:val="21"/>
                <w:highlight w:val="none"/>
                <w:lang w:val="zh-CN"/>
              </w:rPr>
              <w:t>（北京时间）</w:t>
            </w:r>
          </w:p>
        </w:tc>
      </w:tr>
      <w:tr w14:paraId="166B176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30" w:type="dxa"/>
            <w:shd w:val="clear" w:color="auto" w:fill="FFFFFF"/>
            <w:noWrap w:val="0"/>
            <w:vAlign w:val="center"/>
          </w:tcPr>
          <w:p w14:paraId="3544B999">
            <w:pPr>
              <w:keepNext w:val="0"/>
              <w:keepLines w:val="0"/>
              <w:pageBreakBefore w:val="0"/>
              <w:widowControl w:val="0"/>
              <w:numPr>
                <w:ilvl w:val="0"/>
                <w:numId w:val="5"/>
              </w:numPr>
              <w:spacing w:line="520" w:lineRule="exact"/>
              <w:ind w:firstLine="0"/>
              <w:jc w:val="center"/>
              <w:rPr>
                <w:rFonts w:hint="default" w:ascii="Times New Roman" w:hAnsi="Times New Roman" w:eastAsia="宋体" w:cs="Times New Roman"/>
                <w:color w:val="000000"/>
                <w:sz w:val="21"/>
                <w:szCs w:val="21"/>
                <w:highlight w:val="none"/>
              </w:rPr>
            </w:pPr>
          </w:p>
        </w:tc>
        <w:tc>
          <w:tcPr>
            <w:tcW w:w="979" w:type="dxa"/>
            <w:shd w:val="clear" w:color="auto" w:fill="FFFFFF"/>
            <w:noWrap w:val="0"/>
            <w:vAlign w:val="center"/>
          </w:tcPr>
          <w:p w14:paraId="58838854">
            <w:pPr>
              <w:keepNext w:val="0"/>
              <w:keepLines w:val="0"/>
              <w:pageBreakBefore w:val="0"/>
              <w:widowControl w:val="0"/>
              <w:spacing w:line="520" w:lineRule="exact"/>
              <w:jc w:val="center"/>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19.1.1</w:t>
            </w:r>
          </w:p>
        </w:tc>
        <w:tc>
          <w:tcPr>
            <w:tcW w:w="1708" w:type="dxa"/>
            <w:shd w:val="clear" w:color="auto" w:fill="FFFFFF"/>
            <w:noWrap w:val="0"/>
            <w:vAlign w:val="center"/>
          </w:tcPr>
          <w:p w14:paraId="0BBD5C98">
            <w:pPr>
              <w:keepNext w:val="0"/>
              <w:keepLines w:val="0"/>
              <w:pageBreakBefore w:val="0"/>
              <w:widowControl w:val="0"/>
              <w:spacing w:line="520" w:lineRule="exact"/>
              <w:jc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zh-CN"/>
                <w14:textFill>
                  <w14:solidFill>
                    <w14:schemeClr w14:val="tx1"/>
                  </w14:solidFill>
                </w14:textFill>
              </w:rPr>
              <w:t>开标时间</w:t>
            </w:r>
          </w:p>
        </w:tc>
        <w:tc>
          <w:tcPr>
            <w:tcW w:w="5941" w:type="dxa"/>
            <w:shd w:val="clear" w:color="auto" w:fill="FFFFFF"/>
            <w:noWrap w:val="0"/>
            <w:vAlign w:val="center"/>
          </w:tcPr>
          <w:p w14:paraId="798A6583">
            <w:pPr>
              <w:keepNext w:val="0"/>
              <w:keepLines w:val="0"/>
              <w:pageBreakBefore w:val="0"/>
              <w:widowControl w:val="0"/>
              <w:spacing w:line="52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zh-CN"/>
              </w:rPr>
              <w:t>时间</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eastAsia="zh-CN"/>
              </w:rPr>
              <w:t>2024年</w:t>
            </w:r>
            <w:r>
              <w:rPr>
                <w:rFonts w:hint="eastAsia" w:cs="Times New Roman"/>
                <w:color w:val="auto"/>
                <w:sz w:val="21"/>
                <w:szCs w:val="21"/>
                <w:highlight w:val="none"/>
                <w:lang w:val="en-US" w:eastAsia="zh-CN"/>
              </w:rPr>
              <w:t>12</w:t>
            </w:r>
            <w:r>
              <w:rPr>
                <w:rFonts w:hint="default" w:ascii="Times New Roman" w:hAnsi="Times New Roman" w:eastAsia="宋体" w:cs="Times New Roman"/>
                <w:color w:val="auto"/>
                <w:sz w:val="21"/>
                <w:szCs w:val="21"/>
                <w:highlight w:val="none"/>
                <w:lang w:eastAsia="zh-CN"/>
              </w:rPr>
              <w:t>月</w:t>
            </w:r>
            <w:r>
              <w:rPr>
                <w:rFonts w:hint="eastAsia" w:cs="Times New Roman"/>
                <w:color w:val="auto"/>
                <w:sz w:val="21"/>
                <w:szCs w:val="21"/>
                <w:highlight w:val="none"/>
                <w:lang w:val="en-US" w:eastAsia="zh-CN"/>
              </w:rPr>
              <w:t>5</w:t>
            </w:r>
            <w:r>
              <w:rPr>
                <w:rFonts w:hint="default" w:ascii="Times New Roman" w:hAnsi="Times New Roman" w:eastAsia="宋体" w:cs="Times New Roman"/>
                <w:color w:val="auto"/>
                <w:sz w:val="21"/>
                <w:szCs w:val="21"/>
                <w:highlight w:val="none"/>
                <w:lang w:eastAsia="zh-CN"/>
              </w:rPr>
              <w:t>日15点00分00秒</w:t>
            </w:r>
            <w:r>
              <w:rPr>
                <w:rFonts w:hint="default" w:ascii="Times New Roman" w:hAnsi="Times New Roman" w:eastAsia="宋体" w:cs="Times New Roman"/>
                <w:color w:val="auto"/>
                <w:sz w:val="21"/>
                <w:szCs w:val="21"/>
                <w:highlight w:val="none"/>
              </w:rPr>
              <w:t>整</w:t>
            </w:r>
            <w:r>
              <w:rPr>
                <w:rFonts w:hint="default" w:ascii="Times New Roman" w:hAnsi="Times New Roman" w:eastAsia="宋体" w:cs="Times New Roman"/>
                <w:color w:val="auto"/>
                <w:sz w:val="21"/>
                <w:szCs w:val="21"/>
                <w:highlight w:val="none"/>
                <w:lang w:val="zh-CN"/>
              </w:rPr>
              <w:t>（北京时间）</w:t>
            </w:r>
          </w:p>
        </w:tc>
      </w:tr>
      <w:tr w14:paraId="1040198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30" w:type="dxa"/>
            <w:shd w:val="clear" w:color="auto" w:fill="FFFFFF"/>
            <w:noWrap w:val="0"/>
            <w:vAlign w:val="center"/>
          </w:tcPr>
          <w:p w14:paraId="041CBB22">
            <w:pPr>
              <w:keepNext w:val="0"/>
              <w:keepLines w:val="0"/>
              <w:pageBreakBefore w:val="0"/>
              <w:widowControl w:val="0"/>
              <w:numPr>
                <w:ilvl w:val="0"/>
                <w:numId w:val="5"/>
              </w:numPr>
              <w:spacing w:line="520" w:lineRule="exact"/>
              <w:ind w:firstLine="0"/>
              <w:jc w:val="center"/>
              <w:rPr>
                <w:rFonts w:hint="default" w:ascii="Times New Roman" w:hAnsi="Times New Roman" w:eastAsia="宋体" w:cs="Times New Roman"/>
                <w:color w:val="000000"/>
                <w:sz w:val="21"/>
                <w:szCs w:val="21"/>
                <w:highlight w:val="none"/>
              </w:rPr>
            </w:pPr>
          </w:p>
        </w:tc>
        <w:tc>
          <w:tcPr>
            <w:tcW w:w="979" w:type="dxa"/>
            <w:shd w:val="clear" w:color="auto" w:fill="FFFFFF"/>
            <w:noWrap w:val="0"/>
            <w:vAlign w:val="center"/>
          </w:tcPr>
          <w:p w14:paraId="7BF8670C">
            <w:pPr>
              <w:keepNext w:val="0"/>
              <w:keepLines w:val="0"/>
              <w:pageBreakBefore w:val="0"/>
              <w:widowControl w:val="0"/>
              <w:spacing w:line="520" w:lineRule="exact"/>
              <w:jc w:val="center"/>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19.1.1</w:t>
            </w:r>
          </w:p>
        </w:tc>
        <w:tc>
          <w:tcPr>
            <w:tcW w:w="1708" w:type="dxa"/>
            <w:shd w:val="clear" w:color="auto" w:fill="FFFFFF"/>
            <w:noWrap w:val="0"/>
            <w:vAlign w:val="center"/>
          </w:tcPr>
          <w:p w14:paraId="577EB325">
            <w:pPr>
              <w:keepNext w:val="0"/>
              <w:keepLines w:val="0"/>
              <w:pageBreakBefore w:val="0"/>
              <w:widowControl w:val="0"/>
              <w:spacing w:line="520" w:lineRule="exact"/>
              <w:jc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zh-CN"/>
                <w14:textFill>
                  <w14:solidFill>
                    <w14:schemeClr w14:val="tx1"/>
                  </w14:solidFill>
                </w14:textFill>
              </w:rPr>
              <w:t>投标文件递交地点</w:t>
            </w:r>
          </w:p>
        </w:tc>
        <w:tc>
          <w:tcPr>
            <w:tcW w:w="5941" w:type="dxa"/>
            <w:shd w:val="clear" w:color="auto" w:fill="FFFFFF"/>
            <w:noWrap w:val="0"/>
            <w:vAlign w:val="center"/>
          </w:tcPr>
          <w:p w14:paraId="6E2AFD81">
            <w:pPr>
              <w:keepNext w:val="0"/>
              <w:keepLines w:val="0"/>
              <w:pageBreakBefore w:val="0"/>
              <w:widowControl w:val="0"/>
              <w:spacing w:line="52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“苏采云”政府采购交易系统网上开标大厅。</w:t>
            </w:r>
          </w:p>
        </w:tc>
      </w:tr>
      <w:tr w14:paraId="65119C2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30" w:type="dxa"/>
            <w:shd w:val="clear" w:color="auto" w:fill="FFFFFF"/>
            <w:noWrap w:val="0"/>
            <w:vAlign w:val="center"/>
          </w:tcPr>
          <w:p w14:paraId="5B4285BE">
            <w:pPr>
              <w:keepNext w:val="0"/>
              <w:keepLines w:val="0"/>
              <w:pageBreakBefore w:val="0"/>
              <w:widowControl w:val="0"/>
              <w:numPr>
                <w:ilvl w:val="0"/>
                <w:numId w:val="5"/>
              </w:numPr>
              <w:spacing w:line="520" w:lineRule="exact"/>
              <w:ind w:firstLine="0"/>
              <w:jc w:val="center"/>
              <w:rPr>
                <w:rFonts w:hint="default" w:ascii="Times New Roman" w:hAnsi="Times New Roman" w:eastAsia="宋体" w:cs="Times New Roman"/>
                <w:color w:val="000000"/>
                <w:sz w:val="21"/>
                <w:szCs w:val="21"/>
                <w:highlight w:val="none"/>
              </w:rPr>
            </w:pPr>
          </w:p>
        </w:tc>
        <w:tc>
          <w:tcPr>
            <w:tcW w:w="979" w:type="dxa"/>
            <w:shd w:val="clear" w:color="auto" w:fill="FFFFFF"/>
            <w:noWrap w:val="0"/>
            <w:vAlign w:val="center"/>
          </w:tcPr>
          <w:p w14:paraId="758286F3">
            <w:pPr>
              <w:keepNext w:val="0"/>
              <w:keepLines w:val="0"/>
              <w:pageBreakBefore w:val="0"/>
              <w:widowControl w:val="0"/>
              <w:spacing w:line="520" w:lineRule="exact"/>
              <w:jc w:val="center"/>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18.2</w:t>
            </w:r>
          </w:p>
        </w:tc>
        <w:tc>
          <w:tcPr>
            <w:tcW w:w="1708" w:type="dxa"/>
            <w:shd w:val="clear" w:color="auto" w:fill="FFFFFF"/>
            <w:noWrap w:val="0"/>
            <w:vAlign w:val="center"/>
          </w:tcPr>
          <w:p w14:paraId="3F64390C">
            <w:pPr>
              <w:keepNext w:val="0"/>
              <w:keepLines w:val="0"/>
              <w:pageBreakBefore w:val="0"/>
              <w:widowControl w:val="0"/>
              <w:spacing w:line="520" w:lineRule="exact"/>
              <w:jc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投标文件的制作与递交</w:t>
            </w:r>
          </w:p>
        </w:tc>
        <w:tc>
          <w:tcPr>
            <w:tcW w:w="5941" w:type="dxa"/>
            <w:shd w:val="clear" w:color="auto" w:fill="FFFFFF"/>
            <w:noWrap w:val="0"/>
            <w:vAlign w:val="center"/>
          </w:tcPr>
          <w:p w14:paraId="71C5E943">
            <w:pPr>
              <w:keepNext w:val="0"/>
              <w:keepLines w:val="0"/>
              <w:pageBreakBefore w:val="0"/>
              <w:widowControl w:val="0"/>
              <w:spacing w:line="520" w:lineRule="exact"/>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auto"/>
                <w:sz w:val="21"/>
                <w:szCs w:val="21"/>
                <w:highlight w:val="none"/>
                <w:lang w:eastAsia="zh-CN"/>
              </w:rPr>
              <w:t>详见"苏采云"系统供应商操作手册</w:t>
            </w:r>
          </w:p>
        </w:tc>
      </w:tr>
      <w:tr w14:paraId="3F5FCDD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30" w:type="dxa"/>
            <w:shd w:val="clear" w:color="auto" w:fill="FFFFFF"/>
            <w:noWrap w:val="0"/>
            <w:vAlign w:val="center"/>
          </w:tcPr>
          <w:p w14:paraId="638EB912">
            <w:pPr>
              <w:keepNext w:val="0"/>
              <w:keepLines w:val="0"/>
              <w:pageBreakBefore w:val="0"/>
              <w:widowControl w:val="0"/>
              <w:numPr>
                <w:ilvl w:val="0"/>
                <w:numId w:val="5"/>
              </w:numPr>
              <w:spacing w:line="520" w:lineRule="exact"/>
              <w:ind w:firstLine="0"/>
              <w:jc w:val="center"/>
              <w:rPr>
                <w:rFonts w:hint="default" w:ascii="Times New Roman" w:hAnsi="Times New Roman" w:eastAsia="宋体" w:cs="Times New Roman"/>
                <w:color w:val="000000"/>
                <w:sz w:val="21"/>
                <w:szCs w:val="21"/>
                <w:highlight w:val="none"/>
              </w:rPr>
            </w:pPr>
          </w:p>
        </w:tc>
        <w:tc>
          <w:tcPr>
            <w:tcW w:w="979" w:type="dxa"/>
            <w:shd w:val="clear" w:color="auto" w:fill="FFFFFF"/>
            <w:noWrap w:val="0"/>
            <w:vAlign w:val="center"/>
          </w:tcPr>
          <w:p w14:paraId="1AE540D2">
            <w:pPr>
              <w:keepNext w:val="0"/>
              <w:keepLines w:val="0"/>
              <w:pageBreakBefore w:val="0"/>
              <w:widowControl w:val="0"/>
              <w:spacing w:line="520" w:lineRule="exact"/>
              <w:jc w:val="center"/>
              <w:rPr>
                <w:rFonts w:hint="default" w:ascii="Times New Roman" w:hAnsi="Times New Roman" w:eastAsia="宋体" w:cs="Times New Roman"/>
                <w:color w:val="000000"/>
                <w:sz w:val="21"/>
                <w:szCs w:val="21"/>
                <w:highlight w:val="none"/>
                <w:lang w:eastAsia="zh-CN"/>
              </w:rPr>
            </w:pPr>
            <w:r>
              <w:rPr>
                <w:rFonts w:hint="default" w:ascii="Times New Roman" w:hAnsi="Times New Roman" w:eastAsia="宋体" w:cs="Times New Roman"/>
                <w:color w:val="000000"/>
                <w:sz w:val="21"/>
                <w:szCs w:val="21"/>
                <w:highlight w:val="none"/>
                <w:lang w:val="en-US" w:eastAsia="zh-CN"/>
              </w:rPr>
              <w:t>/</w:t>
            </w:r>
          </w:p>
        </w:tc>
        <w:tc>
          <w:tcPr>
            <w:tcW w:w="1708" w:type="dxa"/>
            <w:shd w:val="clear" w:color="auto" w:fill="FFFFFF"/>
            <w:noWrap w:val="0"/>
            <w:vAlign w:val="center"/>
          </w:tcPr>
          <w:p w14:paraId="3EF5F422">
            <w:pPr>
              <w:keepNext w:val="0"/>
              <w:keepLines w:val="0"/>
              <w:pageBreakBefore w:val="0"/>
              <w:widowControl w:val="0"/>
              <w:spacing w:line="520" w:lineRule="exact"/>
              <w:jc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zh-CN"/>
                <w14:textFill>
                  <w14:solidFill>
                    <w14:schemeClr w14:val="tx1"/>
                  </w14:solidFill>
                </w14:textFill>
              </w:rPr>
              <w:t>评分标准</w:t>
            </w:r>
          </w:p>
        </w:tc>
        <w:tc>
          <w:tcPr>
            <w:tcW w:w="5941" w:type="dxa"/>
            <w:shd w:val="clear" w:color="auto" w:fill="FFFFFF"/>
            <w:noWrap w:val="0"/>
            <w:vAlign w:val="center"/>
          </w:tcPr>
          <w:p w14:paraId="4048EBF5">
            <w:pPr>
              <w:keepNext w:val="0"/>
              <w:keepLines w:val="0"/>
              <w:pageBreakBefore w:val="0"/>
              <w:widowControl w:val="0"/>
              <w:spacing w:line="520" w:lineRule="exact"/>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zh-CN"/>
                <w14:textFill>
                  <w14:solidFill>
                    <w14:schemeClr w14:val="tx1"/>
                  </w14:solidFill>
                </w14:textFill>
              </w:rPr>
              <w:t>本项目采用“资格后审”的“综合评分法”确定中标候选人。对通过初步评审的投标文件，评标委员会将按评分表评分办法和标准进行评分。</w:t>
            </w:r>
          </w:p>
        </w:tc>
      </w:tr>
      <w:tr w14:paraId="42A562A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30" w:type="dxa"/>
            <w:shd w:val="clear" w:color="auto" w:fill="FFFFFF"/>
            <w:noWrap w:val="0"/>
            <w:vAlign w:val="center"/>
          </w:tcPr>
          <w:p w14:paraId="30921105">
            <w:pPr>
              <w:keepNext w:val="0"/>
              <w:keepLines w:val="0"/>
              <w:pageBreakBefore w:val="0"/>
              <w:widowControl w:val="0"/>
              <w:numPr>
                <w:ilvl w:val="0"/>
                <w:numId w:val="5"/>
              </w:numPr>
              <w:spacing w:line="520" w:lineRule="exact"/>
              <w:ind w:firstLine="0"/>
              <w:jc w:val="center"/>
              <w:rPr>
                <w:rFonts w:hint="default" w:ascii="Times New Roman" w:hAnsi="Times New Roman" w:eastAsia="宋体" w:cs="Times New Roman"/>
                <w:color w:val="000000"/>
                <w:sz w:val="21"/>
                <w:szCs w:val="21"/>
                <w:highlight w:val="none"/>
              </w:rPr>
            </w:pPr>
          </w:p>
        </w:tc>
        <w:tc>
          <w:tcPr>
            <w:tcW w:w="979" w:type="dxa"/>
            <w:shd w:val="clear" w:color="auto" w:fill="FFFFFF"/>
            <w:noWrap w:val="0"/>
            <w:vAlign w:val="center"/>
          </w:tcPr>
          <w:p w14:paraId="26BE4613">
            <w:pPr>
              <w:keepNext w:val="0"/>
              <w:keepLines w:val="0"/>
              <w:pageBreakBefore w:val="0"/>
              <w:widowControl w:val="0"/>
              <w:spacing w:line="520" w:lineRule="exact"/>
              <w:jc w:val="center"/>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29.2</w:t>
            </w:r>
          </w:p>
        </w:tc>
        <w:tc>
          <w:tcPr>
            <w:tcW w:w="1708" w:type="dxa"/>
            <w:shd w:val="clear" w:color="auto" w:fill="FFFFFF"/>
            <w:noWrap w:val="0"/>
            <w:vAlign w:val="center"/>
          </w:tcPr>
          <w:p w14:paraId="7E4B42FE">
            <w:pPr>
              <w:keepNext w:val="0"/>
              <w:keepLines w:val="0"/>
              <w:pageBreakBefore w:val="0"/>
              <w:widowControl w:val="0"/>
              <w:spacing w:line="520" w:lineRule="exact"/>
              <w:jc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zh-CN"/>
                <w14:textFill>
                  <w14:solidFill>
                    <w14:schemeClr w14:val="tx1"/>
                  </w14:solidFill>
                </w14:textFill>
              </w:rPr>
              <w:t>导致废标因素</w:t>
            </w:r>
          </w:p>
        </w:tc>
        <w:tc>
          <w:tcPr>
            <w:tcW w:w="5941" w:type="dxa"/>
            <w:shd w:val="clear" w:color="auto" w:fill="FFFFFF"/>
            <w:noWrap w:val="0"/>
            <w:vAlign w:val="center"/>
          </w:tcPr>
          <w:p w14:paraId="19C6EDE4">
            <w:pPr>
              <w:keepNext w:val="0"/>
              <w:keepLines w:val="0"/>
              <w:pageBreakBefore w:val="0"/>
              <w:widowControl w:val="0"/>
              <w:spacing w:line="520" w:lineRule="exact"/>
              <w:rPr>
                <w:rFonts w:hint="default" w:ascii="Times New Roman" w:hAnsi="Times New Roman" w:eastAsia="宋体" w:cs="Times New Roman"/>
                <w:bCs/>
                <w:color w:val="000000" w:themeColor="text1"/>
                <w:sz w:val="21"/>
                <w:szCs w:val="21"/>
                <w:highlight w:val="none"/>
                <w14:textFill>
                  <w14:solidFill>
                    <w14:schemeClr w14:val="tx1"/>
                  </w14:solidFill>
                </w14:textFill>
              </w:rPr>
            </w:pPr>
            <w:r>
              <w:rPr>
                <w:rFonts w:hint="default" w:ascii="Times New Roman" w:hAnsi="Times New Roman" w:eastAsia="宋体" w:cs="Times New Roman"/>
                <w:bCs/>
                <w:color w:val="000000" w:themeColor="text1"/>
                <w:sz w:val="21"/>
                <w:szCs w:val="21"/>
                <w:highlight w:val="none"/>
                <w:lang w:val="zh-CN"/>
                <w14:textFill>
                  <w14:solidFill>
                    <w14:schemeClr w14:val="tx1"/>
                  </w14:solidFill>
                </w14:textFill>
              </w:rPr>
              <w:t xml:space="preserve">出现下列情形之一的，为废标： </w:t>
            </w:r>
          </w:p>
          <w:p w14:paraId="6965377C">
            <w:pPr>
              <w:keepNext w:val="0"/>
              <w:keepLines w:val="0"/>
              <w:pageBreakBefore w:val="0"/>
              <w:widowControl w:val="0"/>
              <w:spacing w:line="520" w:lineRule="exact"/>
              <w:rPr>
                <w:rFonts w:hint="default" w:ascii="Times New Roman" w:hAnsi="Times New Roman" w:eastAsia="宋体" w:cs="Times New Roman"/>
                <w:bCs/>
                <w:color w:val="000000" w:themeColor="text1"/>
                <w:sz w:val="21"/>
                <w:szCs w:val="21"/>
                <w:highlight w:val="none"/>
                <w14:textFill>
                  <w14:solidFill>
                    <w14:schemeClr w14:val="tx1"/>
                  </w14:solidFill>
                </w14:textFill>
              </w:rPr>
            </w:pPr>
            <w:r>
              <w:rPr>
                <w:rFonts w:hint="default" w:ascii="Times New Roman" w:hAnsi="Times New Roman" w:eastAsia="宋体" w:cs="Times New Roman"/>
                <w:bCs/>
                <w:color w:val="000000" w:themeColor="text1"/>
                <w:sz w:val="21"/>
                <w:szCs w:val="21"/>
                <w:highlight w:val="none"/>
                <w14:textFill>
                  <w14:solidFill>
                    <w14:schemeClr w14:val="tx1"/>
                  </w14:solidFill>
                </w14:textFill>
              </w:rPr>
              <w:t>1.</w:t>
            </w:r>
            <w:r>
              <w:rPr>
                <w:rFonts w:hint="default" w:ascii="Times New Roman" w:hAnsi="Times New Roman" w:eastAsia="宋体" w:cs="Times New Roman"/>
                <w:bCs/>
                <w:color w:val="000000" w:themeColor="text1"/>
                <w:sz w:val="21"/>
                <w:szCs w:val="21"/>
                <w:highlight w:val="none"/>
                <w:lang w:val="zh-CN"/>
                <w14:textFill>
                  <w14:solidFill>
                    <w14:schemeClr w14:val="tx1"/>
                  </w14:solidFill>
                </w14:textFill>
              </w:rPr>
              <w:t xml:space="preserve">符合专业条件的投标供应商或者对采购文件作实质响应的投标供应商不足三家导致符合条件的投标文件没有竞争力的； </w:t>
            </w:r>
          </w:p>
          <w:p w14:paraId="7D5C137A">
            <w:pPr>
              <w:keepNext w:val="0"/>
              <w:keepLines w:val="0"/>
              <w:pageBreakBefore w:val="0"/>
              <w:widowControl w:val="0"/>
              <w:spacing w:line="520" w:lineRule="exact"/>
              <w:rPr>
                <w:rFonts w:hint="default" w:ascii="Times New Roman" w:hAnsi="Times New Roman" w:eastAsia="宋体" w:cs="Times New Roman"/>
                <w:bCs/>
                <w:color w:val="000000" w:themeColor="text1"/>
                <w:sz w:val="21"/>
                <w:szCs w:val="21"/>
                <w:highlight w:val="none"/>
                <w14:textFill>
                  <w14:solidFill>
                    <w14:schemeClr w14:val="tx1"/>
                  </w14:solidFill>
                </w14:textFill>
              </w:rPr>
            </w:pPr>
            <w:r>
              <w:rPr>
                <w:rFonts w:hint="default" w:ascii="Times New Roman" w:hAnsi="Times New Roman" w:eastAsia="宋体" w:cs="Times New Roman"/>
                <w:bCs/>
                <w:color w:val="000000" w:themeColor="text1"/>
                <w:sz w:val="21"/>
                <w:szCs w:val="21"/>
                <w:highlight w:val="none"/>
                <w14:textFill>
                  <w14:solidFill>
                    <w14:schemeClr w14:val="tx1"/>
                  </w14:solidFill>
                </w14:textFill>
              </w:rPr>
              <w:t>2.</w:t>
            </w:r>
            <w:r>
              <w:rPr>
                <w:rFonts w:hint="default" w:ascii="Times New Roman" w:hAnsi="Times New Roman" w:eastAsia="宋体" w:cs="Times New Roman"/>
                <w:bCs/>
                <w:color w:val="000000" w:themeColor="text1"/>
                <w:sz w:val="21"/>
                <w:szCs w:val="21"/>
                <w:highlight w:val="none"/>
                <w:lang w:val="zh-CN"/>
                <w14:textFill>
                  <w14:solidFill>
                    <w14:schemeClr w14:val="tx1"/>
                  </w14:solidFill>
                </w14:textFill>
              </w:rPr>
              <w:t>出现影响采购公正的违法、违规行为的；</w:t>
            </w:r>
          </w:p>
          <w:p w14:paraId="70BF4CFD">
            <w:pPr>
              <w:keepNext w:val="0"/>
              <w:keepLines w:val="0"/>
              <w:pageBreakBefore w:val="0"/>
              <w:widowControl w:val="0"/>
              <w:spacing w:line="520" w:lineRule="exact"/>
              <w:rPr>
                <w:rFonts w:hint="default" w:ascii="Times New Roman" w:hAnsi="Times New Roman" w:eastAsia="宋体" w:cs="Times New Roman"/>
                <w:bCs/>
                <w:color w:val="000000" w:themeColor="text1"/>
                <w:sz w:val="21"/>
                <w:szCs w:val="21"/>
                <w:highlight w:val="none"/>
                <w14:textFill>
                  <w14:solidFill>
                    <w14:schemeClr w14:val="tx1"/>
                  </w14:solidFill>
                </w14:textFill>
              </w:rPr>
            </w:pPr>
            <w:r>
              <w:rPr>
                <w:rFonts w:hint="default" w:ascii="Times New Roman" w:hAnsi="Times New Roman" w:eastAsia="宋体" w:cs="Times New Roman"/>
                <w:bCs/>
                <w:color w:val="000000" w:themeColor="text1"/>
                <w:sz w:val="21"/>
                <w:szCs w:val="21"/>
                <w:highlight w:val="none"/>
                <w14:textFill>
                  <w14:solidFill>
                    <w14:schemeClr w14:val="tx1"/>
                  </w14:solidFill>
                </w14:textFill>
              </w:rPr>
              <w:t>3.</w:t>
            </w:r>
            <w:r>
              <w:rPr>
                <w:rFonts w:hint="default" w:ascii="Times New Roman" w:hAnsi="Times New Roman" w:eastAsia="宋体" w:cs="Times New Roman"/>
                <w:bCs/>
                <w:color w:val="000000" w:themeColor="text1"/>
                <w:sz w:val="21"/>
                <w:szCs w:val="21"/>
                <w:highlight w:val="none"/>
                <w:lang w:val="zh-CN"/>
                <w14:textFill>
                  <w14:solidFill>
                    <w14:schemeClr w14:val="tx1"/>
                  </w14:solidFill>
                </w14:textFill>
              </w:rPr>
              <w:t>因重大变故，采购任务取消的。</w:t>
            </w:r>
          </w:p>
          <w:p w14:paraId="155BCF4E">
            <w:pPr>
              <w:keepNext w:val="0"/>
              <w:keepLines w:val="0"/>
              <w:pageBreakBefore w:val="0"/>
              <w:widowControl w:val="0"/>
              <w:spacing w:line="520" w:lineRule="exact"/>
              <w:rPr>
                <w:rFonts w:hint="default" w:ascii="Times New Roman" w:hAnsi="Times New Roman" w:eastAsia="宋体" w:cs="Times New Roman"/>
                <w:bCs/>
                <w:color w:val="000000" w:themeColor="text1"/>
                <w:sz w:val="21"/>
                <w:szCs w:val="21"/>
                <w:highlight w:val="none"/>
                <w14:textFill>
                  <w14:solidFill>
                    <w14:schemeClr w14:val="tx1"/>
                  </w14:solidFill>
                </w14:textFill>
              </w:rPr>
            </w:pPr>
            <w:r>
              <w:rPr>
                <w:rFonts w:hint="default" w:ascii="Times New Roman" w:hAnsi="Times New Roman" w:eastAsia="宋体" w:cs="Times New Roman"/>
                <w:bCs/>
                <w:color w:val="000000" w:themeColor="text1"/>
                <w:sz w:val="21"/>
                <w:szCs w:val="21"/>
                <w:highlight w:val="none"/>
                <w14:textFill>
                  <w14:solidFill>
                    <w14:schemeClr w14:val="tx1"/>
                  </w14:solidFill>
                </w14:textFill>
              </w:rPr>
              <w:t>4.法律、法规、本文件规定的其他废标情形。</w:t>
            </w:r>
            <w:r>
              <w:rPr>
                <w:rFonts w:hint="default" w:ascii="Times New Roman" w:hAnsi="Times New Roman" w:eastAsia="宋体" w:cs="Times New Roman"/>
                <w:bCs/>
                <w:color w:val="000000" w:themeColor="text1"/>
                <w:sz w:val="21"/>
                <w:szCs w:val="21"/>
                <w:highlight w:val="none"/>
                <w:lang w:val="zh-CN"/>
                <w14:textFill>
                  <w14:solidFill>
                    <w14:schemeClr w14:val="tx1"/>
                  </w14:solidFill>
                </w14:textFill>
              </w:rPr>
              <w:t xml:space="preserve"> </w:t>
            </w:r>
          </w:p>
          <w:p w14:paraId="79407DB7">
            <w:pPr>
              <w:keepNext w:val="0"/>
              <w:keepLines w:val="0"/>
              <w:pageBreakBefore w:val="0"/>
              <w:widowControl w:val="0"/>
              <w:spacing w:line="520" w:lineRule="exact"/>
              <w:rPr>
                <w:rFonts w:hint="default" w:ascii="Times New Roman" w:hAnsi="Times New Roman" w:eastAsia="宋体" w:cs="Times New Roman"/>
                <w:bCs/>
                <w:color w:val="000000" w:themeColor="text1"/>
                <w:sz w:val="21"/>
                <w:szCs w:val="21"/>
                <w:highlight w:val="none"/>
                <w14:textFill>
                  <w14:solidFill>
                    <w14:schemeClr w14:val="tx1"/>
                  </w14:solidFill>
                </w14:textFill>
              </w:rPr>
            </w:pPr>
            <w:r>
              <w:rPr>
                <w:rFonts w:hint="default" w:ascii="Times New Roman" w:hAnsi="Times New Roman" w:eastAsia="宋体" w:cs="Times New Roman"/>
                <w:bCs/>
                <w:color w:val="000000" w:themeColor="text1"/>
                <w:sz w:val="21"/>
                <w:szCs w:val="21"/>
                <w:highlight w:val="none"/>
                <w:lang w:val="zh-CN"/>
                <w14:textFill>
                  <w14:solidFill>
                    <w14:schemeClr w14:val="tx1"/>
                  </w14:solidFill>
                </w14:textFill>
              </w:rPr>
              <w:t>注：出现上述情形导致本项目废标的，采购人可以选择重新采购或不再采购。</w:t>
            </w:r>
          </w:p>
        </w:tc>
      </w:tr>
      <w:tr w14:paraId="5D4AC97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30" w:type="dxa"/>
            <w:shd w:val="clear" w:color="auto" w:fill="FFFFFF"/>
            <w:noWrap w:val="0"/>
            <w:vAlign w:val="center"/>
          </w:tcPr>
          <w:p w14:paraId="5F1C78F6">
            <w:pPr>
              <w:keepNext w:val="0"/>
              <w:keepLines w:val="0"/>
              <w:pageBreakBefore w:val="0"/>
              <w:widowControl w:val="0"/>
              <w:numPr>
                <w:ilvl w:val="0"/>
                <w:numId w:val="5"/>
              </w:numPr>
              <w:spacing w:line="520" w:lineRule="exact"/>
              <w:ind w:firstLine="0"/>
              <w:jc w:val="center"/>
              <w:rPr>
                <w:rFonts w:hint="default" w:ascii="Times New Roman" w:hAnsi="Times New Roman" w:eastAsia="宋体" w:cs="Times New Roman"/>
                <w:color w:val="000000"/>
                <w:sz w:val="21"/>
                <w:szCs w:val="21"/>
                <w:highlight w:val="none"/>
              </w:rPr>
            </w:pPr>
          </w:p>
        </w:tc>
        <w:tc>
          <w:tcPr>
            <w:tcW w:w="979" w:type="dxa"/>
            <w:shd w:val="clear" w:color="auto" w:fill="FFFFFF"/>
            <w:noWrap w:val="0"/>
            <w:vAlign w:val="center"/>
          </w:tcPr>
          <w:p w14:paraId="4C7E22C4">
            <w:pPr>
              <w:keepNext w:val="0"/>
              <w:keepLines w:val="0"/>
              <w:pageBreakBefore w:val="0"/>
              <w:widowControl w:val="0"/>
              <w:spacing w:line="520" w:lineRule="exact"/>
              <w:jc w:val="center"/>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29.1</w:t>
            </w:r>
          </w:p>
        </w:tc>
        <w:tc>
          <w:tcPr>
            <w:tcW w:w="1708" w:type="dxa"/>
            <w:shd w:val="clear" w:color="auto" w:fill="FFFFFF"/>
            <w:noWrap w:val="0"/>
            <w:vAlign w:val="center"/>
          </w:tcPr>
          <w:p w14:paraId="2E3A7C27">
            <w:pPr>
              <w:keepNext w:val="0"/>
              <w:keepLines w:val="0"/>
              <w:pageBreakBefore w:val="0"/>
              <w:widowControl w:val="0"/>
              <w:spacing w:line="520" w:lineRule="exact"/>
              <w:jc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无效投标条款</w:t>
            </w:r>
          </w:p>
        </w:tc>
        <w:tc>
          <w:tcPr>
            <w:tcW w:w="5941" w:type="dxa"/>
            <w:shd w:val="clear" w:color="auto" w:fill="FFFFFF"/>
            <w:noWrap w:val="0"/>
            <w:vAlign w:val="center"/>
          </w:tcPr>
          <w:p w14:paraId="092E41CF">
            <w:pPr>
              <w:keepNext w:val="0"/>
              <w:keepLines w:val="0"/>
              <w:pageBreakBefore w:val="0"/>
              <w:widowControl w:val="0"/>
              <w:spacing w:line="520" w:lineRule="exact"/>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投标文件属下列情况之一的，在资格性、符合性检查时按照无效投标处理：</w:t>
            </w:r>
          </w:p>
          <w:p w14:paraId="25DCB591">
            <w:pPr>
              <w:keepNext w:val="0"/>
              <w:keepLines w:val="0"/>
              <w:pageBreakBefore w:val="0"/>
              <w:spacing w:line="480" w:lineRule="exact"/>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1.</w:t>
            </w:r>
            <w:r>
              <w:rPr>
                <w:rFonts w:hint="default" w:ascii="Times New Roman" w:hAnsi="Times New Roman" w:eastAsia="宋体" w:cs="Times New Roman"/>
                <w:bCs/>
                <w:color w:val="auto"/>
                <w:sz w:val="21"/>
                <w:szCs w:val="21"/>
                <w:highlight w:val="none"/>
              </w:rPr>
              <w:t>投标人未按照招标文件要求上传电子投标文件</w:t>
            </w:r>
            <w:r>
              <w:rPr>
                <w:rFonts w:hint="default" w:ascii="Times New Roman" w:hAnsi="Times New Roman" w:eastAsia="宋体" w:cs="Times New Roman"/>
                <w:bCs/>
                <w:color w:val="auto"/>
                <w:sz w:val="21"/>
                <w:szCs w:val="21"/>
                <w:highlight w:val="none"/>
                <w:lang w:eastAsia="zh-CN"/>
              </w:rPr>
              <w:t>的</w:t>
            </w: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w:t>
            </w:r>
          </w:p>
          <w:p w14:paraId="6F93E6A3">
            <w:pPr>
              <w:keepNext w:val="0"/>
              <w:keepLines w:val="0"/>
              <w:pageBreakBefore w:val="0"/>
              <w:spacing w:line="480" w:lineRule="exact"/>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2.</w:t>
            </w:r>
            <w:r>
              <w:rPr>
                <w:rFonts w:hint="default" w:ascii="Times New Roman" w:hAnsi="Times New Roman" w:eastAsia="宋体" w:cs="Times New Roman"/>
                <w:b/>
                <w:color w:val="auto"/>
                <w:sz w:val="21"/>
                <w:szCs w:val="21"/>
                <w:highlight w:val="none"/>
              </w:rPr>
              <w:t>投标人未在苏采云系统规定解密时间内进行解密</w:t>
            </w: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w:t>
            </w:r>
          </w:p>
          <w:p w14:paraId="720D1138">
            <w:pPr>
              <w:keepNext w:val="0"/>
              <w:keepLines w:val="0"/>
              <w:pageBreakBefore w:val="0"/>
              <w:spacing w:line="480" w:lineRule="exact"/>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3.投标文件未按招标文件规定内容和要求编制。投标书、授权委托书等投标文件字迹潦草、模糊，且无法辨认的；</w:t>
            </w:r>
          </w:p>
          <w:p w14:paraId="62429459">
            <w:pPr>
              <w:keepNext w:val="0"/>
              <w:keepLines w:val="0"/>
              <w:pageBreakBefore w:val="0"/>
              <w:spacing w:line="480" w:lineRule="exact"/>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4. 投标人未按本须知的规定提交相关证明文件的；</w:t>
            </w:r>
          </w:p>
          <w:p w14:paraId="78B2D63A">
            <w:pPr>
              <w:keepNext w:val="0"/>
              <w:keepLines w:val="0"/>
              <w:pageBreakBefore w:val="0"/>
              <w:spacing w:line="480" w:lineRule="exact"/>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5.报价超过预算金额（最高投标限价）的或经评标委员会认定严重偏离正常市场价格的；</w:t>
            </w:r>
          </w:p>
          <w:p w14:paraId="4872B69C">
            <w:pPr>
              <w:keepNext w:val="0"/>
              <w:keepLines w:val="0"/>
              <w:pageBreakBefore w:val="0"/>
              <w:spacing w:line="480" w:lineRule="exact"/>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6.</w:t>
            </w: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198F712A">
            <w:pPr>
              <w:keepNext w:val="0"/>
              <w:keepLines w:val="0"/>
              <w:pageBreakBefore w:val="0"/>
              <w:spacing w:line="480" w:lineRule="exact"/>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7.</w:t>
            </w: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所提供的服务偏离招标要求的；</w:t>
            </w:r>
          </w:p>
          <w:p w14:paraId="7E13A948">
            <w:pPr>
              <w:keepNext w:val="0"/>
              <w:keepLines w:val="0"/>
              <w:pageBreakBefore w:val="0"/>
              <w:spacing w:line="480" w:lineRule="exact"/>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8</w:t>
            </w: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.不具备招标文件中规定资格要求的；</w:t>
            </w:r>
          </w:p>
          <w:p w14:paraId="46624DDE">
            <w:pPr>
              <w:keepNext w:val="0"/>
              <w:keepLines w:val="0"/>
              <w:pageBreakBefore w:val="0"/>
              <w:widowControl w:val="0"/>
              <w:spacing w:line="520" w:lineRule="exact"/>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9.</w:t>
            </w: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投标人在报价时采用选择性报价；</w:t>
            </w:r>
          </w:p>
          <w:p w14:paraId="461C863E">
            <w:pPr>
              <w:keepNext w:val="0"/>
              <w:keepLines w:val="0"/>
              <w:pageBreakBefore w:val="0"/>
              <w:widowControl w:val="0"/>
              <w:spacing w:line="520" w:lineRule="exact"/>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10</w:t>
            </w: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.未通过符合性检查的；</w:t>
            </w:r>
          </w:p>
          <w:p w14:paraId="4D31C3F2">
            <w:pPr>
              <w:keepNext w:val="0"/>
              <w:keepLines w:val="0"/>
              <w:pageBreakBefore w:val="0"/>
              <w:widowControl w:val="0"/>
              <w:spacing w:line="520" w:lineRule="exact"/>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11</w:t>
            </w: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.不符合招标文件中规定的其他实质性要求和条件的；</w:t>
            </w:r>
          </w:p>
          <w:p w14:paraId="46B1FE1E">
            <w:pPr>
              <w:keepNext w:val="0"/>
              <w:keepLines w:val="0"/>
              <w:pageBreakBefore w:val="0"/>
              <w:widowControl w:val="0"/>
              <w:spacing w:line="520" w:lineRule="exact"/>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12</w:t>
            </w: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.投标人串通投标；</w:t>
            </w:r>
          </w:p>
          <w:p w14:paraId="6B8DAE04">
            <w:pPr>
              <w:keepNext w:val="0"/>
              <w:keepLines w:val="0"/>
              <w:pageBreakBefore w:val="0"/>
              <w:widowControl w:val="0"/>
              <w:spacing w:line="520" w:lineRule="exact"/>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13</w:t>
            </w: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.投标文件含有采购人不能接受的附加条件的。</w:t>
            </w:r>
          </w:p>
          <w:p w14:paraId="1C64E8F9">
            <w:pPr>
              <w:keepNext w:val="0"/>
              <w:keepLines w:val="0"/>
              <w:pageBreakBefore w:val="0"/>
              <w:widowControl w:val="0"/>
              <w:spacing w:line="520" w:lineRule="exact"/>
              <w:rPr>
                <w:rFonts w:hint="default" w:ascii="Times New Roman" w:hAnsi="Times New Roman" w:eastAsia="宋体" w:cs="Times New Roman"/>
                <w:b/>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14</w:t>
            </w: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.不符合法律、法规和招标文件中规定的其他实质性要求的。</w:t>
            </w:r>
          </w:p>
        </w:tc>
      </w:tr>
      <w:tr w14:paraId="08C335F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30" w:type="dxa"/>
            <w:shd w:val="clear" w:color="auto" w:fill="D7D7D7"/>
            <w:noWrap w:val="0"/>
            <w:vAlign w:val="center"/>
          </w:tcPr>
          <w:p w14:paraId="4B9D3E88">
            <w:pPr>
              <w:keepNext w:val="0"/>
              <w:keepLines w:val="0"/>
              <w:pageBreakBefore w:val="0"/>
              <w:widowControl w:val="0"/>
              <w:numPr>
                <w:ilvl w:val="0"/>
                <w:numId w:val="5"/>
              </w:numPr>
              <w:spacing w:line="520" w:lineRule="exact"/>
              <w:ind w:firstLine="0"/>
              <w:jc w:val="center"/>
              <w:rPr>
                <w:rFonts w:hint="default" w:ascii="Times New Roman" w:hAnsi="Times New Roman" w:eastAsia="宋体" w:cs="Times New Roman"/>
                <w:color w:val="000000"/>
                <w:sz w:val="21"/>
                <w:szCs w:val="21"/>
                <w:highlight w:val="none"/>
              </w:rPr>
            </w:pPr>
          </w:p>
        </w:tc>
        <w:tc>
          <w:tcPr>
            <w:tcW w:w="979" w:type="dxa"/>
            <w:shd w:val="clear" w:color="auto" w:fill="D7D7D7"/>
            <w:noWrap w:val="0"/>
            <w:vAlign w:val="center"/>
          </w:tcPr>
          <w:p w14:paraId="627ABF28">
            <w:pPr>
              <w:keepNext w:val="0"/>
              <w:keepLines w:val="0"/>
              <w:pageBreakBefore w:val="0"/>
              <w:widowControl w:val="0"/>
              <w:spacing w:line="520" w:lineRule="exact"/>
              <w:jc w:val="center"/>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w:t>
            </w:r>
          </w:p>
        </w:tc>
        <w:tc>
          <w:tcPr>
            <w:tcW w:w="1708" w:type="dxa"/>
            <w:shd w:val="clear" w:color="auto" w:fill="D7D7D7"/>
            <w:noWrap w:val="0"/>
            <w:vAlign w:val="center"/>
          </w:tcPr>
          <w:p w14:paraId="44158DE1">
            <w:pPr>
              <w:keepNext w:val="0"/>
              <w:keepLines w:val="0"/>
              <w:pageBreakBefore w:val="0"/>
              <w:widowControl w:val="0"/>
              <w:spacing w:line="520" w:lineRule="exact"/>
              <w:jc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zh-CN"/>
                <w14:textFill>
                  <w14:solidFill>
                    <w14:schemeClr w14:val="tx1"/>
                  </w14:solidFill>
                </w14:textFill>
              </w:rPr>
              <w:t>最高投标限价</w:t>
            </w:r>
          </w:p>
        </w:tc>
        <w:tc>
          <w:tcPr>
            <w:tcW w:w="5941" w:type="dxa"/>
            <w:shd w:val="clear" w:color="auto" w:fill="D7D7D7"/>
            <w:noWrap w:val="0"/>
            <w:vAlign w:val="center"/>
          </w:tcPr>
          <w:p w14:paraId="44C11346">
            <w:pPr>
              <w:keepNext w:val="0"/>
              <w:keepLines w:val="0"/>
              <w:pageBreakBefore w:val="0"/>
              <w:widowControl w:val="0"/>
              <w:spacing w:line="520" w:lineRule="exact"/>
              <w:rPr>
                <w:rFonts w:hint="default" w:ascii="Times New Roman" w:hAnsi="Times New Roman" w:eastAsia="宋体" w:cs="Times New Roman"/>
                <w:bCs/>
                <w:color w:val="000000" w:themeColor="text1"/>
                <w:sz w:val="21"/>
                <w:szCs w:val="21"/>
                <w:highlight w:val="none"/>
                <w14:textFill>
                  <w14:solidFill>
                    <w14:schemeClr w14:val="tx1"/>
                  </w14:solidFill>
                </w14:textFill>
              </w:rPr>
            </w:pPr>
            <w:r>
              <w:rPr>
                <w:rFonts w:hint="default" w:ascii="Times New Roman" w:hAnsi="Times New Roman" w:eastAsia="宋体" w:cs="Times New Roman"/>
                <w:bCs/>
                <w:color w:val="000000" w:themeColor="text1"/>
                <w:sz w:val="21"/>
                <w:szCs w:val="21"/>
                <w:highlight w:val="none"/>
                <w14:textFill>
                  <w14:solidFill>
                    <w14:schemeClr w14:val="tx1"/>
                  </w14:solidFill>
                </w14:textFill>
              </w:rPr>
              <w:t>本项目采购人设定的最高投标限价为</w:t>
            </w:r>
            <w:r>
              <w:rPr>
                <w:rFonts w:hint="default" w:ascii="Times New Roman" w:hAnsi="Times New Roman" w:eastAsia="宋体" w:cs="Times New Roman"/>
                <w:bCs/>
                <w:color w:val="0000FF"/>
                <w:sz w:val="21"/>
                <w:szCs w:val="21"/>
                <w:highlight w:val="none"/>
              </w:rPr>
              <w:t>¥</w:t>
            </w:r>
            <w:r>
              <w:rPr>
                <w:rFonts w:hint="eastAsia" w:cs="Times New Roman"/>
                <w:b/>
                <w:color w:val="0000FF"/>
                <w:sz w:val="21"/>
                <w:szCs w:val="21"/>
                <w:highlight w:val="none"/>
                <w:u w:val="single"/>
                <w:lang w:val="en-US" w:eastAsia="zh-CN"/>
              </w:rPr>
              <w:t>600000</w:t>
            </w:r>
            <w:r>
              <w:rPr>
                <w:rFonts w:hint="default" w:ascii="Times New Roman" w:hAnsi="Times New Roman" w:eastAsia="宋体" w:cs="Times New Roman"/>
                <w:bCs/>
                <w:color w:val="0000FF"/>
                <w:sz w:val="21"/>
                <w:szCs w:val="21"/>
                <w:highlight w:val="none"/>
              </w:rPr>
              <w:t>元（</w:t>
            </w:r>
            <w:r>
              <w:rPr>
                <w:rFonts w:hint="default" w:ascii="Times New Roman" w:hAnsi="Times New Roman" w:eastAsia="宋体" w:cs="Times New Roman"/>
                <w:b/>
                <w:color w:val="0000FF"/>
                <w:sz w:val="21"/>
                <w:szCs w:val="21"/>
                <w:highlight w:val="none"/>
                <w:u w:val="single"/>
              </w:rPr>
              <w:t>人民币</w:t>
            </w:r>
            <w:r>
              <w:rPr>
                <w:rFonts w:hint="default" w:ascii="Times New Roman" w:hAnsi="Times New Roman" w:eastAsia="宋体" w:cs="Times New Roman"/>
                <w:b/>
                <w:color w:val="0000FF"/>
                <w:sz w:val="21"/>
                <w:szCs w:val="21"/>
                <w:highlight w:val="none"/>
                <w:u w:val="single"/>
                <w:lang w:val="en-US" w:eastAsia="zh-CN"/>
              </w:rPr>
              <w:t>陆拾万元整</w:t>
            </w:r>
            <w:r>
              <w:rPr>
                <w:rFonts w:hint="default" w:ascii="Times New Roman" w:hAnsi="Times New Roman" w:eastAsia="宋体" w:cs="Times New Roman"/>
                <w:bCs/>
                <w:color w:val="0000FF"/>
                <w:sz w:val="21"/>
                <w:szCs w:val="21"/>
                <w:highlight w:val="none"/>
              </w:rPr>
              <w:t>）</w:t>
            </w:r>
            <w:r>
              <w:rPr>
                <w:rFonts w:hint="default" w:ascii="Times New Roman" w:hAnsi="Times New Roman" w:eastAsia="宋体" w:cs="Times New Roman"/>
                <w:bCs/>
                <w:color w:val="000000" w:themeColor="text1"/>
                <w:sz w:val="21"/>
                <w:szCs w:val="21"/>
                <w:highlight w:val="none"/>
                <w14:textFill>
                  <w14:solidFill>
                    <w14:schemeClr w14:val="tx1"/>
                  </w14:solidFill>
                </w14:textFill>
              </w:rPr>
              <w:t>，高于最高投标限价的投标报价的投标文件视为无效且不进入评标阶段。</w:t>
            </w:r>
          </w:p>
          <w:p w14:paraId="28E30A59">
            <w:pPr>
              <w:keepNext w:val="0"/>
              <w:keepLines w:val="0"/>
              <w:pageBreakBefore w:val="0"/>
              <w:widowControl w:val="0"/>
              <w:spacing w:line="520" w:lineRule="exact"/>
              <w:rPr>
                <w:rFonts w:hint="default" w:ascii="Times New Roman" w:hAnsi="Times New Roman" w:eastAsia="宋体" w:cs="Times New Roman"/>
                <w:bCs/>
                <w:color w:val="000000" w:themeColor="text1"/>
                <w:sz w:val="21"/>
                <w:szCs w:val="21"/>
                <w:highlight w:val="none"/>
                <w14:textFill>
                  <w14:solidFill>
                    <w14:schemeClr w14:val="tx1"/>
                  </w14:solidFill>
                </w14:textFill>
              </w:rPr>
            </w:pPr>
            <w:r>
              <w:rPr>
                <w:rFonts w:hint="default" w:ascii="Times New Roman" w:hAnsi="Times New Roman" w:eastAsia="宋体" w:cs="Times New Roman"/>
                <w:bCs/>
                <w:color w:val="000000" w:themeColor="text1"/>
                <w:sz w:val="21"/>
                <w:szCs w:val="21"/>
                <w:highlight w:val="none"/>
                <w14:textFill>
                  <w14:solidFill>
                    <w14:schemeClr w14:val="tx1"/>
                  </w14:solidFill>
                </w14:textFill>
              </w:rPr>
              <w:t>说明:采购人设定的最高投标限价已包含政府采购项目的采购代理服务费(即招标代理费)等相关费用本文件约定上述费用由中标供应商(成交供应商) 支付，该费用不单列在报价清单中，由投标供应商在投标时综合考虑均摊成本纳入总报价，中标供应商在中标后领取中标通知书前按本文件规定的相关时间、金额向采购代理机构一次性支付，采购人不另行单独支付相关费用。</w:t>
            </w:r>
          </w:p>
        </w:tc>
      </w:tr>
      <w:tr w14:paraId="5E3A4F1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30" w:type="dxa"/>
            <w:shd w:val="clear" w:color="auto" w:fill="FFFFFF"/>
            <w:noWrap w:val="0"/>
            <w:vAlign w:val="center"/>
          </w:tcPr>
          <w:p w14:paraId="1138A238">
            <w:pPr>
              <w:keepNext w:val="0"/>
              <w:keepLines w:val="0"/>
              <w:pageBreakBefore w:val="0"/>
              <w:widowControl w:val="0"/>
              <w:numPr>
                <w:ilvl w:val="0"/>
                <w:numId w:val="5"/>
              </w:numPr>
              <w:spacing w:line="520" w:lineRule="exact"/>
              <w:ind w:firstLine="0"/>
              <w:jc w:val="center"/>
              <w:rPr>
                <w:rFonts w:hint="default" w:ascii="Times New Roman" w:hAnsi="Times New Roman" w:eastAsia="宋体" w:cs="Times New Roman"/>
                <w:color w:val="000000"/>
                <w:sz w:val="21"/>
                <w:szCs w:val="21"/>
                <w:highlight w:val="none"/>
              </w:rPr>
            </w:pPr>
          </w:p>
        </w:tc>
        <w:tc>
          <w:tcPr>
            <w:tcW w:w="979" w:type="dxa"/>
            <w:shd w:val="clear" w:color="auto" w:fill="FFFFFF"/>
            <w:noWrap w:val="0"/>
            <w:vAlign w:val="center"/>
          </w:tcPr>
          <w:p w14:paraId="2C545A79">
            <w:pPr>
              <w:keepNext w:val="0"/>
              <w:keepLines w:val="0"/>
              <w:pageBreakBefore w:val="0"/>
              <w:widowControl w:val="0"/>
              <w:spacing w:line="520" w:lineRule="exact"/>
              <w:jc w:val="center"/>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22</w:t>
            </w:r>
          </w:p>
        </w:tc>
        <w:tc>
          <w:tcPr>
            <w:tcW w:w="1708" w:type="dxa"/>
            <w:shd w:val="clear" w:color="auto" w:fill="FFFFFF"/>
            <w:noWrap w:val="0"/>
            <w:vAlign w:val="center"/>
          </w:tcPr>
          <w:p w14:paraId="734E1F08">
            <w:pPr>
              <w:keepNext w:val="0"/>
              <w:keepLines w:val="0"/>
              <w:pageBreakBefore w:val="0"/>
              <w:widowControl w:val="0"/>
              <w:spacing w:line="520" w:lineRule="exact"/>
              <w:jc w:val="center"/>
              <w:rPr>
                <w:rFonts w:hint="default" w:ascii="Times New Roman" w:hAnsi="Times New Roman" w:eastAsia="宋体" w:cs="Times New Roman"/>
                <w:color w:val="000000"/>
                <w:sz w:val="21"/>
                <w:szCs w:val="21"/>
                <w:highlight w:val="none"/>
                <w:lang w:val="zh-CN"/>
              </w:rPr>
            </w:pPr>
            <w:r>
              <w:rPr>
                <w:rFonts w:hint="default" w:ascii="Times New Roman" w:hAnsi="Times New Roman" w:eastAsia="宋体" w:cs="Times New Roman"/>
                <w:color w:val="000000"/>
                <w:sz w:val="21"/>
                <w:szCs w:val="21"/>
                <w:highlight w:val="none"/>
                <w:lang w:val="zh-CN"/>
              </w:rPr>
              <w:t>资格审查</w:t>
            </w:r>
          </w:p>
        </w:tc>
        <w:tc>
          <w:tcPr>
            <w:tcW w:w="5941" w:type="dxa"/>
            <w:shd w:val="clear" w:color="auto" w:fill="FFFFFF"/>
            <w:noWrap w:val="0"/>
            <w:vAlign w:val="center"/>
          </w:tcPr>
          <w:p w14:paraId="554DEDB4">
            <w:pPr>
              <w:keepNext w:val="0"/>
              <w:keepLines w:val="0"/>
              <w:pageBreakBefore w:val="0"/>
              <w:widowControl w:val="0"/>
              <w:spacing w:line="520" w:lineRule="exact"/>
              <w:rPr>
                <w:rFonts w:hint="default" w:ascii="Times New Roman" w:hAnsi="Times New Roman" w:eastAsia="宋体" w:cs="Times New Roman"/>
                <w:bCs/>
                <w:color w:val="000000"/>
                <w:sz w:val="21"/>
                <w:szCs w:val="21"/>
                <w:highlight w:val="none"/>
              </w:rPr>
            </w:pPr>
            <w:r>
              <w:rPr>
                <w:rFonts w:hint="default" w:ascii="Times New Roman" w:hAnsi="Times New Roman" w:eastAsia="宋体" w:cs="Times New Roman"/>
                <w:bCs/>
                <w:color w:val="000000"/>
                <w:sz w:val="21"/>
                <w:szCs w:val="21"/>
                <w:highlight w:val="none"/>
              </w:rPr>
              <w:t>资格审查资料包含：</w:t>
            </w:r>
          </w:p>
          <w:p w14:paraId="7F464FBA">
            <w:pPr>
              <w:keepNext w:val="0"/>
              <w:keepLines w:val="0"/>
              <w:pageBreakBefore w:val="0"/>
              <w:widowControl w:val="0"/>
              <w:spacing w:line="520" w:lineRule="exact"/>
              <w:rPr>
                <w:rFonts w:hint="default" w:ascii="Times New Roman" w:hAnsi="Times New Roman" w:eastAsia="宋体" w:cs="Times New Roman"/>
                <w:bCs/>
                <w:color w:val="FF0000"/>
                <w:sz w:val="21"/>
                <w:szCs w:val="21"/>
                <w:highlight w:val="none"/>
              </w:rPr>
            </w:pPr>
            <w:r>
              <w:rPr>
                <w:rFonts w:hint="default" w:ascii="Times New Roman" w:hAnsi="Times New Roman" w:eastAsia="宋体" w:cs="Times New Roman"/>
                <w:bCs/>
                <w:color w:val="FF0000"/>
                <w:sz w:val="21"/>
                <w:szCs w:val="21"/>
                <w:highlight w:val="none"/>
              </w:rPr>
              <w:t>1.法人或者其他组织的营业执照等证明文件，自然人的身份证明</w:t>
            </w:r>
            <w:r>
              <w:rPr>
                <w:rFonts w:hint="default" w:ascii="Times New Roman" w:hAnsi="Times New Roman" w:eastAsia="宋体" w:cs="Times New Roman"/>
                <w:bCs/>
                <w:color w:val="FF0000"/>
                <w:sz w:val="21"/>
                <w:szCs w:val="21"/>
                <w:highlight w:val="none"/>
                <w:lang w:val="en-US" w:eastAsia="zh-CN"/>
              </w:rPr>
              <w:t>复印件</w:t>
            </w:r>
            <w:r>
              <w:rPr>
                <w:rFonts w:hint="default" w:ascii="Times New Roman" w:hAnsi="Times New Roman" w:eastAsia="宋体" w:cs="Times New Roman"/>
                <w:bCs/>
                <w:color w:val="FF0000"/>
                <w:sz w:val="21"/>
                <w:szCs w:val="21"/>
                <w:highlight w:val="none"/>
                <w:lang w:eastAsia="zh-CN"/>
              </w:rPr>
              <w:t>（</w:t>
            </w:r>
            <w:r>
              <w:rPr>
                <w:rFonts w:hint="default" w:ascii="Times New Roman" w:hAnsi="Times New Roman" w:eastAsia="宋体" w:cs="Times New Roman"/>
                <w:bCs/>
                <w:color w:val="FF0000"/>
                <w:sz w:val="21"/>
                <w:szCs w:val="21"/>
                <w:highlight w:val="none"/>
                <w:lang w:val="en-US" w:eastAsia="zh-CN"/>
              </w:rPr>
              <w:t>加盖公章</w:t>
            </w:r>
            <w:r>
              <w:rPr>
                <w:rFonts w:hint="default" w:ascii="Times New Roman" w:hAnsi="Times New Roman" w:eastAsia="宋体" w:cs="Times New Roman"/>
                <w:bCs/>
                <w:color w:val="FF0000"/>
                <w:sz w:val="21"/>
                <w:szCs w:val="21"/>
                <w:highlight w:val="none"/>
                <w:lang w:eastAsia="zh-CN"/>
              </w:rPr>
              <w:t>）</w:t>
            </w:r>
            <w:r>
              <w:rPr>
                <w:rFonts w:hint="default" w:ascii="Times New Roman" w:hAnsi="Times New Roman" w:eastAsia="宋体" w:cs="Times New Roman"/>
                <w:bCs/>
                <w:color w:val="FF0000"/>
                <w:sz w:val="21"/>
                <w:szCs w:val="21"/>
                <w:highlight w:val="none"/>
              </w:rPr>
              <w:t>；</w:t>
            </w:r>
          </w:p>
          <w:p w14:paraId="13DB60AA">
            <w:pPr>
              <w:keepNext w:val="0"/>
              <w:keepLines w:val="0"/>
              <w:pageBreakBefore w:val="0"/>
              <w:widowControl w:val="0"/>
              <w:spacing w:line="520" w:lineRule="exact"/>
              <w:rPr>
                <w:rFonts w:hint="default" w:ascii="Times New Roman" w:hAnsi="Times New Roman" w:eastAsia="宋体" w:cs="Times New Roman"/>
                <w:bCs/>
                <w:color w:val="FF0000"/>
                <w:sz w:val="21"/>
                <w:szCs w:val="21"/>
                <w:highlight w:val="none"/>
              </w:rPr>
            </w:pPr>
            <w:r>
              <w:rPr>
                <w:rFonts w:hint="default" w:ascii="Times New Roman" w:hAnsi="Times New Roman" w:eastAsia="宋体" w:cs="Times New Roman"/>
                <w:bCs/>
                <w:color w:val="FF0000"/>
                <w:sz w:val="21"/>
                <w:szCs w:val="21"/>
                <w:highlight w:val="none"/>
              </w:rPr>
              <w:t>2.上一年度的财务报表或财务审计报告（成立不满一年不需提供）；</w:t>
            </w:r>
          </w:p>
          <w:p w14:paraId="44881118">
            <w:pPr>
              <w:keepNext w:val="0"/>
              <w:keepLines w:val="0"/>
              <w:pageBreakBefore w:val="0"/>
              <w:widowControl w:val="0"/>
              <w:spacing w:line="520" w:lineRule="exact"/>
              <w:rPr>
                <w:rFonts w:hint="default" w:ascii="Times New Roman" w:hAnsi="Times New Roman" w:eastAsia="宋体" w:cs="Times New Roman"/>
                <w:bCs/>
                <w:color w:val="FF0000"/>
                <w:sz w:val="21"/>
                <w:szCs w:val="21"/>
                <w:highlight w:val="none"/>
              </w:rPr>
            </w:pPr>
            <w:r>
              <w:rPr>
                <w:rFonts w:hint="default" w:ascii="Times New Roman" w:hAnsi="Times New Roman" w:eastAsia="宋体" w:cs="Times New Roman"/>
                <w:bCs/>
                <w:color w:val="FF0000"/>
                <w:sz w:val="21"/>
                <w:szCs w:val="21"/>
                <w:highlight w:val="none"/>
              </w:rPr>
              <w:t>3.依法缴纳税收和社会保障资金的相关材料（提供承诺函，格式附后）；</w:t>
            </w:r>
          </w:p>
          <w:p w14:paraId="7D8662F8">
            <w:pPr>
              <w:keepNext w:val="0"/>
              <w:keepLines w:val="0"/>
              <w:pageBreakBefore w:val="0"/>
              <w:widowControl w:val="0"/>
              <w:spacing w:line="520" w:lineRule="exact"/>
              <w:rPr>
                <w:rFonts w:hint="default" w:ascii="Times New Roman" w:hAnsi="Times New Roman" w:eastAsia="宋体" w:cs="Times New Roman"/>
                <w:bCs/>
                <w:color w:val="FF0000"/>
                <w:sz w:val="21"/>
                <w:szCs w:val="21"/>
                <w:highlight w:val="none"/>
              </w:rPr>
            </w:pPr>
            <w:r>
              <w:rPr>
                <w:rFonts w:hint="default" w:ascii="Times New Roman" w:hAnsi="Times New Roman" w:eastAsia="宋体" w:cs="Times New Roman"/>
                <w:bCs/>
                <w:color w:val="FF0000"/>
                <w:sz w:val="21"/>
                <w:szCs w:val="21"/>
                <w:highlight w:val="none"/>
              </w:rPr>
              <w:t>4.具备履行合同所必需的设备和专业技术能力的书面声明（提供书面声明，格式附后）；</w:t>
            </w:r>
          </w:p>
          <w:p w14:paraId="55CA0402">
            <w:pPr>
              <w:keepNext w:val="0"/>
              <w:keepLines w:val="0"/>
              <w:pageBreakBefore w:val="0"/>
              <w:widowControl w:val="0"/>
              <w:spacing w:line="520" w:lineRule="exact"/>
              <w:rPr>
                <w:rFonts w:hint="default" w:ascii="Times New Roman" w:hAnsi="Times New Roman" w:eastAsia="宋体" w:cs="Times New Roman"/>
                <w:bCs/>
                <w:color w:val="FF0000"/>
                <w:sz w:val="21"/>
                <w:szCs w:val="21"/>
                <w:highlight w:val="none"/>
                <w:lang w:eastAsia="zh-CN"/>
              </w:rPr>
            </w:pPr>
            <w:r>
              <w:rPr>
                <w:rFonts w:hint="default" w:ascii="Times New Roman" w:hAnsi="Times New Roman" w:eastAsia="宋体" w:cs="Times New Roman"/>
                <w:bCs/>
                <w:color w:val="FF0000"/>
                <w:sz w:val="21"/>
                <w:szCs w:val="21"/>
                <w:highlight w:val="none"/>
              </w:rPr>
              <w:t>5.参加政府采购活动前3年内在经营活动中没有重大违法记录的书面声明（提供书面声明，格式附后）</w:t>
            </w:r>
            <w:r>
              <w:rPr>
                <w:rFonts w:hint="default" w:ascii="Times New Roman" w:hAnsi="Times New Roman" w:eastAsia="宋体" w:cs="Times New Roman"/>
                <w:bCs/>
                <w:color w:val="FF0000"/>
                <w:sz w:val="21"/>
                <w:szCs w:val="21"/>
                <w:highlight w:val="none"/>
                <w:lang w:eastAsia="zh-CN"/>
              </w:rPr>
              <w:t>。</w:t>
            </w:r>
          </w:p>
          <w:p w14:paraId="400C64D2">
            <w:pPr>
              <w:keepNext w:val="0"/>
              <w:keepLines w:val="0"/>
              <w:pageBreakBefore w:val="0"/>
              <w:widowControl w:val="0"/>
              <w:kinsoku/>
              <w:wordWrap w:val="0"/>
              <w:overflowPunct/>
              <w:topLinePunct w:val="0"/>
              <w:autoSpaceDE/>
              <w:autoSpaceDN/>
              <w:bidi w:val="0"/>
              <w:adjustRightInd w:val="0"/>
              <w:snapToGrid w:val="0"/>
              <w:spacing w:line="520" w:lineRule="exact"/>
              <w:textAlignment w:val="auto"/>
              <w:rPr>
                <w:rFonts w:hint="default" w:ascii="Times New Roman" w:hAnsi="Times New Roman" w:eastAsia="宋体" w:cs="Times New Roman"/>
                <w:color w:val="FF0000"/>
                <w:sz w:val="21"/>
                <w:szCs w:val="21"/>
                <w:highlight w:val="none"/>
                <w:lang w:eastAsia="zh-CN" w:bidi="ar"/>
              </w:rPr>
            </w:pPr>
            <w:r>
              <w:rPr>
                <w:rFonts w:hint="default" w:ascii="Times New Roman" w:hAnsi="Times New Roman" w:eastAsia="宋体" w:cs="Times New Roman"/>
                <w:bCs/>
                <w:color w:val="FF0000"/>
                <w:sz w:val="21"/>
                <w:szCs w:val="21"/>
                <w:highlight w:val="none"/>
                <w:lang w:val="en-US" w:eastAsia="zh-CN"/>
              </w:rPr>
              <w:t>6.</w:t>
            </w:r>
            <w:r>
              <w:rPr>
                <w:rFonts w:hint="default" w:ascii="Times New Roman" w:hAnsi="Times New Roman" w:eastAsia="宋体" w:cs="Times New Roman"/>
                <w:color w:val="FF0000"/>
                <w:sz w:val="21"/>
                <w:szCs w:val="21"/>
                <w:highlight w:val="none"/>
                <w:lang w:bidi="ar"/>
              </w:rPr>
              <w:t>未被“信用中国”网站（www.creditchina.gov.cn）列入失信被执行人、重大税收违法案件当事人名单、政府采购严重失信行为记录名单</w:t>
            </w:r>
            <w:r>
              <w:rPr>
                <w:rFonts w:hint="default" w:ascii="Times New Roman" w:hAnsi="Times New Roman" w:eastAsia="宋体" w:cs="Times New Roman"/>
                <w:color w:val="FF0000"/>
                <w:sz w:val="21"/>
                <w:szCs w:val="21"/>
                <w:highlight w:val="none"/>
                <w:lang w:eastAsia="zh-CN" w:bidi="ar"/>
              </w:rPr>
              <w:t>（</w:t>
            </w:r>
            <w:r>
              <w:rPr>
                <w:rFonts w:hint="default" w:ascii="Times New Roman" w:hAnsi="Times New Roman" w:eastAsia="宋体" w:cs="Times New Roman"/>
                <w:color w:val="FF0000"/>
                <w:sz w:val="21"/>
                <w:szCs w:val="21"/>
                <w:highlight w:val="none"/>
                <w:lang w:bidi="ar"/>
              </w:rPr>
              <w:t>提供信用中国网页截图或信用中国下载的信用报告</w:t>
            </w:r>
            <w:r>
              <w:rPr>
                <w:rFonts w:hint="default" w:ascii="Times New Roman" w:hAnsi="Times New Roman" w:eastAsia="宋体" w:cs="Times New Roman"/>
                <w:color w:val="FF0000"/>
                <w:sz w:val="21"/>
                <w:szCs w:val="21"/>
                <w:highlight w:val="none"/>
                <w:lang w:eastAsia="zh-CN" w:bidi="ar"/>
              </w:rPr>
              <w:t>）；</w:t>
            </w:r>
          </w:p>
          <w:p w14:paraId="41B0BC94">
            <w:pPr>
              <w:keepNext w:val="0"/>
              <w:keepLines w:val="0"/>
              <w:pageBreakBefore w:val="0"/>
              <w:widowControl w:val="0"/>
              <w:kinsoku/>
              <w:wordWrap w:val="0"/>
              <w:overflowPunct/>
              <w:topLinePunct w:val="0"/>
              <w:autoSpaceDE/>
              <w:autoSpaceDN/>
              <w:bidi w:val="0"/>
              <w:adjustRightInd w:val="0"/>
              <w:snapToGrid w:val="0"/>
              <w:spacing w:line="520" w:lineRule="exact"/>
              <w:textAlignment w:val="auto"/>
              <w:rPr>
                <w:rFonts w:hint="default" w:ascii="Times New Roman" w:hAnsi="Times New Roman" w:eastAsia="宋体" w:cs="Times New Roman"/>
                <w:color w:val="FF0000"/>
                <w:sz w:val="21"/>
                <w:szCs w:val="21"/>
                <w:highlight w:val="none"/>
                <w:lang w:val="en-US" w:eastAsia="zh-CN" w:bidi="ar"/>
              </w:rPr>
            </w:pPr>
            <w:r>
              <w:rPr>
                <w:rFonts w:hint="default" w:ascii="Times New Roman" w:hAnsi="Times New Roman" w:eastAsia="宋体" w:cs="Times New Roman"/>
                <w:color w:val="FF0000"/>
                <w:sz w:val="21"/>
                <w:szCs w:val="21"/>
                <w:highlight w:val="none"/>
                <w:lang w:val="en-US" w:eastAsia="zh-CN" w:bidi="ar"/>
              </w:rPr>
              <w:t>7.</w:t>
            </w:r>
            <w:r>
              <w:rPr>
                <w:rFonts w:hint="default" w:ascii="Times New Roman" w:hAnsi="Times New Roman" w:eastAsia="宋体" w:cs="Times New Roman"/>
                <w:color w:val="FF0000"/>
                <w:sz w:val="21"/>
                <w:szCs w:val="21"/>
                <w:highlight w:val="none"/>
                <w:lang w:bidi="ar"/>
              </w:rPr>
              <w:t>供应商（投标人）的城乡规划编制</w:t>
            </w:r>
            <w:r>
              <w:rPr>
                <w:rFonts w:hint="eastAsia" w:cs="Times New Roman"/>
                <w:color w:val="FF0000"/>
                <w:sz w:val="21"/>
                <w:szCs w:val="21"/>
                <w:highlight w:val="none"/>
                <w:lang w:eastAsia="zh-CN" w:bidi="ar"/>
              </w:rPr>
              <w:t>乙级</w:t>
            </w:r>
            <w:r>
              <w:rPr>
                <w:rFonts w:hint="default" w:ascii="Times New Roman" w:hAnsi="Times New Roman" w:eastAsia="宋体" w:cs="Times New Roman"/>
                <w:color w:val="FF0000"/>
                <w:sz w:val="21"/>
                <w:szCs w:val="21"/>
                <w:highlight w:val="none"/>
                <w:lang w:bidi="ar"/>
              </w:rPr>
              <w:t>及以上资质</w:t>
            </w:r>
            <w:r>
              <w:rPr>
                <w:rFonts w:hint="default" w:ascii="Times New Roman" w:hAnsi="Times New Roman" w:eastAsia="宋体" w:cs="Times New Roman"/>
                <w:color w:val="FF0000"/>
                <w:sz w:val="21"/>
                <w:szCs w:val="21"/>
                <w:highlight w:val="none"/>
                <w:lang w:val="en-US" w:eastAsia="zh-CN" w:bidi="ar"/>
              </w:rPr>
              <w:t>；</w:t>
            </w:r>
          </w:p>
          <w:p w14:paraId="4541D678">
            <w:pPr>
              <w:keepNext w:val="0"/>
              <w:keepLines w:val="0"/>
              <w:pageBreakBefore w:val="0"/>
              <w:widowControl w:val="0"/>
              <w:kinsoku/>
              <w:wordWrap w:val="0"/>
              <w:overflowPunct/>
              <w:topLinePunct w:val="0"/>
              <w:autoSpaceDE/>
              <w:autoSpaceDN/>
              <w:bidi w:val="0"/>
              <w:adjustRightInd w:val="0"/>
              <w:snapToGrid w:val="0"/>
              <w:spacing w:line="520" w:lineRule="exact"/>
              <w:textAlignment w:val="auto"/>
              <w:rPr>
                <w:rFonts w:hint="default" w:ascii="Times New Roman" w:hAnsi="Times New Roman" w:eastAsia="宋体" w:cs="Times New Roman"/>
                <w:color w:val="FF0000"/>
                <w:sz w:val="21"/>
                <w:szCs w:val="21"/>
                <w:highlight w:val="none"/>
                <w:lang w:bidi="ar"/>
              </w:rPr>
            </w:pPr>
            <w:r>
              <w:rPr>
                <w:rFonts w:hint="default" w:ascii="Times New Roman" w:hAnsi="Times New Roman" w:eastAsia="宋体" w:cs="Times New Roman"/>
                <w:color w:val="FF0000"/>
                <w:sz w:val="21"/>
                <w:szCs w:val="21"/>
                <w:highlight w:val="none"/>
                <w:lang w:val="en-US" w:eastAsia="zh-CN" w:bidi="ar"/>
              </w:rPr>
              <w:t>8.</w:t>
            </w:r>
            <w:r>
              <w:rPr>
                <w:rFonts w:hint="default" w:ascii="Times New Roman" w:hAnsi="Times New Roman" w:eastAsia="宋体" w:cs="Times New Roman"/>
                <w:color w:val="FF0000"/>
                <w:sz w:val="21"/>
                <w:szCs w:val="21"/>
                <w:highlight w:val="none"/>
                <w:lang w:bidi="ar"/>
              </w:rPr>
              <w:t>中小企业声明函</w:t>
            </w:r>
            <w:r>
              <w:rPr>
                <w:rFonts w:hint="default" w:ascii="Times New Roman" w:hAnsi="Times New Roman" w:eastAsia="宋体" w:cs="Times New Roman"/>
                <w:color w:val="FF0000"/>
                <w:sz w:val="21"/>
                <w:szCs w:val="21"/>
                <w:highlight w:val="none"/>
                <w:lang w:eastAsia="zh-CN" w:bidi="ar"/>
              </w:rPr>
              <w:t>（格式附后）。</w:t>
            </w:r>
          </w:p>
          <w:p w14:paraId="508ADBD2">
            <w:pPr>
              <w:keepNext w:val="0"/>
              <w:keepLines w:val="0"/>
              <w:pageBreakBefore w:val="0"/>
              <w:widowControl w:val="0"/>
              <w:spacing w:line="520" w:lineRule="exact"/>
              <w:rPr>
                <w:rFonts w:hint="default" w:ascii="Times New Roman" w:hAnsi="Times New Roman" w:eastAsia="宋体" w:cs="Times New Roman"/>
                <w:b/>
                <w:color w:val="000000"/>
                <w:sz w:val="21"/>
                <w:szCs w:val="21"/>
                <w:highlight w:val="none"/>
                <w:u w:val="single"/>
              </w:rPr>
            </w:pPr>
            <w:r>
              <w:rPr>
                <w:rFonts w:hint="default" w:ascii="Times New Roman" w:hAnsi="Times New Roman" w:eastAsia="宋体" w:cs="Times New Roman"/>
                <w:bCs/>
                <w:color w:val="000000"/>
                <w:sz w:val="21"/>
                <w:szCs w:val="21"/>
                <w:highlight w:val="none"/>
              </w:rPr>
              <w:t>说明：1.投标供应商（申请人）必须按照上述要求提供资格审查材料，否则将会被评标委员会作无效标处理；2.除上述材料及本文件第二章投标人须知</w:t>
            </w:r>
            <w:r>
              <w:rPr>
                <w:rFonts w:hint="default" w:ascii="Times New Roman" w:hAnsi="Times New Roman" w:eastAsia="宋体" w:cs="Times New Roman"/>
                <w:bCs/>
                <w:color w:val="000000"/>
                <w:sz w:val="21"/>
                <w:szCs w:val="21"/>
                <w:highlight w:val="none"/>
                <w:lang w:val="en-US" w:eastAsia="zh-CN"/>
              </w:rPr>
              <w:t>22</w:t>
            </w:r>
            <w:r>
              <w:rPr>
                <w:rFonts w:hint="default" w:ascii="Times New Roman" w:hAnsi="Times New Roman" w:eastAsia="宋体" w:cs="Times New Roman"/>
                <w:bCs/>
                <w:color w:val="000000"/>
                <w:sz w:val="21"/>
                <w:szCs w:val="21"/>
                <w:highlight w:val="none"/>
              </w:rPr>
              <w:t>条规定的不符合资格审查要求的情形外，评标委员会一般不应判定投标人资格审查不通过。</w:t>
            </w:r>
          </w:p>
        </w:tc>
      </w:tr>
      <w:tr w14:paraId="0A0620E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30" w:type="dxa"/>
            <w:shd w:val="clear" w:color="auto" w:fill="FFFFFF"/>
            <w:noWrap w:val="0"/>
            <w:vAlign w:val="center"/>
          </w:tcPr>
          <w:p w14:paraId="36B0DE09">
            <w:pPr>
              <w:keepNext w:val="0"/>
              <w:keepLines w:val="0"/>
              <w:pageBreakBefore w:val="0"/>
              <w:widowControl w:val="0"/>
              <w:numPr>
                <w:ilvl w:val="0"/>
                <w:numId w:val="5"/>
              </w:numPr>
              <w:spacing w:line="520" w:lineRule="exact"/>
              <w:ind w:firstLine="0"/>
              <w:jc w:val="center"/>
              <w:rPr>
                <w:rFonts w:hint="default" w:ascii="Times New Roman" w:hAnsi="Times New Roman" w:eastAsia="宋体" w:cs="Times New Roman"/>
                <w:color w:val="000000"/>
                <w:sz w:val="21"/>
                <w:szCs w:val="21"/>
                <w:highlight w:val="none"/>
              </w:rPr>
            </w:pPr>
          </w:p>
        </w:tc>
        <w:tc>
          <w:tcPr>
            <w:tcW w:w="979" w:type="dxa"/>
            <w:shd w:val="clear" w:color="auto" w:fill="FFFFFF"/>
            <w:noWrap w:val="0"/>
            <w:vAlign w:val="center"/>
          </w:tcPr>
          <w:p w14:paraId="41814A2A">
            <w:pPr>
              <w:keepNext w:val="0"/>
              <w:keepLines w:val="0"/>
              <w:pageBreakBefore w:val="0"/>
              <w:widowControl w:val="0"/>
              <w:spacing w:line="520" w:lineRule="exact"/>
              <w:jc w:val="center"/>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35</w:t>
            </w:r>
          </w:p>
        </w:tc>
        <w:tc>
          <w:tcPr>
            <w:tcW w:w="1708" w:type="dxa"/>
            <w:shd w:val="clear" w:color="auto" w:fill="FFFFFF"/>
            <w:noWrap w:val="0"/>
            <w:vAlign w:val="center"/>
          </w:tcPr>
          <w:p w14:paraId="6F85E3A2">
            <w:pPr>
              <w:keepNext w:val="0"/>
              <w:keepLines w:val="0"/>
              <w:pageBreakBefore w:val="0"/>
              <w:widowControl w:val="0"/>
              <w:spacing w:line="520" w:lineRule="exact"/>
              <w:jc w:val="center"/>
              <w:rPr>
                <w:rFonts w:hint="default" w:ascii="Times New Roman" w:hAnsi="Times New Roman" w:eastAsia="宋体" w:cs="Times New Roman"/>
                <w:color w:val="000000"/>
                <w:sz w:val="21"/>
                <w:szCs w:val="21"/>
                <w:highlight w:val="none"/>
                <w:lang w:val="zh-CN" w:eastAsia="zh-CN"/>
              </w:rPr>
            </w:pPr>
            <w:r>
              <w:rPr>
                <w:rFonts w:hint="default" w:ascii="Times New Roman" w:hAnsi="Times New Roman" w:eastAsia="宋体" w:cs="Times New Roman"/>
                <w:color w:val="000000"/>
                <w:sz w:val="21"/>
                <w:szCs w:val="21"/>
                <w:highlight w:val="none"/>
                <w:lang w:val="zh-CN"/>
              </w:rPr>
              <w:t>履约</w:t>
            </w:r>
            <w:r>
              <w:rPr>
                <w:rFonts w:hint="default" w:ascii="Times New Roman" w:hAnsi="Times New Roman" w:eastAsia="宋体" w:cs="Times New Roman"/>
                <w:color w:val="000000"/>
                <w:sz w:val="21"/>
                <w:szCs w:val="21"/>
                <w:highlight w:val="none"/>
                <w:lang w:val="en-US" w:eastAsia="zh-CN"/>
              </w:rPr>
              <w:t>保证金</w:t>
            </w:r>
          </w:p>
        </w:tc>
        <w:tc>
          <w:tcPr>
            <w:tcW w:w="5941" w:type="dxa"/>
            <w:shd w:val="clear" w:color="auto" w:fill="FFFFFF"/>
            <w:noWrap w:val="0"/>
            <w:vAlign w:val="center"/>
          </w:tcPr>
          <w:p w14:paraId="52D1B125">
            <w:pPr>
              <w:pStyle w:val="44"/>
              <w:keepNext w:val="0"/>
              <w:keepLines w:val="0"/>
              <w:pageBreakBefore w:val="0"/>
              <w:widowControl w:val="0"/>
              <w:spacing w:line="520" w:lineRule="exact"/>
              <w:ind w:firstLine="0"/>
              <w:jc w:val="left"/>
              <w:rPr>
                <w:rFonts w:hint="default" w:ascii="Times New Roman" w:hAnsi="Times New Roman" w:eastAsia="宋体" w:cs="Times New Roman"/>
                <w:color w:val="000000"/>
                <w:spacing w:val="2"/>
                <w:sz w:val="21"/>
                <w:szCs w:val="21"/>
                <w:highlight w:val="none"/>
                <w:lang w:val="en-US" w:eastAsia="zh-CN" w:bidi="ar-SA"/>
              </w:rPr>
            </w:pPr>
            <w:r>
              <w:rPr>
                <w:rFonts w:hint="default" w:ascii="Times New Roman" w:hAnsi="Times New Roman" w:eastAsia="宋体" w:cs="Times New Roman"/>
                <w:color w:val="000000"/>
                <w:spacing w:val="2"/>
                <w:sz w:val="21"/>
                <w:szCs w:val="21"/>
                <w:highlight w:val="none"/>
                <w:lang w:val="en-US" w:eastAsia="zh-CN" w:bidi="ar-SA"/>
              </w:rPr>
              <w:t>1.采购人要求中标供应商在签订合同前向采购人提交中标金额10%的履约保证金，提交形式包括现金、银行转账、履约保函等，具体提交形式由中标供应商自行选择。</w:t>
            </w:r>
          </w:p>
          <w:p w14:paraId="2E6DF2DD">
            <w:pPr>
              <w:pStyle w:val="44"/>
              <w:keepNext w:val="0"/>
              <w:keepLines w:val="0"/>
              <w:pageBreakBefore w:val="0"/>
              <w:widowControl w:val="0"/>
              <w:spacing w:line="520" w:lineRule="exact"/>
              <w:ind w:firstLine="0"/>
              <w:jc w:val="left"/>
              <w:rPr>
                <w:rFonts w:hint="default" w:ascii="Times New Roman" w:hAnsi="Times New Roman" w:eastAsia="宋体" w:cs="Times New Roman"/>
                <w:color w:val="000000"/>
                <w:spacing w:val="2"/>
                <w:sz w:val="21"/>
                <w:szCs w:val="21"/>
                <w:highlight w:val="none"/>
                <w:lang w:val="en-US" w:eastAsia="zh-CN" w:bidi="ar-SA"/>
              </w:rPr>
            </w:pPr>
            <w:r>
              <w:rPr>
                <w:rFonts w:hint="default" w:ascii="Times New Roman" w:hAnsi="Times New Roman" w:eastAsia="宋体" w:cs="Times New Roman"/>
                <w:color w:val="000000"/>
                <w:spacing w:val="2"/>
                <w:sz w:val="21"/>
                <w:szCs w:val="21"/>
                <w:highlight w:val="none"/>
                <w:lang w:val="en-US" w:eastAsia="zh-CN" w:bidi="ar-SA"/>
              </w:rPr>
              <w:t>2.若在签订采购合同前向采购人提交本单位有效期内的第三方信用报告，且信用评级在AA级及以上的，中标人可享受政府采购供应商履约保证金减免政策（具体减免政策请参见滨办通〔2021〕73号文件）。信用报告是指投标人或供应商委托经信用管理部门备案的第三方信用服务机构(名单可在“信用盐城”http://credit.yancheng.gov.cn/查询)，按照相关标准出具的综合性信用评价报告。办理第三方信用报告的具体事项请咨询滨海县信用办，联系电话：0515-68982013。</w:t>
            </w:r>
          </w:p>
        </w:tc>
      </w:tr>
      <w:tr w14:paraId="27386E5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458" w:type="dxa"/>
            <w:gridSpan w:val="4"/>
            <w:shd w:val="clear" w:color="auto" w:fill="FFFFFF"/>
            <w:noWrap w:val="0"/>
            <w:vAlign w:val="center"/>
          </w:tcPr>
          <w:p w14:paraId="5541E980">
            <w:pPr>
              <w:keepNext w:val="0"/>
              <w:keepLines w:val="0"/>
              <w:pageBreakBefore w:val="0"/>
              <w:widowControl w:val="0"/>
              <w:spacing w:line="520" w:lineRule="exact"/>
              <w:jc w:val="center"/>
              <w:rPr>
                <w:rFonts w:hint="default" w:ascii="Times New Roman" w:hAnsi="Times New Roman" w:eastAsia="宋体" w:cs="Times New Roman"/>
                <w:bCs/>
                <w:color w:val="000000"/>
                <w:sz w:val="21"/>
                <w:szCs w:val="21"/>
                <w:highlight w:val="none"/>
              </w:rPr>
            </w:pPr>
            <w:r>
              <w:rPr>
                <w:rFonts w:hint="default" w:ascii="Times New Roman" w:hAnsi="Times New Roman" w:eastAsia="宋体" w:cs="Times New Roman"/>
                <w:b/>
                <w:color w:val="000000"/>
                <w:sz w:val="21"/>
                <w:szCs w:val="21"/>
                <w:highlight w:val="none"/>
              </w:rPr>
              <w:t>重要提醒（说明）</w:t>
            </w:r>
          </w:p>
        </w:tc>
      </w:tr>
      <w:tr w14:paraId="1BCCB09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30" w:type="dxa"/>
            <w:shd w:val="clear" w:color="auto" w:fill="FFFFFF"/>
            <w:noWrap w:val="0"/>
            <w:vAlign w:val="center"/>
          </w:tcPr>
          <w:p w14:paraId="357EE2C4">
            <w:pPr>
              <w:keepNext w:val="0"/>
              <w:keepLines w:val="0"/>
              <w:pageBreakBefore w:val="0"/>
              <w:widowControl w:val="0"/>
              <w:spacing w:line="520" w:lineRule="exact"/>
              <w:jc w:val="center"/>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注1</w:t>
            </w:r>
          </w:p>
        </w:tc>
        <w:tc>
          <w:tcPr>
            <w:tcW w:w="8628" w:type="dxa"/>
            <w:gridSpan w:val="3"/>
            <w:shd w:val="clear" w:color="auto" w:fill="FFFFFF"/>
            <w:noWrap w:val="0"/>
            <w:vAlign w:val="center"/>
          </w:tcPr>
          <w:p w14:paraId="413D6579">
            <w:pPr>
              <w:keepNext w:val="0"/>
              <w:keepLines w:val="0"/>
              <w:pageBreakBefore w:val="0"/>
              <w:widowControl w:val="0"/>
              <w:spacing w:line="520" w:lineRule="exact"/>
              <w:rPr>
                <w:rFonts w:hint="default" w:ascii="Times New Roman" w:hAnsi="Times New Roman" w:eastAsia="宋体" w:cs="Times New Roman"/>
                <w:color w:val="000000"/>
                <w:spacing w:val="2"/>
                <w:sz w:val="21"/>
                <w:szCs w:val="21"/>
                <w:highlight w:val="none"/>
              </w:rPr>
            </w:pPr>
            <w:r>
              <w:rPr>
                <w:rFonts w:hint="default" w:ascii="Times New Roman" w:hAnsi="Times New Roman" w:eastAsia="宋体" w:cs="Times New Roman"/>
                <w:color w:val="000000"/>
                <w:spacing w:val="2"/>
                <w:sz w:val="21"/>
                <w:szCs w:val="21"/>
                <w:highlight w:val="none"/>
              </w:rPr>
              <w:t>投标供应商获取采购文件后，如因各种原因不能正常参加投标的，应于开标前向采购人提出书面申请并说明原因，获得采购人的认可。否则，采购人有权提出申请，视情节将其载入不诚信投标记录，并在网上予以公告2个月，在公告期间，其它政府投资项目的采购人可以据此不接受其投标。</w:t>
            </w:r>
          </w:p>
        </w:tc>
      </w:tr>
      <w:tr w14:paraId="65357C6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30" w:type="dxa"/>
            <w:shd w:val="clear" w:color="auto" w:fill="FFFFFF"/>
            <w:noWrap w:val="0"/>
            <w:vAlign w:val="center"/>
          </w:tcPr>
          <w:p w14:paraId="3EABB7EE">
            <w:pPr>
              <w:keepNext w:val="0"/>
              <w:keepLines w:val="0"/>
              <w:pageBreakBefore w:val="0"/>
              <w:widowControl w:val="0"/>
              <w:spacing w:line="520" w:lineRule="exact"/>
              <w:jc w:val="center"/>
              <w:rPr>
                <w:rFonts w:hint="default" w:ascii="Times New Roman" w:hAnsi="Times New Roman" w:eastAsia="宋体" w:cs="Times New Roman"/>
                <w:color w:val="000000"/>
                <w:sz w:val="21"/>
                <w:szCs w:val="21"/>
                <w:highlight w:val="none"/>
                <w:lang w:eastAsia="zh-CN"/>
              </w:rPr>
            </w:pPr>
            <w:r>
              <w:rPr>
                <w:rFonts w:hint="default" w:ascii="Times New Roman" w:hAnsi="Times New Roman" w:eastAsia="宋体" w:cs="Times New Roman"/>
                <w:color w:val="000000"/>
                <w:sz w:val="21"/>
                <w:szCs w:val="21"/>
                <w:highlight w:val="none"/>
              </w:rPr>
              <w:t>注</w:t>
            </w:r>
            <w:r>
              <w:rPr>
                <w:rFonts w:hint="default" w:ascii="Times New Roman" w:hAnsi="Times New Roman" w:eastAsia="宋体" w:cs="Times New Roman"/>
                <w:color w:val="000000"/>
                <w:sz w:val="21"/>
                <w:szCs w:val="21"/>
                <w:highlight w:val="none"/>
                <w:lang w:val="en-US" w:eastAsia="zh-CN"/>
              </w:rPr>
              <w:t>2</w:t>
            </w:r>
          </w:p>
        </w:tc>
        <w:tc>
          <w:tcPr>
            <w:tcW w:w="8628" w:type="dxa"/>
            <w:gridSpan w:val="3"/>
            <w:shd w:val="clear" w:color="auto" w:fill="FFFFFF"/>
            <w:noWrap w:val="0"/>
            <w:vAlign w:val="center"/>
          </w:tcPr>
          <w:p w14:paraId="3CA3DF9B">
            <w:pPr>
              <w:keepNext w:val="0"/>
              <w:keepLines w:val="0"/>
              <w:pageBreakBefore w:val="0"/>
              <w:widowControl w:val="0"/>
              <w:spacing w:line="520" w:lineRule="exact"/>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采购人保留根据实际情况合理调整服务需求、要求和内容的权利。</w:t>
            </w:r>
          </w:p>
        </w:tc>
      </w:tr>
      <w:tr w14:paraId="70E102B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30" w:type="dxa"/>
            <w:shd w:val="clear" w:color="auto" w:fill="FFFFFF"/>
            <w:noWrap w:val="0"/>
            <w:vAlign w:val="center"/>
          </w:tcPr>
          <w:p w14:paraId="7CEB1D83">
            <w:pPr>
              <w:keepNext w:val="0"/>
              <w:keepLines w:val="0"/>
              <w:pageBreakBefore w:val="0"/>
              <w:widowControl w:val="0"/>
              <w:spacing w:line="520" w:lineRule="exact"/>
              <w:jc w:val="center"/>
              <w:rPr>
                <w:rFonts w:hint="default" w:ascii="Times New Roman" w:hAnsi="Times New Roman" w:eastAsia="宋体" w:cs="Times New Roman"/>
                <w:color w:val="000000"/>
                <w:sz w:val="21"/>
                <w:szCs w:val="21"/>
                <w:highlight w:val="none"/>
                <w:lang w:eastAsia="zh-CN"/>
              </w:rPr>
            </w:pPr>
            <w:r>
              <w:rPr>
                <w:rFonts w:hint="default" w:ascii="Times New Roman" w:hAnsi="Times New Roman" w:eastAsia="宋体" w:cs="Times New Roman"/>
                <w:color w:val="000000"/>
                <w:sz w:val="21"/>
                <w:szCs w:val="21"/>
                <w:highlight w:val="none"/>
              </w:rPr>
              <w:t>注</w:t>
            </w:r>
            <w:r>
              <w:rPr>
                <w:rFonts w:hint="default" w:ascii="Times New Roman" w:hAnsi="Times New Roman" w:eastAsia="宋体" w:cs="Times New Roman"/>
                <w:color w:val="000000"/>
                <w:sz w:val="21"/>
                <w:szCs w:val="21"/>
                <w:highlight w:val="none"/>
                <w:lang w:val="en-US" w:eastAsia="zh-CN"/>
              </w:rPr>
              <w:t>3</w:t>
            </w:r>
          </w:p>
        </w:tc>
        <w:tc>
          <w:tcPr>
            <w:tcW w:w="8628" w:type="dxa"/>
            <w:gridSpan w:val="3"/>
            <w:shd w:val="clear" w:color="auto" w:fill="FFFFFF"/>
            <w:noWrap w:val="0"/>
            <w:vAlign w:val="center"/>
          </w:tcPr>
          <w:p w14:paraId="400046A4">
            <w:pPr>
              <w:keepNext w:val="0"/>
              <w:keepLines w:val="0"/>
              <w:pageBreakBefore w:val="0"/>
              <w:widowControl w:val="0"/>
              <w:spacing w:line="520" w:lineRule="exact"/>
              <w:rPr>
                <w:rFonts w:hint="default" w:ascii="Times New Roman" w:hAnsi="Times New Roman" w:eastAsia="宋体" w:cs="Times New Roman"/>
                <w:color w:val="000000"/>
                <w:sz w:val="21"/>
                <w:szCs w:val="21"/>
                <w:highlight w:val="none"/>
                <w:u w:val="single"/>
              </w:rPr>
            </w:pPr>
            <w:r>
              <w:rPr>
                <w:rFonts w:hint="default" w:ascii="Times New Roman" w:hAnsi="Times New Roman" w:eastAsia="宋体" w:cs="Times New Roman"/>
                <w:color w:val="000000"/>
                <w:sz w:val="21"/>
                <w:szCs w:val="21"/>
                <w:highlight w:val="none"/>
              </w:rPr>
              <w:t>采购人将根据采购需要，可能会不定期在发布媒介上发布该项目补充答疑等澄清修改文件、最高投标限价文件、补充公告等，各投标供应商应自行网上查寻，未能及时查阅，其引起的相关后果由投标供应商自行负责。</w:t>
            </w:r>
          </w:p>
        </w:tc>
      </w:tr>
      <w:tr w14:paraId="03BCC55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30" w:type="dxa"/>
            <w:shd w:val="clear" w:color="auto" w:fill="FFFFFF"/>
            <w:noWrap w:val="0"/>
            <w:vAlign w:val="center"/>
          </w:tcPr>
          <w:p w14:paraId="61318415">
            <w:pPr>
              <w:keepNext w:val="0"/>
              <w:keepLines w:val="0"/>
              <w:pageBreakBefore w:val="0"/>
              <w:widowControl w:val="0"/>
              <w:spacing w:line="520" w:lineRule="exact"/>
              <w:jc w:val="center"/>
              <w:rPr>
                <w:rFonts w:hint="default" w:ascii="Times New Roman" w:hAnsi="Times New Roman" w:eastAsia="宋体" w:cs="Times New Roman"/>
                <w:color w:val="000000"/>
                <w:sz w:val="21"/>
                <w:szCs w:val="21"/>
                <w:highlight w:val="none"/>
                <w:lang w:eastAsia="zh-CN"/>
              </w:rPr>
            </w:pPr>
            <w:r>
              <w:rPr>
                <w:rFonts w:hint="default" w:ascii="Times New Roman" w:hAnsi="Times New Roman" w:eastAsia="宋体" w:cs="Times New Roman"/>
                <w:color w:val="000000"/>
                <w:sz w:val="21"/>
                <w:szCs w:val="21"/>
                <w:highlight w:val="none"/>
              </w:rPr>
              <w:t>注</w:t>
            </w:r>
            <w:r>
              <w:rPr>
                <w:rFonts w:hint="default" w:ascii="Times New Roman" w:hAnsi="Times New Roman" w:eastAsia="宋体" w:cs="Times New Roman"/>
                <w:color w:val="000000"/>
                <w:sz w:val="21"/>
                <w:szCs w:val="21"/>
                <w:highlight w:val="none"/>
                <w:lang w:val="en-US" w:eastAsia="zh-CN"/>
              </w:rPr>
              <w:t>4</w:t>
            </w:r>
          </w:p>
        </w:tc>
        <w:tc>
          <w:tcPr>
            <w:tcW w:w="8628" w:type="dxa"/>
            <w:gridSpan w:val="3"/>
            <w:shd w:val="clear" w:color="auto" w:fill="FFFFFF"/>
            <w:noWrap w:val="0"/>
            <w:vAlign w:val="center"/>
          </w:tcPr>
          <w:p w14:paraId="6C4AD034">
            <w:pPr>
              <w:pStyle w:val="44"/>
              <w:keepNext w:val="0"/>
              <w:keepLines w:val="0"/>
              <w:pageBreakBefore w:val="0"/>
              <w:widowControl w:val="0"/>
              <w:spacing w:line="520" w:lineRule="exact"/>
              <w:ind w:firstLine="0"/>
              <w:jc w:val="left"/>
              <w:rPr>
                <w:rFonts w:hint="default" w:ascii="Times New Roman" w:hAnsi="Times New Roman" w:eastAsia="宋体" w:cs="Times New Roman"/>
                <w:color w:val="000000"/>
                <w:spacing w:val="2"/>
                <w:sz w:val="21"/>
                <w:szCs w:val="21"/>
                <w:highlight w:val="none"/>
                <w:lang w:val="en-US" w:eastAsia="zh-CN" w:bidi="ar-SA"/>
              </w:rPr>
            </w:pPr>
            <w:r>
              <w:rPr>
                <w:rFonts w:hint="default" w:ascii="Times New Roman" w:hAnsi="Times New Roman" w:eastAsia="宋体" w:cs="Times New Roman"/>
                <w:color w:val="000000"/>
                <w:spacing w:val="2"/>
                <w:sz w:val="21"/>
                <w:szCs w:val="21"/>
                <w:highlight w:val="none"/>
                <w:lang w:val="en-US" w:eastAsia="zh-CN" w:bidi="ar-SA"/>
              </w:rPr>
              <w:t>投标供应商在获取采购文件后，若对采购文件有疑问（包括询问、质疑和投诉），应当按照《政府采购质疑和投诉办法》（中华人民共和国财政部令第94号）要求提交书面函件至采购人。未按照《政府采购质疑和投诉办法》（中华人民共和国财政部令第94号）规定方式和时间递交的疑问（包括询问、质疑和投诉）均将根据江苏省财政厅印发的《政府采购质疑处理流程》（苏财购（2018）86号）规定依法不予受理或采购人有权拒绝回答，也不承担由此带来的对投标供应商投标结果的影响。</w:t>
            </w:r>
          </w:p>
        </w:tc>
      </w:tr>
      <w:tr w14:paraId="7B4641B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30" w:type="dxa"/>
            <w:shd w:val="clear" w:color="auto" w:fill="FFFFFF"/>
            <w:noWrap w:val="0"/>
            <w:vAlign w:val="center"/>
          </w:tcPr>
          <w:p w14:paraId="3B532B87">
            <w:pPr>
              <w:keepNext w:val="0"/>
              <w:keepLines w:val="0"/>
              <w:pageBreakBefore w:val="0"/>
              <w:widowControl w:val="0"/>
              <w:spacing w:line="520" w:lineRule="exact"/>
              <w:jc w:val="center"/>
              <w:rPr>
                <w:rFonts w:hint="default" w:ascii="Times New Roman" w:hAnsi="Times New Roman" w:eastAsia="宋体" w:cs="Times New Roman"/>
                <w:color w:val="000000"/>
                <w:sz w:val="21"/>
                <w:szCs w:val="21"/>
                <w:highlight w:val="none"/>
                <w:lang w:eastAsia="zh-CN"/>
              </w:rPr>
            </w:pPr>
            <w:r>
              <w:rPr>
                <w:rFonts w:hint="default" w:ascii="Times New Roman" w:hAnsi="Times New Roman" w:eastAsia="宋体" w:cs="Times New Roman"/>
                <w:color w:val="000000"/>
                <w:sz w:val="21"/>
                <w:szCs w:val="21"/>
                <w:highlight w:val="none"/>
              </w:rPr>
              <w:t>注</w:t>
            </w:r>
            <w:r>
              <w:rPr>
                <w:rFonts w:hint="default" w:ascii="Times New Roman" w:hAnsi="Times New Roman" w:eastAsia="宋体" w:cs="Times New Roman"/>
                <w:color w:val="000000"/>
                <w:sz w:val="21"/>
                <w:szCs w:val="21"/>
                <w:highlight w:val="none"/>
                <w:lang w:val="en-US" w:eastAsia="zh-CN"/>
              </w:rPr>
              <w:t>5</w:t>
            </w:r>
          </w:p>
        </w:tc>
        <w:tc>
          <w:tcPr>
            <w:tcW w:w="8628" w:type="dxa"/>
            <w:gridSpan w:val="3"/>
            <w:shd w:val="clear" w:color="auto" w:fill="FFFFFF"/>
            <w:noWrap w:val="0"/>
            <w:vAlign w:val="center"/>
          </w:tcPr>
          <w:p w14:paraId="1FF927E6">
            <w:pPr>
              <w:pStyle w:val="44"/>
              <w:keepNext w:val="0"/>
              <w:keepLines w:val="0"/>
              <w:pageBreakBefore w:val="0"/>
              <w:widowControl w:val="0"/>
              <w:spacing w:line="520" w:lineRule="exact"/>
              <w:ind w:firstLine="0"/>
              <w:jc w:val="left"/>
              <w:rPr>
                <w:rFonts w:hint="default" w:ascii="Times New Roman" w:hAnsi="Times New Roman" w:eastAsia="宋体" w:cs="Times New Roman"/>
                <w:color w:val="000000"/>
                <w:spacing w:val="2"/>
                <w:sz w:val="21"/>
                <w:szCs w:val="21"/>
                <w:highlight w:val="none"/>
                <w:lang w:val="en-US" w:eastAsia="zh-CN" w:bidi="ar-SA"/>
              </w:rPr>
            </w:pPr>
            <w:r>
              <w:rPr>
                <w:rFonts w:hint="default" w:ascii="Times New Roman" w:hAnsi="Times New Roman" w:eastAsia="宋体" w:cs="Times New Roman"/>
                <w:color w:val="000000"/>
                <w:spacing w:val="2"/>
                <w:sz w:val="21"/>
                <w:szCs w:val="21"/>
                <w:highlight w:val="none"/>
                <w:lang w:val="en-US" w:eastAsia="zh-CN" w:bidi="ar-SA"/>
              </w:rPr>
              <w:t>采购人若收到质疑函后，将根据《政府采购质疑处理流程》（苏财购（2018）86号）审查质疑人是否具有质疑资格，经审查不具备质疑资格的，采购人将依法不予受理，并且告知质疑人不予受理的原因。不具备质疑资格的质疑人若严重扰乱本项目招投标活动秩序、造成重大影响或损失的（包括但不限于耽误工期、各项费用损失等），采购人将依法追究其法律责任并上报相关行政主管部门。</w:t>
            </w:r>
          </w:p>
        </w:tc>
      </w:tr>
      <w:tr w14:paraId="55CF78A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30" w:type="dxa"/>
            <w:shd w:val="clear" w:color="auto" w:fill="FFFFFF"/>
            <w:noWrap w:val="0"/>
            <w:vAlign w:val="center"/>
          </w:tcPr>
          <w:p w14:paraId="05BE9410">
            <w:pPr>
              <w:pStyle w:val="289"/>
              <w:keepNext w:val="0"/>
              <w:keepLines w:val="0"/>
              <w:pageBreakBefore w:val="0"/>
              <w:widowControl w:val="0"/>
              <w:spacing w:line="520" w:lineRule="exact"/>
              <w:ind w:firstLine="0"/>
              <w:jc w:val="center"/>
              <w:rPr>
                <w:rFonts w:hint="default" w:ascii="Times New Roman" w:hAnsi="Times New Roman" w:eastAsia="宋体" w:cs="Times New Roman"/>
                <w:color w:val="000000"/>
                <w:spacing w:val="0"/>
                <w:sz w:val="21"/>
                <w:szCs w:val="21"/>
                <w:highlight w:val="none"/>
                <w:lang w:val="en-US" w:eastAsia="zh-CN" w:bidi="ar-SA"/>
              </w:rPr>
            </w:pPr>
            <w:r>
              <w:rPr>
                <w:rFonts w:hint="default" w:ascii="Times New Roman" w:hAnsi="Times New Roman" w:eastAsia="宋体" w:cs="Times New Roman"/>
                <w:color w:val="000000"/>
                <w:spacing w:val="0"/>
                <w:sz w:val="21"/>
                <w:szCs w:val="21"/>
                <w:highlight w:val="none"/>
                <w:lang w:val="en-US" w:eastAsia="zh-CN" w:bidi="ar-SA"/>
              </w:rPr>
              <w:t>注6</w:t>
            </w:r>
          </w:p>
        </w:tc>
        <w:tc>
          <w:tcPr>
            <w:tcW w:w="8628" w:type="dxa"/>
            <w:gridSpan w:val="3"/>
            <w:shd w:val="clear" w:color="auto" w:fill="FFFFFF"/>
            <w:noWrap w:val="0"/>
            <w:vAlign w:val="center"/>
          </w:tcPr>
          <w:p w14:paraId="48354255">
            <w:pPr>
              <w:pStyle w:val="44"/>
              <w:keepNext w:val="0"/>
              <w:keepLines w:val="0"/>
              <w:pageBreakBefore w:val="0"/>
              <w:widowControl w:val="0"/>
              <w:spacing w:line="520" w:lineRule="exact"/>
              <w:ind w:firstLine="0"/>
              <w:jc w:val="left"/>
              <w:rPr>
                <w:rFonts w:hint="default" w:ascii="Times New Roman" w:hAnsi="Times New Roman" w:eastAsia="宋体" w:cs="Times New Roman"/>
                <w:color w:val="000000"/>
                <w:spacing w:val="2"/>
                <w:sz w:val="21"/>
                <w:szCs w:val="21"/>
                <w:highlight w:val="none"/>
                <w:lang w:val="en-US" w:eastAsia="zh-CN" w:bidi="ar-SA"/>
              </w:rPr>
            </w:pPr>
            <w:r>
              <w:rPr>
                <w:rFonts w:hint="default" w:ascii="Times New Roman" w:hAnsi="Times New Roman" w:eastAsia="宋体" w:cs="Times New Roman"/>
                <w:color w:val="000000"/>
                <w:spacing w:val="2"/>
                <w:sz w:val="21"/>
                <w:szCs w:val="21"/>
                <w:highlight w:val="none"/>
                <w:lang w:val="en-US" w:eastAsia="zh-CN" w:bidi="ar-SA"/>
              </w:rPr>
              <w:t>本项目采取“资格后审”“综合评分法”，投标报价非唯一评审因素，投标供应商须综合评估自身实力水平参与本项目的投标并合理报价。最低的投标报价或最高的折扣比例是中标的重要条件，但不是唯一条件。</w:t>
            </w:r>
          </w:p>
        </w:tc>
      </w:tr>
      <w:tr w14:paraId="46324A1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30" w:type="dxa"/>
            <w:shd w:val="clear" w:color="auto" w:fill="FFFFFF"/>
            <w:noWrap w:val="0"/>
            <w:vAlign w:val="center"/>
          </w:tcPr>
          <w:p w14:paraId="207724AD">
            <w:pPr>
              <w:pStyle w:val="289"/>
              <w:keepNext w:val="0"/>
              <w:keepLines w:val="0"/>
              <w:pageBreakBefore w:val="0"/>
              <w:widowControl w:val="0"/>
              <w:spacing w:line="520" w:lineRule="exact"/>
              <w:ind w:firstLine="0"/>
              <w:jc w:val="center"/>
              <w:rPr>
                <w:rFonts w:hint="default" w:ascii="Times New Roman" w:hAnsi="Times New Roman" w:eastAsia="宋体" w:cs="Times New Roman"/>
                <w:color w:val="000000"/>
                <w:spacing w:val="0"/>
                <w:sz w:val="21"/>
                <w:szCs w:val="21"/>
                <w:highlight w:val="none"/>
                <w:lang w:val="en-US" w:eastAsia="zh-CN" w:bidi="ar-SA"/>
              </w:rPr>
            </w:pPr>
            <w:r>
              <w:rPr>
                <w:rFonts w:hint="default" w:ascii="Times New Roman" w:hAnsi="Times New Roman" w:eastAsia="宋体" w:cs="Times New Roman"/>
                <w:color w:val="000000"/>
                <w:spacing w:val="0"/>
                <w:sz w:val="21"/>
                <w:szCs w:val="21"/>
                <w:highlight w:val="none"/>
                <w:lang w:val="en-US" w:eastAsia="zh-CN" w:bidi="ar-SA"/>
              </w:rPr>
              <w:t>注7</w:t>
            </w:r>
          </w:p>
        </w:tc>
        <w:tc>
          <w:tcPr>
            <w:tcW w:w="8628" w:type="dxa"/>
            <w:gridSpan w:val="3"/>
            <w:shd w:val="clear" w:color="auto" w:fill="FFFFFF"/>
            <w:noWrap w:val="0"/>
            <w:vAlign w:val="center"/>
          </w:tcPr>
          <w:p w14:paraId="5FF84B34">
            <w:pPr>
              <w:pStyle w:val="44"/>
              <w:keepNext w:val="0"/>
              <w:keepLines w:val="0"/>
              <w:pageBreakBefore w:val="0"/>
              <w:widowControl w:val="0"/>
              <w:spacing w:line="520" w:lineRule="exact"/>
              <w:ind w:firstLine="0"/>
              <w:jc w:val="left"/>
              <w:rPr>
                <w:rFonts w:hint="default" w:ascii="Times New Roman" w:hAnsi="Times New Roman" w:eastAsia="宋体" w:cs="Times New Roman"/>
                <w:color w:val="000000"/>
                <w:spacing w:val="2"/>
                <w:sz w:val="21"/>
                <w:szCs w:val="21"/>
                <w:highlight w:val="none"/>
                <w:lang w:val="en-US" w:eastAsia="zh-CN" w:bidi="ar-SA"/>
              </w:rPr>
            </w:pPr>
            <w:r>
              <w:rPr>
                <w:rFonts w:hint="default" w:ascii="Times New Roman" w:hAnsi="Times New Roman" w:eastAsia="宋体" w:cs="Times New Roman"/>
                <w:color w:val="000000"/>
                <w:spacing w:val="2"/>
                <w:sz w:val="21"/>
                <w:szCs w:val="21"/>
                <w:highlight w:val="none"/>
                <w:lang w:val="en-US" w:eastAsia="zh-CN" w:bidi="ar-SA"/>
              </w:rPr>
              <w:t>采购人对未中标供应商不承担解释未中标原因的义务。</w:t>
            </w:r>
          </w:p>
        </w:tc>
      </w:tr>
      <w:tr w14:paraId="1674418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30" w:type="dxa"/>
            <w:shd w:val="clear" w:color="auto" w:fill="FFFFFF"/>
            <w:noWrap w:val="0"/>
            <w:vAlign w:val="center"/>
          </w:tcPr>
          <w:p w14:paraId="5D51189B">
            <w:pPr>
              <w:pStyle w:val="289"/>
              <w:keepNext w:val="0"/>
              <w:keepLines w:val="0"/>
              <w:pageBreakBefore w:val="0"/>
              <w:widowControl w:val="0"/>
              <w:spacing w:line="520" w:lineRule="exact"/>
              <w:ind w:firstLine="0"/>
              <w:jc w:val="center"/>
              <w:rPr>
                <w:rFonts w:hint="default" w:ascii="Times New Roman" w:hAnsi="Times New Roman" w:eastAsia="宋体" w:cs="Times New Roman"/>
                <w:color w:val="000000"/>
                <w:spacing w:val="0"/>
                <w:sz w:val="21"/>
                <w:szCs w:val="21"/>
                <w:highlight w:val="none"/>
                <w:lang w:val="en-US" w:eastAsia="zh-CN" w:bidi="ar-SA"/>
              </w:rPr>
            </w:pPr>
            <w:r>
              <w:rPr>
                <w:rFonts w:hint="default" w:ascii="Times New Roman" w:hAnsi="Times New Roman" w:eastAsia="宋体" w:cs="Times New Roman"/>
                <w:color w:val="000000"/>
                <w:spacing w:val="0"/>
                <w:sz w:val="21"/>
                <w:szCs w:val="21"/>
                <w:highlight w:val="none"/>
                <w:lang w:val="en-US" w:eastAsia="zh-CN" w:bidi="ar-SA"/>
              </w:rPr>
              <w:t>注8</w:t>
            </w:r>
          </w:p>
        </w:tc>
        <w:tc>
          <w:tcPr>
            <w:tcW w:w="8628" w:type="dxa"/>
            <w:gridSpan w:val="3"/>
            <w:shd w:val="clear" w:color="auto" w:fill="FFFFFF"/>
            <w:noWrap w:val="0"/>
            <w:vAlign w:val="center"/>
          </w:tcPr>
          <w:p w14:paraId="5A505877">
            <w:pPr>
              <w:pStyle w:val="44"/>
              <w:keepNext w:val="0"/>
              <w:keepLines w:val="0"/>
              <w:pageBreakBefore w:val="0"/>
              <w:widowControl w:val="0"/>
              <w:spacing w:line="520" w:lineRule="exact"/>
              <w:ind w:firstLine="0"/>
              <w:jc w:val="left"/>
              <w:rPr>
                <w:rFonts w:hint="default" w:ascii="Times New Roman" w:hAnsi="Times New Roman" w:eastAsia="宋体" w:cs="Times New Roman"/>
                <w:color w:val="000000"/>
                <w:spacing w:val="2"/>
                <w:sz w:val="21"/>
                <w:szCs w:val="21"/>
                <w:highlight w:val="none"/>
                <w:lang w:val="en-US" w:eastAsia="zh-CN" w:bidi="ar-SA"/>
              </w:rPr>
            </w:pPr>
            <w:r>
              <w:rPr>
                <w:rFonts w:hint="default" w:ascii="Times New Roman" w:hAnsi="Times New Roman" w:eastAsia="宋体" w:cs="Times New Roman"/>
                <w:color w:val="000000"/>
                <w:spacing w:val="2"/>
                <w:sz w:val="21"/>
                <w:szCs w:val="21"/>
                <w:highlight w:val="none"/>
                <w:lang w:val="en-US" w:eastAsia="zh-CN" w:bidi="ar-SA"/>
              </w:rPr>
              <w:t>如投标单位在中标公告发布之日起七个工作日后向采购单位提出质疑或质疑未经投标单位法定代表人或参加投标的代理人签署，采购人有权对该质疑不予答复。</w:t>
            </w:r>
          </w:p>
        </w:tc>
      </w:tr>
      <w:tr w14:paraId="3116E2C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30" w:type="dxa"/>
            <w:shd w:val="clear" w:color="auto" w:fill="FFFFFF"/>
            <w:noWrap w:val="0"/>
            <w:vAlign w:val="center"/>
          </w:tcPr>
          <w:p w14:paraId="2F36CC24">
            <w:pPr>
              <w:pStyle w:val="289"/>
              <w:keepNext w:val="0"/>
              <w:keepLines w:val="0"/>
              <w:pageBreakBefore w:val="0"/>
              <w:widowControl w:val="0"/>
              <w:spacing w:line="520" w:lineRule="exact"/>
              <w:ind w:firstLine="0"/>
              <w:jc w:val="center"/>
              <w:rPr>
                <w:rFonts w:hint="default" w:ascii="Times New Roman" w:hAnsi="Times New Roman" w:eastAsia="宋体" w:cs="Times New Roman"/>
                <w:color w:val="000000"/>
                <w:spacing w:val="0"/>
                <w:sz w:val="21"/>
                <w:szCs w:val="21"/>
                <w:highlight w:val="none"/>
                <w:lang w:val="en-US" w:eastAsia="zh-CN" w:bidi="ar-SA"/>
              </w:rPr>
            </w:pPr>
            <w:r>
              <w:rPr>
                <w:rFonts w:hint="default" w:ascii="Times New Roman" w:hAnsi="Times New Roman" w:eastAsia="宋体" w:cs="Times New Roman"/>
                <w:color w:val="000000"/>
                <w:spacing w:val="0"/>
                <w:sz w:val="21"/>
                <w:szCs w:val="21"/>
                <w:highlight w:val="none"/>
                <w:lang w:val="en-US" w:eastAsia="zh-CN" w:bidi="ar-SA"/>
              </w:rPr>
              <w:t>注9</w:t>
            </w:r>
          </w:p>
        </w:tc>
        <w:tc>
          <w:tcPr>
            <w:tcW w:w="8628" w:type="dxa"/>
            <w:gridSpan w:val="3"/>
            <w:shd w:val="clear" w:color="auto" w:fill="FFFFFF"/>
            <w:noWrap w:val="0"/>
            <w:vAlign w:val="center"/>
          </w:tcPr>
          <w:p w14:paraId="15E127F6">
            <w:pPr>
              <w:pStyle w:val="44"/>
              <w:keepNext w:val="0"/>
              <w:keepLines w:val="0"/>
              <w:pageBreakBefore w:val="0"/>
              <w:widowControl w:val="0"/>
              <w:spacing w:line="520" w:lineRule="exact"/>
              <w:ind w:firstLine="0"/>
              <w:jc w:val="left"/>
              <w:rPr>
                <w:rFonts w:hint="default" w:ascii="Times New Roman" w:hAnsi="Times New Roman" w:eastAsia="宋体" w:cs="Times New Roman"/>
                <w:color w:val="000000"/>
                <w:spacing w:val="2"/>
                <w:sz w:val="21"/>
                <w:szCs w:val="21"/>
                <w:highlight w:val="none"/>
                <w:lang w:val="en-US" w:eastAsia="zh-CN" w:bidi="ar-SA"/>
              </w:rPr>
            </w:pPr>
            <w:r>
              <w:rPr>
                <w:rFonts w:hint="default" w:ascii="Times New Roman" w:hAnsi="Times New Roman" w:eastAsia="宋体" w:cs="Times New Roman"/>
                <w:color w:val="000000"/>
                <w:spacing w:val="2"/>
                <w:sz w:val="21"/>
                <w:szCs w:val="21"/>
                <w:highlight w:val="none"/>
                <w:lang w:val="en-US" w:eastAsia="zh-CN" w:bidi="ar-SA"/>
              </w:rPr>
              <w:t>投标供应商不得以低于成本的报价竞价，否则评标委员会将否决其投标。</w:t>
            </w:r>
          </w:p>
        </w:tc>
      </w:tr>
      <w:tr w14:paraId="315AB23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30" w:type="dxa"/>
            <w:shd w:val="clear" w:color="auto" w:fill="FFFFFF"/>
            <w:noWrap w:val="0"/>
            <w:vAlign w:val="center"/>
          </w:tcPr>
          <w:p w14:paraId="1ADAE4B1">
            <w:pPr>
              <w:pStyle w:val="289"/>
              <w:keepNext w:val="0"/>
              <w:keepLines w:val="0"/>
              <w:pageBreakBefore w:val="0"/>
              <w:widowControl w:val="0"/>
              <w:spacing w:line="520" w:lineRule="exact"/>
              <w:ind w:firstLine="0"/>
              <w:jc w:val="center"/>
              <w:rPr>
                <w:rFonts w:hint="default" w:ascii="Times New Roman" w:hAnsi="Times New Roman" w:eastAsia="宋体" w:cs="Times New Roman"/>
                <w:b/>
                <w:bCs/>
                <w:color w:val="000000"/>
                <w:sz w:val="21"/>
                <w:szCs w:val="21"/>
                <w:highlight w:val="none"/>
                <w:lang w:eastAsia="zh-CN"/>
              </w:rPr>
            </w:pPr>
            <w:r>
              <w:rPr>
                <w:rFonts w:hint="default" w:ascii="Times New Roman" w:hAnsi="Times New Roman" w:eastAsia="宋体" w:cs="Times New Roman"/>
                <w:b/>
                <w:bCs/>
                <w:color w:val="000000"/>
                <w:sz w:val="21"/>
                <w:szCs w:val="21"/>
                <w:highlight w:val="none"/>
              </w:rPr>
              <w:t>注1</w:t>
            </w:r>
            <w:r>
              <w:rPr>
                <w:rFonts w:hint="default" w:ascii="Times New Roman" w:hAnsi="Times New Roman" w:eastAsia="宋体" w:cs="Times New Roman"/>
                <w:b/>
                <w:bCs/>
                <w:color w:val="000000"/>
                <w:sz w:val="21"/>
                <w:szCs w:val="21"/>
                <w:highlight w:val="none"/>
                <w:lang w:val="en-US" w:eastAsia="zh-CN"/>
              </w:rPr>
              <w:t>0</w:t>
            </w:r>
          </w:p>
        </w:tc>
        <w:tc>
          <w:tcPr>
            <w:tcW w:w="8628" w:type="dxa"/>
            <w:gridSpan w:val="3"/>
            <w:shd w:val="clear" w:color="auto" w:fill="FFFFFF"/>
            <w:noWrap w:val="0"/>
            <w:vAlign w:val="center"/>
          </w:tcPr>
          <w:p w14:paraId="61FB4F6C">
            <w:pPr>
              <w:pStyle w:val="289"/>
              <w:keepNext w:val="0"/>
              <w:keepLines w:val="0"/>
              <w:pageBreakBefore w:val="0"/>
              <w:widowControl w:val="0"/>
              <w:spacing w:line="520" w:lineRule="exact"/>
              <w:ind w:firstLine="0"/>
              <w:jc w:val="left"/>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t>投标供应商不应当因市场信息了解缺失、自身实力不足、自身市场资源不够丰富等自身因素而向采购人提出任何不合理的请求（诉求、要求），如因投标供应商不合理的请求（诉求、要求）或不合理质疑或恶意质疑或恶意投诉等恶劣行为严重扰乱政府采购活动秩序的，采购人有权按照相关法律规定或条例对之进行处罚并上报相关主管部门予以严惩。因前述行为造成恶劣影响、经济损失、进度损失等各类损失或重大恶劣影响的，采购人有权将之列入采购人黑名单并追偿各类损失直至移交司法机关处置。</w:t>
            </w:r>
          </w:p>
        </w:tc>
      </w:tr>
    </w:tbl>
    <w:p w14:paraId="6AA34B11">
      <w:pPr>
        <w:pStyle w:val="8"/>
        <w:keepNext w:val="0"/>
        <w:keepLines w:val="0"/>
        <w:pageBreakBefore w:val="0"/>
        <w:widowControl w:val="0"/>
        <w:kinsoku/>
        <w:wordWrap w:val="0"/>
        <w:overflowPunct/>
        <w:topLinePunct w:val="0"/>
        <w:bidi w:val="0"/>
        <w:spacing w:before="145" w:beforeLines="50" w:after="145" w:afterLines="50" w:line="360" w:lineRule="auto"/>
        <w:ind w:firstLine="300" w:firstLineChars="100"/>
        <w:rPr>
          <w:rFonts w:hint="default" w:ascii="Times New Roman" w:hAnsi="Times New Roman" w:eastAsia="宋体" w:cs="Times New Roman"/>
          <w:color w:val="auto"/>
          <w:sz w:val="21"/>
          <w:szCs w:val="21"/>
          <w:highlight w:val="none"/>
        </w:rPr>
      </w:pPr>
      <w:bookmarkStart w:id="48" w:name="_Toc16938519"/>
      <w:bookmarkStart w:id="49" w:name="_Toc513029203"/>
      <w:bookmarkStart w:id="50" w:name="_Toc120614214"/>
      <w:bookmarkStart w:id="51" w:name="_Toc20823275"/>
      <w:r>
        <w:rPr>
          <w:rFonts w:ascii="Times New Roman" w:hAnsi="Times New Roman" w:cs="Times New Roman"/>
          <w:highlight w:val="none"/>
        </w:rPr>
        <w:br w:type="page" w:clear="all"/>
      </w:r>
      <w:bookmarkEnd w:id="48"/>
      <w:bookmarkEnd w:id="49"/>
      <w:bookmarkEnd w:id="50"/>
      <w:bookmarkEnd w:id="51"/>
      <w:bookmarkStart w:id="52" w:name="_Toc16938558"/>
      <w:bookmarkStart w:id="53" w:name="_Toc479757207"/>
      <w:bookmarkStart w:id="54" w:name="_Toc120614221"/>
      <w:bookmarkStart w:id="55" w:name="_Toc513029242"/>
      <w:bookmarkStart w:id="56" w:name="_Toc20823314"/>
      <w:r>
        <w:rPr>
          <w:rFonts w:hint="default" w:ascii="Times New Roman" w:hAnsi="Times New Roman" w:eastAsia="宋体" w:cs="Times New Roman"/>
          <w:color w:val="auto"/>
          <w:sz w:val="21"/>
          <w:szCs w:val="21"/>
          <w:highlight w:val="none"/>
        </w:rPr>
        <w:t>一、总则</w:t>
      </w:r>
    </w:p>
    <w:p w14:paraId="7DFE5FD8">
      <w:pPr>
        <w:pStyle w:val="9"/>
        <w:keepNext w:val="0"/>
        <w:keepLines w:val="0"/>
        <w:pageBreakBefore w:val="0"/>
        <w:widowControl w:val="0"/>
        <w:kinsoku/>
        <w:wordWrap w:val="0"/>
        <w:overflowPunct/>
        <w:topLinePunct w:val="0"/>
        <w:bidi w:val="0"/>
        <w:spacing w:before="0" w:after="0" w:line="520" w:lineRule="exact"/>
        <w:ind w:firstLine="315" w:firstLineChars="150"/>
        <w:rPr>
          <w:rFonts w:hint="default" w:ascii="Times New Roman" w:hAnsi="Times New Roman" w:eastAsia="宋体" w:cs="Times New Roman"/>
          <w:b w:val="0"/>
          <w:bCs w:val="0"/>
          <w:color w:val="auto"/>
          <w:sz w:val="21"/>
          <w:szCs w:val="21"/>
          <w:highlight w:val="none"/>
        </w:rPr>
      </w:pPr>
      <w:bookmarkStart w:id="57" w:name="_Hlt16619475"/>
      <w:bookmarkEnd w:id="57"/>
      <w:bookmarkStart w:id="58" w:name="_Toc458694821"/>
      <w:bookmarkStart w:id="59" w:name="_Toc16938520"/>
      <w:bookmarkStart w:id="60" w:name="_Toc513029204"/>
      <w:bookmarkStart w:id="61" w:name="_Toc20823276"/>
      <w:r>
        <w:rPr>
          <w:rFonts w:hint="default" w:ascii="Times New Roman" w:hAnsi="Times New Roman" w:eastAsia="宋体" w:cs="Times New Roman"/>
          <w:b w:val="0"/>
          <w:bCs w:val="0"/>
          <w:color w:val="auto"/>
          <w:sz w:val="21"/>
          <w:szCs w:val="21"/>
          <w:highlight w:val="none"/>
        </w:rPr>
        <w:t>1</w:t>
      </w:r>
      <w:bookmarkEnd w:id="58"/>
      <w:r>
        <w:rPr>
          <w:rFonts w:hint="default" w:ascii="Times New Roman" w:hAnsi="Times New Roman" w:eastAsia="宋体" w:cs="Times New Roman"/>
          <w:b w:val="0"/>
          <w:bCs w:val="0"/>
          <w:color w:val="auto"/>
          <w:sz w:val="21"/>
          <w:szCs w:val="21"/>
          <w:highlight w:val="none"/>
        </w:rPr>
        <w:t>、招标方式</w:t>
      </w:r>
      <w:bookmarkEnd w:id="59"/>
      <w:bookmarkEnd w:id="60"/>
      <w:bookmarkEnd w:id="61"/>
    </w:p>
    <w:p w14:paraId="498B4C1C">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1.1 本次招标采取公开招标方式，本招标文件仅适用于招标公告中所述项目。</w:t>
      </w:r>
    </w:p>
    <w:p w14:paraId="0440CE53">
      <w:pPr>
        <w:pStyle w:val="9"/>
        <w:keepNext w:val="0"/>
        <w:keepLines w:val="0"/>
        <w:pageBreakBefore w:val="0"/>
        <w:widowControl w:val="0"/>
        <w:kinsoku/>
        <w:wordWrap w:val="0"/>
        <w:overflowPunct/>
        <w:topLinePunct w:val="0"/>
        <w:bidi w:val="0"/>
        <w:spacing w:before="0" w:after="0" w:line="520" w:lineRule="exact"/>
        <w:ind w:firstLine="315" w:firstLineChars="150"/>
        <w:rPr>
          <w:rFonts w:hint="default" w:ascii="Times New Roman" w:hAnsi="Times New Roman" w:eastAsia="宋体" w:cs="Times New Roman"/>
          <w:b w:val="0"/>
          <w:bCs w:val="0"/>
          <w:color w:val="auto"/>
          <w:sz w:val="21"/>
          <w:szCs w:val="21"/>
          <w:highlight w:val="none"/>
        </w:rPr>
      </w:pPr>
      <w:bookmarkStart w:id="62" w:name="_Toc20823277"/>
      <w:bookmarkStart w:id="63" w:name="_Toc16938521"/>
      <w:bookmarkStart w:id="64" w:name="_Toc513029205"/>
      <w:r>
        <w:rPr>
          <w:rFonts w:hint="default" w:ascii="Times New Roman" w:hAnsi="Times New Roman" w:eastAsia="宋体" w:cs="Times New Roman"/>
          <w:b w:val="0"/>
          <w:bCs w:val="0"/>
          <w:color w:val="auto"/>
          <w:sz w:val="21"/>
          <w:szCs w:val="21"/>
          <w:highlight w:val="none"/>
        </w:rPr>
        <w:t>2、合格的投标人</w:t>
      </w:r>
      <w:bookmarkEnd w:id="62"/>
      <w:bookmarkEnd w:id="63"/>
      <w:bookmarkEnd w:id="64"/>
    </w:p>
    <w:p w14:paraId="2FC9E575">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2.1满足招标公告中供应商的资格要求的规定。</w:t>
      </w:r>
    </w:p>
    <w:p w14:paraId="183C0AE1">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2.2 满足本文件实质性条款的规定。</w:t>
      </w:r>
    </w:p>
    <w:p w14:paraId="465DC780">
      <w:pPr>
        <w:pStyle w:val="9"/>
        <w:keepNext w:val="0"/>
        <w:keepLines w:val="0"/>
        <w:pageBreakBefore w:val="0"/>
        <w:widowControl w:val="0"/>
        <w:kinsoku/>
        <w:wordWrap w:val="0"/>
        <w:overflowPunct/>
        <w:topLinePunct w:val="0"/>
        <w:bidi w:val="0"/>
        <w:spacing w:before="0" w:after="0" w:line="520" w:lineRule="exact"/>
        <w:ind w:firstLine="315" w:firstLineChars="150"/>
        <w:rPr>
          <w:rFonts w:hint="default" w:ascii="Times New Roman" w:hAnsi="Times New Roman" w:eastAsia="宋体" w:cs="Times New Roman"/>
          <w:b w:val="0"/>
          <w:bCs w:val="0"/>
          <w:color w:val="auto"/>
          <w:sz w:val="21"/>
          <w:szCs w:val="21"/>
          <w:highlight w:val="none"/>
        </w:rPr>
      </w:pPr>
      <w:bookmarkStart w:id="65" w:name="_Toc16938522"/>
      <w:bookmarkStart w:id="66" w:name="_Toc20823278"/>
      <w:bookmarkStart w:id="67" w:name="_Toc513029206"/>
      <w:r>
        <w:rPr>
          <w:rFonts w:hint="default" w:ascii="Times New Roman" w:hAnsi="Times New Roman" w:eastAsia="宋体" w:cs="Times New Roman"/>
          <w:b w:val="0"/>
          <w:bCs w:val="0"/>
          <w:color w:val="auto"/>
          <w:sz w:val="21"/>
          <w:szCs w:val="21"/>
          <w:highlight w:val="none"/>
        </w:rPr>
        <w:t>3、适用法律</w:t>
      </w:r>
      <w:bookmarkEnd w:id="65"/>
      <w:bookmarkEnd w:id="66"/>
      <w:bookmarkEnd w:id="67"/>
    </w:p>
    <w:p w14:paraId="04E66B84">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3.1 本次招标及由此产生的合同受中华人民共和国有关的法律法规制约和保护。</w:t>
      </w:r>
    </w:p>
    <w:p w14:paraId="15192A6A">
      <w:pPr>
        <w:pStyle w:val="9"/>
        <w:keepNext w:val="0"/>
        <w:keepLines w:val="0"/>
        <w:pageBreakBefore w:val="0"/>
        <w:widowControl w:val="0"/>
        <w:kinsoku/>
        <w:wordWrap w:val="0"/>
        <w:overflowPunct/>
        <w:topLinePunct w:val="0"/>
        <w:bidi w:val="0"/>
        <w:spacing w:before="0" w:after="0" w:line="520" w:lineRule="exact"/>
        <w:ind w:firstLine="315" w:firstLineChars="150"/>
        <w:rPr>
          <w:rFonts w:hint="default" w:ascii="Times New Roman" w:hAnsi="Times New Roman" w:eastAsia="宋体" w:cs="Times New Roman"/>
          <w:b w:val="0"/>
          <w:bCs w:val="0"/>
          <w:color w:val="auto"/>
          <w:sz w:val="21"/>
          <w:szCs w:val="21"/>
          <w:highlight w:val="none"/>
        </w:rPr>
      </w:pPr>
      <w:bookmarkStart w:id="68" w:name="_Toc16938523"/>
      <w:bookmarkStart w:id="69" w:name="_Toc513029207"/>
      <w:bookmarkStart w:id="70" w:name="_Toc462564067"/>
      <w:bookmarkStart w:id="71" w:name="_Toc20823279"/>
      <w:r>
        <w:rPr>
          <w:rFonts w:hint="default" w:ascii="Times New Roman" w:hAnsi="Times New Roman" w:eastAsia="宋体" w:cs="Times New Roman"/>
          <w:b w:val="0"/>
          <w:bCs w:val="0"/>
          <w:color w:val="auto"/>
          <w:sz w:val="21"/>
          <w:szCs w:val="21"/>
          <w:highlight w:val="none"/>
        </w:rPr>
        <w:t>4、投标费用</w:t>
      </w:r>
      <w:bookmarkEnd w:id="68"/>
      <w:bookmarkEnd w:id="69"/>
      <w:bookmarkEnd w:id="70"/>
      <w:bookmarkEnd w:id="71"/>
    </w:p>
    <w:p w14:paraId="057C0AEB">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Cs/>
          <w:color w:val="auto"/>
          <w:sz w:val="21"/>
          <w:szCs w:val="21"/>
          <w:highlight w:val="none"/>
        </w:rPr>
        <w:t>4.1</w:t>
      </w:r>
      <w:r>
        <w:rPr>
          <w:rFonts w:hint="default" w:ascii="Times New Roman" w:hAnsi="Times New Roman" w:eastAsia="宋体" w:cs="Times New Roman"/>
          <w:color w:val="auto"/>
          <w:sz w:val="21"/>
          <w:szCs w:val="21"/>
          <w:highlight w:val="none"/>
        </w:rPr>
        <w:t xml:space="preserve"> 投标人应自行承担所有与参加投标有关的费用，无论投标过程中的做法和结果如何，采购人和采购代理机构在任何情况下均无义务和责任承担这些费用。</w:t>
      </w:r>
    </w:p>
    <w:p w14:paraId="0AFA035E">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4.2本次招标采购人和采购代理机构不收取标书工本费，</w:t>
      </w:r>
      <w:r>
        <w:rPr>
          <w:rFonts w:hint="default" w:ascii="Times New Roman" w:hAnsi="Times New Roman" w:eastAsia="宋体" w:cs="Times New Roman"/>
          <w:strike w:val="0"/>
          <w:dstrike w:val="0"/>
          <w:sz w:val="21"/>
          <w:szCs w:val="21"/>
          <w:highlight w:val="none"/>
        </w:rPr>
        <w:t>采购中心</w:t>
      </w:r>
      <w:r>
        <w:rPr>
          <w:rFonts w:hint="default" w:ascii="Times New Roman" w:hAnsi="Times New Roman" w:eastAsia="宋体" w:cs="Times New Roman"/>
          <w:strike w:val="0"/>
          <w:dstrike w:val="0"/>
          <w:sz w:val="21"/>
          <w:szCs w:val="21"/>
          <w:highlight w:val="none"/>
          <w:lang w:val="en-US" w:eastAsia="zh-CN"/>
        </w:rPr>
        <w:t>不收取</w:t>
      </w:r>
      <w:r>
        <w:rPr>
          <w:rFonts w:hint="default" w:ascii="Times New Roman" w:hAnsi="Times New Roman" w:eastAsia="宋体" w:cs="Times New Roman"/>
          <w:sz w:val="21"/>
          <w:szCs w:val="21"/>
          <w:highlight w:val="none"/>
        </w:rPr>
        <w:t>中标</w:t>
      </w:r>
      <w:r>
        <w:rPr>
          <w:rFonts w:hint="default" w:ascii="Times New Roman" w:hAnsi="Times New Roman" w:eastAsia="宋体" w:cs="Times New Roman"/>
          <w:sz w:val="21"/>
          <w:szCs w:val="21"/>
          <w:highlight w:val="none"/>
          <w:lang w:val="en-US" w:eastAsia="zh-CN"/>
        </w:rPr>
        <w:t>交易</w:t>
      </w:r>
      <w:r>
        <w:rPr>
          <w:rFonts w:hint="default" w:ascii="Times New Roman" w:hAnsi="Times New Roman" w:eastAsia="宋体" w:cs="Times New Roman"/>
          <w:sz w:val="21"/>
          <w:szCs w:val="21"/>
          <w:highlight w:val="none"/>
        </w:rPr>
        <w:t>服务费。</w:t>
      </w:r>
    </w:p>
    <w:p w14:paraId="4CFDC3FC">
      <w:pPr>
        <w:pStyle w:val="9"/>
        <w:keepNext w:val="0"/>
        <w:keepLines w:val="0"/>
        <w:pageBreakBefore w:val="0"/>
        <w:widowControl w:val="0"/>
        <w:kinsoku/>
        <w:wordWrap w:val="0"/>
        <w:overflowPunct/>
        <w:topLinePunct w:val="0"/>
        <w:bidi w:val="0"/>
        <w:spacing w:before="0" w:after="0" w:line="520" w:lineRule="exact"/>
        <w:ind w:firstLine="316" w:firstLineChars="150"/>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color w:val="auto"/>
          <w:sz w:val="21"/>
          <w:szCs w:val="21"/>
          <w:highlight w:val="none"/>
        </w:rPr>
        <w:t>5、</w:t>
      </w:r>
      <w:r>
        <w:rPr>
          <w:rFonts w:hint="default" w:ascii="Times New Roman" w:hAnsi="Times New Roman" w:eastAsia="宋体" w:cs="Times New Roman"/>
          <w:b w:val="0"/>
          <w:bCs w:val="0"/>
          <w:color w:val="auto"/>
          <w:sz w:val="21"/>
          <w:szCs w:val="21"/>
          <w:highlight w:val="none"/>
        </w:rPr>
        <w:t>招标文件的约束力</w:t>
      </w:r>
    </w:p>
    <w:p w14:paraId="14CDA490">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Cs/>
          <w:color w:val="auto"/>
          <w:sz w:val="21"/>
          <w:szCs w:val="21"/>
          <w:highlight w:val="none"/>
        </w:rPr>
        <w:t>5.1</w:t>
      </w:r>
      <w:r>
        <w:rPr>
          <w:rFonts w:hint="default" w:ascii="Times New Roman" w:hAnsi="Times New Roman" w:eastAsia="宋体" w:cs="Times New Roman"/>
          <w:color w:val="auto"/>
          <w:sz w:val="21"/>
          <w:szCs w:val="21"/>
          <w:highlight w:val="none"/>
        </w:rPr>
        <w:t xml:space="preserve"> 投标人一旦参加本项目采购活动，即被认为接受了本招标文件的规定和约束，并且视为自招标公告期限届满之日起知道或应当知道自身权益是否受到了损害。</w:t>
      </w:r>
    </w:p>
    <w:p w14:paraId="44F8455B">
      <w:pPr>
        <w:pStyle w:val="9"/>
        <w:keepNext w:val="0"/>
        <w:keepLines w:val="0"/>
        <w:pageBreakBefore w:val="0"/>
        <w:widowControl w:val="0"/>
        <w:kinsoku/>
        <w:wordWrap w:val="0"/>
        <w:overflowPunct/>
        <w:topLinePunct w:val="0"/>
        <w:bidi w:val="0"/>
        <w:spacing w:before="0" w:after="0" w:line="520" w:lineRule="exact"/>
        <w:ind w:firstLine="315" w:firstLineChars="150"/>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6、招标文件的解释</w:t>
      </w:r>
    </w:p>
    <w:p w14:paraId="3ED9B5F2">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6.1 本招标文件由采购人和采购代理机构负责解释。</w:t>
      </w:r>
    </w:p>
    <w:p w14:paraId="408CF306">
      <w:pPr>
        <w:pStyle w:val="8"/>
        <w:keepNext w:val="0"/>
        <w:keepLines w:val="0"/>
        <w:pageBreakBefore w:val="0"/>
        <w:widowControl w:val="0"/>
        <w:kinsoku/>
        <w:wordWrap w:val="0"/>
        <w:overflowPunct/>
        <w:topLinePunct w:val="0"/>
        <w:bidi w:val="0"/>
        <w:spacing w:before="145" w:beforeLines="50" w:after="145" w:afterLines="50" w:line="520" w:lineRule="exact"/>
        <w:ind w:firstLine="210" w:firstLineChars="100"/>
        <w:rPr>
          <w:rFonts w:hint="default" w:ascii="Times New Roman" w:hAnsi="Times New Roman" w:eastAsia="宋体" w:cs="Times New Roman"/>
          <w:color w:val="auto"/>
          <w:sz w:val="21"/>
          <w:szCs w:val="21"/>
          <w:highlight w:val="none"/>
        </w:rPr>
      </w:pPr>
      <w:bookmarkStart w:id="72" w:name="_Toc27420"/>
      <w:bookmarkStart w:id="73" w:name="_Toc16938525"/>
      <w:bookmarkStart w:id="74" w:name="_Toc20823281"/>
      <w:bookmarkStart w:id="75" w:name="_Toc120614215"/>
      <w:bookmarkStart w:id="76" w:name="_Toc513029209"/>
      <w:r>
        <w:rPr>
          <w:rFonts w:hint="default" w:ascii="Times New Roman" w:hAnsi="Times New Roman" w:eastAsia="宋体" w:cs="Times New Roman"/>
          <w:color w:val="auto"/>
          <w:sz w:val="21"/>
          <w:szCs w:val="21"/>
          <w:highlight w:val="none"/>
        </w:rPr>
        <w:t>二、招标文件</w:t>
      </w:r>
      <w:bookmarkEnd w:id="72"/>
      <w:bookmarkEnd w:id="73"/>
      <w:bookmarkEnd w:id="74"/>
      <w:bookmarkEnd w:id="75"/>
      <w:bookmarkEnd w:id="76"/>
    </w:p>
    <w:p w14:paraId="2EF7D827">
      <w:pPr>
        <w:pStyle w:val="9"/>
        <w:keepNext w:val="0"/>
        <w:keepLines w:val="0"/>
        <w:pageBreakBefore w:val="0"/>
        <w:widowControl w:val="0"/>
        <w:kinsoku/>
        <w:wordWrap w:val="0"/>
        <w:overflowPunct/>
        <w:topLinePunct w:val="0"/>
        <w:bidi w:val="0"/>
        <w:spacing w:before="0" w:after="0" w:line="520" w:lineRule="exact"/>
        <w:ind w:firstLine="315" w:firstLineChars="150"/>
        <w:rPr>
          <w:rFonts w:hint="default" w:ascii="Times New Roman" w:hAnsi="Times New Roman" w:eastAsia="宋体" w:cs="Times New Roman"/>
          <w:b w:val="0"/>
          <w:bCs w:val="0"/>
          <w:color w:val="auto"/>
          <w:sz w:val="21"/>
          <w:szCs w:val="21"/>
          <w:highlight w:val="none"/>
        </w:rPr>
      </w:pPr>
      <w:bookmarkStart w:id="77" w:name="_Toc20823282"/>
      <w:bookmarkStart w:id="78" w:name="_Toc16938526"/>
      <w:bookmarkStart w:id="79" w:name="_Toc513029210"/>
      <w:r>
        <w:rPr>
          <w:rFonts w:hint="default" w:ascii="Times New Roman" w:hAnsi="Times New Roman" w:eastAsia="宋体" w:cs="Times New Roman"/>
          <w:b w:val="0"/>
          <w:bCs w:val="0"/>
          <w:color w:val="auto"/>
          <w:sz w:val="21"/>
          <w:szCs w:val="21"/>
          <w:highlight w:val="none"/>
        </w:rPr>
        <w:t>7、招标文件构成</w:t>
      </w:r>
      <w:bookmarkEnd w:id="77"/>
      <w:bookmarkEnd w:id="78"/>
      <w:bookmarkEnd w:id="79"/>
    </w:p>
    <w:p w14:paraId="424DB790">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Cs/>
          <w:color w:val="auto"/>
          <w:sz w:val="21"/>
          <w:szCs w:val="21"/>
          <w:highlight w:val="none"/>
        </w:rPr>
        <w:t>7.1</w:t>
      </w:r>
      <w:r>
        <w:rPr>
          <w:rFonts w:hint="default" w:ascii="Times New Roman" w:hAnsi="Times New Roman" w:eastAsia="宋体" w:cs="Times New Roman"/>
          <w:color w:val="auto"/>
          <w:sz w:val="21"/>
          <w:szCs w:val="21"/>
          <w:highlight w:val="none"/>
        </w:rPr>
        <w:t xml:space="preserve"> 招标文件有以下部分组成：</w:t>
      </w:r>
    </w:p>
    <w:p w14:paraId="197626B4">
      <w:pPr>
        <w:keepNext w:val="0"/>
        <w:keepLines w:val="0"/>
        <w:pageBreakBefore w:val="0"/>
        <w:widowControl w:val="0"/>
        <w:kinsoku/>
        <w:wordWrap w:val="0"/>
        <w:overflowPunct/>
        <w:topLinePunct w:val="0"/>
        <w:bidi w:val="0"/>
        <w:spacing w:line="520" w:lineRule="exact"/>
        <w:ind w:firstLine="315" w:firstLineChars="15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（1）招标公告</w:t>
      </w:r>
    </w:p>
    <w:p w14:paraId="0D008B9E">
      <w:pPr>
        <w:keepNext w:val="0"/>
        <w:keepLines w:val="0"/>
        <w:pageBreakBefore w:val="0"/>
        <w:widowControl w:val="0"/>
        <w:kinsoku/>
        <w:wordWrap w:val="0"/>
        <w:overflowPunct/>
        <w:topLinePunct w:val="0"/>
        <w:bidi w:val="0"/>
        <w:spacing w:line="520" w:lineRule="exact"/>
        <w:ind w:firstLine="315" w:firstLineChars="15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（2）投标人须知</w:t>
      </w:r>
    </w:p>
    <w:p w14:paraId="63CA693A">
      <w:pPr>
        <w:keepNext w:val="0"/>
        <w:keepLines w:val="0"/>
        <w:pageBreakBefore w:val="0"/>
        <w:widowControl w:val="0"/>
        <w:kinsoku/>
        <w:wordWrap w:val="0"/>
        <w:overflowPunct/>
        <w:topLinePunct w:val="0"/>
        <w:bidi w:val="0"/>
        <w:spacing w:line="520" w:lineRule="exact"/>
        <w:ind w:firstLine="315" w:firstLineChars="15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（3）合同条款及格式</w:t>
      </w:r>
    </w:p>
    <w:p w14:paraId="2E29B8F0">
      <w:pPr>
        <w:keepNext w:val="0"/>
        <w:keepLines w:val="0"/>
        <w:pageBreakBefore w:val="0"/>
        <w:widowControl w:val="0"/>
        <w:kinsoku/>
        <w:wordWrap w:val="0"/>
        <w:overflowPunct/>
        <w:topLinePunct w:val="0"/>
        <w:bidi w:val="0"/>
        <w:spacing w:line="520" w:lineRule="exact"/>
        <w:ind w:firstLine="315" w:firstLineChars="15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（4）项目需求</w:t>
      </w:r>
    </w:p>
    <w:p w14:paraId="433FE892">
      <w:pPr>
        <w:keepNext w:val="0"/>
        <w:keepLines w:val="0"/>
        <w:pageBreakBefore w:val="0"/>
        <w:widowControl w:val="0"/>
        <w:kinsoku/>
        <w:wordWrap w:val="0"/>
        <w:overflowPunct/>
        <w:topLinePunct w:val="0"/>
        <w:bidi w:val="0"/>
        <w:spacing w:line="520" w:lineRule="exact"/>
        <w:ind w:firstLine="315" w:firstLineChars="15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（5）评标方法与评标标准</w:t>
      </w:r>
    </w:p>
    <w:p w14:paraId="78E6EAC9">
      <w:pPr>
        <w:keepNext w:val="0"/>
        <w:keepLines w:val="0"/>
        <w:pageBreakBefore w:val="0"/>
        <w:widowControl w:val="0"/>
        <w:kinsoku/>
        <w:wordWrap w:val="0"/>
        <w:overflowPunct/>
        <w:topLinePunct w:val="0"/>
        <w:bidi w:val="0"/>
        <w:spacing w:line="520" w:lineRule="exact"/>
        <w:ind w:firstLine="315" w:firstLineChars="15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（6）投标文件格式</w:t>
      </w:r>
    </w:p>
    <w:p w14:paraId="1178B0B1">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请仔细检查招标文件是否齐全，如有缺漏请立即与采购人和采购代理机构联系解决。</w:t>
      </w:r>
    </w:p>
    <w:p w14:paraId="6E960788">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Cs/>
          <w:color w:val="auto"/>
          <w:sz w:val="21"/>
          <w:szCs w:val="21"/>
          <w:highlight w:val="none"/>
        </w:rPr>
        <w:t>7.2</w:t>
      </w:r>
      <w:r>
        <w:rPr>
          <w:rFonts w:hint="default" w:ascii="Times New Roman" w:hAnsi="Times New Roman" w:eastAsia="宋体" w:cs="Times New Roman"/>
          <w:color w:val="auto"/>
          <w:sz w:val="21"/>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EAEFA97">
      <w:pPr>
        <w:pStyle w:val="9"/>
        <w:keepNext w:val="0"/>
        <w:keepLines w:val="0"/>
        <w:pageBreakBefore w:val="0"/>
        <w:widowControl w:val="0"/>
        <w:kinsoku/>
        <w:wordWrap w:val="0"/>
        <w:overflowPunct/>
        <w:topLinePunct w:val="0"/>
        <w:bidi w:val="0"/>
        <w:spacing w:before="0" w:after="0" w:line="520" w:lineRule="exact"/>
        <w:ind w:firstLine="315" w:firstLineChars="150"/>
        <w:rPr>
          <w:rFonts w:hint="default" w:ascii="Times New Roman" w:hAnsi="Times New Roman" w:eastAsia="宋体" w:cs="Times New Roman"/>
          <w:b w:val="0"/>
          <w:bCs w:val="0"/>
          <w:color w:val="auto"/>
          <w:sz w:val="21"/>
          <w:szCs w:val="21"/>
          <w:highlight w:val="none"/>
        </w:rPr>
      </w:pPr>
      <w:bookmarkStart w:id="80" w:name="_Toc20823283"/>
      <w:bookmarkStart w:id="81" w:name="_Toc16938527"/>
      <w:bookmarkStart w:id="82" w:name="_Toc462564070"/>
      <w:bookmarkStart w:id="83" w:name="_Toc513029211"/>
      <w:r>
        <w:rPr>
          <w:rFonts w:hint="default" w:ascii="Times New Roman" w:hAnsi="Times New Roman" w:eastAsia="宋体" w:cs="Times New Roman"/>
          <w:b w:val="0"/>
          <w:bCs w:val="0"/>
          <w:color w:val="auto"/>
          <w:sz w:val="21"/>
          <w:szCs w:val="21"/>
          <w:highlight w:val="none"/>
        </w:rPr>
        <w:t>8、招标文件的</w:t>
      </w:r>
      <w:bookmarkEnd w:id="80"/>
      <w:bookmarkEnd w:id="81"/>
      <w:bookmarkEnd w:id="82"/>
      <w:bookmarkEnd w:id="83"/>
      <w:r>
        <w:rPr>
          <w:rFonts w:hint="default" w:ascii="Times New Roman" w:hAnsi="Times New Roman" w:eastAsia="宋体" w:cs="Times New Roman"/>
          <w:b w:val="0"/>
          <w:bCs w:val="0"/>
          <w:color w:val="auto"/>
          <w:sz w:val="21"/>
          <w:szCs w:val="21"/>
          <w:highlight w:val="none"/>
        </w:rPr>
        <w:t>询问</w:t>
      </w:r>
    </w:p>
    <w:p w14:paraId="34915D84">
      <w:pPr>
        <w:keepNext w:val="0"/>
        <w:keepLines w:val="0"/>
        <w:pageBreakBefore w:val="0"/>
        <w:widowControl w:val="0"/>
        <w:kinsoku/>
        <w:wordWrap w:val="0"/>
        <w:overflowPunct/>
        <w:topLinePunct w:val="0"/>
        <w:bidi w:val="0"/>
        <w:spacing w:line="520" w:lineRule="exact"/>
        <w:ind w:firstLine="422" w:firstLineChars="200"/>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8.1 任何要求对招标文件进行询问的投标人，应在投标截止日期</w:t>
      </w:r>
      <w:r>
        <w:rPr>
          <w:rFonts w:hint="default" w:ascii="Times New Roman" w:hAnsi="Times New Roman" w:eastAsia="宋体" w:cs="Times New Roman"/>
          <w:b/>
          <w:color w:val="auto"/>
          <w:sz w:val="21"/>
          <w:szCs w:val="21"/>
          <w:highlight w:val="none"/>
          <w:u w:val="none"/>
        </w:rPr>
        <w:t>十日前</w:t>
      </w:r>
      <w:r>
        <w:rPr>
          <w:rFonts w:hint="default" w:ascii="Times New Roman" w:hAnsi="Times New Roman" w:eastAsia="宋体" w:cs="Times New Roman"/>
          <w:b/>
          <w:color w:val="auto"/>
          <w:sz w:val="21"/>
          <w:szCs w:val="21"/>
          <w:highlight w:val="none"/>
        </w:rPr>
        <w:t>按招标公告中的通讯地址，向采购人或采购代理机构提出。</w:t>
      </w:r>
    </w:p>
    <w:p w14:paraId="17BFFC33">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8.2 在对招标文件进行质疑之前，投标人应当先行通过询问方式向采购人或采购代理机构提出疑问。</w:t>
      </w:r>
    </w:p>
    <w:p w14:paraId="7B083D96">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8.3 本项目采购人和采购代理机构不负责答复针对</w:t>
      </w:r>
      <w:r>
        <w:rPr>
          <w:rFonts w:hint="eastAsia" w:ascii="Times New Roman" w:hAnsi="Times New Roman" w:eastAsia="宋体" w:cs="Times New Roman"/>
          <w:bCs/>
          <w:color w:val="auto"/>
          <w:sz w:val="21"/>
          <w:szCs w:val="21"/>
          <w:highlight w:val="none"/>
          <w:lang w:eastAsia="zh-CN"/>
        </w:rPr>
        <w:t>苏采云</w:t>
      </w:r>
      <w:r>
        <w:rPr>
          <w:rFonts w:hint="default" w:ascii="Times New Roman" w:hAnsi="Times New Roman" w:eastAsia="宋体" w:cs="Times New Roman"/>
          <w:bCs/>
          <w:color w:val="auto"/>
          <w:sz w:val="21"/>
          <w:szCs w:val="21"/>
          <w:highlight w:val="none"/>
        </w:rPr>
        <w:t>系统有关的问题，投标人应自行联系系统开发公司。</w:t>
      </w:r>
    </w:p>
    <w:p w14:paraId="21E4C6BC">
      <w:pPr>
        <w:pStyle w:val="9"/>
        <w:keepNext w:val="0"/>
        <w:keepLines w:val="0"/>
        <w:pageBreakBefore w:val="0"/>
        <w:widowControl w:val="0"/>
        <w:kinsoku/>
        <w:wordWrap w:val="0"/>
        <w:overflowPunct/>
        <w:topLinePunct w:val="0"/>
        <w:bidi w:val="0"/>
        <w:spacing w:before="0" w:after="0" w:line="520" w:lineRule="exact"/>
        <w:ind w:firstLine="315" w:firstLineChars="150"/>
        <w:rPr>
          <w:rFonts w:hint="default" w:ascii="Times New Roman" w:hAnsi="Times New Roman" w:eastAsia="宋体" w:cs="Times New Roman"/>
          <w:b w:val="0"/>
          <w:bCs w:val="0"/>
          <w:color w:val="auto"/>
          <w:sz w:val="21"/>
          <w:szCs w:val="21"/>
          <w:highlight w:val="none"/>
        </w:rPr>
      </w:pPr>
      <w:bookmarkStart w:id="84" w:name="_Toc513029212"/>
      <w:bookmarkStart w:id="85" w:name="_Toc16938528"/>
      <w:bookmarkStart w:id="86" w:name="_Toc20823284"/>
      <w:bookmarkStart w:id="87" w:name="_Toc462564071"/>
      <w:r>
        <w:rPr>
          <w:rFonts w:hint="default" w:ascii="Times New Roman" w:hAnsi="Times New Roman" w:eastAsia="宋体" w:cs="Times New Roman"/>
          <w:b w:val="0"/>
          <w:bCs w:val="0"/>
          <w:color w:val="auto"/>
          <w:sz w:val="21"/>
          <w:szCs w:val="21"/>
          <w:highlight w:val="none"/>
        </w:rPr>
        <w:t>9、招标文件的修改</w:t>
      </w:r>
      <w:bookmarkEnd w:id="84"/>
      <w:bookmarkEnd w:id="85"/>
      <w:bookmarkEnd w:id="86"/>
      <w:bookmarkEnd w:id="87"/>
    </w:p>
    <w:p w14:paraId="63BEB41D">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Cs/>
          <w:color w:val="auto"/>
          <w:sz w:val="21"/>
          <w:szCs w:val="21"/>
          <w:highlight w:val="none"/>
        </w:rPr>
        <w:t>9.1</w:t>
      </w:r>
      <w:r>
        <w:rPr>
          <w:rFonts w:hint="default" w:ascii="Times New Roman" w:hAnsi="Times New Roman" w:eastAsia="宋体" w:cs="Times New Roman"/>
          <w:color w:val="auto"/>
          <w:sz w:val="21"/>
          <w:szCs w:val="21"/>
          <w:highlight w:val="none"/>
        </w:rPr>
        <w:t xml:space="preserve"> 在投标截止时间前，采购人和采购代理机构可以对招标文件进行修改。</w:t>
      </w:r>
    </w:p>
    <w:p w14:paraId="2DE81E68">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Cs/>
          <w:color w:val="auto"/>
          <w:sz w:val="21"/>
          <w:szCs w:val="21"/>
          <w:highlight w:val="none"/>
        </w:rPr>
        <w:t>9.2</w:t>
      </w:r>
      <w:r>
        <w:rPr>
          <w:rFonts w:hint="default" w:ascii="Times New Roman" w:hAnsi="Times New Roman" w:eastAsia="宋体" w:cs="Times New Roman"/>
          <w:color w:val="auto"/>
          <w:sz w:val="21"/>
          <w:szCs w:val="21"/>
          <w:highlight w:val="none"/>
        </w:rPr>
        <w:t>采购人和采购代理机构有权依法推迟投标截止日期和开标日期。</w:t>
      </w:r>
    </w:p>
    <w:p w14:paraId="0C778358">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Cs/>
          <w:color w:val="auto"/>
          <w:sz w:val="21"/>
          <w:szCs w:val="21"/>
          <w:highlight w:val="none"/>
        </w:rPr>
        <w:t>9.3</w:t>
      </w:r>
      <w:r>
        <w:rPr>
          <w:rFonts w:hint="default" w:ascii="Times New Roman" w:hAnsi="Times New Roman" w:eastAsia="宋体" w:cs="Times New Roman"/>
          <w:color w:val="auto"/>
          <w:sz w:val="21"/>
          <w:szCs w:val="21"/>
          <w:highlight w:val="none"/>
        </w:rPr>
        <w:t>招标文件的修改将在本文件载明的发布网站公布，补充文件将作为招标文件的组成部分，并对投标人具有约束力。</w:t>
      </w:r>
    </w:p>
    <w:p w14:paraId="341A0C2D">
      <w:pPr>
        <w:pStyle w:val="8"/>
        <w:keepNext w:val="0"/>
        <w:keepLines w:val="0"/>
        <w:pageBreakBefore w:val="0"/>
        <w:widowControl w:val="0"/>
        <w:kinsoku/>
        <w:wordWrap w:val="0"/>
        <w:overflowPunct/>
        <w:topLinePunct w:val="0"/>
        <w:bidi w:val="0"/>
        <w:spacing w:before="145" w:beforeLines="50" w:after="145" w:afterLines="50" w:line="520" w:lineRule="exact"/>
        <w:ind w:firstLine="210" w:firstLineChars="100"/>
        <w:rPr>
          <w:rFonts w:hint="default" w:ascii="Times New Roman" w:hAnsi="Times New Roman" w:eastAsia="宋体" w:cs="Times New Roman"/>
          <w:color w:val="auto"/>
          <w:sz w:val="21"/>
          <w:szCs w:val="21"/>
          <w:highlight w:val="none"/>
        </w:rPr>
      </w:pPr>
      <w:bookmarkStart w:id="88" w:name="_Toc120614216"/>
      <w:bookmarkStart w:id="89" w:name="_Toc16938529"/>
      <w:bookmarkStart w:id="90" w:name="_Toc462564072"/>
      <w:bookmarkStart w:id="91" w:name="_Toc20823285"/>
      <w:bookmarkStart w:id="92" w:name="_Toc26020"/>
      <w:bookmarkStart w:id="93" w:name="_Toc513029213"/>
      <w:r>
        <w:rPr>
          <w:rFonts w:hint="default" w:ascii="Times New Roman" w:hAnsi="Times New Roman" w:eastAsia="宋体" w:cs="Times New Roman"/>
          <w:color w:val="auto"/>
          <w:sz w:val="21"/>
          <w:szCs w:val="21"/>
          <w:highlight w:val="none"/>
        </w:rPr>
        <w:t>三、投标文件的编制</w:t>
      </w:r>
      <w:bookmarkEnd w:id="88"/>
      <w:bookmarkEnd w:id="89"/>
      <w:bookmarkEnd w:id="90"/>
      <w:bookmarkEnd w:id="91"/>
      <w:bookmarkEnd w:id="92"/>
      <w:bookmarkEnd w:id="93"/>
    </w:p>
    <w:p w14:paraId="281742F6">
      <w:pPr>
        <w:pStyle w:val="9"/>
        <w:keepNext w:val="0"/>
        <w:keepLines w:val="0"/>
        <w:pageBreakBefore w:val="0"/>
        <w:widowControl w:val="0"/>
        <w:kinsoku/>
        <w:wordWrap w:val="0"/>
        <w:overflowPunct/>
        <w:topLinePunct w:val="0"/>
        <w:bidi w:val="0"/>
        <w:spacing w:before="0" w:after="0" w:line="520" w:lineRule="exact"/>
        <w:ind w:firstLine="315" w:firstLineChars="150"/>
        <w:rPr>
          <w:rFonts w:hint="default" w:ascii="Times New Roman" w:hAnsi="Times New Roman" w:eastAsia="宋体" w:cs="Times New Roman"/>
          <w:bCs w:val="0"/>
          <w:color w:val="auto"/>
          <w:sz w:val="21"/>
          <w:szCs w:val="21"/>
          <w:highlight w:val="none"/>
        </w:rPr>
      </w:pPr>
      <w:bookmarkStart w:id="94" w:name="_Toc513029214"/>
      <w:bookmarkStart w:id="95" w:name="_Toc462564073"/>
      <w:bookmarkStart w:id="96" w:name="_Toc20823286"/>
      <w:bookmarkStart w:id="97" w:name="_Toc16938530"/>
      <w:r>
        <w:rPr>
          <w:rFonts w:hint="default" w:ascii="Times New Roman" w:hAnsi="Times New Roman" w:eastAsia="宋体" w:cs="Times New Roman"/>
          <w:b w:val="0"/>
          <w:bCs w:val="0"/>
          <w:color w:val="auto"/>
          <w:sz w:val="21"/>
          <w:szCs w:val="21"/>
          <w:highlight w:val="none"/>
        </w:rPr>
        <w:t>10、投标文件的语言及度量衡单位</w:t>
      </w:r>
      <w:bookmarkEnd w:id="94"/>
      <w:bookmarkEnd w:id="95"/>
      <w:bookmarkEnd w:id="96"/>
      <w:bookmarkEnd w:id="97"/>
    </w:p>
    <w:p w14:paraId="2E7E7395">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Cs/>
          <w:color w:val="auto"/>
          <w:sz w:val="21"/>
          <w:szCs w:val="21"/>
          <w:highlight w:val="none"/>
        </w:rPr>
        <w:t>10.1</w:t>
      </w:r>
      <w:r>
        <w:rPr>
          <w:rFonts w:hint="default" w:ascii="Times New Roman" w:hAnsi="Times New Roman" w:eastAsia="宋体" w:cs="Times New Roman"/>
          <w:color w:val="auto"/>
          <w:sz w:val="21"/>
          <w:szCs w:val="21"/>
          <w:highlight w:val="none"/>
        </w:rPr>
        <w:t xml:space="preserve"> 投标人提交的投标文件以及投标人与采购人、采购代理机构就有关投标的所有来往通知、函件和文件均应使用</w:t>
      </w:r>
      <w:r>
        <w:rPr>
          <w:rFonts w:hint="default" w:ascii="Times New Roman" w:hAnsi="Times New Roman" w:eastAsia="宋体" w:cs="Times New Roman"/>
          <w:b/>
          <w:bCs/>
          <w:color w:val="auto"/>
          <w:sz w:val="21"/>
          <w:szCs w:val="21"/>
          <w:highlight w:val="none"/>
        </w:rPr>
        <w:t>简体中文</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b/>
          <w:bCs/>
          <w:color w:val="auto"/>
          <w:sz w:val="21"/>
          <w:szCs w:val="21"/>
          <w:highlight w:val="none"/>
        </w:rPr>
        <w:t>如投标文件中包含外文内容的，应主动提供简体中文译本。</w:t>
      </w:r>
    </w:p>
    <w:p w14:paraId="32182557">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Cs/>
          <w:color w:val="auto"/>
          <w:sz w:val="21"/>
          <w:szCs w:val="21"/>
          <w:highlight w:val="none"/>
        </w:rPr>
        <w:t>10.2</w:t>
      </w:r>
      <w:r>
        <w:rPr>
          <w:rFonts w:hint="default" w:ascii="Times New Roman" w:hAnsi="Times New Roman" w:eastAsia="宋体" w:cs="Times New Roman"/>
          <w:color w:val="auto"/>
          <w:sz w:val="21"/>
          <w:szCs w:val="21"/>
          <w:highlight w:val="none"/>
        </w:rPr>
        <w:t xml:space="preserve"> 除技术性能另有规定外，投标文件所使用的度量衡单位，均须采用国家法定计量单位。</w:t>
      </w:r>
    </w:p>
    <w:p w14:paraId="41CD8CBE">
      <w:pPr>
        <w:pStyle w:val="9"/>
        <w:keepNext w:val="0"/>
        <w:keepLines w:val="0"/>
        <w:pageBreakBefore w:val="0"/>
        <w:widowControl w:val="0"/>
        <w:kinsoku/>
        <w:wordWrap w:val="0"/>
        <w:overflowPunct/>
        <w:topLinePunct w:val="0"/>
        <w:bidi w:val="0"/>
        <w:spacing w:before="0" w:after="0" w:line="520" w:lineRule="exact"/>
        <w:ind w:firstLine="315" w:firstLineChars="150"/>
        <w:rPr>
          <w:rFonts w:hint="default" w:ascii="Times New Roman" w:hAnsi="Times New Roman" w:eastAsia="宋体" w:cs="Times New Roman"/>
          <w:b w:val="0"/>
          <w:bCs w:val="0"/>
          <w:color w:val="auto"/>
          <w:sz w:val="21"/>
          <w:szCs w:val="21"/>
          <w:highlight w:val="none"/>
        </w:rPr>
      </w:pPr>
      <w:bookmarkStart w:id="98" w:name="_Toc462564074"/>
      <w:bookmarkStart w:id="99" w:name="_Toc20823287"/>
      <w:bookmarkStart w:id="100" w:name="_Toc16938531"/>
      <w:bookmarkStart w:id="101" w:name="_Toc513029215"/>
      <w:r>
        <w:rPr>
          <w:rFonts w:hint="default" w:ascii="Times New Roman" w:hAnsi="Times New Roman" w:eastAsia="宋体" w:cs="Times New Roman"/>
          <w:b w:val="0"/>
          <w:bCs w:val="0"/>
          <w:color w:val="auto"/>
          <w:sz w:val="21"/>
          <w:szCs w:val="21"/>
          <w:highlight w:val="none"/>
        </w:rPr>
        <w:t>11、投标文件构成</w:t>
      </w:r>
      <w:bookmarkEnd w:id="98"/>
      <w:bookmarkEnd w:id="99"/>
      <w:bookmarkEnd w:id="100"/>
      <w:bookmarkEnd w:id="101"/>
    </w:p>
    <w:p w14:paraId="4CFA89AA">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Cs/>
          <w:color w:val="auto"/>
          <w:sz w:val="21"/>
          <w:szCs w:val="21"/>
          <w:highlight w:val="none"/>
        </w:rPr>
        <w:t>11.1</w:t>
      </w:r>
      <w:r>
        <w:rPr>
          <w:rFonts w:hint="default" w:ascii="Times New Roman" w:hAnsi="Times New Roman" w:eastAsia="宋体" w:cs="Times New Roman"/>
          <w:color w:val="auto"/>
          <w:sz w:val="21"/>
          <w:szCs w:val="21"/>
          <w:highlight w:val="none"/>
        </w:rPr>
        <w:t xml:space="preserve"> 投标人编写的投标文件应包括资信证明文件、投标配置与分项报价表、供货一览表、技术参数响应及偏离表、商务条款响应及偏离表、技术及售后服务承诺书、投标函、开标一览表等部分；</w:t>
      </w:r>
    </w:p>
    <w:p w14:paraId="765DA1F6">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11.2</w:t>
      </w:r>
      <w:r>
        <w:rPr>
          <w:rFonts w:hint="default" w:ascii="Times New Roman" w:hAnsi="Times New Roman" w:eastAsia="宋体" w:cs="Times New Roman"/>
          <w:b/>
          <w:color w:val="auto"/>
          <w:sz w:val="21"/>
          <w:szCs w:val="21"/>
          <w:highlight w:val="none"/>
        </w:rPr>
        <w:t xml:space="preserve"> </w:t>
      </w:r>
      <w:r>
        <w:rPr>
          <w:rFonts w:hint="default" w:ascii="Times New Roman" w:hAnsi="Times New Roman" w:eastAsia="宋体" w:cs="Times New Roman"/>
          <w:color w:val="auto"/>
          <w:sz w:val="21"/>
          <w:szCs w:val="21"/>
          <w:highlight w:val="none"/>
        </w:rPr>
        <w:t>投标人应将投标文件按顺序装订成册，并编制投标文件资料目录。</w:t>
      </w:r>
    </w:p>
    <w:p w14:paraId="4B71A2F9">
      <w:pPr>
        <w:pStyle w:val="248"/>
        <w:keepNext w:val="0"/>
        <w:keepLines w:val="0"/>
        <w:pageBreakBefore w:val="0"/>
        <w:widowControl w:val="0"/>
        <w:kinsoku/>
        <w:wordWrap w:val="0"/>
        <w:overflowPunct/>
        <w:topLinePunct w:val="0"/>
        <w:bidi w:val="0"/>
        <w:spacing w:line="52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11.3投标文件一般包括如下内容：</w:t>
      </w:r>
    </w:p>
    <w:tbl>
      <w:tblPr>
        <w:tblStyle w:val="38"/>
        <w:tblW w:w="4886" w:type="pct"/>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top w:w="0" w:type="dxa"/>
          <w:left w:w="108" w:type="dxa"/>
          <w:bottom w:w="0" w:type="dxa"/>
          <w:right w:w="108" w:type="dxa"/>
        </w:tblCellMar>
      </w:tblPr>
      <w:tblGrid>
        <w:gridCol w:w="1045"/>
        <w:gridCol w:w="866"/>
        <w:gridCol w:w="3540"/>
        <w:gridCol w:w="1579"/>
        <w:gridCol w:w="2699"/>
        <w:gridCol w:w="6"/>
      </w:tblGrid>
      <w:tr w14:paraId="3C33912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gridAfter w:val="1"/>
          <w:wAfter w:w="5" w:type="dxa"/>
          <w:trHeight w:val="308" w:hRule="atLeast"/>
          <w:tblHeader/>
          <w:jc w:val="center"/>
        </w:trPr>
        <w:tc>
          <w:tcPr>
            <w:tcW w:w="537" w:type="pct"/>
            <w:shd w:val="clear" w:color="auto" w:fill="F1F1F1"/>
            <w:noWrap/>
            <w:vAlign w:val="center"/>
          </w:tcPr>
          <w:p w14:paraId="6B04C1AF">
            <w:pPr>
              <w:keepNext w:val="0"/>
              <w:keepLines w:val="0"/>
              <w:pageBreakBefore w:val="0"/>
              <w:widowControl w:val="0"/>
              <w:kinsoku/>
              <w:wordWrap w:val="0"/>
              <w:overflowPunct/>
              <w:topLinePunct w:val="0"/>
              <w:bidi w:val="0"/>
              <w:spacing w:line="288" w:lineRule="auto"/>
              <w:jc w:val="center"/>
              <w:textAlignment w:val="center"/>
              <w:rPr>
                <w:rFonts w:hint="default" w:ascii="Times New Roman" w:hAnsi="Times New Roman" w:eastAsia="宋体" w:cs="Times New Roman"/>
                <w:color w:val="auto"/>
                <w:sz w:val="21"/>
                <w:szCs w:val="21"/>
                <w:highlight w:val="none"/>
              </w:rPr>
            </w:pPr>
            <w:bookmarkStart w:id="102" w:name="_Hlt26670360"/>
            <w:bookmarkEnd w:id="102"/>
            <w:bookmarkStart w:id="103" w:name="_Hlt26954838"/>
            <w:bookmarkEnd w:id="103"/>
            <w:bookmarkStart w:id="104" w:name="_Hlt26668975"/>
            <w:bookmarkEnd w:id="104"/>
            <w:bookmarkStart w:id="105" w:name="_Toc513029219"/>
            <w:bookmarkStart w:id="106" w:name="_Toc14577357"/>
            <w:bookmarkStart w:id="107" w:name="_Toc49090509"/>
            <w:bookmarkStart w:id="108" w:name="_Toc513029216"/>
            <w:bookmarkStart w:id="109" w:name="_Toc14577354"/>
            <w:bookmarkStart w:id="110" w:name="_Toc49090507"/>
            <w:r>
              <w:rPr>
                <w:rFonts w:hint="default" w:ascii="Times New Roman" w:hAnsi="Times New Roman" w:eastAsia="宋体" w:cs="Times New Roman"/>
                <w:color w:val="auto"/>
                <w:kern w:val="0"/>
                <w:sz w:val="21"/>
                <w:szCs w:val="21"/>
                <w:highlight w:val="none"/>
                <w:lang w:bidi="ar"/>
              </w:rPr>
              <w:t>组成项</w:t>
            </w:r>
          </w:p>
        </w:tc>
        <w:tc>
          <w:tcPr>
            <w:tcW w:w="445" w:type="pct"/>
            <w:shd w:val="clear" w:color="auto" w:fill="F1F1F1"/>
            <w:noWrap/>
            <w:vAlign w:val="center"/>
          </w:tcPr>
          <w:p w14:paraId="244889DF">
            <w:pPr>
              <w:keepNext w:val="0"/>
              <w:keepLines w:val="0"/>
              <w:pageBreakBefore w:val="0"/>
              <w:widowControl w:val="0"/>
              <w:kinsoku/>
              <w:wordWrap w:val="0"/>
              <w:overflowPunct/>
              <w:topLinePunct w:val="0"/>
              <w:bidi w:val="0"/>
              <w:spacing w:line="288" w:lineRule="auto"/>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序号</w:t>
            </w:r>
          </w:p>
        </w:tc>
        <w:tc>
          <w:tcPr>
            <w:tcW w:w="1818" w:type="pct"/>
            <w:shd w:val="clear" w:color="auto" w:fill="F1F1F1"/>
            <w:noWrap w:val="0"/>
            <w:vAlign w:val="center"/>
          </w:tcPr>
          <w:p w14:paraId="394F282F">
            <w:pPr>
              <w:keepNext w:val="0"/>
              <w:keepLines w:val="0"/>
              <w:pageBreakBefore w:val="0"/>
              <w:widowControl w:val="0"/>
              <w:kinsoku/>
              <w:wordWrap w:val="0"/>
              <w:overflowPunct/>
              <w:topLinePunct w:val="0"/>
              <w:bidi w:val="0"/>
              <w:spacing w:line="288" w:lineRule="auto"/>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文件内容</w:t>
            </w:r>
          </w:p>
        </w:tc>
        <w:tc>
          <w:tcPr>
            <w:tcW w:w="811" w:type="pct"/>
            <w:shd w:val="clear" w:color="auto" w:fill="F1F1F1"/>
            <w:noWrap w:val="0"/>
            <w:vAlign w:val="center"/>
          </w:tcPr>
          <w:p w14:paraId="3B3F46B0">
            <w:pPr>
              <w:keepNext w:val="0"/>
              <w:keepLines w:val="0"/>
              <w:pageBreakBefore w:val="0"/>
              <w:widowControl w:val="0"/>
              <w:kinsoku/>
              <w:wordWrap w:val="0"/>
              <w:overflowPunct/>
              <w:topLinePunct w:val="0"/>
              <w:bidi w:val="0"/>
              <w:spacing w:line="288" w:lineRule="auto"/>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格式要求</w:t>
            </w:r>
          </w:p>
        </w:tc>
        <w:tc>
          <w:tcPr>
            <w:tcW w:w="1386" w:type="pct"/>
            <w:shd w:val="clear" w:color="auto" w:fill="F1F1F1"/>
            <w:noWrap/>
            <w:vAlign w:val="center"/>
          </w:tcPr>
          <w:p w14:paraId="1BEF531B">
            <w:pPr>
              <w:keepNext w:val="0"/>
              <w:keepLines w:val="0"/>
              <w:pageBreakBefore w:val="0"/>
              <w:widowControl w:val="0"/>
              <w:kinsoku/>
              <w:wordWrap w:val="0"/>
              <w:overflowPunct/>
              <w:topLinePunct w:val="0"/>
              <w:bidi w:val="0"/>
              <w:spacing w:line="288" w:lineRule="auto"/>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备注说明</w:t>
            </w:r>
          </w:p>
        </w:tc>
      </w:tr>
      <w:tr w14:paraId="70BA161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gridAfter w:val="1"/>
          <w:wAfter w:w="5" w:type="dxa"/>
          <w:trHeight w:val="401" w:hRule="atLeast"/>
          <w:jc w:val="center"/>
        </w:trPr>
        <w:tc>
          <w:tcPr>
            <w:tcW w:w="537" w:type="pct"/>
            <w:vMerge w:val="restart"/>
            <w:noWrap w:val="0"/>
            <w:vAlign w:val="center"/>
          </w:tcPr>
          <w:p w14:paraId="15ECDE4D">
            <w:pPr>
              <w:keepNext w:val="0"/>
              <w:keepLines w:val="0"/>
              <w:pageBreakBefore w:val="0"/>
              <w:widowControl w:val="0"/>
              <w:kinsoku/>
              <w:wordWrap w:val="0"/>
              <w:overflowPunct/>
              <w:topLinePunct w:val="0"/>
              <w:bidi w:val="0"/>
              <w:spacing w:line="288" w:lineRule="auto"/>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投标主要文件材料</w:t>
            </w:r>
          </w:p>
        </w:tc>
        <w:tc>
          <w:tcPr>
            <w:tcW w:w="445" w:type="pct"/>
            <w:noWrap/>
            <w:vAlign w:val="center"/>
          </w:tcPr>
          <w:p w14:paraId="0E8BE793">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1.1</w:t>
            </w:r>
          </w:p>
        </w:tc>
        <w:tc>
          <w:tcPr>
            <w:tcW w:w="1818" w:type="pct"/>
            <w:noWrap/>
            <w:vAlign w:val="center"/>
          </w:tcPr>
          <w:p w14:paraId="61D757BD">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开标一览表</w:t>
            </w:r>
          </w:p>
        </w:tc>
        <w:tc>
          <w:tcPr>
            <w:tcW w:w="811" w:type="pct"/>
            <w:noWrap/>
            <w:vAlign w:val="center"/>
          </w:tcPr>
          <w:p w14:paraId="38FEC265">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格式附后</w:t>
            </w:r>
          </w:p>
        </w:tc>
        <w:tc>
          <w:tcPr>
            <w:tcW w:w="1386" w:type="pct"/>
            <w:noWrap w:val="0"/>
            <w:vAlign w:val="center"/>
          </w:tcPr>
          <w:p w14:paraId="4F37AB63">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kern w:val="0"/>
                <w:sz w:val="21"/>
                <w:szCs w:val="21"/>
                <w:highlight w:val="none"/>
                <w:lang w:val="en-US" w:eastAsia="zh-CN" w:bidi="ar"/>
              </w:rPr>
              <w:t>/</w:t>
            </w:r>
          </w:p>
        </w:tc>
      </w:tr>
      <w:tr w14:paraId="6214724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gridAfter w:val="1"/>
          <w:wAfter w:w="5" w:type="dxa"/>
          <w:trHeight w:val="207" w:hRule="atLeast"/>
          <w:jc w:val="center"/>
        </w:trPr>
        <w:tc>
          <w:tcPr>
            <w:tcW w:w="537" w:type="pct"/>
            <w:vMerge w:val="continue"/>
            <w:noWrap w:val="0"/>
            <w:vAlign w:val="center"/>
          </w:tcPr>
          <w:p w14:paraId="15280EC1">
            <w:pPr>
              <w:keepNext w:val="0"/>
              <w:keepLines w:val="0"/>
              <w:pageBreakBefore w:val="0"/>
              <w:widowControl w:val="0"/>
              <w:kinsoku/>
              <w:wordWrap w:val="0"/>
              <w:overflowPunct/>
              <w:topLinePunct w:val="0"/>
              <w:bidi w:val="0"/>
              <w:spacing w:line="288" w:lineRule="auto"/>
              <w:jc w:val="center"/>
              <w:rPr>
                <w:rFonts w:hint="default" w:ascii="Times New Roman" w:hAnsi="Times New Roman" w:eastAsia="宋体" w:cs="Times New Roman"/>
                <w:color w:val="auto"/>
                <w:sz w:val="21"/>
                <w:szCs w:val="21"/>
                <w:highlight w:val="none"/>
              </w:rPr>
            </w:pPr>
          </w:p>
        </w:tc>
        <w:tc>
          <w:tcPr>
            <w:tcW w:w="445" w:type="pct"/>
            <w:noWrap/>
            <w:vAlign w:val="center"/>
          </w:tcPr>
          <w:p w14:paraId="7E2123C1">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1.2</w:t>
            </w:r>
          </w:p>
        </w:tc>
        <w:tc>
          <w:tcPr>
            <w:tcW w:w="1818" w:type="pct"/>
            <w:noWrap w:val="0"/>
            <w:vAlign w:val="center"/>
          </w:tcPr>
          <w:p w14:paraId="4A9E192C">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投标文件封面</w:t>
            </w:r>
          </w:p>
        </w:tc>
        <w:tc>
          <w:tcPr>
            <w:tcW w:w="811" w:type="pct"/>
            <w:noWrap w:val="0"/>
            <w:vAlign w:val="center"/>
          </w:tcPr>
          <w:p w14:paraId="3735D3BD">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格式附后</w:t>
            </w:r>
          </w:p>
        </w:tc>
        <w:tc>
          <w:tcPr>
            <w:tcW w:w="1386" w:type="pct"/>
            <w:noWrap w:val="0"/>
            <w:vAlign w:val="center"/>
          </w:tcPr>
          <w:p w14:paraId="2B008F6E">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w:t>
            </w:r>
          </w:p>
        </w:tc>
      </w:tr>
      <w:tr w14:paraId="1473868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gridAfter w:val="1"/>
          <w:wAfter w:w="5" w:type="dxa"/>
          <w:trHeight w:val="207" w:hRule="atLeast"/>
          <w:jc w:val="center"/>
        </w:trPr>
        <w:tc>
          <w:tcPr>
            <w:tcW w:w="537" w:type="pct"/>
            <w:vMerge w:val="continue"/>
            <w:noWrap w:val="0"/>
            <w:vAlign w:val="center"/>
          </w:tcPr>
          <w:p w14:paraId="1EE08E38">
            <w:pPr>
              <w:keepNext w:val="0"/>
              <w:keepLines w:val="0"/>
              <w:pageBreakBefore w:val="0"/>
              <w:widowControl w:val="0"/>
              <w:kinsoku/>
              <w:wordWrap w:val="0"/>
              <w:overflowPunct/>
              <w:topLinePunct w:val="0"/>
              <w:bidi w:val="0"/>
              <w:spacing w:line="288" w:lineRule="auto"/>
              <w:jc w:val="center"/>
              <w:rPr>
                <w:rFonts w:hint="default" w:ascii="Times New Roman" w:hAnsi="Times New Roman" w:eastAsia="宋体" w:cs="Times New Roman"/>
                <w:color w:val="auto"/>
                <w:sz w:val="21"/>
                <w:szCs w:val="21"/>
                <w:highlight w:val="none"/>
              </w:rPr>
            </w:pPr>
          </w:p>
        </w:tc>
        <w:tc>
          <w:tcPr>
            <w:tcW w:w="445" w:type="pct"/>
            <w:noWrap/>
            <w:vAlign w:val="center"/>
          </w:tcPr>
          <w:p w14:paraId="73785767">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1.3</w:t>
            </w:r>
          </w:p>
        </w:tc>
        <w:tc>
          <w:tcPr>
            <w:tcW w:w="1818" w:type="pct"/>
            <w:noWrap w:val="0"/>
            <w:vAlign w:val="center"/>
          </w:tcPr>
          <w:p w14:paraId="1A6543C0">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评分索引表</w:t>
            </w:r>
          </w:p>
        </w:tc>
        <w:tc>
          <w:tcPr>
            <w:tcW w:w="811" w:type="pct"/>
            <w:noWrap w:val="0"/>
            <w:vAlign w:val="center"/>
          </w:tcPr>
          <w:p w14:paraId="6AE60AD1">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格式附后</w:t>
            </w:r>
          </w:p>
        </w:tc>
        <w:tc>
          <w:tcPr>
            <w:tcW w:w="1386" w:type="pct"/>
            <w:noWrap w:val="0"/>
            <w:vAlign w:val="center"/>
          </w:tcPr>
          <w:p w14:paraId="696EC62F">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kern w:val="0"/>
                <w:sz w:val="21"/>
                <w:szCs w:val="21"/>
                <w:highlight w:val="none"/>
                <w:lang w:val="en-US" w:eastAsia="zh-CN" w:bidi="ar"/>
              </w:rPr>
              <w:t>/</w:t>
            </w:r>
          </w:p>
        </w:tc>
      </w:tr>
      <w:tr w14:paraId="03C6EE3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gridAfter w:val="1"/>
          <w:wAfter w:w="5" w:type="dxa"/>
          <w:trHeight w:val="596" w:hRule="atLeast"/>
          <w:jc w:val="center"/>
        </w:trPr>
        <w:tc>
          <w:tcPr>
            <w:tcW w:w="537" w:type="pct"/>
            <w:vMerge w:val="continue"/>
            <w:noWrap w:val="0"/>
            <w:vAlign w:val="center"/>
          </w:tcPr>
          <w:p w14:paraId="17BE6524">
            <w:pPr>
              <w:keepNext w:val="0"/>
              <w:keepLines w:val="0"/>
              <w:pageBreakBefore w:val="0"/>
              <w:widowControl w:val="0"/>
              <w:kinsoku/>
              <w:wordWrap w:val="0"/>
              <w:overflowPunct/>
              <w:topLinePunct w:val="0"/>
              <w:bidi w:val="0"/>
              <w:spacing w:line="288" w:lineRule="auto"/>
              <w:jc w:val="center"/>
              <w:rPr>
                <w:rFonts w:hint="default" w:ascii="Times New Roman" w:hAnsi="Times New Roman" w:eastAsia="宋体" w:cs="Times New Roman"/>
                <w:color w:val="auto"/>
                <w:sz w:val="21"/>
                <w:szCs w:val="21"/>
                <w:highlight w:val="none"/>
              </w:rPr>
            </w:pPr>
          </w:p>
        </w:tc>
        <w:tc>
          <w:tcPr>
            <w:tcW w:w="445" w:type="pct"/>
            <w:noWrap/>
            <w:vAlign w:val="center"/>
          </w:tcPr>
          <w:p w14:paraId="227D392F">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1.4</w:t>
            </w:r>
          </w:p>
        </w:tc>
        <w:tc>
          <w:tcPr>
            <w:tcW w:w="1818" w:type="pct"/>
            <w:noWrap w:val="0"/>
            <w:vAlign w:val="center"/>
          </w:tcPr>
          <w:p w14:paraId="64B5A94F">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投标文件目录</w:t>
            </w:r>
          </w:p>
        </w:tc>
        <w:tc>
          <w:tcPr>
            <w:tcW w:w="811" w:type="pct"/>
            <w:noWrap w:val="0"/>
            <w:vAlign w:val="center"/>
          </w:tcPr>
          <w:p w14:paraId="7EEB5538">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格式自拟</w:t>
            </w:r>
          </w:p>
        </w:tc>
        <w:tc>
          <w:tcPr>
            <w:tcW w:w="1386" w:type="pct"/>
            <w:noWrap w:val="0"/>
            <w:vAlign w:val="center"/>
          </w:tcPr>
          <w:p w14:paraId="0F860AA5">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kern w:val="0"/>
                <w:sz w:val="21"/>
                <w:szCs w:val="21"/>
                <w:highlight w:val="none"/>
                <w:lang w:val="en-US" w:eastAsia="zh-CN" w:bidi="ar"/>
              </w:rPr>
              <w:t>/</w:t>
            </w:r>
          </w:p>
        </w:tc>
      </w:tr>
      <w:tr w14:paraId="20864AC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gridAfter w:val="1"/>
          <w:wAfter w:w="5" w:type="dxa"/>
          <w:trHeight w:val="207" w:hRule="atLeast"/>
          <w:jc w:val="center"/>
        </w:trPr>
        <w:tc>
          <w:tcPr>
            <w:tcW w:w="537" w:type="pct"/>
            <w:vMerge w:val="continue"/>
            <w:noWrap w:val="0"/>
            <w:vAlign w:val="center"/>
          </w:tcPr>
          <w:p w14:paraId="1F1897B9">
            <w:pPr>
              <w:keepNext w:val="0"/>
              <w:keepLines w:val="0"/>
              <w:pageBreakBefore w:val="0"/>
              <w:widowControl w:val="0"/>
              <w:kinsoku/>
              <w:wordWrap w:val="0"/>
              <w:overflowPunct/>
              <w:topLinePunct w:val="0"/>
              <w:bidi w:val="0"/>
              <w:spacing w:line="288" w:lineRule="auto"/>
              <w:jc w:val="center"/>
              <w:rPr>
                <w:rFonts w:hint="default" w:ascii="Times New Roman" w:hAnsi="Times New Roman" w:eastAsia="宋体" w:cs="Times New Roman"/>
                <w:color w:val="auto"/>
                <w:sz w:val="21"/>
                <w:szCs w:val="21"/>
                <w:highlight w:val="none"/>
              </w:rPr>
            </w:pPr>
          </w:p>
        </w:tc>
        <w:tc>
          <w:tcPr>
            <w:tcW w:w="445" w:type="pct"/>
            <w:noWrap/>
            <w:vAlign w:val="center"/>
          </w:tcPr>
          <w:p w14:paraId="6E61A0EE">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1.5</w:t>
            </w:r>
          </w:p>
        </w:tc>
        <w:tc>
          <w:tcPr>
            <w:tcW w:w="1818" w:type="pct"/>
            <w:noWrap w:val="0"/>
            <w:vAlign w:val="center"/>
          </w:tcPr>
          <w:p w14:paraId="4C5C2866">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法人授权书</w:t>
            </w:r>
          </w:p>
        </w:tc>
        <w:tc>
          <w:tcPr>
            <w:tcW w:w="811" w:type="pct"/>
            <w:noWrap w:val="0"/>
            <w:vAlign w:val="center"/>
          </w:tcPr>
          <w:p w14:paraId="1B199BC2">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格式附后</w:t>
            </w:r>
          </w:p>
        </w:tc>
        <w:tc>
          <w:tcPr>
            <w:tcW w:w="1386" w:type="pct"/>
            <w:noWrap w:val="0"/>
            <w:vAlign w:val="center"/>
          </w:tcPr>
          <w:p w14:paraId="307D432F">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w:t>
            </w:r>
          </w:p>
        </w:tc>
      </w:tr>
      <w:tr w14:paraId="0C96C13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gridAfter w:val="1"/>
          <w:wAfter w:w="5" w:type="dxa"/>
          <w:trHeight w:val="207" w:hRule="atLeast"/>
          <w:jc w:val="center"/>
        </w:trPr>
        <w:tc>
          <w:tcPr>
            <w:tcW w:w="537" w:type="pct"/>
            <w:vMerge w:val="continue"/>
            <w:noWrap w:val="0"/>
            <w:vAlign w:val="center"/>
          </w:tcPr>
          <w:p w14:paraId="42CB44F1">
            <w:pPr>
              <w:keepNext w:val="0"/>
              <w:keepLines w:val="0"/>
              <w:pageBreakBefore w:val="0"/>
              <w:widowControl w:val="0"/>
              <w:kinsoku/>
              <w:wordWrap w:val="0"/>
              <w:overflowPunct/>
              <w:topLinePunct w:val="0"/>
              <w:bidi w:val="0"/>
              <w:spacing w:line="288" w:lineRule="auto"/>
              <w:jc w:val="center"/>
              <w:rPr>
                <w:rFonts w:hint="default" w:ascii="Times New Roman" w:hAnsi="Times New Roman" w:eastAsia="宋体" w:cs="Times New Roman"/>
                <w:color w:val="auto"/>
                <w:sz w:val="21"/>
                <w:szCs w:val="21"/>
                <w:highlight w:val="none"/>
              </w:rPr>
            </w:pPr>
          </w:p>
        </w:tc>
        <w:tc>
          <w:tcPr>
            <w:tcW w:w="445" w:type="pct"/>
            <w:noWrap/>
            <w:vAlign w:val="center"/>
          </w:tcPr>
          <w:p w14:paraId="3FDB0AB5">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1.6</w:t>
            </w:r>
          </w:p>
        </w:tc>
        <w:tc>
          <w:tcPr>
            <w:tcW w:w="1818" w:type="pct"/>
            <w:noWrap w:val="0"/>
            <w:vAlign w:val="center"/>
          </w:tcPr>
          <w:p w14:paraId="27CF11F5">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资信证明文件目录</w:t>
            </w:r>
          </w:p>
        </w:tc>
        <w:tc>
          <w:tcPr>
            <w:tcW w:w="811" w:type="pct"/>
            <w:noWrap w:val="0"/>
            <w:vAlign w:val="center"/>
          </w:tcPr>
          <w:p w14:paraId="6ABE200F">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格式附后</w:t>
            </w:r>
          </w:p>
        </w:tc>
        <w:tc>
          <w:tcPr>
            <w:tcW w:w="1386" w:type="pct"/>
            <w:noWrap w:val="0"/>
            <w:vAlign w:val="center"/>
          </w:tcPr>
          <w:p w14:paraId="1457539F">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w:t>
            </w:r>
          </w:p>
        </w:tc>
      </w:tr>
      <w:tr w14:paraId="10981FB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gridAfter w:val="1"/>
          <w:wAfter w:w="5" w:type="dxa"/>
          <w:trHeight w:val="207" w:hRule="atLeast"/>
          <w:jc w:val="center"/>
        </w:trPr>
        <w:tc>
          <w:tcPr>
            <w:tcW w:w="537" w:type="pct"/>
            <w:vMerge w:val="continue"/>
            <w:noWrap w:val="0"/>
            <w:vAlign w:val="center"/>
          </w:tcPr>
          <w:p w14:paraId="1A0147CF">
            <w:pPr>
              <w:keepNext w:val="0"/>
              <w:keepLines w:val="0"/>
              <w:pageBreakBefore w:val="0"/>
              <w:widowControl w:val="0"/>
              <w:kinsoku/>
              <w:wordWrap w:val="0"/>
              <w:overflowPunct/>
              <w:topLinePunct w:val="0"/>
              <w:bidi w:val="0"/>
              <w:spacing w:line="288" w:lineRule="auto"/>
              <w:jc w:val="center"/>
              <w:rPr>
                <w:rFonts w:hint="default" w:ascii="Times New Roman" w:hAnsi="Times New Roman" w:eastAsia="宋体" w:cs="Times New Roman"/>
                <w:color w:val="auto"/>
                <w:sz w:val="21"/>
                <w:szCs w:val="21"/>
                <w:highlight w:val="none"/>
              </w:rPr>
            </w:pPr>
          </w:p>
        </w:tc>
        <w:tc>
          <w:tcPr>
            <w:tcW w:w="445" w:type="pct"/>
            <w:noWrap/>
            <w:vAlign w:val="center"/>
          </w:tcPr>
          <w:p w14:paraId="5C769F61">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1.7</w:t>
            </w:r>
          </w:p>
        </w:tc>
        <w:tc>
          <w:tcPr>
            <w:tcW w:w="1818" w:type="pct"/>
            <w:noWrap w:val="0"/>
            <w:vAlign w:val="center"/>
          </w:tcPr>
          <w:p w14:paraId="427E2A1C">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资格性审查响应对照表</w:t>
            </w:r>
          </w:p>
        </w:tc>
        <w:tc>
          <w:tcPr>
            <w:tcW w:w="811" w:type="pct"/>
            <w:noWrap w:val="0"/>
            <w:vAlign w:val="center"/>
          </w:tcPr>
          <w:p w14:paraId="4FBEF210">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格式附后</w:t>
            </w:r>
          </w:p>
        </w:tc>
        <w:tc>
          <w:tcPr>
            <w:tcW w:w="1386" w:type="pct"/>
            <w:noWrap w:val="0"/>
            <w:vAlign w:val="center"/>
          </w:tcPr>
          <w:p w14:paraId="18E92EF7">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w:t>
            </w:r>
          </w:p>
        </w:tc>
      </w:tr>
      <w:tr w14:paraId="3A8A50D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gridAfter w:val="1"/>
          <w:wAfter w:w="5" w:type="dxa"/>
          <w:trHeight w:val="207" w:hRule="atLeast"/>
          <w:jc w:val="center"/>
        </w:trPr>
        <w:tc>
          <w:tcPr>
            <w:tcW w:w="537" w:type="pct"/>
            <w:vMerge w:val="continue"/>
            <w:noWrap w:val="0"/>
            <w:vAlign w:val="center"/>
          </w:tcPr>
          <w:p w14:paraId="34A8DAB7">
            <w:pPr>
              <w:keepNext w:val="0"/>
              <w:keepLines w:val="0"/>
              <w:pageBreakBefore w:val="0"/>
              <w:widowControl w:val="0"/>
              <w:kinsoku/>
              <w:wordWrap w:val="0"/>
              <w:overflowPunct/>
              <w:topLinePunct w:val="0"/>
              <w:bidi w:val="0"/>
              <w:spacing w:line="288" w:lineRule="auto"/>
              <w:jc w:val="center"/>
              <w:rPr>
                <w:rFonts w:hint="default" w:ascii="Times New Roman" w:hAnsi="Times New Roman" w:eastAsia="宋体" w:cs="Times New Roman"/>
                <w:color w:val="auto"/>
                <w:sz w:val="21"/>
                <w:szCs w:val="21"/>
                <w:highlight w:val="none"/>
              </w:rPr>
            </w:pPr>
          </w:p>
        </w:tc>
        <w:tc>
          <w:tcPr>
            <w:tcW w:w="445" w:type="pct"/>
            <w:noWrap/>
            <w:vAlign w:val="center"/>
          </w:tcPr>
          <w:p w14:paraId="1A56A487">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1.8</w:t>
            </w:r>
          </w:p>
        </w:tc>
        <w:tc>
          <w:tcPr>
            <w:tcW w:w="1818" w:type="pct"/>
            <w:noWrap w:val="0"/>
            <w:vAlign w:val="center"/>
          </w:tcPr>
          <w:p w14:paraId="220A86F9">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符合性检查响应对照表</w:t>
            </w:r>
          </w:p>
        </w:tc>
        <w:tc>
          <w:tcPr>
            <w:tcW w:w="811" w:type="pct"/>
            <w:noWrap w:val="0"/>
            <w:vAlign w:val="center"/>
          </w:tcPr>
          <w:p w14:paraId="736569BA">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格式附后</w:t>
            </w:r>
          </w:p>
        </w:tc>
        <w:tc>
          <w:tcPr>
            <w:tcW w:w="1386" w:type="pct"/>
            <w:noWrap w:val="0"/>
            <w:vAlign w:val="center"/>
          </w:tcPr>
          <w:p w14:paraId="28789D6F">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w:t>
            </w:r>
          </w:p>
        </w:tc>
      </w:tr>
      <w:tr w14:paraId="0D8D9E3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gridAfter w:val="1"/>
          <w:wAfter w:w="5" w:type="dxa"/>
          <w:trHeight w:val="207" w:hRule="atLeast"/>
          <w:jc w:val="center"/>
        </w:trPr>
        <w:tc>
          <w:tcPr>
            <w:tcW w:w="537" w:type="pct"/>
            <w:vMerge w:val="continue"/>
            <w:noWrap w:val="0"/>
            <w:vAlign w:val="center"/>
          </w:tcPr>
          <w:p w14:paraId="2091B621">
            <w:pPr>
              <w:keepNext w:val="0"/>
              <w:keepLines w:val="0"/>
              <w:pageBreakBefore w:val="0"/>
              <w:widowControl w:val="0"/>
              <w:kinsoku/>
              <w:wordWrap w:val="0"/>
              <w:overflowPunct/>
              <w:topLinePunct w:val="0"/>
              <w:bidi w:val="0"/>
              <w:spacing w:line="288" w:lineRule="auto"/>
              <w:jc w:val="center"/>
              <w:rPr>
                <w:rFonts w:hint="default" w:ascii="Times New Roman" w:hAnsi="Times New Roman" w:eastAsia="宋体" w:cs="Times New Roman"/>
                <w:color w:val="auto"/>
                <w:sz w:val="21"/>
                <w:szCs w:val="21"/>
                <w:highlight w:val="none"/>
              </w:rPr>
            </w:pPr>
          </w:p>
        </w:tc>
        <w:tc>
          <w:tcPr>
            <w:tcW w:w="445" w:type="pct"/>
            <w:noWrap/>
            <w:vAlign w:val="center"/>
          </w:tcPr>
          <w:p w14:paraId="77A7F61D">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1.9</w:t>
            </w:r>
          </w:p>
        </w:tc>
        <w:tc>
          <w:tcPr>
            <w:tcW w:w="1818" w:type="pct"/>
            <w:noWrap w:val="0"/>
            <w:vAlign w:val="center"/>
          </w:tcPr>
          <w:p w14:paraId="4EA19E9E">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投标函</w:t>
            </w:r>
          </w:p>
        </w:tc>
        <w:tc>
          <w:tcPr>
            <w:tcW w:w="811" w:type="pct"/>
            <w:noWrap w:val="0"/>
            <w:vAlign w:val="center"/>
          </w:tcPr>
          <w:p w14:paraId="69464F12">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格式附后</w:t>
            </w:r>
          </w:p>
        </w:tc>
        <w:tc>
          <w:tcPr>
            <w:tcW w:w="1386" w:type="pct"/>
            <w:noWrap w:val="0"/>
            <w:vAlign w:val="center"/>
          </w:tcPr>
          <w:p w14:paraId="14FFE7AD">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w:t>
            </w:r>
          </w:p>
        </w:tc>
      </w:tr>
      <w:tr w14:paraId="0D3EFAE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gridAfter w:val="1"/>
          <w:wAfter w:w="5" w:type="dxa"/>
          <w:trHeight w:val="207" w:hRule="atLeast"/>
          <w:jc w:val="center"/>
        </w:trPr>
        <w:tc>
          <w:tcPr>
            <w:tcW w:w="537" w:type="pct"/>
            <w:vMerge w:val="continue"/>
            <w:noWrap w:val="0"/>
            <w:vAlign w:val="center"/>
          </w:tcPr>
          <w:p w14:paraId="3AD4A23A">
            <w:pPr>
              <w:keepNext w:val="0"/>
              <w:keepLines w:val="0"/>
              <w:pageBreakBefore w:val="0"/>
              <w:widowControl w:val="0"/>
              <w:kinsoku/>
              <w:wordWrap w:val="0"/>
              <w:overflowPunct/>
              <w:topLinePunct w:val="0"/>
              <w:bidi w:val="0"/>
              <w:spacing w:line="288" w:lineRule="auto"/>
              <w:jc w:val="center"/>
              <w:rPr>
                <w:rFonts w:hint="default" w:ascii="Times New Roman" w:hAnsi="Times New Roman" w:eastAsia="宋体" w:cs="Times New Roman"/>
                <w:color w:val="auto"/>
                <w:sz w:val="21"/>
                <w:szCs w:val="21"/>
                <w:highlight w:val="none"/>
              </w:rPr>
            </w:pPr>
          </w:p>
        </w:tc>
        <w:tc>
          <w:tcPr>
            <w:tcW w:w="445" w:type="pct"/>
            <w:noWrap/>
            <w:vAlign w:val="center"/>
          </w:tcPr>
          <w:p w14:paraId="3C755517">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1.10</w:t>
            </w:r>
          </w:p>
        </w:tc>
        <w:tc>
          <w:tcPr>
            <w:tcW w:w="1818" w:type="pct"/>
            <w:noWrap w:val="0"/>
            <w:vAlign w:val="center"/>
          </w:tcPr>
          <w:p w14:paraId="3515E8C9">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投标分项报价表</w:t>
            </w:r>
          </w:p>
        </w:tc>
        <w:tc>
          <w:tcPr>
            <w:tcW w:w="811" w:type="pct"/>
            <w:noWrap w:val="0"/>
            <w:vAlign w:val="center"/>
          </w:tcPr>
          <w:p w14:paraId="72AEDC40">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格式附后</w:t>
            </w:r>
          </w:p>
        </w:tc>
        <w:tc>
          <w:tcPr>
            <w:tcW w:w="1386" w:type="pct"/>
            <w:noWrap w:val="0"/>
            <w:vAlign w:val="center"/>
          </w:tcPr>
          <w:p w14:paraId="719EF078">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w:t>
            </w:r>
          </w:p>
        </w:tc>
      </w:tr>
      <w:tr w14:paraId="4EEAFEE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gridAfter w:val="1"/>
          <w:wAfter w:w="5" w:type="dxa"/>
          <w:trHeight w:val="197" w:hRule="atLeast"/>
          <w:jc w:val="center"/>
        </w:trPr>
        <w:tc>
          <w:tcPr>
            <w:tcW w:w="537" w:type="pct"/>
            <w:vMerge w:val="continue"/>
            <w:noWrap w:val="0"/>
            <w:vAlign w:val="center"/>
          </w:tcPr>
          <w:p w14:paraId="1968B24E">
            <w:pPr>
              <w:keepNext w:val="0"/>
              <w:keepLines w:val="0"/>
              <w:pageBreakBefore w:val="0"/>
              <w:widowControl w:val="0"/>
              <w:kinsoku/>
              <w:wordWrap w:val="0"/>
              <w:overflowPunct/>
              <w:topLinePunct w:val="0"/>
              <w:bidi w:val="0"/>
              <w:spacing w:line="288" w:lineRule="auto"/>
              <w:jc w:val="center"/>
              <w:rPr>
                <w:rFonts w:hint="default" w:ascii="Times New Roman" w:hAnsi="Times New Roman" w:eastAsia="宋体" w:cs="Times New Roman"/>
                <w:color w:val="auto"/>
                <w:sz w:val="21"/>
                <w:szCs w:val="21"/>
                <w:highlight w:val="none"/>
              </w:rPr>
            </w:pPr>
          </w:p>
        </w:tc>
        <w:tc>
          <w:tcPr>
            <w:tcW w:w="445" w:type="pct"/>
            <w:noWrap/>
            <w:vAlign w:val="center"/>
          </w:tcPr>
          <w:p w14:paraId="5E1A099A">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1.11</w:t>
            </w:r>
          </w:p>
        </w:tc>
        <w:tc>
          <w:tcPr>
            <w:tcW w:w="1818" w:type="pct"/>
            <w:noWrap w:val="0"/>
            <w:vAlign w:val="center"/>
          </w:tcPr>
          <w:p w14:paraId="10241051">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技术参数响应及偏离表</w:t>
            </w:r>
          </w:p>
        </w:tc>
        <w:tc>
          <w:tcPr>
            <w:tcW w:w="811" w:type="pct"/>
            <w:noWrap w:val="0"/>
            <w:vAlign w:val="center"/>
          </w:tcPr>
          <w:p w14:paraId="34D67BD9">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格式附后</w:t>
            </w:r>
          </w:p>
        </w:tc>
        <w:tc>
          <w:tcPr>
            <w:tcW w:w="1386" w:type="pct"/>
            <w:noWrap w:val="0"/>
            <w:vAlign w:val="center"/>
          </w:tcPr>
          <w:p w14:paraId="0F9E9C74">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w:t>
            </w:r>
          </w:p>
        </w:tc>
      </w:tr>
      <w:tr w14:paraId="65D3B5E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gridAfter w:val="1"/>
          <w:wAfter w:w="5" w:type="dxa"/>
          <w:trHeight w:val="207" w:hRule="atLeast"/>
          <w:jc w:val="center"/>
        </w:trPr>
        <w:tc>
          <w:tcPr>
            <w:tcW w:w="537" w:type="pct"/>
            <w:vMerge w:val="continue"/>
            <w:noWrap w:val="0"/>
            <w:vAlign w:val="center"/>
          </w:tcPr>
          <w:p w14:paraId="63632DDA">
            <w:pPr>
              <w:keepNext w:val="0"/>
              <w:keepLines w:val="0"/>
              <w:pageBreakBefore w:val="0"/>
              <w:widowControl w:val="0"/>
              <w:kinsoku/>
              <w:wordWrap w:val="0"/>
              <w:overflowPunct/>
              <w:topLinePunct w:val="0"/>
              <w:bidi w:val="0"/>
              <w:spacing w:line="288" w:lineRule="auto"/>
              <w:jc w:val="center"/>
              <w:rPr>
                <w:rFonts w:hint="default" w:ascii="Times New Roman" w:hAnsi="Times New Roman" w:eastAsia="宋体" w:cs="Times New Roman"/>
                <w:color w:val="auto"/>
                <w:sz w:val="21"/>
                <w:szCs w:val="21"/>
                <w:highlight w:val="none"/>
              </w:rPr>
            </w:pPr>
          </w:p>
        </w:tc>
        <w:tc>
          <w:tcPr>
            <w:tcW w:w="445" w:type="pct"/>
            <w:noWrap/>
            <w:vAlign w:val="center"/>
          </w:tcPr>
          <w:p w14:paraId="531C4B17">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1.12</w:t>
            </w:r>
          </w:p>
        </w:tc>
        <w:tc>
          <w:tcPr>
            <w:tcW w:w="1818" w:type="pct"/>
            <w:noWrap w:val="0"/>
            <w:vAlign w:val="center"/>
          </w:tcPr>
          <w:p w14:paraId="6E8BE722">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商务条款响应及偏离表</w:t>
            </w:r>
          </w:p>
        </w:tc>
        <w:tc>
          <w:tcPr>
            <w:tcW w:w="811" w:type="pct"/>
            <w:noWrap w:val="0"/>
            <w:vAlign w:val="center"/>
          </w:tcPr>
          <w:p w14:paraId="3031F811">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格式附后</w:t>
            </w:r>
          </w:p>
        </w:tc>
        <w:tc>
          <w:tcPr>
            <w:tcW w:w="1386" w:type="pct"/>
            <w:noWrap w:val="0"/>
            <w:vAlign w:val="center"/>
          </w:tcPr>
          <w:p w14:paraId="0C50A292">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w:t>
            </w:r>
          </w:p>
        </w:tc>
      </w:tr>
      <w:tr w14:paraId="321C463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gridAfter w:val="1"/>
          <w:wAfter w:w="5" w:type="dxa"/>
          <w:trHeight w:val="957" w:hRule="atLeast"/>
          <w:jc w:val="center"/>
        </w:trPr>
        <w:tc>
          <w:tcPr>
            <w:tcW w:w="537" w:type="pct"/>
            <w:vMerge w:val="continue"/>
            <w:noWrap w:val="0"/>
            <w:vAlign w:val="center"/>
          </w:tcPr>
          <w:p w14:paraId="535CE826">
            <w:pPr>
              <w:keepNext w:val="0"/>
              <w:keepLines w:val="0"/>
              <w:pageBreakBefore w:val="0"/>
              <w:widowControl w:val="0"/>
              <w:kinsoku/>
              <w:wordWrap w:val="0"/>
              <w:overflowPunct/>
              <w:topLinePunct w:val="0"/>
              <w:bidi w:val="0"/>
              <w:spacing w:line="288" w:lineRule="auto"/>
              <w:jc w:val="center"/>
              <w:rPr>
                <w:rFonts w:hint="default" w:ascii="Times New Roman" w:hAnsi="Times New Roman" w:eastAsia="宋体" w:cs="Times New Roman"/>
                <w:color w:val="auto"/>
                <w:sz w:val="21"/>
                <w:szCs w:val="21"/>
                <w:highlight w:val="none"/>
              </w:rPr>
            </w:pPr>
          </w:p>
        </w:tc>
        <w:tc>
          <w:tcPr>
            <w:tcW w:w="445" w:type="pct"/>
            <w:noWrap/>
            <w:vAlign w:val="center"/>
          </w:tcPr>
          <w:p w14:paraId="3A176CBA">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1.13</w:t>
            </w:r>
          </w:p>
        </w:tc>
        <w:tc>
          <w:tcPr>
            <w:tcW w:w="1818" w:type="pct"/>
            <w:noWrap w:val="0"/>
            <w:vAlign w:val="center"/>
          </w:tcPr>
          <w:p w14:paraId="7CC70C77">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技术方案、服务承诺、培训承诺等</w:t>
            </w:r>
          </w:p>
        </w:tc>
        <w:tc>
          <w:tcPr>
            <w:tcW w:w="811" w:type="pct"/>
            <w:noWrap w:val="0"/>
            <w:vAlign w:val="center"/>
          </w:tcPr>
          <w:p w14:paraId="5C2896CA">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格式自拟</w:t>
            </w:r>
          </w:p>
        </w:tc>
        <w:tc>
          <w:tcPr>
            <w:tcW w:w="1386" w:type="pct"/>
            <w:noWrap w:val="0"/>
            <w:vAlign w:val="center"/>
          </w:tcPr>
          <w:p w14:paraId="4BC27B84">
            <w:pPr>
              <w:keepNext w:val="0"/>
              <w:keepLines w:val="0"/>
              <w:pageBreakBefore w:val="0"/>
              <w:widowControl w:val="0"/>
              <w:kinsoku/>
              <w:wordWrap w:val="0"/>
              <w:overflowPunct/>
              <w:topLinePunct w:val="0"/>
              <w:bidi w:val="0"/>
              <w:jc w:val="left"/>
              <w:textAlignment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kern w:val="0"/>
                <w:sz w:val="21"/>
                <w:szCs w:val="21"/>
                <w:highlight w:val="none"/>
                <w:lang w:val="en-US" w:eastAsia="zh-CN" w:bidi="ar"/>
              </w:rPr>
              <w:t>/</w:t>
            </w:r>
          </w:p>
        </w:tc>
      </w:tr>
      <w:tr w14:paraId="08A16A8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gridAfter w:val="1"/>
          <w:wAfter w:w="5" w:type="dxa"/>
          <w:trHeight w:val="387" w:hRule="atLeast"/>
          <w:jc w:val="center"/>
        </w:trPr>
        <w:tc>
          <w:tcPr>
            <w:tcW w:w="537" w:type="pct"/>
            <w:vMerge w:val="continue"/>
            <w:noWrap w:val="0"/>
            <w:vAlign w:val="center"/>
          </w:tcPr>
          <w:p w14:paraId="76AE7988">
            <w:pPr>
              <w:keepNext w:val="0"/>
              <w:keepLines w:val="0"/>
              <w:pageBreakBefore w:val="0"/>
              <w:widowControl w:val="0"/>
              <w:kinsoku/>
              <w:wordWrap w:val="0"/>
              <w:overflowPunct/>
              <w:topLinePunct w:val="0"/>
              <w:bidi w:val="0"/>
              <w:spacing w:line="288" w:lineRule="auto"/>
              <w:jc w:val="center"/>
              <w:rPr>
                <w:rFonts w:hint="default" w:ascii="Times New Roman" w:hAnsi="Times New Roman" w:eastAsia="宋体" w:cs="Times New Roman"/>
                <w:color w:val="auto"/>
                <w:sz w:val="21"/>
                <w:szCs w:val="21"/>
                <w:highlight w:val="none"/>
              </w:rPr>
            </w:pPr>
          </w:p>
        </w:tc>
        <w:tc>
          <w:tcPr>
            <w:tcW w:w="445" w:type="pct"/>
            <w:noWrap/>
            <w:vAlign w:val="center"/>
          </w:tcPr>
          <w:p w14:paraId="47F332E0">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1.15</w:t>
            </w:r>
          </w:p>
        </w:tc>
        <w:tc>
          <w:tcPr>
            <w:tcW w:w="1818" w:type="pct"/>
            <w:noWrap w:val="0"/>
            <w:vAlign w:val="center"/>
          </w:tcPr>
          <w:p w14:paraId="320AE8D5">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滨海县政府采购事前信用承诺书</w:t>
            </w:r>
          </w:p>
        </w:tc>
        <w:tc>
          <w:tcPr>
            <w:tcW w:w="811" w:type="pct"/>
            <w:noWrap w:val="0"/>
            <w:vAlign w:val="center"/>
          </w:tcPr>
          <w:p w14:paraId="5D2F1658">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格式附后</w:t>
            </w:r>
          </w:p>
        </w:tc>
        <w:tc>
          <w:tcPr>
            <w:tcW w:w="1386" w:type="pct"/>
            <w:noWrap w:val="0"/>
            <w:vAlign w:val="center"/>
          </w:tcPr>
          <w:p w14:paraId="3E558AF3">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w:t>
            </w:r>
          </w:p>
        </w:tc>
      </w:tr>
      <w:tr w14:paraId="5FF782C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gridAfter w:val="1"/>
          <w:wAfter w:w="5" w:type="dxa"/>
          <w:trHeight w:val="401" w:hRule="atLeast"/>
          <w:jc w:val="center"/>
        </w:trPr>
        <w:tc>
          <w:tcPr>
            <w:tcW w:w="537" w:type="pct"/>
            <w:vMerge w:val="continue"/>
            <w:noWrap w:val="0"/>
            <w:vAlign w:val="center"/>
          </w:tcPr>
          <w:p w14:paraId="44C539F3">
            <w:pPr>
              <w:keepNext w:val="0"/>
              <w:keepLines w:val="0"/>
              <w:pageBreakBefore w:val="0"/>
              <w:widowControl w:val="0"/>
              <w:kinsoku/>
              <w:wordWrap w:val="0"/>
              <w:overflowPunct/>
              <w:topLinePunct w:val="0"/>
              <w:bidi w:val="0"/>
              <w:spacing w:line="288" w:lineRule="auto"/>
              <w:jc w:val="center"/>
              <w:rPr>
                <w:rFonts w:hint="default" w:ascii="Times New Roman" w:hAnsi="Times New Roman" w:eastAsia="宋体" w:cs="Times New Roman"/>
                <w:color w:val="auto"/>
                <w:sz w:val="21"/>
                <w:szCs w:val="21"/>
                <w:highlight w:val="none"/>
              </w:rPr>
            </w:pPr>
          </w:p>
        </w:tc>
        <w:tc>
          <w:tcPr>
            <w:tcW w:w="445" w:type="pct"/>
            <w:noWrap/>
            <w:vAlign w:val="center"/>
          </w:tcPr>
          <w:p w14:paraId="7A2A107F">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1.16</w:t>
            </w:r>
          </w:p>
        </w:tc>
        <w:tc>
          <w:tcPr>
            <w:tcW w:w="1818" w:type="pct"/>
            <w:noWrap w:val="0"/>
            <w:vAlign w:val="center"/>
          </w:tcPr>
          <w:p w14:paraId="449682D8">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本招标文件要求的其他文件（如有）</w:t>
            </w:r>
          </w:p>
        </w:tc>
        <w:tc>
          <w:tcPr>
            <w:tcW w:w="811" w:type="pct"/>
            <w:noWrap w:val="0"/>
            <w:vAlign w:val="center"/>
          </w:tcPr>
          <w:p w14:paraId="12297434">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格式自拟</w:t>
            </w:r>
          </w:p>
        </w:tc>
        <w:tc>
          <w:tcPr>
            <w:tcW w:w="1386" w:type="pct"/>
            <w:noWrap w:val="0"/>
            <w:vAlign w:val="center"/>
          </w:tcPr>
          <w:p w14:paraId="0AEB1B15">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如无，可提供空白页。</w:t>
            </w:r>
          </w:p>
        </w:tc>
      </w:tr>
      <w:tr w14:paraId="3A70959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gridAfter w:val="1"/>
          <w:wAfter w:w="5" w:type="dxa"/>
          <w:trHeight w:val="401" w:hRule="atLeast"/>
          <w:jc w:val="center"/>
        </w:trPr>
        <w:tc>
          <w:tcPr>
            <w:tcW w:w="537" w:type="pct"/>
            <w:vMerge w:val="continue"/>
            <w:noWrap w:val="0"/>
            <w:vAlign w:val="center"/>
          </w:tcPr>
          <w:p w14:paraId="1AC1330C">
            <w:pPr>
              <w:keepNext w:val="0"/>
              <w:keepLines w:val="0"/>
              <w:pageBreakBefore w:val="0"/>
              <w:widowControl w:val="0"/>
              <w:kinsoku/>
              <w:wordWrap w:val="0"/>
              <w:overflowPunct/>
              <w:topLinePunct w:val="0"/>
              <w:bidi w:val="0"/>
              <w:spacing w:line="288" w:lineRule="auto"/>
              <w:jc w:val="center"/>
              <w:rPr>
                <w:rFonts w:hint="default" w:ascii="Times New Roman" w:hAnsi="Times New Roman" w:eastAsia="宋体" w:cs="Times New Roman"/>
                <w:color w:val="auto"/>
                <w:sz w:val="21"/>
                <w:szCs w:val="21"/>
                <w:highlight w:val="none"/>
              </w:rPr>
            </w:pPr>
          </w:p>
        </w:tc>
        <w:tc>
          <w:tcPr>
            <w:tcW w:w="445" w:type="pct"/>
            <w:noWrap/>
            <w:vAlign w:val="center"/>
          </w:tcPr>
          <w:p w14:paraId="243D7483">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1.17</w:t>
            </w:r>
          </w:p>
        </w:tc>
        <w:tc>
          <w:tcPr>
            <w:tcW w:w="1818" w:type="pct"/>
            <w:noWrap w:val="0"/>
            <w:vAlign w:val="center"/>
          </w:tcPr>
          <w:p w14:paraId="3D9CCE47">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投标供应商认为应当提供或自行补充的文件材料</w:t>
            </w:r>
          </w:p>
        </w:tc>
        <w:tc>
          <w:tcPr>
            <w:tcW w:w="811" w:type="pct"/>
            <w:noWrap w:val="0"/>
            <w:vAlign w:val="center"/>
          </w:tcPr>
          <w:p w14:paraId="0D54AB55">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格式自拟</w:t>
            </w:r>
          </w:p>
        </w:tc>
        <w:tc>
          <w:tcPr>
            <w:tcW w:w="1386" w:type="pct"/>
            <w:noWrap w:val="0"/>
            <w:vAlign w:val="center"/>
          </w:tcPr>
          <w:p w14:paraId="2AF00242">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如无，可提供空白页。</w:t>
            </w:r>
          </w:p>
        </w:tc>
      </w:tr>
      <w:tr w14:paraId="551CB16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gridAfter w:val="1"/>
          <w:wAfter w:w="5" w:type="dxa"/>
          <w:trHeight w:val="577" w:hRule="atLeast"/>
          <w:jc w:val="center"/>
        </w:trPr>
        <w:tc>
          <w:tcPr>
            <w:tcW w:w="537" w:type="pct"/>
            <w:vMerge w:val="restart"/>
            <w:noWrap w:val="0"/>
            <w:vAlign w:val="center"/>
          </w:tcPr>
          <w:p w14:paraId="6D0324C5">
            <w:pPr>
              <w:keepNext w:val="0"/>
              <w:keepLines w:val="0"/>
              <w:pageBreakBefore w:val="0"/>
              <w:widowControl w:val="0"/>
              <w:kinsoku/>
              <w:wordWrap w:val="0"/>
              <w:overflowPunct/>
              <w:topLinePunct w:val="0"/>
              <w:bidi w:val="0"/>
              <w:spacing w:line="288" w:lineRule="auto"/>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资格审查材料</w:t>
            </w:r>
          </w:p>
        </w:tc>
        <w:tc>
          <w:tcPr>
            <w:tcW w:w="445" w:type="pct"/>
            <w:noWrap/>
            <w:vAlign w:val="center"/>
          </w:tcPr>
          <w:p w14:paraId="3EF5E845">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2.1</w:t>
            </w:r>
          </w:p>
        </w:tc>
        <w:tc>
          <w:tcPr>
            <w:tcW w:w="1818" w:type="pct"/>
            <w:noWrap w:val="0"/>
            <w:vAlign w:val="center"/>
          </w:tcPr>
          <w:p w14:paraId="4B0EF4FB">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营业执照、税务登记证（或多证合一的营业执照）或事业单位法人证书</w:t>
            </w:r>
          </w:p>
        </w:tc>
        <w:tc>
          <w:tcPr>
            <w:tcW w:w="811" w:type="pct"/>
            <w:noWrap w:val="0"/>
            <w:vAlign w:val="center"/>
          </w:tcPr>
          <w:p w14:paraId="6D2AF918">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提供扫描件</w:t>
            </w:r>
          </w:p>
        </w:tc>
        <w:tc>
          <w:tcPr>
            <w:tcW w:w="1386" w:type="pct"/>
            <w:noWrap w:val="0"/>
            <w:vAlign w:val="center"/>
          </w:tcPr>
          <w:p w14:paraId="3F09425F">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w:t>
            </w:r>
          </w:p>
        </w:tc>
      </w:tr>
      <w:tr w14:paraId="6E04A0E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gridAfter w:val="1"/>
          <w:wAfter w:w="5" w:type="dxa"/>
          <w:trHeight w:val="527" w:hRule="atLeast"/>
          <w:jc w:val="center"/>
        </w:trPr>
        <w:tc>
          <w:tcPr>
            <w:tcW w:w="537" w:type="pct"/>
            <w:vMerge w:val="continue"/>
            <w:noWrap w:val="0"/>
            <w:vAlign w:val="center"/>
          </w:tcPr>
          <w:p w14:paraId="6E695918">
            <w:pPr>
              <w:keepNext w:val="0"/>
              <w:keepLines w:val="0"/>
              <w:pageBreakBefore w:val="0"/>
              <w:widowControl w:val="0"/>
              <w:kinsoku/>
              <w:wordWrap w:val="0"/>
              <w:overflowPunct/>
              <w:topLinePunct w:val="0"/>
              <w:bidi w:val="0"/>
              <w:spacing w:line="288" w:lineRule="auto"/>
              <w:jc w:val="center"/>
              <w:rPr>
                <w:rFonts w:hint="default" w:ascii="Times New Roman" w:hAnsi="Times New Roman" w:eastAsia="宋体" w:cs="Times New Roman"/>
                <w:color w:val="auto"/>
                <w:sz w:val="21"/>
                <w:szCs w:val="21"/>
                <w:highlight w:val="none"/>
              </w:rPr>
            </w:pPr>
          </w:p>
        </w:tc>
        <w:tc>
          <w:tcPr>
            <w:tcW w:w="445" w:type="pct"/>
            <w:noWrap/>
            <w:vAlign w:val="center"/>
          </w:tcPr>
          <w:p w14:paraId="6AC04A51">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2.2</w:t>
            </w:r>
          </w:p>
        </w:tc>
        <w:tc>
          <w:tcPr>
            <w:tcW w:w="1818" w:type="pct"/>
            <w:noWrap w:val="0"/>
            <w:vAlign w:val="center"/>
          </w:tcPr>
          <w:p w14:paraId="0FF9AED0">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上一年度的财务报表（成立不满一年不需提供）</w:t>
            </w:r>
          </w:p>
        </w:tc>
        <w:tc>
          <w:tcPr>
            <w:tcW w:w="811" w:type="pct"/>
            <w:noWrap w:val="0"/>
            <w:vAlign w:val="center"/>
          </w:tcPr>
          <w:p w14:paraId="693D6233">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提供扫描件</w:t>
            </w:r>
          </w:p>
        </w:tc>
        <w:tc>
          <w:tcPr>
            <w:tcW w:w="1386" w:type="pct"/>
            <w:noWrap w:val="0"/>
            <w:vAlign w:val="center"/>
          </w:tcPr>
          <w:p w14:paraId="65602319">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w:t>
            </w:r>
          </w:p>
        </w:tc>
      </w:tr>
      <w:tr w14:paraId="391AF18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gridAfter w:val="1"/>
          <w:wAfter w:w="5" w:type="dxa"/>
          <w:trHeight w:val="577" w:hRule="atLeast"/>
          <w:jc w:val="center"/>
        </w:trPr>
        <w:tc>
          <w:tcPr>
            <w:tcW w:w="537" w:type="pct"/>
            <w:vMerge w:val="continue"/>
            <w:noWrap w:val="0"/>
            <w:vAlign w:val="center"/>
          </w:tcPr>
          <w:p w14:paraId="779CCC35">
            <w:pPr>
              <w:keepNext w:val="0"/>
              <w:keepLines w:val="0"/>
              <w:pageBreakBefore w:val="0"/>
              <w:widowControl w:val="0"/>
              <w:kinsoku/>
              <w:wordWrap w:val="0"/>
              <w:overflowPunct/>
              <w:topLinePunct w:val="0"/>
              <w:bidi w:val="0"/>
              <w:spacing w:line="288" w:lineRule="auto"/>
              <w:jc w:val="center"/>
              <w:rPr>
                <w:rFonts w:hint="default" w:ascii="Times New Roman" w:hAnsi="Times New Roman" w:eastAsia="宋体" w:cs="Times New Roman"/>
                <w:color w:val="auto"/>
                <w:sz w:val="21"/>
                <w:szCs w:val="21"/>
                <w:highlight w:val="none"/>
              </w:rPr>
            </w:pPr>
          </w:p>
        </w:tc>
        <w:tc>
          <w:tcPr>
            <w:tcW w:w="445" w:type="pct"/>
            <w:noWrap/>
            <w:vAlign w:val="center"/>
          </w:tcPr>
          <w:p w14:paraId="1CC733DC">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2.3</w:t>
            </w:r>
          </w:p>
        </w:tc>
        <w:tc>
          <w:tcPr>
            <w:tcW w:w="1818" w:type="pct"/>
            <w:noWrap w:val="0"/>
            <w:vAlign w:val="center"/>
          </w:tcPr>
          <w:p w14:paraId="576F7CD8">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依法缴纳税收和社会保障资金的相关材料</w:t>
            </w:r>
          </w:p>
        </w:tc>
        <w:tc>
          <w:tcPr>
            <w:tcW w:w="811" w:type="pct"/>
            <w:noWrap w:val="0"/>
            <w:vAlign w:val="center"/>
          </w:tcPr>
          <w:p w14:paraId="20E70B67">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提供承诺函，格式附后</w:t>
            </w:r>
          </w:p>
        </w:tc>
        <w:tc>
          <w:tcPr>
            <w:tcW w:w="1386" w:type="pct"/>
            <w:noWrap w:val="0"/>
            <w:vAlign w:val="center"/>
          </w:tcPr>
          <w:p w14:paraId="13A23D28">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w:t>
            </w:r>
          </w:p>
        </w:tc>
      </w:tr>
      <w:tr w14:paraId="5145ECC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gridAfter w:val="1"/>
          <w:wAfter w:w="5" w:type="dxa"/>
          <w:trHeight w:val="577" w:hRule="atLeast"/>
          <w:jc w:val="center"/>
        </w:trPr>
        <w:tc>
          <w:tcPr>
            <w:tcW w:w="537" w:type="pct"/>
            <w:vMerge w:val="continue"/>
            <w:noWrap w:val="0"/>
            <w:vAlign w:val="center"/>
          </w:tcPr>
          <w:p w14:paraId="0C8694CA">
            <w:pPr>
              <w:keepNext w:val="0"/>
              <w:keepLines w:val="0"/>
              <w:pageBreakBefore w:val="0"/>
              <w:widowControl w:val="0"/>
              <w:kinsoku/>
              <w:wordWrap w:val="0"/>
              <w:overflowPunct/>
              <w:topLinePunct w:val="0"/>
              <w:bidi w:val="0"/>
              <w:spacing w:line="288" w:lineRule="auto"/>
              <w:jc w:val="center"/>
              <w:rPr>
                <w:rFonts w:hint="default" w:ascii="Times New Roman" w:hAnsi="Times New Roman" w:eastAsia="宋体" w:cs="Times New Roman"/>
                <w:color w:val="auto"/>
                <w:sz w:val="21"/>
                <w:szCs w:val="21"/>
                <w:highlight w:val="none"/>
              </w:rPr>
            </w:pPr>
          </w:p>
        </w:tc>
        <w:tc>
          <w:tcPr>
            <w:tcW w:w="445" w:type="pct"/>
            <w:noWrap/>
            <w:vAlign w:val="center"/>
          </w:tcPr>
          <w:p w14:paraId="49A16D8A">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2.4</w:t>
            </w:r>
          </w:p>
        </w:tc>
        <w:tc>
          <w:tcPr>
            <w:tcW w:w="1818" w:type="pct"/>
            <w:noWrap w:val="0"/>
            <w:vAlign w:val="center"/>
          </w:tcPr>
          <w:p w14:paraId="6691D7C2">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具备履行合同所必需的设备和专业技术能力的书面声明</w:t>
            </w:r>
          </w:p>
        </w:tc>
        <w:tc>
          <w:tcPr>
            <w:tcW w:w="811" w:type="pct"/>
            <w:noWrap w:val="0"/>
            <w:vAlign w:val="center"/>
          </w:tcPr>
          <w:p w14:paraId="381902B5">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提供书面声明，格式附后</w:t>
            </w:r>
          </w:p>
        </w:tc>
        <w:tc>
          <w:tcPr>
            <w:tcW w:w="1386" w:type="pct"/>
            <w:noWrap w:val="0"/>
            <w:vAlign w:val="center"/>
          </w:tcPr>
          <w:p w14:paraId="4A9EB105">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w:t>
            </w:r>
          </w:p>
        </w:tc>
      </w:tr>
      <w:tr w14:paraId="1826D0D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gridAfter w:val="1"/>
          <w:wAfter w:w="5" w:type="dxa"/>
          <w:trHeight w:val="577" w:hRule="atLeast"/>
          <w:jc w:val="center"/>
        </w:trPr>
        <w:tc>
          <w:tcPr>
            <w:tcW w:w="537" w:type="pct"/>
            <w:vMerge w:val="continue"/>
            <w:noWrap w:val="0"/>
            <w:vAlign w:val="center"/>
          </w:tcPr>
          <w:p w14:paraId="6DF9CDB3">
            <w:pPr>
              <w:keepNext w:val="0"/>
              <w:keepLines w:val="0"/>
              <w:pageBreakBefore w:val="0"/>
              <w:widowControl w:val="0"/>
              <w:kinsoku/>
              <w:wordWrap w:val="0"/>
              <w:overflowPunct/>
              <w:topLinePunct w:val="0"/>
              <w:bidi w:val="0"/>
              <w:spacing w:line="288" w:lineRule="auto"/>
              <w:jc w:val="center"/>
              <w:rPr>
                <w:rFonts w:hint="default" w:ascii="Times New Roman" w:hAnsi="Times New Roman" w:eastAsia="宋体" w:cs="Times New Roman"/>
                <w:color w:val="auto"/>
                <w:sz w:val="21"/>
                <w:szCs w:val="21"/>
                <w:highlight w:val="none"/>
              </w:rPr>
            </w:pPr>
          </w:p>
        </w:tc>
        <w:tc>
          <w:tcPr>
            <w:tcW w:w="445" w:type="pct"/>
            <w:noWrap/>
            <w:vAlign w:val="center"/>
          </w:tcPr>
          <w:p w14:paraId="526D2A53">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2.5</w:t>
            </w:r>
          </w:p>
        </w:tc>
        <w:tc>
          <w:tcPr>
            <w:tcW w:w="1818" w:type="pct"/>
            <w:noWrap w:val="0"/>
            <w:vAlign w:val="center"/>
          </w:tcPr>
          <w:p w14:paraId="14413EB8">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参加政府采购活动前3年内在经营活动中没有重大违法记录的书面声明</w:t>
            </w:r>
          </w:p>
        </w:tc>
        <w:tc>
          <w:tcPr>
            <w:tcW w:w="811" w:type="pct"/>
            <w:noWrap w:val="0"/>
            <w:vAlign w:val="center"/>
          </w:tcPr>
          <w:p w14:paraId="64EA1483">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提供书面声明，格式附后</w:t>
            </w:r>
          </w:p>
        </w:tc>
        <w:tc>
          <w:tcPr>
            <w:tcW w:w="1386" w:type="pct"/>
            <w:noWrap w:val="0"/>
            <w:vAlign w:val="center"/>
          </w:tcPr>
          <w:p w14:paraId="14CD8136">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w:t>
            </w:r>
          </w:p>
        </w:tc>
      </w:tr>
      <w:tr w14:paraId="2D69DF0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gridAfter w:val="1"/>
          <w:wAfter w:w="5" w:type="dxa"/>
          <w:trHeight w:val="577" w:hRule="atLeast"/>
          <w:jc w:val="center"/>
        </w:trPr>
        <w:tc>
          <w:tcPr>
            <w:tcW w:w="537" w:type="pct"/>
            <w:vMerge w:val="continue"/>
            <w:noWrap w:val="0"/>
            <w:vAlign w:val="center"/>
          </w:tcPr>
          <w:p w14:paraId="608C2628">
            <w:pPr>
              <w:keepNext w:val="0"/>
              <w:keepLines w:val="0"/>
              <w:pageBreakBefore w:val="0"/>
              <w:widowControl w:val="0"/>
              <w:kinsoku/>
              <w:wordWrap w:val="0"/>
              <w:overflowPunct/>
              <w:topLinePunct w:val="0"/>
              <w:bidi w:val="0"/>
              <w:spacing w:line="288" w:lineRule="auto"/>
              <w:jc w:val="center"/>
              <w:rPr>
                <w:rFonts w:hint="default" w:ascii="Times New Roman" w:hAnsi="Times New Roman" w:eastAsia="宋体" w:cs="Times New Roman"/>
                <w:color w:val="auto"/>
                <w:sz w:val="21"/>
                <w:szCs w:val="21"/>
                <w:highlight w:val="none"/>
              </w:rPr>
            </w:pPr>
          </w:p>
        </w:tc>
        <w:tc>
          <w:tcPr>
            <w:tcW w:w="445" w:type="pct"/>
            <w:noWrap/>
            <w:vAlign w:val="center"/>
          </w:tcPr>
          <w:p w14:paraId="7BD3E33F">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2.6</w:t>
            </w:r>
          </w:p>
        </w:tc>
        <w:tc>
          <w:tcPr>
            <w:tcW w:w="1818" w:type="pct"/>
            <w:noWrap w:val="0"/>
            <w:vAlign w:val="center"/>
          </w:tcPr>
          <w:p w14:paraId="23465FDF">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kern w:val="0"/>
                <w:sz w:val="21"/>
                <w:szCs w:val="21"/>
                <w:highlight w:val="none"/>
                <w:lang w:bidi="ar"/>
              </w:rPr>
            </w:pPr>
            <w:r>
              <w:rPr>
                <w:rFonts w:hint="default" w:ascii="Times New Roman" w:hAnsi="Times New Roman" w:eastAsia="宋体" w:cs="Times New Roman"/>
                <w:color w:val="auto"/>
                <w:kern w:val="0"/>
                <w:sz w:val="21"/>
                <w:szCs w:val="21"/>
                <w:highlight w:val="none"/>
                <w:lang w:bidi="ar"/>
              </w:rPr>
              <w:t>未被“信用中国”网站（www.creditchina.gov.cn）列入失信被执行人、重大税收违法案件当事人名单、政府采购严重失信行为记录名单</w:t>
            </w:r>
          </w:p>
        </w:tc>
        <w:tc>
          <w:tcPr>
            <w:tcW w:w="811" w:type="pct"/>
            <w:noWrap w:val="0"/>
            <w:vAlign w:val="center"/>
          </w:tcPr>
          <w:p w14:paraId="185D42FF">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kern w:val="0"/>
                <w:sz w:val="21"/>
                <w:szCs w:val="21"/>
                <w:highlight w:val="none"/>
                <w:lang w:bidi="ar"/>
              </w:rPr>
            </w:pPr>
            <w:r>
              <w:rPr>
                <w:rFonts w:hint="default" w:ascii="Times New Roman" w:hAnsi="Times New Roman" w:eastAsia="宋体" w:cs="Times New Roman"/>
                <w:color w:val="auto"/>
                <w:kern w:val="0"/>
                <w:sz w:val="21"/>
                <w:szCs w:val="21"/>
                <w:highlight w:val="none"/>
                <w:lang w:bidi="ar"/>
              </w:rPr>
              <w:t>提供信用中国网页截图或信用中国下载的信用报告</w:t>
            </w:r>
          </w:p>
        </w:tc>
        <w:tc>
          <w:tcPr>
            <w:tcW w:w="1386" w:type="pct"/>
            <w:noWrap w:val="0"/>
            <w:vAlign w:val="center"/>
          </w:tcPr>
          <w:p w14:paraId="7EE6C859">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r w14:paraId="6D9E6CC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gridAfter w:val="1"/>
          <w:wAfter w:w="5" w:type="dxa"/>
          <w:trHeight w:val="577" w:hRule="atLeast"/>
          <w:jc w:val="center"/>
        </w:trPr>
        <w:tc>
          <w:tcPr>
            <w:tcW w:w="537" w:type="pct"/>
            <w:vMerge w:val="continue"/>
            <w:noWrap w:val="0"/>
            <w:vAlign w:val="center"/>
          </w:tcPr>
          <w:p w14:paraId="40327801">
            <w:pPr>
              <w:keepNext w:val="0"/>
              <w:keepLines w:val="0"/>
              <w:pageBreakBefore w:val="0"/>
              <w:widowControl w:val="0"/>
              <w:kinsoku/>
              <w:wordWrap w:val="0"/>
              <w:overflowPunct/>
              <w:topLinePunct w:val="0"/>
              <w:bidi w:val="0"/>
              <w:spacing w:line="288" w:lineRule="auto"/>
              <w:jc w:val="center"/>
              <w:rPr>
                <w:rFonts w:hint="default" w:ascii="Times New Roman" w:hAnsi="Times New Roman" w:eastAsia="宋体" w:cs="Times New Roman"/>
                <w:color w:val="auto"/>
                <w:sz w:val="21"/>
                <w:szCs w:val="21"/>
                <w:highlight w:val="none"/>
              </w:rPr>
            </w:pPr>
          </w:p>
        </w:tc>
        <w:tc>
          <w:tcPr>
            <w:tcW w:w="445" w:type="pct"/>
            <w:noWrap/>
            <w:vAlign w:val="center"/>
          </w:tcPr>
          <w:p w14:paraId="6D2CAFCF">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2.7</w:t>
            </w:r>
          </w:p>
        </w:tc>
        <w:tc>
          <w:tcPr>
            <w:tcW w:w="1818" w:type="pct"/>
            <w:noWrap w:val="0"/>
            <w:vAlign w:val="center"/>
          </w:tcPr>
          <w:p w14:paraId="7A612BAD">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bidi="ar"/>
              </w:rPr>
              <w:t>供应商（投标人）的</w:t>
            </w:r>
            <w:r>
              <w:rPr>
                <w:rFonts w:hint="default" w:ascii="宋体" w:hAnsi="宋体" w:eastAsia="宋体" w:cs="宋体"/>
                <w:bCs/>
                <w:color w:val="auto"/>
                <w:sz w:val="21"/>
                <w:szCs w:val="21"/>
                <w:highlight w:val="none"/>
              </w:rPr>
              <w:t>城乡规划编制</w:t>
            </w:r>
            <w:r>
              <w:rPr>
                <w:rFonts w:hint="eastAsia" w:ascii="宋体" w:hAnsi="宋体" w:cs="宋体"/>
                <w:bCs/>
                <w:color w:val="auto"/>
                <w:sz w:val="21"/>
                <w:szCs w:val="21"/>
                <w:highlight w:val="none"/>
                <w:lang w:eastAsia="zh-CN"/>
              </w:rPr>
              <w:t>乙级</w:t>
            </w:r>
            <w:r>
              <w:rPr>
                <w:rFonts w:hint="default" w:ascii="宋体" w:hAnsi="宋体" w:eastAsia="宋体" w:cs="宋体"/>
                <w:bCs/>
                <w:color w:val="auto"/>
                <w:sz w:val="21"/>
                <w:szCs w:val="21"/>
                <w:highlight w:val="none"/>
              </w:rPr>
              <w:t>及以上资质</w:t>
            </w:r>
          </w:p>
        </w:tc>
        <w:tc>
          <w:tcPr>
            <w:tcW w:w="811" w:type="pct"/>
            <w:noWrap w:val="0"/>
            <w:vAlign w:val="center"/>
          </w:tcPr>
          <w:p w14:paraId="30E1BC6E">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b w:val="0"/>
                <w:bCs w:val="0"/>
                <w:color w:val="auto"/>
                <w:kern w:val="0"/>
                <w:sz w:val="21"/>
                <w:szCs w:val="21"/>
                <w:highlight w:val="none"/>
                <w:lang w:bidi="ar"/>
              </w:rPr>
            </w:pPr>
            <w:r>
              <w:rPr>
                <w:rFonts w:hint="default" w:ascii="Times New Roman" w:hAnsi="Times New Roman" w:eastAsia="宋体" w:cs="Times New Roman"/>
                <w:b w:val="0"/>
                <w:bCs w:val="0"/>
                <w:color w:val="auto"/>
                <w:kern w:val="0"/>
                <w:sz w:val="21"/>
                <w:szCs w:val="21"/>
                <w:highlight w:val="none"/>
                <w:lang w:bidi="ar"/>
              </w:rPr>
              <w:t>提供扫描件</w:t>
            </w:r>
          </w:p>
        </w:tc>
        <w:tc>
          <w:tcPr>
            <w:tcW w:w="1386" w:type="pct"/>
            <w:noWrap w:val="0"/>
            <w:vAlign w:val="center"/>
          </w:tcPr>
          <w:p w14:paraId="002D3317">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w:t>
            </w:r>
          </w:p>
        </w:tc>
      </w:tr>
      <w:tr w14:paraId="4ACD79E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gridAfter w:val="1"/>
          <w:wAfter w:w="5" w:type="dxa"/>
          <w:trHeight w:val="957" w:hRule="atLeast"/>
          <w:jc w:val="center"/>
        </w:trPr>
        <w:tc>
          <w:tcPr>
            <w:tcW w:w="537" w:type="pct"/>
            <w:noWrap w:val="0"/>
            <w:vAlign w:val="center"/>
          </w:tcPr>
          <w:p w14:paraId="587CAA22">
            <w:pPr>
              <w:keepNext w:val="0"/>
              <w:keepLines w:val="0"/>
              <w:pageBreakBefore w:val="0"/>
              <w:widowControl w:val="0"/>
              <w:kinsoku/>
              <w:wordWrap w:val="0"/>
              <w:overflowPunct/>
              <w:topLinePunct w:val="0"/>
              <w:bidi w:val="0"/>
              <w:spacing w:line="288" w:lineRule="auto"/>
              <w:jc w:val="center"/>
              <w:textAlignment w:val="center"/>
              <w:rPr>
                <w:rFonts w:hint="default" w:ascii="Times New Roman" w:hAnsi="Times New Roman" w:eastAsia="宋体" w:cs="Times New Roman"/>
                <w:color w:val="auto"/>
                <w:kern w:val="0"/>
                <w:sz w:val="21"/>
                <w:szCs w:val="21"/>
                <w:highlight w:val="none"/>
                <w:lang w:bidi="ar"/>
              </w:rPr>
            </w:pPr>
          </w:p>
        </w:tc>
        <w:tc>
          <w:tcPr>
            <w:tcW w:w="445" w:type="pct"/>
            <w:noWrap/>
            <w:vAlign w:val="center"/>
          </w:tcPr>
          <w:p w14:paraId="47A610A1">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2.8</w:t>
            </w:r>
          </w:p>
        </w:tc>
        <w:tc>
          <w:tcPr>
            <w:tcW w:w="1818" w:type="pct"/>
            <w:noWrap w:val="0"/>
            <w:vAlign w:val="center"/>
          </w:tcPr>
          <w:p w14:paraId="544AE4D0">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kern w:val="0"/>
                <w:sz w:val="21"/>
                <w:szCs w:val="21"/>
                <w:highlight w:val="none"/>
                <w:lang w:bidi="ar"/>
              </w:rPr>
            </w:pPr>
            <w:r>
              <w:rPr>
                <w:rFonts w:hint="default" w:ascii="Times New Roman" w:hAnsi="Times New Roman" w:eastAsia="宋体" w:cs="Times New Roman"/>
                <w:color w:val="auto"/>
                <w:kern w:val="0"/>
                <w:sz w:val="21"/>
                <w:szCs w:val="21"/>
                <w:highlight w:val="none"/>
                <w:lang w:bidi="ar"/>
              </w:rPr>
              <w:t>中小企业声明函</w:t>
            </w:r>
          </w:p>
        </w:tc>
        <w:tc>
          <w:tcPr>
            <w:tcW w:w="811" w:type="pct"/>
            <w:noWrap w:val="0"/>
            <w:vAlign w:val="center"/>
          </w:tcPr>
          <w:p w14:paraId="617E3876">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kern w:val="0"/>
                <w:sz w:val="21"/>
                <w:szCs w:val="21"/>
                <w:highlight w:val="none"/>
                <w:lang w:bidi="ar"/>
              </w:rPr>
            </w:pPr>
            <w:r>
              <w:rPr>
                <w:rFonts w:hint="default" w:ascii="Times New Roman" w:hAnsi="Times New Roman" w:eastAsia="宋体" w:cs="Times New Roman"/>
                <w:color w:val="auto"/>
                <w:kern w:val="0"/>
                <w:sz w:val="21"/>
                <w:szCs w:val="21"/>
                <w:highlight w:val="none"/>
                <w:lang w:bidi="ar"/>
              </w:rPr>
              <w:t>格式附后</w:t>
            </w:r>
          </w:p>
        </w:tc>
        <w:tc>
          <w:tcPr>
            <w:tcW w:w="1386" w:type="pct"/>
            <w:noWrap w:val="0"/>
            <w:vAlign w:val="center"/>
          </w:tcPr>
          <w:p w14:paraId="6F266330">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r w14:paraId="43CA8AD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gridAfter w:val="1"/>
          <w:wAfter w:w="5" w:type="dxa"/>
          <w:trHeight w:val="957" w:hRule="atLeast"/>
          <w:jc w:val="center"/>
        </w:trPr>
        <w:tc>
          <w:tcPr>
            <w:tcW w:w="537" w:type="pct"/>
            <w:noWrap w:val="0"/>
            <w:vAlign w:val="center"/>
          </w:tcPr>
          <w:p w14:paraId="1A6A4002">
            <w:pPr>
              <w:keepNext w:val="0"/>
              <w:keepLines w:val="0"/>
              <w:pageBreakBefore w:val="0"/>
              <w:widowControl w:val="0"/>
              <w:kinsoku/>
              <w:wordWrap w:val="0"/>
              <w:overflowPunct/>
              <w:topLinePunct w:val="0"/>
              <w:bidi w:val="0"/>
              <w:spacing w:line="288" w:lineRule="auto"/>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综合评分材料</w:t>
            </w:r>
          </w:p>
        </w:tc>
        <w:tc>
          <w:tcPr>
            <w:tcW w:w="445" w:type="pct"/>
            <w:noWrap/>
            <w:vAlign w:val="center"/>
          </w:tcPr>
          <w:p w14:paraId="54113BEF">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w:t>
            </w:r>
          </w:p>
        </w:tc>
        <w:tc>
          <w:tcPr>
            <w:tcW w:w="1818" w:type="pct"/>
            <w:noWrap w:val="0"/>
            <w:vAlign w:val="center"/>
          </w:tcPr>
          <w:p w14:paraId="1EE06F74">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投标供应商根据综合评分相关对应要求及投标文件制作系统内给定的系统格式逐项提供证明材料。</w:t>
            </w:r>
          </w:p>
        </w:tc>
        <w:tc>
          <w:tcPr>
            <w:tcW w:w="811" w:type="pct"/>
            <w:noWrap w:val="0"/>
            <w:vAlign w:val="center"/>
          </w:tcPr>
          <w:p w14:paraId="7BBD14D6">
            <w:pPr>
              <w:keepNext w:val="0"/>
              <w:keepLines w:val="0"/>
              <w:pageBreakBefore w:val="0"/>
              <w:widowControl w:val="0"/>
              <w:kinsoku/>
              <w:wordWrap w:val="0"/>
              <w:overflowPunct/>
              <w:topLinePunct w:val="0"/>
              <w:bidi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按需、按要求提供</w:t>
            </w:r>
          </w:p>
        </w:tc>
        <w:tc>
          <w:tcPr>
            <w:tcW w:w="1386" w:type="pct"/>
            <w:noWrap w:val="0"/>
            <w:vAlign w:val="center"/>
          </w:tcPr>
          <w:p w14:paraId="5870F3F2">
            <w:pPr>
              <w:keepNext w:val="0"/>
              <w:keepLines w:val="0"/>
              <w:pageBreakBefore w:val="0"/>
              <w:widowControl w:val="0"/>
              <w:kinsoku/>
              <w:wordWrap w:val="0"/>
              <w:overflowPunct/>
              <w:topLinePunct w:val="0"/>
              <w:bidi w:val="0"/>
              <w:jc w:val="left"/>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投标供应商如在相关评审标准对应项下无证明材料的，可不提供材料或直接提供空白页签章。</w:t>
            </w:r>
          </w:p>
        </w:tc>
      </w:tr>
      <w:tr w14:paraId="5AC6716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39" w:hRule="atLeast"/>
          <w:jc w:val="center"/>
        </w:trPr>
        <w:tc>
          <w:tcPr>
            <w:tcW w:w="5000" w:type="pct"/>
            <w:gridSpan w:val="6"/>
            <w:noWrap w:val="0"/>
            <w:vAlign w:val="center"/>
          </w:tcPr>
          <w:p w14:paraId="0052EE80">
            <w:pPr>
              <w:keepNext w:val="0"/>
              <w:keepLines w:val="0"/>
              <w:pageBreakBefore w:val="0"/>
              <w:widowControl w:val="0"/>
              <w:kinsoku/>
              <w:wordWrap w:val="0"/>
              <w:overflowPunct/>
              <w:topLinePunct w:val="0"/>
              <w:bidi w:val="0"/>
              <w:spacing w:line="288" w:lineRule="auto"/>
              <w:jc w:val="center"/>
              <w:textAlignment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kern w:val="0"/>
                <w:sz w:val="21"/>
                <w:szCs w:val="21"/>
                <w:highlight w:val="none"/>
                <w:lang w:bidi="ar"/>
              </w:rPr>
              <w:t>附表说明</w:t>
            </w:r>
          </w:p>
        </w:tc>
      </w:tr>
      <w:tr w14:paraId="7DE12CF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70" w:hRule="atLeast"/>
          <w:jc w:val="center"/>
        </w:trPr>
        <w:tc>
          <w:tcPr>
            <w:tcW w:w="5000" w:type="pct"/>
            <w:gridSpan w:val="6"/>
            <w:noWrap w:val="0"/>
            <w:vAlign w:val="center"/>
          </w:tcPr>
          <w:p w14:paraId="7B4F17DC">
            <w:pPr>
              <w:keepNext w:val="0"/>
              <w:keepLines w:val="0"/>
              <w:pageBreakBefore w:val="0"/>
              <w:widowControl w:val="0"/>
              <w:kinsoku/>
              <w:wordWrap w:val="0"/>
              <w:overflowPunct/>
              <w:topLinePunct w:val="0"/>
              <w:bidi w:val="0"/>
              <w:spacing w:line="288" w:lineRule="auto"/>
              <w:jc w:val="left"/>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bidi="ar"/>
              </w:rPr>
              <w:t>1.</w:t>
            </w:r>
            <w:r>
              <w:rPr>
                <w:rStyle w:val="292"/>
                <w:rFonts w:hint="default" w:ascii="Times New Roman" w:hAnsi="Times New Roman" w:eastAsia="宋体" w:cs="Times New Roman"/>
                <w:color w:val="auto"/>
                <w:sz w:val="21"/>
                <w:szCs w:val="21"/>
                <w:highlight w:val="none"/>
                <w:lang w:bidi="ar"/>
              </w:rPr>
              <w:t>投标文件所有材料中有盖章要求的需加盖相应单位公章（印），有签字要求的须相应人员签字，投标供应商的投标文件使用系统电子签章或盖章后扫描上传的，评标时均予以认可。</w:t>
            </w:r>
            <w:r>
              <w:rPr>
                <w:rStyle w:val="305"/>
                <w:rFonts w:hint="default" w:ascii="Times New Roman" w:hAnsi="Times New Roman" w:eastAsia="宋体" w:cs="Times New Roman"/>
                <w:color w:val="auto"/>
                <w:sz w:val="21"/>
                <w:szCs w:val="21"/>
                <w:highlight w:val="none"/>
                <w:lang w:bidi="ar"/>
              </w:rPr>
              <w:t>2.</w:t>
            </w:r>
            <w:r>
              <w:rPr>
                <w:rStyle w:val="292"/>
                <w:rFonts w:hint="default" w:ascii="Times New Roman" w:hAnsi="Times New Roman" w:eastAsia="宋体" w:cs="Times New Roman"/>
                <w:color w:val="auto"/>
                <w:sz w:val="21"/>
                <w:szCs w:val="21"/>
                <w:highlight w:val="none"/>
                <w:lang w:bidi="ar"/>
              </w:rPr>
              <w:t>投标文件内容需清晰可辨，如因内容不清晰导致评标委员会无法确认内容的，评标委员会将做出不利于投标供应商的判断。</w:t>
            </w:r>
            <w:r>
              <w:rPr>
                <w:rStyle w:val="305"/>
                <w:rFonts w:hint="default" w:ascii="Times New Roman" w:hAnsi="Times New Roman" w:eastAsia="宋体" w:cs="Times New Roman"/>
                <w:color w:val="auto"/>
                <w:sz w:val="21"/>
                <w:szCs w:val="21"/>
                <w:highlight w:val="none"/>
                <w:lang w:bidi="ar"/>
              </w:rPr>
              <w:t>3.</w:t>
            </w:r>
            <w:r>
              <w:rPr>
                <w:rStyle w:val="292"/>
                <w:rFonts w:hint="default" w:ascii="Times New Roman" w:hAnsi="Times New Roman" w:eastAsia="宋体" w:cs="Times New Roman"/>
                <w:color w:val="auto"/>
                <w:sz w:val="21"/>
                <w:szCs w:val="21"/>
                <w:highlight w:val="none"/>
                <w:lang w:bidi="ar"/>
              </w:rPr>
              <w:t>投标供应商的材料如有虚假，视为提供虚假材料谋取中标资格，将被处罚。</w:t>
            </w:r>
            <w:r>
              <w:rPr>
                <w:rStyle w:val="305"/>
                <w:rFonts w:hint="default" w:ascii="Times New Roman" w:hAnsi="Times New Roman" w:eastAsia="宋体" w:cs="Times New Roman"/>
                <w:color w:val="auto"/>
                <w:sz w:val="21"/>
                <w:szCs w:val="21"/>
                <w:highlight w:val="none"/>
                <w:lang w:bidi="ar"/>
              </w:rPr>
              <w:t>4.</w:t>
            </w:r>
            <w:r>
              <w:rPr>
                <w:rStyle w:val="292"/>
                <w:rFonts w:hint="default" w:ascii="Times New Roman" w:hAnsi="Times New Roman" w:eastAsia="宋体" w:cs="Times New Roman"/>
                <w:color w:val="auto"/>
                <w:sz w:val="21"/>
                <w:szCs w:val="21"/>
                <w:highlight w:val="none"/>
                <w:lang w:bidi="ar"/>
              </w:rPr>
              <w:t>上述材料如对应的综合评分细则中有明确要求的，必须提供，否则不予认定给分。</w:t>
            </w:r>
            <w:r>
              <w:rPr>
                <w:rStyle w:val="305"/>
                <w:rFonts w:hint="default" w:ascii="Times New Roman" w:hAnsi="Times New Roman" w:eastAsia="宋体" w:cs="Times New Roman"/>
                <w:color w:val="auto"/>
                <w:sz w:val="21"/>
                <w:szCs w:val="21"/>
                <w:highlight w:val="none"/>
                <w:lang w:bidi="ar"/>
              </w:rPr>
              <w:t>5.</w:t>
            </w:r>
            <w:r>
              <w:rPr>
                <w:rStyle w:val="292"/>
                <w:rFonts w:hint="default" w:ascii="Times New Roman" w:hAnsi="Times New Roman" w:eastAsia="宋体" w:cs="Times New Roman"/>
                <w:color w:val="auto"/>
                <w:sz w:val="21"/>
                <w:szCs w:val="21"/>
                <w:highlight w:val="none"/>
                <w:lang w:bidi="ar"/>
              </w:rPr>
              <w:t>如招标文件中对上述内容已提供具体格式的，投标供应商可按照格式进行填写，必要时可以作出补充说明，但不得改变已提供的实质性内容。如招标文件未给出明确格式的，投标供应商应当按照评分或审查要求自行拟定格式，但应当确保内容的完整、齐全。</w:t>
            </w:r>
            <w:r>
              <w:rPr>
                <w:rStyle w:val="305"/>
                <w:rFonts w:hint="default" w:ascii="Times New Roman" w:hAnsi="Times New Roman" w:eastAsia="宋体" w:cs="Times New Roman"/>
                <w:color w:val="auto"/>
                <w:sz w:val="21"/>
                <w:szCs w:val="21"/>
                <w:highlight w:val="none"/>
                <w:lang w:bidi="ar"/>
              </w:rPr>
              <w:t>6.</w:t>
            </w:r>
            <w:r>
              <w:rPr>
                <w:rStyle w:val="292"/>
                <w:rFonts w:hint="default" w:ascii="Times New Roman" w:hAnsi="Times New Roman" w:eastAsia="宋体" w:cs="Times New Roman"/>
                <w:color w:val="auto"/>
                <w:sz w:val="21"/>
                <w:szCs w:val="21"/>
                <w:highlight w:val="none"/>
                <w:lang w:bidi="ar"/>
              </w:rPr>
              <w:t>本表中或本文件中载明本项目不需要提供的材料，系统中编制投标文件时，可以提供空白页并按系统要求签章。</w:t>
            </w:r>
          </w:p>
        </w:tc>
      </w:tr>
    </w:tbl>
    <w:p w14:paraId="540E24CD">
      <w:pPr>
        <w:pStyle w:val="9"/>
        <w:keepNext w:val="0"/>
        <w:keepLines w:val="0"/>
        <w:pageBreakBefore w:val="0"/>
        <w:widowControl w:val="0"/>
        <w:kinsoku/>
        <w:wordWrap w:val="0"/>
        <w:overflowPunct/>
        <w:topLinePunct w:val="0"/>
        <w:bidi w:val="0"/>
        <w:spacing w:before="0" w:after="0" w:line="520" w:lineRule="exact"/>
        <w:ind w:firstLine="315" w:firstLineChars="150"/>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12、证明投标人资格及符合招标文件规定的文件</w:t>
      </w:r>
      <w:bookmarkEnd w:id="105"/>
      <w:bookmarkEnd w:id="106"/>
      <w:bookmarkEnd w:id="107"/>
    </w:p>
    <w:p w14:paraId="1801D249">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12.1</w:t>
      </w:r>
      <w:bookmarkStart w:id="111" w:name="_Hlt26668999"/>
      <w:bookmarkEnd w:id="111"/>
      <w:r>
        <w:rPr>
          <w:rFonts w:hint="default" w:ascii="Times New Roman" w:hAnsi="Times New Roman" w:eastAsia="宋体" w:cs="Times New Roman"/>
          <w:color w:val="auto"/>
          <w:sz w:val="21"/>
          <w:szCs w:val="21"/>
          <w:highlight w:val="none"/>
        </w:rPr>
        <w:t>投标人应按要求提交资格证明文件及符合招标文件规定的文件。</w:t>
      </w:r>
    </w:p>
    <w:p w14:paraId="271197CC">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12.2投标人应提交证明其有资格参加投标和中标后有能力独立履行合同的文件。</w:t>
      </w:r>
    </w:p>
    <w:p w14:paraId="3209E922">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12.3投标人除必须具有履行合同所需提供的货物以及服务的能力外，还必须具备相应的财务、技术方面的能力。</w:t>
      </w:r>
    </w:p>
    <w:p w14:paraId="1457BC15">
      <w:pPr>
        <w:keepNext w:val="0"/>
        <w:keepLines w:val="0"/>
        <w:pageBreakBefore w:val="0"/>
        <w:widowControl w:val="0"/>
        <w:kinsoku/>
        <w:wordWrap w:val="0"/>
        <w:overflowPunct/>
        <w:topLinePunct w:val="0"/>
        <w:bidi w:val="0"/>
        <w:spacing w:line="52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12.4投标人应提交根据合同要求提供的证明产品质量合格以及符合招标文件规定的证明文件。</w:t>
      </w:r>
    </w:p>
    <w:p w14:paraId="52604A17">
      <w:pPr>
        <w:keepNext w:val="0"/>
        <w:keepLines w:val="0"/>
        <w:pageBreakBefore w:val="0"/>
        <w:widowControl w:val="0"/>
        <w:kinsoku/>
        <w:wordWrap w:val="0"/>
        <w:overflowPunct/>
        <w:topLinePunct w:val="0"/>
        <w:bidi w:val="0"/>
        <w:spacing w:line="52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12.5证明投标人所提供货物与招标文件的要求相一致的文件可以是手册、图纸、文字资料和数据</w:t>
      </w:r>
      <w:r>
        <w:rPr>
          <w:rFonts w:hint="default" w:ascii="Times New Roman" w:hAnsi="Times New Roman" w:eastAsia="宋体" w:cs="Times New Roman"/>
          <w:bCs/>
          <w:color w:val="auto"/>
          <w:sz w:val="21"/>
          <w:szCs w:val="21"/>
          <w:highlight w:val="none"/>
        </w:rPr>
        <w:t>。</w:t>
      </w:r>
    </w:p>
    <w:bookmarkEnd w:id="108"/>
    <w:bookmarkEnd w:id="109"/>
    <w:bookmarkEnd w:id="110"/>
    <w:p w14:paraId="1DDE055C">
      <w:pPr>
        <w:pStyle w:val="9"/>
        <w:keepNext w:val="0"/>
        <w:keepLines w:val="0"/>
        <w:pageBreakBefore w:val="0"/>
        <w:widowControl w:val="0"/>
        <w:kinsoku/>
        <w:wordWrap w:val="0"/>
        <w:overflowPunct/>
        <w:topLinePunct w:val="0"/>
        <w:bidi w:val="0"/>
        <w:spacing w:before="0" w:after="0" w:line="520" w:lineRule="exact"/>
        <w:ind w:firstLine="315" w:firstLineChars="150"/>
        <w:rPr>
          <w:rFonts w:hint="default" w:ascii="Times New Roman" w:hAnsi="Times New Roman" w:eastAsia="宋体" w:cs="Times New Roman"/>
          <w:b w:val="0"/>
          <w:bCs w:val="0"/>
          <w:color w:val="auto"/>
          <w:sz w:val="21"/>
          <w:szCs w:val="21"/>
          <w:highlight w:val="none"/>
        </w:rPr>
      </w:pPr>
      <w:bookmarkStart w:id="112" w:name="_Toc14577355"/>
      <w:bookmarkStart w:id="113" w:name="_Toc49090508"/>
      <w:r>
        <w:rPr>
          <w:rFonts w:hint="default" w:ascii="Times New Roman" w:hAnsi="Times New Roman" w:eastAsia="宋体" w:cs="Times New Roman"/>
          <w:b w:val="0"/>
          <w:bCs w:val="0"/>
          <w:color w:val="auto"/>
          <w:sz w:val="21"/>
          <w:szCs w:val="21"/>
          <w:highlight w:val="none"/>
        </w:rPr>
        <w:t>13、供货一览表和投标配置与分项报价</w:t>
      </w:r>
      <w:bookmarkEnd w:id="112"/>
      <w:bookmarkStart w:id="114" w:name="_Hlt26670373"/>
      <w:bookmarkEnd w:id="114"/>
      <w:r>
        <w:rPr>
          <w:rFonts w:hint="default" w:ascii="Times New Roman" w:hAnsi="Times New Roman" w:eastAsia="宋体" w:cs="Times New Roman"/>
          <w:b w:val="0"/>
          <w:bCs w:val="0"/>
          <w:color w:val="auto"/>
          <w:sz w:val="21"/>
          <w:szCs w:val="21"/>
          <w:highlight w:val="none"/>
        </w:rPr>
        <w:t>表</w:t>
      </w:r>
      <w:bookmarkEnd w:id="113"/>
    </w:p>
    <w:p w14:paraId="133C0137">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13.1</w:t>
      </w:r>
      <w:r>
        <w:rPr>
          <w:rFonts w:hint="default" w:ascii="Times New Roman" w:hAnsi="Times New Roman" w:eastAsia="宋体" w:cs="Times New Roman"/>
          <w:color w:val="auto"/>
          <w:sz w:val="21"/>
          <w:szCs w:val="21"/>
          <w:highlight w:val="none"/>
        </w:rPr>
        <w:t xml:space="preserve"> 投</w:t>
      </w:r>
      <w:bookmarkStart w:id="115" w:name="_Hlt26954840"/>
      <w:bookmarkEnd w:id="115"/>
      <w:r>
        <w:rPr>
          <w:rFonts w:hint="default" w:ascii="Times New Roman" w:hAnsi="Times New Roman" w:eastAsia="宋体" w:cs="Times New Roman"/>
          <w:color w:val="auto"/>
          <w:sz w:val="21"/>
          <w:szCs w:val="21"/>
          <w:highlight w:val="none"/>
        </w:rPr>
        <w:t>标人应按照招标文件规定格式填报供货一览表、投标配置与分项报价表</w:t>
      </w:r>
      <w:bookmarkStart w:id="116" w:name="_Hlt26670399"/>
      <w:bookmarkEnd w:id="116"/>
      <w:r>
        <w:rPr>
          <w:rFonts w:hint="default" w:ascii="Times New Roman" w:hAnsi="Times New Roman" w:eastAsia="宋体" w:cs="Times New Roman"/>
          <w:color w:val="auto"/>
          <w:sz w:val="21"/>
          <w:szCs w:val="21"/>
          <w:highlight w:val="none"/>
        </w:rPr>
        <w:t>，在表中标明所提供的设备品牌、规格、型号、原产地、主要部件型号及其功能的中文说明和供货期。每项货物和服务等只允许有一个报价，任何有选择的报价将不予接受(如有备选配件，备选配件的报价不属于选择的报价)。</w:t>
      </w:r>
    </w:p>
    <w:p w14:paraId="0ECF6F5A">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Cs/>
          <w:color w:val="auto"/>
          <w:sz w:val="21"/>
          <w:szCs w:val="21"/>
          <w:highlight w:val="none"/>
        </w:rPr>
        <w:t>13.2</w:t>
      </w:r>
      <w:r>
        <w:rPr>
          <w:rFonts w:hint="default" w:ascii="Times New Roman" w:hAnsi="Times New Roman" w:eastAsia="宋体" w:cs="Times New Roman"/>
          <w:color w:val="auto"/>
          <w:sz w:val="21"/>
          <w:szCs w:val="21"/>
          <w:highlight w:val="none"/>
        </w:rPr>
        <w:t xml:space="preserve"> 标的物</w:t>
      </w:r>
    </w:p>
    <w:p w14:paraId="123381E4">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Cs/>
          <w:color w:val="auto"/>
          <w:sz w:val="21"/>
          <w:szCs w:val="21"/>
          <w:highlight w:val="none"/>
        </w:rPr>
        <w:t>采购人需求的货物供应、安装，调试及有关技术服务等</w:t>
      </w:r>
      <w:r>
        <w:rPr>
          <w:rFonts w:hint="default" w:ascii="Times New Roman" w:hAnsi="Times New Roman" w:eastAsia="宋体" w:cs="Times New Roman"/>
          <w:color w:val="auto"/>
          <w:sz w:val="21"/>
          <w:szCs w:val="21"/>
          <w:highlight w:val="none"/>
        </w:rPr>
        <w:t>。</w:t>
      </w:r>
    </w:p>
    <w:p w14:paraId="2D93940F">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auto"/>
          <w:sz w:val="21"/>
          <w:szCs w:val="21"/>
          <w:highlight w:val="none"/>
        </w:rPr>
        <w:t>13.3</w:t>
      </w:r>
      <w:r>
        <w:rPr>
          <w:rFonts w:hint="default" w:ascii="Times New Roman" w:hAnsi="Times New Roman" w:eastAsia="宋体" w:cs="Times New Roman"/>
          <w:bCs/>
          <w:color w:val="auto"/>
          <w:sz w:val="21"/>
          <w:szCs w:val="21"/>
          <w:highlight w:val="none"/>
        </w:rPr>
        <w:t>有关费用处理</w:t>
      </w:r>
    </w:p>
    <w:p w14:paraId="5F8889BF">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p>
    <w:p w14:paraId="56F628D3">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auto"/>
          <w:sz w:val="21"/>
          <w:szCs w:val="21"/>
          <w:highlight w:val="none"/>
        </w:rPr>
        <w:t>招标人约定由中标人向招标代理机构一次性支付招标代理服务费，投标人须将此费用纳入投标报价中，招标人不另行支付。</w:t>
      </w:r>
    </w:p>
    <w:p w14:paraId="1141A2EC">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auto"/>
          <w:sz w:val="21"/>
          <w:szCs w:val="21"/>
          <w:highlight w:val="none"/>
        </w:rPr>
        <w:t>13.4</w:t>
      </w:r>
      <w:r>
        <w:rPr>
          <w:rFonts w:hint="default" w:ascii="Times New Roman" w:hAnsi="Times New Roman" w:eastAsia="宋体" w:cs="Times New Roman"/>
          <w:bCs/>
          <w:color w:val="auto"/>
          <w:sz w:val="21"/>
          <w:szCs w:val="21"/>
          <w:highlight w:val="none"/>
        </w:rPr>
        <w:t>其它费用处理</w:t>
      </w:r>
    </w:p>
    <w:p w14:paraId="148F7D83">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招标文件未列明，而投标人认为必需的费用也需列入报价。</w:t>
      </w:r>
    </w:p>
    <w:p w14:paraId="403198ED">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auto"/>
          <w:sz w:val="21"/>
          <w:szCs w:val="21"/>
          <w:highlight w:val="none"/>
        </w:rPr>
        <w:t>13.5</w:t>
      </w:r>
      <w:r>
        <w:rPr>
          <w:rFonts w:hint="default" w:ascii="Times New Roman" w:hAnsi="Times New Roman" w:eastAsia="宋体" w:cs="Times New Roman"/>
          <w:bCs/>
          <w:color w:val="auto"/>
          <w:sz w:val="21"/>
          <w:szCs w:val="21"/>
          <w:highlight w:val="none"/>
        </w:rPr>
        <w:t>投标货币</w:t>
      </w:r>
    </w:p>
    <w:p w14:paraId="2D7265DE">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投标文件中的货物单价和总价无特殊规定的采用人民币报价，以元为单位标注。</w:t>
      </w:r>
      <w:r>
        <w:rPr>
          <w:rFonts w:hint="default" w:ascii="Times New Roman" w:hAnsi="Times New Roman" w:eastAsia="宋体" w:cs="Times New Roman"/>
          <w:color w:val="auto"/>
          <w:sz w:val="21"/>
          <w:szCs w:val="21"/>
          <w:highlight w:val="none"/>
        </w:rPr>
        <w:t>招标文件中另有规定的按规定执行。</w:t>
      </w:r>
    </w:p>
    <w:p w14:paraId="550E91FD">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13.6</w:t>
      </w:r>
      <w:r>
        <w:rPr>
          <w:rFonts w:hint="default" w:ascii="Times New Roman" w:hAnsi="Times New Roman" w:eastAsia="宋体" w:cs="Times New Roman"/>
          <w:bCs/>
          <w:color w:val="auto"/>
          <w:sz w:val="21"/>
          <w:szCs w:val="21"/>
          <w:highlight w:val="none"/>
        </w:rPr>
        <w:t xml:space="preserve"> 投标配置与分项报价表上的价格应按下列方式分开填写</w:t>
      </w:r>
      <w:r>
        <w:rPr>
          <w:rFonts w:hint="default" w:ascii="Times New Roman" w:hAnsi="Times New Roman" w:eastAsia="宋体" w:cs="Times New Roman"/>
          <w:color w:val="auto"/>
          <w:sz w:val="21"/>
          <w:szCs w:val="21"/>
          <w:highlight w:val="none"/>
        </w:rPr>
        <w:t>：</w:t>
      </w:r>
    </w:p>
    <w:p w14:paraId="0AFDB28A">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bCs/>
          <w:color w:val="auto"/>
          <w:sz w:val="21"/>
          <w:szCs w:val="21"/>
          <w:highlight w:val="none"/>
        </w:rPr>
      </w:pPr>
      <w:bookmarkStart w:id="117" w:name="_Hlt26670425"/>
      <w:bookmarkEnd w:id="117"/>
      <w:bookmarkStart w:id="118" w:name="_Hlt26954842"/>
      <w:bookmarkEnd w:id="118"/>
      <w:bookmarkStart w:id="119" w:name="_Hlt26670403"/>
      <w:bookmarkEnd w:id="119"/>
      <w:bookmarkStart w:id="120" w:name="_Hlt26954844"/>
      <w:bookmarkEnd w:id="120"/>
      <w:bookmarkStart w:id="121" w:name="_Hlt26668983"/>
      <w:bookmarkEnd w:id="121"/>
      <w:r>
        <w:rPr>
          <w:rFonts w:hint="default" w:ascii="Times New Roman" w:hAnsi="Times New Roman" w:eastAsia="宋体" w:cs="Times New Roman"/>
          <w:bCs/>
          <w:color w:val="auto"/>
          <w:sz w:val="21"/>
          <w:szCs w:val="21"/>
          <w:highlight w:val="none"/>
        </w:rPr>
        <w:t xml:space="preserve">13.6.1 </w:t>
      </w:r>
      <w:r>
        <w:rPr>
          <w:rFonts w:hint="default" w:ascii="Times New Roman" w:hAnsi="Times New Roman" w:eastAsia="宋体" w:cs="Times New Roman"/>
          <w:color w:val="auto"/>
          <w:sz w:val="21"/>
          <w:szCs w:val="21"/>
          <w:highlight w:val="none"/>
        </w:rPr>
        <w:t>项目总价：包括</w:t>
      </w:r>
      <w:r>
        <w:rPr>
          <w:rFonts w:hint="default" w:ascii="Times New Roman" w:hAnsi="Times New Roman" w:eastAsia="宋体" w:cs="Times New Roman"/>
          <w:bCs/>
          <w:color w:val="auto"/>
          <w:sz w:val="21"/>
          <w:szCs w:val="21"/>
          <w:highlight w:val="none"/>
        </w:rPr>
        <w:t>买方需求的货物价格</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bCs/>
          <w:color w:val="auto"/>
          <w:sz w:val="21"/>
          <w:szCs w:val="21"/>
          <w:highlight w:val="none"/>
        </w:rPr>
        <w:t>质量保证费用、培训费用及售后服务费用，项目在指定地点、环境交付、安装、调试、验收所需费用和所有</w:t>
      </w:r>
      <w:r>
        <w:rPr>
          <w:rFonts w:hint="default" w:ascii="Times New Roman" w:hAnsi="Times New Roman" w:eastAsia="宋体" w:cs="Times New Roman"/>
          <w:color w:val="auto"/>
          <w:sz w:val="21"/>
          <w:szCs w:val="21"/>
          <w:highlight w:val="none"/>
        </w:rPr>
        <w:t>相关税金费用</w:t>
      </w:r>
      <w:r>
        <w:rPr>
          <w:rFonts w:hint="default" w:ascii="Times New Roman" w:hAnsi="Times New Roman" w:eastAsia="宋体" w:cs="Times New Roman"/>
          <w:bCs/>
          <w:color w:val="auto"/>
          <w:sz w:val="21"/>
          <w:szCs w:val="21"/>
          <w:highlight w:val="none"/>
        </w:rPr>
        <w:t>及为完成整个项目所产生的其它所有费用。</w:t>
      </w:r>
    </w:p>
    <w:p w14:paraId="75DE5205">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auto"/>
          <w:sz w:val="21"/>
          <w:szCs w:val="21"/>
          <w:highlight w:val="none"/>
        </w:rPr>
        <w:t>13.6.2</w:t>
      </w:r>
      <w:r>
        <w:rPr>
          <w:rFonts w:hint="default" w:ascii="Times New Roman" w:hAnsi="Times New Roman" w:eastAsia="宋体" w:cs="Times New Roman"/>
          <w:bCs/>
          <w:color w:val="auto"/>
          <w:sz w:val="21"/>
          <w:szCs w:val="21"/>
          <w:highlight w:val="none"/>
        </w:rPr>
        <w:t>项目单价按投标配置及分项报价表中要求填报。</w:t>
      </w:r>
      <w:bookmarkStart w:id="122" w:name="_Hlt26670486"/>
      <w:bookmarkEnd w:id="122"/>
      <w:bookmarkStart w:id="123" w:name="_Hlt26954846"/>
      <w:bookmarkEnd w:id="123"/>
      <w:bookmarkStart w:id="124" w:name="_Hlt26670482"/>
      <w:bookmarkEnd w:id="124"/>
      <w:bookmarkStart w:id="125" w:name="_Hlt26954848"/>
      <w:bookmarkEnd w:id="125"/>
      <w:bookmarkStart w:id="126" w:name="_Hlt26954731"/>
      <w:bookmarkEnd w:id="126"/>
    </w:p>
    <w:p w14:paraId="3AD5DDA9">
      <w:pPr>
        <w:keepNext w:val="0"/>
        <w:keepLines w:val="0"/>
        <w:pageBreakBefore w:val="0"/>
        <w:widowControl w:val="0"/>
        <w:kinsoku/>
        <w:wordWrap w:val="0"/>
        <w:overflowPunct/>
        <w:topLinePunct w:val="0"/>
        <w:bidi w:val="0"/>
        <w:spacing w:line="520" w:lineRule="exact"/>
        <w:ind w:firstLine="315" w:firstLineChars="15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14</w:t>
      </w:r>
      <w:r>
        <w:rPr>
          <w:rFonts w:hint="default" w:ascii="Times New Roman" w:hAnsi="Times New Roman" w:eastAsia="宋体" w:cs="Times New Roman"/>
          <w:b/>
          <w:bCs/>
          <w:color w:val="auto"/>
          <w:sz w:val="21"/>
          <w:szCs w:val="21"/>
          <w:highlight w:val="none"/>
        </w:rPr>
        <w:t>、</w:t>
      </w:r>
      <w:r>
        <w:rPr>
          <w:rFonts w:hint="default" w:ascii="Times New Roman" w:hAnsi="Times New Roman" w:eastAsia="宋体" w:cs="Times New Roman"/>
          <w:color w:val="auto"/>
          <w:sz w:val="21"/>
          <w:szCs w:val="21"/>
          <w:highlight w:val="none"/>
        </w:rPr>
        <w:t>技术参数响应及偏离表、商务条款响应及偏离表及投标货物说明</w:t>
      </w:r>
    </w:p>
    <w:p w14:paraId="79AC3F7C">
      <w:pPr>
        <w:keepNext w:val="0"/>
        <w:keepLines w:val="0"/>
        <w:pageBreakBefore w:val="0"/>
        <w:widowControl w:val="0"/>
        <w:kinsoku/>
        <w:wordWrap w:val="0"/>
        <w:overflowPunct/>
        <w:topLinePunct w:val="0"/>
        <w:bidi w:val="0"/>
        <w:adjustRightInd w:val="0"/>
        <w:spacing w:line="520" w:lineRule="exact"/>
        <w:ind w:firstLine="420" w:firstLineChars="200"/>
        <w:rPr>
          <w:rFonts w:hint="default" w:ascii="Times New Roman" w:hAnsi="Times New Roman" w:eastAsia="宋体" w:cs="Times New Roman"/>
          <w:color w:val="auto"/>
          <w:sz w:val="21"/>
          <w:szCs w:val="21"/>
          <w:highlight w:val="none"/>
          <w:lang w:val="zh-CN"/>
        </w:rPr>
      </w:pPr>
      <w:r>
        <w:rPr>
          <w:rFonts w:hint="default" w:ascii="Times New Roman" w:hAnsi="Times New Roman" w:eastAsia="宋体" w:cs="Times New Roman"/>
          <w:bCs/>
          <w:color w:val="auto"/>
          <w:sz w:val="21"/>
          <w:szCs w:val="21"/>
          <w:highlight w:val="none"/>
          <w:lang w:val="zh-CN"/>
        </w:rPr>
        <w:t>14.1</w:t>
      </w:r>
      <w:r>
        <w:rPr>
          <w:rFonts w:hint="default" w:ascii="Times New Roman" w:hAnsi="Times New Roman" w:eastAsia="宋体" w:cs="Times New Roman"/>
          <w:color w:val="auto"/>
          <w:sz w:val="21"/>
          <w:szCs w:val="21"/>
          <w:highlight w:val="none"/>
          <w:lang w:val="zh-CN"/>
        </w:rPr>
        <w:t xml:space="preserve"> 对招标文件中的技术与商务条款要求逐项作出响应或偏离，并说明原因；</w:t>
      </w:r>
    </w:p>
    <w:p w14:paraId="04BDCA6C">
      <w:pPr>
        <w:keepNext w:val="0"/>
        <w:keepLines w:val="0"/>
        <w:pageBreakBefore w:val="0"/>
        <w:widowControl w:val="0"/>
        <w:tabs>
          <w:tab w:val="left" w:pos="1035"/>
        </w:tabs>
        <w:kinsoku/>
        <w:wordWrap w:val="0"/>
        <w:overflowPunct/>
        <w:topLinePunct w:val="0"/>
        <w:bidi w:val="0"/>
        <w:adjustRightInd w:val="0"/>
        <w:spacing w:line="520" w:lineRule="exact"/>
        <w:ind w:firstLine="420" w:firstLineChars="200"/>
        <w:rPr>
          <w:rFonts w:hint="default" w:ascii="Times New Roman" w:hAnsi="Times New Roman" w:eastAsia="宋体" w:cs="Times New Roman"/>
          <w:color w:val="auto"/>
          <w:sz w:val="21"/>
          <w:szCs w:val="21"/>
          <w:highlight w:val="none"/>
          <w:lang w:val="zh-CN"/>
        </w:rPr>
      </w:pPr>
      <w:r>
        <w:rPr>
          <w:rFonts w:hint="default" w:ascii="Times New Roman" w:hAnsi="Times New Roman" w:eastAsia="宋体" w:cs="Times New Roman"/>
          <w:color w:val="auto"/>
          <w:sz w:val="21"/>
          <w:szCs w:val="21"/>
          <w:highlight w:val="none"/>
          <w:lang w:val="zh-CN"/>
        </w:rPr>
        <w:t>14.2 提供参加本项目类似案例简介；</w:t>
      </w:r>
    </w:p>
    <w:p w14:paraId="40685727">
      <w:pPr>
        <w:keepNext w:val="0"/>
        <w:keepLines w:val="0"/>
        <w:pageBreakBefore w:val="0"/>
        <w:widowControl w:val="0"/>
        <w:tabs>
          <w:tab w:val="left" w:pos="1035"/>
        </w:tabs>
        <w:kinsoku/>
        <w:wordWrap w:val="0"/>
        <w:overflowPunct/>
        <w:topLinePunct w:val="0"/>
        <w:bidi w:val="0"/>
        <w:adjustRightInd w:val="0"/>
        <w:spacing w:line="520" w:lineRule="exact"/>
        <w:ind w:firstLine="420" w:firstLineChars="200"/>
        <w:rPr>
          <w:rFonts w:hint="default" w:ascii="Times New Roman" w:hAnsi="Times New Roman" w:eastAsia="宋体" w:cs="Times New Roman"/>
          <w:color w:val="auto"/>
          <w:sz w:val="21"/>
          <w:szCs w:val="21"/>
          <w:highlight w:val="none"/>
          <w:lang w:val="zh-CN"/>
        </w:rPr>
      </w:pPr>
      <w:r>
        <w:rPr>
          <w:rFonts w:hint="default" w:ascii="Times New Roman" w:hAnsi="Times New Roman" w:eastAsia="宋体" w:cs="Times New Roman"/>
          <w:color w:val="auto"/>
          <w:sz w:val="21"/>
          <w:szCs w:val="21"/>
          <w:highlight w:val="none"/>
          <w:lang w:val="zh-CN"/>
        </w:rPr>
        <w:t>14.3 培训计划；</w:t>
      </w:r>
    </w:p>
    <w:p w14:paraId="3F46EA9F">
      <w:pPr>
        <w:keepNext w:val="0"/>
        <w:keepLines w:val="0"/>
        <w:pageBreakBefore w:val="0"/>
        <w:widowControl w:val="0"/>
        <w:tabs>
          <w:tab w:val="left" w:pos="1035"/>
        </w:tabs>
        <w:kinsoku/>
        <w:wordWrap w:val="0"/>
        <w:overflowPunct/>
        <w:topLinePunct w:val="0"/>
        <w:bidi w:val="0"/>
        <w:adjustRightInd w:val="0"/>
        <w:spacing w:line="520" w:lineRule="exact"/>
        <w:ind w:firstLine="420" w:firstLineChars="200"/>
        <w:rPr>
          <w:rFonts w:hint="default" w:ascii="Times New Roman" w:hAnsi="Times New Roman" w:eastAsia="宋体" w:cs="Times New Roman"/>
          <w:color w:val="auto"/>
          <w:sz w:val="21"/>
          <w:szCs w:val="21"/>
          <w:highlight w:val="none"/>
          <w:lang w:val="zh-CN"/>
        </w:rPr>
      </w:pPr>
      <w:r>
        <w:rPr>
          <w:rFonts w:hint="default" w:ascii="Times New Roman" w:hAnsi="Times New Roman" w:eastAsia="宋体" w:cs="Times New Roman"/>
          <w:color w:val="auto"/>
          <w:sz w:val="21"/>
          <w:szCs w:val="21"/>
          <w:highlight w:val="none"/>
          <w:lang w:val="zh-CN"/>
        </w:rPr>
        <w:t>14.4 详细阐述所投货物的主要组成部分、功能设计、实现思路及关键技术；</w:t>
      </w:r>
    </w:p>
    <w:p w14:paraId="7EE914E3">
      <w:pPr>
        <w:keepNext w:val="0"/>
        <w:keepLines w:val="0"/>
        <w:pageBreakBefore w:val="0"/>
        <w:widowControl w:val="0"/>
        <w:tabs>
          <w:tab w:val="left" w:pos="1035"/>
        </w:tabs>
        <w:kinsoku/>
        <w:wordWrap w:val="0"/>
        <w:overflowPunct/>
        <w:topLinePunct w:val="0"/>
        <w:bidi w:val="0"/>
        <w:adjustRightInd w:val="0"/>
        <w:spacing w:line="520" w:lineRule="exact"/>
        <w:ind w:firstLine="420" w:firstLineChars="200"/>
        <w:rPr>
          <w:rFonts w:hint="default" w:ascii="Times New Roman" w:hAnsi="Times New Roman" w:eastAsia="宋体" w:cs="Times New Roman"/>
          <w:color w:val="auto"/>
          <w:sz w:val="21"/>
          <w:szCs w:val="21"/>
          <w:highlight w:val="none"/>
          <w:lang w:val="zh-CN"/>
        </w:rPr>
      </w:pPr>
      <w:r>
        <w:rPr>
          <w:rFonts w:hint="default" w:ascii="Times New Roman" w:hAnsi="Times New Roman" w:eastAsia="宋体" w:cs="Times New Roman"/>
          <w:color w:val="auto"/>
          <w:sz w:val="21"/>
          <w:szCs w:val="21"/>
          <w:highlight w:val="none"/>
          <w:lang w:val="zh-CN"/>
        </w:rPr>
        <w:t>14.5 投标人认为需要的其他技术文件或说明。</w:t>
      </w:r>
    </w:p>
    <w:p w14:paraId="6962841F">
      <w:pPr>
        <w:keepNext w:val="0"/>
        <w:keepLines w:val="0"/>
        <w:pageBreakBefore w:val="0"/>
        <w:widowControl w:val="0"/>
        <w:tabs>
          <w:tab w:val="left" w:pos="1035"/>
        </w:tabs>
        <w:kinsoku/>
        <w:wordWrap w:val="0"/>
        <w:overflowPunct/>
        <w:topLinePunct w:val="0"/>
        <w:bidi w:val="0"/>
        <w:adjustRightInd w:val="0"/>
        <w:spacing w:line="520" w:lineRule="exact"/>
        <w:ind w:firstLine="315" w:firstLineChars="150"/>
        <w:rPr>
          <w:rFonts w:hint="default" w:ascii="Times New Roman" w:hAnsi="Times New Roman" w:eastAsia="宋体" w:cs="Times New Roman"/>
          <w:bCs/>
          <w:color w:val="auto"/>
          <w:sz w:val="21"/>
          <w:szCs w:val="21"/>
          <w:highlight w:val="none"/>
          <w:lang w:val="zh-CN"/>
        </w:rPr>
      </w:pPr>
      <w:r>
        <w:rPr>
          <w:rFonts w:hint="default" w:ascii="Times New Roman" w:hAnsi="Times New Roman" w:eastAsia="宋体" w:cs="Times New Roman"/>
          <w:bCs/>
          <w:color w:val="auto"/>
          <w:sz w:val="21"/>
          <w:szCs w:val="21"/>
          <w:highlight w:val="none"/>
        </w:rPr>
        <w:t>15、服务承诺及售后服务机构、人员的情况介绍</w:t>
      </w:r>
    </w:p>
    <w:p w14:paraId="7EC4B395">
      <w:pPr>
        <w:keepNext w:val="0"/>
        <w:keepLines w:val="0"/>
        <w:pageBreakBefore w:val="0"/>
        <w:widowControl w:val="0"/>
        <w:tabs>
          <w:tab w:val="left" w:pos="1035"/>
        </w:tabs>
        <w:kinsoku/>
        <w:wordWrap w:val="0"/>
        <w:overflowPunct/>
        <w:topLinePunct w:val="0"/>
        <w:bidi w:val="0"/>
        <w:adjustRightInd w:val="0"/>
        <w:spacing w:line="520" w:lineRule="exact"/>
        <w:ind w:firstLine="420" w:firstLineChars="200"/>
        <w:rPr>
          <w:rFonts w:hint="default" w:ascii="Times New Roman" w:hAnsi="Times New Roman" w:eastAsia="宋体" w:cs="Times New Roman"/>
          <w:color w:val="auto"/>
          <w:sz w:val="21"/>
          <w:szCs w:val="21"/>
          <w:highlight w:val="none"/>
          <w:lang w:val="zh-CN"/>
        </w:rPr>
      </w:pPr>
      <w:r>
        <w:rPr>
          <w:rFonts w:hint="default" w:ascii="Times New Roman" w:hAnsi="Times New Roman" w:eastAsia="宋体" w:cs="Times New Roman"/>
          <w:bCs/>
          <w:color w:val="auto"/>
          <w:sz w:val="21"/>
          <w:szCs w:val="21"/>
          <w:highlight w:val="none"/>
        </w:rPr>
        <w:t>15.1</w:t>
      </w:r>
      <w:r>
        <w:rPr>
          <w:rFonts w:hint="default" w:ascii="Times New Roman" w:hAnsi="Times New Roman" w:eastAsia="宋体" w:cs="Times New Roman"/>
          <w:color w:val="auto"/>
          <w:sz w:val="21"/>
          <w:szCs w:val="21"/>
          <w:highlight w:val="none"/>
        </w:rPr>
        <w:t>投标人的服务承诺应按不低于招标文件中商务要求的标准。</w:t>
      </w:r>
    </w:p>
    <w:p w14:paraId="5D3031D3">
      <w:pPr>
        <w:keepNext w:val="0"/>
        <w:keepLines w:val="0"/>
        <w:pageBreakBefore w:val="0"/>
        <w:widowControl w:val="0"/>
        <w:kinsoku/>
        <w:wordWrap w:val="0"/>
        <w:overflowPunct/>
        <w:topLinePunct w:val="0"/>
        <w:bidi w:val="0"/>
        <w:spacing w:line="520" w:lineRule="exact"/>
        <w:ind w:firstLine="48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Cs/>
          <w:color w:val="auto"/>
          <w:sz w:val="21"/>
          <w:szCs w:val="21"/>
          <w:highlight w:val="none"/>
        </w:rPr>
        <w:t>15.2</w:t>
      </w:r>
      <w:r>
        <w:rPr>
          <w:rFonts w:hint="default" w:ascii="Times New Roman" w:hAnsi="Times New Roman" w:eastAsia="宋体" w:cs="Times New Roman"/>
          <w:color w:val="auto"/>
          <w:sz w:val="21"/>
          <w:szCs w:val="21"/>
          <w:highlight w:val="none"/>
        </w:rPr>
        <w:t>提供投标人有关售后服务的管理制度、售后服务机构的分布情况、售后服务人员的数量、素质、技术水平及售后服务的反应能力。</w:t>
      </w:r>
    </w:p>
    <w:p w14:paraId="07726526">
      <w:pPr>
        <w:pStyle w:val="9"/>
        <w:keepNext w:val="0"/>
        <w:keepLines w:val="0"/>
        <w:pageBreakBefore w:val="0"/>
        <w:widowControl w:val="0"/>
        <w:kinsoku/>
        <w:wordWrap w:val="0"/>
        <w:overflowPunct/>
        <w:topLinePunct w:val="0"/>
        <w:bidi w:val="0"/>
        <w:spacing w:before="0" w:after="0" w:line="520" w:lineRule="exact"/>
        <w:ind w:firstLine="315" w:firstLineChars="150"/>
        <w:rPr>
          <w:rFonts w:hint="default" w:ascii="Times New Roman" w:hAnsi="Times New Roman" w:eastAsia="宋体" w:cs="Times New Roman"/>
          <w:b w:val="0"/>
          <w:bCs w:val="0"/>
          <w:color w:val="auto"/>
          <w:sz w:val="21"/>
          <w:szCs w:val="21"/>
          <w:highlight w:val="none"/>
        </w:rPr>
      </w:pPr>
      <w:bookmarkStart w:id="127" w:name="_Toc49090510"/>
      <w:bookmarkStart w:id="128" w:name="_Toc14577359"/>
      <w:r>
        <w:rPr>
          <w:rFonts w:hint="default" w:ascii="Times New Roman" w:hAnsi="Times New Roman" w:eastAsia="宋体" w:cs="Times New Roman"/>
          <w:b w:val="0"/>
          <w:bCs w:val="0"/>
          <w:color w:val="auto"/>
          <w:sz w:val="21"/>
          <w:szCs w:val="21"/>
          <w:highlight w:val="none"/>
        </w:rPr>
        <w:t>16、投标函和开标一览表</w:t>
      </w:r>
    </w:p>
    <w:p w14:paraId="18E1571D">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Cs/>
          <w:color w:val="auto"/>
          <w:sz w:val="21"/>
          <w:szCs w:val="21"/>
          <w:highlight w:val="none"/>
        </w:rPr>
        <w:t>16.1</w:t>
      </w:r>
      <w:r>
        <w:rPr>
          <w:rFonts w:hint="default" w:ascii="Times New Roman" w:hAnsi="Times New Roman" w:eastAsia="宋体" w:cs="Times New Roman"/>
          <w:color w:val="auto"/>
          <w:sz w:val="21"/>
          <w:szCs w:val="21"/>
          <w:highlight w:val="none"/>
        </w:rPr>
        <w:t xml:space="preserve"> 投标人应按照招标文件中提供的格式完整、正确填写投标函、开标一览表。</w:t>
      </w:r>
    </w:p>
    <w:p w14:paraId="22E9B094">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Cs/>
          <w:color w:val="auto"/>
          <w:sz w:val="21"/>
          <w:szCs w:val="21"/>
          <w:highlight w:val="none"/>
        </w:rPr>
        <w:t>16.2</w:t>
      </w:r>
      <w:r>
        <w:rPr>
          <w:rFonts w:hint="default" w:ascii="Times New Roman" w:hAnsi="Times New Roman" w:eastAsia="宋体" w:cs="Times New Roman"/>
          <w:color w:val="auto"/>
          <w:sz w:val="21"/>
          <w:szCs w:val="21"/>
          <w:highlight w:val="none"/>
        </w:rPr>
        <w:t xml:space="preserve"> </w:t>
      </w:r>
      <w:r>
        <w:rPr>
          <w:rFonts w:hint="default" w:ascii="Times New Roman" w:hAnsi="Times New Roman" w:eastAsia="宋体" w:cs="Times New Roman"/>
          <w:bCs/>
          <w:color w:val="auto"/>
          <w:sz w:val="21"/>
          <w:szCs w:val="21"/>
          <w:highlight w:val="none"/>
        </w:rPr>
        <w:t>开标一览表中的价格应与投标文件中投标配置与分项报价表中的价格一致，如不一致，</w:t>
      </w:r>
      <w:r>
        <w:rPr>
          <w:rFonts w:hint="default" w:ascii="Times New Roman" w:hAnsi="Times New Roman" w:eastAsia="宋体" w:cs="Times New Roman"/>
          <w:color w:val="auto"/>
          <w:sz w:val="21"/>
          <w:szCs w:val="21"/>
          <w:highlight w:val="none"/>
        </w:rPr>
        <w:t>不作为无效投标处理</w:t>
      </w:r>
      <w:r>
        <w:rPr>
          <w:rFonts w:hint="default" w:ascii="Times New Roman" w:hAnsi="Times New Roman" w:eastAsia="宋体" w:cs="Times New Roman"/>
          <w:bCs/>
          <w:color w:val="auto"/>
          <w:sz w:val="21"/>
          <w:szCs w:val="21"/>
          <w:highlight w:val="none"/>
        </w:rPr>
        <w:t>，但评标时按开标一览表中价格为准</w:t>
      </w:r>
      <w:r>
        <w:rPr>
          <w:rFonts w:hint="default" w:ascii="Times New Roman" w:hAnsi="Times New Roman" w:eastAsia="宋体" w:cs="Times New Roman"/>
          <w:b/>
          <w:bCs/>
          <w:color w:val="auto"/>
          <w:sz w:val="21"/>
          <w:szCs w:val="21"/>
          <w:highlight w:val="none"/>
        </w:rPr>
        <w:t>。</w:t>
      </w:r>
    </w:p>
    <w:bookmarkEnd w:id="127"/>
    <w:bookmarkEnd w:id="128"/>
    <w:p w14:paraId="78ABD858">
      <w:pPr>
        <w:pStyle w:val="9"/>
        <w:keepNext w:val="0"/>
        <w:keepLines w:val="0"/>
        <w:pageBreakBefore w:val="0"/>
        <w:widowControl w:val="0"/>
        <w:kinsoku/>
        <w:wordWrap w:val="0"/>
        <w:overflowPunct/>
        <w:topLinePunct w:val="0"/>
        <w:bidi w:val="0"/>
        <w:spacing w:before="0" w:after="0" w:line="520" w:lineRule="exact"/>
        <w:ind w:firstLine="315" w:firstLineChars="150"/>
        <w:rPr>
          <w:rFonts w:hint="default" w:ascii="Times New Roman" w:hAnsi="Times New Roman" w:eastAsia="宋体" w:cs="Times New Roman"/>
          <w:b w:val="0"/>
          <w:bCs w:val="0"/>
          <w:color w:val="auto"/>
          <w:sz w:val="21"/>
          <w:szCs w:val="21"/>
          <w:highlight w:val="none"/>
        </w:rPr>
      </w:pPr>
      <w:bookmarkStart w:id="129" w:name="_Hlt26954734"/>
      <w:bookmarkEnd w:id="129"/>
      <w:bookmarkStart w:id="130" w:name="_Hlt26670489"/>
      <w:bookmarkEnd w:id="130"/>
      <w:bookmarkStart w:id="131" w:name="_Hlt26954850"/>
      <w:bookmarkEnd w:id="131"/>
      <w:bookmarkStart w:id="132" w:name="_Toc14577360"/>
      <w:bookmarkStart w:id="133" w:name="_Toc49090511"/>
      <w:r>
        <w:rPr>
          <w:rFonts w:hint="default" w:ascii="Times New Roman" w:hAnsi="Times New Roman" w:eastAsia="宋体" w:cs="Times New Roman"/>
          <w:b w:val="0"/>
          <w:bCs w:val="0"/>
          <w:color w:val="auto"/>
          <w:sz w:val="21"/>
          <w:szCs w:val="21"/>
          <w:highlight w:val="none"/>
        </w:rPr>
        <w:t>17、投标有效期</w:t>
      </w:r>
      <w:bookmarkEnd w:id="132"/>
      <w:bookmarkEnd w:id="133"/>
    </w:p>
    <w:p w14:paraId="160468B9">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auto"/>
          <w:sz w:val="21"/>
          <w:szCs w:val="21"/>
          <w:highlight w:val="none"/>
        </w:rPr>
        <w:t>17.1</w:t>
      </w:r>
      <w:r>
        <w:rPr>
          <w:rFonts w:hint="default" w:ascii="Times New Roman" w:hAnsi="Times New Roman" w:eastAsia="宋体" w:cs="Times New Roman"/>
          <w:bCs/>
          <w:color w:val="auto"/>
          <w:sz w:val="21"/>
          <w:szCs w:val="21"/>
          <w:highlight w:val="none"/>
        </w:rPr>
        <w:t xml:space="preserve"> 投标有效期为开标之日后</w:t>
      </w:r>
      <w:r>
        <w:rPr>
          <w:rFonts w:hint="default" w:ascii="Times New Roman" w:hAnsi="Times New Roman" w:eastAsia="宋体" w:cs="Times New Roman"/>
          <w:b/>
          <w:color w:val="auto"/>
          <w:sz w:val="21"/>
          <w:szCs w:val="21"/>
          <w:highlight w:val="none"/>
          <w:u w:val="single"/>
        </w:rPr>
        <w:t>九十（90）天</w:t>
      </w:r>
      <w:r>
        <w:rPr>
          <w:rFonts w:hint="default" w:ascii="Times New Roman" w:hAnsi="Times New Roman" w:eastAsia="宋体" w:cs="Times New Roman"/>
          <w:bCs/>
          <w:color w:val="auto"/>
          <w:sz w:val="21"/>
          <w:szCs w:val="21"/>
          <w:highlight w:val="none"/>
        </w:rPr>
        <w:t>。投标有效期比规定短的将被视为非响应性投标而予以拒绝。</w:t>
      </w:r>
    </w:p>
    <w:p w14:paraId="65669981">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auto"/>
          <w:sz w:val="21"/>
          <w:szCs w:val="21"/>
          <w:highlight w:val="none"/>
        </w:rPr>
        <w:t>17.2</w:t>
      </w:r>
      <w:r>
        <w:rPr>
          <w:rFonts w:hint="default" w:ascii="Times New Roman" w:hAnsi="Times New Roman" w:eastAsia="宋体" w:cs="Times New Roman"/>
          <w:bCs/>
          <w:color w:val="auto"/>
          <w:sz w:val="21"/>
          <w:szCs w:val="21"/>
          <w:highlight w:val="none"/>
        </w:rPr>
        <w:t xml:space="preserve"> 在特殊情况下，采购人和采购代理机构于原投标有效期满之前，可向投标人提出延长投标有效期的要求。这种要求与答复均应采用书面形式。投标人可以拒绝采购人和采购代理机构的这一要求而放弃投标</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bCs/>
          <w:color w:val="auto"/>
          <w:sz w:val="21"/>
          <w:szCs w:val="21"/>
          <w:highlight w:val="none"/>
        </w:rPr>
        <w:t>同意延长投标有效期的投标人既不能要求也不允许修改其投标文件。</w:t>
      </w:r>
    </w:p>
    <w:p w14:paraId="4DFE4B4E">
      <w:pPr>
        <w:pStyle w:val="9"/>
        <w:keepNext w:val="0"/>
        <w:keepLines w:val="0"/>
        <w:pageBreakBefore w:val="0"/>
        <w:widowControl w:val="0"/>
        <w:kinsoku/>
        <w:wordWrap w:val="0"/>
        <w:overflowPunct/>
        <w:topLinePunct w:val="0"/>
        <w:bidi w:val="0"/>
        <w:spacing w:before="0" w:after="0" w:line="520" w:lineRule="exact"/>
        <w:ind w:firstLine="315" w:firstLineChars="150"/>
        <w:rPr>
          <w:rFonts w:hint="default" w:ascii="Times New Roman" w:hAnsi="Times New Roman" w:eastAsia="宋体" w:cs="Times New Roman"/>
          <w:b w:val="0"/>
          <w:bCs w:val="0"/>
          <w:color w:val="auto"/>
          <w:sz w:val="21"/>
          <w:szCs w:val="21"/>
          <w:highlight w:val="none"/>
        </w:rPr>
      </w:pPr>
      <w:bookmarkStart w:id="134" w:name="_Hlt26954852"/>
      <w:bookmarkEnd w:id="134"/>
      <w:bookmarkStart w:id="135" w:name="_Hlt26954739"/>
      <w:bookmarkEnd w:id="135"/>
      <w:bookmarkStart w:id="136" w:name="_Toc49090512"/>
      <w:bookmarkStart w:id="137" w:name="_Toc14577361"/>
      <w:r>
        <w:rPr>
          <w:rFonts w:hint="default" w:ascii="Times New Roman" w:hAnsi="Times New Roman" w:eastAsia="宋体" w:cs="Times New Roman"/>
          <w:b w:val="0"/>
          <w:bCs w:val="0"/>
          <w:color w:val="auto"/>
          <w:sz w:val="21"/>
          <w:szCs w:val="21"/>
          <w:highlight w:val="none"/>
        </w:rPr>
        <w:t>18、投标文件份数和签署</w:t>
      </w:r>
      <w:bookmarkEnd w:id="136"/>
      <w:bookmarkEnd w:id="137"/>
    </w:p>
    <w:p w14:paraId="58C290DB">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auto"/>
          <w:sz w:val="21"/>
          <w:szCs w:val="21"/>
          <w:highlight w:val="none"/>
        </w:rPr>
        <w:t>18.1</w:t>
      </w:r>
      <w:r>
        <w:rPr>
          <w:rFonts w:hint="default" w:ascii="Times New Roman" w:hAnsi="Times New Roman" w:eastAsia="宋体" w:cs="Times New Roman"/>
          <w:bCs/>
          <w:color w:val="auto"/>
          <w:sz w:val="21"/>
          <w:szCs w:val="21"/>
          <w:highlight w:val="none"/>
        </w:rPr>
        <w:t xml:space="preserve"> 除投标人对错处做必要修改外，投标文件不得行间插字、涂改或增删。如有修改错漏处，必须由投标文件签署人签字或盖章。</w:t>
      </w:r>
    </w:p>
    <w:p w14:paraId="76EA41EF">
      <w:pPr>
        <w:pStyle w:val="8"/>
        <w:keepNext w:val="0"/>
        <w:keepLines w:val="0"/>
        <w:pageBreakBefore w:val="0"/>
        <w:widowControl w:val="0"/>
        <w:kinsoku/>
        <w:wordWrap w:val="0"/>
        <w:overflowPunct/>
        <w:topLinePunct w:val="0"/>
        <w:bidi w:val="0"/>
        <w:spacing w:before="145" w:beforeLines="50" w:after="145" w:afterLines="50" w:line="520" w:lineRule="exact"/>
        <w:ind w:firstLine="210" w:firstLineChars="100"/>
        <w:rPr>
          <w:rFonts w:hint="default" w:ascii="Times New Roman" w:hAnsi="Times New Roman" w:eastAsia="宋体" w:cs="Times New Roman"/>
          <w:color w:val="auto"/>
          <w:sz w:val="21"/>
          <w:szCs w:val="21"/>
          <w:highlight w:val="none"/>
        </w:rPr>
      </w:pPr>
      <w:bookmarkStart w:id="138" w:name="_Toc20823296"/>
      <w:bookmarkStart w:id="139" w:name="_Toc16938540"/>
      <w:bookmarkStart w:id="140" w:name="_Toc513029224"/>
      <w:bookmarkStart w:id="141" w:name="_Toc120614217"/>
      <w:bookmarkStart w:id="142" w:name="_Toc28769"/>
      <w:r>
        <w:rPr>
          <w:rFonts w:hint="default" w:ascii="Times New Roman" w:hAnsi="Times New Roman" w:eastAsia="宋体" w:cs="Times New Roman"/>
          <w:color w:val="auto"/>
          <w:sz w:val="21"/>
          <w:szCs w:val="21"/>
          <w:highlight w:val="none"/>
        </w:rPr>
        <w:t>四、投标文件的递交</w:t>
      </w:r>
      <w:bookmarkEnd w:id="138"/>
      <w:bookmarkEnd w:id="139"/>
      <w:bookmarkEnd w:id="140"/>
      <w:bookmarkEnd w:id="141"/>
      <w:bookmarkEnd w:id="142"/>
    </w:p>
    <w:p w14:paraId="275A5F43">
      <w:pPr>
        <w:pStyle w:val="9"/>
        <w:keepNext w:val="0"/>
        <w:keepLines w:val="0"/>
        <w:pageBreakBefore w:val="0"/>
        <w:widowControl w:val="0"/>
        <w:kinsoku/>
        <w:wordWrap w:val="0"/>
        <w:overflowPunct/>
        <w:topLinePunct w:val="0"/>
        <w:bidi w:val="0"/>
        <w:spacing w:before="0" w:after="0" w:line="520" w:lineRule="exact"/>
        <w:ind w:firstLine="315" w:firstLineChars="150"/>
        <w:rPr>
          <w:rFonts w:hint="default" w:ascii="Times New Roman" w:hAnsi="Times New Roman" w:eastAsia="宋体" w:cs="Times New Roman"/>
          <w:b w:val="0"/>
          <w:bCs w:val="0"/>
          <w:color w:val="auto"/>
          <w:sz w:val="21"/>
          <w:szCs w:val="21"/>
          <w:highlight w:val="none"/>
        </w:rPr>
      </w:pPr>
      <w:bookmarkStart w:id="143" w:name="_Toc462564084"/>
      <w:bookmarkStart w:id="144" w:name="_Toc16938541"/>
      <w:bookmarkStart w:id="145" w:name="_Toc20823297"/>
      <w:bookmarkStart w:id="146" w:name="_Toc513029225"/>
      <w:r>
        <w:rPr>
          <w:rFonts w:hint="default" w:ascii="Times New Roman" w:hAnsi="Times New Roman" w:eastAsia="宋体" w:cs="Times New Roman"/>
          <w:b w:val="0"/>
          <w:bCs w:val="0"/>
          <w:color w:val="auto"/>
          <w:sz w:val="21"/>
          <w:szCs w:val="21"/>
          <w:highlight w:val="none"/>
        </w:rPr>
        <w:t>19、</w:t>
      </w:r>
      <w:bookmarkEnd w:id="143"/>
      <w:bookmarkEnd w:id="144"/>
      <w:bookmarkEnd w:id="145"/>
      <w:bookmarkEnd w:id="146"/>
      <w:r>
        <w:rPr>
          <w:rFonts w:hint="default" w:ascii="Times New Roman" w:hAnsi="Times New Roman" w:eastAsia="宋体" w:cs="Times New Roman"/>
          <w:b w:val="0"/>
          <w:bCs w:val="0"/>
          <w:color w:val="auto"/>
          <w:sz w:val="21"/>
          <w:szCs w:val="21"/>
          <w:highlight w:val="none"/>
        </w:rPr>
        <w:t>电子投标文件的递交</w:t>
      </w:r>
    </w:p>
    <w:p w14:paraId="6A7D28E3">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19.1电子投标文件的递交</w:t>
      </w:r>
    </w:p>
    <w:p w14:paraId="714EFC99">
      <w:pPr>
        <w:keepNext w:val="0"/>
        <w:keepLines w:val="0"/>
        <w:pageBreakBefore w:val="0"/>
        <w:widowControl w:val="0"/>
        <w:tabs>
          <w:tab w:val="left" w:pos="525"/>
          <w:tab w:val="left" w:pos="945"/>
        </w:tabs>
        <w:kinsoku/>
        <w:wordWrap w:val="0"/>
        <w:overflowPunct/>
        <w:topLinePunct w:val="0"/>
        <w:bidi w:val="0"/>
        <w:spacing w:line="520" w:lineRule="exact"/>
        <w:ind w:firstLine="420" w:firstLineChars="20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19.1.1投标人应当按照</w:t>
      </w:r>
      <w:r>
        <w:rPr>
          <w:rFonts w:hint="eastAsia" w:ascii="Times New Roman" w:hAnsi="Times New Roman" w:eastAsia="宋体" w:cs="Times New Roman"/>
          <w:color w:val="auto"/>
          <w:sz w:val="21"/>
          <w:szCs w:val="21"/>
          <w:highlight w:val="none"/>
          <w:lang w:eastAsia="zh-CN"/>
        </w:rPr>
        <w:t>苏采云</w:t>
      </w:r>
      <w:r>
        <w:rPr>
          <w:rFonts w:hint="default" w:ascii="Times New Roman" w:hAnsi="Times New Roman" w:eastAsia="宋体" w:cs="Times New Roman"/>
          <w:bCs/>
          <w:color w:val="auto"/>
          <w:sz w:val="21"/>
          <w:szCs w:val="21"/>
          <w:highlight w:val="none"/>
        </w:rPr>
        <w:t>系统要求，在投标截止时间前制作并上传电子投标文件。</w:t>
      </w:r>
    </w:p>
    <w:p w14:paraId="61BD945C">
      <w:pPr>
        <w:pStyle w:val="248"/>
        <w:keepNext w:val="0"/>
        <w:keepLines w:val="0"/>
        <w:pageBreakBefore w:val="0"/>
        <w:widowControl w:val="0"/>
        <w:kinsoku/>
        <w:wordWrap w:val="0"/>
        <w:overflowPunct/>
        <w:topLinePunct w:val="0"/>
        <w:bidi w:val="0"/>
        <w:spacing w:before="0" w:after="0" w:line="52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19.</w:t>
      </w:r>
      <w:r>
        <w:rPr>
          <w:rFonts w:hint="default" w:ascii="Times New Roman" w:hAnsi="Times New Roman" w:eastAsia="宋体" w:cs="Times New Roman"/>
          <w:color w:val="auto"/>
          <w:sz w:val="21"/>
          <w:szCs w:val="21"/>
          <w:highlight w:val="none"/>
          <w:lang w:val="en-US" w:eastAsia="zh-CN"/>
        </w:rPr>
        <w:t>2</w:t>
      </w:r>
      <w:r>
        <w:rPr>
          <w:rFonts w:hint="default" w:ascii="Times New Roman" w:hAnsi="Times New Roman" w:eastAsia="宋体" w:cs="Times New Roman"/>
          <w:color w:val="FF0000"/>
          <w:sz w:val="21"/>
          <w:szCs w:val="21"/>
          <w:highlight w:val="none"/>
        </w:rPr>
        <w:t>投标人未在规定解密时间内解密电子投标文件的，作为无效投标，不予参加开标和评审。</w:t>
      </w:r>
    </w:p>
    <w:p w14:paraId="24F79870">
      <w:pPr>
        <w:pStyle w:val="248"/>
        <w:keepNext w:val="0"/>
        <w:keepLines w:val="0"/>
        <w:pageBreakBefore w:val="0"/>
        <w:widowControl w:val="0"/>
        <w:kinsoku/>
        <w:wordWrap w:val="0"/>
        <w:overflowPunct/>
        <w:topLinePunct w:val="0"/>
        <w:bidi w:val="0"/>
        <w:spacing w:before="0" w:after="0" w:line="520" w:lineRule="exact"/>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19.</w:t>
      </w:r>
      <w:r>
        <w:rPr>
          <w:rFonts w:hint="default" w:ascii="Times New Roman" w:hAnsi="Times New Roman" w:eastAsia="宋体" w:cs="Times New Roman"/>
          <w:b/>
          <w:bCs/>
          <w:color w:val="auto"/>
          <w:sz w:val="21"/>
          <w:szCs w:val="21"/>
          <w:highlight w:val="none"/>
          <w:lang w:val="en-US" w:eastAsia="zh-CN"/>
        </w:rPr>
        <w:t>3</w:t>
      </w:r>
      <w:r>
        <w:rPr>
          <w:rFonts w:hint="default" w:ascii="Times New Roman" w:hAnsi="Times New Roman" w:eastAsia="宋体" w:cs="Times New Roman"/>
          <w:color w:val="auto"/>
          <w:sz w:val="21"/>
          <w:szCs w:val="21"/>
          <w:highlight w:val="none"/>
        </w:rPr>
        <w:t>投标供应商（供应商）若中标，中标后必须在领取《中标通知书》前向采购代理机构（政府采购代理机构）提供与电子版投标文件内容完全一致的加盖投标供应商公章及签署的纸质文件不少于3份，用于相关材料的归档，否则采购人将暂停发放《中标通知书》。</w:t>
      </w:r>
    </w:p>
    <w:p w14:paraId="223F4CA3">
      <w:pPr>
        <w:pStyle w:val="9"/>
        <w:keepNext w:val="0"/>
        <w:keepLines w:val="0"/>
        <w:pageBreakBefore w:val="0"/>
        <w:widowControl w:val="0"/>
        <w:kinsoku/>
        <w:wordWrap w:val="0"/>
        <w:overflowPunct/>
        <w:topLinePunct w:val="0"/>
        <w:bidi w:val="0"/>
        <w:spacing w:before="0" w:after="0" w:line="520" w:lineRule="exact"/>
        <w:ind w:firstLine="315" w:firstLineChars="150"/>
        <w:rPr>
          <w:rFonts w:hint="default" w:ascii="Times New Roman" w:hAnsi="Times New Roman" w:eastAsia="宋体" w:cs="Times New Roman"/>
          <w:b w:val="0"/>
          <w:bCs w:val="0"/>
          <w:color w:val="auto"/>
          <w:sz w:val="21"/>
          <w:szCs w:val="21"/>
          <w:highlight w:val="none"/>
        </w:rPr>
      </w:pPr>
      <w:bookmarkStart w:id="147" w:name="_Toc16938542"/>
      <w:bookmarkStart w:id="148" w:name="_Toc20823298"/>
      <w:bookmarkStart w:id="149" w:name="_Toc513029226"/>
      <w:r>
        <w:rPr>
          <w:rFonts w:hint="default" w:ascii="Times New Roman" w:hAnsi="Times New Roman" w:eastAsia="宋体" w:cs="Times New Roman"/>
          <w:b w:val="0"/>
          <w:bCs w:val="0"/>
          <w:color w:val="auto"/>
          <w:sz w:val="21"/>
          <w:szCs w:val="21"/>
          <w:highlight w:val="none"/>
        </w:rPr>
        <w:t>20、投标截止日期</w:t>
      </w:r>
      <w:bookmarkEnd w:id="147"/>
      <w:bookmarkEnd w:id="148"/>
      <w:bookmarkEnd w:id="149"/>
    </w:p>
    <w:p w14:paraId="16F0B2FB">
      <w:pPr>
        <w:keepNext w:val="0"/>
        <w:keepLines w:val="0"/>
        <w:pageBreakBefore w:val="0"/>
        <w:widowControl w:val="0"/>
        <w:tabs>
          <w:tab w:val="left" w:pos="525"/>
          <w:tab w:val="left" w:pos="945"/>
        </w:tabs>
        <w:kinsoku/>
        <w:wordWrap w:val="0"/>
        <w:overflowPunct/>
        <w:topLinePunct w:val="0"/>
        <w:bidi w:val="0"/>
        <w:spacing w:line="520" w:lineRule="exact"/>
        <w:ind w:firstLine="420" w:firstLineChars="20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auto"/>
          <w:sz w:val="21"/>
          <w:szCs w:val="21"/>
          <w:highlight w:val="none"/>
        </w:rPr>
        <w:t>20.1</w:t>
      </w:r>
      <w:r>
        <w:rPr>
          <w:rFonts w:hint="default" w:ascii="Times New Roman" w:hAnsi="Times New Roman" w:eastAsia="宋体" w:cs="Times New Roman"/>
          <w:bCs/>
          <w:color w:val="auto"/>
          <w:sz w:val="21"/>
          <w:szCs w:val="21"/>
          <w:highlight w:val="none"/>
        </w:rPr>
        <w:t>投标人上传电子投标文件的时间不得迟于招标公告中规定的投标截止时间。投标人应充分考虑到网络环境、网络带宽等风险因素，如因投标人自身原因造成的电子投标文件上传不成功由投标人自行承担全部责任。</w:t>
      </w:r>
    </w:p>
    <w:p w14:paraId="4FB72986">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auto"/>
          <w:sz w:val="21"/>
          <w:szCs w:val="21"/>
          <w:highlight w:val="none"/>
        </w:rPr>
        <w:t>20.2</w:t>
      </w:r>
      <w:r>
        <w:rPr>
          <w:rFonts w:hint="default" w:ascii="Times New Roman" w:hAnsi="Times New Roman" w:eastAsia="宋体" w:cs="Times New Roman"/>
          <w:bCs/>
          <w:color w:val="auto"/>
          <w:sz w:val="21"/>
          <w:szCs w:val="21"/>
          <w:highlight w:val="none"/>
        </w:rPr>
        <w:t xml:space="preserve"> 采购人和采购代理机构有权通过修改招标文件酌情延长投标截止日期，在此情况下，投标人的所有权利和义务以及投标人受制的截止日期均应以延长后新的截止日期为准。</w:t>
      </w:r>
    </w:p>
    <w:p w14:paraId="0FB35434">
      <w:pPr>
        <w:pStyle w:val="9"/>
        <w:keepNext w:val="0"/>
        <w:keepLines w:val="0"/>
        <w:pageBreakBefore w:val="0"/>
        <w:widowControl w:val="0"/>
        <w:kinsoku/>
        <w:wordWrap w:val="0"/>
        <w:overflowPunct/>
        <w:topLinePunct w:val="0"/>
        <w:bidi w:val="0"/>
        <w:spacing w:before="0" w:after="0" w:line="520" w:lineRule="exact"/>
        <w:ind w:firstLine="315" w:firstLineChars="150"/>
        <w:rPr>
          <w:rFonts w:hint="default" w:ascii="Times New Roman" w:hAnsi="Times New Roman" w:eastAsia="宋体" w:cs="Times New Roman"/>
          <w:b w:val="0"/>
          <w:bCs w:val="0"/>
          <w:color w:val="auto"/>
          <w:sz w:val="21"/>
          <w:szCs w:val="21"/>
          <w:highlight w:val="none"/>
        </w:rPr>
      </w:pPr>
      <w:bookmarkStart w:id="150" w:name="_Toc513029227"/>
      <w:bookmarkStart w:id="151" w:name="_Toc16938543"/>
      <w:bookmarkStart w:id="152" w:name="_Toc20823299"/>
      <w:r>
        <w:rPr>
          <w:rFonts w:hint="default" w:ascii="Times New Roman" w:hAnsi="Times New Roman" w:eastAsia="宋体" w:cs="Times New Roman"/>
          <w:b w:val="0"/>
          <w:bCs w:val="0"/>
          <w:color w:val="auto"/>
          <w:sz w:val="21"/>
          <w:szCs w:val="21"/>
          <w:highlight w:val="none"/>
        </w:rPr>
        <w:t>21、迟交的投标文件</w:t>
      </w:r>
      <w:bookmarkEnd w:id="150"/>
      <w:bookmarkEnd w:id="151"/>
      <w:bookmarkEnd w:id="152"/>
    </w:p>
    <w:p w14:paraId="077CC019">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auto"/>
          <w:sz w:val="21"/>
          <w:szCs w:val="21"/>
          <w:highlight w:val="none"/>
        </w:rPr>
        <w:t>21.1</w:t>
      </w:r>
      <w:r>
        <w:rPr>
          <w:rFonts w:hint="default" w:ascii="Times New Roman" w:hAnsi="Times New Roman" w:eastAsia="宋体" w:cs="Times New Roman"/>
          <w:bCs/>
          <w:color w:val="auto"/>
          <w:sz w:val="21"/>
          <w:szCs w:val="21"/>
          <w:highlight w:val="none"/>
        </w:rPr>
        <w:t>采购人和采购代理机构拒绝接收在其规定的投标截止时间后上传的任何投标文件。</w:t>
      </w:r>
    </w:p>
    <w:p w14:paraId="33D54C1A">
      <w:pPr>
        <w:pStyle w:val="9"/>
        <w:keepNext w:val="0"/>
        <w:keepLines w:val="0"/>
        <w:pageBreakBefore w:val="0"/>
        <w:widowControl w:val="0"/>
        <w:kinsoku/>
        <w:wordWrap w:val="0"/>
        <w:overflowPunct/>
        <w:topLinePunct w:val="0"/>
        <w:bidi w:val="0"/>
        <w:spacing w:before="0" w:after="0" w:line="520" w:lineRule="exact"/>
        <w:ind w:firstLine="315" w:firstLineChars="150"/>
        <w:rPr>
          <w:rFonts w:hint="default" w:ascii="Times New Roman" w:hAnsi="Times New Roman" w:eastAsia="宋体" w:cs="Times New Roman"/>
          <w:b w:val="0"/>
          <w:bCs w:val="0"/>
          <w:color w:val="auto"/>
          <w:sz w:val="21"/>
          <w:szCs w:val="21"/>
          <w:highlight w:val="none"/>
        </w:rPr>
      </w:pPr>
      <w:bookmarkStart w:id="153" w:name="_Toc16938544"/>
      <w:bookmarkStart w:id="154" w:name="_Toc20823300"/>
      <w:bookmarkStart w:id="155" w:name="_Toc513029228"/>
      <w:r>
        <w:rPr>
          <w:rFonts w:hint="default" w:ascii="Times New Roman" w:hAnsi="Times New Roman" w:eastAsia="宋体" w:cs="Times New Roman"/>
          <w:b w:val="0"/>
          <w:bCs w:val="0"/>
          <w:color w:val="auto"/>
          <w:sz w:val="21"/>
          <w:szCs w:val="21"/>
          <w:highlight w:val="none"/>
        </w:rPr>
        <w:t>22、投标文件的修改和撤回</w:t>
      </w:r>
      <w:bookmarkEnd w:id="153"/>
      <w:bookmarkEnd w:id="154"/>
      <w:bookmarkEnd w:id="155"/>
    </w:p>
    <w:p w14:paraId="750DF312">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auto"/>
          <w:sz w:val="21"/>
          <w:szCs w:val="21"/>
          <w:highlight w:val="none"/>
        </w:rPr>
        <w:t>22.1</w:t>
      </w:r>
      <w:r>
        <w:rPr>
          <w:rFonts w:hint="default" w:ascii="Times New Roman" w:hAnsi="Times New Roman" w:eastAsia="宋体" w:cs="Times New Roman"/>
          <w:bCs/>
          <w:color w:val="auto"/>
          <w:sz w:val="21"/>
          <w:szCs w:val="21"/>
          <w:highlight w:val="none"/>
        </w:rPr>
        <w:t>投标文件的撤回</w:t>
      </w:r>
    </w:p>
    <w:p w14:paraId="78232EB1">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22.1.1电子投标文件的撤回</w:t>
      </w:r>
    </w:p>
    <w:p w14:paraId="0EC12FC0">
      <w:pPr>
        <w:keepNext w:val="0"/>
        <w:keepLines w:val="0"/>
        <w:pageBreakBefore w:val="0"/>
        <w:widowControl w:val="0"/>
        <w:tabs>
          <w:tab w:val="left" w:pos="525"/>
          <w:tab w:val="left" w:pos="945"/>
        </w:tabs>
        <w:kinsoku/>
        <w:wordWrap w:val="0"/>
        <w:overflowPunct/>
        <w:topLinePunct w:val="0"/>
        <w:bidi w:val="0"/>
        <w:spacing w:line="520" w:lineRule="exact"/>
        <w:ind w:firstLine="420" w:firstLineChars="20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投标人可在投标截止时间前，撤回其电子投标文件，具体操作方法见"苏采云"系统供应商操作手册。</w:t>
      </w:r>
    </w:p>
    <w:p w14:paraId="73000A53">
      <w:pPr>
        <w:keepNext w:val="0"/>
        <w:keepLines w:val="0"/>
        <w:pageBreakBefore w:val="0"/>
        <w:widowControl w:val="0"/>
        <w:tabs>
          <w:tab w:val="left" w:pos="525"/>
          <w:tab w:val="left" w:pos="945"/>
        </w:tabs>
        <w:kinsoku/>
        <w:wordWrap w:val="0"/>
        <w:overflowPunct/>
        <w:topLinePunct w:val="0"/>
        <w:bidi w:val="0"/>
        <w:spacing w:line="520" w:lineRule="exact"/>
        <w:ind w:left="524"/>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22.1.2投标人撤回电子投标文件，则认为其不再参与本项目投标活动。</w:t>
      </w:r>
    </w:p>
    <w:p w14:paraId="195402B8">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auto"/>
          <w:sz w:val="21"/>
          <w:szCs w:val="21"/>
          <w:highlight w:val="none"/>
        </w:rPr>
        <w:t>22.2</w:t>
      </w:r>
      <w:r>
        <w:rPr>
          <w:rFonts w:hint="default" w:ascii="Times New Roman" w:hAnsi="Times New Roman" w:eastAsia="宋体" w:cs="Times New Roman"/>
          <w:bCs/>
          <w:color w:val="auto"/>
          <w:sz w:val="21"/>
          <w:szCs w:val="21"/>
          <w:highlight w:val="none"/>
        </w:rPr>
        <w:t xml:space="preserve"> 投标文件的修改</w:t>
      </w:r>
    </w:p>
    <w:p w14:paraId="698A7A99">
      <w:pPr>
        <w:keepNext w:val="0"/>
        <w:keepLines w:val="0"/>
        <w:pageBreakBefore w:val="0"/>
        <w:widowControl w:val="0"/>
        <w:tabs>
          <w:tab w:val="left" w:pos="525"/>
          <w:tab w:val="left" w:pos="945"/>
        </w:tabs>
        <w:kinsoku/>
        <w:wordWrap w:val="0"/>
        <w:overflowPunct/>
        <w:topLinePunct w:val="0"/>
        <w:bidi w:val="0"/>
        <w:spacing w:line="520" w:lineRule="exact"/>
        <w:ind w:firstLine="420" w:firstLineChars="20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投标人可在投标截止时间前，对其电子投标文件进行修改，具体操作方法见"苏采云"系统供应商操作手册。</w:t>
      </w:r>
    </w:p>
    <w:p w14:paraId="708B9922">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auto"/>
          <w:sz w:val="21"/>
          <w:szCs w:val="21"/>
          <w:highlight w:val="none"/>
        </w:rPr>
        <w:t>22.3</w:t>
      </w:r>
      <w:r>
        <w:rPr>
          <w:rFonts w:hint="default" w:ascii="Times New Roman" w:hAnsi="Times New Roman" w:eastAsia="宋体" w:cs="Times New Roman"/>
          <w:bCs/>
          <w:color w:val="auto"/>
          <w:sz w:val="21"/>
          <w:szCs w:val="21"/>
          <w:highlight w:val="none"/>
        </w:rPr>
        <w:t xml:space="preserve"> 在投标截止时间之后，投标人不得对其电子投标文件作任何修改。</w:t>
      </w:r>
    </w:p>
    <w:p w14:paraId="37EBBFB2">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auto"/>
          <w:sz w:val="21"/>
          <w:szCs w:val="21"/>
          <w:highlight w:val="none"/>
        </w:rPr>
        <w:t>22.4</w:t>
      </w:r>
      <w:r>
        <w:rPr>
          <w:rFonts w:hint="default" w:ascii="Times New Roman" w:hAnsi="Times New Roman" w:eastAsia="宋体" w:cs="Times New Roman"/>
          <w:bCs/>
          <w:color w:val="auto"/>
          <w:sz w:val="21"/>
          <w:szCs w:val="21"/>
          <w:highlight w:val="none"/>
        </w:rPr>
        <w:t xml:space="preserve"> 在投标截止时间至招标文件中规定的投标有效期满之间的这段时间内，投标人不得撤回其投标。</w:t>
      </w:r>
    </w:p>
    <w:p w14:paraId="1CFA24C9">
      <w:pPr>
        <w:pStyle w:val="8"/>
        <w:keepNext w:val="0"/>
        <w:keepLines w:val="0"/>
        <w:pageBreakBefore w:val="0"/>
        <w:widowControl w:val="0"/>
        <w:kinsoku/>
        <w:wordWrap w:val="0"/>
        <w:overflowPunct/>
        <w:topLinePunct w:val="0"/>
        <w:bidi w:val="0"/>
        <w:spacing w:before="145" w:beforeLines="50" w:after="145" w:afterLines="50" w:line="520" w:lineRule="exact"/>
        <w:ind w:firstLine="210" w:firstLineChars="100"/>
        <w:rPr>
          <w:rFonts w:hint="default" w:ascii="Times New Roman" w:hAnsi="Times New Roman" w:eastAsia="宋体" w:cs="Times New Roman"/>
          <w:color w:val="auto"/>
          <w:sz w:val="21"/>
          <w:szCs w:val="21"/>
          <w:highlight w:val="none"/>
        </w:rPr>
      </w:pPr>
      <w:bookmarkStart w:id="156" w:name="_Toc513029229"/>
      <w:bookmarkStart w:id="157" w:name="_Toc11933"/>
      <w:bookmarkStart w:id="158" w:name="_Toc16938545"/>
      <w:bookmarkStart w:id="159" w:name="_Toc20823301"/>
      <w:bookmarkStart w:id="160" w:name="_Toc120614218"/>
      <w:r>
        <w:rPr>
          <w:rFonts w:hint="default" w:ascii="Times New Roman" w:hAnsi="Times New Roman" w:eastAsia="宋体" w:cs="Times New Roman"/>
          <w:color w:val="auto"/>
          <w:sz w:val="21"/>
          <w:szCs w:val="21"/>
          <w:highlight w:val="none"/>
        </w:rPr>
        <w:t>五、开标与评标</w:t>
      </w:r>
      <w:bookmarkEnd w:id="156"/>
      <w:bookmarkEnd w:id="157"/>
      <w:bookmarkEnd w:id="158"/>
      <w:bookmarkEnd w:id="159"/>
      <w:bookmarkEnd w:id="160"/>
    </w:p>
    <w:p w14:paraId="1D2CB5DB">
      <w:pPr>
        <w:pStyle w:val="9"/>
        <w:keepNext w:val="0"/>
        <w:keepLines w:val="0"/>
        <w:pageBreakBefore w:val="0"/>
        <w:widowControl w:val="0"/>
        <w:kinsoku/>
        <w:wordWrap w:val="0"/>
        <w:overflowPunct/>
        <w:topLinePunct w:val="0"/>
        <w:bidi w:val="0"/>
        <w:spacing w:before="0" w:after="0" w:line="520" w:lineRule="exact"/>
        <w:ind w:firstLine="315" w:firstLineChars="150"/>
        <w:rPr>
          <w:rFonts w:hint="default" w:ascii="Times New Roman" w:hAnsi="Times New Roman" w:eastAsia="宋体" w:cs="Times New Roman"/>
          <w:b w:val="0"/>
          <w:bCs w:val="0"/>
          <w:color w:val="auto"/>
          <w:sz w:val="21"/>
          <w:szCs w:val="21"/>
          <w:highlight w:val="none"/>
        </w:rPr>
      </w:pPr>
      <w:bookmarkStart w:id="161" w:name="_Toc513029230"/>
      <w:bookmarkStart w:id="162" w:name="_Toc16938546"/>
      <w:bookmarkStart w:id="163" w:name="_Toc20823302"/>
      <w:r>
        <w:rPr>
          <w:rFonts w:hint="default" w:ascii="Times New Roman" w:hAnsi="Times New Roman" w:eastAsia="宋体" w:cs="Times New Roman"/>
          <w:b w:val="0"/>
          <w:bCs w:val="0"/>
          <w:color w:val="auto"/>
          <w:sz w:val="21"/>
          <w:szCs w:val="21"/>
          <w:highlight w:val="none"/>
        </w:rPr>
        <w:t>23、开标</w:t>
      </w:r>
      <w:bookmarkEnd w:id="161"/>
      <w:bookmarkEnd w:id="162"/>
      <w:bookmarkEnd w:id="163"/>
    </w:p>
    <w:p w14:paraId="5734F3BA">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23.1</w:t>
      </w:r>
      <w:r>
        <w:rPr>
          <w:rFonts w:hint="default" w:ascii="Times New Roman" w:hAnsi="Times New Roman" w:eastAsia="宋体" w:cs="Times New Roman"/>
          <w:bCs/>
          <w:color w:val="auto"/>
          <w:sz w:val="21"/>
          <w:szCs w:val="21"/>
          <w:highlight w:val="none"/>
        </w:rPr>
        <w:t xml:space="preserve"> 采购人和采购代理机构将在招标公告中规定的时间和地点组织公开开标</w:t>
      </w:r>
      <w:r>
        <w:rPr>
          <w:rFonts w:hint="default" w:ascii="Times New Roman" w:hAnsi="Times New Roman" w:eastAsia="宋体" w:cs="Times New Roman"/>
          <w:color w:val="auto"/>
          <w:sz w:val="21"/>
          <w:szCs w:val="21"/>
          <w:highlight w:val="none"/>
        </w:rPr>
        <w:t>。投标人应当按照"苏采云"系统供应商操作手册规定，参加开标活动。</w:t>
      </w:r>
    </w:p>
    <w:p w14:paraId="1CE2F9E2">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color w:val="auto"/>
          <w:sz w:val="21"/>
          <w:szCs w:val="21"/>
          <w:highlight w:val="none"/>
        </w:rPr>
      </w:pPr>
      <w:bookmarkStart w:id="164" w:name="_Toc513029231"/>
      <w:bookmarkStart w:id="165" w:name="_Toc20823303"/>
      <w:bookmarkStart w:id="166" w:name="_Toc16938547"/>
      <w:r>
        <w:rPr>
          <w:rFonts w:hint="default" w:ascii="Times New Roman" w:hAnsi="Times New Roman" w:eastAsia="宋体" w:cs="Times New Roman"/>
          <w:color w:val="auto"/>
          <w:sz w:val="21"/>
          <w:szCs w:val="21"/>
          <w:highlight w:val="none"/>
        </w:rPr>
        <w:t>23.2开标仪式由采购人和采购代理机构组织。 “</w:t>
      </w:r>
      <w:r>
        <w:rPr>
          <w:rFonts w:hint="default" w:ascii="Times New Roman" w:hAnsi="Times New Roman" w:eastAsia="宋体" w:cs="Times New Roman"/>
          <w:color w:val="auto"/>
          <w:sz w:val="21"/>
          <w:szCs w:val="21"/>
          <w:highlight w:val="none"/>
          <w:lang w:eastAsia="zh-CN"/>
        </w:rPr>
        <w:t>苏采云</w:t>
      </w:r>
      <w:r>
        <w:rPr>
          <w:rFonts w:hint="default" w:ascii="Times New Roman" w:hAnsi="Times New Roman" w:eastAsia="宋体" w:cs="Times New Roman"/>
          <w:color w:val="auto"/>
          <w:sz w:val="21"/>
          <w:szCs w:val="21"/>
          <w:highlight w:val="none"/>
        </w:rPr>
        <w:t>系统”将自动对项目进行开标。</w:t>
      </w:r>
    </w:p>
    <w:p w14:paraId="3C81CCDC">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color w:val="auto"/>
          <w:sz w:val="21"/>
          <w:szCs w:val="21"/>
          <w:highlight w:val="none"/>
        </w:rPr>
        <w:t>23.3 投标人在开标过程中涉及到的投标文件解密、开标结果确认等工作，应按照"苏采云"系统供应商操作手册规定执行。</w:t>
      </w:r>
    </w:p>
    <w:p w14:paraId="245F8A83">
      <w:pPr>
        <w:keepNext w:val="0"/>
        <w:keepLines w:val="0"/>
        <w:pageBreakBefore w:val="0"/>
        <w:widowControl w:val="0"/>
        <w:kinsoku/>
        <w:wordWrap w:val="0"/>
        <w:overflowPunct/>
        <w:topLinePunct w:val="0"/>
        <w:bidi w:val="0"/>
        <w:spacing w:line="520" w:lineRule="exact"/>
        <w:ind w:firstLine="425"/>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23.4 投标人如果对开标过程和开标记录有疑义，应当根据"苏采云"系统供应商操作手册规定提出，所有分包解密完成后5分钟未提出异议，视同认可开标结果。</w:t>
      </w:r>
    </w:p>
    <w:p w14:paraId="16CC3427">
      <w:pPr>
        <w:keepNext w:val="0"/>
        <w:keepLines w:val="0"/>
        <w:pageBreakBefore w:val="0"/>
        <w:widowControl w:val="0"/>
        <w:kinsoku/>
        <w:wordWrap w:val="0"/>
        <w:overflowPunct/>
        <w:topLinePunct w:val="0"/>
        <w:bidi w:val="0"/>
        <w:spacing w:line="520" w:lineRule="exact"/>
        <w:ind w:firstLine="425"/>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23.5 </w:t>
      </w:r>
      <w:r>
        <w:rPr>
          <w:rFonts w:hint="default" w:ascii="Times New Roman" w:hAnsi="Times New Roman" w:eastAsia="宋体" w:cs="Times New Roman"/>
          <w:bCs/>
          <w:color w:val="auto"/>
          <w:sz w:val="21"/>
          <w:szCs w:val="21"/>
          <w:highlight w:val="none"/>
        </w:rPr>
        <w:t>投标人未参加开标的，视同认可开标结果。</w:t>
      </w:r>
    </w:p>
    <w:p w14:paraId="5C18D8A4">
      <w:pPr>
        <w:pStyle w:val="9"/>
        <w:keepNext w:val="0"/>
        <w:keepLines w:val="0"/>
        <w:pageBreakBefore w:val="0"/>
        <w:widowControl w:val="0"/>
        <w:kinsoku/>
        <w:wordWrap w:val="0"/>
        <w:overflowPunct/>
        <w:topLinePunct w:val="0"/>
        <w:bidi w:val="0"/>
        <w:spacing w:before="0" w:after="0" w:line="520" w:lineRule="exact"/>
        <w:ind w:firstLine="315" w:firstLineChars="150"/>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24、资格审查</w:t>
      </w:r>
    </w:p>
    <w:p w14:paraId="69A3D83A">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auto"/>
          <w:sz w:val="21"/>
          <w:szCs w:val="21"/>
          <w:highlight w:val="none"/>
        </w:rPr>
        <w:t>24.1</w:t>
      </w:r>
      <w:r>
        <w:rPr>
          <w:rFonts w:hint="default" w:ascii="Times New Roman" w:hAnsi="Times New Roman" w:eastAsia="宋体" w:cs="Times New Roman"/>
          <w:bCs/>
          <w:color w:val="auto"/>
          <w:sz w:val="21"/>
          <w:szCs w:val="21"/>
          <w:highlight w:val="none"/>
        </w:rPr>
        <w:t>依据法律法规和招标文件的约定，开标结束后，由采购对投标文件中的资格证明文件进行审查。资格审查的结论，采购人以书面形式向评委会进行反馈。未通过资格审查的投标人，由采购人告知未通过资格审查的原因。</w:t>
      </w:r>
    </w:p>
    <w:p w14:paraId="3AAB0CE1">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采购人在进行资格性审查的同时，将在“信用中国”网站（www.creditchina.gov.cn）对投标人是否被列入失信被执行人、重大税收违法案件当事人名单、政府采购严重失信行为记录名单情况进行查询，以确定投标人是否具备投标资格。查询结果将以网页打印的形式留存并归档。</w:t>
      </w:r>
    </w:p>
    <w:p w14:paraId="37C32F20">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1BB69ECD">
      <w:pPr>
        <w:keepNext w:val="0"/>
        <w:keepLines w:val="0"/>
        <w:pageBreakBefore w:val="0"/>
        <w:widowControl w:val="0"/>
        <w:kinsoku/>
        <w:wordWrap w:val="0"/>
        <w:overflowPunct/>
        <w:topLinePunct w:val="0"/>
        <w:bidi w:val="0"/>
        <w:spacing w:line="520" w:lineRule="exact"/>
        <w:jc w:val="left"/>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合格投标人不足3家的，不得评标。</w:t>
      </w:r>
    </w:p>
    <w:p w14:paraId="4CC00BD4">
      <w:pPr>
        <w:pStyle w:val="9"/>
        <w:keepNext w:val="0"/>
        <w:keepLines w:val="0"/>
        <w:pageBreakBefore w:val="0"/>
        <w:widowControl w:val="0"/>
        <w:kinsoku/>
        <w:wordWrap w:val="0"/>
        <w:overflowPunct/>
        <w:topLinePunct w:val="0"/>
        <w:bidi w:val="0"/>
        <w:spacing w:before="0" w:after="0" w:line="520" w:lineRule="exact"/>
        <w:ind w:firstLine="315" w:firstLineChars="150"/>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25、评标委员会</w:t>
      </w:r>
    </w:p>
    <w:p w14:paraId="493BF653">
      <w:pPr>
        <w:keepNext w:val="0"/>
        <w:keepLines w:val="0"/>
        <w:pageBreakBefore w:val="0"/>
        <w:widowControl w:val="0"/>
        <w:kinsoku/>
        <w:wordWrap w:val="0"/>
        <w:overflowPunct/>
        <w:topLinePunct w:val="0"/>
        <w:bidi w:val="0"/>
        <w:spacing w:line="520" w:lineRule="exact"/>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  </w:t>
      </w:r>
      <w:r>
        <w:rPr>
          <w:rFonts w:hint="default" w:ascii="Times New Roman" w:hAnsi="Times New Roman" w:eastAsia="宋体" w:cs="Times New Roman"/>
          <w:color w:val="auto"/>
          <w:sz w:val="21"/>
          <w:szCs w:val="21"/>
          <w:highlight w:val="none"/>
        </w:rPr>
        <w:t xml:space="preserve">  25.1</w:t>
      </w:r>
      <w:r>
        <w:rPr>
          <w:rFonts w:hint="default" w:ascii="Times New Roman" w:hAnsi="Times New Roman" w:eastAsia="宋体" w:cs="Times New Roman"/>
          <w:b/>
          <w:color w:val="auto"/>
          <w:sz w:val="21"/>
          <w:szCs w:val="21"/>
          <w:highlight w:val="none"/>
        </w:rPr>
        <w:t xml:space="preserve"> </w:t>
      </w:r>
      <w:r>
        <w:rPr>
          <w:rFonts w:hint="default" w:ascii="Times New Roman" w:hAnsi="Times New Roman" w:eastAsia="宋体" w:cs="Times New Roman"/>
          <w:color w:val="auto"/>
          <w:sz w:val="21"/>
          <w:szCs w:val="21"/>
          <w:highlight w:val="none"/>
        </w:rPr>
        <w:t>资格审查通过后，采购人和采购代理机构将组织评标委员会（以下简称评委会）进行评标。</w:t>
      </w:r>
    </w:p>
    <w:p w14:paraId="4A428213">
      <w:pPr>
        <w:keepNext w:val="0"/>
        <w:keepLines w:val="0"/>
        <w:pageBreakBefore w:val="0"/>
        <w:widowControl w:val="0"/>
        <w:kinsoku/>
        <w:wordWrap w:val="0"/>
        <w:overflowPunct/>
        <w:topLinePunct w:val="0"/>
        <w:bidi w:val="0"/>
        <w:spacing w:line="52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w:t>
      </w:r>
      <w:r>
        <w:rPr>
          <w:rFonts w:hint="default" w:ascii="Times New Roman" w:hAnsi="Times New Roman" w:eastAsia="宋体" w:cs="Times New Roman"/>
          <w:color w:val="auto"/>
          <w:sz w:val="21"/>
          <w:szCs w:val="21"/>
          <w:highlight w:val="none"/>
        </w:rPr>
        <w:t xml:space="preserve"> 25.2 评委会由采购人代表和有关技术、经济等方面的专家组成，且人员构成符合政府采购有关规定。</w:t>
      </w:r>
    </w:p>
    <w:p w14:paraId="5C8C33D3">
      <w:pPr>
        <w:keepNext w:val="0"/>
        <w:keepLines w:val="0"/>
        <w:pageBreakBefore w:val="0"/>
        <w:widowControl w:val="0"/>
        <w:kinsoku/>
        <w:wordWrap w:val="0"/>
        <w:overflowPunct/>
        <w:topLinePunct w:val="0"/>
        <w:bidi w:val="0"/>
        <w:spacing w:line="52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w:t>
      </w:r>
      <w:r>
        <w:rPr>
          <w:rFonts w:hint="default" w:ascii="Times New Roman" w:hAnsi="Times New Roman" w:eastAsia="宋体" w:cs="Times New Roman"/>
          <w:color w:val="auto"/>
          <w:sz w:val="21"/>
          <w:szCs w:val="21"/>
          <w:highlight w:val="none"/>
        </w:rPr>
        <w:t xml:space="preserve">  25.3评委会独立工作，负责评审所有投标文件并确定中标侯选人。</w:t>
      </w:r>
    </w:p>
    <w:p w14:paraId="24AA859F">
      <w:pPr>
        <w:pStyle w:val="9"/>
        <w:keepNext w:val="0"/>
        <w:keepLines w:val="0"/>
        <w:pageBreakBefore w:val="0"/>
        <w:widowControl w:val="0"/>
        <w:kinsoku/>
        <w:wordWrap w:val="0"/>
        <w:overflowPunct/>
        <w:topLinePunct w:val="0"/>
        <w:bidi w:val="0"/>
        <w:spacing w:before="0" w:after="0" w:line="520" w:lineRule="exact"/>
        <w:ind w:firstLine="315" w:firstLineChars="150"/>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26、评标过程的保密与公正</w:t>
      </w:r>
    </w:p>
    <w:bookmarkEnd w:id="164"/>
    <w:bookmarkEnd w:id="165"/>
    <w:bookmarkEnd w:id="166"/>
    <w:p w14:paraId="5441A246">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auto"/>
          <w:sz w:val="21"/>
          <w:szCs w:val="21"/>
          <w:highlight w:val="none"/>
        </w:rPr>
        <w:t>26.1</w:t>
      </w:r>
      <w:r>
        <w:rPr>
          <w:rFonts w:hint="default" w:ascii="Times New Roman" w:hAnsi="Times New Roman" w:eastAsia="宋体" w:cs="Times New Roman"/>
          <w:bCs/>
          <w:color w:val="auto"/>
          <w:sz w:val="21"/>
          <w:szCs w:val="21"/>
          <w:highlight w:val="none"/>
        </w:rPr>
        <w:t>公开开标后，直至签订合同之日止，凡是与审查、澄清、评价和比较投标的有关资料以及授标建议等，采购人、评委、采购代理机构均不得向投标人或与评标无关的其他人员透露。</w:t>
      </w:r>
    </w:p>
    <w:p w14:paraId="495111B6">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26.2在评标过程中，投标人不得以任何行为影响评标过程，否则其投标文件将被作为无效投标文件。</w:t>
      </w:r>
    </w:p>
    <w:p w14:paraId="02C25D07">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26.3在评标期间，采购人和采购代理机构将设专门人员与投标人联系。</w:t>
      </w:r>
    </w:p>
    <w:p w14:paraId="050713CC">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26.4 采购人和采购代理机构和评标委员会不向落标的投标人解释未中标原因，也不公布评标过程中的相关细节。</w:t>
      </w:r>
    </w:p>
    <w:p w14:paraId="4C24E4FB">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26.5 采用综合评分法的项目，未中标的投标人如需了解自己的评审得分及排序情况，可向采购人提出申请。</w:t>
      </w:r>
    </w:p>
    <w:p w14:paraId="77AD58A0">
      <w:pPr>
        <w:pStyle w:val="9"/>
        <w:keepNext w:val="0"/>
        <w:keepLines w:val="0"/>
        <w:pageBreakBefore w:val="0"/>
        <w:widowControl w:val="0"/>
        <w:kinsoku/>
        <w:wordWrap w:val="0"/>
        <w:overflowPunct/>
        <w:topLinePunct w:val="0"/>
        <w:bidi w:val="0"/>
        <w:spacing w:before="0" w:after="0" w:line="520" w:lineRule="exact"/>
        <w:ind w:firstLine="315" w:firstLineChars="150"/>
        <w:rPr>
          <w:rFonts w:hint="default" w:ascii="Times New Roman" w:hAnsi="Times New Roman" w:eastAsia="宋体" w:cs="Times New Roman"/>
          <w:b w:val="0"/>
          <w:bCs w:val="0"/>
          <w:color w:val="auto"/>
          <w:sz w:val="21"/>
          <w:szCs w:val="21"/>
          <w:highlight w:val="none"/>
        </w:rPr>
      </w:pPr>
      <w:bookmarkStart w:id="167" w:name="_Toc16938548"/>
      <w:bookmarkStart w:id="168" w:name="_Toc513029232"/>
      <w:bookmarkStart w:id="169" w:name="_Toc20823304"/>
      <w:r>
        <w:rPr>
          <w:rFonts w:hint="default" w:ascii="Times New Roman" w:hAnsi="Times New Roman" w:eastAsia="宋体" w:cs="Times New Roman"/>
          <w:b w:val="0"/>
          <w:bCs w:val="0"/>
          <w:color w:val="auto"/>
          <w:sz w:val="21"/>
          <w:szCs w:val="21"/>
          <w:highlight w:val="none"/>
        </w:rPr>
        <w:t>27、投标的澄清</w:t>
      </w:r>
      <w:bookmarkEnd w:id="167"/>
      <w:bookmarkEnd w:id="168"/>
      <w:bookmarkEnd w:id="169"/>
    </w:p>
    <w:p w14:paraId="35100A34">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color w:val="auto"/>
          <w:sz w:val="21"/>
          <w:szCs w:val="21"/>
          <w:highlight w:val="none"/>
        </w:rPr>
        <w:t>27.1评标期间，为有助于对投标文件的审查、评价和比较，评委会有权以书面形式要求投标人对其投标文件进行澄清，但并非对每个投标人都作澄清要求。</w:t>
      </w:r>
      <w:r>
        <w:rPr>
          <w:rFonts w:hint="default" w:ascii="Times New Roman" w:hAnsi="Times New Roman" w:eastAsia="宋体" w:cs="Times New Roman"/>
          <w:b/>
          <w:bCs/>
          <w:color w:val="auto"/>
          <w:sz w:val="21"/>
          <w:szCs w:val="21"/>
          <w:highlight w:val="none"/>
        </w:rPr>
        <w:t>除评委会主动要求投标人对其投标文件进行澄清的情形外，评委会有权拒绝投标人在开标后主动向评委会递交的任何材料。</w:t>
      </w:r>
    </w:p>
    <w:p w14:paraId="327B50C5">
      <w:pPr>
        <w:keepNext w:val="0"/>
        <w:keepLines w:val="0"/>
        <w:pageBreakBefore w:val="0"/>
        <w:widowControl w:val="0"/>
        <w:kinsoku/>
        <w:wordWrap w:val="0"/>
        <w:overflowPunct/>
        <w:topLinePunct w:val="0"/>
        <w:bidi w:val="0"/>
        <w:spacing w:line="52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27.2接到评委会澄清要求的投标人应派人按评委会通知的时间和地点做出书面澄清，书面澄清的内容须由投标人法人或授权代表签署，并作为投标文件的补充部分，但投标的价格和实质性的内容不得做任何更改。</w:t>
      </w:r>
    </w:p>
    <w:p w14:paraId="4724AC9C">
      <w:pPr>
        <w:keepNext w:val="0"/>
        <w:keepLines w:val="0"/>
        <w:pageBreakBefore w:val="0"/>
        <w:widowControl w:val="0"/>
        <w:kinsoku/>
        <w:wordWrap w:val="0"/>
        <w:overflowPunct/>
        <w:topLinePunct w:val="0"/>
        <w:bidi w:val="0"/>
        <w:spacing w:line="52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27.3 接到评委会澄清要求的投标人如未按规定做出澄清，其风险由投标人自行承担。</w:t>
      </w:r>
    </w:p>
    <w:p w14:paraId="087C55AD">
      <w:pPr>
        <w:pStyle w:val="9"/>
        <w:keepNext w:val="0"/>
        <w:keepLines w:val="0"/>
        <w:pageBreakBefore w:val="0"/>
        <w:widowControl w:val="0"/>
        <w:kinsoku/>
        <w:wordWrap w:val="0"/>
        <w:overflowPunct/>
        <w:topLinePunct w:val="0"/>
        <w:bidi w:val="0"/>
        <w:spacing w:before="0" w:after="0" w:line="520" w:lineRule="exact"/>
        <w:ind w:firstLine="315" w:firstLineChars="150"/>
        <w:rPr>
          <w:rFonts w:hint="default" w:ascii="Times New Roman" w:hAnsi="Times New Roman" w:eastAsia="宋体" w:cs="Times New Roman"/>
          <w:b w:val="0"/>
          <w:bCs w:val="0"/>
          <w:color w:val="auto"/>
          <w:sz w:val="21"/>
          <w:szCs w:val="21"/>
          <w:highlight w:val="none"/>
        </w:rPr>
      </w:pPr>
      <w:bookmarkStart w:id="170" w:name="_Toc20823305"/>
      <w:bookmarkStart w:id="171" w:name="_Toc16938549"/>
      <w:bookmarkStart w:id="172" w:name="_Toc513029233"/>
      <w:r>
        <w:rPr>
          <w:rFonts w:hint="default" w:ascii="Times New Roman" w:hAnsi="Times New Roman" w:eastAsia="宋体" w:cs="Times New Roman"/>
          <w:b w:val="0"/>
          <w:bCs w:val="0"/>
          <w:color w:val="auto"/>
          <w:sz w:val="21"/>
          <w:szCs w:val="21"/>
          <w:highlight w:val="none"/>
        </w:rPr>
        <w:t>28、对投标文件的评审</w:t>
      </w:r>
      <w:bookmarkEnd w:id="170"/>
      <w:bookmarkEnd w:id="171"/>
      <w:bookmarkEnd w:id="172"/>
    </w:p>
    <w:p w14:paraId="7B03F923">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auto"/>
          <w:sz w:val="21"/>
          <w:szCs w:val="21"/>
          <w:highlight w:val="none"/>
        </w:rPr>
        <w:t>28.1</w:t>
      </w:r>
      <w:r>
        <w:rPr>
          <w:rFonts w:hint="default" w:ascii="Times New Roman" w:hAnsi="Times New Roman" w:eastAsia="宋体" w:cs="Times New Roman"/>
          <w:bCs/>
          <w:color w:val="auto"/>
          <w:sz w:val="21"/>
          <w:szCs w:val="21"/>
          <w:highlight w:val="none"/>
        </w:rPr>
        <w:t>符合性检查：依据招标文件的规定，从投标文件的有效性、完整性和对招标文件的响应程度进行审查，以确定是否对招标文件的实质性要求作出响应。</w:t>
      </w:r>
    </w:p>
    <w:p w14:paraId="5FE5796D">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28.2在详细评标之前，评委会将首先审查每份投标文件是否实质性响应了招标文件的要求。实质性响应的投标应该是与招标文件要求的全部条款、条件和规格相符，没有重大偏离或保留的投标。</w:t>
      </w:r>
    </w:p>
    <w:p w14:paraId="2FEAEDF2">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auto"/>
          <w:sz w:val="21"/>
          <w:szCs w:val="21"/>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委会按照少数服从多数的原则作出结论。认定</w:t>
      </w:r>
      <w:r>
        <w:rPr>
          <w:rFonts w:hint="default" w:ascii="Times New Roman" w:hAnsi="Times New Roman" w:eastAsia="宋体" w:cs="Times New Roman"/>
          <w:bCs/>
          <w:color w:val="auto"/>
          <w:sz w:val="21"/>
          <w:szCs w:val="21"/>
          <w:highlight w:val="none"/>
        </w:rPr>
        <w:t>评委决定投标文件的响应性只根据投标文件本身的内容，而不寻求外部的证据。</w:t>
      </w:r>
    </w:p>
    <w:p w14:paraId="55781C52">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auto"/>
          <w:sz w:val="21"/>
          <w:szCs w:val="21"/>
          <w:highlight w:val="none"/>
        </w:rPr>
        <w:t>28.3</w:t>
      </w:r>
      <w:r>
        <w:rPr>
          <w:rFonts w:hint="default" w:ascii="Times New Roman" w:hAnsi="Times New Roman" w:eastAsia="宋体" w:cs="Times New Roman"/>
          <w:bCs/>
          <w:color w:val="auto"/>
          <w:sz w:val="21"/>
          <w:szCs w:val="21"/>
          <w:highlight w:val="none"/>
        </w:rPr>
        <w:t>如果投标文件实质上没有响应招标文件的要求，评委会将按无效投标处理，投标人不得通过修改或撤销不合要求的偏离或保留而使其投标成为实质性响应的投标。</w:t>
      </w:r>
    </w:p>
    <w:p w14:paraId="68F8D892">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auto"/>
          <w:sz w:val="21"/>
          <w:szCs w:val="21"/>
          <w:highlight w:val="none"/>
        </w:rPr>
        <w:t>28.4</w:t>
      </w:r>
      <w:r>
        <w:rPr>
          <w:rFonts w:hint="default" w:ascii="Times New Roman" w:hAnsi="Times New Roman" w:eastAsia="宋体" w:cs="Times New Roman"/>
          <w:bCs/>
          <w:color w:val="auto"/>
          <w:sz w:val="21"/>
          <w:szCs w:val="21"/>
          <w:highlight w:val="none"/>
        </w:rPr>
        <w:t>评委会将对确定为实质性响应的投标进行进一步审核，看其是否有计算上或累加上的算术错误，修正错误的原则如下：</w:t>
      </w:r>
    </w:p>
    <w:p w14:paraId="0542DC46">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（1）投标文件中开标一览表内容与投标文件中相应内容不一致的，以开标一览表为准。</w:t>
      </w:r>
    </w:p>
    <w:p w14:paraId="0EBE4426">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（2）大写金额和小写金额不一致的，以大写金额为准。</w:t>
      </w:r>
    </w:p>
    <w:p w14:paraId="056E9F52">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（3）单价金额小数点或者百分比有明显错位的，以开标一览表的总价为准，并修改单价。</w:t>
      </w:r>
    </w:p>
    <w:p w14:paraId="64985D1D">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（4）总价金额与按单价汇总金额不一致的，以单价金额计算结果为准。</w:t>
      </w:r>
    </w:p>
    <w:p w14:paraId="094DCF55">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同时出现两种以上错误的，按照前款规定的顺序修正。</w:t>
      </w:r>
    </w:p>
    <w:p w14:paraId="23C57620">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auto"/>
          <w:sz w:val="21"/>
          <w:szCs w:val="21"/>
          <w:highlight w:val="none"/>
        </w:rPr>
        <w:t>28.5</w:t>
      </w:r>
      <w:r>
        <w:rPr>
          <w:rFonts w:hint="default" w:ascii="Times New Roman" w:hAnsi="Times New Roman" w:eastAsia="宋体" w:cs="Times New Roman"/>
          <w:bCs/>
          <w:color w:val="auto"/>
          <w:sz w:val="21"/>
          <w:szCs w:val="21"/>
          <w:highlight w:val="none"/>
        </w:rPr>
        <w:t>评委会将按上述修正错误的方法调整投标文件中的投标报价，调整后的价格应对投标人具有约束力。如果投标人不接受修正后的价格，则其投标将被拒绝。</w:t>
      </w:r>
    </w:p>
    <w:p w14:paraId="6493387B">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auto"/>
          <w:sz w:val="21"/>
          <w:szCs w:val="21"/>
          <w:highlight w:val="none"/>
        </w:rPr>
        <w:t>28.6</w:t>
      </w:r>
      <w:r>
        <w:rPr>
          <w:rFonts w:hint="default" w:ascii="Times New Roman" w:hAnsi="Times New Roman" w:eastAsia="宋体" w:cs="Times New Roman"/>
          <w:bCs/>
          <w:color w:val="auto"/>
          <w:sz w:val="21"/>
          <w:szCs w:val="21"/>
          <w:highlight w:val="none"/>
        </w:rPr>
        <w:t>评委会将允许修正投标文件中不构成重大偏离的、微小的、非正规的、不一致的或不规则的地方，但这些修改不能影响任何投标人相应的名次排列。</w:t>
      </w:r>
    </w:p>
    <w:p w14:paraId="75F757A8">
      <w:pPr>
        <w:pStyle w:val="9"/>
        <w:keepNext w:val="0"/>
        <w:keepLines w:val="0"/>
        <w:pageBreakBefore w:val="0"/>
        <w:widowControl w:val="0"/>
        <w:kinsoku/>
        <w:wordWrap w:val="0"/>
        <w:overflowPunct/>
        <w:topLinePunct w:val="0"/>
        <w:bidi w:val="0"/>
        <w:spacing w:before="0" w:after="0" w:line="520" w:lineRule="exact"/>
        <w:ind w:firstLine="315" w:firstLineChars="150"/>
        <w:rPr>
          <w:rFonts w:hint="default" w:ascii="Times New Roman" w:hAnsi="Times New Roman" w:eastAsia="宋体" w:cs="Times New Roman"/>
          <w:b w:val="0"/>
          <w:bCs w:val="0"/>
          <w:color w:val="auto"/>
          <w:sz w:val="21"/>
          <w:szCs w:val="21"/>
          <w:highlight w:val="none"/>
        </w:rPr>
      </w:pPr>
      <w:bookmarkStart w:id="173" w:name="_Toc513029234"/>
      <w:bookmarkStart w:id="174" w:name="_Toc16938550"/>
      <w:bookmarkStart w:id="175" w:name="_Toc20823306"/>
      <w:r>
        <w:rPr>
          <w:rFonts w:hint="default" w:ascii="Times New Roman" w:hAnsi="Times New Roman" w:eastAsia="宋体" w:cs="Times New Roman"/>
          <w:b w:val="0"/>
          <w:bCs w:val="0"/>
          <w:color w:val="auto"/>
          <w:sz w:val="21"/>
          <w:szCs w:val="21"/>
          <w:highlight w:val="none"/>
        </w:rPr>
        <w:t>29、</w:t>
      </w:r>
      <w:bookmarkEnd w:id="173"/>
      <w:bookmarkEnd w:id="174"/>
      <w:bookmarkEnd w:id="175"/>
      <w:r>
        <w:rPr>
          <w:rFonts w:hint="default" w:ascii="Times New Roman" w:hAnsi="Times New Roman" w:eastAsia="宋体" w:cs="Times New Roman"/>
          <w:b w:val="0"/>
          <w:bCs w:val="0"/>
          <w:color w:val="auto"/>
          <w:sz w:val="21"/>
          <w:szCs w:val="21"/>
          <w:highlight w:val="none"/>
        </w:rPr>
        <w:t>无效投标条款和废标条款</w:t>
      </w:r>
    </w:p>
    <w:p w14:paraId="0FCD98AE">
      <w:pPr>
        <w:keepNext w:val="0"/>
        <w:keepLines w:val="0"/>
        <w:pageBreakBefore w:val="0"/>
        <w:widowControl w:val="0"/>
        <w:kinsoku/>
        <w:wordWrap w:val="0"/>
        <w:overflowPunct/>
        <w:topLinePunct w:val="0"/>
        <w:bidi w:val="0"/>
        <w:spacing w:line="520" w:lineRule="exact"/>
        <w:ind w:left="479" w:leftChars="228"/>
        <w:rPr>
          <w:rFonts w:hint="default" w:ascii="Times New Roman" w:hAnsi="Times New Roman" w:eastAsia="宋体" w:cs="Times New Roman"/>
          <w:b/>
          <w:color w:val="auto"/>
          <w:sz w:val="21"/>
          <w:szCs w:val="21"/>
          <w:highlight w:val="none"/>
        </w:rPr>
      </w:pPr>
      <w:bookmarkStart w:id="176" w:name="_Toc513029235"/>
      <w:bookmarkStart w:id="177" w:name="_Toc16938551"/>
      <w:bookmarkStart w:id="178" w:name="_Toc20823307"/>
      <w:r>
        <w:rPr>
          <w:rFonts w:hint="default" w:ascii="Times New Roman" w:hAnsi="Times New Roman" w:eastAsia="宋体" w:cs="Times New Roman"/>
          <w:b/>
          <w:color w:val="auto"/>
          <w:sz w:val="21"/>
          <w:szCs w:val="21"/>
          <w:highlight w:val="none"/>
        </w:rPr>
        <w:t>29.1无效投标条款</w:t>
      </w:r>
    </w:p>
    <w:p w14:paraId="3C1B18FB">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29.1.1投标人未按照招标文件要求上传电子投标文件</w:t>
      </w:r>
      <w:r>
        <w:rPr>
          <w:rFonts w:hint="default" w:ascii="Times New Roman" w:hAnsi="Times New Roman" w:eastAsia="宋体" w:cs="Times New Roman"/>
          <w:bCs/>
          <w:color w:val="auto"/>
          <w:sz w:val="21"/>
          <w:szCs w:val="21"/>
          <w:highlight w:val="none"/>
          <w:lang w:eastAsia="zh-CN"/>
        </w:rPr>
        <w:t>的</w:t>
      </w:r>
      <w:r>
        <w:rPr>
          <w:rFonts w:hint="default" w:ascii="Times New Roman" w:hAnsi="Times New Roman" w:eastAsia="宋体" w:cs="Times New Roman"/>
          <w:bCs/>
          <w:color w:val="auto"/>
          <w:sz w:val="21"/>
          <w:szCs w:val="21"/>
          <w:highlight w:val="none"/>
        </w:rPr>
        <w:t>；</w:t>
      </w:r>
    </w:p>
    <w:p w14:paraId="016AB3AD">
      <w:pPr>
        <w:keepNext w:val="0"/>
        <w:keepLines w:val="0"/>
        <w:pageBreakBefore w:val="0"/>
        <w:widowControl w:val="0"/>
        <w:kinsoku/>
        <w:wordWrap w:val="0"/>
        <w:overflowPunct/>
        <w:topLinePunct w:val="0"/>
        <w:bidi w:val="0"/>
        <w:spacing w:line="520" w:lineRule="exact"/>
        <w:ind w:firstLine="422" w:firstLineChars="200"/>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29.1.2投标人未在苏采云系统规定解密时间内进行解密；</w:t>
      </w:r>
    </w:p>
    <w:p w14:paraId="632B541B">
      <w:pPr>
        <w:keepNext w:val="0"/>
        <w:keepLines w:val="0"/>
        <w:pageBreakBefore w:val="0"/>
        <w:widowControl w:val="0"/>
        <w:kinsoku/>
        <w:wordWrap w:val="0"/>
        <w:overflowPunct/>
        <w:topLinePunct w:val="0"/>
        <w:bidi w:val="0"/>
        <w:spacing w:line="520" w:lineRule="exact"/>
        <w:ind w:left="479" w:leftChars="228"/>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29.1.3投标人在报价时采用选择性报价；</w:t>
      </w:r>
    </w:p>
    <w:p w14:paraId="2300FDA2">
      <w:pPr>
        <w:keepNext w:val="0"/>
        <w:keepLines w:val="0"/>
        <w:pageBreakBefore w:val="0"/>
        <w:widowControl w:val="0"/>
        <w:kinsoku/>
        <w:wordWrap w:val="0"/>
        <w:overflowPunct/>
        <w:topLinePunct w:val="0"/>
        <w:bidi w:val="0"/>
        <w:spacing w:line="520" w:lineRule="exact"/>
        <w:ind w:left="479" w:leftChars="228"/>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29.1.4投标人不具备招标文件中规定资格要求的；</w:t>
      </w:r>
    </w:p>
    <w:p w14:paraId="18BF8311">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29.1.5投标人的报价超过了采购预算或最高限价的；</w:t>
      </w:r>
    </w:p>
    <w:p w14:paraId="651B7512">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29.1.6未通过符合性检查的；</w:t>
      </w:r>
    </w:p>
    <w:p w14:paraId="56646209">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29.1.7不符合招标文件中规定的其他实质性要求和条件的；</w:t>
      </w:r>
    </w:p>
    <w:p w14:paraId="5DD18C4A">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29.1.8投标人串通投标；</w:t>
      </w:r>
    </w:p>
    <w:p w14:paraId="026AC0F5">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29.1.9投标文件含有采购人不能接受的附加条件的。</w:t>
      </w:r>
    </w:p>
    <w:p w14:paraId="05ECEBC1">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29.1.10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13F464E3">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29.1.11</w:t>
      </w:r>
      <w:r>
        <w:rPr>
          <w:rFonts w:hint="default" w:ascii="Times New Roman" w:hAnsi="Times New Roman" w:eastAsia="宋体" w:cs="Times New Roman"/>
          <w:bCs/>
          <w:sz w:val="21"/>
          <w:szCs w:val="21"/>
          <w:highlight w:val="none"/>
          <w:lang w:val="en-US" w:eastAsia="zh-CN"/>
        </w:rPr>
        <w:t>投标文件未按招标文件要求签署、盖章的</w:t>
      </w:r>
      <w:r>
        <w:rPr>
          <w:rFonts w:hint="default" w:ascii="Times New Roman" w:hAnsi="Times New Roman" w:eastAsia="宋体" w:cs="Times New Roman"/>
          <w:bCs/>
          <w:color w:val="auto"/>
          <w:sz w:val="21"/>
          <w:szCs w:val="21"/>
          <w:highlight w:val="none"/>
        </w:rPr>
        <w:t>。</w:t>
      </w:r>
    </w:p>
    <w:p w14:paraId="002D8408">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29.1.12其他法律、法规及本招标文件规定的属无效投标的情形。</w:t>
      </w:r>
    </w:p>
    <w:p w14:paraId="39B96F5D">
      <w:pPr>
        <w:keepNext w:val="0"/>
        <w:keepLines w:val="0"/>
        <w:pageBreakBefore w:val="0"/>
        <w:widowControl w:val="0"/>
        <w:kinsoku/>
        <w:wordWrap w:val="0"/>
        <w:overflowPunct/>
        <w:topLinePunct w:val="0"/>
        <w:bidi w:val="0"/>
        <w:spacing w:line="520" w:lineRule="exact"/>
        <w:ind w:left="479" w:leftChars="228"/>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29.2废标条款：                                                   </w:t>
      </w:r>
    </w:p>
    <w:p w14:paraId="7503B75D">
      <w:pPr>
        <w:keepNext w:val="0"/>
        <w:keepLines w:val="0"/>
        <w:pageBreakBefore w:val="0"/>
        <w:widowControl w:val="0"/>
        <w:kinsoku/>
        <w:wordWrap w:val="0"/>
        <w:overflowPunct/>
        <w:topLinePunct w:val="0"/>
        <w:bidi w:val="0"/>
        <w:spacing w:line="520" w:lineRule="exact"/>
        <w:ind w:left="479" w:leftChars="228"/>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29.2.1符合专业条件的供应商或者对招标文件作实质响应的供应商不足三家的；</w:t>
      </w:r>
    </w:p>
    <w:p w14:paraId="69989926">
      <w:pPr>
        <w:keepNext w:val="0"/>
        <w:keepLines w:val="0"/>
        <w:pageBreakBefore w:val="0"/>
        <w:widowControl w:val="0"/>
        <w:kinsoku/>
        <w:wordWrap w:val="0"/>
        <w:overflowPunct/>
        <w:topLinePunct w:val="0"/>
        <w:bidi w:val="0"/>
        <w:spacing w:line="520" w:lineRule="exact"/>
        <w:ind w:left="479" w:leftChars="228"/>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29.2.2出现影响采购公正的违法、违规行为的；</w:t>
      </w:r>
    </w:p>
    <w:p w14:paraId="6BC73671">
      <w:pPr>
        <w:keepNext w:val="0"/>
        <w:keepLines w:val="0"/>
        <w:pageBreakBefore w:val="0"/>
        <w:widowControl w:val="0"/>
        <w:kinsoku/>
        <w:wordWrap w:val="0"/>
        <w:overflowPunct/>
        <w:topLinePunct w:val="0"/>
        <w:bidi w:val="0"/>
        <w:spacing w:line="520" w:lineRule="exact"/>
        <w:ind w:left="479" w:leftChars="228"/>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29.2.3因重大变故，采购任务取消的；</w:t>
      </w:r>
    </w:p>
    <w:p w14:paraId="09BB1551">
      <w:pPr>
        <w:keepNext w:val="0"/>
        <w:keepLines w:val="0"/>
        <w:pageBreakBefore w:val="0"/>
        <w:widowControl w:val="0"/>
        <w:kinsoku/>
        <w:wordWrap w:val="0"/>
        <w:overflowPunct/>
        <w:topLinePunct w:val="0"/>
        <w:bidi w:val="0"/>
        <w:spacing w:line="520" w:lineRule="exact"/>
        <w:ind w:left="479" w:leftChars="228"/>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29.2.4评标委员会认定招标文件存在歧义、重大缺陷导致评审工作无法进行。</w:t>
      </w:r>
    </w:p>
    <w:p w14:paraId="3D58F6AC">
      <w:pPr>
        <w:keepNext w:val="0"/>
        <w:keepLines w:val="0"/>
        <w:pageBreakBefore w:val="0"/>
        <w:widowControl w:val="0"/>
        <w:kinsoku/>
        <w:wordWrap w:val="0"/>
        <w:overflowPunct/>
        <w:topLinePunct w:val="0"/>
        <w:bidi w:val="0"/>
        <w:spacing w:line="520" w:lineRule="exact"/>
        <w:ind w:left="479" w:leftChars="228"/>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29.3 投标截止时间结束后参加投标的供应商不足三家的处理：</w:t>
      </w:r>
    </w:p>
    <w:p w14:paraId="24FC29A2">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29.3.1如出现投标截止时间结束后参加投标的供应商或者在评标期间对招标文件做出实质响应的供应商不足三家情况，按财政部第八十七号令第四十三条的规定执行。</w:t>
      </w:r>
    </w:p>
    <w:p w14:paraId="3BA6A4BB">
      <w:pPr>
        <w:pStyle w:val="8"/>
        <w:keepNext w:val="0"/>
        <w:keepLines w:val="0"/>
        <w:pageBreakBefore w:val="0"/>
        <w:widowControl w:val="0"/>
        <w:kinsoku/>
        <w:wordWrap w:val="0"/>
        <w:overflowPunct/>
        <w:topLinePunct w:val="0"/>
        <w:bidi w:val="0"/>
        <w:spacing w:before="145" w:beforeLines="50" w:after="145" w:afterLines="50" w:line="520" w:lineRule="exact"/>
        <w:ind w:firstLine="210" w:firstLineChars="100"/>
        <w:rPr>
          <w:rFonts w:hint="default" w:ascii="Times New Roman" w:hAnsi="Times New Roman" w:eastAsia="宋体" w:cs="Times New Roman"/>
          <w:color w:val="auto"/>
          <w:sz w:val="21"/>
          <w:szCs w:val="21"/>
          <w:highlight w:val="none"/>
        </w:rPr>
      </w:pPr>
      <w:bookmarkStart w:id="179" w:name="_Toc120614219"/>
      <w:bookmarkStart w:id="180" w:name="_Toc12354"/>
      <w:r>
        <w:rPr>
          <w:rFonts w:hint="default" w:ascii="Times New Roman" w:hAnsi="Times New Roman" w:eastAsia="宋体" w:cs="Times New Roman"/>
          <w:color w:val="auto"/>
          <w:sz w:val="21"/>
          <w:szCs w:val="21"/>
          <w:highlight w:val="none"/>
        </w:rPr>
        <w:t>六、</w:t>
      </w:r>
      <w:bookmarkEnd w:id="176"/>
      <w:bookmarkEnd w:id="177"/>
      <w:bookmarkEnd w:id="178"/>
      <w:r>
        <w:rPr>
          <w:rFonts w:hint="default" w:ascii="Times New Roman" w:hAnsi="Times New Roman" w:eastAsia="宋体" w:cs="Times New Roman"/>
          <w:color w:val="auto"/>
          <w:sz w:val="21"/>
          <w:szCs w:val="21"/>
          <w:highlight w:val="none"/>
        </w:rPr>
        <w:t>定标</w:t>
      </w:r>
      <w:bookmarkEnd w:id="179"/>
      <w:bookmarkEnd w:id="180"/>
    </w:p>
    <w:p w14:paraId="4994918B">
      <w:pPr>
        <w:pStyle w:val="9"/>
        <w:keepNext w:val="0"/>
        <w:keepLines w:val="0"/>
        <w:pageBreakBefore w:val="0"/>
        <w:widowControl w:val="0"/>
        <w:kinsoku/>
        <w:wordWrap w:val="0"/>
        <w:overflowPunct/>
        <w:topLinePunct w:val="0"/>
        <w:bidi w:val="0"/>
        <w:spacing w:before="0" w:after="0" w:line="520" w:lineRule="exact"/>
        <w:ind w:firstLine="315" w:firstLineChars="150"/>
        <w:rPr>
          <w:rFonts w:hint="default" w:ascii="Times New Roman" w:hAnsi="Times New Roman" w:eastAsia="宋体" w:cs="Times New Roman"/>
          <w:b w:val="0"/>
          <w:color w:val="auto"/>
          <w:sz w:val="21"/>
          <w:szCs w:val="21"/>
          <w:highlight w:val="none"/>
        </w:rPr>
      </w:pPr>
      <w:bookmarkStart w:id="181" w:name="_Toc513029238"/>
      <w:bookmarkStart w:id="182" w:name="_Toc20823310"/>
      <w:bookmarkStart w:id="183" w:name="_Toc16938554"/>
      <w:r>
        <w:rPr>
          <w:rFonts w:hint="default" w:ascii="Times New Roman" w:hAnsi="Times New Roman" w:eastAsia="宋体" w:cs="Times New Roman"/>
          <w:b w:val="0"/>
          <w:color w:val="auto"/>
          <w:sz w:val="21"/>
          <w:szCs w:val="21"/>
          <w:highlight w:val="none"/>
        </w:rPr>
        <w:t>30、</w:t>
      </w:r>
      <w:bookmarkEnd w:id="181"/>
      <w:r>
        <w:rPr>
          <w:rFonts w:hint="default" w:ascii="Times New Roman" w:hAnsi="Times New Roman" w:eastAsia="宋体" w:cs="Times New Roman"/>
          <w:b w:val="0"/>
          <w:color w:val="auto"/>
          <w:sz w:val="21"/>
          <w:szCs w:val="21"/>
          <w:highlight w:val="none"/>
        </w:rPr>
        <w:t>确定</w:t>
      </w:r>
      <w:bookmarkEnd w:id="182"/>
      <w:bookmarkEnd w:id="183"/>
      <w:r>
        <w:rPr>
          <w:rFonts w:hint="default" w:ascii="Times New Roman" w:hAnsi="Times New Roman" w:eastAsia="宋体" w:cs="Times New Roman"/>
          <w:b w:val="0"/>
          <w:color w:val="auto"/>
          <w:sz w:val="21"/>
          <w:szCs w:val="21"/>
          <w:highlight w:val="none"/>
        </w:rPr>
        <w:t>中标单位</w:t>
      </w:r>
    </w:p>
    <w:p w14:paraId="11496951">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30.1评委会根据本招标文件规定评标方法与评标标准向采购人推荐出中标候选人。</w:t>
      </w:r>
    </w:p>
    <w:p w14:paraId="6071F6A2">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30.2 采购人应根据评委会推荐的中标候选人确定中标供应商。</w:t>
      </w:r>
    </w:p>
    <w:p w14:paraId="4CD29A33">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Cs/>
          <w:color w:val="auto"/>
          <w:sz w:val="21"/>
          <w:szCs w:val="21"/>
          <w:highlight w:val="none"/>
        </w:rPr>
        <w:t>30.3</w:t>
      </w:r>
      <w:r>
        <w:rPr>
          <w:rFonts w:hint="default" w:ascii="Times New Roman" w:hAnsi="Times New Roman" w:eastAsia="宋体" w:cs="Times New Roman"/>
          <w:color w:val="auto"/>
          <w:sz w:val="21"/>
          <w:szCs w:val="21"/>
          <w:highlight w:val="none"/>
        </w:rPr>
        <w:t>采购人和采购代理机构将在“江苏政府采购网、盐城市政府采购网、滨海县人民政府网”发布中标公告，公告期限为1个工作日。</w:t>
      </w:r>
    </w:p>
    <w:p w14:paraId="4E41DAAB">
      <w:pPr>
        <w:keepNext w:val="0"/>
        <w:keepLines w:val="0"/>
        <w:pageBreakBefore w:val="0"/>
        <w:widowControl w:val="0"/>
        <w:kinsoku/>
        <w:wordWrap w:val="0"/>
        <w:overflowPunct/>
        <w:topLinePunct w:val="0"/>
        <w:bidi w:val="0"/>
        <w:snapToGrid w:val="0"/>
        <w:spacing w:line="520" w:lineRule="exact"/>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30.4若有充分证据证明，中标供应商出现下列情况之一的，一经查实，将被取消中标资格：</w:t>
      </w:r>
    </w:p>
    <w:p w14:paraId="30B56648">
      <w:pPr>
        <w:keepNext w:val="0"/>
        <w:keepLines w:val="0"/>
        <w:pageBreakBefore w:val="0"/>
        <w:widowControl w:val="0"/>
        <w:kinsoku/>
        <w:wordWrap w:val="0"/>
        <w:overflowPunct/>
        <w:topLinePunct w:val="0"/>
        <w:bidi w:val="0"/>
        <w:snapToGrid w:val="0"/>
        <w:spacing w:line="520" w:lineRule="exact"/>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30.4.1提供虚假材料谋取中标的；</w:t>
      </w:r>
    </w:p>
    <w:p w14:paraId="665C710A">
      <w:pPr>
        <w:keepNext w:val="0"/>
        <w:keepLines w:val="0"/>
        <w:pageBreakBefore w:val="0"/>
        <w:widowControl w:val="0"/>
        <w:kinsoku/>
        <w:wordWrap w:val="0"/>
        <w:overflowPunct/>
        <w:topLinePunct w:val="0"/>
        <w:bidi w:val="0"/>
        <w:snapToGrid w:val="0"/>
        <w:spacing w:line="520" w:lineRule="exact"/>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30.4.2向采购人、采购代理机构行贿或者提供其他不正当利益的；</w:t>
      </w:r>
    </w:p>
    <w:p w14:paraId="3E465267">
      <w:pPr>
        <w:keepNext w:val="0"/>
        <w:keepLines w:val="0"/>
        <w:pageBreakBefore w:val="0"/>
        <w:widowControl w:val="0"/>
        <w:kinsoku/>
        <w:wordWrap w:val="0"/>
        <w:overflowPunct/>
        <w:topLinePunct w:val="0"/>
        <w:bidi w:val="0"/>
        <w:snapToGrid w:val="0"/>
        <w:spacing w:line="520" w:lineRule="exact"/>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30.4.3恶意竞争，投标总报价明显低于其自身合理成本且又无法提供证明的；</w:t>
      </w:r>
    </w:p>
    <w:p w14:paraId="338BD822">
      <w:pPr>
        <w:keepNext w:val="0"/>
        <w:keepLines w:val="0"/>
        <w:pageBreakBefore w:val="0"/>
        <w:widowControl w:val="0"/>
        <w:kinsoku/>
        <w:wordWrap w:val="0"/>
        <w:overflowPunct/>
        <w:topLinePunct w:val="0"/>
        <w:bidi w:val="0"/>
        <w:snapToGrid w:val="0"/>
        <w:spacing w:line="520" w:lineRule="exact"/>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30.4.4属于本文件规定的无效条件，但在评标过程中又未被评委会发现的；</w:t>
      </w:r>
    </w:p>
    <w:p w14:paraId="43D221FD">
      <w:pPr>
        <w:keepNext w:val="0"/>
        <w:keepLines w:val="0"/>
        <w:pageBreakBefore w:val="0"/>
        <w:widowControl w:val="0"/>
        <w:kinsoku/>
        <w:wordWrap w:val="0"/>
        <w:overflowPunct/>
        <w:topLinePunct w:val="0"/>
        <w:bidi w:val="0"/>
        <w:snapToGrid w:val="0"/>
        <w:spacing w:line="520" w:lineRule="exact"/>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30.4.5与采购人或者其他供应商恶意串通的；</w:t>
      </w:r>
    </w:p>
    <w:p w14:paraId="173EED49">
      <w:pPr>
        <w:keepNext w:val="0"/>
        <w:keepLines w:val="0"/>
        <w:pageBreakBefore w:val="0"/>
        <w:widowControl w:val="0"/>
        <w:kinsoku/>
        <w:wordWrap w:val="0"/>
        <w:overflowPunct/>
        <w:topLinePunct w:val="0"/>
        <w:bidi w:val="0"/>
        <w:snapToGrid w:val="0"/>
        <w:spacing w:line="520" w:lineRule="exact"/>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30.4.6采取不正当手段诋毁、排挤其他供应商的；</w:t>
      </w:r>
    </w:p>
    <w:p w14:paraId="4D02B378">
      <w:pPr>
        <w:keepNext w:val="0"/>
        <w:keepLines w:val="0"/>
        <w:pageBreakBefore w:val="0"/>
        <w:widowControl w:val="0"/>
        <w:kinsoku/>
        <w:wordWrap w:val="0"/>
        <w:overflowPunct/>
        <w:topLinePunct w:val="0"/>
        <w:bidi w:val="0"/>
        <w:snapToGrid w:val="0"/>
        <w:spacing w:line="520" w:lineRule="exact"/>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30.4.7不符合法律、法规的规定的。</w:t>
      </w:r>
      <w:bookmarkStart w:id="184" w:name="_Toc200451960"/>
    </w:p>
    <w:p w14:paraId="5C572C91">
      <w:pPr>
        <w:keepNext w:val="0"/>
        <w:keepLines w:val="0"/>
        <w:pageBreakBefore w:val="0"/>
        <w:widowControl w:val="0"/>
        <w:kinsoku/>
        <w:wordWrap w:val="0"/>
        <w:overflowPunct/>
        <w:topLinePunct w:val="0"/>
        <w:bidi w:val="0"/>
        <w:snapToGrid w:val="0"/>
        <w:spacing w:line="520" w:lineRule="exact"/>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30.5. </w:t>
      </w:r>
      <w:r>
        <w:rPr>
          <w:rFonts w:hint="default" w:ascii="Times New Roman" w:hAnsi="Times New Roman" w:eastAsia="宋体" w:cs="Times New Roman"/>
          <w:color w:val="auto"/>
          <w:kern w:val="0"/>
          <w:sz w:val="21"/>
          <w:szCs w:val="21"/>
          <w:highlight w:val="none"/>
        </w:rPr>
        <w:t>有下列情形之一的，视为投标人串通投标，投标无效：</w:t>
      </w:r>
    </w:p>
    <w:p w14:paraId="32ED1CD2">
      <w:pPr>
        <w:keepNext w:val="0"/>
        <w:keepLines w:val="0"/>
        <w:pageBreakBefore w:val="0"/>
        <w:widowControl w:val="0"/>
        <w:kinsoku/>
        <w:wordWrap w:val="0"/>
        <w:overflowPunct/>
        <w:topLinePunct w:val="0"/>
        <w:bidi w:val="0"/>
        <w:snapToGrid w:val="0"/>
        <w:spacing w:line="520" w:lineRule="exact"/>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30.5.1不同投标人的投标文件由同一单位或者个人编制。</w:t>
      </w:r>
    </w:p>
    <w:p w14:paraId="4862F1B3">
      <w:pPr>
        <w:keepNext w:val="0"/>
        <w:keepLines w:val="0"/>
        <w:pageBreakBefore w:val="0"/>
        <w:widowControl w:val="0"/>
        <w:kinsoku/>
        <w:wordWrap w:val="0"/>
        <w:overflowPunct/>
        <w:topLinePunct w:val="0"/>
        <w:bidi w:val="0"/>
        <w:snapToGrid w:val="0"/>
        <w:spacing w:line="520" w:lineRule="exact"/>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30.5.2不同投标人委托同一单位或者个人办理投标事宜。</w:t>
      </w:r>
    </w:p>
    <w:p w14:paraId="2D774D68">
      <w:pPr>
        <w:keepNext w:val="0"/>
        <w:keepLines w:val="0"/>
        <w:pageBreakBefore w:val="0"/>
        <w:widowControl w:val="0"/>
        <w:kinsoku/>
        <w:wordWrap w:val="0"/>
        <w:overflowPunct/>
        <w:topLinePunct w:val="0"/>
        <w:bidi w:val="0"/>
        <w:snapToGrid w:val="0"/>
        <w:spacing w:line="520" w:lineRule="exact"/>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30.5.3 不同投标人的投标文件载明的项目管理成员或者联系人员为同一人。</w:t>
      </w:r>
    </w:p>
    <w:p w14:paraId="4F8C492E">
      <w:pPr>
        <w:keepNext w:val="0"/>
        <w:keepLines w:val="0"/>
        <w:pageBreakBefore w:val="0"/>
        <w:widowControl w:val="0"/>
        <w:kinsoku/>
        <w:wordWrap w:val="0"/>
        <w:overflowPunct/>
        <w:topLinePunct w:val="0"/>
        <w:bidi w:val="0"/>
        <w:snapToGrid w:val="0"/>
        <w:spacing w:line="520" w:lineRule="exact"/>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30.5.4不同投标人的投标文件异常一致或者投标报价呈规律性差异。</w:t>
      </w:r>
    </w:p>
    <w:p w14:paraId="70B1997D">
      <w:pPr>
        <w:keepNext w:val="0"/>
        <w:keepLines w:val="0"/>
        <w:pageBreakBefore w:val="0"/>
        <w:widowControl w:val="0"/>
        <w:kinsoku/>
        <w:wordWrap w:val="0"/>
        <w:overflowPunct/>
        <w:topLinePunct w:val="0"/>
        <w:bidi w:val="0"/>
        <w:snapToGrid w:val="0"/>
        <w:spacing w:line="520" w:lineRule="exact"/>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30.5.5不同投标人的投标文件相互混装。</w:t>
      </w:r>
    </w:p>
    <w:p w14:paraId="7B3C7AA9">
      <w:pPr>
        <w:pStyle w:val="9"/>
        <w:keepNext w:val="0"/>
        <w:keepLines w:val="0"/>
        <w:pageBreakBefore w:val="0"/>
        <w:widowControl w:val="0"/>
        <w:tabs>
          <w:tab w:val="left" w:pos="4120"/>
        </w:tabs>
        <w:kinsoku/>
        <w:wordWrap w:val="0"/>
        <w:overflowPunct/>
        <w:topLinePunct w:val="0"/>
        <w:bidi w:val="0"/>
        <w:spacing w:before="0" w:after="0" w:line="520" w:lineRule="exact"/>
        <w:ind w:firstLine="315" w:firstLineChars="150"/>
        <w:rPr>
          <w:rFonts w:hint="default" w:ascii="Times New Roman" w:hAnsi="Times New Roman" w:eastAsia="宋体" w:cs="Times New Roman"/>
          <w:b w:val="0"/>
          <w:color w:val="auto"/>
          <w:sz w:val="21"/>
          <w:szCs w:val="21"/>
          <w:highlight w:val="none"/>
        </w:rPr>
      </w:pPr>
      <w:r>
        <w:rPr>
          <w:rFonts w:hint="default" w:ascii="Times New Roman" w:hAnsi="Times New Roman" w:eastAsia="宋体" w:cs="Times New Roman"/>
          <w:b w:val="0"/>
          <w:color w:val="auto"/>
          <w:sz w:val="21"/>
          <w:szCs w:val="21"/>
          <w:highlight w:val="none"/>
        </w:rPr>
        <w:t>31、质疑处理</w:t>
      </w:r>
      <w:bookmarkEnd w:id="184"/>
      <w:r>
        <w:rPr>
          <w:rFonts w:hint="default" w:ascii="Times New Roman" w:hAnsi="Times New Roman" w:eastAsia="宋体" w:cs="Times New Roman"/>
          <w:b w:val="0"/>
          <w:color w:val="auto"/>
          <w:sz w:val="21"/>
          <w:szCs w:val="21"/>
          <w:highlight w:val="none"/>
        </w:rPr>
        <w:tab/>
      </w:r>
    </w:p>
    <w:p w14:paraId="4191F8E5">
      <w:pPr>
        <w:keepNext w:val="0"/>
        <w:keepLines w:val="0"/>
        <w:pageBreakBefore w:val="0"/>
        <w:widowControl w:val="0"/>
        <w:kinsoku/>
        <w:wordWrap w:val="0"/>
        <w:overflowPunct/>
        <w:topLinePunct w:val="0"/>
        <w:bidi w:val="0"/>
        <w:snapToGrid w:val="0"/>
        <w:spacing w:line="520" w:lineRule="exact"/>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31.1参加投标供应商认为招标文件、采购过程和中标结果使自己的权益受到损害的，可以在知道或应知其权益受到损害之日起七个工作日内，以书面形式根据下述31.9条向采购人或采购代理机构提出质疑。上述应知其权益受到损害之日，是指：</w:t>
      </w:r>
    </w:p>
    <w:p w14:paraId="4C0D63FB">
      <w:pPr>
        <w:keepNext w:val="0"/>
        <w:keepLines w:val="0"/>
        <w:pageBreakBefore w:val="0"/>
        <w:widowControl w:val="0"/>
        <w:kinsoku/>
        <w:wordWrap w:val="0"/>
        <w:overflowPunct/>
        <w:topLinePunct w:val="0"/>
        <w:bidi w:val="0"/>
        <w:snapToGrid w:val="0"/>
        <w:spacing w:line="520" w:lineRule="exact"/>
        <w:ind w:firstLine="420" w:firstLineChars="200"/>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sz w:val="21"/>
          <w:szCs w:val="21"/>
          <w:highlight w:val="none"/>
        </w:rPr>
        <w:t>31.1.1</w:t>
      </w:r>
      <w:r>
        <w:rPr>
          <w:rFonts w:hint="default" w:ascii="Times New Roman" w:hAnsi="Times New Roman" w:eastAsia="宋体" w:cs="Times New Roman"/>
          <w:color w:val="auto"/>
          <w:kern w:val="0"/>
          <w:sz w:val="21"/>
          <w:szCs w:val="21"/>
          <w:highlight w:val="none"/>
        </w:rPr>
        <w:t>对可以质疑的招标文件提出质疑的，为收到招标文件之日或者招标文件公告期限届满之日；</w:t>
      </w:r>
    </w:p>
    <w:p w14:paraId="2F83E736">
      <w:pPr>
        <w:keepNext w:val="0"/>
        <w:keepLines w:val="0"/>
        <w:pageBreakBefore w:val="0"/>
        <w:widowControl w:val="0"/>
        <w:kinsoku/>
        <w:wordWrap w:val="0"/>
        <w:overflowPunct/>
        <w:topLinePunct w:val="0"/>
        <w:bidi w:val="0"/>
        <w:snapToGrid w:val="0"/>
        <w:spacing w:line="520" w:lineRule="exact"/>
        <w:ind w:firstLine="420" w:firstLineChars="200"/>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sz w:val="21"/>
          <w:szCs w:val="21"/>
          <w:highlight w:val="none"/>
        </w:rPr>
        <w:t>31.1.2</w:t>
      </w:r>
      <w:r>
        <w:rPr>
          <w:rFonts w:hint="default" w:ascii="Times New Roman" w:hAnsi="Times New Roman" w:eastAsia="宋体" w:cs="Times New Roman"/>
          <w:color w:val="auto"/>
          <w:kern w:val="0"/>
          <w:sz w:val="21"/>
          <w:szCs w:val="21"/>
          <w:highlight w:val="none"/>
        </w:rPr>
        <w:t>对采购过程提出质疑的，为各采购程序环节结束之日；</w:t>
      </w:r>
    </w:p>
    <w:p w14:paraId="448D81CD">
      <w:pPr>
        <w:keepNext w:val="0"/>
        <w:keepLines w:val="0"/>
        <w:pageBreakBefore w:val="0"/>
        <w:widowControl w:val="0"/>
        <w:kinsoku/>
        <w:wordWrap w:val="0"/>
        <w:overflowPunct/>
        <w:topLinePunct w:val="0"/>
        <w:bidi w:val="0"/>
        <w:snapToGrid w:val="0"/>
        <w:spacing w:line="520" w:lineRule="exact"/>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31.1.3</w:t>
      </w:r>
      <w:r>
        <w:rPr>
          <w:rFonts w:hint="default" w:ascii="Times New Roman" w:hAnsi="Times New Roman" w:eastAsia="宋体" w:cs="Times New Roman"/>
          <w:color w:val="auto"/>
          <w:kern w:val="0"/>
          <w:sz w:val="21"/>
          <w:szCs w:val="21"/>
          <w:highlight w:val="none"/>
        </w:rPr>
        <w:t>对中标结果提出质疑的，为中标结果公告期限届满之日。</w:t>
      </w:r>
    </w:p>
    <w:p w14:paraId="42D8F9CC">
      <w:pPr>
        <w:keepNext w:val="0"/>
        <w:keepLines w:val="0"/>
        <w:pageBreakBefore w:val="0"/>
        <w:widowControl w:val="0"/>
        <w:kinsoku/>
        <w:wordWrap w:val="0"/>
        <w:overflowPunct/>
        <w:topLinePunct w:val="0"/>
        <w:bidi w:val="0"/>
        <w:snapToGrid w:val="0"/>
        <w:spacing w:line="520" w:lineRule="exact"/>
        <w:ind w:firstLine="413" w:firstLineChars="197"/>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31.2质疑必须按《政府采购法》、《政府采购法实施条例》及《江苏省政府采购供应商监督管理暂行办法》的相关规定提交，未按上述要求提交的质疑函（含传真、电子邮件等）采购人和采购代理机构有权不予受理。</w:t>
      </w:r>
    </w:p>
    <w:p w14:paraId="0D48FA5C">
      <w:pPr>
        <w:keepNext w:val="0"/>
        <w:keepLines w:val="0"/>
        <w:pageBreakBefore w:val="0"/>
        <w:widowControl w:val="0"/>
        <w:kinsoku/>
        <w:wordWrap w:val="0"/>
        <w:overflowPunct/>
        <w:topLinePunct w:val="0"/>
        <w:bidi w:val="0"/>
        <w:snapToGrid w:val="0"/>
        <w:spacing w:line="520" w:lineRule="exact"/>
        <w:ind w:firstLine="409" w:firstLineChars="195"/>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31.3未参加投标活动的供应商或在投标活动中自身权益未受到损害的供应商所提出的质疑不予受理。</w:t>
      </w:r>
    </w:p>
    <w:p w14:paraId="0A32F706">
      <w:pPr>
        <w:keepNext w:val="0"/>
        <w:keepLines w:val="0"/>
        <w:pageBreakBefore w:val="0"/>
        <w:widowControl w:val="0"/>
        <w:kinsoku/>
        <w:wordWrap w:val="0"/>
        <w:overflowPunct/>
        <w:topLinePunct w:val="0"/>
        <w:bidi w:val="0"/>
        <w:snapToGrid w:val="0"/>
        <w:spacing w:line="520" w:lineRule="exact"/>
        <w:ind w:firstLine="409" w:firstLineChars="195"/>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31.4质疑函应当包括下列内容：</w:t>
      </w:r>
    </w:p>
    <w:p w14:paraId="70E37B2B">
      <w:pPr>
        <w:keepNext w:val="0"/>
        <w:keepLines w:val="0"/>
        <w:pageBreakBefore w:val="0"/>
        <w:widowControl w:val="0"/>
        <w:kinsoku/>
        <w:wordWrap w:val="0"/>
        <w:overflowPunct/>
        <w:topLinePunct w:val="0"/>
        <w:bidi w:val="0"/>
        <w:snapToGrid w:val="0"/>
        <w:spacing w:line="520" w:lineRule="exact"/>
        <w:ind w:firstLine="409" w:firstLineChars="195"/>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31.4.1质疑投标人的名称、地址、邮编、联系人、联系电话；</w:t>
      </w:r>
    </w:p>
    <w:p w14:paraId="7B6C52D7">
      <w:pPr>
        <w:keepNext w:val="0"/>
        <w:keepLines w:val="0"/>
        <w:pageBreakBefore w:val="0"/>
        <w:widowControl w:val="0"/>
        <w:kinsoku/>
        <w:wordWrap w:val="0"/>
        <w:overflowPunct/>
        <w:topLinePunct w:val="0"/>
        <w:bidi w:val="0"/>
        <w:snapToGrid w:val="0"/>
        <w:spacing w:line="520" w:lineRule="exact"/>
        <w:ind w:firstLine="409" w:firstLineChars="195"/>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31.4.2具体的质疑事项及明确的请求；</w:t>
      </w:r>
    </w:p>
    <w:p w14:paraId="7455ABFA">
      <w:pPr>
        <w:keepNext w:val="0"/>
        <w:keepLines w:val="0"/>
        <w:pageBreakBefore w:val="0"/>
        <w:widowControl w:val="0"/>
        <w:kinsoku/>
        <w:wordWrap w:val="0"/>
        <w:overflowPunct/>
        <w:topLinePunct w:val="0"/>
        <w:bidi w:val="0"/>
        <w:snapToGrid w:val="0"/>
        <w:spacing w:line="520" w:lineRule="exact"/>
        <w:ind w:firstLine="409" w:firstLineChars="195"/>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31.4.3认为自己合法权益受到损害或可能受到损害的相关证据材料；</w:t>
      </w:r>
    </w:p>
    <w:p w14:paraId="2B53FB47">
      <w:pPr>
        <w:keepNext w:val="0"/>
        <w:keepLines w:val="0"/>
        <w:pageBreakBefore w:val="0"/>
        <w:widowControl w:val="0"/>
        <w:kinsoku/>
        <w:wordWrap w:val="0"/>
        <w:overflowPunct/>
        <w:topLinePunct w:val="0"/>
        <w:bidi w:val="0"/>
        <w:snapToGrid w:val="0"/>
        <w:spacing w:line="520" w:lineRule="exact"/>
        <w:ind w:firstLine="409" w:firstLineChars="195"/>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31.4.4提起质疑的日期；</w:t>
      </w:r>
    </w:p>
    <w:p w14:paraId="465A31AB">
      <w:pPr>
        <w:keepNext w:val="0"/>
        <w:keepLines w:val="0"/>
        <w:pageBreakBefore w:val="0"/>
        <w:widowControl w:val="0"/>
        <w:kinsoku/>
        <w:wordWrap w:val="0"/>
        <w:overflowPunct/>
        <w:topLinePunct w:val="0"/>
        <w:bidi w:val="0"/>
        <w:snapToGrid w:val="0"/>
        <w:spacing w:line="520" w:lineRule="exact"/>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31.4.5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采购人和采购代理机构将不予受理。)质疑人委托代理质疑的，应当向采购人和采购代理机构提交授权委托书，并载明委托代理的具体权限和事项。</w:t>
      </w:r>
    </w:p>
    <w:p w14:paraId="1D48AE25">
      <w:pPr>
        <w:keepNext w:val="0"/>
        <w:keepLines w:val="0"/>
        <w:pageBreakBefore w:val="0"/>
        <w:widowControl w:val="0"/>
        <w:kinsoku/>
        <w:wordWrap w:val="0"/>
        <w:overflowPunct/>
        <w:topLinePunct w:val="0"/>
        <w:bidi w:val="0"/>
        <w:snapToGrid w:val="0"/>
        <w:spacing w:line="520" w:lineRule="exact"/>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31.5采购人和采购代理机构收到质疑函后，将对质疑的形式和内容进行审查，如质疑函内容、格式不符合规定，采购人和采购代理机构将告知质疑人进行补正。</w:t>
      </w:r>
    </w:p>
    <w:p w14:paraId="68AB4437">
      <w:pPr>
        <w:keepNext w:val="0"/>
        <w:keepLines w:val="0"/>
        <w:pageBreakBefore w:val="0"/>
        <w:widowControl w:val="0"/>
        <w:kinsoku/>
        <w:wordWrap w:val="0"/>
        <w:overflowPunct/>
        <w:topLinePunct w:val="0"/>
        <w:bidi w:val="0"/>
        <w:snapToGrid w:val="0"/>
        <w:spacing w:line="520" w:lineRule="exact"/>
        <w:ind w:firstLine="409" w:firstLineChars="195"/>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31.6质疑人应当在法定质疑期限内进行补正并重新提交质疑函，拒不补正或者在法定期限内未重新提交质疑函的，为无效质疑，采购人和采购代理机构将不予受理。</w:t>
      </w:r>
    </w:p>
    <w:p w14:paraId="34734FAE">
      <w:pPr>
        <w:keepNext w:val="0"/>
        <w:keepLines w:val="0"/>
        <w:pageBreakBefore w:val="0"/>
        <w:widowControl w:val="0"/>
        <w:kinsoku/>
        <w:wordWrap w:val="0"/>
        <w:overflowPunct/>
        <w:topLinePunct w:val="0"/>
        <w:bidi w:val="0"/>
        <w:snapToGrid w:val="0"/>
        <w:spacing w:line="520" w:lineRule="exact"/>
        <w:ind w:firstLine="409" w:firstLineChars="195"/>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31.7对于内容、格式符合规定的质疑函，采购人和采购代理机构应当在收到投标供应商的书面质疑后七个工作日内作出答复，并以书面形式通知质疑供应商和其他有关供应商，但答复的内容不得涉及商业秘密。</w:t>
      </w:r>
    </w:p>
    <w:p w14:paraId="29299DAE">
      <w:pPr>
        <w:keepNext w:val="0"/>
        <w:keepLines w:val="0"/>
        <w:pageBreakBefore w:val="0"/>
        <w:widowControl w:val="0"/>
        <w:kinsoku/>
        <w:wordWrap w:val="0"/>
        <w:overflowPunct/>
        <w:topLinePunct w:val="0"/>
        <w:bidi w:val="0"/>
        <w:snapToGrid w:val="0"/>
        <w:spacing w:line="520" w:lineRule="exact"/>
        <w:ind w:firstLine="409" w:firstLineChars="195"/>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31.8投标人提出书面质疑必须有理、有据，不得恶意质疑或提交虚假质疑。否则，一经查实，采购人和采购代理机构有权依据政府采购的有关规定，报请政府采购监管部门对该投标人进行相应的行政处罚，并扣减其诚信记录分。</w:t>
      </w:r>
    </w:p>
    <w:p w14:paraId="66F9EE20">
      <w:pPr>
        <w:keepNext w:val="0"/>
        <w:keepLines w:val="0"/>
        <w:pageBreakBefore w:val="0"/>
        <w:widowControl w:val="0"/>
        <w:kinsoku/>
        <w:wordWrap w:val="0"/>
        <w:overflowPunct/>
        <w:topLinePunct w:val="0"/>
        <w:bidi w:val="0"/>
        <w:snapToGrid w:val="0"/>
        <w:spacing w:line="520" w:lineRule="exact"/>
        <w:ind w:firstLine="411" w:firstLineChars="195"/>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31.9供应商（含潜在供应商）对采购方式、项目需求、供应商资格条件及审查结果、评标方法和评标标准、合同文本的询问、质疑请向采购人提出，由采购人负责答复。供应商对除上述事项以外其他事项的询问、质疑请向采购人或采购代理机构提出，由采购人或采购代理机构负责答复。</w:t>
      </w:r>
    </w:p>
    <w:p w14:paraId="2185BC02">
      <w:pPr>
        <w:pStyle w:val="9"/>
        <w:keepNext w:val="0"/>
        <w:keepLines w:val="0"/>
        <w:pageBreakBefore w:val="0"/>
        <w:widowControl w:val="0"/>
        <w:kinsoku/>
        <w:wordWrap w:val="0"/>
        <w:overflowPunct/>
        <w:topLinePunct w:val="0"/>
        <w:bidi w:val="0"/>
        <w:spacing w:before="0" w:after="0" w:line="520" w:lineRule="exact"/>
        <w:ind w:firstLine="315" w:firstLineChars="150"/>
        <w:rPr>
          <w:rFonts w:hint="default" w:ascii="Times New Roman" w:hAnsi="Times New Roman" w:eastAsia="宋体" w:cs="Times New Roman"/>
          <w:b w:val="0"/>
          <w:color w:val="auto"/>
          <w:sz w:val="21"/>
          <w:szCs w:val="21"/>
          <w:highlight w:val="none"/>
          <w:lang w:eastAsia="zh-CN"/>
        </w:rPr>
      </w:pPr>
      <w:r>
        <w:rPr>
          <w:rFonts w:hint="default" w:ascii="Times New Roman" w:hAnsi="Times New Roman" w:eastAsia="宋体" w:cs="Times New Roman"/>
          <w:b w:val="0"/>
          <w:color w:val="auto"/>
          <w:sz w:val="21"/>
          <w:szCs w:val="21"/>
          <w:highlight w:val="none"/>
        </w:rPr>
        <w:t>32、中标通知书及</w:t>
      </w:r>
      <w:r>
        <w:rPr>
          <w:rFonts w:hint="default" w:ascii="Times New Roman" w:hAnsi="Times New Roman" w:eastAsia="宋体" w:cs="Times New Roman"/>
          <w:b w:val="0"/>
          <w:color w:val="auto"/>
          <w:sz w:val="21"/>
          <w:szCs w:val="21"/>
          <w:highlight w:val="none"/>
          <w:lang w:eastAsia="zh-CN"/>
        </w:rPr>
        <w:t>政府采购代理服务费</w:t>
      </w:r>
    </w:p>
    <w:p w14:paraId="50C1C7EB">
      <w:pPr>
        <w:keepNext w:val="0"/>
        <w:keepLines w:val="0"/>
        <w:pageBreakBefore w:val="0"/>
        <w:widowControl w:val="0"/>
        <w:kinsoku/>
        <w:wordWrap w:val="0"/>
        <w:overflowPunct/>
        <w:topLinePunct w:val="0"/>
        <w:bidi w:val="0"/>
        <w:snapToGrid w:val="0"/>
        <w:spacing w:line="520" w:lineRule="exact"/>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32.1中标通知书</w:t>
      </w:r>
    </w:p>
    <w:p w14:paraId="5FB12F1C">
      <w:pPr>
        <w:keepNext w:val="0"/>
        <w:keepLines w:val="0"/>
        <w:pageBreakBefore w:val="0"/>
        <w:widowControl w:val="0"/>
        <w:kinsoku/>
        <w:wordWrap w:val="0"/>
        <w:overflowPunct/>
        <w:topLinePunct w:val="0"/>
        <w:bidi w:val="0"/>
        <w:snapToGrid w:val="0"/>
        <w:spacing w:line="520" w:lineRule="exact"/>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32.l .1中标结果确定后，采购人和采购代理机构将向中标供应商发出中标通知书。</w:t>
      </w:r>
    </w:p>
    <w:p w14:paraId="0E236152">
      <w:pPr>
        <w:keepNext w:val="0"/>
        <w:keepLines w:val="0"/>
        <w:pageBreakBefore w:val="0"/>
        <w:widowControl w:val="0"/>
        <w:kinsoku/>
        <w:wordWrap w:val="0"/>
        <w:overflowPunct/>
        <w:topLinePunct w:val="0"/>
        <w:bidi w:val="0"/>
        <w:snapToGrid w:val="0"/>
        <w:spacing w:line="520" w:lineRule="exact"/>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32.1.2中标通知书将是合同的一个组成部分。对采购人和中标供应商均具有法律效力。中标通知书发出后，采购人改变中标结果的，或者中标供应商放弃中标项目的，应当依法承担法律责任。</w:t>
      </w:r>
    </w:p>
    <w:p w14:paraId="3A38894F">
      <w:pPr>
        <w:keepNext w:val="0"/>
        <w:keepLines w:val="0"/>
        <w:pageBreakBefore w:val="0"/>
        <w:widowControl w:val="0"/>
        <w:kinsoku/>
        <w:wordWrap w:val="0"/>
        <w:overflowPunct/>
        <w:topLinePunct w:val="0"/>
        <w:bidi w:val="0"/>
        <w:snapToGrid w:val="0"/>
        <w:spacing w:line="520" w:lineRule="exact"/>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32.1.3中标通知书发出之前，如遇质疑、投诉、政策调整等情形导致采购项目废标或其他重新组织采购活动情形的，采购人将停止发放中标通知书且不承担任何由此造成的后果，也不接受供应商因此提起的任何请求和诉求。在正式收到中标通知书之前，供应商为完成项目而付出的所有成本均由供应商自行承担。</w:t>
      </w:r>
    </w:p>
    <w:p w14:paraId="44EBD09F">
      <w:pPr>
        <w:keepNext w:val="0"/>
        <w:keepLines w:val="0"/>
        <w:pageBreakBefore w:val="0"/>
        <w:widowControl w:val="0"/>
        <w:kinsoku/>
        <w:wordWrap w:val="0"/>
        <w:overflowPunct/>
        <w:topLinePunct w:val="0"/>
        <w:bidi w:val="0"/>
        <w:snapToGrid w:val="0"/>
        <w:spacing w:line="520" w:lineRule="exact"/>
        <w:ind w:firstLine="422" w:firstLineChars="200"/>
        <w:rPr>
          <w:rFonts w:hint="default" w:ascii="Times New Roman" w:hAnsi="Times New Roman" w:eastAsia="宋体" w:cs="Times New Roman"/>
          <w:b/>
          <w:bCs/>
          <w:color w:val="FF0000"/>
          <w:sz w:val="21"/>
          <w:szCs w:val="21"/>
          <w:highlight w:val="none"/>
          <w:lang w:val="en-US" w:eastAsia="zh-CN"/>
        </w:rPr>
      </w:pPr>
      <w:bookmarkStart w:id="185" w:name="_Toc120614220"/>
      <w:bookmarkStart w:id="186" w:name="_Toc12085"/>
      <w:bookmarkStart w:id="187" w:name="_Toc20823308"/>
      <w:bookmarkStart w:id="188" w:name="_Toc16938552"/>
      <w:bookmarkStart w:id="189" w:name="_Toc513029236"/>
      <w:r>
        <w:rPr>
          <w:rFonts w:hint="default" w:ascii="Times New Roman" w:hAnsi="Times New Roman" w:eastAsia="宋体" w:cs="Times New Roman"/>
          <w:b/>
          <w:bCs/>
          <w:color w:val="FF0000"/>
          <w:sz w:val="21"/>
          <w:szCs w:val="21"/>
          <w:highlight w:val="none"/>
          <w:lang w:val="en-US" w:eastAsia="zh-CN"/>
        </w:rPr>
        <w:t>★</w:t>
      </w:r>
      <w:r>
        <w:rPr>
          <w:rFonts w:hint="default" w:ascii="Times New Roman" w:hAnsi="Times New Roman" w:eastAsia="宋体" w:cs="Times New Roman"/>
          <w:b/>
          <w:bCs/>
          <w:color w:val="FF0000"/>
          <w:sz w:val="21"/>
          <w:szCs w:val="21"/>
          <w:highlight w:val="none"/>
        </w:rPr>
        <w:t>32.2</w:t>
      </w:r>
      <w:r>
        <w:rPr>
          <w:rFonts w:hint="default" w:ascii="Times New Roman" w:hAnsi="Times New Roman" w:eastAsia="宋体" w:cs="Times New Roman"/>
          <w:b/>
          <w:bCs/>
          <w:color w:val="FF0000"/>
          <w:sz w:val="21"/>
          <w:szCs w:val="21"/>
          <w:highlight w:val="none"/>
          <w:lang w:eastAsia="zh-CN"/>
        </w:rPr>
        <w:t>政府采购代理服务费（</w:t>
      </w:r>
      <w:r>
        <w:rPr>
          <w:rFonts w:hint="default" w:ascii="Times New Roman" w:hAnsi="Times New Roman" w:eastAsia="宋体" w:cs="Times New Roman"/>
          <w:b/>
          <w:bCs/>
          <w:color w:val="FF0000"/>
          <w:sz w:val="21"/>
          <w:szCs w:val="21"/>
          <w:highlight w:val="none"/>
          <w:lang w:val="en-US" w:eastAsia="zh-CN"/>
        </w:rPr>
        <w:t>招标代理服务费</w:t>
      </w:r>
      <w:r>
        <w:rPr>
          <w:rFonts w:hint="default" w:ascii="Times New Roman" w:hAnsi="Times New Roman" w:eastAsia="宋体" w:cs="Times New Roman"/>
          <w:b/>
          <w:bCs/>
          <w:color w:val="FF0000"/>
          <w:sz w:val="21"/>
          <w:szCs w:val="21"/>
          <w:highlight w:val="none"/>
          <w:lang w:eastAsia="zh-CN"/>
        </w:rPr>
        <w:t>）</w:t>
      </w:r>
      <w:r>
        <w:rPr>
          <w:rFonts w:hint="default" w:ascii="Times New Roman" w:hAnsi="Times New Roman" w:eastAsia="宋体" w:cs="Times New Roman"/>
          <w:b/>
          <w:bCs/>
          <w:color w:val="FF0000"/>
          <w:sz w:val="21"/>
          <w:szCs w:val="21"/>
          <w:highlight w:val="none"/>
          <w:lang w:val="en-US" w:eastAsia="zh-CN"/>
        </w:rPr>
        <w:t>有关约定如下：</w:t>
      </w:r>
    </w:p>
    <w:p w14:paraId="75249431">
      <w:pPr>
        <w:keepNext w:val="0"/>
        <w:keepLines w:val="0"/>
        <w:pageBreakBefore w:val="0"/>
        <w:widowControl w:val="0"/>
        <w:kinsoku/>
        <w:wordWrap w:val="0"/>
        <w:overflowPunct/>
        <w:topLinePunct w:val="0"/>
        <w:bidi w:val="0"/>
        <w:snapToGrid w:val="0"/>
        <w:spacing w:line="520" w:lineRule="exact"/>
        <w:ind w:firstLine="420" w:firstLineChars="200"/>
        <w:rPr>
          <w:rFonts w:hint="default" w:ascii="Times New Roman" w:hAnsi="Times New Roman" w:eastAsia="宋体" w:cs="Times New Roman"/>
          <w:color w:val="FF0000"/>
          <w:sz w:val="21"/>
          <w:szCs w:val="21"/>
          <w:highlight w:val="none"/>
        </w:rPr>
      </w:pPr>
      <w:r>
        <w:rPr>
          <w:rFonts w:hint="default" w:ascii="Times New Roman" w:hAnsi="Times New Roman" w:eastAsia="宋体" w:cs="Times New Roman"/>
          <w:color w:val="FF0000"/>
          <w:sz w:val="21"/>
          <w:szCs w:val="21"/>
          <w:highlight w:val="none"/>
        </w:rPr>
        <w:t>32.2.1</w:t>
      </w:r>
      <w:r>
        <w:rPr>
          <w:rFonts w:hint="default" w:ascii="Times New Roman" w:hAnsi="Times New Roman" w:eastAsia="宋体" w:cs="Times New Roman"/>
          <w:color w:val="FF0000"/>
          <w:sz w:val="21"/>
          <w:szCs w:val="21"/>
          <w:highlight w:val="none"/>
          <w:lang w:val="en-US" w:eastAsia="zh-CN"/>
        </w:rPr>
        <w:t>本招标文件约定：</w:t>
      </w:r>
      <w:r>
        <w:rPr>
          <w:rFonts w:hint="default" w:ascii="Times New Roman" w:hAnsi="Times New Roman" w:eastAsia="宋体" w:cs="Times New Roman"/>
          <w:color w:val="FF0000"/>
          <w:sz w:val="21"/>
          <w:szCs w:val="21"/>
          <w:highlight w:val="none"/>
          <w:lang w:eastAsia="zh-CN"/>
        </w:rPr>
        <w:t>政府采购代理服务费（</w:t>
      </w:r>
      <w:r>
        <w:rPr>
          <w:rFonts w:hint="default" w:ascii="Times New Roman" w:hAnsi="Times New Roman" w:eastAsia="宋体" w:cs="Times New Roman"/>
          <w:color w:val="FF0000"/>
          <w:sz w:val="21"/>
          <w:szCs w:val="21"/>
          <w:highlight w:val="none"/>
          <w:lang w:val="en-US" w:eastAsia="zh-CN"/>
        </w:rPr>
        <w:t>招标代理服务费</w:t>
      </w:r>
      <w:r>
        <w:rPr>
          <w:rFonts w:hint="default" w:ascii="Times New Roman" w:hAnsi="Times New Roman" w:eastAsia="宋体" w:cs="Times New Roman"/>
          <w:color w:val="FF0000"/>
          <w:sz w:val="21"/>
          <w:szCs w:val="21"/>
          <w:highlight w:val="none"/>
          <w:lang w:eastAsia="zh-CN"/>
        </w:rPr>
        <w:t>）</w:t>
      </w:r>
      <w:r>
        <w:rPr>
          <w:rFonts w:hint="default" w:ascii="Times New Roman" w:hAnsi="Times New Roman" w:eastAsia="宋体" w:cs="Times New Roman"/>
          <w:color w:val="FF0000"/>
          <w:sz w:val="21"/>
          <w:szCs w:val="21"/>
          <w:highlight w:val="none"/>
          <w:lang w:val="en-US" w:eastAsia="zh-CN"/>
        </w:rPr>
        <w:t>由</w:t>
      </w:r>
      <w:r>
        <w:rPr>
          <w:rFonts w:hint="default" w:ascii="Times New Roman" w:hAnsi="Times New Roman" w:eastAsia="宋体" w:cs="Times New Roman"/>
          <w:b/>
          <w:bCs/>
          <w:color w:val="FF0000"/>
          <w:sz w:val="21"/>
          <w:szCs w:val="21"/>
          <w:highlight w:val="none"/>
          <w:u w:val="single"/>
          <w:lang w:val="en-US" w:eastAsia="zh-CN"/>
        </w:rPr>
        <w:t>中标供应商（中标人）代付</w:t>
      </w:r>
      <w:r>
        <w:rPr>
          <w:rFonts w:hint="default" w:ascii="Times New Roman" w:hAnsi="Times New Roman" w:eastAsia="宋体" w:cs="Times New Roman"/>
          <w:color w:val="FF0000"/>
          <w:sz w:val="21"/>
          <w:szCs w:val="21"/>
          <w:highlight w:val="none"/>
          <w:lang w:val="en-US" w:eastAsia="zh-CN"/>
        </w:rPr>
        <w:t>。</w:t>
      </w:r>
      <w:r>
        <w:rPr>
          <w:rFonts w:hint="default" w:ascii="Times New Roman" w:hAnsi="Times New Roman" w:eastAsia="宋体" w:cs="Times New Roman"/>
          <w:color w:val="FF0000"/>
          <w:sz w:val="21"/>
          <w:szCs w:val="21"/>
          <w:highlight w:val="none"/>
        </w:rPr>
        <w:t>中标单位须在领取中标通知书按本文的规定支付</w:t>
      </w:r>
      <w:r>
        <w:rPr>
          <w:rFonts w:hint="default" w:ascii="Times New Roman" w:hAnsi="Times New Roman" w:eastAsia="宋体" w:cs="Times New Roman"/>
          <w:color w:val="FF0000"/>
          <w:sz w:val="21"/>
          <w:szCs w:val="21"/>
          <w:highlight w:val="none"/>
          <w:lang w:eastAsia="zh-CN"/>
        </w:rPr>
        <w:t>政府采购代理服务费</w:t>
      </w:r>
      <w:r>
        <w:rPr>
          <w:rFonts w:hint="default" w:ascii="Times New Roman" w:hAnsi="Times New Roman" w:eastAsia="宋体" w:cs="Times New Roman"/>
          <w:color w:val="FF0000"/>
          <w:sz w:val="21"/>
          <w:szCs w:val="21"/>
          <w:highlight w:val="none"/>
        </w:rPr>
        <w:t>及相关费用。中标单位如果未按规定缴纳</w:t>
      </w:r>
      <w:r>
        <w:rPr>
          <w:rFonts w:hint="default" w:ascii="Times New Roman" w:hAnsi="Times New Roman" w:eastAsia="宋体" w:cs="Times New Roman"/>
          <w:color w:val="FF0000"/>
          <w:sz w:val="21"/>
          <w:szCs w:val="21"/>
          <w:highlight w:val="none"/>
          <w:lang w:eastAsia="zh-CN"/>
        </w:rPr>
        <w:t>政府采购代理服务费</w:t>
      </w:r>
      <w:r>
        <w:rPr>
          <w:rFonts w:hint="default" w:ascii="Times New Roman" w:hAnsi="Times New Roman" w:eastAsia="宋体" w:cs="Times New Roman"/>
          <w:color w:val="FF0000"/>
          <w:sz w:val="21"/>
          <w:szCs w:val="21"/>
          <w:highlight w:val="none"/>
        </w:rPr>
        <w:t>，将上报主管部门，并保留</w:t>
      </w:r>
      <w:r>
        <w:rPr>
          <w:rFonts w:hint="default" w:ascii="Times New Roman" w:hAnsi="Times New Roman" w:eastAsia="宋体" w:cs="Times New Roman"/>
          <w:color w:val="FF0000"/>
          <w:sz w:val="21"/>
          <w:szCs w:val="21"/>
          <w:highlight w:val="none"/>
          <w:lang w:val="en-US" w:eastAsia="zh-CN"/>
        </w:rPr>
        <w:t>对其</w:t>
      </w:r>
      <w:r>
        <w:rPr>
          <w:rFonts w:hint="default" w:ascii="Times New Roman" w:hAnsi="Times New Roman" w:eastAsia="宋体" w:cs="Times New Roman"/>
          <w:color w:val="FF0000"/>
          <w:sz w:val="21"/>
          <w:szCs w:val="21"/>
          <w:highlight w:val="none"/>
        </w:rPr>
        <w:t>诉讼的权利。</w:t>
      </w:r>
    </w:p>
    <w:p w14:paraId="1364D9F7">
      <w:pPr>
        <w:keepNext w:val="0"/>
        <w:keepLines w:val="0"/>
        <w:pageBreakBefore w:val="0"/>
        <w:widowControl w:val="0"/>
        <w:kinsoku/>
        <w:wordWrap w:val="0"/>
        <w:overflowPunct/>
        <w:topLinePunct w:val="0"/>
        <w:bidi w:val="0"/>
        <w:snapToGrid w:val="0"/>
        <w:spacing w:line="520" w:lineRule="exact"/>
        <w:ind w:firstLine="422" w:firstLineChars="200"/>
        <w:rPr>
          <w:rFonts w:hint="default" w:ascii="Times New Roman" w:hAnsi="Times New Roman" w:eastAsia="宋体" w:cs="Times New Roman"/>
          <w:b/>
          <w:bCs/>
          <w:color w:val="FF0000"/>
          <w:sz w:val="21"/>
          <w:szCs w:val="21"/>
          <w:highlight w:val="none"/>
          <w:u w:val="single"/>
        </w:rPr>
      </w:pPr>
      <w:r>
        <w:rPr>
          <w:rFonts w:hint="default" w:ascii="Times New Roman" w:hAnsi="Times New Roman" w:eastAsia="宋体" w:cs="Times New Roman"/>
          <w:b/>
          <w:bCs/>
          <w:color w:val="FF0000"/>
          <w:sz w:val="21"/>
          <w:szCs w:val="21"/>
          <w:highlight w:val="none"/>
          <w:u w:val="single"/>
        </w:rPr>
        <w:t xml:space="preserve">32.2.2 </w:t>
      </w:r>
      <w:r>
        <w:rPr>
          <w:rFonts w:hint="default" w:ascii="Times New Roman" w:hAnsi="Times New Roman" w:eastAsia="宋体" w:cs="Times New Roman"/>
          <w:b/>
          <w:bCs/>
          <w:color w:val="FF0000"/>
          <w:sz w:val="21"/>
          <w:szCs w:val="21"/>
          <w:highlight w:val="none"/>
          <w:u w:val="single"/>
          <w:lang w:val="en-US" w:eastAsia="zh-CN"/>
        </w:rPr>
        <w:t>政府采购代理服务费（招标代理服务费）支付时间：</w:t>
      </w:r>
      <w:r>
        <w:rPr>
          <w:rFonts w:hint="default" w:ascii="Times New Roman" w:hAnsi="Times New Roman" w:eastAsia="宋体" w:cs="Times New Roman"/>
          <w:b/>
          <w:bCs/>
          <w:color w:val="FF0000"/>
          <w:sz w:val="21"/>
          <w:szCs w:val="21"/>
          <w:highlight w:val="none"/>
          <w:u w:val="single"/>
        </w:rPr>
        <w:t>中标人（</w:t>
      </w:r>
      <w:r>
        <w:rPr>
          <w:rFonts w:hint="default" w:ascii="Times New Roman" w:hAnsi="Times New Roman" w:eastAsia="宋体" w:cs="Times New Roman"/>
          <w:b/>
          <w:bCs/>
          <w:color w:val="FF0000"/>
          <w:sz w:val="21"/>
          <w:szCs w:val="21"/>
          <w:highlight w:val="none"/>
          <w:u w:val="single"/>
          <w:lang w:val="en-US" w:eastAsia="zh-CN"/>
        </w:rPr>
        <w:t>中标</w:t>
      </w:r>
      <w:r>
        <w:rPr>
          <w:rFonts w:hint="default" w:ascii="Times New Roman" w:hAnsi="Times New Roman" w:eastAsia="宋体" w:cs="Times New Roman"/>
          <w:b/>
          <w:bCs/>
          <w:color w:val="FF0000"/>
          <w:sz w:val="21"/>
          <w:szCs w:val="21"/>
          <w:highlight w:val="none"/>
          <w:u w:val="single"/>
        </w:rPr>
        <w:t>供应商）须在领取中标通知书前一次性支付，投标供应商须综合</w:t>
      </w:r>
      <w:r>
        <w:rPr>
          <w:rFonts w:hint="default" w:ascii="Times New Roman" w:hAnsi="Times New Roman" w:eastAsia="宋体" w:cs="Times New Roman"/>
          <w:b/>
          <w:bCs/>
          <w:color w:val="FF0000"/>
          <w:sz w:val="21"/>
          <w:szCs w:val="21"/>
          <w:highlight w:val="none"/>
          <w:u w:val="single"/>
          <w:lang w:val="en-US" w:eastAsia="zh-CN"/>
        </w:rPr>
        <w:t>考虑此部分费用并</w:t>
      </w:r>
      <w:r>
        <w:rPr>
          <w:rFonts w:hint="default" w:ascii="Times New Roman" w:hAnsi="Times New Roman" w:eastAsia="宋体" w:cs="Times New Roman"/>
          <w:b/>
          <w:bCs/>
          <w:color w:val="FF0000"/>
          <w:sz w:val="21"/>
          <w:szCs w:val="21"/>
          <w:highlight w:val="none"/>
          <w:u w:val="single"/>
        </w:rPr>
        <w:t>纳入投标总报价</w:t>
      </w:r>
      <w:r>
        <w:rPr>
          <w:rFonts w:hint="default" w:ascii="Times New Roman" w:hAnsi="Times New Roman" w:eastAsia="宋体" w:cs="Times New Roman"/>
          <w:b/>
          <w:bCs/>
          <w:color w:val="FF0000"/>
          <w:sz w:val="21"/>
          <w:szCs w:val="21"/>
          <w:highlight w:val="none"/>
          <w:u w:val="single"/>
          <w:lang w:eastAsia="zh-CN"/>
        </w:rPr>
        <w:t>（</w:t>
      </w:r>
      <w:r>
        <w:rPr>
          <w:rFonts w:hint="default" w:ascii="Times New Roman" w:hAnsi="Times New Roman" w:eastAsia="宋体" w:cs="Times New Roman"/>
          <w:b/>
          <w:bCs/>
          <w:color w:val="FF0000"/>
          <w:sz w:val="21"/>
          <w:szCs w:val="21"/>
          <w:highlight w:val="none"/>
          <w:u w:val="single"/>
          <w:lang w:val="en-US" w:eastAsia="zh-CN"/>
        </w:rPr>
        <w:t>不得单列</w:t>
      </w:r>
      <w:r>
        <w:rPr>
          <w:rFonts w:hint="default" w:ascii="Times New Roman" w:hAnsi="Times New Roman" w:eastAsia="宋体" w:cs="Times New Roman"/>
          <w:b/>
          <w:bCs/>
          <w:color w:val="FF0000"/>
          <w:sz w:val="21"/>
          <w:szCs w:val="21"/>
          <w:highlight w:val="none"/>
          <w:u w:val="single"/>
          <w:lang w:eastAsia="zh-CN"/>
        </w:rPr>
        <w:t>）</w:t>
      </w:r>
      <w:r>
        <w:rPr>
          <w:rFonts w:hint="default" w:ascii="Times New Roman" w:hAnsi="Times New Roman" w:eastAsia="宋体" w:cs="Times New Roman"/>
          <w:b/>
          <w:bCs/>
          <w:color w:val="FF0000"/>
          <w:sz w:val="21"/>
          <w:szCs w:val="21"/>
          <w:highlight w:val="none"/>
          <w:u w:val="single"/>
        </w:rPr>
        <w:t>，采购人不另行支付。</w:t>
      </w:r>
    </w:p>
    <w:p w14:paraId="76040AB4">
      <w:pPr>
        <w:keepNext w:val="0"/>
        <w:keepLines w:val="0"/>
        <w:pageBreakBefore w:val="0"/>
        <w:widowControl w:val="0"/>
        <w:kinsoku/>
        <w:wordWrap w:val="0"/>
        <w:overflowPunct/>
        <w:topLinePunct w:val="0"/>
        <w:bidi w:val="0"/>
        <w:snapToGrid w:val="0"/>
        <w:spacing w:line="520" w:lineRule="exact"/>
        <w:ind w:firstLine="422" w:firstLineChars="200"/>
        <w:rPr>
          <w:rFonts w:hint="default" w:ascii="Times New Roman" w:hAnsi="Times New Roman" w:eastAsia="宋体" w:cs="Times New Roman"/>
          <w:b/>
          <w:bCs/>
          <w:color w:val="FF0000"/>
          <w:sz w:val="21"/>
          <w:szCs w:val="21"/>
          <w:highlight w:val="none"/>
          <w:u w:val="single"/>
        </w:rPr>
      </w:pPr>
      <w:r>
        <w:rPr>
          <w:rFonts w:hint="default" w:ascii="Times New Roman" w:hAnsi="Times New Roman" w:eastAsia="宋体" w:cs="Times New Roman"/>
          <w:b/>
          <w:bCs/>
          <w:color w:val="FF0000"/>
          <w:sz w:val="21"/>
          <w:szCs w:val="21"/>
          <w:highlight w:val="none"/>
          <w:u w:val="single"/>
        </w:rPr>
        <w:t>32.2.3</w:t>
      </w:r>
      <w:r>
        <w:rPr>
          <w:rFonts w:hint="default" w:ascii="Times New Roman" w:hAnsi="Times New Roman" w:eastAsia="宋体" w:cs="Times New Roman"/>
          <w:b/>
          <w:bCs/>
          <w:color w:val="FF0000"/>
          <w:sz w:val="21"/>
          <w:szCs w:val="21"/>
          <w:highlight w:val="none"/>
          <w:u w:val="single"/>
          <w:lang w:val="en-US" w:eastAsia="zh-CN"/>
        </w:rPr>
        <w:t>政府</w:t>
      </w:r>
      <w:r>
        <w:rPr>
          <w:rFonts w:hint="default" w:ascii="Times New Roman" w:hAnsi="Times New Roman" w:eastAsia="宋体" w:cs="Times New Roman"/>
          <w:b/>
          <w:bCs/>
          <w:color w:val="FF0000"/>
          <w:sz w:val="21"/>
          <w:szCs w:val="21"/>
          <w:highlight w:val="none"/>
          <w:u w:val="single"/>
        </w:rPr>
        <w:t>采购代理服务费</w:t>
      </w:r>
      <w:r>
        <w:rPr>
          <w:rFonts w:hint="default" w:ascii="Times New Roman" w:hAnsi="Times New Roman" w:eastAsia="宋体" w:cs="Times New Roman"/>
          <w:b/>
          <w:bCs/>
          <w:color w:val="FF0000"/>
          <w:sz w:val="21"/>
          <w:szCs w:val="21"/>
          <w:highlight w:val="none"/>
          <w:u w:val="single"/>
          <w:lang w:val="en-US" w:eastAsia="zh-CN"/>
        </w:rPr>
        <w:t>收费标准（或金额）：</w:t>
      </w:r>
      <w:r>
        <w:rPr>
          <w:rFonts w:hint="eastAsia" w:cs="Times New Roman"/>
          <w:b/>
          <w:bCs/>
          <w:color w:val="FF0000"/>
          <w:sz w:val="21"/>
          <w:szCs w:val="21"/>
          <w:highlight w:val="none"/>
          <w:u w:val="single"/>
          <w:lang w:val="en-US" w:eastAsia="zh-CN"/>
        </w:rPr>
        <w:t>6000元</w:t>
      </w:r>
      <w:r>
        <w:rPr>
          <w:rFonts w:hint="default" w:ascii="Times New Roman" w:hAnsi="Times New Roman" w:eastAsia="宋体" w:cs="Times New Roman"/>
          <w:b/>
          <w:bCs/>
          <w:color w:val="FF0000"/>
          <w:sz w:val="21"/>
          <w:szCs w:val="21"/>
          <w:highlight w:val="none"/>
          <w:u w:val="single"/>
          <w:lang w:val="en-US" w:eastAsia="zh-CN"/>
        </w:rPr>
        <w:t>。</w:t>
      </w:r>
    </w:p>
    <w:p w14:paraId="47796206">
      <w:pPr>
        <w:keepNext w:val="0"/>
        <w:keepLines w:val="0"/>
        <w:pageBreakBefore w:val="0"/>
        <w:widowControl w:val="0"/>
        <w:kinsoku/>
        <w:wordWrap w:val="0"/>
        <w:overflowPunct/>
        <w:topLinePunct w:val="0"/>
        <w:bidi w:val="0"/>
        <w:snapToGrid w:val="0"/>
        <w:spacing w:line="520" w:lineRule="exact"/>
        <w:ind w:firstLine="420" w:firstLineChars="200"/>
        <w:rPr>
          <w:rFonts w:hint="default" w:ascii="Times New Roman" w:hAnsi="Times New Roman" w:eastAsia="宋体" w:cs="Times New Roman"/>
          <w:color w:val="FF0000"/>
          <w:sz w:val="21"/>
          <w:szCs w:val="21"/>
          <w:highlight w:val="none"/>
        </w:rPr>
      </w:pPr>
      <w:r>
        <w:rPr>
          <w:rFonts w:hint="default" w:ascii="Times New Roman" w:hAnsi="Times New Roman" w:eastAsia="宋体" w:cs="Times New Roman"/>
          <w:color w:val="FF0000"/>
          <w:sz w:val="21"/>
          <w:szCs w:val="21"/>
          <w:highlight w:val="none"/>
        </w:rPr>
        <w:t>32.2.4中标供应商未按照上述规定支付采购代理服务费（招标代理服务费）的，采购人将拒绝发放《中标通知书》，供应商务必将此项费用综合考虑纳入报价中。</w:t>
      </w:r>
    </w:p>
    <w:p w14:paraId="71F5B875">
      <w:pPr>
        <w:pStyle w:val="8"/>
        <w:keepNext w:val="0"/>
        <w:keepLines w:val="0"/>
        <w:pageBreakBefore w:val="0"/>
        <w:widowControl w:val="0"/>
        <w:kinsoku/>
        <w:wordWrap w:val="0"/>
        <w:overflowPunct/>
        <w:topLinePunct w:val="0"/>
        <w:bidi w:val="0"/>
        <w:spacing w:before="145" w:beforeLines="50" w:after="145" w:afterLines="50" w:line="520" w:lineRule="exact"/>
        <w:ind w:firstLine="210" w:firstLineChars="1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七、合同</w:t>
      </w:r>
      <w:bookmarkEnd w:id="185"/>
      <w:r>
        <w:rPr>
          <w:rFonts w:hint="default" w:ascii="Times New Roman" w:hAnsi="Times New Roman" w:eastAsia="宋体" w:cs="Times New Roman"/>
          <w:color w:val="auto"/>
          <w:sz w:val="21"/>
          <w:szCs w:val="21"/>
          <w:highlight w:val="none"/>
        </w:rPr>
        <w:t>签订相关事项</w:t>
      </w:r>
      <w:bookmarkEnd w:id="186"/>
    </w:p>
    <w:bookmarkEnd w:id="187"/>
    <w:bookmarkEnd w:id="188"/>
    <w:bookmarkEnd w:id="189"/>
    <w:p w14:paraId="13134510">
      <w:pPr>
        <w:pStyle w:val="9"/>
        <w:keepNext w:val="0"/>
        <w:keepLines w:val="0"/>
        <w:pageBreakBefore w:val="0"/>
        <w:widowControl w:val="0"/>
        <w:kinsoku/>
        <w:wordWrap w:val="0"/>
        <w:overflowPunct/>
        <w:topLinePunct w:val="0"/>
        <w:bidi w:val="0"/>
        <w:spacing w:before="0" w:after="0" w:line="520" w:lineRule="exact"/>
        <w:ind w:firstLine="315" w:firstLineChars="150"/>
        <w:rPr>
          <w:rFonts w:hint="default" w:ascii="Times New Roman" w:hAnsi="Times New Roman" w:eastAsia="宋体" w:cs="Times New Roman"/>
          <w:b w:val="0"/>
          <w:color w:val="auto"/>
          <w:sz w:val="21"/>
          <w:szCs w:val="21"/>
          <w:highlight w:val="none"/>
        </w:rPr>
      </w:pPr>
      <w:bookmarkStart w:id="190" w:name="_Toc20823309"/>
      <w:bookmarkStart w:id="191" w:name="_Toc16938553"/>
      <w:bookmarkStart w:id="192" w:name="_Toc513029237"/>
      <w:r>
        <w:rPr>
          <w:rFonts w:hint="default" w:ascii="Times New Roman" w:hAnsi="Times New Roman" w:eastAsia="宋体" w:cs="Times New Roman"/>
          <w:b w:val="0"/>
          <w:color w:val="auto"/>
          <w:sz w:val="21"/>
          <w:szCs w:val="21"/>
          <w:highlight w:val="none"/>
        </w:rPr>
        <w:t>33. 签订合同</w:t>
      </w:r>
    </w:p>
    <w:p w14:paraId="41CE83D0">
      <w:pPr>
        <w:keepNext w:val="0"/>
        <w:keepLines w:val="0"/>
        <w:pageBreakBefore w:val="0"/>
        <w:widowControl w:val="0"/>
        <w:kinsoku/>
        <w:wordWrap w:val="0"/>
        <w:overflowPunct/>
        <w:topLinePunct w:val="0"/>
        <w:bidi w:val="0"/>
        <w:snapToGrid w:val="0"/>
        <w:spacing w:line="520" w:lineRule="exact"/>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Cs/>
          <w:color w:val="auto"/>
          <w:sz w:val="21"/>
          <w:szCs w:val="21"/>
          <w:highlight w:val="none"/>
        </w:rPr>
        <w:t>33</w:t>
      </w:r>
      <w:r>
        <w:rPr>
          <w:rFonts w:hint="default" w:ascii="Times New Roman" w:hAnsi="Times New Roman" w:eastAsia="宋体" w:cs="Times New Roman"/>
          <w:color w:val="auto"/>
          <w:sz w:val="21"/>
          <w:szCs w:val="21"/>
          <w:highlight w:val="none"/>
        </w:rPr>
        <w:t>.l中标供应商应按中标通知书规定的时间、地点,按照招标文件确定的事项与采购人签订政府采购合同，且不得迟于中标通知书发出之日起十五日内，由此给采购人造成损失的，中标供应商还应承担赔偿责任。</w:t>
      </w:r>
    </w:p>
    <w:p w14:paraId="62054F83">
      <w:pPr>
        <w:keepNext w:val="0"/>
        <w:keepLines w:val="0"/>
        <w:pageBreakBefore w:val="0"/>
        <w:widowControl w:val="0"/>
        <w:kinsoku/>
        <w:wordWrap w:val="0"/>
        <w:overflowPunct/>
        <w:topLinePunct w:val="0"/>
        <w:bidi w:val="0"/>
        <w:snapToGrid w:val="0"/>
        <w:spacing w:line="520" w:lineRule="exact"/>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33.2</w:t>
      </w:r>
      <w:r>
        <w:rPr>
          <w:rFonts w:hint="default" w:ascii="Times New Roman" w:hAnsi="Times New Roman" w:eastAsia="宋体" w:cs="Times New Roman"/>
          <w:b/>
          <w:color w:val="auto"/>
          <w:sz w:val="21"/>
          <w:szCs w:val="21"/>
          <w:highlight w:val="none"/>
        </w:rPr>
        <w:t xml:space="preserve"> </w:t>
      </w:r>
      <w:r>
        <w:rPr>
          <w:rFonts w:hint="default" w:ascii="Times New Roman" w:hAnsi="Times New Roman" w:eastAsia="宋体" w:cs="Times New Roman"/>
          <w:color w:val="auto"/>
          <w:sz w:val="21"/>
          <w:szCs w:val="21"/>
          <w:highlight w:val="none"/>
        </w:rPr>
        <w:t>招标文件、中标供应商的投标文件及招标过程中有关澄清、承诺文件均应作为合同附件。</w:t>
      </w:r>
    </w:p>
    <w:p w14:paraId="21B66C0E">
      <w:pPr>
        <w:keepNext w:val="0"/>
        <w:keepLines w:val="0"/>
        <w:pageBreakBefore w:val="0"/>
        <w:widowControl w:val="0"/>
        <w:kinsoku/>
        <w:wordWrap w:val="0"/>
        <w:overflowPunct/>
        <w:topLinePunct w:val="0"/>
        <w:bidi w:val="0"/>
        <w:snapToGrid w:val="0"/>
        <w:spacing w:line="520" w:lineRule="exact"/>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33.3 签订合同后，中标供应商不得将货物及其他相关服务进行转包。未经采购人同意，中标供应商也不得采用分包的形式履行合同，否则采购人有权终止合同，中标供应商的履约保证金将不予退还。转包或分包造成采购人损失的，中标供应商应承担相应赔偿责任。</w:t>
      </w:r>
    </w:p>
    <w:p w14:paraId="5962D1DE">
      <w:pPr>
        <w:keepNext w:val="0"/>
        <w:keepLines w:val="0"/>
        <w:pageBreakBefore w:val="0"/>
        <w:widowControl w:val="0"/>
        <w:kinsoku/>
        <w:wordWrap w:val="0"/>
        <w:overflowPunct/>
        <w:topLinePunct w:val="0"/>
        <w:bidi w:val="0"/>
        <w:snapToGrid w:val="0"/>
        <w:spacing w:line="520" w:lineRule="exact"/>
        <w:ind w:firstLine="422" w:firstLineChars="200"/>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33.4中标或者成交后无正当理由拒不与采购人签订政府采购合同的，将被列入不良行为记录名单，在一至三年内禁止参加政府采购活动。</w:t>
      </w:r>
    </w:p>
    <w:p w14:paraId="28667CEB">
      <w:pPr>
        <w:pStyle w:val="9"/>
        <w:keepNext w:val="0"/>
        <w:keepLines w:val="0"/>
        <w:pageBreakBefore w:val="0"/>
        <w:widowControl w:val="0"/>
        <w:kinsoku/>
        <w:wordWrap w:val="0"/>
        <w:overflowPunct/>
        <w:topLinePunct w:val="0"/>
        <w:bidi w:val="0"/>
        <w:spacing w:before="0" w:after="0" w:line="520" w:lineRule="exact"/>
        <w:ind w:firstLine="315" w:firstLineChars="150"/>
        <w:rPr>
          <w:rFonts w:hint="default" w:ascii="Times New Roman" w:hAnsi="Times New Roman" w:eastAsia="宋体" w:cs="Times New Roman"/>
          <w:b w:val="0"/>
          <w:color w:val="auto"/>
          <w:sz w:val="21"/>
          <w:szCs w:val="21"/>
          <w:highlight w:val="none"/>
        </w:rPr>
      </w:pPr>
      <w:r>
        <w:rPr>
          <w:rFonts w:hint="default" w:ascii="Times New Roman" w:hAnsi="Times New Roman" w:eastAsia="宋体" w:cs="Times New Roman"/>
          <w:b w:val="0"/>
          <w:color w:val="auto"/>
          <w:sz w:val="21"/>
          <w:szCs w:val="21"/>
          <w:highlight w:val="none"/>
        </w:rPr>
        <w:t>34、货物和服务的追加、减少和添购。</w:t>
      </w:r>
    </w:p>
    <w:p w14:paraId="300D2352">
      <w:pPr>
        <w:keepNext w:val="0"/>
        <w:keepLines w:val="0"/>
        <w:pageBreakBefore w:val="0"/>
        <w:widowControl w:val="0"/>
        <w:kinsoku/>
        <w:wordWrap w:val="0"/>
        <w:overflowPunct/>
        <w:topLinePunct w:val="0"/>
        <w:bidi w:val="0"/>
        <w:spacing w:line="520" w:lineRule="exact"/>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34.1政府采购合同履行中，采购人需追加与合同标的相同的货物和服务的，在不改变合同其他条款的前提下，可以与中标供应商协商签订补充合同，但所有补充合同的采购金额不超过原合同金额10%。</w:t>
      </w:r>
    </w:p>
    <w:p w14:paraId="47D242FD">
      <w:pPr>
        <w:keepNext w:val="0"/>
        <w:keepLines w:val="0"/>
        <w:pageBreakBefore w:val="0"/>
        <w:widowControl w:val="0"/>
        <w:kinsoku/>
        <w:wordWrap w:val="0"/>
        <w:overflowPunct/>
        <w:topLinePunct w:val="0"/>
        <w:bidi w:val="0"/>
        <w:spacing w:line="520" w:lineRule="exact"/>
        <w:ind w:firstLine="525" w:firstLineChars="250"/>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color w:val="auto"/>
          <w:sz w:val="21"/>
          <w:szCs w:val="21"/>
          <w:highlight w:val="none"/>
        </w:rPr>
        <w:t>34.2采购结束后，采购人若由于各种客观原因，必须对采购项目所牵涉的货物和服务进行适当的减少时，在双方协商一致的前提下，可以按照招标采购时的价格水平做相应的调减，并据此签订补充合同。</w:t>
      </w:r>
    </w:p>
    <w:bookmarkEnd w:id="190"/>
    <w:bookmarkEnd w:id="191"/>
    <w:bookmarkEnd w:id="192"/>
    <w:p w14:paraId="7B3047E0">
      <w:pPr>
        <w:keepNext w:val="0"/>
        <w:keepLines w:val="0"/>
        <w:pageBreakBefore w:val="0"/>
        <w:widowControl w:val="0"/>
        <w:tabs>
          <w:tab w:val="left" w:pos="900"/>
        </w:tabs>
        <w:kinsoku/>
        <w:wordWrap w:val="0"/>
        <w:overflowPunct/>
        <w:topLinePunct w:val="0"/>
        <w:bidi w:val="0"/>
        <w:spacing w:after="145" w:afterLines="50" w:line="520" w:lineRule="exact"/>
        <w:ind w:firstLine="315" w:firstLineChars="15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35、履约保证金</w:t>
      </w:r>
    </w:p>
    <w:p w14:paraId="3DCFD279">
      <w:pPr>
        <w:keepNext w:val="0"/>
        <w:keepLines w:val="0"/>
        <w:pageBreakBefore w:val="0"/>
        <w:widowControl w:val="0"/>
        <w:tabs>
          <w:tab w:val="left" w:pos="900"/>
        </w:tabs>
        <w:kinsoku/>
        <w:wordWrap w:val="0"/>
        <w:overflowPunct/>
        <w:topLinePunct w:val="0"/>
        <w:autoSpaceDE/>
        <w:autoSpaceDN/>
        <w:bidi w:val="0"/>
        <w:adjustRightInd/>
        <w:snapToGrid/>
        <w:spacing w:after="145" w:afterLines="50" w:line="480" w:lineRule="exact"/>
        <w:ind w:firstLine="420" w:firstLineChars="200"/>
        <w:textAlignment w:val="auto"/>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t>35.1在签订合同前，中标供应商须向采购人交纳履约保证金（履约保证金的数额为合同金额的10%，以支票、汇票、本票或者金融机构、担保机构出具的保函等非现金形式提交）。</w:t>
      </w:r>
    </w:p>
    <w:p w14:paraId="0FC1285B">
      <w:pPr>
        <w:keepNext w:val="0"/>
        <w:keepLines w:val="0"/>
        <w:pageBreakBefore w:val="0"/>
        <w:widowControl w:val="0"/>
        <w:tabs>
          <w:tab w:val="left" w:pos="900"/>
        </w:tabs>
        <w:kinsoku/>
        <w:wordWrap w:val="0"/>
        <w:overflowPunct/>
        <w:topLinePunct w:val="0"/>
        <w:autoSpaceDE/>
        <w:autoSpaceDN/>
        <w:bidi w:val="0"/>
        <w:adjustRightInd/>
        <w:snapToGrid/>
        <w:spacing w:after="145" w:afterLines="50" w:line="480" w:lineRule="exact"/>
        <w:ind w:firstLine="420" w:firstLineChars="200"/>
        <w:textAlignment w:val="auto"/>
        <w:rPr>
          <w:rFonts w:hint="default" w:ascii="Times New Roman" w:hAnsi="Times New Roman" w:eastAsia="宋体" w:cs="Times New Roman"/>
          <w:bCs/>
          <w:color w:val="auto"/>
          <w:kern w:val="2"/>
          <w:sz w:val="21"/>
          <w:szCs w:val="21"/>
          <w:highlight w:val="none"/>
          <w:lang w:val="zh-CN" w:eastAsia="zh-CN" w:bidi="ar-SA"/>
        </w:rPr>
      </w:pPr>
      <w:r>
        <w:rPr>
          <w:rFonts w:hint="default" w:ascii="Times New Roman" w:hAnsi="Times New Roman" w:eastAsia="宋体" w:cs="Times New Roman"/>
          <w:bCs/>
          <w:color w:val="auto"/>
          <w:kern w:val="2"/>
          <w:sz w:val="21"/>
          <w:szCs w:val="21"/>
          <w:highlight w:val="none"/>
          <w:lang w:val="en-US" w:eastAsia="zh-CN" w:bidi="ar-SA"/>
        </w:rPr>
        <w:t>35.2中标供应商</w:t>
      </w:r>
      <w:r>
        <w:rPr>
          <w:rFonts w:hint="default" w:ascii="Times New Roman" w:hAnsi="Times New Roman" w:eastAsia="宋体" w:cs="Times New Roman"/>
          <w:bCs/>
          <w:color w:val="auto"/>
          <w:kern w:val="2"/>
          <w:sz w:val="21"/>
          <w:szCs w:val="21"/>
          <w:highlight w:val="none"/>
          <w:lang w:val="zh-CN" w:eastAsia="zh-CN" w:bidi="ar-SA"/>
        </w:rPr>
        <w:t>若在签订采购合同</w:t>
      </w:r>
      <w:r>
        <w:rPr>
          <w:rFonts w:hint="default" w:ascii="Times New Roman" w:hAnsi="Times New Roman" w:eastAsia="宋体" w:cs="Times New Roman"/>
          <w:bCs/>
          <w:color w:val="auto"/>
          <w:kern w:val="2"/>
          <w:sz w:val="21"/>
          <w:szCs w:val="21"/>
          <w:highlight w:val="none"/>
          <w:lang w:val="en-US" w:eastAsia="zh-CN" w:bidi="ar-SA"/>
        </w:rPr>
        <w:t>前</w:t>
      </w:r>
      <w:r>
        <w:rPr>
          <w:rFonts w:hint="default" w:ascii="Times New Roman" w:hAnsi="Times New Roman" w:eastAsia="宋体" w:cs="Times New Roman"/>
          <w:bCs/>
          <w:color w:val="auto"/>
          <w:kern w:val="2"/>
          <w:sz w:val="21"/>
          <w:szCs w:val="21"/>
          <w:highlight w:val="none"/>
          <w:lang w:val="zh-CN" w:eastAsia="zh-CN" w:bidi="ar-SA"/>
        </w:rPr>
        <w:t>向</w:t>
      </w:r>
      <w:r>
        <w:rPr>
          <w:rFonts w:hint="default" w:ascii="Times New Roman" w:hAnsi="Times New Roman" w:eastAsia="宋体" w:cs="Times New Roman"/>
          <w:bCs/>
          <w:color w:val="auto"/>
          <w:kern w:val="2"/>
          <w:sz w:val="21"/>
          <w:szCs w:val="21"/>
          <w:highlight w:val="none"/>
          <w:lang w:val="en-US" w:eastAsia="zh-CN" w:bidi="ar-SA"/>
        </w:rPr>
        <w:t>采购</w:t>
      </w:r>
      <w:r>
        <w:rPr>
          <w:rFonts w:hint="default" w:ascii="Times New Roman" w:hAnsi="Times New Roman" w:eastAsia="宋体" w:cs="Times New Roman"/>
          <w:bCs/>
          <w:color w:val="auto"/>
          <w:kern w:val="2"/>
          <w:sz w:val="21"/>
          <w:szCs w:val="21"/>
          <w:highlight w:val="none"/>
          <w:lang w:val="zh-CN" w:eastAsia="zh-CN" w:bidi="ar-SA"/>
        </w:rPr>
        <w:t>人提交本单位有效期内的第三方信用报告，且信用评级在AA级及以上的，</w:t>
      </w:r>
      <w:r>
        <w:rPr>
          <w:rFonts w:hint="default" w:ascii="Times New Roman" w:hAnsi="Times New Roman" w:eastAsia="宋体" w:cs="Times New Roman"/>
          <w:bCs/>
          <w:color w:val="auto"/>
          <w:kern w:val="2"/>
          <w:sz w:val="21"/>
          <w:szCs w:val="21"/>
          <w:highlight w:val="none"/>
          <w:lang w:val="en-US" w:eastAsia="zh-CN" w:bidi="ar-SA"/>
        </w:rPr>
        <w:t>中标供应商</w:t>
      </w:r>
      <w:r>
        <w:rPr>
          <w:rFonts w:hint="default" w:ascii="Times New Roman" w:hAnsi="Times New Roman" w:eastAsia="宋体" w:cs="Times New Roman"/>
          <w:bCs/>
          <w:color w:val="auto"/>
          <w:kern w:val="2"/>
          <w:sz w:val="21"/>
          <w:szCs w:val="21"/>
          <w:highlight w:val="none"/>
          <w:lang w:val="zh-CN" w:eastAsia="zh-CN" w:bidi="ar-SA"/>
        </w:rPr>
        <w:t>可享受政府采购供应商履约保证金减免（即为全免）政策（具体减免政策请参见滨办通〔2021〕73号文件）。信用报告是指投标人或供应商委托经信用管理部门备案的第三方信用服务机构，按照相关标准出具的综合性信用评价报告。办理第三方信用报告的具体事项请咨询滨海县信用办，联系电话：0515-68982013。</w:t>
      </w:r>
    </w:p>
    <w:p w14:paraId="17D02305">
      <w:pPr>
        <w:keepNext w:val="0"/>
        <w:keepLines w:val="0"/>
        <w:pageBreakBefore w:val="0"/>
        <w:widowControl w:val="0"/>
        <w:tabs>
          <w:tab w:val="left" w:pos="900"/>
        </w:tabs>
        <w:kinsoku/>
        <w:wordWrap w:val="0"/>
        <w:overflowPunct/>
        <w:topLinePunct w:val="0"/>
        <w:autoSpaceDE/>
        <w:autoSpaceDN/>
        <w:bidi w:val="0"/>
        <w:adjustRightInd/>
        <w:snapToGrid/>
        <w:spacing w:after="145" w:afterLines="50" w:line="480" w:lineRule="exact"/>
        <w:ind w:firstLine="420" w:firstLineChars="200"/>
        <w:textAlignment w:val="auto"/>
        <w:rPr>
          <w:rFonts w:hint="default" w:ascii="Times New Roman" w:hAnsi="Times New Roman" w:eastAsia="宋体" w:cs="Times New Roman"/>
          <w:bCs/>
          <w:color w:val="auto"/>
          <w:kern w:val="2"/>
          <w:sz w:val="21"/>
          <w:szCs w:val="21"/>
          <w:highlight w:val="none"/>
          <w:lang w:val="zh-CN" w:eastAsia="zh-CN" w:bidi="ar-SA"/>
        </w:rPr>
      </w:pPr>
      <w:r>
        <w:rPr>
          <w:rFonts w:hint="default" w:ascii="Times New Roman" w:hAnsi="Times New Roman" w:eastAsia="宋体" w:cs="Times New Roman"/>
          <w:bCs/>
          <w:color w:val="auto"/>
          <w:kern w:val="2"/>
          <w:sz w:val="21"/>
          <w:szCs w:val="21"/>
          <w:highlight w:val="none"/>
          <w:lang w:val="en-US" w:eastAsia="zh-CN" w:bidi="ar-SA"/>
        </w:rPr>
        <w:t>35.3</w:t>
      </w:r>
      <w:r>
        <w:rPr>
          <w:rFonts w:hint="default" w:ascii="Times New Roman" w:hAnsi="Times New Roman" w:eastAsia="宋体" w:cs="Times New Roman"/>
          <w:bCs/>
          <w:color w:val="auto"/>
          <w:kern w:val="2"/>
          <w:sz w:val="21"/>
          <w:szCs w:val="21"/>
          <w:highlight w:val="none"/>
          <w:lang w:val="zh-CN" w:eastAsia="zh-CN" w:bidi="ar-SA"/>
        </w:rPr>
        <w:t>履约保证金用以约束</w:t>
      </w:r>
      <w:r>
        <w:rPr>
          <w:rFonts w:hint="default" w:ascii="Times New Roman" w:hAnsi="Times New Roman" w:eastAsia="宋体" w:cs="Times New Roman"/>
          <w:bCs/>
          <w:color w:val="auto"/>
          <w:kern w:val="2"/>
          <w:sz w:val="21"/>
          <w:szCs w:val="21"/>
          <w:highlight w:val="none"/>
          <w:lang w:val="en-US" w:eastAsia="zh-CN" w:bidi="ar-SA"/>
        </w:rPr>
        <w:t>中标</w:t>
      </w:r>
      <w:r>
        <w:rPr>
          <w:rFonts w:hint="default" w:ascii="Times New Roman" w:hAnsi="Times New Roman" w:eastAsia="宋体" w:cs="Times New Roman"/>
          <w:bCs/>
          <w:color w:val="auto"/>
          <w:kern w:val="2"/>
          <w:sz w:val="21"/>
          <w:szCs w:val="21"/>
          <w:highlight w:val="none"/>
          <w:lang w:val="zh-CN" w:eastAsia="zh-CN" w:bidi="ar-SA"/>
        </w:rPr>
        <w:t>供应商在合同履行中的行为，弥补合同执行中由于</w:t>
      </w:r>
      <w:r>
        <w:rPr>
          <w:rFonts w:hint="default" w:ascii="Times New Roman" w:hAnsi="Times New Roman" w:eastAsia="宋体" w:cs="Times New Roman"/>
          <w:bCs/>
          <w:color w:val="auto"/>
          <w:kern w:val="2"/>
          <w:sz w:val="21"/>
          <w:szCs w:val="21"/>
          <w:highlight w:val="none"/>
          <w:lang w:val="en-US" w:eastAsia="zh-CN" w:bidi="ar-SA"/>
        </w:rPr>
        <w:t>中标供应商</w:t>
      </w:r>
      <w:r>
        <w:rPr>
          <w:rFonts w:hint="default" w:ascii="Times New Roman" w:hAnsi="Times New Roman" w:eastAsia="宋体" w:cs="Times New Roman"/>
          <w:bCs/>
          <w:color w:val="auto"/>
          <w:kern w:val="2"/>
          <w:sz w:val="21"/>
          <w:szCs w:val="21"/>
          <w:highlight w:val="none"/>
          <w:lang w:val="zh-CN" w:eastAsia="zh-CN" w:bidi="ar-SA"/>
        </w:rPr>
        <w:t>自身行为可能给采购人带来的各种损失。</w:t>
      </w:r>
      <w:r>
        <w:rPr>
          <w:rFonts w:hint="default" w:ascii="Times New Roman" w:hAnsi="Times New Roman" w:eastAsia="宋体" w:cs="Times New Roman"/>
          <w:bCs/>
          <w:color w:val="auto"/>
          <w:kern w:val="2"/>
          <w:sz w:val="21"/>
          <w:szCs w:val="21"/>
          <w:highlight w:val="none"/>
          <w:lang w:val="en-US" w:eastAsia="zh-CN" w:bidi="ar-SA"/>
        </w:rPr>
        <w:t>中标</w:t>
      </w:r>
      <w:r>
        <w:rPr>
          <w:rFonts w:hint="default" w:ascii="Times New Roman" w:hAnsi="Times New Roman" w:eastAsia="宋体" w:cs="Times New Roman"/>
          <w:bCs/>
          <w:color w:val="auto"/>
          <w:kern w:val="2"/>
          <w:sz w:val="21"/>
          <w:szCs w:val="21"/>
          <w:highlight w:val="none"/>
          <w:lang w:val="zh-CN" w:eastAsia="zh-CN" w:bidi="ar-SA"/>
        </w:rPr>
        <w:t>供应商</w:t>
      </w:r>
      <w:r>
        <w:rPr>
          <w:rFonts w:hint="default" w:ascii="Times New Roman" w:hAnsi="Times New Roman" w:eastAsia="宋体" w:cs="Times New Roman"/>
          <w:bCs/>
          <w:color w:val="auto"/>
          <w:kern w:val="2"/>
          <w:sz w:val="21"/>
          <w:szCs w:val="21"/>
          <w:highlight w:val="none"/>
          <w:lang w:val="en-US" w:eastAsia="zh-CN" w:bidi="ar-SA"/>
        </w:rPr>
        <w:t>履行合同</w:t>
      </w:r>
      <w:r>
        <w:rPr>
          <w:rFonts w:hint="default" w:ascii="Times New Roman" w:hAnsi="Times New Roman" w:eastAsia="宋体" w:cs="Times New Roman"/>
          <w:bCs/>
          <w:color w:val="auto"/>
          <w:kern w:val="2"/>
          <w:sz w:val="21"/>
          <w:szCs w:val="21"/>
          <w:highlight w:val="none"/>
          <w:lang w:val="zh-CN" w:eastAsia="zh-CN" w:bidi="ar-SA"/>
        </w:rPr>
        <w:t>违约时，采购人按合同约定扣除全部或部分履约保证金。如违约给采购人造成的损失超过履约保证金的，还应当依法赔偿超过部分的损失。</w:t>
      </w:r>
    </w:p>
    <w:p w14:paraId="306E3CAA">
      <w:pPr>
        <w:keepNext w:val="0"/>
        <w:keepLines w:val="0"/>
        <w:pageBreakBefore w:val="0"/>
        <w:widowControl w:val="0"/>
        <w:tabs>
          <w:tab w:val="left" w:pos="900"/>
        </w:tabs>
        <w:kinsoku/>
        <w:wordWrap w:val="0"/>
        <w:overflowPunct/>
        <w:topLinePunct w:val="0"/>
        <w:autoSpaceDE/>
        <w:autoSpaceDN/>
        <w:bidi w:val="0"/>
        <w:adjustRightInd/>
        <w:snapToGrid/>
        <w:spacing w:after="145" w:afterLines="50" w:line="480" w:lineRule="exact"/>
        <w:ind w:firstLine="420" w:firstLineChars="200"/>
        <w:textAlignment w:val="auto"/>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t>35.4履约保证金的退还：</w:t>
      </w:r>
    </w:p>
    <w:p w14:paraId="072446D8">
      <w:pPr>
        <w:keepNext w:val="0"/>
        <w:keepLines w:val="0"/>
        <w:pageBreakBefore w:val="0"/>
        <w:widowControl w:val="0"/>
        <w:tabs>
          <w:tab w:val="left" w:pos="900"/>
        </w:tabs>
        <w:kinsoku/>
        <w:wordWrap w:val="0"/>
        <w:overflowPunct/>
        <w:topLinePunct w:val="0"/>
        <w:autoSpaceDE/>
        <w:autoSpaceDN/>
        <w:bidi w:val="0"/>
        <w:adjustRightInd/>
        <w:snapToGrid/>
        <w:spacing w:after="145" w:afterLines="50" w:line="480" w:lineRule="exact"/>
        <w:ind w:firstLine="420" w:firstLineChars="200"/>
        <w:textAlignment w:val="auto"/>
        <w:rPr>
          <w:rFonts w:hint="default" w:ascii="Times New Roman" w:hAnsi="Times New Roman" w:eastAsia="宋体" w:cs="Times New Roman"/>
          <w:bCs/>
          <w:color w:val="auto"/>
          <w:kern w:val="2"/>
          <w:sz w:val="21"/>
          <w:szCs w:val="21"/>
          <w:highlight w:val="none"/>
          <w:lang w:val="zh-CN" w:eastAsia="zh-CN" w:bidi="ar-SA"/>
        </w:rPr>
      </w:pPr>
      <w:r>
        <w:rPr>
          <w:rFonts w:hint="default" w:ascii="Times New Roman" w:hAnsi="Times New Roman" w:eastAsia="宋体" w:cs="Times New Roman"/>
          <w:bCs/>
          <w:color w:val="auto"/>
          <w:kern w:val="2"/>
          <w:sz w:val="21"/>
          <w:szCs w:val="21"/>
          <w:highlight w:val="none"/>
          <w:lang w:val="en-US" w:eastAsia="zh-CN" w:bidi="ar-SA"/>
        </w:rPr>
        <w:t>35.4.1</w:t>
      </w:r>
      <w:r>
        <w:rPr>
          <w:rFonts w:hint="default" w:ascii="Times New Roman" w:hAnsi="Times New Roman" w:eastAsia="宋体" w:cs="Times New Roman"/>
          <w:bCs/>
          <w:color w:val="auto"/>
          <w:kern w:val="2"/>
          <w:sz w:val="21"/>
          <w:szCs w:val="21"/>
          <w:highlight w:val="none"/>
          <w:lang w:val="zh-CN" w:eastAsia="zh-CN" w:bidi="ar-SA"/>
        </w:rPr>
        <w:t>方式：无息退还至投标人缴纳履约保证金的账户。</w:t>
      </w:r>
      <w:r>
        <w:rPr>
          <w:rFonts w:hint="default" w:ascii="Times New Roman" w:hAnsi="Times New Roman" w:eastAsia="宋体" w:cs="Times New Roman"/>
          <w:bCs/>
          <w:color w:val="auto"/>
          <w:kern w:val="2"/>
          <w:sz w:val="21"/>
          <w:szCs w:val="21"/>
          <w:highlight w:val="none"/>
          <w:lang w:val="en-US" w:eastAsia="zh-CN" w:bidi="ar-SA"/>
        </w:rPr>
        <w:t>如为</w:t>
      </w:r>
      <w:r>
        <w:rPr>
          <w:rFonts w:hint="default" w:ascii="Times New Roman" w:hAnsi="Times New Roman" w:eastAsia="宋体" w:cs="Times New Roman"/>
          <w:bCs/>
          <w:color w:val="auto"/>
          <w:kern w:val="2"/>
          <w:sz w:val="21"/>
          <w:szCs w:val="21"/>
          <w:highlight w:val="none"/>
          <w:lang w:val="zh-CN" w:eastAsia="zh-CN" w:bidi="ar-SA"/>
        </w:rPr>
        <w:t>保函，在到期</w:t>
      </w:r>
      <w:r>
        <w:rPr>
          <w:rFonts w:hint="default" w:ascii="Times New Roman" w:hAnsi="Times New Roman" w:eastAsia="宋体" w:cs="Times New Roman"/>
          <w:bCs/>
          <w:color w:val="auto"/>
          <w:kern w:val="2"/>
          <w:sz w:val="21"/>
          <w:szCs w:val="21"/>
          <w:highlight w:val="none"/>
          <w:lang w:val="en-US" w:eastAsia="zh-CN" w:bidi="ar-SA"/>
        </w:rPr>
        <w:t>时</w:t>
      </w:r>
      <w:r>
        <w:rPr>
          <w:rFonts w:hint="default" w:ascii="Times New Roman" w:hAnsi="Times New Roman" w:eastAsia="宋体" w:cs="Times New Roman"/>
          <w:bCs/>
          <w:color w:val="auto"/>
          <w:kern w:val="2"/>
          <w:sz w:val="21"/>
          <w:szCs w:val="21"/>
          <w:highlight w:val="none"/>
          <w:lang w:val="zh-CN" w:eastAsia="zh-CN" w:bidi="ar-SA"/>
        </w:rPr>
        <w:t>自行失效。</w:t>
      </w:r>
    </w:p>
    <w:p w14:paraId="565EBAB0">
      <w:pPr>
        <w:keepNext w:val="0"/>
        <w:keepLines w:val="0"/>
        <w:pageBreakBefore w:val="0"/>
        <w:widowControl w:val="0"/>
        <w:tabs>
          <w:tab w:val="left" w:pos="900"/>
        </w:tabs>
        <w:kinsoku/>
        <w:wordWrap w:val="0"/>
        <w:overflowPunct/>
        <w:topLinePunct w:val="0"/>
        <w:autoSpaceDE/>
        <w:autoSpaceDN/>
        <w:bidi w:val="0"/>
        <w:adjustRightInd/>
        <w:snapToGrid/>
        <w:spacing w:after="145" w:afterLines="50" w:line="480" w:lineRule="exact"/>
        <w:ind w:firstLine="420" w:firstLineChars="200"/>
        <w:textAlignment w:val="auto"/>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t>35.4.2</w:t>
      </w:r>
      <w:r>
        <w:rPr>
          <w:rFonts w:hint="default" w:ascii="Times New Roman" w:hAnsi="Times New Roman" w:eastAsia="宋体" w:cs="Times New Roman"/>
          <w:bCs/>
          <w:color w:val="auto"/>
          <w:kern w:val="2"/>
          <w:sz w:val="21"/>
          <w:szCs w:val="21"/>
          <w:highlight w:val="none"/>
          <w:lang w:val="zh-CN" w:eastAsia="zh-CN" w:bidi="ar-SA"/>
        </w:rPr>
        <w:t>时间：验收合格且采购人收到发票后</w:t>
      </w:r>
      <w:r>
        <w:rPr>
          <w:rFonts w:hint="default" w:ascii="Times New Roman" w:hAnsi="Times New Roman" w:eastAsia="宋体" w:cs="Times New Roman"/>
          <w:bCs/>
          <w:color w:val="auto"/>
          <w:kern w:val="2"/>
          <w:sz w:val="21"/>
          <w:szCs w:val="21"/>
          <w:highlight w:val="none"/>
          <w:lang w:val="en-US" w:eastAsia="zh-CN" w:bidi="ar-SA"/>
        </w:rPr>
        <w:t>30日内。</w:t>
      </w:r>
    </w:p>
    <w:p w14:paraId="3E8B3079">
      <w:pPr>
        <w:keepNext w:val="0"/>
        <w:keepLines w:val="0"/>
        <w:pageBreakBefore w:val="0"/>
        <w:widowControl w:val="0"/>
        <w:tabs>
          <w:tab w:val="left" w:pos="900"/>
        </w:tabs>
        <w:kinsoku/>
        <w:wordWrap w:val="0"/>
        <w:overflowPunct/>
        <w:topLinePunct w:val="0"/>
        <w:autoSpaceDE/>
        <w:autoSpaceDN/>
        <w:bidi w:val="0"/>
        <w:adjustRightInd/>
        <w:snapToGrid/>
        <w:spacing w:after="145" w:afterLines="50" w:line="480" w:lineRule="exact"/>
        <w:ind w:firstLine="420" w:firstLineChars="200"/>
        <w:textAlignment w:val="auto"/>
        <w:rPr>
          <w:rFonts w:hint="default" w:ascii="Times New Roman" w:hAnsi="Times New Roman" w:eastAsia="宋体" w:cs="Times New Roman"/>
          <w:bCs/>
          <w:color w:val="auto"/>
          <w:kern w:val="2"/>
          <w:sz w:val="21"/>
          <w:szCs w:val="21"/>
          <w:highlight w:val="none"/>
          <w:lang w:val="zh-CN" w:eastAsia="zh-CN" w:bidi="ar-SA"/>
        </w:rPr>
      </w:pPr>
      <w:r>
        <w:rPr>
          <w:rFonts w:hint="default" w:ascii="Times New Roman" w:hAnsi="Times New Roman" w:eastAsia="宋体" w:cs="Times New Roman"/>
          <w:bCs/>
          <w:color w:val="auto"/>
          <w:kern w:val="2"/>
          <w:sz w:val="21"/>
          <w:szCs w:val="21"/>
          <w:highlight w:val="none"/>
          <w:lang w:val="en-US" w:eastAsia="zh-CN" w:bidi="ar-SA"/>
        </w:rPr>
        <w:t>35.4.3</w:t>
      </w:r>
      <w:r>
        <w:rPr>
          <w:rFonts w:hint="default" w:ascii="Times New Roman" w:hAnsi="Times New Roman" w:eastAsia="宋体" w:cs="Times New Roman"/>
          <w:bCs/>
          <w:color w:val="auto"/>
          <w:kern w:val="2"/>
          <w:sz w:val="21"/>
          <w:szCs w:val="21"/>
          <w:highlight w:val="none"/>
          <w:lang w:val="zh-CN" w:eastAsia="zh-CN" w:bidi="ar-SA"/>
        </w:rPr>
        <w:t>条件：按合同要求全部履约完成并经采购人验收合格，且采购人收到中标人出具的发票。</w:t>
      </w:r>
    </w:p>
    <w:p w14:paraId="7D30B5DE">
      <w:pPr>
        <w:keepNext w:val="0"/>
        <w:keepLines w:val="0"/>
        <w:pageBreakBefore w:val="0"/>
        <w:widowControl w:val="0"/>
        <w:tabs>
          <w:tab w:val="left" w:pos="900"/>
        </w:tabs>
        <w:kinsoku/>
        <w:wordWrap w:val="0"/>
        <w:overflowPunct/>
        <w:topLinePunct w:val="0"/>
        <w:autoSpaceDE/>
        <w:autoSpaceDN/>
        <w:bidi w:val="0"/>
        <w:adjustRightInd/>
        <w:snapToGrid/>
        <w:spacing w:after="145" w:afterLines="50" w:line="480" w:lineRule="exact"/>
        <w:ind w:firstLine="420" w:firstLineChars="200"/>
        <w:textAlignment w:val="auto"/>
        <w:rPr>
          <w:rFonts w:hint="default" w:ascii="Times New Roman" w:hAnsi="Times New Roman" w:eastAsia="宋体" w:cs="Times New Roman"/>
          <w:bCs/>
          <w:color w:val="auto"/>
          <w:kern w:val="2"/>
          <w:sz w:val="21"/>
          <w:szCs w:val="21"/>
          <w:highlight w:val="none"/>
          <w:lang w:val="zh-CN" w:eastAsia="zh-CN" w:bidi="ar-SA"/>
        </w:rPr>
      </w:pPr>
      <w:r>
        <w:rPr>
          <w:rFonts w:hint="default" w:ascii="Times New Roman" w:hAnsi="Times New Roman" w:eastAsia="宋体" w:cs="Times New Roman"/>
          <w:bCs/>
          <w:color w:val="auto"/>
          <w:kern w:val="2"/>
          <w:sz w:val="21"/>
          <w:szCs w:val="21"/>
          <w:highlight w:val="none"/>
          <w:lang w:val="en-US" w:eastAsia="zh-CN" w:bidi="ar-SA"/>
        </w:rPr>
        <w:t>35.4.4</w:t>
      </w:r>
      <w:r>
        <w:rPr>
          <w:rFonts w:hint="default" w:ascii="Times New Roman" w:hAnsi="Times New Roman" w:eastAsia="宋体" w:cs="Times New Roman"/>
          <w:bCs/>
          <w:color w:val="auto"/>
          <w:kern w:val="2"/>
          <w:sz w:val="21"/>
          <w:szCs w:val="21"/>
          <w:highlight w:val="none"/>
          <w:lang w:val="zh-CN" w:eastAsia="zh-CN" w:bidi="ar-SA"/>
        </w:rPr>
        <w:t>不予退还情形：</w:t>
      </w:r>
    </w:p>
    <w:p w14:paraId="22410D63">
      <w:pPr>
        <w:keepNext w:val="0"/>
        <w:keepLines w:val="0"/>
        <w:pageBreakBefore w:val="0"/>
        <w:widowControl w:val="0"/>
        <w:tabs>
          <w:tab w:val="left" w:pos="900"/>
        </w:tabs>
        <w:kinsoku/>
        <w:wordWrap w:val="0"/>
        <w:overflowPunct/>
        <w:topLinePunct w:val="0"/>
        <w:autoSpaceDE/>
        <w:autoSpaceDN/>
        <w:bidi w:val="0"/>
        <w:adjustRightInd/>
        <w:snapToGrid/>
        <w:spacing w:after="145" w:afterLines="50" w:line="480" w:lineRule="exact"/>
        <w:ind w:firstLine="420" w:firstLineChars="200"/>
        <w:textAlignment w:val="auto"/>
        <w:rPr>
          <w:rFonts w:hint="default" w:ascii="Times New Roman" w:hAnsi="Times New Roman" w:eastAsia="宋体" w:cs="Times New Roman"/>
          <w:bCs/>
          <w:color w:val="auto"/>
          <w:kern w:val="2"/>
          <w:sz w:val="21"/>
          <w:szCs w:val="21"/>
          <w:highlight w:val="none"/>
          <w:lang w:val="zh-CN" w:eastAsia="zh-CN" w:bidi="ar-SA"/>
        </w:rPr>
      </w:pPr>
      <w:r>
        <w:rPr>
          <w:rFonts w:hint="default" w:ascii="Times New Roman" w:hAnsi="Times New Roman" w:eastAsia="宋体" w:cs="Times New Roman"/>
          <w:bCs/>
          <w:color w:val="auto"/>
          <w:kern w:val="2"/>
          <w:sz w:val="21"/>
          <w:szCs w:val="21"/>
          <w:highlight w:val="none"/>
          <w:lang w:val="zh-CN" w:eastAsia="zh-CN" w:bidi="ar-SA"/>
        </w:rPr>
        <w:t>除不可抗力情况外，投标人出现下列情形之一的，</w:t>
      </w:r>
      <w:r>
        <w:rPr>
          <w:rFonts w:hint="default" w:ascii="Times New Roman" w:hAnsi="Times New Roman" w:eastAsia="宋体" w:cs="Times New Roman"/>
          <w:bCs/>
          <w:color w:val="auto"/>
          <w:kern w:val="2"/>
          <w:sz w:val="21"/>
          <w:szCs w:val="21"/>
          <w:highlight w:val="none"/>
          <w:lang w:val="en-US" w:eastAsia="zh-CN" w:bidi="ar-SA"/>
        </w:rPr>
        <w:t>其履约保证金，招标人</w:t>
      </w:r>
      <w:r>
        <w:rPr>
          <w:rFonts w:hint="default" w:ascii="Times New Roman" w:hAnsi="Times New Roman" w:eastAsia="宋体" w:cs="Times New Roman"/>
          <w:bCs/>
          <w:color w:val="auto"/>
          <w:kern w:val="2"/>
          <w:sz w:val="21"/>
          <w:szCs w:val="21"/>
          <w:highlight w:val="none"/>
          <w:lang w:val="zh-CN" w:eastAsia="zh-CN" w:bidi="ar-SA"/>
        </w:rPr>
        <w:t>将视情节</w:t>
      </w:r>
      <w:r>
        <w:rPr>
          <w:rFonts w:hint="default" w:ascii="Times New Roman" w:hAnsi="Times New Roman" w:eastAsia="宋体" w:cs="Times New Roman"/>
          <w:bCs/>
          <w:color w:val="auto"/>
          <w:kern w:val="2"/>
          <w:sz w:val="21"/>
          <w:szCs w:val="21"/>
          <w:highlight w:val="none"/>
          <w:lang w:val="en-US" w:eastAsia="zh-CN" w:bidi="ar-SA"/>
        </w:rPr>
        <w:t>决定不予退还或部分不予退还。</w:t>
      </w:r>
    </w:p>
    <w:p w14:paraId="3EF0DDD0">
      <w:pPr>
        <w:keepNext w:val="0"/>
        <w:keepLines w:val="0"/>
        <w:pageBreakBefore w:val="0"/>
        <w:widowControl w:val="0"/>
        <w:tabs>
          <w:tab w:val="left" w:pos="900"/>
        </w:tabs>
        <w:kinsoku/>
        <w:wordWrap w:val="0"/>
        <w:overflowPunct/>
        <w:topLinePunct w:val="0"/>
        <w:autoSpaceDE/>
        <w:autoSpaceDN/>
        <w:bidi w:val="0"/>
        <w:adjustRightInd/>
        <w:snapToGrid/>
        <w:spacing w:after="145" w:afterLines="50" w:line="480" w:lineRule="exact"/>
        <w:ind w:firstLine="420" w:firstLineChars="200"/>
        <w:textAlignment w:val="auto"/>
        <w:rPr>
          <w:rFonts w:hint="default" w:ascii="Times New Roman" w:hAnsi="Times New Roman" w:eastAsia="宋体" w:cs="Times New Roman"/>
          <w:bCs/>
          <w:color w:val="auto"/>
          <w:kern w:val="2"/>
          <w:sz w:val="21"/>
          <w:szCs w:val="21"/>
          <w:highlight w:val="none"/>
          <w:lang w:val="zh-CN" w:eastAsia="zh-CN" w:bidi="ar-SA"/>
        </w:rPr>
      </w:pPr>
      <w:r>
        <w:rPr>
          <w:rFonts w:hint="default" w:ascii="Times New Roman" w:hAnsi="Times New Roman" w:eastAsia="宋体" w:cs="Times New Roman"/>
          <w:bCs/>
          <w:color w:val="auto"/>
          <w:kern w:val="2"/>
          <w:sz w:val="21"/>
          <w:szCs w:val="21"/>
          <w:highlight w:val="none"/>
          <w:lang w:val="zh-CN" w:eastAsia="zh-CN" w:bidi="ar-SA"/>
        </w:rPr>
        <w:t>（</w:t>
      </w:r>
      <w:r>
        <w:rPr>
          <w:rFonts w:hint="default" w:ascii="Times New Roman" w:hAnsi="Times New Roman" w:eastAsia="宋体" w:cs="Times New Roman"/>
          <w:bCs/>
          <w:color w:val="auto"/>
          <w:kern w:val="2"/>
          <w:sz w:val="21"/>
          <w:szCs w:val="21"/>
          <w:highlight w:val="none"/>
          <w:lang w:val="en-US" w:eastAsia="zh-CN" w:bidi="ar-SA"/>
        </w:rPr>
        <w:t>1</w:t>
      </w:r>
      <w:r>
        <w:rPr>
          <w:rFonts w:hint="default" w:ascii="Times New Roman" w:hAnsi="Times New Roman" w:eastAsia="宋体" w:cs="Times New Roman"/>
          <w:bCs/>
          <w:color w:val="auto"/>
          <w:kern w:val="2"/>
          <w:sz w:val="21"/>
          <w:szCs w:val="21"/>
          <w:highlight w:val="none"/>
          <w:lang w:val="zh-CN" w:eastAsia="zh-CN" w:bidi="ar-SA"/>
        </w:rPr>
        <w:t>）中标人无正当理由拒绝签订合同的，或者在签订合同时向</w:t>
      </w:r>
      <w:r>
        <w:rPr>
          <w:rFonts w:hint="default" w:ascii="Times New Roman" w:hAnsi="Times New Roman" w:eastAsia="宋体" w:cs="Times New Roman"/>
          <w:bCs/>
          <w:color w:val="auto"/>
          <w:kern w:val="2"/>
          <w:sz w:val="21"/>
          <w:szCs w:val="21"/>
          <w:highlight w:val="none"/>
          <w:lang w:val="en-US" w:eastAsia="zh-CN" w:bidi="ar-SA"/>
        </w:rPr>
        <w:t>采购</w:t>
      </w:r>
      <w:r>
        <w:rPr>
          <w:rFonts w:hint="default" w:ascii="Times New Roman" w:hAnsi="Times New Roman" w:eastAsia="宋体" w:cs="Times New Roman"/>
          <w:bCs/>
          <w:color w:val="auto"/>
          <w:kern w:val="2"/>
          <w:sz w:val="21"/>
          <w:szCs w:val="21"/>
          <w:highlight w:val="none"/>
          <w:lang w:val="zh-CN" w:eastAsia="zh-CN" w:bidi="ar-SA"/>
        </w:rPr>
        <w:t>人提出附加条件或者更改合同实质性内容要求的；</w:t>
      </w:r>
    </w:p>
    <w:p w14:paraId="2F9EDB4D">
      <w:pPr>
        <w:keepNext w:val="0"/>
        <w:keepLines w:val="0"/>
        <w:pageBreakBefore w:val="0"/>
        <w:widowControl w:val="0"/>
        <w:tabs>
          <w:tab w:val="left" w:pos="900"/>
        </w:tabs>
        <w:kinsoku/>
        <w:wordWrap w:val="0"/>
        <w:overflowPunct/>
        <w:topLinePunct w:val="0"/>
        <w:autoSpaceDE/>
        <w:autoSpaceDN/>
        <w:bidi w:val="0"/>
        <w:adjustRightInd/>
        <w:snapToGrid/>
        <w:spacing w:after="145" w:afterLines="50" w:line="480" w:lineRule="exact"/>
        <w:ind w:firstLine="420" w:firstLineChars="200"/>
        <w:textAlignment w:val="auto"/>
        <w:rPr>
          <w:rFonts w:hint="default" w:ascii="Times New Roman" w:hAnsi="Times New Roman" w:eastAsia="宋体" w:cs="Times New Roman"/>
          <w:bCs/>
          <w:color w:val="auto"/>
          <w:kern w:val="2"/>
          <w:sz w:val="21"/>
          <w:szCs w:val="21"/>
          <w:highlight w:val="none"/>
          <w:lang w:val="zh-CN" w:eastAsia="zh-CN" w:bidi="ar-SA"/>
        </w:rPr>
      </w:pPr>
      <w:r>
        <w:rPr>
          <w:rFonts w:hint="default" w:ascii="Times New Roman" w:hAnsi="Times New Roman" w:eastAsia="宋体" w:cs="Times New Roman"/>
          <w:bCs/>
          <w:color w:val="auto"/>
          <w:kern w:val="2"/>
          <w:sz w:val="21"/>
          <w:szCs w:val="21"/>
          <w:highlight w:val="none"/>
          <w:lang w:val="zh-CN" w:eastAsia="zh-CN" w:bidi="ar-SA"/>
        </w:rPr>
        <w:t>（</w:t>
      </w:r>
      <w:r>
        <w:rPr>
          <w:rFonts w:hint="default" w:ascii="Times New Roman" w:hAnsi="Times New Roman" w:eastAsia="宋体" w:cs="Times New Roman"/>
          <w:bCs/>
          <w:color w:val="auto"/>
          <w:kern w:val="2"/>
          <w:sz w:val="21"/>
          <w:szCs w:val="21"/>
          <w:highlight w:val="none"/>
          <w:lang w:val="en-US" w:eastAsia="zh-CN" w:bidi="ar-SA"/>
        </w:rPr>
        <w:t>2</w:t>
      </w:r>
      <w:r>
        <w:rPr>
          <w:rFonts w:hint="default" w:ascii="Times New Roman" w:hAnsi="Times New Roman" w:eastAsia="宋体" w:cs="Times New Roman"/>
          <w:bCs/>
          <w:color w:val="auto"/>
          <w:kern w:val="2"/>
          <w:sz w:val="21"/>
          <w:szCs w:val="21"/>
          <w:highlight w:val="none"/>
          <w:lang w:val="zh-CN" w:eastAsia="zh-CN" w:bidi="ar-SA"/>
        </w:rPr>
        <w:t>）中标人不履行与</w:t>
      </w:r>
      <w:r>
        <w:rPr>
          <w:rFonts w:hint="default" w:ascii="Times New Roman" w:hAnsi="Times New Roman" w:eastAsia="宋体" w:cs="Times New Roman"/>
          <w:bCs/>
          <w:color w:val="auto"/>
          <w:kern w:val="2"/>
          <w:sz w:val="21"/>
          <w:szCs w:val="21"/>
          <w:highlight w:val="none"/>
          <w:lang w:val="en-US" w:eastAsia="zh-CN" w:bidi="ar-SA"/>
        </w:rPr>
        <w:t>采购</w:t>
      </w:r>
      <w:r>
        <w:rPr>
          <w:rFonts w:hint="default" w:ascii="Times New Roman" w:hAnsi="Times New Roman" w:eastAsia="宋体" w:cs="Times New Roman"/>
          <w:bCs/>
          <w:color w:val="auto"/>
          <w:kern w:val="2"/>
          <w:sz w:val="21"/>
          <w:szCs w:val="21"/>
          <w:highlight w:val="none"/>
          <w:lang w:val="zh-CN" w:eastAsia="zh-CN" w:bidi="ar-SA"/>
        </w:rPr>
        <w:t>人订立的合同的；</w:t>
      </w:r>
    </w:p>
    <w:p w14:paraId="13C85073">
      <w:pPr>
        <w:keepNext w:val="0"/>
        <w:keepLines w:val="0"/>
        <w:pageBreakBefore w:val="0"/>
        <w:widowControl w:val="0"/>
        <w:tabs>
          <w:tab w:val="left" w:pos="900"/>
        </w:tabs>
        <w:kinsoku/>
        <w:wordWrap w:val="0"/>
        <w:overflowPunct/>
        <w:topLinePunct w:val="0"/>
        <w:autoSpaceDE/>
        <w:autoSpaceDN/>
        <w:bidi w:val="0"/>
        <w:adjustRightInd/>
        <w:snapToGrid/>
        <w:spacing w:after="145" w:afterLines="50" w:line="480" w:lineRule="exact"/>
        <w:ind w:firstLine="420" w:firstLineChars="200"/>
        <w:textAlignment w:val="auto"/>
        <w:rPr>
          <w:rFonts w:hint="default" w:ascii="Times New Roman" w:hAnsi="Times New Roman" w:eastAsia="宋体" w:cs="Times New Roman"/>
          <w:bCs/>
          <w:color w:val="auto"/>
          <w:kern w:val="2"/>
          <w:sz w:val="21"/>
          <w:szCs w:val="21"/>
          <w:highlight w:val="none"/>
          <w:lang w:val="zh-CN" w:eastAsia="zh-CN" w:bidi="ar-SA"/>
        </w:rPr>
      </w:pPr>
      <w:r>
        <w:rPr>
          <w:rFonts w:hint="default" w:ascii="Times New Roman" w:hAnsi="Times New Roman" w:eastAsia="宋体" w:cs="Times New Roman"/>
          <w:bCs/>
          <w:color w:val="auto"/>
          <w:kern w:val="2"/>
          <w:sz w:val="21"/>
          <w:szCs w:val="21"/>
          <w:highlight w:val="none"/>
          <w:lang w:val="zh-CN" w:eastAsia="zh-CN" w:bidi="ar-SA"/>
        </w:rPr>
        <w:t>（</w:t>
      </w:r>
      <w:r>
        <w:rPr>
          <w:rFonts w:hint="default" w:ascii="Times New Roman" w:hAnsi="Times New Roman" w:eastAsia="宋体" w:cs="Times New Roman"/>
          <w:bCs/>
          <w:color w:val="auto"/>
          <w:kern w:val="2"/>
          <w:sz w:val="21"/>
          <w:szCs w:val="21"/>
          <w:highlight w:val="none"/>
          <w:lang w:val="en-US" w:eastAsia="zh-CN" w:bidi="ar-SA"/>
        </w:rPr>
        <w:t>3</w:t>
      </w:r>
      <w:r>
        <w:rPr>
          <w:rFonts w:hint="default" w:ascii="Times New Roman" w:hAnsi="Times New Roman" w:eastAsia="宋体" w:cs="Times New Roman"/>
          <w:bCs/>
          <w:color w:val="auto"/>
          <w:kern w:val="2"/>
          <w:sz w:val="21"/>
          <w:szCs w:val="21"/>
          <w:highlight w:val="none"/>
          <w:lang w:val="zh-CN" w:eastAsia="zh-CN" w:bidi="ar-SA"/>
        </w:rPr>
        <w:t>）中标人所供货物</w:t>
      </w:r>
      <w:r>
        <w:rPr>
          <w:rFonts w:hint="default" w:ascii="Times New Roman" w:hAnsi="Times New Roman" w:eastAsia="宋体" w:cs="Times New Roman"/>
          <w:bCs/>
          <w:color w:val="auto"/>
          <w:kern w:val="2"/>
          <w:sz w:val="21"/>
          <w:szCs w:val="21"/>
          <w:highlight w:val="none"/>
          <w:lang w:val="en-US" w:eastAsia="zh-CN" w:bidi="ar-SA"/>
        </w:rPr>
        <w:t>或服务</w:t>
      </w:r>
      <w:r>
        <w:rPr>
          <w:rFonts w:hint="default" w:ascii="Times New Roman" w:hAnsi="Times New Roman" w:eastAsia="宋体" w:cs="Times New Roman"/>
          <w:bCs/>
          <w:color w:val="auto"/>
          <w:kern w:val="2"/>
          <w:sz w:val="21"/>
          <w:szCs w:val="21"/>
          <w:highlight w:val="none"/>
          <w:lang w:val="zh-CN" w:eastAsia="zh-CN" w:bidi="ar-SA"/>
        </w:rPr>
        <w:t>不符合招标文件规定要求的；</w:t>
      </w:r>
    </w:p>
    <w:p w14:paraId="5323023D">
      <w:pPr>
        <w:keepNext w:val="0"/>
        <w:keepLines w:val="0"/>
        <w:pageBreakBefore w:val="0"/>
        <w:widowControl w:val="0"/>
        <w:tabs>
          <w:tab w:val="left" w:pos="900"/>
        </w:tabs>
        <w:kinsoku/>
        <w:wordWrap w:val="0"/>
        <w:overflowPunct/>
        <w:topLinePunct w:val="0"/>
        <w:autoSpaceDE/>
        <w:autoSpaceDN/>
        <w:bidi w:val="0"/>
        <w:adjustRightInd/>
        <w:snapToGrid/>
        <w:spacing w:after="145" w:afterLines="50" w:line="480" w:lineRule="exact"/>
        <w:ind w:firstLine="420" w:firstLineChars="200"/>
        <w:textAlignment w:val="auto"/>
        <w:rPr>
          <w:rFonts w:hint="default" w:ascii="Times New Roman" w:hAnsi="Times New Roman" w:eastAsia="宋体" w:cs="Times New Roman"/>
          <w:bCs/>
          <w:color w:val="auto"/>
          <w:kern w:val="2"/>
          <w:sz w:val="21"/>
          <w:szCs w:val="21"/>
          <w:highlight w:val="none"/>
          <w:lang w:val="zh-CN" w:eastAsia="zh-CN" w:bidi="ar-SA"/>
        </w:rPr>
      </w:pPr>
      <w:r>
        <w:rPr>
          <w:rFonts w:hint="default" w:ascii="Times New Roman" w:hAnsi="Times New Roman" w:eastAsia="宋体" w:cs="Times New Roman"/>
          <w:bCs/>
          <w:color w:val="auto"/>
          <w:kern w:val="2"/>
          <w:sz w:val="21"/>
          <w:szCs w:val="21"/>
          <w:highlight w:val="none"/>
          <w:lang w:val="zh-CN" w:eastAsia="zh-CN" w:bidi="ar-SA"/>
        </w:rPr>
        <w:t>（</w:t>
      </w:r>
      <w:r>
        <w:rPr>
          <w:rFonts w:hint="default" w:ascii="Times New Roman" w:hAnsi="Times New Roman" w:eastAsia="宋体" w:cs="Times New Roman"/>
          <w:bCs/>
          <w:color w:val="auto"/>
          <w:kern w:val="2"/>
          <w:sz w:val="21"/>
          <w:szCs w:val="21"/>
          <w:highlight w:val="none"/>
          <w:lang w:val="en-US" w:eastAsia="zh-CN" w:bidi="ar-SA"/>
        </w:rPr>
        <w:t>4</w:t>
      </w:r>
      <w:r>
        <w:rPr>
          <w:rFonts w:hint="default" w:ascii="Times New Roman" w:hAnsi="Times New Roman" w:eastAsia="宋体" w:cs="Times New Roman"/>
          <w:bCs/>
          <w:color w:val="auto"/>
          <w:kern w:val="2"/>
          <w:sz w:val="21"/>
          <w:szCs w:val="21"/>
          <w:highlight w:val="none"/>
          <w:lang w:val="zh-CN" w:eastAsia="zh-CN" w:bidi="ar-SA"/>
        </w:rPr>
        <w:t>）</w:t>
      </w:r>
      <w:r>
        <w:rPr>
          <w:rFonts w:hint="default" w:ascii="Times New Roman" w:hAnsi="Times New Roman" w:eastAsia="宋体" w:cs="Times New Roman"/>
          <w:bCs/>
          <w:color w:val="auto"/>
          <w:kern w:val="2"/>
          <w:sz w:val="21"/>
          <w:szCs w:val="21"/>
          <w:highlight w:val="none"/>
          <w:lang w:val="en-US" w:eastAsia="zh-CN" w:bidi="ar-SA"/>
        </w:rPr>
        <w:t>中标人</w:t>
      </w:r>
      <w:r>
        <w:rPr>
          <w:rFonts w:hint="default" w:ascii="Times New Roman" w:hAnsi="Times New Roman" w:eastAsia="宋体" w:cs="Times New Roman"/>
          <w:bCs/>
          <w:color w:val="auto"/>
          <w:kern w:val="2"/>
          <w:sz w:val="21"/>
          <w:szCs w:val="21"/>
          <w:highlight w:val="none"/>
          <w:lang w:val="zh-CN" w:eastAsia="zh-CN" w:bidi="ar-SA"/>
        </w:rPr>
        <w:t>采取欺骗、弄虚作假方式投标的或与其它投标人串通投标的；</w:t>
      </w:r>
    </w:p>
    <w:p w14:paraId="2F996D1C">
      <w:pPr>
        <w:pStyle w:val="19"/>
        <w:keepNext w:val="0"/>
        <w:keepLines w:val="0"/>
        <w:pageBreakBefore w:val="0"/>
        <w:widowControl w:val="0"/>
        <w:kinsoku/>
        <w:wordWrap w:val="0"/>
        <w:overflowPunct/>
        <w:topLinePunct w:val="0"/>
        <w:autoSpaceDE/>
        <w:autoSpaceDN/>
        <w:bidi w:val="0"/>
        <w:adjustRightInd/>
        <w:snapToGrid/>
        <w:spacing w:line="480" w:lineRule="exact"/>
        <w:ind w:left="0" w:leftChars="0" w:firstLine="420" w:firstLineChars="200"/>
        <w:textAlignment w:val="auto"/>
        <w:rPr>
          <w:rFonts w:hint="default" w:ascii="Times New Roman" w:hAnsi="Times New Roman" w:eastAsia="宋体" w:cs="Times New Roman"/>
          <w:bCs/>
          <w:color w:val="auto"/>
          <w:kern w:val="2"/>
          <w:sz w:val="21"/>
          <w:szCs w:val="21"/>
          <w:highlight w:val="none"/>
          <w:lang w:val="zh-CN" w:eastAsia="zh-CN" w:bidi="ar-SA"/>
        </w:rPr>
      </w:pPr>
      <w:r>
        <w:rPr>
          <w:rFonts w:hint="default" w:ascii="Times New Roman" w:hAnsi="Times New Roman" w:eastAsia="宋体" w:cs="Times New Roman"/>
          <w:bCs/>
          <w:color w:val="auto"/>
          <w:kern w:val="2"/>
          <w:sz w:val="21"/>
          <w:szCs w:val="21"/>
          <w:highlight w:val="none"/>
          <w:lang w:val="en-US" w:eastAsia="zh-CN" w:bidi="ar-SA"/>
        </w:rPr>
        <w:t>（5）中标人将合同内容转包、违法分包的；</w:t>
      </w:r>
    </w:p>
    <w:p w14:paraId="00BFB914">
      <w:pPr>
        <w:keepNext w:val="0"/>
        <w:keepLines w:val="0"/>
        <w:pageBreakBefore w:val="0"/>
        <w:widowControl w:val="0"/>
        <w:tabs>
          <w:tab w:val="left" w:pos="900"/>
        </w:tabs>
        <w:kinsoku/>
        <w:wordWrap w:val="0"/>
        <w:overflowPunct/>
        <w:topLinePunct w:val="0"/>
        <w:autoSpaceDE/>
        <w:autoSpaceDN/>
        <w:bidi w:val="0"/>
        <w:adjustRightInd/>
        <w:snapToGrid/>
        <w:spacing w:after="145" w:afterLines="50" w:line="480" w:lineRule="exact"/>
        <w:ind w:firstLine="420" w:firstLineChars="200"/>
        <w:textAlignment w:val="auto"/>
        <w:rPr>
          <w:rFonts w:hint="default" w:ascii="Times New Roman" w:hAnsi="Times New Roman" w:eastAsia="宋体" w:cs="Times New Roman"/>
          <w:bCs/>
          <w:color w:val="auto"/>
          <w:kern w:val="2"/>
          <w:sz w:val="21"/>
          <w:szCs w:val="21"/>
          <w:highlight w:val="none"/>
          <w:lang w:val="zh-CN" w:eastAsia="zh-CN" w:bidi="ar-SA"/>
        </w:rPr>
      </w:pPr>
      <w:r>
        <w:rPr>
          <w:rFonts w:hint="default" w:ascii="Times New Roman" w:hAnsi="Times New Roman" w:eastAsia="宋体" w:cs="Times New Roman"/>
          <w:bCs/>
          <w:color w:val="auto"/>
          <w:kern w:val="2"/>
          <w:sz w:val="21"/>
          <w:szCs w:val="21"/>
          <w:highlight w:val="none"/>
          <w:lang w:val="zh-CN" w:eastAsia="zh-CN" w:bidi="ar-SA"/>
        </w:rPr>
        <w:t>（</w:t>
      </w:r>
      <w:r>
        <w:rPr>
          <w:rFonts w:hint="default" w:ascii="Times New Roman" w:hAnsi="Times New Roman" w:eastAsia="宋体" w:cs="Times New Roman"/>
          <w:bCs/>
          <w:color w:val="auto"/>
          <w:kern w:val="2"/>
          <w:sz w:val="21"/>
          <w:szCs w:val="21"/>
          <w:highlight w:val="none"/>
          <w:lang w:val="en-US" w:eastAsia="zh-CN" w:bidi="ar-SA"/>
        </w:rPr>
        <w:t>6</w:t>
      </w:r>
      <w:r>
        <w:rPr>
          <w:rFonts w:hint="default" w:ascii="Times New Roman" w:hAnsi="Times New Roman" w:eastAsia="宋体" w:cs="Times New Roman"/>
          <w:bCs/>
          <w:color w:val="auto"/>
          <w:kern w:val="2"/>
          <w:sz w:val="21"/>
          <w:szCs w:val="21"/>
          <w:highlight w:val="none"/>
          <w:lang w:val="zh-CN" w:eastAsia="zh-CN" w:bidi="ar-SA"/>
        </w:rPr>
        <w:t>）</w:t>
      </w:r>
      <w:r>
        <w:rPr>
          <w:rFonts w:hint="default" w:ascii="Times New Roman" w:hAnsi="Times New Roman" w:eastAsia="宋体" w:cs="Times New Roman"/>
          <w:bCs/>
          <w:color w:val="auto"/>
          <w:kern w:val="2"/>
          <w:sz w:val="21"/>
          <w:szCs w:val="21"/>
          <w:highlight w:val="none"/>
          <w:lang w:val="en-US" w:eastAsia="zh-CN" w:bidi="ar-SA"/>
        </w:rPr>
        <w:t>中标</w:t>
      </w:r>
      <w:r>
        <w:rPr>
          <w:rFonts w:hint="default" w:ascii="Times New Roman" w:hAnsi="Times New Roman" w:eastAsia="宋体" w:cs="Times New Roman"/>
          <w:bCs/>
          <w:color w:val="auto"/>
          <w:kern w:val="2"/>
          <w:sz w:val="21"/>
          <w:szCs w:val="21"/>
          <w:highlight w:val="none"/>
          <w:lang w:val="zh-CN" w:eastAsia="zh-CN" w:bidi="ar-SA"/>
        </w:rPr>
        <w:t>人故意捏造事实或伪造证明材料，进行虚假恶意投诉或反映的。</w:t>
      </w:r>
    </w:p>
    <w:p w14:paraId="5F803732">
      <w:pPr>
        <w:keepNext w:val="0"/>
        <w:keepLines w:val="0"/>
        <w:pageBreakBefore w:val="0"/>
        <w:widowControl w:val="0"/>
        <w:tabs>
          <w:tab w:val="left" w:pos="900"/>
        </w:tabs>
        <w:kinsoku/>
        <w:wordWrap w:val="0"/>
        <w:overflowPunct/>
        <w:topLinePunct w:val="0"/>
        <w:autoSpaceDE/>
        <w:autoSpaceDN/>
        <w:bidi w:val="0"/>
        <w:adjustRightInd/>
        <w:snapToGrid/>
        <w:spacing w:after="145" w:afterLines="50" w:line="480" w:lineRule="exact"/>
        <w:ind w:firstLine="420" w:firstLineChars="200"/>
        <w:textAlignment w:val="auto"/>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SA"/>
        </w:rPr>
        <w:t>35.4.5</w:t>
      </w:r>
      <w:r>
        <w:rPr>
          <w:rFonts w:hint="default" w:ascii="Times New Roman" w:hAnsi="Times New Roman" w:eastAsia="宋体" w:cs="Times New Roman"/>
          <w:bCs/>
          <w:color w:val="auto"/>
          <w:kern w:val="2"/>
          <w:sz w:val="21"/>
          <w:szCs w:val="21"/>
          <w:highlight w:val="none"/>
          <w:lang w:val="zh-CN" w:eastAsia="zh-CN" w:bidi="ar-SA"/>
        </w:rPr>
        <w:t>逾期退还的违约责任：</w:t>
      </w:r>
      <w:r>
        <w:rPr>
          <w:rFonts w:hint="default" w:ascii="Times New Roman" w:hAnsi="Times New Roman" w:eastAsia="宋体" w:cs="Times New Roman"/>
          <w:bCs/>
          <w:color w:val="auto"/>
          <w:kern w:val="2"/>
          <w:sz w:val="21"/>
          <w:szCs w:val="21"/>
          <w:highlight w:val="none"/>
          <w:lang w:val="en-US" w:eastAsia="zh-CN" w:bidi="ar-SA"/>
        </w:rPr>
        <w:t>采购人逾期无故未退还</w:t>
      </w:r>
      <w:r>
        <w:rPr>
          <w:rFonts w:hint="default" w:ascii="Times New Roman" w:hAnsi="Times New Roman" w:eastAsia="宋体" w:cs="Times New Roman"/>
          <w:bCs/>
          <w:color w:val="auto"/>
          <w:kern w:val="2"/>
          <w:sz w:val="21"/>
          <w:szCs w:val="21"/>
          <w:highlight w:val="none"/>
          <w:lang w:val="zh-CN" w:eastAsia="zh-CN" w:bidi="ar-SA"/>
        </w:rPr>
        <w:t>履约保证金</w:t>
      </w:r>
      <w:r>
        <w:rPr>
          <w:rFonts w:hint="default" w:ascii="Times New Roman" w:hAnsi="Times New Roman" w:eastAsia="宋体" w:cs="Times New Roman"/>
          <w:bCs/>
          <w:color w:val="auto"/>
          <w:kern w:val="2"/>
          <w:sz w:val="21"/>
          <w:szCs w:val="21"/>
          <w:highlight w:val="none"/>
          <w:lang w:val="en-US" w:eastAsia="zh-CN" w:bidi="ar-SA"/>
        </w:rPr>
        <w:t>的，按中国人民银行同期贷款基准利率上浮20%后的利率支付超期资金占用费，但因供应商自身原因导致无法及时退还的除外。</w:t>
      </w:r>
    </w:p>
    <w:p w14:paraId="5A0FF42D">
      <w:pPr>
        <w:pStyle w:val="5"/>
        <w:keepNext w:val="0"/>
        <w:keepLines w:val="0"/>
        <w:pageBreakBefore w:val="0"/>
        <w:widowControl w:val="0"/>
        <w:kinsoku/>
        <w:wordWrap w:val="0"/>
        <w:overflowPunct/>
        <w:topLinePunct w:val="0"/>
        <w:bidi w:val="0"/>
        <w:ind w:firstLine="420" w:firstLineChars="200"/>
        <w:jc w:val="both"/>
        <w:rPr>
          <w:rFonts w:hint="default" w:ascii="Times New Roman" w:hAnsi="Times New Roman" w:eastAsia="宋体" w:cs="Times New Roman"/>
          <w:b/>
          <w:strike w:val="0"/>
          <w:dstrike w:val="0"/>
          <w:kern w:val="2"/>
          <w:sz w:val="21"/>
          <w:szCs w:val="21"/>
          <w:highlight w:val="none"/>
          <w:lang w:val="en-US" w:eastAsia="zh-CN" w:bidi="ar-SA"/>
        </w:rPr>
      </w:pPr>
      <w:r>
        <w:rPr>
          <w:rFonts w:hint="default" w:ascii="Times New Roman" w:hAnsi="Times New Roman" w:eastAsia="宋体" w:cs="Times New Roman"/>
          <w:bCs/>
          <w:color w:val="auto"/>
          <w:sz w:val="21"/>
          <w:szCs w:val="21"/>
          <w:highlight w:val="none"/>
        </w:rPr>
        <w:t>36、</w:t>
      </w:r>
      <w:r>
        <w:rPr>
          <w:rFonts w:hint="default" w:ascii="Times New Roman" w:hAnsi="Times New Roman" w:eastAsia="宋体" w:cs="Times New Roman"/>
          <w:b/>
          <w:strike w:val="0"/>
          <w:dstrike w:val="0"/>
          <w:kern w:val="2"/>
          <w:sz w:val="21"/>
          <w:szCs w:val="21"/>
          <w:highlight w:val="none"/>
          <w:lang w:val="en-US" w:eastAsia="zh-CN" w:bidi="ar-SA"/>
        </w:rPr>
        <w:t>有关说明</w:t>
      </w:r>
    </w:p>
    <w:p w14:paraId="77329200">
      <w:pPr>
        <w:keepNext w:val="0"/>
        <w:keepLines w:val="0"/>
        <w:pageBreakBefore w:val="0"/>
        <w:widowControl w:val="0"/>
        <w:tabs>
          <w:tab w:val="left" w:pos="900"/>
        </w:tabs>
        <w:kinsoku/>
        <w:wordWrap w:val="0"/>
        <w:overflowPunct/>
        <w:topLinePunct w:val="0"/>
        <w:autoSpaceDE/>
        <w:autoSpaceDN/>
        <w:bidi w:val="0"/>
        <w:adjustRightInd/>
        <w:snapToGrid/>
        <w:spacing w:after="145" w:afterLines="50" w:line="480" w:lineRule="exact"/>
        <w:ind w:firstLine="420" w:firstLineChars="200"/>
        <w:textAlignment w:val="auto"/>
        <w:rPr>
          <w:rFonts w:hint="default" w:ascii="Times New Roman" w:hAnsi="Times New Roman" w:eastAsia="宋体" w:cs="Times New Roman"/>
          <w:bCs/>
          <w:color w:val="auto"/>
          <w:kern w:val="2"/>
          <w:sz w:val="21"/>
          <w:szCs w:val="21"/>
          <w:highlight w:val="none"/>
          <w:lang w:val="zh-CN" w:eastAsia="zh-CN" w:bidi="ar-SA"/>
        </w:rPr>
      </w:pPr>
      <w:r>
        <w:rPr>
          <w:rFonts w:hint="default" w:ascii="Times New Roman" w:hAnsi="Times New Roman" w:eastAsia="宋体" w:cs="Times New Roman"/>
          <w:bCs/>
          <w:color w:val="auto"/>
          <w:kern w:val="2"/>
          <w:sz w:val="21"/>
          <w:szCs w:val="21"/>
          <w:highlight w:val="none"/>
          <w:lang w:val="en-US" w:eastAsia="zh-CN" w:bidi="ar-SA"/>
        </w:rPr>
        <w:t>36.1</w:t>
      </w:r>
      <w:r>
        <w:rPr>
          <w:rFonts w:hint="default" w:ascii="Times New Roman" w:hAnsi="Times New Roman" w:eastAsia="宋体" w:cs="Times New Roman"/>
          <w:bCs/>
          <w:color w:val="auto"/>
          <w:kern w:val="2"/>
          <w:sz w:val="21"/>
          <w:szCs w:val="21"/>
          <w:highlight w:val="none"/>
          <w:lang w:val="zh-CN" w:eastAsia="zh-CN" w:bidi="ar-SA"/>
        </w:rPr>
        <w:t>对</w:t>
      </w:r>
      <w:r>
        <w:rPr>
          <w:rFonts w:hint="default" w:ascii="Times New Roman" w:hAnsi="Times New Roman" w:eastAsia="宋体" w:cs="Times New Roman"/>
          <w:bCs/>
          <w:color w:val="auto"/>
          <w:kern w:val="2"/>
          <w:sz w:val="21"/>
          <w:szCs w:val="21"/>
          <w:highlight w:val="none"/>
          <w:lang w:val="en-US" w:eastAsia="zh-CN" w:bidi="ar-SA"/>
        </w:rPr>
        <w:t>采购</w:t>
      </w:r>
      <w:r>
        <w:rPr>
          <w:rFonts w:hint="default" w:ascii="Times New Roman" w:hAnsi="Times New Roman" w:eastAsia="宋体" w:cs="Times New Roman"/>
          <w:bCs/>
          <w:color w:val="auto"/>
          <w:kern w:val="2"/>
          <w:sz w:val="21"/>
          <w:szCs w:val="21"/>
          <w:highlight w:val="none"/>
          <w:lang w:val="zh-CN" w:eastAsia="zh-CN" w:bidi="ar-SA"/>
        </w:rPr>
        <w:t>文件相关条款理解产生分歧时由招标人负责解释。</w:t>
      </w:r>
      <w:r>
        <w:rPr>
          <w:rFonts w:hint="default" w:ascii="Times New Roman" w:hAnsi="Times New Roman" w:eastAsia="宋体" w:cs="Times New Roman"/>
          <w:bCs/>
          <w:color w:val="auto"/>
          <w:kern w:val="2"/>
          <w:sz w:val="21"/>
          <w:szCs w:val="21"/>
          <w:highlight w:val="none"/>
          <w:lang w:val="en-US" w:eastAsia="zh-CN" w:bidi="ar-SA"/>
        </w:rPr>
        <w:t>采购文件</w:t>
      </w:r>
      <w:r>
        <w:rPr>
          <w:rFonts w:hint="default" w:ascii="Times New Roman" w:hAnsi="Times New Roman" w:eastAsia="宋体" w:cs="Times New Roman"/>
          <w:bCs/>
          <w:color w:val="auto"/>
          <w:kern w:val="2"/>
          <w:sz w:val="21"/>
          <w:szCs w:val="21"/>
          <w:highlight w:val="none"/>
          <w:lang w:val="zh-CN" w:eastAsia="zh-CN" w:bidi="ar-SA"/>
        </w:rPr>
        <w:t>中未尽事宜遵照《中华人民共和国政府采购法》、《中华人民共和国政府采购法实施条例》等国家有关法律、法规及相关文件规定。</w:t>
      </w:r>
    </w:p>
    <w:p w14:paraId="0194AF46">
      <w:pPr>
        <w:keepNext w:val="0"/>
        <w:keepLines w:val="0"/>
        <w:pageBreakBefore w:val="0"/>
        <w:widowControl w:val="0"/>
        <w:tabs>
          <w:tab w:val="left" w:pos="900"/>
        </w:tabs>
        <w:kinsoku/>
        <w:wordWrap w:val="0"/>
        <w:overflowPunct/>
        <w:topLinePunct w:val="0"/>
        <w:autoSpaceDE/>
        <w:autoSpaceDN/>
        <w:bidi w:val="0"/>
        <w:adjustRightInd/>
        <w:snapToGrid/>
        <w:spacing w:after="145" w:afterLines="50" w:line="480" w:lineRule="exact"/>
        <w:ind w:firstLine="420" w:firstLineChars="200"/>
        <w:textAlignment w:val="auto"/>
        <w:rPr>
          <w:rFonts w:hint="default" w:ascii="Times New Roman" w:hAnsi="Times New Roman" w:eastAsia="宋体" w:cs="Times New Roman"/>
          <w:bCs/>
          <w:color w:val="auto"/>
          <w:kern w:val="2"/>
          <w:sz w:val="21"/>
          <w:szCs w:val="21"/>
          <w:highlight w:val="none"/>
          <w:lang w:val="zh-CN" w:eastAsia="zh-CN" w:bidi="ar-SA"/>
        </w:rPr>
      </w:pPr>
      <w:r>
        <w:rPr>
          <w:rFonts w:hint="default" w:ascii="Times New Roman" w:hAnsi="Times New Roman" w:eastAsia="宋体" w:cs="Times New Roman"/>
          <w:bCs/>
          <w:color w:val="auto"/>
          <w:kern w:val="2"/>
          <w:sz w:val="21"/>
          <w:szCs w:val="21"/>
          <w:highlight w:val="none"/>
          <w:lang w:val="en-US" w:eastAsia="zh-CN" w:bidi="ar-SA"/>
        </w:rPr>
        <w:t>36.2</w:t>
      </w:r>
      <w:r>
        <w:rPr>
          <w:rFonts w:hint="default" w:ascii="Times New Roman" w:hAnsi="Times New Roman" w:eastAsia="宋体" w:cs="Times New Roman"/>
          <w:bCs/>
          <w:color w:val="auto"/>
          <w:kern w:val="2"/>
          <w:sz w:val="21"/>
          <w:szCs w:val="21"/>
          <w:highlight w:val="none"/>
          <w:lang w:val="zh-CN" w:eastAsia="zh-CN" w:bidi="ar-SA"/>
        </w:rPr>
        <w:t>在合同执行期间，</w:t>
      </w:r>
      <w:r>
        <w:rPr>
          <w:rFonts w:hint="default" w:ascii="Times New Roman" w:hAnsi="Times New Roman" w:eastAsia="宋体" w:cs="Times New Roman"/>
          <w:bCs/>
          <w:color w:val="auto"/>
          <w:kern w:val="2"/>
          <w:sz w:val="21"/>
          <w:szCs w:val="21"/>
          <w:highlight w:val="none"/>
          <w:lang w:val="en-US" w:eastAsia="zh-CN" w:bidi="ar-SA"/>
        </w:rPr>
        <w:t>非采购人原因引起的</w:t>
      </w:r>
      <w:r>
        <w:rPr>
          <w:rFonts w:hint="default" w:ascii="Times New Roman" w:hAnsi="Times New Roman" w:eastAsia="宋体" w:cs="Times New Roman"/>
          <w:bCs/>
          <w:color w:val="auto"/>
          <w:kern w:val="2"/>
          <w:sz w:val="21"/>
          <w:szCs w:val="21"/>
          <w:highlight w:val="none"/>
          <w:lang w:val="zh-CN" w:eastAsia="zh-CN" w:bidi="ar-SA"/>
        </w:rPr>
        <w:t>安全责任由</w:t>
      </w:r>
      <w:r>
        <w:rPr>
          <w:rFonts w:hint="default" w:ascii="Times New Roman" w:hAnsi="Times New Roman" w:eastAsia="宋体" w:cs="Times New Roman"/>
          <w:bCs/>
          <w:color w:val="auto"/>
          <w:kern w:val="2"/>
          <w:sz w:val="21"/>
          <w:szCs w:val="21"/>
          <w:highlight w:val="none"/>
          <w:lang w:val="en-US" w:eastAsia="zh-CN" w:bidi="ar-SA"/>
        </w:rPr>
        <w:t>中标</w:t>
      </w:r>
      <w:r>
        <w:rPr>
          <w:rFonts w:hint="default" w:ascii="Times New Roman" w:hAnsi="Times New Roman" w:eastAsia="宋体" w:cs="Times New Roman"/>
          <w:bCs/>
          <w:color w:val="auto"/>
          <w:kern w:val="2"/>
          <w:sz w:val="21"/>
          <w:szCs w:val="21"/>
          <w:highlight w:val="none"/>
          <w:lang w:val="zh-CN" w:eastAsia="zh-CN" w:bidi="ar-SA"/>
        </w:rPr>
        <w:t>人负责。</w:t>
      </w:r>
    </w:p>
    <w:p w14:paraId="1E89A0B7">
      <w:pPr>
        <w:keepNext w:val="0"/>
        <w:keepLines w:val="0"/>
        <w:pageBreakBefore w:val="0"/>
        <w:widowControl w:val="0"/>
        <w:tabs>
          <w:tab w:val="left" w:pos="900"/>
        </w:tabs>
        <w:kinsoku/>
        <w:wordWrap w:val="0"/>
        <w:overflowPunct/>
        <w:topLinePunct w:val="0"/>
        <w:autoSpaceDE/>
        <w:autoSpaceDN/>
        <w:bidi w:val="0"/>
        <w:adjustRightInd/>
        <w:snapToGrid/>
        <w:spacing w:after="145" w:afterLines="50" w:line="480" w:lineRule="exact"/>
        <w:ind w:firstLine="420" w:firstLineChars="200"/>
        <w:textAlignment w:val="auto"/>
        <w:rPr>
          <w:rFonts w:hint="default" w:ascii="Times New Roman" w:hAnsi="Times New Roman" w:eastAsia="宋体" w:cs="Times New Roman"/>
          <w:bCs/>
          <w:color w:val="auto"/>
          <w:kern w:val="2"/>
          <w:sz w:val="21"/>
          <w:szCs w:val="21"/>
          <w:highlight w:val="none"/>
          <w:lang w:val="zh-CN" w:eastAsia="zh-CN" w:bidi="ar-SA"/>
        </w:rPr>
      </w:pPr>
      <w:r>
        <w:rPr>
          <w:rFonts w:hint="default" w:ascii="Times New Roman" w:hAnsi="Times New Roman" w:eastAsia="宋体" w:cs="Times New Roman"/>
          <w:bCs/>
          <w:color w:val="auto"/>
          <w:kern w:val="2"/>
          <w:sz w:val="21"/>
          <w:szCs w:val="21"/>
          <w:highlight w:val="none"/>
          <w:lang w:val="en-US" w:eastAsia="zh-CN" w:bidi="ar-SA"/>
        </w:rPr>
        <w:t>36.3</w:t>
      </w:r>
      <w:r>
        <w:rPr>
          <w:rFonts w:hint="default" w:ascii="Times New Roman" w:hAnsi="Times New Roman" w:eastAsia="宋体" w:cs="Times New Roman"/>
          <w:bCs/>
          <w:color w:val="auto"/>
          <w:kern w:val="2"/>
          <w:sz w:val="21"/>
          <w:szCs w:val="21"/>
          <w:highlight w:val="none"/>
          <w:lang w:val="zh-CN" w:eastAsia="zh-CN" w:bidi="ar-SA"/>
        </w:rPr>
        <w:t>投标单位因不良行为被下列部门取消或限制在全国、江苏省、盐城市、滨海县投标资格，并在不良行为记录公告期限内的，将被取消投标资格或者中标资格：</w:t>
      </w:r>
    </w:p>
    <w:p w14:paraId="2F86DC93">
      <w:pPr>
        <w:keepNext w:val="0"/>
        <w:keepLines w:val="0"/>
        <w:pageBreakBefore w:val="0"/>
        <w:widowControl w:val="0"/>
        <w:tabs>
          <w:tab w:val="left" w:pos="900"/>
        </w:tabs>
        <w:kinsoku/>
        <w:wordWrap w:val="0"/>
        <w:overflowPunct/>
        <w:topLinePunct w:val="0"/>
        <w:autoSpaceDE/>
        <w:autoSpaceDN/>
        <w:bidi w:val="0"/>
        <w:adjustRightInd/>
        <w:snapToGrid/>
        <w:spacing w:after="145" w:afterLines="50" w:line="480" w:lineRule="exact"/>
        <w:ind w:firstLine="420" w:firstLineChars="200"/>
        <w:textAlignment w:val="auto"/>
        <w:rPr>
          <w:rFonts w:hint="default" w:ascii="Times New Roman" w:hAnsi="Times New Roman" w:eastAsia="宋体" w:cs="Times New Roman"/>
          <w:bCs/>
          <w:color w:val="auto"/>
          <w:kern w:val="2"/>
          <w:sz w:val="21"/>
          <w:szCs w:val="21"/>
          <w:highlight w:val="none"/>
          <w:lang w:val="zh-CN" w:eastAsia="zh-CN" w:bidi="ar-SA"/>
        </w:rPr>
      </w:pPr>
      <w:r>
        <w:rPr>
          <w:rFonts w:hint="default" w:ascii="Times New Roman" w:hAnsi="Times New Roman" w:eastAsia="宋体" w:cs="Times New Roman"/>
          <w:bCs/>
          <w:color w:val="auto"/>
          <w:kern w:val="2"/>
          <w:sz w:val="21"/>
          <w:szCs w:val="21"/>
          <w:highlight w:val="none"/>
          <w:lang w:val="zh-CN" w:eastAsia="zh-CN" w:bidi="ar-SA"/>
        </w:rPr>
        <w:t>（1）国家发改委、住建部、财政部、交通运输部、水利部、工信部及其招标采购监管机构。（2）江苏省发改委、工信厅、住建厅、财政厅、交通运输厅、水利厅及其招标采购监管机构。（3）盐城市发改委、工信局、住建局、财政局、交通运输局、水利局、行政审批局及其招标采购监管机构。（4）滨海县财政局、行政审批局及其招标采购监管机构。</w:t>
      </w:r>
    </w:p>
    <w:p w14:paraId="063E111C">
      <w:pPr>
        <w:keepNext w:val="0"/>
        <w:keepLines w:val="0"/>
        <w:pageBreakBefore w:val="0"/>
        <w:widowControl w:val="0"/>
        <w:tabs>
          <w:tab w:val="left" w:pos="900"/>
        </w:tabs>
        <w:kinsoku/>
        <w:wordWrap w:val="0"/>
        <w:overflowPunct/>
        <w:topLinePunct w:val="0"/>
        <w:autoSpaceDE/>
        <w:autoSpaceDN/>
        <w:bidi w:val="0"/>
        <w:adjustRightInd/>
        <w:snapToGrid/>
        <w:spacing w:after="145" w:afterLines="50" w:line="480" w:lineRule="exact"/>
        <w:ind w:firstLine="420" w:firstLineChars="200"/>
        <w:textAlignment w:val="auto"/>
        <w:rPr>
          <w:rFonts w:hint="default" w:ascii="Times New Roman" w:hAnsi="Times New Roman" w:eastAsia="宋体" w:cs="Times New Roman"/>
          <w:bCs/>
          <w:color w:val="auto"/>
          <w:kern w:val="2"/>
          <w:sz w:val="21"/>
          <w:szCs w:val="21"/>
          <w:highlight w:val="none"/>
          <w:lang w:val="zh-CN" w:eastAsia="zh-CN" w:bidi="ar-SA"/>
        </w:rPr>
      </w:pPr>
      <w:r>
        <w:rPr>
          <w:rFonts w:hint="default" w:ascii="Times New Roman" w:hAnsi="Times New Roman" w:eastAsia="宋体" w:cs="Times New Roman"/>
          <w:bCs/>
          <w:color w:val="auto"/>
          <w:kern w:val="2"/>
          <w:sz w:val="21"/>
          <w:szCs w:val="21"/>
          <w:highlight w:val="none"/>
          <w:lang w:val="zh-CN" w:eastAsia="zh-CN" w:bidi="ar-SA"/>
        </w:rPr>
        <w:t>上述行政主管部门和招标采购监管机构以外的不良行为记录公告，一律不作为取消或限制投标资格和中标资格的依据。</w:t>
      </w:r>
    </w:p>
    <w:p w14:paraId="76948C95">
      <w:pPr>
        <w:keepNext w:val="0"/>
        <w:keepLines w:val="0"/>
        <w:pageBreakBefore w:val="0"/>
        <w:widowControl w:val="0"/>
        <w:tabs>
          <w:tab w:val="left" w:pos="900"/>
        </w:tabs>
        <w:kinsoku/>
        <w:wordWrap w:val="0"/>
        <w:overflowPunct/>
        <w:topLinePunct w:val="0"/>
        <w:autoSpaceDE/>
        <w:autoSpaceDN/>
        <w:bidi w:val="0"/>
        <w:adjustRightInd/>
        <w:snapToGrid/>
        <w:spacing w:after="145" w:afterLines="50" w:line="480" w:lineRule="exact"/>
        <w:ind w:firstLine="420" w:firstLineChars="200"/>
        <w:textAlignment w:val="auto"/>
        <w:rPr>
          <w:rFonts w:hint="default" w:ascii="Times New Roman" w:hAnsi="Times New Roman" w:eastAsia="宋体" w:cs="Times New Roman"/>
          <w:bCs/>
          <w:color w:val="auto"/>
          <w:kern w:val="2"/>
          <w:sz w:val="21"/>
          <w:szCs w:val="21"/>
          <w:highlight w:val="none"/>
          <w:lang w:val="zh-CN" w:eastAsia="zh-CN" w:bidi="ar-SA"/>
        </w:rPr>
      </w:pPr>
      <w:r>
        <w:rPr>
          <w:rFonts w:hint="default" w:ascii="Times New Roman" w:hAnsi="Times New Roman" w:eastAsia="宋体" w:cs="Times New Roman"/>
          <w:bCs/>
          <w:color w:val="auto"/>
          <w:kern w:val="2"/>
          <w:sz w:val="21"/>
          <w:szCs w:val="21"/>
          <w:highlight w:val="none"/>
          <w:lang w:val="en-US" w:eastAsia="zh-CN" w:bidi="ar-SA"/>
        </w:rPr>
        <w:t>36.4</w:t>
      </w:r>
      <w:r>
        <w:rPr>
          <w:rFonts w:hint="default" w:ascii="Times New Roman" w:hAnsi="Times New Roman" w:eastAsia="宋体" w:cs="Times New Roman"/>
          <w:bCs/>
          <w:color w:val="auto"/>
          <w:kern w:val="2"/>
          <w:sz w:val="21"/>
          <w:szCs w:val="21"/>
          <w:highlight w:val="none"/>
          <w:lang w:val="zh-CN" w:eastAsia="zh-CN" w:bidi="ar-SA"/>
        </w:rPr>
        <w:t>符合现行法律、法规、规章及相关招标管理文件明确限制投标情形的，将被取消投标资格或者中标资格。</w:t>
      </w:r>
    </w:p>
    <w:p w14:paraId="6472438C">
      <w:pPr>
        <w:keepNext w:val="0"/>
        <w:keepLines w:val="0"/>
        <w:pageBreakBefore w:val="0"/>
        <w:widowControl w:val="0"/>
        <w:tabs>
          <w:tab w:val="left" w:pos="900"/>
        </w:tabs>
        <w:kinsoku/>
        <w:wordWrap w:val="0"/>
        <w:overflowPunct/>
        <w:topLinePunct w:val="0"/>
        <w:autoSpaceDE/>
        <w:autoSpaceDN/>
        <w:bidi w:val="0"/>
        <w:adjustRightInd/>
        <w:snapToGrid/>
        <w:spacing w:after="145" w:afterLines="50" w:line="480" w:lineRule="exact"/>
        <w:ind w:firstLine="420" w:firstLineChars="200"/>
        <w:textAlignment w:val="auto"/>
        <w:rPr>
          <w:rFonts w:hint="default" w:ascii="Times New Roman" w:hAnsi="Times New Roman" w:eastAsia="宋体" w:cs="Times New Roman"/>
          <w:bCs/>
          <w:color w:val="auto"/>
          <w:kern w:val="2"/>
          <w:sz w:val="21"/>
          <w:szCs w:val="21"/>
          <w:highlight w:val="none"/>
          <w:lang w:val="zh-CN" w:eastAsia="zh-CN" w:bidi="ar-SA"/>
        </w:rPr>
      </w:pPr>
      <w:r>
        <w:rPr>
          <w:rFonts w:hint="default" w:ascii="Times New Roman" w:hAnsi="Times New Roman" w:eastAsia="宋体" w:cs="Times New Roman"/>
          <w:bCs/>
          <w:color w:val="auto"/>
          <w:kern w:val="2"/>
          <w:sz w:val="21"/>
          <w:szCs w:val="21"/>
          <w:highlight w:val="none"/>
          <w:lang w:val="en-US" w:eastAsia="zh-CN" w:bidi="ar-SA"/>
        </w:rPr>
        <w:t>36.5</w:t>
      </w:r>
      <w:r>
        <w:rPr>
          <w:rFonts w:hint="default" w:ascii="Times New Roman" w:hAnsi="Times New Roman" w:eastAsia="宋体" w:cs="Times New Roman"/>
          <w:bCs/>
          <w:color w:val="auto"/>
          <w:kern w:val="2"/>
          <w:sz w:val="21"/>
          <w:szCs w:val="21"/>
          <w:highlight w:val="none"/>
          <w:lang w:val="zh-CN" w:eastAsia="zh-CN" w:bidi="ar-SA"/>
        </w:rPr>
        <w:t>投标人投诉时须根据《政府采购质疑和投诉办法》(中华人民共和国财政部令第94号)、《政府采购投诉处理流程》(苏财购(2018)32号)要求在规定时间以书面方式向滨海县财政局提交投诉书和必要的证明材料。投诉的事项不得超出已质疑事项的范围，但基于质疑答复内容提出的投诉事项除外。</w:t>
      </w:r>
    </w:p>
    <w:p w14:paraId="729D4F84">
      <w:pPr>
        <w:keepNext w:val="0"/>
        <w:keepLines w:val="0"/>
        <w:pageBreakBefore w:val="0"/>
        <w:widowControl w:val="0"/>
        <w:tabs>
          <w:tab w:val="left" w:pos="900"/>
        </w:tabs>
        <w:kinsoku/>
        <w:wordWrap w:val="0"/>
        <w:overflowPunct/>
        <w:topLinePunct w:val="0"/>
        <w:autoSpaceDE/>
        <w:autoSpaceDN/>
        <w:bidi w:val="0"/>
        <w:adjustRightInd/>
        <w:snapToGrid/>
        <w:spacing w:after="145" w:afterLines="50" w:line="480" w:lineRule="exact"/>
        <w:ind w:firstLine="420" w:firstLineChars="200"/>
        <w:textAlignment w:val="auto"/>
        <w:rPr>
          <w:rFonts w:hint="default" w:ascii="Times New Roman" w:hAnsi="Times New Roman" w:eastAsia="宋体" w:cs="Times New Roman"/>
          <w:bCs/>
          <w:color w:val="auto"/>
          <w:kern w:val="2"/>
          <w:sz w:val="21"/>
          <w:szCs w:val="21"/>
          <w:highlight w:val="none"/>
          <w:lang w:val="zh-CN" w:eastAsia="zh-CN" w:bidi="ar-SA"/>
        </w:rPr>
      </w:pPr>
      <w:r>
        <w:rPr>
          <w:rFonts w:hint="default" w:ascii="Times New Roman" w:hAnsi="Times New Roman" w:eastAsia="宋体" w:cs="Times New Roman"/>
          <w:bCs/>
          <w:color w:val="auto"/>
          <w:kern w:val="2"/>
          <w:sz w:val="21"/>
          <w:szCs w:val="21"/>
          <w:highlight w:val="none"/>
          <w:lang w:val="en-US" w:eastAsia="zh-CN" w:bidi="ar-SA"/>
        </w:rPr>
        <w:t>36.6</w:t>
      </w:r>
      <w:r>
        <w:rPr>
          <w:rFonts w:hint="default" w:ascii="Times New Roman" w:hAnsi="Times New Roman" w:eastAsia="宋体" w:cs="Times New Roman"/>
          <w:bCs/>
          <w:color w:val="auto"/>
          <w:kern w:val="2"/>
          <w:sz w:val="21"/>
          <w:szCs w:val="21"/>
          <w:highlight w:val="none"/>
          <w:lang w:val="zh-CN" w:eastAsia="zh-CN" w:bidi="ar-SA"/>
        </w:rPr>
        <w:t>投标人捏造事实、提供虚假材料或者以非法手段取得证明材料进行投诉的，一经查实，将记入不良行为记录名单档案，并视情节予以公示三个月至三年，公示期间，滨海县其他政府投资项目的招标人可以拒绝其参加投标。</w:t>
      </w:r>
    </w:p>
    <w:p w14:paraId="1831CCB3">
      <w:pPr>
        <w:keepNext w:val="0"/>
        <w:keepLines w:val="0"/>
        <w:pageBreakBefore w:val="0"/>
        <w:widowControl w:val="0"/>
        <w:tabs>
          <w:tab w:val="left" w:pos="900"/>
        </w:tabs>
        <w:kinsoku/>
        <w:wordWrap w:val="0"/>
        <w:overflowPunct/>
        <w:topLinePunct w:val="0"/>
        <w:autoSpaceDE/>
        <w:autoSpaceDN/>
        <w:bidi w:val="0"/>
        <w:adjustRightInd/>
        <w:snapToGrid/>
        <w:spacing w:after="145" w:afterLines="50" w:line="480" w:lineRule="exact"/>
        <w:ind w:firstLine="420" w:firstLineChars="200"/>
        <w:textAlignment w:val="auto"/>
        <w:rPr>
          <w:rFonts w:ascii="仿宋" w:hAnsi="仿宋" w:eastAsia="仿宋" w:cs="仿宋"/>
          <w:sz w:val="24"/>
          <w:lang w:val="zh-CN"/>
        </w:rPr>
      </w:pPr>
      <w:r>
        <w:rPr>
          <w:rFonts w:hint="default" w:ascii="Times New Roman" w:hAnsi="Times New Roman" w:eastAsia="宋体" w:cs="Times New Roman"/>
          <w:bCs/>
          <w:color w:val="auto"/>
          <w:kern w:val="2"/>
          <w:sz w:val="21"/>
          <w:szCs w:val="21"/>
          <w:highlight w:val="none"/>
          <w:lang w:val="en-US" w:eastAsia="zh-CN" w:bidi="ar-SA"/>
        </w:rPr>
        <w:t>36.7</w:t>
      </w:r>
      <w:r>
        <w:rPr>
          <w:rFonts w:hint="default" w:ascii="Times New Roman" w:hAnsi="Times New Roman" w:eastAsia="宋体" w:cs="Times New Roman"/>
          <w:bCs/>
          <w:color w:val="auto"/>
          <w:kern w:val="2"/>
          <w:sz w:val="21"/>
          <w:szCs w:val="21"/>
          <w:highlight w:val="none"/>
          <w:lang w:val="zh-CN" w:eastAsia="zh-CN" w:bidi="ar-SA"/>
        </w:rPr>
        <w:t>因处理投诉发生的第三方检验、检测、鉴定等费用，由提出申请的投标人先行垫付。投诉处理决定明确双方责任后，按照“谁过错谁负担”的原则由承担责任的一方负担；双方都有责任的，由双方合理分担。</w:t>
      </w:r>
    </w:p>
    <w:p w14:paraId="28602D70">
      <w:pPr>
        <w:pageBreakBefore w:val="0"/>
        <w:tabs>
          <w:tab w:val="left" w:pos="900"/>
        </w:tabs>
        <w:spacing w:line="520" w:lineRule="exact"/>
        <w:ind w:left="0" w:right="0" w:firstLine="482"/>
        <w:jc w:val="center"/>
        <w:rPr>
          <w:rFonts w:ascii="Times New Roman" w:hAnsi="Times New Roman" w:eastAsia="黑体" w:cs="Times New Roman"/>
          <w:bCs/>
          <w:sz w:val="44"/>
        </w:rPr>
      </w:pPr>
      <w:r>
        <w:rPr>
          <w:rFonts w:ascii="Times New Roman" w:hAnsi="Times New Roman" w:eastAsia="宋体" w:cs="Times New Roman"/>
          <w:b/>
          <w:strike/>
          <w:sz w:val="24"/>
          <w:szCs w:val="24"/>
        </w:rPr>
        <w:br w:type="page" w:clear="all"/>
      </w:r>
      <w:r>
        <w:rPr>
          <w:rFonts w:ascii="Times New Roman" w:hAnsi="Times New Roman" w:eastAsia="黑体" w:cs="Times New Roman"/>
          <w:bCs/>
          <w:sz w:val="44"/>
        </w:rPr>
        <w:t>第三章  合同条款</w:t>
      </w:r>
      <w:bookmarkEnd w:id="52"/>
      <w:bookmarkEnd w:id="53"/>
      <w:bookmarkEnd w:id="54"/>
      <w:bookmarkEnd w:id="55"/>
      <w:bookmarkEnd w:id="56"/>
    </w:p>
    <w:p w14:paraId="749CA21B">
      <w:pPr>
        <w:keepNext w:val="0"/>
        <w:keepLines w:val="0"/>
        <w:pageBreakBefore w:val="0"/>
        <w:widowControl w:val="0"/>
        <w:spacing w:line="500" w:lineRule="exact"/>
        <w:ind w:firstLine="480"/>
        <w:rPr>
          <w:rFonts w:ascii="Times New Roman" w:hAnsi="Times New Roman" w:eastAsia="宋体" w:cs="Times New Roman"/>
          <w:bCs/>
          <w:color w:val="000000"/>
          <w:sz w:val="24"/>
          <w:highlight w:val="none"/>
        </w:rPr>
      </w:pPr>
      <w:r>
        <w:rPr>
          <w:rFonts w:ascii="Times New Roman" w:hAnsi="Times New Roman" w:eastAsia="宋体" w:cs="Times New Roman"/>
          <w:bCs/>
          <w:color w:val="000000"/>
          <w:sz w:val="24"/>
          <w:highlight w:val="none"/>
        </w:rPr>
        <w:t>*（以下为中标后签定本项目合同的通用条款，中标供应商不得提出实质性的修改，关于专用条款将由采购人与中标供应商结合本项目具体情况协商后签订</w:t>
      </w:r>
      <w:r>
        <w:rPr>
          <w:rFonts w:ascii="Times New Roman" w:hAnsi="Times New Roman" w:eastAsia="宋体" w:cs="Times New Roman"/>
          <w:bCs/>
          <w:color w:val="000000"/>
          <w:sz w:val="24"/>
          <w:highlight w:val="none"/>
          <w:lang w:eastAsia="zh-CN"/>
        </w:rPr>
        <w:t>，</w:t>
      </w:r>
      <w:r>
        <w:rPr>
          <w:rFonts w:ascii="Times New Roman" w:hAnsi="Times New Roman" w:eastAsia="宋体" w:cs="Times New Roman"/>
          <w:bCs/>
          <w:color w:val="000000"/>
          <w:sz w:val="24"/>
          <w:highlight w:val="none"/>
        </w:rPr>
        <w:t>如有补充条款的，应当符合法律法规的相关规定。）</w:t>
      </w:r>
    </w:p>
    <w:p w14:paraId="58C94C69">
      <w:pPr>
        <w:keepNext w:val="0"/>
        <w:keepLines w:val="0"/>
        <w:pageBreakBefore w:val="0"/>
        <w:widowControl w:val="0"/>
        <w:spacing w:before="145" w:after="145"/>
        <w:jc w:val="center"/>
        <w:rPr>
          <w:rFonts w:ascii="Times New Roman" w:hAnsi="Times New Roman" w:eastAsia="等线" w:cs="Times New Roman"/>
          <w:b/>
          <w:color w:val="000000"/>
          <w:sz w:val="30"/>
          <w:highlight w:val="none"/>
        </w:rPr>
      </w:pPr>
    </w:p>
    <w:p w14:paraId="3C719E9D">
      <w:pPr>
        <w:keepNext w:val="0"/>
        <w:keepLines w:val="0"/>
        <w:pageBreakBefore w:val="0"/>
        <w:widowControl w:val="0"/>
        <w:spacing w:before="145" w:after="145"/>
        <w:jc w:val="center"/>
        <w:rPr>
          <w:rFonts w:ascii="Times New Roman" w:hAnsi="Times New Roman" w:eastAsia="等线" w:cs="Times New Roman"/>
          <w:b/>
          <w:color w:val="000000"/>
          <w:sz w:val="30"/>
          <w:highlight w:val="none"/>
        </w:rPr>
      </w:pPr>
    </w:p>
    <w:p w14:paraId="6D1F3C6F">
      <w:pPr>
        <w:keepNext w:val="0"/>
        <w:keepLines w:val="0"/>
        <w:pageBreakBefore w:val="0"/>
        <w:widowControl w:val="0"/>
        <w:spacing w:before="145" w:after="145"/>
        <w:jc w:val="center"/>
        <w:outlineLvl w:val="1"/>
        <w:rPr>
          <w:rFonts w:ascii="Times New Roman" w:hAnsi="Times New Roman" w:eastAsia="宋体" w:cs="Times New Roman"/>
          <w:b/>
          <w:color w:val="000000"/>
          <w:sz w:val="40"/>
          <w:szCs w:val="28"/>
          <w:highlight w:val="none"/>
        </w:rPr>
      </w:pPr>
      <w:r>
        <w:rPr>
          <w:rFonts w:ascii="Times New Roman" w:hAnsi="Times New Roman" w:eastAsia="宋体" w:cs="Times New Roman"/>
          <w:b/>
          <w:color w:val="000000"/>
          <w:sz w:val="44"/>
          <w:szCs w:val="32"/>
          <w:highlight w:val="none"/>
        </w:rPr>
        <w:t>滨海县政府采购合同书</w:t>
      </w:r>
    </w:p>
    <w:p w14:paraId="1C5A8612">
      <w:pPr>
        <w:keepNext w:val="0"/>
        <w:keepLines w:val="0"/>
        <w:pageBreakBefore w:val="0"/>
        <w:widowControl w:val="0"/>
        <w:spacing w:before="145" w:after="145"/>
        <w:jc w:val="center"/>
        <w:rPr>
          <w:rFonts w:ascii="Times New Roman" w:hAnsi="Times New Roman" w:eastAsia="等线" w:cs="Times New Roman"/>
          <w:b/>
          <w:color w:val="000000"/>
          <w:sz w:val="40"/>
          <w:szCs w:val="28"/>
          <w:highlight w:val="none"/>
        </w:rPr>
      </w:pPr>
    </w:p>
    <w:p w14:paraId="64136D63">
      <w:pPr>
        <w:keepNext w:val="0"/>
        <w:keepLines w:val="0"/>
        <w:pageBreakBefore w:val="0"/>
        <w:widowControl w:val="0"/>
        <w:spacing w:before="145" w:after="145"/>
        <w:jc w:val="center"/>
        <w:rPr>
          <w:rFonts w:ascii="Times New Roman" w:hAnsi="Times New Roman" w:eastAsia="等线" w:cs="Times New Roman"/>
          <w:b/>
          <w:color w:val="000000"/>
          <w:sz w:val="40"/>
          <w:szCs w:val="28"/>
          <w:highlight w:val="none"/>
        </w:rPr>
      </w:pPr>
    </w:p>
    <w:p w14:paraId="345B1128">
      <w:pPr>
        <w:keepNext w:val="0"/>
        <w:keepLines w:val="0"/>
        <w:pageBreakBefore w:val="0"/>
        <w:widowControl w:val="0"/>
        <w:spacing w:before="145" w:after="145" w:line="360" w:lineRule="auto"/>
        <w:ind w:left="630"/>
        <w:jc w:val="left"/>
        <w:outlineLvl w:val="1"/>
        <w:rPr>
          <w:rFonts w:ascii="Times New Roman" w:hAnsi="Times New Roman" w:eastAsia="宋体" w:cs="Times New Roman"/>
          <w:bCs/>
          <w:color w:val="000000"/>
          <w:sz w:val="28"/>
          <w:szCs w:val="28"/>
          <w:highlight w:val="none"/>
          <w:lang w:eastAsia="zh-CN"/>
        </w:rPr>
      </w:pPr>
      <w:r>
        <w:rPr>
          <w:rFonts w:ascii="Times New Roman" w:hAnsi="Times New Roman" w:eastAsia="宋体" w:cs="Times New Roman"/>
          <w:bCs/>
          <w:color w:val="000000"/>
          <w:sz w:val="28"/>
          <w:szCs w:val="28"/>
          <w:highlight w:val="none"/>
        </w:rPr>
        <w:t>采购项目名称：</w:t>
      </w:r>
      <w:r>
        <w:rPr>
          <w:rFonts w:hint="eastAsia" w:cs="Times New Roman"/>
          <w:bCs/>
          <w:color w:val="000000"/>
          <w:sz w:val="28"/>
          <w:szCs w:val="28"/>
          <w:highlight w:val="none"/>
          <w:lang w:eastAsia="zh-CN"/>
        </w:rPr>
        <w:t>滨海县界牌镇村庄规划编制项目</w:t>
      </w:r>
    </w:p>
    <w:p w14:paraId="2CCDBF0F">
      <w:pPr>
        <w:keepNext w:val="0"/>
        <w:keepLines w:val="0"/>
        <w:pageBreakBefore w:val="0"/>
        <w:widowControl w:val="0"/>
        <w:spacing w:before="145" w:after="145" w:line="360" w:lineRule="auto"/>
        <w:ind w:left="630"/>
        <w:jc w:val="left"/>
        <w:outlineLvl w:val="1"/>
        <w:rPr>
          <w:rFonts w:hint="eastAsia" w:cs="Times New Roman"/>
          <w:bCs/>
          <w:color w:val="000000"/>
          <w:sz w:val="28"/>
          <w:szCs w:val="28"/>
          <w:highlight w:val="none"/>
          <w:lang w:eastAsia="zh-CN"/>
        </w:rPr>
      </w:pPr>
      <w:r>
        <w:rPr>
          <w:rFonts w:ascii="Times New Roman" w:hAnsi="Times New Roman" w:eastAsia="宋体" w:cs="Times New Roman"/>
          <w:bCs/>
          <w:color w:val="000000"/>
          <w:sz w:val="28"/>
          <w:szCs w:val="28"/>
          <w:highlight w:val="none"/>
        </w:rPr>
        <w:t>采购项目编号：</w:t>
      </w:r>
      <w:r>
        <w:rPr>
          <w:rFonts w:hint="eastAsia" w:cs="Times New Roman"/>
          <w:bCs/>
          <w:color w:val="000000"/>
          <w:sz w:val="28"/>
          <w:szCs w:val="28"/>
          <w:highlight w:val="none"/>
          <w:lang w:eastAsia="zh-CN"/>
        </w:rPr>
        <w:t>JSZC-320922-JSJS-G2024-0009</w:t>
      </w:r>
    </w:p>
    <w:p w14:paraId="31BC9773">
      <w:pPr>
        <w:keepNext w:val="0"/>
        <w:keepLines w:val="0"/>
        <w:pageBreakBefore w:val="0"/>
        <w:widowControl w:val="0"/>
        <w:spacing w:before="145" w:after="145" w:line="360" w:lineRule="auto"/>
        <w:ind w:left="630"/>
        <w:jc w:val="left"/>
        <w:outlineLvl w:val="1"/>
        <w:rPr>
          <w:rFonts w:ascii="Times New Roman" w:hAnsi="Times New Roman" w:eastAsia="宋体" w:cs="Times New Roman"/>
          <w:bCs/>
          <w:color w:val="000000"/>
          <w:sz w:val="28"/>
          <w:szCs w:val="28"/>
          <w:highlight w:val="none"/>
          <w:lang w:eastAsia="zh-CN"/>
        </w:rPr>
      </w:pPr>
      <w:r>
        <w:rPr>
          <w:rFonts w:ascii="Times New Roman" w:hAnsi="Times New Roman" w:eastAsia="宋体" w:cs="Times New Roman"/>
          <w:bCs/>
          <w:color w:val="000000"/>
          <w:sz w:val="28"/>
          <w:szCs w:val="28"/>
          <w:highlight w:val="none"/>
        </w:rPr>
        <w:t>采购人：</w:t>
      </w:r>
      <w:r>
        <w:rPr>
          <w:rFonts w:hint="eastAsia" w:cs="Times New Roman"/>
          <w:bCs/>
          <w:color w:val="000000"/>
          <w:sz w:val="28"/>
          <w:szCs w:val="28"/>
          <w:highlight w:val="none"/>
          <w:lang w:eastAsia="zh-CN"/>
        </w:rPr>
        <w:t>滨海县界牌镇人民政府</w:t>
      </w:r>
    </w:p>
    <w:p w14:paraId="3C85B925">
      <w:pPr>
        <w:keepNext w:val="0"/>
        <w:keepLines w:val="0"/>
        <w:pageBreakBefore w:val="0"/>
        <w:widowControl w:val="0"/>
        <w:spacing w:before="145" w:after="145" w:line="360" w:lineRule="auto"/>
        <w:ind w:left="630"/>
        <w:jc w:val="left"/>
        <w:outlineLvl w:val="1"/>
        <w:rPr>
          <w:rFonts w:ascii="Times New Roman" w:hAnsi="Times New Roman" w:eastAsia="宋体" w:cs="Times New Roman"/>
          <w:bCs/>
          <w:color w:val="000000"/>
          <w:sz w:val="28"/>
          <w:szCs w:val="28"/>
          <w:highlight w:val="none"/>
        </w:rPr>
      </w:pPr>
      <w:r>
        <w:rPr>
          <w:rFonts w:ascii="Times New Roman" w:hAnsi="Times New Roman" w:eastAsia="宋体" w:cs="Times New Roman"/>
          <w:bCs/>
          <w:color w:val="000000"/>
          <w:sz w:val="28"/>
          <w:szCs w:val="28"/>
          <w:highlight w:val="none"/>
        </w:rPr>
        <w:t>供应商：（</w:t>
      </w:r>
      <w:r>
        <w:rPr>
          <w:rFonts w:ascii="Times New Roman" w:hAnsi="Times New Roman" w:eastAsia="宋体" w:cs="Times New Roman"/>
          <w:bCs/>
          <w:color w:val="000000"/>
          <w:sz w:val="28"/>
          <w:szCs w:val="28"/>
          <w:highlight w:val="none"/>
          <w:lang w:eastAsia="zh-CN"/>
        </w:rPr>
        <w:t>中标人</w:t>
      </w:r>
      <w:r>
        <w:rPr>
          <w:rFonts w:ascii="Times New Roman" w:hAnsi="Times New Roman" w:eastAsia="宋体" w:cs="Times New Roman"/>
          <w:bCs/>
          <w:color w:val="000000"/>
          <w:sz w:val="28"/>
          <w:szCs w:val="28"/>
          <w:highlight w:val="none"/>
        </w:rPr>
        <w:t>）</w:t>
      </w:r>
    </w:p>
    <w:p w14:paraId="3F562B6E">
      <w:pPr>
        <w:keepNext w:val="0"/>
        <w:keepLines w:val="0"/>
        <w:pageBreakBefore w:val="0"/>
        <w:widowControl w:val="0"/>
        <w:spacing w:before="145" w:after="145" w:line="360" w:lineRule="auto"/>
        <w:ind w:left="630"/>
        <w:jc w:val="left"/>
        <w:rPr>
          <w:rFonts w:ascii="Times New Roman" w:hAnsi="Times New Roman" w:eastAsia="宋体" w:cs="Times New Roman"/>
          <w:bCs/>
          <w:color w:val="000000"/>
          <w:sz w:val="28"/>
          <w:szCs w:val="28"/>
          <w:highlight w:val="none"/>
        </w:rPr>
      </w:pPr>
    </w:p>
    <w:p w14:paraId="27139BAF">
      <w:pPr>
        <w:keepNext w:val="0"/>
        <w:keepLines w:val="0"/>
        <w:pageBreakBefore w:val="0"/>
        <w:widowControl w:val="0"/>
        <w:spacing w:before="145" w:after="145" w:line="360" w:lineRule="auto"/>
        <w:ind w:left="630"/>
        <w:jc w:val="left"/>
        <w:outlineLvl w:val="1"/>
        <w:rPr>
          <w:rFonts w:ascii="Times New Roman" w:hAnsi="Times New Roman" w:eastAsia="宋体" w:cs="Times New Roman"/>
          <w:bCs/>
          <w:color w:val="000000"/>
          <w:sz w:val="28"/>
          <w:szCs w:val="28"/>
          <w:highlight w:val="none"/>
        </w:rPr>
        <w:sectPr>
          <w:footerReference r:id="rId3" w:type="default"/>
          <w:pgSz w:w="11906" w:h="16838"/>
          <w:pgMar w:top="1440" w:right="1080" w:bottom="1440" w:left="1080" w:header="851" w:footer="992" w:gutter="0"/>
          <w:pgBorders>
            <w:top w:val="none" w:sz="0" w:space="0"/>
            <w:left w:val="none" w:sz="0" w:space="0"/>
            <w:bottom w:val="none" w:sz="0" w:space="0"/>
            <w:right w:val="none" w:sz="0" w:space="0"/>
          </w:pgBorders>
          <w:pgNumType w:start="1"/>
          <w:cols w:space="1701" w:num="1"/>
          <w:docGrid w:linePitch="360" w:charSpace="0"/>
        </w:sectPr>
      </w:pPr>
      <w:r>
        <w:rPr>
          <w:rFonts w:ascii="Times New Roman" w:hAnsi="Times New Roman" w:eastAsia="宋体" w:cs="Times New Roman"/>
          <w:bCs/>
          <w:color w:val="000000"/>
          <w:sz w:val="28"/>
          <w:szCs w:val="28"/>
          <w:highlight w:val="none"/>
        </w:rPr>
        <w:t>合同签订时间：   年   月   日</w:t>
      </w:r>
    </w:p>
    <w:p w14:paraId="02F89119">
      <w:pPr>
        <w:keepNext w:val="0"/>
        <w:keepLines w:val="0"/>
        <w:pageBreakBefore w:val="0"/>
        <w:widowControl w:val="0"/>
        <w:kinsoku/>
        <w:wordWrap w:val="0"/>
        <w:overflowPunct/>
        <w:topLinePunct w:val="0"/>
        <w:bidi w:val="0"/>
        <w:rPr>
          <w:rFonts w:hint="eastAsia" w:ascii="等线" w:hAnsi="等线" w:eastAsia="等线" w:cs="等线"/>
          <w:color w:val="auto"/>
          <w:highlight w:val="none"/>
        </w:rPr>
      </w:pPr>
      <w:bookmarkStart w:id="193" w:name="_Hlt16619369"/>
      <w:bookmarkEnd w:id="193"/>
      <w:bookmarkStart w:id="194" w:name="_Hlt16619350"/>
      <w:bookmarkStart w:id="195" w:name="_Toc120614244"/>
      <w:bookmarkStart w:id="196" w:name="_Toc20823346"/>
      <w:bookmarkStart w:id="197" w:name="_Toc16938590"/>
      <w:bookmarkStart w:id="198" w:name="_Toc479757211"/>
      <w:bookmarkStart w:id="199" w:name="_Toc462564139"/>
    </w:p>
    <w:p w14:paraId="3134493D">
      <w:pPr>
        <w:spacing w:line="420" w:lineRule="auto"/>
        <w:ind w:firstLine="480"/>
        <w:rPr>
          <w:rFonts w:hint="eastAsia" w:ascii="宋体" w:hAnsi="宋体" w:eastAsia="宋体" w:cs="宋体"/>
          <w:sz w:val="21"/>
          <w:szCs w:val="21"/>
        </w:rPr>
      </w:pPr>
      <w:r>
        <w:rPr>
          <w:rFonts w:hint="eastAsia" w:ascii="宋体" w:hAnsi="宋体" w:eastAsia="宋体" w:cs="宋体"/>
          <w:sz w:val="21"/>
          <w:szCs w:val="21"/>
        </w:rPr>
        <w:t>采购单位（甲方）：</w:t>
      </w:r>
    </w:p>
    <w:p w14:paraId="6309CCDE">
      <w:pPr>
        <w:spacing w:line="420" w:lineRule="auto"/>
        <w:ind w:firstLine="480"/>
        <w:rPr>
          <w:rFonts w:hint="eastAsia" w:ascii="宋体" w:hAnsi="宋体" w:eastAsia="宋体" w:cs="宋体"/>
          <w:sz w:val="21"/>
          <w:szCs w:val="21"/>
        </w:rPr>
      </w:pPr>
      <w:r>
        <w:rPr>
          <w:rFonts w:hint="eastAsia" w:ascii="宋体" w:hAnsi="宋体" w:eastAsia="宋体" w:cs="宋体"/>
          <w:sz w:val="21"/>
          <w:szCs w:val="21"/>
        </w:rPr>
        <w:t>中标单位（乙方）：</w:t>
      </w:r>
    </w:p>
    <w:p w14:paraId="114A7459">
      <w:pPr>
        <w:spacing w:line="420" w:lineRule="auto"/>
        <w:ind w:firstLine="480"/>
        <w:rPr>
          <w:rFonts w:hint="eastAsia" w:ascii="宋体" w:hAnsi="宋体" w:eastAsia="宋体" w:cs="宋体"/>
          <w:b/>
          <w:sz w:val="21"/>
          <w:szCs w:val="21"/>
        </w:rPr>
      </w:pPr>
      <w:r>
        <w:rPr>
          <w:rFonts w:hint="eastAsia" w:ascii="宋体" w:hAnsi="宋体" w:eastAsia="宋体" w:cs="宋体"/>
          <w:sz w:val="21"/>
          <w:szCs w:val="21"/>
        </w:rPr>
        <w:t>根据《中华人民共和国政府采购法》、《中华人民共和国民法典》等相关行业法律法规文件的规定，甲、乙双方按照</w:t>
      </w:r>
      <w:r>
        <w:rPr>
          <w:rFonts w:hint="eastAsia" w:ascii="宋体" w:hAnsi="宋体" w:eastAsia="宋体" w:cs="宋体"/>
          <w:sz w:val="21"/>
          <w:szCs w:val="21"/>
          <w:u w:val="single"/>
        </w:rPr>
        <w:t xml:space="preserve">             </w:t>
      </w:r>
      <w:r>
        <w:rPr>
          <w:rFonts w:hint="eastAsia" w:ascii="宋体" w:hAnsi="宋体" w:eastAsia="宋体" w:cs="宋体"/>
          <w:sz w:val="21"/>
          <w:szCs w:val="21"/>
        </w:rPr>
        <w:t>的招标结果，签订本协议。</w:t>
      </w:r>
    </w:p>
    <w:p w14:paraId="4DAEB6B2">
      <w:pPr>
        <w:numPr>
          <w:ilvl w:val="0"/>
          <w:numId w:val="6"/>
        </w:numPr>
        <w:spacing w:line="420" w:lineRule="auto"/>
        <w:ind w:firstLine="482"/>
        <w:rPr>
          <w:rFonts w:hint="eastAsia" w:ascii="宋体" w:hAnsi="宋体" w:eastAsia="宋体" w:cs="宋体"/>
          <w:b/>
          <w:sz w:val="21"/>
          <w:szCs w:val="21"/>
        </w:rPr>
      </w:pPr>
      <w:r>
        <w:rPr>
          <w:rFonts w:hint="eastAsia" w:ascii="宋体" w:hAnsi="宋体" w:eastAsia="宋体" w:cs="宋体"/>
          <w:b/>
          <w:sz w:val="21"/>
          <w:szCs w:val="21"/>
        </w:rPr>
        <w:t>、服务范围</w:t>
      </w:r>
    </w:p>
    <w:p w14:paraId="6708ED5E">
      <w:pPr>
        <w:spacing w:line="420" w:lineRule="auto"/>
        <w:ind w:firstLine="480"/>
        <w:rPr>
          <w:rFonts w:hint="eastAsia" w:ascii="宋体" w:hAnsi="宋体" w:eastAsia="宋体" w:cs="宋体"/>
          <w:sz w:val="21"/>
          <w:szCs w:val="21"/>
        </w:rPr>
      </w:pPr>
      <w:r>
        <w:rPr>
          <w:rFonts w:hint="eastAsia" w:ascii="宋体" w:hAnsi="宋体" w:eastAsia="宋体" w:cs="宋体"/>
          <w:sz w:val="21"/>
          <w:szCs w:val="21"/>
        </w:rPr>
        <w:t>甲方聘请乙方提供以下服务：</w:t>
      </w:r>
    </w:p>
    <w:p w14:paraId="0A393B7B">
      <w:pPr>
        <w:spacing w:line="360" w:lineRule="auto"/>
        <w:ind w:firstLine="480"/>
        <w:contextualSpacing/>
        <w:rPr>
          <w:rFonts w:hint="eastAsia" w:ascii="宋体" w:hAnsi="宋体" w:eastAsia="宋体" w:cs="宋体"/>
          <w:sz w:val="21"/>
          <w:szCs w:val="21"/>
        </w:rPr>
      </w:pPr>
      <w:r>
        <w:rPr>
          <w:rFonts w:hint="eastAsia" w:ascii="宋体" w:hAnsi="宋体" w:eastAsia="宋体" w:cs="宋体"/>
          <w:sz w:val="21"/>
          <w:szCs w:val="21"/>
        </w:rPr>
        <w:t xml:space="preserve">1.滨海县界牌镇村庄规划编制项目，滨海县界牌镇华林村、界牌村、冲边村、大于庄村、众兴村、双龙港村、新巨村、镇南村以及陆集社区按照《江苏省村庄规划编制指南（2023年版）》中基础版要求编制。（详见招标文件第四章采购需求）       </w:t>
      </w:r>
    </w:p>
    <w:p w14:paraId="501CF766">
      <w:pPr>
        <w:spacing w:line="420" w:lineRule="auto"/>
        <w:ind w:firstLine="480"/>
        <w:rPr>
          <w:rFonts w:hint="eastAsia" w:ascii="宋体" w:hAnsi="宋体" w:eastAsia="宋体" w:cs="宋体"/>
          <w:sz w:val="21"/>
          <w:szCs w:val="21"/>
        </w:rPr>
      </w:pPr>
      <w:r>
        <w:rPr>
          <w:rFonts w:hint="eastAsia" w:ascii="宋体" w:hAnsi="宋体" w:eastAsia="宋体" w:cs="宋体"/>
          <w:sz w:val="21"/>
          <w:szCs w:val="21"/>
        </w:rPr>
        <w:t>2.项目地点：采购人指定地点。</w:t>
      </w:r>
    </w:p>
    <w:p w14:paraId="5B7167E6">
      <w:pPr>
        <w:spacing w:line="360" w:lineRule="auto"/>
        <w:ind w:firstLine="480"/>
        <w:jc w:val="left"/>
        <w:rPr>
          <w:rFonts w:hint="eastAsia" w:ascii="宋体" w:hAnsi="宋体" w:eastAsia="宋体" w:cs="宋体"/>
          <w:sz w:val="21"/>
          <w:szCs w:val="21"/>
        </w:rPr>
      </w:pPr>
      <w:r>
        <w:rPr>
          <w:rFonts w:hint="eastAsia" w:ascii="宋体" w:hAnsi="宋体" w:eastAsia="宋体" w:cs="宋体"/>
          <w:bCs/>
          <w:sz w:val="21"/>
          <w:szCs w:val="21"/>
        </w:rPr>
        <w:t>3.合同履行期限：</w:t>
      </w:r>
      <w:r>
        <w:rPr>
          <w:rFonts w:hint="eastAsia" w:ascii="宋体" w:hAnsi="宋体" w:eastAsia="宋体" w:cs="宋体"/>
          <w:bCs/>
          <w:sz w:val="21"/>
          <w:szCs w:val="21"/>
          <w:lang w:val="en-US" w:eastAsia="zh-CN"/>
        </w:rPr>
        <w:t>签订合同后80日历天内完成村庄规划编制，并完成审批及报备。</w:t>
      </w:r>
    </w:p>
    <w:p w14:paraId="183EB133">
      <w:pPr>
        <w:spacing w:line="360" w:lineRule="auto"/>
        <w:ind w:firstLine="480"/>
        <w:jc w:val="left"/>
        <w:rPr>
          <w:rFonts w:hint="eastAsia" w:ascii="宋体" w:hAnsi="宋体" w:eastAsia="宋体" w:cs="宋体"/>
          <w:bCs/>
          <w:color w:val="000000"/>
          <w:sz w:val="21"/>
          <w:szCs w:val="21"/>
        </w:rPr>
      </w:pPr>
      <w:r>
        <w:rPr>
          <w:rFonts w:hint="eastAsia" w:ascii="宋体" w:hAnsi="宋体" w:eastAsia="宋体" w:cs="宋体"/>
          <w:bCs/>
          <w:color w:val="000000"/>
          <w:sz w:val="21"/>
          <w:szCs w:val="21"/>
        </w:rPr>
        <w:t>4.服务标准：合格</w:t>
      </w:r>
    </w:p>
    <w:p w14:paraId="6DDF0DA8">
      <w:pPr>
        <w:spacing w:line="360" w:lineRule="auto"/>
        <w:ind w:firstLine="480"/>
        <w:jc w:val="left"/>
        <w:rPr>
          <w:rFonts w:hint="eastAsia" w:ascii="宋体" w:hAnsi="宋体" w:eastAsia="宋体" w:cs="宋体"/>
          <w:bCs/>
          <w:color w:val="000000"/>
          <w:sz w:val="21"/>
          <w:szCs w:val="21"/>
        </w:rPr>
      </w:pPr>
      <w:r>
        <w:rPr>
          <w:rFonts w:hint="eastAsia" w:ascii="宋体" w:hAnsi="宋体" w:eastAsia="宋体" w:cs="宋体"/>
          <w:bCs/>
          <w:color w:val="000000"/>
          <w:sz w:val="21"/>
          <w:szCs w:val="21"/>
        </w:rPr>
        <w:t>5.本项目不接受联合体投标。</w:t>
      </w:r>
    </w:p>
    <w:p w14:paraId="0F928C56">
      <w:pPr>
        <w:spacing w:line="420" w:lineRule="auto"/>
        <w:ind w:firstLine="482"/>
        <w:rPr>
          <w:rFonts w:hint="eastAsia" w:ascii="宋体" w:hAnsi="宋体" w:eastAsia="宋体" w:cs="宋体"/>
          <w:sz w:val="21"/>
          <w:szCs w:val="21"/>
        </w:rPr>
      </w:pPr>
      <w:r>
        <w:rPr>
          <w:rFonts w:hint="eastAsia" w:ascii="宋体" w:hAnsi="宋体" w:eastAsia="宋体" w:cs="宋体"/>
          <w:b/>
          <w:bCs/>
          <w:sz w:val="21"/>
          <w:szCs w:val="21"/>
        </w:rPr>
        <w:t>第二条、组成本合同的有关文件</w:t>
      </w:r>
    </w:p>
    <w:p w14:paraId="0BF5DD0E">
      <w:pPr>
        <w:spacing w:line="420" w:lineRule="auto"/>
        <w:ind w:firstLine="480"/>
        <w:rPr>
          <w:rFonts w:hint="eastAsia" w:ascii="宋体" w:hAnsi="宋体" w:eastAsia="宋体" w:cs="宋体"/>
          <w:sz w:val="21"/>
          <w:szCs w:val="21"/>
        </w:rPr>
      </w:pPr>
      <w:r>
        <w:rPr>
          <w:rFonts w:hint="eastAsia" w:ascii="宋体" w:hAnsi="宋体" w:eastAsia="宋体" w:cs="宋体"/>
          <w:sz w:val="21"/>
          <w:szCs w:val="21"/>
        </w:rPr>
        <w:t>下列与本次采购活动有关的文件及有关附件是本合同不可分割的组成部分，与本合同具有同等法律效力，这些文件包括但不限于：</w:t>
      </w:r>
    </w:p>
    <w:p w14:paraId="7993940E">
      <w:pPr>
        <w:numPr>
          <w:ilvl w:val="0"/>
          <w:numId w:val="7"/>
        </w:numPr>
        <w:spacing w:line="420" w:lineRule="auto"/>
        <w:ind w:firstLine="480"/>
        <w:rPr>
          <w:rFonts w:hint="eastAsia" w:ascii="宋体" w:hAnsi="宋体" w:eastAsia="宋体" w:cs="宋体"/>
          <w:sz w:val="21"/>
          <w:szCs w:val="21"/>
        </w:rPr>
      </w:pPr>
      <w:r>
        <w:rPr>
          <w:rFonts w:hint="eastAsia" w:ascii="宋体" w:hAnsi="宋体" w:eastAsia="宋体" w:cs="宋体"/>
          <w:sz w:val="21"/>
          <w:szCs w:val="21"/>
        </w:rPr>
        <w:t>招标采购文件（编号：JSZC-320922-JSJS-G2024-0009）</w:t>
      </w:r>
    </w:p>
    <w:p w14:paraId="0C99BE69">
      <w:pPr>
        <w:numPr>
          <w:ilvl w:val="0"/>
          <w:numId w:val="7"/>
        </w:numPr>
        <w:spacing w:line="420" w:lineRule="auto"/>
        <w:ind w:firstLine="480"/>
        <w:rPr>
          <w:rFonts w:hint="eastAsia" w:ascii="宋体" w:hAnsi="宋体" w:eastAsia="宋体" w:cs="宋体"/>
          <w:sz w:val="21"/>
          <w:szCs w:val="21"/>
        </w:rPr>
      </w:pPr>
      <w:r>
        <w:rPr>
          <w:rFonts w:hint="eastAsia" w:ascii="宋体" w:hAnsi="宋体" w:eastAsia="宋体" w:cs="宋体"/>
          <w:sz w:val="21"/>
          <w:szCs w:val="21"/>
        </w:rPr>
        <w:t>乙方提供的投标文件；</w:t>
      </w:r>
    </w:p>
    <w:p w14:paraId="30DB422D">
      <w:pPr>
        <w:numPr>
          <w:ilvl w:val="0"/>
          <w:numId w:val="7"/>
        </w:numPr>
        <w:spacing w:line="420" w:lineRule="auto"/>
        <w:ind w:firstLine="480"/>
        <w:rPr>
          <w:rFonts w:hint="eastAsia" w:ascii="宋体" w:hAnsi="宋体" w:eastAsia="宋体" w:cs="宋体"/>
          <w:sz w:val="21"/>
          <w:szCs w:val="21"/>
        </w:rPr>
      </w:pPr>
      <w:r>
        <w:rPr>
          <w:rFonts w:hint="eastAsia" w:ascii="宋体" w:hAnsi="宋体" w:eastAsia="宋体" w:cs="宋体"/>
          <w:sz w:val="21"/>
          <w:szCs w:val="21"/>
          <w:lang w:val="zh-CN"/>
        </w:rPr>
        <w:t>乙方在谈判过程中所作的其他承诺、声明、书面澄清等；</w:t>
      </w:r>
    </w:p>
    <w:p w14:paraId="1BE3593F">
      <w:pPr>
        <w:numPr>
          <w:ilvl w:val="0"/>
          <w:numId w:val="7"/>
        </w:numPr>
        <w:spacing w:line="420" w:lineRule="auto"/>
        <w:ind w:firstLine="480"/>
        <w:rPr>
          <w:rFonts w:hint="eastAsia" w:ascii="宋体" w:hAnsi="宋体" w:eastAsia="宋体" w:cs="宋体"/>
          <w:sz w:val="21"/>
          <w:szCs w:val="21"/>
        </w:rPr>
      </w:pPr>
      <w:r>
        <w:rPr>
          <w:rFonts w:hint="eastAsia" w:ascii="宋体" w:hAnsi="宋体" w:eastAsia="宋体" w:cs="宋体"/>
          <w:sz w:val="21"/>
          <w:szCs w:val="21"/>
        </w:rPr>
        <w:t>中标通知书；</w:t>
      </w:r>
    </w:p>
    <w:p w14:paraId="34D59F0D">
      <w:pPr>
        <w:numPr>
          <w:ilvl w:val="0"/>
          <w:numId w:val="7"/>
        </w:numPr>
        <w:spacing w:line="420" w:lineRule="auto"/>
        <w:ind w:firstLine="480"/>
        <w:rPr>
          <w:rFonts w:hint="eastAsia" w:ascii="宋体" w:hAnsi="宋体" w:eastAsia="宋体" w:cs="宋体"/>
          <w:sz w:val="21"/>
          <w:szCs w:val="21"/>
        </w:rPr>
      </w:pPr>
      <w:r>
        <w:rPr>
          <w:rFonts w:hint="eastAsia" w:ascii="宋体" w:hAnsi="宋体" w:eastAsia="宋体" w:cs="宋体"/>
          <w:sz w:val="21"/>
          <w:szCs w:val="21"/>
        </w:rPr>
        <w:t>甲乙双方商定的其他文件等。</w:t>
      </w:r>
    </w:p>
    <w:p w14:paraId="1286FE43">
      <w:pPr>
        <w:spacing w:line="420" w:lineRule="auto"/>
        <w:ind w:firstLine="482"/>
        <w:jc w:val="left"/>
        <w:rPr>
          <w:rFonts w:hint="eastAsia" w:ascii="宋体" w:hAnsi="宋体" w:eastAsia="宋体" w:cs="宋体"/>
          <w:b/>
          <w:bCs/>
          <w:sz w:val="21"/>
          <w:szCs w:val="21"/>
        </w:rPr>
      </w:pPr>
      <w:r>
        <w:rPr>
          <w:rFonts w:hint="eastAsia" w:ascii="宋体" w:hAnsi="宋体" w:eastAsia="宋体" w:cs="宋体"/>
          <w:b/>
          <w:bCs/>
          <w:sz w:val="21"/>
          <w:szCs w:val="21"/>
        </w:rPr>
        <w:t>第三条、合同金额</w:t>
      </w:r>
    </w:p>
    <w:p w14:paraId="7879A39F">
      <w:pPr>
        <w:spacing w:line="420" w:lineRule="auto"/>
        <w:ind w:firstLine="480"/>
        <w:rPr>
          <w:rFonts w:hint="eastAsia" w:ascii="宋体" w:hAnsi="宋体" w:eastAsia="宋体" w:cs="宋体"/>
          <w:sz w:val="21"/>
          <w:szCs w:val="21"/>
          <w:u w:val="single"/>
        </w:rPr>
      </w:pPr>
      <w:r>
        <w:rPr>
          <w:rFonts w:hint="eastAsia" w:ascii="宋体" w:hAnsi="宋体" w:eastAsia="宋体" w:cs="宋体"/>
          <w:sz w:val="21"/>
          <w:szCs w:val="21"/>
        </w:rPr>
        <w:t>合同金额：大写：</w:t>
      </w:r>
      <w:r>
        <w:rPr>
          <w:rFonts w:hint="eastAsia" w:ascii="宋体" w:hAnsi="宋体" w:eastAsia="宋体" w:cs="宋体"/>
          <w:sz w:val="21"/>
          <w:szCs w:val="21"/>
          <w:u w:val="single"/>
        </w:rPr>
        <w:t xml:space="preserve">           </w:t>
      </w:r>
      <w:r>
        <w:rPr>
          <w:rFonts w:hint="eastAsia" w:ascii="宋体" w:hAnsi="宋体" w:eastAsia="宋体" w:cs="宋体"/>
          <w:sz w:val="21"/>
          <w:szCs w:val="21"/>
        </w:rPr>
        <w:t>；小写：</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p>
    <w:p w14:paraId="1430D7F9">
      <w:pPr>
        <w:spacing w:line="420" w:lineRule="auto"/>
        <w:ind w:firstLine="482"/>
        <w:rPr>
          <w:rFonts w:hint="eastAsia" w:ascii="宋体" w:hAnsi="宋体" w:eastAsia="宋体" w:cs="宋体"/>
          <w:b/>
          <w:sz w:val="21"/>
          <w:szCs w:val="21"/>
        </w:rPr>
      </w:pPr>
      <w:r>
        <w:rPr>
          <w:rFonts w:hint="eastAsia" w:ascii="宋体" w:hAnsi="宋体" w:eastAsia="宋体" w:cs="宋体"/>
          <w:b/>
          <w:sz w:val="21"/>
          <w:szCs w:val="21"/>
        </w:rPr>
        <w:t>第四条、支付方式</w:t>
      </w:r>
    </w:p>
    <w:p w14:paraId="0F698506">
      <w:pPr>
        <w:spacing w:line="420" w:lineRule="auto"/>
        <w:ind w:firstLine="480"/>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highlight w:val="none"/>
        </w:rPr>
        <w:t>合同签订生效后7日内，支付合同总额的10%作为预付款(中标人须提供合同总价10%的银行保函)，提交报批成果，取得村庄规划批复，并且将村庄规划成果按照要求汇交到江苏省自然资源厅审查通过后付至合同总金额50%，汇交到江苏省自然资源厅审查通过满一年后结清余款。(均无息,付款及结算时,中标人须提供税务发票)。</w:t>
      </w:r>
    </w:p>
    <w:p w14:paraId="08056169">
      <w:pPr>
        <w:spacing w:line="420" w:lineRule="auto"/>
        <w:ind w:firstLine="482"/>
        <w:rPr>
          <w:rFonts w:hint="eastAsia" w:ascii="宋体" w:hAnsi="宋体" w:eastAsia="宋体" w:cs="宋体"/>
          <w:b/>
          <w:sz w:val="21"/>
          <w:szCs w:val="21"/>
        </w:rPr>
      </w:pPr>
      <w:r>
        <w:rPr>
          <w:rFonts w:hint="eastAsia" w:ascii="宋体" w:hAnsi="宋体" w:eastAsia="宋体" w:cs="宋体"/>
          <w:b/>
          <w:sz w:val="21"/>
          <w:szCs w:val="21"/>
        </w:rPr>
        <w:t>第五条、履约保证金</w:t>
      </w:r>
    </w:p>
    <w:p w14:paraId="29958D33">
      <w:pPr>
        <w:spacing w:line="420" w:lineRule="auto"/>
        <w:ind w:firstLine="480"/>
        <w:rPr>
          <w:rFonts w:hint="eastAsia" w:ascii="宋体" w:hAnsi="宋体" w:eastAsia="宋体" w:cs="宋体"/>
          <w:sz w:val="21"/>
          <w:szCs w:val="21"/>
        </w:rPr>
      </w:pPr>
      <w:r>
        <w:rPr>
          <w:rFonts w:hint="eastAsia" w:ascii="宋体" w:hAnsi="宋体" w:eastAsia="宋体" w:cs="宋体"/>
          <w:sz w:val="21"/>
          <w:szCs w:val="21"/>
        </w:rPr>
        <w:t>乙方交纳人民币______元作为本合同的履约保证金（不超过合同金额的10%）。乙方若在签订采购合同前向甲方提交本单位有效期内的第三方信用报告，且信用评级在AA级及以上的，乙方可享受政府采购供应商履约保证金减免（即为全免）政策（具体减免政策请参见滨办通〔2021〕73号文件）。信用报告是指乙方委托经信用管理部门备案的第三方信用服务机构，按照相关标准出具的综合性信用评价报告。办理第三方信用报告的具体事项请咨询滨海县信用办，联系电话：0515-68982013。</w:t>
      </w:r>
    </w:p>
    <w:p w14:paraId="6126C685">
      <w:pPr>
        <w:spacing w:line="420" w:lineRule="auto"/>
        <w:ind w:firstLine="480"/>
        <w:rPr>
          <w:rFonts w:hint="eastAsia" w:ascii="宋体" w:hAnsi="宋体" w:eastAsia="宋体" w:cs="宋体"/>
          <w:sz w:val="21"/>
          <w:szCs w:val="21"/>
        </w:rPr>
      </w:pPr>
      <w:r>
        <w:rPr>
          <w:rFonts w:hint="eastAsia" w:ascii="宋体" w:hAnsi="宋体" w:eastAsia="宋体" w:cs="宋体"/>
          <w:sz w:val="21"/>
          <w:szCs w:val="21"/>
        </w:rPr>
        <w:t>履约保证金用以约束乙方在合同履行中的行为，弥补合同执行中由于乙方自身行为可能给甲方带来的各种损失。乙方履行合同违约时，甲方按合同约定扣除全部或部分履约保证金。如违约给甲方造成的损失超过履约保证金的，还应当依法赔偿超过部分的损失。</w:t>
      </w:r>
    </w:p>
    <w:p w14:paraId="5B9819AE">
      <w:pPr>
        <w:spacing w:line="420" w:lineRule="auto"/>
        <w:ind w:firstLine="480"/>
        <w:rPr>
          <w:rFonts w:hint="eastAsia" w:ascii="宋体" w:hAnsi="宋体" w:eastAsia="宋体" w:cs="宋体"/>
          <w:sz w:val="21"/>
          <w:szCs w:val="21"/>
        </w:rPr>
      </w:pPr>
      <w:r>
        <w:rPr>
          <w:rFonts w:hint="eastAsia" w:ascii="宋体" w:hAnsi="宋体" w:eastAsia="宋体" w:cs="宋体"/>
          <w:sz w:val="21"/>
          <w:szCs w:val="21"/>
        </w:rPr>
        <w:t>履约保证金的退还：</w:t>
      </w:r>
    </w:p>
    <w:p w14:paraId="006C7945">
      <w:pPr>
        <w:spacing w:line="420" w:lineRule="auto"/>
        <w:ind w:firstLine="480"/>
        <w:rPr>
          <w:rFonts w:hint="eastAsia" w:ascii="宋体" w:hAnsi="宋体" w:eastAsia="宋体" w:cs="宋体"/>
          <w:sz w:val="21"/>
          <w:szCs w:val="21"/>
        </w:rPr>
      </w:pPr>
      <w:r>
        <w:rPr>
          <w:rFonts w:hint="eastAsia" w:ascii="宋体" w:hAnsi="宋体" w:eastAsia="宋体" w:cs="宋体"/>
          <w:sz w:val="21"/>
          <w:szCs w:val="21"/>
        </w:rPr>
        <w:t>1.方式：退还至投标人缴纳履约保证金的账户。如为保函，在到期时自行失效。</w:t>
      </w:r>
    </w:p>
    <w:p w14:paraId="7AC2F787">
      <w:pPr>
        <w:spacing w:line="420" w:lineRule="auto"/>
        <w:ind w:firstLine="480"/>
        <w:rPr>
          <w:rFonts w:hint="eastAsia" w:ascii="宋体" w:hAnsi="宋体" w:eastAsia="宋体" w:cs="宋体"/>
          <w:sz w:val="21"/>
          <w:szCs w:val="21"/>
        </w:rPr>
      </w:pPr>
      <w:r>
        <w:rPr>
          <w:rFonts w:hint="eastAsia" w:ascii="宋体" w:hAnsi="宋体" w:eastAsia="宋体" w:cs="宋体"/>
          <w:sz w:val="21"/>
          <w:szCs w:val="21"/>
        </w:rPr>
        <w:t>2.时间：验收合格且采购人收到发票后10工作日内。</w:t>
      </w:r>
    </w:p>
    <w:p w14:paraId="72F9BB0A">
      <w:pPr>
        <w:spacing w:line="420" w:lineRule="auto"/>
        <w:ind w:firstLine="480"/>
        <w:rPr>
          <w:rFonts w:hint="eastAsia" w:ascii="宋体" w:hAnsi="宋体" w:eastAsia="宋体" w:cs="宋体"/>
          <w:sz w:val="21"/>
          <w:szCs w:val="21"/>
        </w:rPr>
      </w:pPr>
      <w:r>
        <w:rPr>
          <w:rFonts w:hint="eastAsia" w:ascii="宋体" w:hAnsi="宋体" w:eastAsia="宋体" w:cs="宋体"/>
          <w:sz w:val="21"/>
          <w:szCs w:val="21"/>
        </w:rPr>
        <w:t>3.条件：按合同要求全部履约完成并经采购人验收合格，且采购人收到中标人出具的发票。</w:t>
      </w:r>
    </w:p>
    <w:p w14:paraId="6E4DBDE3">
      <w:pPr>
        <w:spacing w:line="420" w:lineRule="auto"/>
        <w:ind w:firstLine="480"/>
        <w:rPr>
          <w:rFonts w:hint="eastAsia" w:ascii="宋体" w:hAnsi="宋体" w:eastAsia="宋体" w:cs="宋体"/>
          <w:sz w:val="21"/>
          <w:szCs w:val="21"/>
        </w:rPr>
      </w:pPr>
      <w:r>
        <w:rPr>
          <w:rFonts w:hint="eastAsia" w:ascii="宋体" w:hAnsi="宋体" w:eastAsia="宋体" w:cs="宋体"/>
          <w:sz w:val="21"/>
          <w:szCs w:val="21"/>
        </w:rPr>
        <w:t>4.不予退还情形：</w:t>
      </w:r>
    </w:p>
    <w:p w14:paraId="4804DF21">
      <w:pPr>
        <w:spacing w:line="420" w:lineRule="auto"/>
        <w:ind w:firstLine="480"/>
        <w:rPr>
          <w:rFonts w:hint="eastAsia" w:ascii="宋体" w:hAnsi="宋体" w:eastAsia="宋体" w:cs="宋体"/>
          <w:sz w:val="21"/>
          <w:szCs w:val="21"/>
        </w:rPr>
      </w:pPr>
      <w:r>
        <w:rPr>
          <w:rFonts w:hint="eastAsia" w:ascii="宋体" w:hAnsi="宋体" w:eastAsia="宋体" w:cs="宋体"/>
          <w:sz w:val="21"/>
          <w:szCs w:val="21"/>
        </w:rPr>
        <w:t>除不可抗力情况外，投标人出现下列情形之一的，其履约保证金，招标人将视情节决定不予退还或部分不予退还。</w:t>
      </w:r>
    </w:p>
    <w:p w14:paraId="2B090703">
      <w:pPr>
        <w:spacing w:line="420" w:lineRule="auto"/>
        <w:ind w:firstLine="480"/>
        <w:rPr>
          <w:rFonts w:hint="eastAsia" w:ascii="宋体" w:hAnsi="宋体" w:eastAsia="宋体" w:cs="宋体"/>
          <w:sz w:val="21"/>
          <w:szCs w:val="21"/>
        </w:rPr>
      </w:pPr>
      <w:r>
        <w:rPr>
          <w:rFonts w:hint="eastAsia" w:ascii="宋体" w:hAnsi="宋体" w:eastAsia="宋体" w:cs="宋体"/>
          <w:sz w:val="21"/>
          <w:szCs w:val="21"/>
        </w:rPr>
        <w:t>（1）中标人无正当理由拒绝签订合同的，或者在签订合同时向采购人提出附加条件或者更改合同实质性内容要求的；</w:t>
      </w:r>
    </w:p>
    <w:p w14:paraId="61B69A08">
      <w:pPr>
        <w:spacing w:line="420" w:lineRule="auto"/>
        <w:ind w:firstLine="480"/>
        <w:rPr>
          <w:rFonts w:hint="eastAsia" w:ascii="宋体" w:hAnsi="宋体" w:eastAsia="宋体" w:cs="宋体"/>
          <w:sz w:val="21"/>
          <w:szCs w:val="21"/>
        </w:rPr>
      </w:pPr>
      <w:r>
        <w:rPr>
          <w:rFonts w:hint="eastAsia" w:ascii="宋体" w:hAnsi="宋体" w:eastAsia="宋体" w:cs="宋体"/>
          <w:sz w:val="21"/>
          <w:szCs w:val="21"/>
        </w:rPr>
        <w:t>（2）中标人不履行与采购人订立的合同的；</w:t>
      </w:r>
    </w:p>
    <w:p w14:paraId="7B5D19A5">
      <w:pPr>
        <w:spacing w:line="420" w:lineRule="auto"/>
        <w:ind w:firstLine="480"/>
        <w:rPr>
          <w:rFonts w:hint="eastAsia" w:ascii="宋体" w:hAnsi="宋体" w:eastAsia="宋体" w:cs="宋体"/>
          <w:sz w:val="21"/>
          <w:szCs w:val="21"/>
        </w:rPr>
      </w:pPr>
      <w:r>
        <w:rPr>
          <w:rFonts w:hint="eastAsia" w:ascii="宋体" w:hAnsi="宋体" w:eastAsia="宋体" w:cs="宋体"/>
          <w:sz w:val="21"/>
          <w:szCs w:val="21"/>
        </w:rPr>
        <w:t>（3）中标人所供货物或服务不符合招标文件规定要求的；</w:t>
      </w:r>
    </w:p>
    <w:p w14:paraId="5F906886">
      <w:pPr>
        <w:spacing w:line="420" w:lineRule="auto"/>
        <w:ind w:firstLine="480"/>
        <w:rPr>
          <w:rFonts w:hint="eastAsia" w:ascii="宋体" w:hAnsi="宋体" w:eastAsia="宋体" w:cs="宋体"/>
          <w:sz w:val="21"/>
          <w:szCs w:val="21"/>
        </w:rPr>
      </w:pPr>
      <w:r>
        <w:rPr>
          <w:rFonts w:hint="eastAsia" w:ascii="宋体" w:hAnsi="宋体" w:eastAsia="宋体" w:cs="宋体"/>
          <w:sz w:val="21"/>
          <w:szCs w:val="21"/>
        </w:rPr>
        <w:t>（4）中标人采取欺骗、弄虚作假方式投标的或与其它投标人串通投标的；</w:t>
      </w:r>
    </w:p>
    <w:p w14:paraId="2A6A5483">
      <w:pPr>
        <w:spacing w:line="420" w:lineRule="auto"/>
        <w:ind w:firstLine="480"/>
        <w:rPr>
          <w:rFonts w:hint="eastAsia" w:ascii="宋体" w:hAnsi="宋体" w:eastAsia="宋体" w:cs="宋体"/>
          <w:sz w:val="21"/>
          <w:szCs w:val="21"/>
        </w:rPr>
      </w:pPr>
      <w:r>
        <w:rPr>
          <w:rFonts w:hint="eastAsia" w:ascii="宋体" w:hAnsi="宋体" w:eastAsia="宋体" w:cs="宋体"/>
          <w:sz w:val="21"/>
          <w:szCs w:val="21"/>
        </w:rPr>
        <w:t>（5）中标人将合同内容转包、违法分包的；</w:t>
      </w:r>
    </w:p>
    <w:p w14:paraId="611D0E3A">
      <w:pPr>
        <w:spacing w:line="420" w:lineRule="auto"/>
        <w:ind w:firstLine="480"/>
        <w:rPr>
          <w:rFonts w:hint="eastAsia" w:ascii="宋体" w:hAnsi="宋体" w:eastAsia="宋体" w:cs="宋体"/>
          <w:sz w:val="21"/>
          <w:szCs w:val="21"/>
        </w:rPr>
      </w:pPr>
      <w:r>
        <w:rPr>
          <w:rFonts w:hint="eastAsia" w:ascii="宋体" w:hAnsi="宋体" w:eastAsia="宋体" w:cs="宋体"/>
          <w:sz w:val="21"/>
          <w:szCs w:val="21"/>
        </w:rPr>
        <w:t>（6）中标人故意捏造事实或伪造证明材料，进行虚假恶意投诉或反映的。</w:t>
      </w:r>
    </w:p>
    <w:p w14:paraId="60AE6493">
      <w:pPr>
        <w:spacing w:line="420" w:lineRule="auto"/>
        <w:ind w:firstLine="480"/>
        <w:rPr>
          <w:rFonts w:hint="eastAsia" w:ascii="宋体" w:hAnsi="宋体" w:eastAsia="宋体" w:cs="宋体"/>
          <w:sz w:val="21"/>
          <w:szCs w:val="21"/>
        </w:rPr>
      </w:pPr>
      <w:r>
        <w:rPr>
          <w:rFonts w:hint="eastAsia" w:ascii="宋体" w:hAnsi="宋体" w:eastAsia="宋体" w:cs="宋体"/>
          <w:sz w:val="21"/>
          <w:szCs w:val="21"/>
        </w:rPr>
        <w:t xml:space="preserve">逾期退还的违约责任：采购人逾期无故未退还履约保证金的，按中国人民银行同期贷款基准利率上浮20%后的利率支付超期资金占用费，但因供应商自身原因导致无法及时退还的除外。 </w:t>
      </w:r>
    </w:p>
    <w:p w14:paraId="62E56780">
      <w:pPr>
        <w:spacing w:line="420" w:lineRule="auto"/>
        <w:ind w:firstLine="482"/>
        <w:rPr>
          <w:rFonts w:hint="eastAsia" w:ascii="宋体" w:hAnsi="宋体" w:eastAsia="宋体" w:cs="宋体"/>
          <w:b/>
          <w:sz w:val="21"/>
          <w:szCs w:val="21"/>
        </w:rPr>
      </w:pPr>
      <w:r>
        <w:rPr>
          <w:rFonts w:hint="eastAsia" w:ascii="宋体" w:hAnsi="宋体" w:eastAsia="宋体" w:cs="宋体"/>
          <w:b/>
          <w:sz w:val="21"/>
          <w:szCs w:val="21"/>
        </w:rPr>
        <w:t>第六条、本合同涉及的本项目成果的所有权、使用权和著作权归甲方所有。</w:t>
      </w:r>
    </w:p>
    <w:p w14:paraId="5C17EFDE">
      <w:pPr>
        <w:spacing w:line="420" w:lineRule="auto"/>
        <w:ind w:firstLine="482"/>
        <w:rPr>
          <w:rFonts w:hint="eastAsia" w:ascii="宋体" w:hAnsi="宋体" w:eastAsia="宋体" w:cs="宋体"/>
          <w:b/>
          <w:bCs/>
          <w:sz w:val="21"/>
          <w:szCs w:val="21"/>
        </w:rPr>
      </w:pPr>
      <w:r>
        <w:rPr>
          <w:rFonts w:hint="eastAsia" w:ascii="宋体" w:hAnsi="宋体" w:eastAsia="宋体" w:cs="宋体"/>
          <w:b/>
          <w:bCs/>
          <w:sz w:val="21"/>
          <w:szCs w:val="21"/>
        </w:rPr>
        <w:t>第七条、不可抗力</w:t>
      </w:r>
    </w:p>
    <w:p w14:paraId="274396F7">
      <w:pPr>
        <w:spacing w:line="420" w:lineRule="auto"/>
        <w:ind w:firstLine="480"/>
        <w:rPr>
          <w:rFonts w:hint="eastAsia" w:ascii="宋体" w:hAnsi="宋体" w:eastAsia="宋体" w:cs="宋体"/>
          <w:sz w:val="21"/>
          <w:szCs w:val="21"/>
        </w:rPr>
      </w:pPr>
      <w:r>
        <w:rPr>
          <w:rFonts w:hint="eastAsia" w:ascii="宋体" w:hAnsi="宋体" w:eastAsia="宋体" w:cs="宋体"/>
          <w:sz w:val="21"/>
          <w:szCs w:val="21"/>
        </w:rPr>
        <w:t>1.签约双方任一方由于受诸如战争、严重火灾、洪水、台风、地震等不可抗力事故的影响而不能执行合同时，履行合同的期限应予以延长，延长的期限应相当于事故所影响的时间。</w:t>
      </w:r>
    </w:p>
    <w:p w14:paraId="4F25D336">
      <w:pPr>
        <w:spacing w:line="420" w:lineRule="auto"/>
        <w:ind w:firstLine="480"/>
        <w:rPr>
          <w:rFonts w:hint="eastAsia" w:ascii="宋体" w:hAnsi="宋体" w:eastAsia="宋体" w:cs="宋体"/>
          <w:sz w:val="21"/>
          <w:szCs w:val="21"/>
        </w:rPr>
      </w:pPr>
      <w:r>
        <w:rPr>
          <w:rFonts w:hint="eastAsia" w:ascii="宋体" w:hAnsi="宋体" w:eastAsia="宋体" w:cs="宋体"/>
          <w:sz w:val="21"/>
          <w:szCs w:val="21"/>
        </w:rPr>
        <w:t>2.受阻一方应在不可抗力事故发生后尽快用电报、传真或电传通知对方，并于事故发生后14天内将有关当局出具的证明文件用特快专递寄给对方审阅确认。一旦不可抗力事故的影响持续40天以上，双方（或三方）应通过友好协商在合理的时间内达成是否继续履行合同的协议。</w:t>
      </w:r>
    </w:p>
    <w:p w14:paraId="53960C8A">
      <w:pPr>
        <w:spacing w:line="420" w:lineRule="auto"/>
        <w:ind w:firstLine="482"/>
        <w:rPr>
          <w:rFonts w:hint="eastAsia" w:ascii="宋体" w:hAnsi="宋体" w:eastAsia="宋体" w:cs="宋体"/>
          <w:b/>
          <w:bCs/>
          <w:sz w:val="21"/>
          <w:szCs w:val="21"/>
        </w:rPr>
      </w:pPr>
      <w:r>
        <w:rPr>
          <w:rFonts w:hint="eastAsia" w:ascii="宋体" w:hAnsi="宋体" w:eastAsia="宋体" w:cs="宋体"/>
          <w:b/>
          <w:bCs/>
          <w:sz w:val="21"/>
          <w:szCs w:val="21"/>
        </w:rPr>
        <w:t>第八条、税费</w:t>
      </w:r>
    </w:p>
    <w:p w14:paraId="7AF4DE01">
      <w:pPr>
        <w:spacing w:line="420" w:lineRule="auto"/>
        <w:ind w:firstLine="480"/>
        <w:rPr>
          <w:rFonts w:hint="eastAsia" w:ascii="宋体" w:hAnsi="宋体" w:eastAsia="宋体" w:cs="宋体"/>
          <w:sz w:val="21"/>
          <w:szCs w:val="21"/>
        </w:rPr>
      </w:pPr>
      <w:r>
        <w:rPr>
          <w:rFonts w:hint="eastAsia" w:ascii="宋体" w:hAnsi="宋体" w:eastAsia="宋体" w:cs="宋体"/>
          <w:sz w:val="21"/>
          <w:szCs w:val="21"/>
        </w:rPr>
        <w:t>与履行本合同有关的一切税费，由乙方承担。</w:t>
      </w:r>
    </w:p>
    <w:p w14:paraId="24B84477">
      <w:pPr>
        <w:spacing w:line="420" w:lineRule="auto"/>
        <w:ind w:firstLine="482"/>
        <w:rPr>
          <w:rFonts w:hint="eastAsia" w:ascii="宋体" w:hAnsi="宋体" w:eastAsia="宋体" w:cs="宋体"/>
          <w:b/>
          <w:bCs/>
          <w:sz w:val="21"/>
          <w:szCs w:val="21"/>
        </w:rPr>
      </w:pPr>
      <w:r>
        <w:rPr>
          <w:rFonts w:hint="eastAsia" w:ascii="宋体" w:hAnsi="宋体" w:eastAsia="宋体" w:cs="宋体"/>
          <w:b/>
          <w:bCs/>
          <w:sz w:val="21"/>
          <w:szCs w:val="21"/>
        </w:rPr>
        <w:t>第九条、争议</w:t>
      </w:r>
    </w:p>
    <w:p w14:paraId="447F7497">
      <w:pPr>
        <w:spacing w:line="420" w:lineRule="auto"/>
        <w:ind w:firstLine="480"/>
        <w:rPr>
          <w:rFonts w:hint="eastAsia" w:ascii="宋体" w:hAnsi="宋体" w:eastAsia="宋体" w:cs="宋体"/>
          <w:sz w:val="21"/>
          <w:szCs w:val="21"/>
        </w:rPr>
      </w:pPr>
      <w:r>
        <w:rPr>
          <w:rFonts w:hint="eastAsia" w:ascii="宋体" w:hAnsi="宋体" w:eastAsia="宋体" w:cs="宋体"/>
          <w:sz w:val="21"/>
          <w:szCs w:val="21"/>
        </w:rPr>
        <w:t>1.在执行本合同中发生的或与本合同有关的争端，双方应通过友好协商解决。经协商不能达成协议时，可向</w:t>
      </w:r>
      <w:r>
        <w:rPr>
          <w:rFonts w:hint="eastAsia" w:ascii="宋体" w:hAnsi="宋体" w:eastAsia="宋体" w:cs="宋体"/>
          <w:b/>
          <w:bCs/>
          <w:sz w:val="21"/>
          <w:szCs w:val="21"/>
          <w:u w:val="single"/>
        </w:rPr>
        <w:t>合同签订地法院起诉</w:t>
      </w:r>
      <w:r>
        <w:rPr>
          <w:rFonts w:hint="eastAsia" w:ascii="宋体" w:hAnsi="宋体" w:eastAsia="宋体" w:cs="宋体"/>
          <w:sz w:val="21"/>
          <w:szCs w:val="21"/>
        </w:rPr>
        <w:t>按其仲裁规则申请仲裁。仲裁不成功，向合同签约地的人民法院提请诉讼。</w:t>
      </w:r>
    </w:p>
    <w:p w14:paraId="1576A005">
      <w:pPr>
        <w:spacing w:line="420" w:lineRule="auto"/>
        <w:ind w:firstLine="480"/>
        <w:rPr>
          <w:rFonts w:hint="eastAsia" w:ascii="宋体" w:hAnsi="宋体" w:eastAsia="宋体" w:cs="宋体"/>
          <w:sz w:val="21"/>
          <w:szCs w:val="21"/>
        </w:rPr>
      </w:pPr>
      <w:r>
        <w:rPr>
          <w:rFonts w:hint="eastAsia" w:ascii="宋体" w:hAnsi="宋体" w:eastAsia="宋体" w:cs="宋体"/>
          <w:sz w:val="21"/>
          <w:szCs w:val="21"/>
        </w:rPr>
        <w:t>2.在仲裁和诉讼期间，双方应继续履行争议部分以外的合同内容。</w:t>
      </w:r>
    </w:p>
    <w:p w14:paraId="63092ABD">
      <w:pPr>
        <w:spacing w:line="420" w:lineRule="auto"/>
        <w:ind w:firstLine="482"/>
        <w:rPr>
          <w:rFonts w:hint="eastAsia" w:ascii="宋体" w:hAnsi="宋体" w:eastAsia="宋体" w:cs="宋体"/>
          <w:b/>
          <w:bCs/>
          <w:sz w:val="21"/>
          <w:szCs w:val="21"/>
        </w:rPr>
      </w:pPr>
      <w:r>
        <w:rPr>
          <w:rFonts w:hint="eastAsia" w:ascii="宋体" w:hAnsi="宋体" w:eastAsia="宋体" w:cs="宋体"/>
          <w:b/>
          <w:bCs/>
          <w:sz w:val="21"/>
          <w:szCs w:val="21"/>
        </w:rPr>
        <w:t>第十条、违约终止合同</w:t>
      </w:r>
    </w:p>
    <w:p w14:paraId="4D1D1C98">
      <w:pPr>
        <w:spacing w:line="420" w:lineRule="auto"/>
        <w:ind w:firstLine="480"/>
        <w:rPr>
          <w:rFonts w:hint="eastAsia" w:ascii="宋体" w:hAnsi="宋体" w:eastAsia="宋体" w:cs="宋体"/>
          <w:sz w:val="21"/>
          <w:szCs w:val="21"/>
        </w:rPr>
      </w:pPr>
      <w:r>
        <w:rPr>
          <w:rFonts w:hint="eastAsia" w:ascii="宋体" w:hAnsi="宋体" w:eastAsia="宋体" w:cs="宋体"/>
          <w:sz w:val="21"/>
          <w:szCs w:val="21"/>
        </w:rPr>
        <w:t>1 .违约责任（有下列情况之一的，甲方有权终止协议）</w:t>
      </w:r>
    </w:p>
    <w:p w14:paraId="785AF2D7">
      <w:pPr>
        <w:spacing w:line="420" w:lineRule="auto"/>
        <w:ind w:firstLine="480"/>
        <w:rPr>
          <w:rFonts w:hint="eastAsia" w:ascii="宋体" w:hAnsi="宋体" w:eastAsia="宋体" w:cs="宋体"/>
          <w:sz w:val="21"/>
          <w:szCs w:val="21"/>
        </w:rPr>
      </w:pPr>
      <w:r>
        <w:rPr>
          <w:rFonts w:hint="eastAsia" w:ascii="宋体" w:hAnsi="宋体" w:eastAsia="宋体" w:cs="宋体"/>
          <w:sz w:val="21"/>
          <w:szCs w:val="21"/>
        </w:rPr>
        <w:t>1.1乙方违反从业道德，影响甲方声誉或投诉查实的。</w:t>
      </w:r>
    </w:p>
    <w:p w14:paraId="4C1D08AB">
      <w:pPr>
        <w:spacing w:line="420" w:lineRule="auto"/>
        <w:ind w:firstLine="480"/>
        <w:rPr>
          <w:rFonts w:hint="eastAsia" w:ascii="宋体" w:hAnsi="宋体" w:eastAsia="宋体" w:cs="宋体"/>
          <w:sz w:val="21"/>
          <w:szCs w:val="21"/>
        </w:rPr>
      </w:pPr>
      <w:r>
        <w:rPr>
          <w:rFonts w:hint="eastAsia" w:ascii="宋体" w:hAnsi="宋体" w:eastAsia="宋体" w:cs="宋体"/>
          <w:sz w:val="21"/>
          <w:szCs w:val="21"/>
        </w:rPr>
        <w:t>1.2甲方对乙方完成任务情况进行质量评估，结果不合格的。</w:t>
      </w:r>
    </w:p>
    <w:p w14:paraId="5562F168">
      <w:pPr>
        <w:spacing w:line="420" w:lineRule="auto"/>
        <w:ind w:firstLine="480"/>
        <w:rPr>
          <w:rFonts w:hint="eastAsia" w:ascii="宋体" w:hAnsi="宋体" w:eastAsia="宋体" w:cs="宋体"/>
          <w:sz w:val="21"/>
          <w:szCs w:val="21"/>
        </w:rPr>
      </w:pPr>
      <w:r>
        <w:rPr>
          <w:rFonts w:hint="eastAsia" w:ascii="宋体" w:hAnsi="宋体" w:eastAsia="宋体" w:cs="宋体"/>
          <w:sz w:val="21"/>
          <w:szCs w:val="21"/>
        </w:rPr>
        <w:t>1.3若遇市以上党政部门政策调整，甲方有权根据政策需要终止或调整合同。</w:t>
      </w:r>
    </w:p>
    <w:p w14:paraId="3C6CF3A2">
      <w:pPr>
        <w:spacing w:line="420" w:lineRule="auto"/>
        <w:ind w:firstLine="480"/>
        <w:rPr>
          <w:rFonts w:hint="eastAsia" w:ascii="宋体" w:hAnsi="宋体" w:eastAsia="宋体" w:cs="宋体"/>
          <w:sz w:val="21"/>
          <w:szCs w:val="21"/>
        </w:rPr>
      </w:pPr>
      <w:r>
        <w:rPr>
          <w:rFonts w:hint="eastAsia" w:ascii="宋体" w:hAnsi="宋体" w:eastAsia="宋体" w:cs="宋体"/>
          <w:sz w:val="21"/>
          <w:szCs w:val="21"/>
        </w:rPr>
        <w:t>2.因解除而终止</w:t>
      </w:r>
    </w:p>
    <w:p w14:paraId="70B74663">
      <w:pPr>
        <w:spacing w:line="420" w:lineRule="auto"/>
        <w:ind w:firstLine="480"/>
        <w:rPr>
          <w:rFonts w:hint="eastAsia" w:ascii="宋体" w:hAnsi="宋体" w:eastAsia="宋体" w:cs="宋体"/>
          <w:sz w:val="21"/>
          <w:szCs w:val="21"/>
        </w:rPr>
      </w:pPr>
      <w:r>
        <w:rPr>
          <w:rFonts w:hint="eastAsia" w:ascii="宋体" w:hAnsi="宋体" w:eastAsia="宋体" w:cs="宋体"/>
          <w:sz w:val="21"/>
          <w:szCs w:val="21"/>
        </w:rPr>
        <w:t>2.1由于乙方违约造成本合同不能履行或不能完全履行，如果乙方在收到甲方要求其纠正违约的通知后仍不纠正其违约行为，则甲方有权向乙方发出解除本合同的书面通知，该通知自送达乙方时生效，乙方应按本合同的约定承担违约责任。给甲方造成损失的，乙方应承担赔偿责任。</w:t>
      </w:r>
    </w:p>
    <w:p w14:paraId="27651BD5">
      <w:pPr>
        <w:spacing w:line="420" w:lineRule="auto"/>
        <w:ind w:firstLine="480"/>
        <w:rPr>
          <w:rFonts w:hint="eastAsia" w:ascii="宋体" w:hAnsi="宋体" w:eastAsia="宋体" w:cs="宋体"/>
          <w:sz w:val="21"/>
          <w:szCs w:val="21"/>
        </w:rPr>
      </w:pPr>
      <w:r>
        <w:rPr>
          <w:rFonts w:hint="eastAsia" w:ascii="宋体" w:hAnsi="宋体" w:eastAsia="宋体" w:cs="宋体"/>
          <w:sz w:val="21"/>
          <w:szCs w:val="21"/>
        </w:rPr>
        <w:t>2.2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p>
    <w:p w14:paraId="7C12ACBB">
      <w:pPr>
        <w:spacing w:line="420" w:lineRule="auto"/>
        <w:ind w:firstLine="480"/>
        <w:rPr>
          <w:rFonts w:hint="eastAsia" w:ascii="宋体" w:hAnsi="宋体" w:eastAsia="宋体" w:cs="宋体"/>
          <w:sz w:val="21"/>
          <w:szCs w:val="21"/>
        </w:rPr>
      </w:pPr>
      <w:r>
        <w:rPr>
          <w:rFonts w:hint="eastAsia" w:ascii="宋体" w:hAnsi="宋体" w:eastAsia="宋体" w:cs="宋体"/>
          <w:sz w:val="21"/>
          <w:szCs w:val="21"/>
        </w:rPr>
        <w:t>2.3合同一方依本合同约定行使解除权的，合同自解除通知送达另一方之日起终止。违约方应当按本合同约定支付违约金或赔偿损失。</w:t>
      </w:r>
    </w:p>
    <w:p w14:paraId="2DC104D2">
      <w:pPr>
        <w:spacing w:line="420" w:lineRule="auto"/>
        <w:ind w:firstLine="480"/>
        <w:rPr>
          <w:rFonts w:hint="eastAsia" w:ascii="宋体" w:hAnsi="宋体" w:eastAsia="宋体" w:cs="宋体"/>
          <w:sz w:val="21"/>
          <w:szCs w:val="21"/>
        </w:rPr>
      </w:pPr>
      <w:r>
        <w:rPr>
          <w:rFonts w:hint="eastAsia" w:ascii="宋体" w:hAnsi="宋体" w:eastAsia="宋体" w:cs="宋体"/>
          <w:sz w:val="21"/>
          <w:szCs w:val="21"/>
        </w:rPr>
        <w:t>2.4合同终止后，不妨碍守约方向违约方追究违约责任。</w:t>
      </w:r>
    </w:p>
    <w:p w14:paraId="5EDFB42C">
      <w:pPr>
        <w:spacing w:line="420" w:lineRule="auto"/>
        <w:ind w:firstLine="482"/>
        <w:rPr>
          <w:rFonts w:hint="eastAsia" w:ascii="宋体" w:hAnsi="宋体" w:eastAsia="宋体" w:cs="宋体"/>
          <w:b/>
          <w:bCs/>
          <w:sz w:val="21"/>
          <w:szCs w:val="21"/>
        </w:rPr>
      </w:pPr>
      <w:r>
        <w:rPr>
          <w:rFonts w:hint="eastAsia" w:ascii="宋体" w:hAnsi="宋体" w:eastAsia="宋体" w:cs="宋体"/>
          <w:b/>
          <w:bCs/>
          <w:sz w:val="21"/>
          <w:szCs w:val="21"/>
        </w:rPr>
        <w:t>第十一条、变更指示</w:t>
      </w:r>
    </w:p>
    <w:p w14:paraId="22239C0B">
      <w:pPr>
        <w:spacing w:line="420" w:lineRule="auto"/>
        <w:ind w:firstLine="480"/>
        <w:rPr>
          <w:rFonts w:hint="eastAsia" w:ascii="宋体" w:hAnsi="宋体" w:eastAsia="宋体" w:cs="宋体"/>
          <w:sz w:val="21"/>
          <w:szCs w:val="21"/>
        </w:rPr>
      </w:pPr>
      <w:r>
        <w:rPr>
          <w:rFonts w:hint="eastAsia" w:ascii="宋体" w:hAnsi="宋体" w:eastAsia="宋体" w:cs="宋体"/>
          <w:sz w:val="21"/>
          <w:szCs w:val="21"/>
        </w:rPr>
        <w:t>1.甲方有权根据实际需要，在《政府采购法》允许的范围内提出变更要求。</w:t>
      </w:r>
    </w:p>
    <w:p w14:paraId="67AB0F94">
      <w:pPr>
        <w:spacing w:line="420" w:lineRule="auto"/>
        <w:ind w:firstLine="480"/>
        <w:rPr>
          <w:rFonts w:hint="eastAsia" w:ascii="宋体" w:hAnsi="宋体" w:eastAsia="宋体" w:cs="宋体"/>
          <w:sz w:val="21"/>
          <w:szCs w:val="21"/>
        </w:rPr>
      </w:pPr>
      <w:r>
        <w:rPr>
          <w:rFonts w:hint="eastAsia" w:ascii="宋体" w:hAnsi="宋体" w:eastAsia="宋体" w:cs="宋体"/>
          <w:sz w:val="21"/>
          <w:szCs w:val="21"/>
        </w:rPr>
        <w:t>2.若上述变更导致了乙方履行合同的费用或履约时间的变化，依据变更通知书对合同造价或项目进度进行合理的调整，工作量变更后的造价在投标报价内的按投标报价执行，不在投标报价内的经甲方审计后确认。乙方必须在接到甲方的变更通知书后一周内根据本款提出调整的实施意见。</w:t>
      </w:r>
    </w:p>
    <w:p w14:paraId="3C271233">
      <w:pPr>
        <w:spacing w:line="420" w:lineRule="auto"/>
        <w:ind w:firstLine="482"/>
        <w:rPr>
          <w:rFonts w:hint="eastAsia" w:ascii="宋体" w:hAnsi="宋体" w:eastAsia="宋体" w:cs="宋体"/>
          <w:b/>
          <w:bCs/>
          <w:sz w:val="21"/>
          <w:szCs w:val="21"/>
        </w:rPr>
      </w:pPr>
      <w:r>
        <w:rPr>
          <w:rFonts w:hint="eastAsia" w:ascii="宋体" w:hAnsi="宋体" w:eastAsia="宋体" w:cs="宋体"/>
          <w:b/>
          <w:bCs/>
          <w:sz w:val="21"/>
          <w:szCs w:val="21"/>
        </w:rPr>
        <w:t>第十二条、合同修改</w:t>
      </w:r>
    </w:p>
    <w:p w14:paraId="3A99195A">
      <w:pPr>
        <w:spacing w:line="420" w:lineRule="auto"/>
        <w:ind w:firstLine="480"/>
        <w:rPr>
          <w:rFonts w:hint="eastAsia" w:ascii="宋体" w:hAnsi="宋体" w:eastAsia="宋体" w:cs="宋体"/>
          <w:sz w:val="21"/>
          <w:szCs w:val="21"/>
        </w:rPr>
      </w:pPr>
      <w:r>
        <w:rPr>
          <w:rFonts w:hint="eastAsia" w:ascii="宋体" w:hAnsi="宋体" w:eastAsia="宋体" w:cs="宋体"/>
          <w:sz w:val="21"/>
          <w:szCs w:val="21"/>
        </w:rPr>
        <w:t>对合同条款做出任何改动，均须甲乙双方签署书面的合同修改书。</w:t>
      </w:r>
    </w:p>
    <w:p w14:paraId="4146011B">
      <w:pPr>
        <w:spacing w:line="420" w:lineRule="auto"/>
        <w:ind w:firstLine="482"/>
        <w:rPr>
          <w:rFonts w:hint="eastAsia" w:ascii="宋体" w:hAnsi="宋体" w:eastAsia="宋体" w:cs="宋体"/>
          <w:b/>
          <w:bCs/>
          <w:sz w:val="21"/>
          <w:szCs w:val="21"/>
        </w:rPr>
      </w:pPr>
      <w:r>
        <w:rPr>
          <w:rFonts w:hint="eastAsia" w:ascii="宋体" w:hAnsi="宋体" w:eastAsia="宋体" w:cs="宋体"/>
          <w:b/>
          <w:bCs/>
          <w:sz w:val="21"/>
          <w:szCs w:val="21"/>
        </w:rPr>
        <w:t>第十三条、适用法律</w:t>
      </w:r>
    </w:p>
    <w:p w14:paraId="7BA1443B">
      <w:pPr>
        <w:spacing w:line="420" w:lineRule="auto"/>
        <w:ind w:firstLine="480"/>
        <w:rPr>
          <w:rFonts w:hint="eastAsia" w:ascii="宋体" w:hAnsi="宋体" w:eastAsia="宋体" w:cs="宋体"/>
          <w:sz w:val="21"/>
          <w:szCs w:val="21"/>
        </w:rPr>
      </w:pPr>
      <w:r>
        <w:rPr>
          <w:rFonts w:hint="eastAsia" w:ascii="宋体" w:hAnsi="宋体" w:eastAsia="宋体" w:cs="宋体"/>
          <w:sz w:val="21"/>
          <w:szCs w:val="21"/>
        </w:rPr>
        <w:t>本合同应按《中华人民共和国民法典》的法律解释。</w:t>
      </w:r>
    </w:p>
    <w:p w14:paraId="22E1B826">
      <w:pPr>
        <w:spacing w:line="420" w:lineRule="auto"/>
        <w:ind w:firstLine="482"/>
        <w:rPr>
          <w:rFonts w:hint="eastAsia" w:ascii="宋体" w:hAnsi="宋体" w:eastAsia="宋体" w:cs="宋体"/>
          <w:b/>
          <w:bCs/>
          <w:sz w:val="21"/>
          <w:szCs w:val="21"/>
        </w:rPr>
      </w:pPr>
      <w:r>
        <w:rPr>
          <w:rFonts w:hint="eastAsia" w:ascii="宋体" w:hAnsi="宋体" w:eastAsia="宋体" w:cs="宋体"/>
          <w:b/>
          <w:bCs/>
          <w:sz w:val="21"/>
          <w:szCs w:val="21"/>
        </w:rPr>
        <w:t>第十四条、语言与计量单位</w:t>
      </w:r>
    </w:p>
    <w:p w14:paraId="1EA4BE66">
      <w:pPr>
        <w:spacing w:line="420" w:lineRule="auto"/>
        <w:ind w:firstLine="480"/>
        <w:rPr>
          <w:rFonts w:hint="eastAsia" w:ascii="宋体" w:hAnsi="宋体" w:eastAsia="宋体" w:cs="宋体"/>
          <w:sz w:val="21"/>
          <w:szCs w:val="21"/>
        </w:rPr>
      </w:pPr>
      <w:r>
        <w:rPr>
          <w:rFonts w:hint="eastAsia" w:ascii="宋体" w:hAnsi="宋体" w:eastAsia="宋体" w:cs="宋体"/>
          <w:sz w:val="21"/>
          <w:szCs w:val="21"/>
        </w:rPr>
        <w:t>1.合同书写应用中文。甲乙双方所有的来往函电以及与合同有关的文件均应以中文书写。</w:t>
      </w:r>
    </w:p>
    <w:p w14:paraId="2FE33E20">
      <w:pPr>
        <w:spacing w:line="420" w:lineRule="auto"/>
        <w:ind w:firstLine="480"/>
        <w:rPr>
          <w:rFonts w:hint="eastAsia" w:ascii="宋体" w:hAnsi="宋体" w:eastAsia="宋体" w:cs="宋体"/>
          <w:sz w:val="21"/>
          <w:szCs w:val="21"/>
        </w:rPr>
      </w:pPr>
      <w:r>
        <w:rPr>
          <w:rFonts w:hint="eastAsia" w:ascii="宋体" w:hAnsi="宋体" w:eastAsia="宋体" w:cs="宋体"/>
          <w:sz w:val="21"/>
          <w:szCs w:val="21"/>
        </w:rPr>
        <w:t>2.除技术规格中另有规定外，计量单位均使用国际单位制。</w:t>
      </w:r>
    </w:p>
    <w:p w14:paraId="21DD1254">
      <w:pPr>
        <w:spacing w:line="420" w:lineRule="auto"/>
        <w:ind w:firstLine="482"/>
        <w:rPr>
          <w:rFonts w:hint="eastAsia" w:ascii="宋体" w:hAnsi="宋体" w:eastAsia="宋体" w:cs="宋体"/>
          <w:b/>
          <w:bCs/>
          <w:sz w:val="21"/>
          <w:szCs w:val="21"/>
        </w:rPr>
      </w:pPr>
      <w:r>
        <w:rPr>
          <w:rFonts w:hint="eastAsia" w:ascii="宋体" w:hAnsi="宋体" w:eastAsia="宋体" w:cs="宋体"/>
          <w:b/>
          <w:bCs/>
          <w:sz w:val="21"/>
          <w:szCs w:val="21"/>
        </w:rPr>
        <w:t>第十五条、通知</w:t>
      </w:r>
    </w:p>
    <w:p w14:paraId="5B84A22F">
      <w:pPr>
        <w:spacing w:line="420" w:lineRule="auto"/>
        <w:ind w:firstLine="480"/>
        <w:rPr>
          <w:rFonts w:hint="eastAsia" w:ascii="宋体" w:hAnsi="宋体" w:eastAsia="宋体" w:cs="宋体"/>
          <w:sz w:val="21"/>
          <w:szCs w:val="21"/>
        </w:rPr>
      </w:pPr>
      <w:r>
        <w:rPr>
          <w:rFonts w:hint="eastAsia" w:ascii="宋体" w:hAnsi="宋体" w:eastAsia="宋体" w:cs="宋体"/>
          <w:sz w:val="21"/>
          <w:szCs w:val="21"/>
        </w:rPr>
        <w:t>本合同任何一方给另一方的通知都应以书面形式发送，而另一方应以书面形式确认并发送到对方明确的地址。</w:t>
      </w:r>
    </w:p>
    <w:p w14:paraId="4D048D70">
      <w:pPr>
        <w:spacing w:line="420" w:lineRule="auto"/>
        <w:ind w:firstLine="482"/>
        <w:rPr>
          <w:rFonts w:hint="eastAsia" w:ascii="宋体" w:hAnsi="宋体" w:eastAsia="宋体" w:cs="宋体"/>
          <w:b/>
          <w:bCs/>
          <w:sz w:val="21"/>
          <w:szCs w:val="21"/>
        </w:rPr>
      </w:pPr>
      <w:r>
        <w:rPr>
          <w:rFonts w:hint="eastAsia" w:ascii="宋体" w:hAnsi="宋体" w:eastAsia="宋体" w:cs="宋体"/>
          <w:b/>
          <w:bCs/>
          <w:sz w:val="21"/>
          <w:szCs w:val="21"/>
        </w:rPr>
        <w:t>第十六条、合同文件及资料的保密</w:t>
      </w:r>
    </w:p>
    <w:p w14:paraId="74B1625B">
      <w:pPr>
        <w:spacing w:line="420" w:lineRule="auto"/>
        <w:ind w:firstLine="480"/>
        <w:rPr>
          <w:rFonts w:hint="eastAsia" w:ascii="宋体" w:hAnsi="宋体" w:eastAsia="宋体" w:cs="宋体"/>
          <w:sz w:val="21"/>
          <w:szCs w:val="21"/>
        </w:rPr>
      </w:pPr>
      <w:r>
        <w:rPr>
          <w:rFonts w:hint="eastAsia" w:ascii="宋体" w:hAnsi="宋体" w:eastAsia="宋体" w:cs="宋体"/>
          <w:sz w:val="21"/>
          <w:szCs w:val="21"/>
        </w:rPr>
        <w:t>1.在未经甲方同意的情况下，乙方不得将合同、合同中的规定、有关研究、设计图纸、式样、样本或甲方为乙方提供的资料透露给任何人。</w:t>
      </w:r>
    </w:p>
    <w:p w14:paraId="29049513">
      <w:pPr>
        <w:spacing w:line="420" w:lineRule="auto"/>
        <w:ind w:firstLine="480"/>
        <w:rPr>
          <w:rFonts w:hint="eastAsia" w:ascii="宋体" w:hAnsi="宋体" w:eastAsia="宋体" w:cs="宋体"/>
          <w:sz w:val="21"/>
          <w:szCs w:val="21"/>
        </w:rPr>
      </w:pPr>
      <w:r>
        <w:rPr>
          <w:rFonts w:hint="eastAsia" w:ascii="宋体" w:hAnsi="宋体" w:eastAsia="宋体" w:cs="宋体"/>
          <w:sz w:val="21"/>
          <w:szCs w:val="21"/>
        </w:rPr>
        <w:t>2.除合同本身以外，乙方从甲方处获得的所有资料其知识产权归甲方所有，乙方应于其合同义务履行完毕以后将这些资料（包括所有副本）退还甲方。</w:t>
      </w:r>
    </w:p>
    <w:p w14:paraId="706DD81C">
      <w:pPr>
        <w:spacing w:line="420" w:lineRule="auto"/>
        <w:ind w:firstLine="482"/>
        <w:rPr>
          <w:rFonts w:hint="eastAsia" w:ascii="宋体" w:hAnsi="宋体" w:eastAsia="宋体" w:cs="宋体"/>
          <w:sz w:val="21"/>
          <w:szCs w:val="21"/>
        </w:rPr>
      </w:pPr>
      <w:r>
        <w:rPr>
          <w:rFonts w:hint="eastAsia" w:ascii="宋体" w:hAnsi="宋体" w:eastAsia="宋体" w:cs="宋体"/>
          <w:b/>
          <w:bCs/>
          <w:sz w:val="21"/>
          <w:szCs w:val="21"/>
        </w:rPr>
        <w:t>第十七条</w:t>
      </w:r>
      <w:r>
        <w:rPr>
          <w:rFonts w:hint="eastAsia" w:ascii="宋体" w:hAnsi="宋体" w:eastAsia="宋体" w:cs="宋体"/>
          <w:sz w:val="21"/>
          <w:szCs w:val="21"/>
        </w:rPr>
        <w:t>、合同生效及其他</w:t>
      </w:r>
    </w:p>
    <w:p w14:paraId="47E5665B">
      <w:pPr>
        <w:spacing w:line="420" w:lineRule="auto"/>
        <w:ind w:firstLine="480"/>
        <w:rPr>
          <w:rFonts w:hint="eastAsia" w:ascii="宋体" w:hAnsi="宋体" w:eastAsia="宋体" w:cs="宋体"/>
          <w:sz w:val="21"/>
          <w:szCs w:val="21"/>
        </w:rPr>
      </w:pPr>
      <w:r>
        <w:rPr>
          <w:rFonts w:hint="eastAsia" w:ascii="宋体" w:hAnsi="宋体" w:eastAsia="宋体" w:cs="宋体"/>
          <w:sz w:val="21"/>
          <w:szCs w:val="21"/>
        </w:rPr>
        <w:t>1.除合同中另有说明，本合同经双方法定代表人或其委托代理人签字并加盖公章或合同专用章后，即开始生效。</w:t>
      </w:r>
    </w:p>
    <w:p w14:paraId="20571357">
      <w:pPr>
        <w:spacing w:line="420" w:lineRule="auto"/>
        <w:ind w:firstLine="480"/>
        <w:rPr>
          <w:rFonts w:hint="eastAsia" w:ascii="宋体" w:hAnsi="宋体" w:eastAsia="宋体" w:cs="宋体"/>
          <w:sz w:val="21"/>
          <w:szCs w:val="21"/>
        </w:rPr>
      </w:pPr>
      <w:r>
        <w:rPr>
          <w:rFonts w:hint="eastAsia" w:ascii="宋体" w:hAnsi="宋体" w:eastAsia="宋体" w:cs="宋体"/>
          <w:sz w:val="21"/>
          <w:szCs w:val="21"/>
        </w:rPr>
        <w:t>2.合同一式肆份，具有同等法律效力。</w:t>
      </w:r>
    </w:p>
    <w:p w14:paraId="49F04B39">
      <w:pPr>
        <w:spacing w:line="420" w:lineRule="auto"/>
        <w:ind w:firstLine="482"/>
        <w:rPr>
          <w:rFonts w:hint="eastAsia" w:ascii="宋体" w:hAnsi="宋体" w:eastAsia="宋体" w:cs="宋体"/>
          <w:b/>
          <w:bCs/>
          <w:sz w:val="21"/>
          <w:szCs w:val="21"/>
          <w:lang w:val="zh-CN"/>
        </w:rPr>
      </w:pPr>
      <w:r>
        <w:rPr>
          <w:rFonts w:hint="eastAsia" w:ascii="宋体" w:hAnsi="宋体" w:eastAsia="宋体" w:cs="宋体"/>
          <w:b/>
          <w:bCs/>
          <w:sz w:val="21"/>
          <w:szCs w:val="21"/>
        </w:rPr>
        <w:t>第十八条</w:t>
      </w:r>
      <w:r>
        <w:rPr>
          <w:rFonts w:hint="eastAsia" w:ascii="宋体" w:hAnsi="宋体" w:eastAsia="宋体" w:cs="宋体"/>
          <w:b/>
          <w:bCs/>
          <w:sz w:val="21"/>
          <w:szCs w:val="21"/>
          <w:lang w:val="zh-CN"/>
        </w:rPr>
        <w:t>、合同的变更和终止</w:t>
      </w:r>
    </w:p>
    <w:p w14:paraId="7B41E22E">
      <w:pPr>
        <w:spacing w:line="420" w:lineRule="auto"/>
        <w:ind w:firstLine="480"/>
        <w:rPr>
          <w:rFonts w:hint="eastAsia" w:ascii="宋体" w:hAnsi="宋体" w:eastAsia="宋体" w:cs="宋体"/>
          <w:sz w:val="21"/>
          <w:szCs w:val="21"/>
          <w:lang w:val="zh-CN"/>
        </w:rPr>
      </w:pPr>
      <w:r>
        <w:rPr>
          <w:rFonts w:hint="eastAsia" w:ascii="宋体" w:hAnsi="宋体" w:eastAsia="宋体" w:cs="宋体"/>
          <w:sz w:val="21"/>
          <w:szCs w:val="21"/>
          <w:lang w:val="zh-CN"/>
        </w:rPr>
        <w:t>1.除《政府采购法》第50条第二款规定的情形外，本合同一经签订，甲乙双方不得擅自变更、中止或终止合同。</w:t>
      </w:r>
    </w:p>
    <w:p w14:paraId="6B8C302D">
      <w:pPr>
        <w:spacing w:line="420" w:lineRule="auto"/>
        <w:ind w:firstLine="480"/>
        <w:rPr>
          <w:rFonts w:hint="eastAsia" w:ascii="宋体" w:hAnsi="宋体" w:eastAsia="宋体" w:cs="宋体"/>
          <w:sz w:val="21"/>
          <w:szCs w:val="21"/>
        </w:rPr>
      </w:pPr>
      <w:r>
        <w:rPr>
          <w:rFonts w:hint="eastAsia" w:ascii="宋体" w:hAnsi="宋体" w:eastAsia="宋体" w:cs="宋体"/>
          <w:sz w:val="21"/>
          <w:szCs w:val="21"/>
          <w:lang w:val="zh-CN"/>
        </w:rPr>
        <w:t>2.</w:t>
      </w:r>
      <w:r>
        <w:rPr>
          <w:rFonts w:hint="eastAsia" w:ascii="宋体" w:hAnsi="宋体" w:eastAsia="宋体" w:cs="宋体"/>
          <w:sz w:val="21"/>
          <w:szCs w:val="21"/>
        </w:rPr>
        <w:t>除发生法律规定的不能预见、不能避免并不能克服的客观情况外，甲乙双方不得放弃或拒绝履行合同。乙方放弃或拒绝履行合同，保证金不予退还，在三年内不得参加盐城市组织的政府采购活动。</w:t>
      </w:r>
    </w:p>
    <w:p w14:paraId="2B6B7EEE">
      <w:pPr>
        <w:pStyle w:val="220"/>
        <w:spacing w:before="120" w:after="120" w:line="420" w:lineRule="auto"/>
        <w:ind w:firstLine="480"/>
        <w:rPr>
          <w:rFonts w:hint="eastAsia" w:ascii="宋体" w:hAnsi="宋体" w:eastAsia="宋体" w:cs="宋体"/>
          <w:sz w:val="21"/>
          <w:szCs w:val="21"/>
        </w:rPr>
      </w:pPr>
      <w:r>
        <w:rPr>
          <w:rFonts w:hint="eastAsia" w:ascii="宋体" w:hAnsi="宋体" w:eastAsia="宋体" w:cs="宋体"/>
          <w:sz w:val="21"/>
          <w:szCs w:val="21"/>
        </w:rPr>
        <w:t xml:space="preserve">甲方：                               乙方： </w:t>
      </w:r>
    </w:p>
    <w:p w14:paraId="771CFBC6">
      <w:pPr>
        <w:pStyle w:val="220"/>
        <w:spacing w:before="120" w:after="120" w:line="420" w:lineRule="auto"/>
        <w:ind w:firstLine="480"/>
        <w:rPr>
          <w:rFonts w:hint="eastAsia" w:ascii="宋体" w:hAnsi="宋体" w:eastAsia="宋体" w:cs="宋体"/>
          <w:sz w:val="21"/>
          <w:szCs w:val="21"/>
        </w:rPr>
      </w:pPr>
      <w:r>
        <w:rPr>
          <w:rFonts w:hint="eastAsia" w:ascii="宋体" w:hAnsi="宋体" w:eastAsia="宋体" w:cs="宋体"/>
          <w:sz w:val="21"/>
          <w:szCs w:val="21"/>
        </w:rPr>
        <w:t>法定代表人或授权代表：               法定代表人或授权代表：</w:t>
      </w:r>
    </w:p>
    <w:p w14:paraId="04774EB6">
      <w:pPr>
        <w:pStyle w:val="220"/>
        <w:spacing w:before="120" w:after="120" w:line="420" w:lineRule="auto"/>
        <w:ind w:firstLine="480"/>
        <w:rPr>
          <w:rFonts w:hint="eastAsia" w:ascii="宋体" w:hAnsi="宋体" w:eastAsia="宋体" w:cs="宋体"/>
          <w:sz w:val="21"/>
          <w:szCs w:val="21"/>
        </w:rPr>
      </w:pPr>
      <w:r>
        <w:rPr>
          <w:rFonts w:hint="eastAsia" w:ascii="宋体" w:hAnsi="宋体" w:eastAsia="宋体" w:cs="宋体"/>
          <w:sz w:val="21"/>
          <w:szCs w:val="21"/>
        </w:rPr>
        <w:t>联系电话：                           联系电话：</w:t>
      </w:r>
    </w:p>
    <w:p w14:paraId="0727C1A6">
      <w:pPr>
        <w:pStyle w:val="24"/>
        <w:rPr>
          <w:rFonts w:hint="eastAsia" w:ascii="宋体" w:hAnsi="宋体" w:eastAsia="宋体" w:cs="宋体"/>
          <w:sz w:val="21"/>
          <w:szCs w:val="21"/>
        </w:rPr>
      </w:pPr>
      <w:r>
        <w:rPr>
          <w:rFonts w:hint="eastAsia" w:ascii="宋体" w:hAnsi="宋体" w:eastAsia="宋体" w:cs="宋体"/>
          <w:sz w:val="21"/>
          <w:szCs w:val="21"/>
          <w:u w:val="none"/>
        </w:rPr>
        <w:t xml:space="preserve">                                    签订日期：     年    月    日</w:t>
      </w:r>
    </w:p>
    <w:p w14:paraId="05CE5BC3">
      <w:pPr>
        <w:pStyle w:val="194"/>
        <w:ind w:firstLine="2860"/>
        <w:jc w:val="both"/>
        <w:rPr>
          <w:rFonts w:ascii="Times New Roman" w:hAnsi="Times New Roman" w:eastAsia="黑体" w:cs="Times New Roman"/>
          <w:bCs/>
          <w:sz w:val="44"/>
        </w:rPr>
      </w:pPr>
      <w:r>
        <w:rPr>
          <w:rFonts w:ascii="Times New Roman" w:hAnsi="Times New Roman" w:eastAsia="黑体" w:cs="Times New Roman"/>
          <w:bCs/>
          <w:sz w:val="44"/>
        </w:rPr>
        <w:br w:type="page" w:clear="all"/>
      </w:r>
      <w:r>
        <w:rPr>
          <w:rFonts w:ascii="Times New Roman" w:hAnsi="Times New Roman" w:eastAsia="黑体" w:cs="Times New Roman"/>
          <w:bCs/>
          <w:sz w:val="44"/>
        </w:rPr>
        <w:t>第</w:t>
      </w:r>
      <w:bookmarkEnd w:id="194"/>
      <w:r>
        <w:rPr>
          <w:rFonts w:ascii="Times New Roman" w:hAnsi="Times New Roman" w:eastAsia="黑体" w:cs="Times New Roman"/>
          <w:bCs/>
          <w:sz w:val="44"/>
        </w:rPr>
        <w:t>四章 项目需求</w:t>
      </w:r>
      <w:bookmarkEnd w:id="195"/>
      <w:bookmarkEnd w:id="196"/>
      <w:bookmarkEnd w:id="197"/>
    </w:p>
    <w:p w14:paraId="66C7EBA6">
      <w:pPr>
        <w:pStyle w:val="196"/>
        <w:keepNext/>
        <w:keepLines/>
        <w:pageBreakBefore w:val="0"/>
        <w:widowControl w:val="0"/>
        <w:kinsoku/>
        <w:wordWrap/>
        <w:overflowPunct/>
        <w:topLinePunct w:val="0"/>
        <w:autoSpaceDE/>
        <w:autoSpaceDN/>
        <w:bidi w:val="0"/>
        <w:adjustRightInd w:val="0"/>
        <w:snapToGrid w:val="0"/>
        <w:spacing w:before="0" w:after="0" w:line="520" w:lineRule="exact"/>
        <w:ind w:left="0" w:right="0" w:firstLine="420" w:firstLineChars="200"/>
        <w:textAlignment w:val="auto"/>
        <w:rPr>
          <w:rFonts w:hint="eastAsia" w:ascii="宋体" w:hAnsi="宋体" w:eastAsia="宋体" w:cs="宋体"/>
          <w:b w:val="0"/>
          <w:bCs w:val="0"/>
          <w:color w:val="auto"/>
          <w:sz w:val="21"/>
          <w:szCs w:val="21"/>
        </w:rPr>
      </w:pPr>
      <w:bookmarkStart w:id="200" w:name="_Toc49090575"/>
      <w:bookmarkStart w:id="201" w:name="_Toc26554093"/>
      <w:bookmarkStart w:id="202" w:name="_Toc120614281"/>
      <w:r>
        <w:rPr>
          <w:rFonts w:hint="eastAsia" w:ascii="宋体" w:hAnsi="宋体" w:eastAsia="宋体" w:cs="宋体"/>
          <w:b w:val="0"/>
          <w:bCs w:val="0"/>
          <w:color w:val="auto"/>
          <w:sz w:val="21"/>
          <w:szCs w:val="21"/>
        </w:rPr>
        <w:t>一、规划范围</w:t>
      </w:r>
    </w:p>
    <w:p w14:paraId="27BCDE7B">
      <w:pPr>
        <w:adjustRightInd w:val="0"/>
        <w:spacing w:line="360" w:lineRule="auto"/>
        <w:ind w:firstLine="420" w:firstLineChars="200"/>
        <w:rPr>
          <w:rFonts w:hint="eastAsia" w:ascii="宋体" w:hAnsi="宋体" w:eastAsia="宋体" w:cs="宋体"/>
          <w:sz w:val="21"/>
          <w:szCs w:val="21"/>
          <w:lang w:bidi="ar"/>
        </w:rPr>
      </w:pPr>
      <w:r>
        <w:rPr>
          <w:rFonts w:hint="eastAsia" w:ascii="宋体" w:hAnsi="宋体" w:eastAsia="宋体" w:cs="宋体"/>
          <w:sz w:val="21"/>
          <w:szCs w:val="21"/>
          <w:lang w:bidi="ar"/>
        </w:rPr>
        <w:t>滨海县界牌镇村庄规划编制。</w:t>
      </w:r>
    </w:p>
    <w:p w14:paraId="17B17240">
      <w:pPr>
        <w:pStyle w:val="196"/>
        <w:keepNext/>
        <w:keepLines/>
        <w:pageBreakBefore w:val="0"/>
        <w:widowControl w:val="0"/>
        <w:kinsoku/>
        <w:wordWrap/>
        <w:overflowPunct/>
        <w:topLinePunct w:val="0"/>
        <w:autoSpaceDE/>
        <w:autoSpaceDN/>
        <w:bidi w:val="0"/>
        <w:adjustRightInd w:val="0"/>
        <w:snapToGrid w:val="0"/>
        <w:spacing w:before="0" w:after="0" w:line="360" w:lineRule="auto"/>
        <w:ind w:left="0" w:right="0" w:firstLine="420" w:firstLineChars="200"/>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二、工作背景</w:t>
      </w:r>
    </w:p>
    <w:p w14:paraId="53EB0E74">
      <w:pPr>
        <w:adjustRightInd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bidi="ar"/>
        </w:rPr>
        <w:t>习近平总书记2019年3月8日参加十三届全国人大二次会议河南代表团审议时指出：“按照先规划后建设的原则，通盘考虑土地利用、产业发展、居民点布局、人居环境整治、生态保护和历史文化传承，编制多规合一的实用性村庄规划”。2019年6月，自然资源部发布了《自然资源部办公厅关于加强村庄规划促进乡村振兴的通知》（自然资办发〔2019〕35号）提出“力争到2021年底，结合国土空间规划编制在县域层面基本完成村庄布局工作，有条件、有需求的村庄应编尽编”，并对村庄规划的工作任务、政策支持、编制要求和实施保障提出了具体的要求。江苏省自然资源厅、中共江苏省委农村工作领导小组办公室《关于加强村庄规划引领宜居宜业和美乡村建设的通知》（苏自然资发〔2023〕259号）要求：“按照 2023 年累计完成不低于 40%，2024 年力争全面完成全省规划发展村庄所在行政村村庄规划编制的目标，建立全省提速推进的工作机制。”</w:t>
      </w:r>
      <w:r>
        <w:rPr>
          <w:rFonts w:hint="eastAsia" w:ascii="宋体" w:hAnsi="宋体" w:eastAsia="宋体" w:cs="宋体"/>
          <w:sz w:val="21"/>
          <w:szCs w:val="21"/>
        </w:rPr>
        <w:t xml:space="preserve"> </w:t>
      </w:r>
    </w:p>
    <w:p w14:paraId="6F7AD177">
      <w:pPr>
        <w:pStyle w:val="196"/>
        <w:keepNext/>
        <w:keepLines/>
        <w:pageBreakBefore w:val="0"/>
        <w:widowControl w:val="0"/>
        <w:kinsoku/>
        <w:wordWrap/>
        <w:overflowPunct/>
        <w:topLinePunct w:val="0"/>
        <w:autoSpaceDE/>
        <w:autoSpaceDN/>
        <w:bidi w:val="0"/>
        <w:adjustRightInd w:val="0"/>
        <w:snapToGrid w:val="0"/>
        <w:spacing w:before="0" w:after="0" w:line="360" w:lineRule="auto"/>
        <w:ind w:left="0" w:right="0" w:firstLine="420" w:firstLineChars="200"/>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三、规划内容</w:t>
      </w:r>
    </w:p>
    <w:p w14:paraId="48462CA9">
      <w:pPr>
        <w:spacing w:line="360" w:lineRule="auto"/>
        <w:ind w:firstLine="420" w:firstLineChars="200"/>
        <w:rPr>
          <w:rFonts w:hint="eastAsia" w:ascii="宋体" w:hAnsi="宋体" w:eastAsia="宋体" w:cs="宋体"/>
          <w:sz w:val="21"/>
          <w:szCs w:val="21"/>
          <w:lang w:bidi="ar"/>
        </w:rPr>
      </w:pPr>
      <w:r>
        <w:rPr>
          <w:rFonts w:hint="eastAsia" w:ascii="宋体" w:hAnsi="宋体" w:eastAsia="宋体" w:cs="宋体"/>
          <w:sz w:val="21"/>
          <w:szCs w:val="21"/>
          <w:lang w:bidi="ar"/>
        </w:rPr>
        <w:t>1、明确目标定位，引导产业发展</w:t>
      </w:r>
    </w:p>
    <w:p w14:paraId="3AA803DD">
      <w:pPr>
        <w:spacing w:line="360" w:lineRule="auto"/>
        <w:ind w:firstLine="420" w:firstLineChars="200"/>
        <w:rPr>
          <w:rFonts w:hint="eastAsia" w:ascii="宋体" w:hAnsi="宋体" w:eastAsia="宋体" w:cs="宋体"/>
          <w:sz w:val="21"/>
          <w:szCs w:val="21"/>
          <w:lang w:bidi="ar"/>
        </w:rPr>
      </w:pPr>
      <w:r>
        <w:rPr>
          <w:rFonts w:hint="eastAsia" w:ascii="宋体" w:hAnsi="宋体" w:eastAsia="宋体" w:cs="宋体"/>
          <w:sz w:val="21"/>
          <w:szCs w:val="21"/>
          <w:lang w:bidi="ar"/>
        </w:rPr>
        <w:t>2、构建国土空间布局，实现多规合一</w:t>
      </w:r>
    </w:p>
    <w:p w14:paraId="597C1779">
      <w:pPr>
        <w:spacing w:line="360" w:lineRule="auto"/>
        <w:ind w:firstLine="420" w:firstLineChars="200"/>
        <w:rPr>
          <w:rFonts w:hint="eastAsia" w:ascii="宋体" w:hAnsi="宋体" w:eastAsia="宋体" w:cs="宋体"/>
          <w:sz w:val="21"/>
          <w:szCs w:val="21"/>
          <w:lang w:bidi="ar"/>
        </w:rPr>
      </w:pPr>
      <w:r>
        <w:rPr>
          <w:rFonts w:hint="eastAsia" w:ascii="宋体" w:hAnsi="宋体" w:eastAsia="宋体" w:cs="宋体"/>
          <w:sz w:val="21"/>
          <w:szCs w:val="21"/>
          <w:lang w:bidi="ar"/>
        </w:rPr>
        <w:t>3、制定管控要求，体现实用性</w:t>
      </w:r>
    </w:p>
    <w:p w14:paraId="52BD1849">
      <w:pPr>
        <w:pStyle w:val="196"/>
        <w:keepNext/>
        <w:keepLines/>
        <w:pageBreakBefore w:val="0"/>
        <w:widowControl w:val="0"/>
        <w:kinsoku/>
        <w:wordWrap/>
        <w:overflowPunct/>
        <w:topLinePunct w:val="0"/>
        <w:autoSpaceDE/>
        <w:autoSpaceDN/>
        <w:bidi w:val="0"/>
        <w:adjustRightInd w:val="0"/>
        <w:snapToGrid w:val="0"/>
        <w:spacing w:before="0" w:after="0" w:line="360" w:lineRule="auto"/>
        <w:ind w:left="0" w:right="0" w:firstLine="420" w:firstLineChars="200"/>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四、规划成果要求</w:t>
      </w:r>
    </w:p>
    <w:p w14:paraId="76F650B2">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bidi="ar"/>
        </w:rPr>
        <w:t>本规划成果除符合以下具体要求之外，还应满足《江苏省村庄规划编制指南（2023 年版） 》。</w:t>
      </w:r>
    </w:p>
    <w:p w14:paraId="300D0EAA">
      <w:pPr>
        <w:keepNext w:val="0"/>
        <w:keepLines w:val="0"/>
        <w:pageBreakBefore w:val="0"/>
        <w:widowControl w:val="0"/>
        <w:kinsoku/>
        <w:wordWrap/>
        <w:overflowPunct/>
        <w:topLinePunct w:val="0"/>
        <w:autoSpaceDE/>
        <w:autoSpaceDN/>
        <w:bidi w:val="0"/>
        <w:adjustRightInd w:val="0"/>
        <w:snapToGrid/>
        <w:spacing w:line="360" w:lineRule="auto"/>
        <w:ind w:firstLine="420" w:firstLineChars="200"/>
        <w:textAlignment w:val="auto"/>
        <w:rPr>
          <w:rFonts w:hint="eastAsia" w:ascii="宋体" w:hAnsi="宋体" w:eastAsia="宋体" w:cs="宋体"/>
          <w:b w:val="0"/>
          <w:bCs w:val="0"/>
          <w:sz w:val="21"/>
          <w:szCs w:val="21"/>
          <w:lang w:bidi="ar"/>
        </w:rPr>
      </w:pPr>
      <w:r>
        <w:rPr>
          <w:rFonts w:hint="eastAsia" w:ascii="宋体" w:hAnsi="宋体" w:eastAsia="宋体" w:cs="宋体"/>
          <w:b w:val="0"/>
          <w:bCs w:val="0"/>
          <w:sz w:val="21"/>
          <w:szCs w:val="21"/>
          <w:lang w:bidi="ar"/>
        </w:rPr>
        <w:t>（一）成果构成</w:t>
      </w:r>
    </w:p>
    <w:p w14:paraId="61EB51C3">
      <w:pPr>
        <w:keepNext w:val="0"/>
        <w:keepLines w:val="0"/>
        <w:pageBreakBefore w:val="0"/>
        <w:widowControl w:val="0"/>
        <w:kinsoku/>
        <w:wordWrap/>
        <w:overflowPunct/>
        <w:topLinePunct w:val="0"/>
        <w:autoSpaceDE/>
        <w:autoSpaceDN/>
        <w:bidi w:val="0"/>
        <w:snapToGrid/>
        <w:spacing w:line="360" w:lineRule="auto"/>
        <w:ind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bidi="ar"/>
        </w:rPr>
        <w:t>规划成果包括规划文本、图件、数据库以及必要的附件。</w:t>
      </w:r>
    </w:p>
    <w:p w14:paraId="56660B32">
      <w:pPr>
        <w:keepNext w:val="0"/>
        <w:keepLines w:val="0"/>
        <w:pageBreakBefore w:val="0"/>
        <w:widowControl w:val="0"/>
        <w:kinsoku/>
        <w:wordWrap/>
        <w:overflowPunct/>
        <w:topLinePunct w:val="0"/>
        <w:autoSpaceDE/>
        <w:autoSpaceDN/>
        <w:bidi w:val="0"/>
        <w:adjustRightInd w:val="0"/>
        <w:snapToGrid/>
        <w:spacing w:line="360" w:lineRule="auto"/>
        <w:ind w:firstLine="420" w:firstLineChars="200"/>
        <w:textAlignment w:val="auto"/>
        <w:rPr>
          <w:rFonts w:hint="eastAsia" w:ascii="宋体" w:hAnsi="宋体" w:eastAsia="宋体" w:cs="宋体"/>
          <w:b w:val="0"/>
          <w:bCs w:val="0"/>
          <w:sz w:val="21"/>
          <w:szCs w:val="21"/>
          <w:lang w:bidi="ar"/>
        </w:rPr>
      </w:pPr>
      <w:r>
        <w:rPr>
          <w:rFonts w:hint="eastAsia" w:ascii="宋体" w:hAnsi="宋体" w:eastAsia="宋体" w:cs="宋体"/>
          <w:b w:val="0"/>
          <w:bCs w:val="0"/>
          <w:sz w:val="21"/>
          <w:szCs w:val="21"/>
          <w:lang w:bidi="ar"/>
        </w:rPr>
        <w:t>（二）成果内容</w:t>
      </w:r>
    </w:p>
    <w:p w14:paraId="4EB3ED92">
      <w:pPr>
        <w:keepNext w:val="0"/>
        <w:keepLines w:val="0"/>
        <w:pageBreakBefore w:val="0"/>
        <w:widowControl w:val="0"/>
        <w:kinsoku/>
        <w:wordWrap/>
        <w:overflowPunct/>
        <w:topLinePunct w:val="0"/>
        <w:autoSpaceDE/>
        <w:autoSpaceDN/>
        <w:bidi w:val="0"/>
        <w:snapToGrid/>
        <w:spacing w:line="360" w:lineRule="auto"/>
        <w:ind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bidi="ar"/>
        </w:rPr>
        <w:t>1、规划文本</w:t>
      </w:r>
    </w:p>
    <w:p w14:paraId="24E3D58B">
      <w:pPr>
        <w:spacing w:line="360" w:lineRule="auto"/>
        <w:ind w:firstLine="420" w:firstLineChars="200"/>
        <w:rPr>
          <w:rFonts w:hint="eastAsia" w:ascii="宋体" w:hAnsi="宋体" w:eastAsia="宋体" w:cs="宋体"/>
          <w:b w:val="0"/>
          <w:bCs w:val="0"/>
          <w:sz w:val="21"/>
          <w:szCs w:val="21"/>
        </w:rPr>
      </w:pPr>
      <w:r>
        <w:rPr>
          <w:rFonts w:hint="eastAsia" w:ascii="宋体" w:hAnsi="宋体" w:eastAsia="宋体" w:cs="宋体"/>
          <w:b w:val="0"/>
          <w:bCs w:val="0"/>
          <w:sz w:val="21"/>
          <w:szCs w:val="21"/>
          <w:lang w:bidi="ar"/>
        </w:rPr>
        <w:t>（1）总则：规划范围及期限、规划依据、上级规划主要要求、现状分析主要结论。</w:t>
      </w:r>
    </w:p>
    <w:p w14:paraId="092BFFE8">
      <w:pPr>
        <w:spacing w:line="360" w:lineRule="auto"/>
        <w:ind w:firstLine="420" w:firstLineChars="200"/>
        <w:rPr>
          <w:rFonts w:hint="eastAsia" w:ascii="宋体" w:hAnsi="宋体" w:eastAsia="宋体" w:cs="宋体"/>
          <w:b w:val="0"/>
          <w:bCs w:val="0"/>
          <w:sz w:val="21"/>
          <w:szCs w:val="21"/>
        </w:rPr>
      </w:pPr>
      <w:r>
        <w:rPr>
          <w:rFonts w:hint="eastAsia" w:ascii="宋体" w:hAnsi="宋体" w:eastAsia="宋体" w:cs="宋体"/>
          <w:b w:val="0"/>
          <w:bCs w:val="0"/>
          <w:sz w:val="21"/>
          <w:szCs w:val="21"/>
          <w:lang w:bidi="ar"/>
        </w:rPr>
        <w:t>（2）目标定位：发展目标与定位、规划指标表（村庄建设用地规模是否减量、涉及新增流量空间是否落实指标）、自然村庄分类（是否符合镇村布局）。</w:t>
      </w:r>
    </w:p>
    <w:p w14:paraId="2DBD6BDF">
      <w:pPr>
        <w:spacing w:line="360" w:lineRule="auto"/>
        <w:ind w:firstLine="420" w:firstLineChars="200"/>
        <w:rPr>
          <w:rFonts w:hint="eastAsia" w:ascii="宋体" w:hAnsi="宋体" w:eastAsia="宋体" w:cs="宋体"/>
          <w:b w:val="0"/>
          <w:bCs w:val="0"/>
          <w:sz w:val="21"/>
          <w:szCs w:val="21"/>
        </w:rPr>
      </w:pPr>
      <w:r>
        <w:rPr>
          <w:rFonts w:hint="eastAsia" w:ascii="宋体" w:hAnsi="宋体" w:eastAsia="宋体" w:cs="宋体"/>
          <w:b w:val="0"/>
          <w:bCs w:val="0"/>
          <w:sz w:val="21"/>
          <w:szCs w:val="21"/>
          <w:lang w:bidi="ar"/>
        </w:rPr>
        <w:t>（3）用地布局与用途管控：用地布局规划（优化调整村域用地布局是否合理、新增空间是否向发展类村庄集中、村庄建设控制区与国土空间整治复垦项目安排是否衔接）、国土空间用途管控。村庄建设用地应明确居住用地、集体经营性用地、主要公共服务和公用设施等用地布局和必要的指标管控要求，作为用地审批和规划许可的依据。</w:t>
      </w:r>
    </w:p>
    <w:p w14:paraId="37477B70">
      <w:pPr>
        <w:spacing w:line="360" w:lineRule="auto"/>
        <w:ind w:firstLine="420" w:firstLineChars="200"/>
        <w:rPr>
          <w:rFonts w:hint="eastAsia" w:ascii="宋体" w:hAnsi="宋体" w:eastAsia="宋体" w:cs="宋体"/>
          <w:b w:val="0"/>
          <w:bCs w:val="0"/>
          <w:sz w:val="21"/>
          <w:szCs w:val="21"/>
        </w:rPr>
      </w:pPr>
      <w:r>
        <w:rPr>
          <w:rFonts w:hint="eastAsia" w:ascii="宋体" w:hAnsi="宋体" w:eastAsia="宋体" w:cs="宋体"/>
          <w:b w:val="0"/>
          <w:bCs w:val="0"/>
          <w:sz w:val="21"/>
          <w:szCs w:val="21"/>
          <w:lang w:bidi="ar"/>
        </w:rPr>
        <w:t>（4）耕地和永久基本农田保护</w:t>
      </w:r>
    </w:p>
    <w:p w14:paraId="0C3A5FF2">
      <w:pPr>
        <w:spacing w:line="360" w:lineRule="auto"/>
        <w:ind w:firstLine="420" w:firstLineChars="200"/>
        <w:rPr>
          <w:rFonts w:hint="eastAsia" w:ascii="宋体" w:hAnsi="宋体" w:eastAsia="宋体" w:cs="宋体"/>
          <w:b w:val="0"/>
          <w:bCs w:val="0"/>
          <w:sz w:val="21"/>
          <w:szCs w:val="21"/>
        </w:rPr>
      </w:pPr>
      <w:r>
        <w:rPr>
          <w:rFonts w:hint="eastAsia" w:ascii="宋体" w:hAnsi="宋体" w:eastAsia="宋体" w:cs="宋体"/>
          <w:b w:val="0"/>
          <w:bCs w:val="0"/>
          <w:sz w:val="21"/>
          <w:szCs w:val="21"/>
          <w:lang w:bidi="ar"/>
        </w:rPr>
        <w:t>（5）公共服务与公用设施规划：道路交通规划、公共服务设施规划、公用设施规划、防灾减灾规划。</w:t>
      </w:r>
    </w:p>
    <w:p w14:paraId="7536D33C">
      <w:pPr>
        <w:spacing w:line="360" w:lineRule="auto"/>
        <w:ind w:firstLine="420" w:firstLineChars="200"/>
        <w:rPr>
          <w:rFonts w:hint="eastAsia" w:ascii="宋体" w:hAnsi="宋体" w:eastAsia="宋体" w:cs="宋体"/>
          <w:b w:val="0"/>
          <w:bCs w:val="0"/>
          <w:sz w:val="21"/>
          <w:szCs w:val="21"/>
        </w:rPr>
      </w:pPr>
      <w:r>
        <w:rPr>
          <w:rFonts w:hint="eastAsia" w:ascii="宋体" w:hAnsi="宋体" w:eastAsia="宋体" w:cs="宋体"/>
          <w:b w:val="0"/>
          <w:bCs w:val="0"/>
          <w:sz w:val="21"/>
          <w:szCs w:val="21"/>
          <w:lang w:bidi="ar"/>
        </w:rPr>
        <w:t>（6）国土空间综合整治和生态修复：农用地整治、建设用地整治、生态保护与修复。</w:t>
      </w:r>
    </w:p>
    <w:p w14:paraId="5811DAF1">
      <w:pPr>
        <w:spacing w:line="360" w:lineRule="auto"/>
        <w:ind w:firstLine="420" w:firstLineChars="200"/>
        <w:rPr>
          <w:rFonts w:hint="eastAsia" w:ascii="宋体" w:hAnsi="宋体" w:eastAsia="宋体" w:cs="宋体"/>
          <w:b w:val="0"/>
          <w:bCs w:val="0"/>
          <w:sz w:val="21"/>
          <w:szCs w:val="21"/>
        </w:rPr>
      </w:pPr>
      <w:r>
        <w:rPr>
          <w:rFonts w:hint="eastAsia" w:ascii="宋体" w:hAnsi="宋体" w:eastAsia="宋体" w:cs="宋体"/>
          <w:b w:val="0"/>
          <w:bCs w:val="0"/>
          <w:sz w:val="21"/>
          <w:szCs w:val="21"/>
          <w:lang w:bidi="ar"/>
        </w:rPr>
        <w:t>（7）产业空间引导：产业发展策略、空间布局引导、集体经营性建设用地。</w:t>
      </w:r>
    </w:p>
    <w:p w14:paraId="34E40315">
      <w:pPr>
        <w:spacing w:line="360" w:lineRule="auto"/>
        <w:ind w:firstLine="420" w:firstLineChars="200"/>
        <w:rPr>
          <w:rFonts w:hint="eastAsia" w:ascii="宋体" w:hAnsi="宋体" w:eastAsia="宋体" w:cs="宋体"/>
          <w:b w:val="0"/>
          <w:bCs w:val="0"/>
          <w:sz w:val="21"/>
          <w:szCs w:val="21"/>
        </w:rPr>
      </w:pPr>
      <w:r>
        <w:rPr>
          <w:rFonts w:hint="eastAsia" w:ascii="宋体" w:hAnsi="宋体" w:eastAsia="宋体" w:cs="宋体"/>
          <w:b w:val="0"/>
          <w:bCs w:val="0"/>
          <w:sz w:val="21"/>
          <w:szCs w:val="21"/>
          <w:lang w:bidi="ar"/>
        </w:rPr>
        <w:t>（8）历史文化保护与特色风貌引导（涉及到历史文化名村、传统村落的需补充此内容）</w:t>
      </w:r>
    </w:p>
    <w:p w14:paraId="4908DBC7">
      <w:pPr>
        <w:spacing w:line="360" w:lineRule="auto"/>
        <w:ind w:firstLine="420" w:firstLineChars="200"/>
        <w:rPr>
          <w:rFonts w:hint="eastAsia" w:ascii="宋体" w:hAnsi="宋体" w:eastAsia="宋体" w:cs="宋体"/>
          <w:b w:val="0"/>
          <w:bCs w:val="0"/>
          <w:sz w:val="21"/>
          <w:szCs w:val="21"/>
        </w:rPr>
      </w:pPr>
      <w:r>
        <w:rPr>
          <w:rFonts w:hint="eastAsia" w:ascii="宋体" w:hAnsi="宋体" w:eastAsia="宋体" w:cs="宋体"/>
          <w:b w:val="0"/>
          <w:bCs w:val="0"/>
          <w:sz w:val="21"/>
          <w:szCs w:val="21"/>
          <w:lang w:bidi="ar"/>
        </w:rPr>
        <w:t>（9）人居环境整治规划</w:t>
      </w:r>
    </w:p>
    <w:p w14:paraId="471C9154">
      <w:pPr>
        <w:spacing w:line="360" w:lineRule="auto"/>
        <w:ind w:firstLine="420" w:firstLineChars="200"/>
        <w:rPr>
          <w:rFonts w:hint="eastAsia" w:ascii="宋体" w:hAnsi="宋体" w:eastAsia="宋体" w:cs="宋体"/>
          <w:b w:val="0"/>
          <w:bCs w:val="0"/>
          <w:sz w:val="21"/>
          <w:szCs w:val="21"/>
        </w:rPr>
      </w:pPr>
      <w:r>
        <w:rPr>
          <w:rFonts w:hint="eastAsia" w:ascii="宋体" w:hAnsi="宋体" w:eastAsia="宋体" w:cs="宋体"/>
          <w:b w:val="0"/>
          <w:bCs w:val="0"/>
          <w:sz w:val="21"/>
          <w:szCs w:val="21"/>
          <w:lang w:bidi="ar"/>
        </w:rPr>
        <w:t>（10）近期实施项目</w:t>
      </w:r>
    </w:p>
    <w:p w14:paraId="721D8A4F">
      <w:pPr>
        <w:spacing w:line="360" w:lineRule="auto"/>
        <w:ind w:firstLine="420" w:firstLineChars="200"/>
        <w:rPr>
          <w:rFonts w:hint="eastAsia" w:ascii="宋体" w:hAnsi="宋体" w:eastAsia="宋体" w:cs="宋体"/>
          <w:b w:val="0"/>
          <w:bCs w:val="0"/>
          <w:sz w:val="21"/>
          <w:szCs w:val="21"/>
        </w:rPr>
      </w:pPr>
      <w:r>
        <w:rPr>
          <w:rFonts w:hint="eastAsia" w:ascii="宋体" w:hAnsi="宋体" w:eastAsia="宋体" w:cs="宋体"/>
          <w:b w:val="0"/>
          <w:bCs w:val="0"/>
          <w:sz w:val="21"/>
          <w:szCs w:val="21"/>
          <w:lang w:bidi="ar"/>
        </w:rPr>
        <w:t>（11）相关附表：包括规划指标表、土地用途结构调整表、规划项目清单、近期实施项目库（表）、新增建设用地情况一览表等。</w:t>
      </w:r>
    </w:p>
    <w:p w14:paraId="576AA009">
      <w:pPr>
        <w:numPr>
          <w:ilvl w:val="0"/>
          <w:numId w:val="8"/>
        </w:numPr>
        <w:spacing w:line="360" w:lineRule="auto"/>
        <w:ind w:firstLine="482"/>
        <w:rPr>
          <w:rFonts w:hint="eastAsia" w:ascii="宋体" w:hAnsi="宋体" w:eastAsia="宋体" w:cs="宋体"/>
          <w:b w:val="0"/>
          <w:bCs w:val="0"/>
          <w:sz w:val="21"/>
          <w:szCs w:val="21"/>
        </w:rPr>
      </w:pPr>
      <w:r>
        <w:rPr>
          <w:rFonts w:hint="eastAsia" w:ascii="宋体" w:hAnsi="宋体" w:eastAsia="宋体" w:cs="宋体"/>
          <w:b w:val="0"/>
          <w:bCs w:val="0"/>
          <w:sz w:val="21"/>
          <w:szCs w:val="21"/>
          <w:lang w:bidi="ar"/>
        </w:rPr>
        <w:t>规划图件</w:t>
      </w:r>
    </w:p>
    <w:p w14:paraId="6EE9C80B">
      <w:pPr>
        <w:spacing w:line="360" w:lineRule="auto"/>
        <w:ind w:firstLine="420" w:firstLineChars="200"/>
        <w:rPr>
          <w:rFonts w:hint="eastAsia" w:ascii="宋体" w:hAnsi="宋体" w:eastAsia="宋体" w:cs="宋体"/>
          <w:b w:val="0"/>
          <w:bCs w:val="0"/>
          <w:sz w:val="21"/>
          <w:szCs w:val="21"/>
        </w:rPr>
      </w:pPr>
      <w:r>
        <w:rPr>
          <w:rFonts w:hint="eastAsia" w:ascii="宋体" w:hAnsi="宋体" w:eastAsia="宋体" w:cs="宋体"/>
          <w:b w:val="0"/>
          <w:bCs w:val="0"/>
          <w:sz w:val="21"/>
          <w:szCs w:val="21"/>
          <w:lang w:bidi="ar"/>
        </w:rPr>
        <w:t>应至少包括土地利用现状图、土地利用规划图、建设项目分布图、道路交通规划图、国土空间综合整治和生态修复规划图、公共服务设施规划图、公用设施规划图，涉及集体经营性用地的要有规划管控图则。</w:t>
      </w:r>
    </w:p>
    <w:p w14:paraId="05D7DA39">
      <w:pPr>
        <w:numPr>
          <w:ilvl w:val="0"/>
          <w:numId w:val="8"/>
        </w:numPr>
        <w:spacing w:line="360" w:lineRule="auto"/>
        <w:ind w:firstLine="482"/>
        <w:rPr>
          <w:rFonts w:hint="eastAsia" w:ascii="宋体" w:hAnsi="宋体" w:eastAsia="宋体" w:cs="宋体"/>
          <w:b w:val="0"/>
          <w:bCs w:val="0"/>
          <w:sz w:val="21"/>
          <w:szCs w:val="21"/>
        </w:rPr>
      </w:pPr>
      <w:r>
        <w:rPr>
          <w:rFonts w:hint="eastAsia" w:ascii="宋体" w:hAnsi="宋体" w:eastAsia="宋体" w:cs="宋体"/>
          <w:b w:val="0"/>
          <w:bCs w:val="0"/>
          <w:sz w:val="21"/>
          <w:szCs w:val="21"/>
          <w:lang w:bidi="ar"/>
        </w:rPr>
        <w:t>数据库</w:t>
      </w:r>
    </w:p>
    <w:p w14:paraId="0FF6A470">
      <w:pPr>
        <w:spacing w:line="360" w:lineRule="auto"/>
        <w:ind w:firstLine="420" w:firstLineChars="200"/>
        <w:rPr>
          <w:rFonts w:hint="eastAsia" w:ascii="宋体" w:hAnsi="宋体" w:eastAsia="宋体" w:cs="宋体"/>
          <w:b w:val="0"/>
          <w:bCs w:val="0"/>
          <w:sz w:val="21"/>
          <w:szCs w:val="21"/>
        </w:rPr>
      </w:pPr>
      <w:r>
        <w:rPr>
          <w:rFonts w:hint="eastAsia" w:ascii="宋体" w:hAnsi="宋体" w:eastAsia="宋体" w:cs="宋体"/>
          <w:b w:val="0"/>
          <w:bCs w:val="0"/>
          <w:sz w:val="21"/>
          <w:szCs w:val="21"/>
          <w:lang w:bidi="ar"/>
        </w:rPr>
        <w:t>数据库应满足自然资源部或省自然资源厅的相关数据标准要求。</w:t>
      </w:r>
    </w:p>
    <w:p w14:paraId="35298E1A">
      <w:pPr>
        <w:ind w:firstLine="420" w:firstLineChars="200"/>
        <w:rPr>
          <w:rFonts w:hint="eastAsia" w:ascii="宋体" w:hAnsi="宋体" w:eastAsia="宋体" w:cs="宋体"/>
          <w:b w:val="0"/>
          <w:bCs w:val="0"/>
          <w:sz w:val="21"/>
          <w:szCs w:val="21"/>
          <w:lang w:val="en-US" w:eastAsia="zh-CN" w:bidi="ar"/>
        </w:rPr>
      </w:pPr>
      <w:r>
        <w:rPr>
          <w:rFonts w:hint="eastAsia" w:ascii="宋体" w:hAnsi="宋体" w:eastAsia="宋体" w:cs="宋体"/>
          <w:b w:val="0"/>
          <w:bCs w:val="0"/>
          <w:sz w:val="21"/>
          <w:szCs w:val="21"/>
          <w:lang w:val="en-US" w:eastAsia="zh-CN" w:bidi="ar"/>
        </w:rPr>
        <w:t>4、附件</w:t>
      </w:r>
    </w:p>
    <w:p w14:paraId="541DC839">
      <w:pPr>
        <w:pStyle w:val="22"/>
        <w:keepNext w:val="0"/>
        <w:keepLines w:val="0"/>
        <w:pageBreakBefore w:val="0"/>
        <w:widowControl w:val="0"/>
        <w:kinsoku/>
        <w:wordWrap w:val="0"/>
        <w:overflowPunct/>
        <w:topLinePunct w:val="0"/>
        <w:autoSpaceDE/>
        <w:autoSpaceDN/>
        <w:bidi w:val="0"/>
        <w:adjustRightInd w:val="0"/>
        <w:snapToGrid w:val="0"/>
        <w:spacing w:line="348" w:lineRule="auto"/>
        <w:ind w:firstLine="420" w:firstLineChars="200"/>
        <w:textAlignment w:val="auto"/>
        <w:rPr>
          <w:rFonts w:hint="eastAsia" w:ascii="宋体" w:hAnsi="宋体" w:eastAsia="宋体" w:cs="宋体"/>
          <w:bCs/>
          <w:color w:val="auto"/>
          <w:sz w:val="21"/>
          <w:szCs w:val="21"/>
          <w:lang w:val="en-US" w:eastAsia="zh-CN"/>
        </w:rPr>
      </w:pPr>
      <w:r>
        <w:rPr>
          <w:rFonts w:hint="eastAsia" w:ascii="宋体" w:hAnsi="宋体" w:eastAsia="宋体" w:cs="宋体"/>
          <w:b w:val="0"/>
          <w:bCs w:val="0"/>
          <w:sz w:val="21"/>
          <w:szCs w:val="21"/>
          <w:lang w:bidi="ar"/>
        </w:rPr>
        <w:t>对规划文本</w:t>
      </w:r>
      <w:r>
        <w:rPr>
          <w:rFonts w:hint="eastAsia" w:ascii="宋体" w:hAnsi="宋体" w:eastAsia="宋体" w:cs="宋体"/>
          <w:sz w:val="21"/>
          <w:szCs w:val="21"/>
          <w:lang w:bidi="ar"/>
        </w:rPr>
        <w:t>和图件进行必要的补充说明，应包括村委会审议意见和村民会议或村民代表会议讨论通过的决议、专家论证意见、规划公示及相关意见采纳情况说明等</w:t>
      </w:r>
      <w:r>
        <w:rPr>
          <w:rFonts w:hint="eastAsia" w:ascii="宋体" w:hAnsi="宋体" w:eastAsia="宋体" w:cs="宋体"/>
          <w:sz w:val="21"/>
          <w:szCs w:val="21"/>
          <w:lang w:eastAsia="zh-CN" w:bidi="ar"/>
        </w:rPr>
        <w:t>。</w:t>
      </w:r>
    </w:p>
    <w:p w14:paraId="705CF27A">
      <w:pPr>
        <w:pStyle w:val="22"/>
        <w:wordWrap w:val="0"/>
        <w:adjustRightInd w:val="0"/>
        <w:snapToGrid w:val="0"/>
        <w:spacing w:line="52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 xml:space="preserve"> </w:t>
      </w:r>
    </w:p>
    <w:p w14:paraId="6C5F7B18">
      <w:pPr>
        <w:rPr>
          <w:rFonts w:hint="eastAsia" w:ascii="仿宋" w:hAnsi="仿宋" w:eastAsia="仿宋" w:cs="仿宋"/>
          <w:bCs/>
          <w:sz w:val="44"/>
        </w:rPr>
      </w:pPr>
      <w:r>
        <w:rPr>
          <w:rFonts w:hint="eastAsia" w:ascii="仿宋" w:hAnsi="仿宋" w:eastAsia="仿宋" w:cs="仿宋"/>
          <w:bCs/>
          <w:sz w:val="44"/>
        </w:rPr>
        <w:br w:type="page"/>
      </w:r>
    </w:p>
    <w:p w14:paraId="548D9B01">
      <w:pPr>
        <w:pStyle w:val="194"/>
        <w:rPr>
          <w:rFonts w:ascii="Times New Roman" w:hAnsi="Times New Roman" w:eastAsia="黑体" w:cs="Times New Roman"/>
          <w:bCs/>
          <w:sz w:val="44"/>
        </w:rPr>
      </w:pPr>
      <w:r>
        <w:rPr>
          <w:rFonts w:ascii="Times New Roman" w:hAnsi="Times New Roman" w:eastAsia="黑体" w:cs="Times New Roman"/>
          <w:bCs/>
          <w:sz w:val="44"/>
        </w:rPr>
        <w:t xml:space="preserve">第五章  </w:t>
      </w:r>
      <w:r>
        <w:rPr>
          <w:rFonts w:ascii="Times New Roman" w:hAnsi="Times New Roman" w:eastAsia="黑体" w:cs="Times New Roman"/>
          <w:b/>
          <w:bCs/>
          <w:sz w:val="44"/>
        </w:rPr>
        <w:t>定标原则与评标标准</w:t>
      </w:r>
    </w:p>
    <w:p w14:paraId="1C01A481">
      <w:pPr>
        <w:rPr>
          <w:rFonts w:ascii="Times New Roman" w:hAnsi="Times New Roman" w:cs="Times New Roman"/>
        </w:rPr>
      </w:pPr>
    </w:p>
    <w:p w14:paraId="45123562">
      <w:pPr>
        <w:keepNext w:val="0"/>
        <w:keepLines w:val="0"/>
        <w:pageBreakBefore w:val="0"/>
        <w:widowControl w:val="0"/>
        <w:kinsoku/>
        <w:wordWrap w:val="0"/>
        <w:overflowPunct/>
        <w:topLinePunct w:val="0"/>
        <w:autoSpaceDE/>
        <w:autoSpaceDN/>
        <w:bidi w:val="0"/>
        <w:snapToGrid w:val="0"/>
        <w:spacing w:line="360" w:lineRule="auto"/>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z w:val="21"/>
          <w:szCs w:val="21"/>
          <w:highlight w:val="none"/>
        </w:rPr>
        <w:t>一、定标原则</w:t>
      </w:r>
    </w:p>
    <w:p w14:paraId="09B53162">
      <w:pPr>
        <w:keepNext w:val="0"/>
        <w:keepLines w:val="0"/>
        <w:pageBreakBefore w:val="0"/>
        <w:widowControl w:val="0"/>
        <w:kinsoku/>
        <w:wordWrap w:val="0"/>
        <w:overflowPunct/>
        <w:topLinePunct w:val="0"/>
        <w:autoSpaceDE/>
        <w:autoSpaceDN/>
        <w:bidi w:val="0"/>
        <w:snapToGrid w:val="0"/>
        <w:spacing w:line="360" w:lineRule="auto"/>
        <w:ind w:firstLine="420" w:firstLineChars="200"/>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bCs/>
          <w:sz w:val="21"/>
          <w:szCs w:val="21"/>
          <w:highlight w:val="none"/>
        </w:rPr>
        <w:t>本项目采用</w:t>
      </w:r>
      <w:r>
        <w:rPr>
          <w:rFonts w:hint="default" w:ascii="Times New Roman" w:hAnsi="Times New Roman" w:eastAsia="宋体" w:cs="Times New Roman"/>
          <w:bCs/>
          <w:sz w:val="21"/>
          <w:szCs w:val="21"/>
          <w:highlight w:val="none"/>
          <w:u w:val="single"/>
        </w:rPr>
        <w:t xml:space="preserve"> 综合评分 </w:t>
      </w:r>
      <w:r>
        <w:rPr>
          <w:rFonts w:hint="default" w:ascii="Times New Roman" w:hAnsi="Times New Roman" w:eastAsia="宋体" w:cs="Times New Roman"/>
          <w:bCs/>
          <w:sz w:val="21"/>
          <w:szCs w:val="21"/>
          <w:highlight w:val="none"/>
        </w:rPr>
        <w:t>法。</w:t>
      </w:r>
      <w:r>
        <w:rPr>
          <w:rFonts w:hint="default" w:ascii="Times New Roman" w:hAnsi="Times New Roman" w:eastAsia="宋体" w:cs="Times New Roman"/>
          <w:kern w:val="0"/>
          <w:sz w:val="21"/>
          <w:szCs w:val="21"/>
          <w:highlight w:val="none"/>
        </w:rPr>
        <w:t>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w:t>
      </w:r>
      <w:r>
        <w:rPr>
          <w:rFonts w:hint="default" w:ascii="Times New Roman" w:hAnsi="Times New Roman" w:eastAsia="宋体" w:cs="Times New Roman"/>
          <w:kern w:val="0"/>
          <w:sz w:val="21"/>
          <w:szCs w:val="21"/>
          <w:highlight w:val="none"/>
          <w:u w:val="single"/>
        </w:rPr>
        <w:t>1</w:t>
      </w:r>
      <w:r>
        <w:rPr>
          <w:rFonts w:hint="default" w:ascii="Times New Roman" w:hAnsi="Times New Roman" w:eastAsia="宋体" w:cs="Times New Roman"/>
          <w:kern w:val="0"/>
          <w:sz w:val="21"/>
          <w:szCs w:val="21"/>
          <w:highlight w:val="none"/>
        </w:rPr>
        <w:t>名中标候选人。</w:t>
      </w:r>
    </w:p>
    <w:p w14:paraId="2D5D4A75">
      <w:pPr>
        <w:keepNext w:val="0"/>
        <w:keepLines w:val="0"/>
        <w:pageBreakBefore w:val="0"/>
        <w:widowControl w:val="0"/>
        <w:spacing w:line="520" w:lineRule="exact"/>
        <w:ind w:firstLine="422"/>
        <w:rPr>
          <w:rFonts w:hint="default" w:ascii="Times New Roman" w:hAnsi="Times New Roman" w:eastAsia="宋体" w:cs="Times New Roman"/>
          <w:b/>
          <w:sz w:val="21"/>
          <w:szCs w:val="21"/>
          <w:highlight w:val="yellow"/>
        </w:rPr>
      </w:pPr>
      <w:r>
        <w:rPr>
          <w:rFonts w:hint="default" w:ascii="Times New Roman" w:hAnsi="Times New Roman" w:eastAsia="宋体" w:cs="Times New Roman"/>
          <w:b/>
          <w:sz w:val="21"/>
          <w:szCs w:val="21"/>
        </w:rPr>
        <w:t>政府采购政策功能落实</w:t>
      </w:r>
    </w:p>
    <w:p w14:paraId="2FF14F28">
      <w:pPr>
        <w:keepNext w:val="0"/>
        <w:keepLines w:val="0"/>
        <w:pageBreakBefore w:val="0"/>
        <w:widowControl w:val="0"/>
        <w:spacing w:line="520" w:lineRule="exact"/>
        <w:ind w:firstLine="480"/>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1、小微型企业价格扣除</w:t>
      </w:r>
    </w:p>
    <w:p w14:paraId="202450BD">
      <w:pPr>
        <w:keepNext w:val="0"/>
        <w:keepLines w:val="0"/>
        <w:pageBreakBefore w:val="0"/>
        <w:widowControl w:val="0"/>
        <w:spacing w:line="520" w:lineRule="exact"/>
        <w:ind w:firstLine="480"/>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（1）本项目对小型和微型企业产品给予20%的扣除价格，用扣除后的价格参与评审。</w:t>
      </w:r>
    </w:p>
    <w:p w14:paraId="5BAEC60C">
      <w:pPr>
        <w:keepNext w:val="0"/>
        <w:keepLines w:val="0"/>
        <w:pageBreakBefore w:val="0"/>
        <w:widowControl w:val="0"/>
        <w:spacing w:line="520" w:lineRule="exact"/>
        <w:ind w:firstLine="480"/>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（2）供应商需按照采购文件的要求提供相应的《企业声明函》。</w:t>
      </w:r>
    </w:p>
    <w:p w14:paraId="2A794A76">
      <w:pPr>
        <w:keepNext w:val="0"/>
        <w:keepLines w:val="0"/>
        <w:pageBreakBefore w:val="0"/>
        <w:widowControl w:val="0"/>
        <w:spacing w:line="520" w:lineRule="exact"/>
        <w:ind w:firstLine="480"/>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（3）企业标准请参照《关于印发中小企业划型标准规定的通知》（工信部联企业[2011]300号）文件规定自行填写。</w:t>
      </w:r>
    </w:p>
    <w:p w14:paraId="2FF72C3B">
      <w:pPr>
        <w:keepNext w:val="0"/>
        <w:keepLines w:val="0"/>
        <w:pageBreakBefore w:val="0"/>
        <w:widowControl w:val="0"/>
        <w:spacing w:line="520" w:lineRule="exact"/>
        <w:ind w:firstLine="480"/>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（4）在货物采购项目中，供应商提供的货物既有中小企业制造货物，也有大型企业制造货物的，不享受本办法规定的中小企业扶持政策。</w:t>
      </w:r>
    </w:p>
    <w:p w14:paraId="72BE7D8B">
      <w:pPr>
        <w:keepNext w:val="0"/>
        <w:keepLines w:val="0"/>
        <w:pageBreakBefore w:val="0"/>
        <w:widowControl w:val="0"/>
        <w:spacing w:line="520" w:lineRule="exact"/>
        <w:ind w:firstLine="480"/>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2、残疾人福利单位价格扣除</w:t>
      </w:r>
    </w:p>
    <w:p w14:paraId="47B1F7CD">
      <w:pPr>
        <w:keepNext w:val="0"/>
        <w:keepLines w:val="0"/>
        <w:pageBreakBefore w:val="0"/>
        <w:widowControl w:val="0"/>
        <w:spacing w:line="520" w:lineRule="exact"/>
        <w:ind w:firstLine="480"/>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（1）本项目对残疾人福利性单位视同小型、微型企业，给予20%的价格扣除，用扣除后的价格参与评审。</w:t>
      </w:r>
    </w:p>
    <w:p w14:paraId="3A0C82CD">
      <w:pPr>
        <w:keepNext w:val="0"/>
        <w:keepLines w:val="0"/>
        <w:pageBreakBefore w:val="0"/>
        <w:widowControl w:val="0"/>
        <w:spacing w:line="520" w:lineRule="exact"/>
        <w:ind w:firstLine="480"/>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（2）残疾人福利单位需提供《残疾人福利性单位声明函》。</w:t>
      </w:r>
    </w:p>
    <w:p w14:paraId="2F4522A7">
      <w:pPr>
        <w:keepNext w:val="0"/>
        <w:keepLines w:val="0"/>
        <w:pageBreakBefore w:val="0"/>
        <w:widowControl w:val="0"/>
        <w:spacing w:line="520" w:lineRule="exact"/>
        <w:ind w:firstLine="480"/>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（3）残疾人福利单位标准请参照《关于促进残疾人就业政府采购政策的通知》（财库〔2017〕141号）。</w:t>
      </w:r>
    </w:p>
    <w:p w14:paraId="74C833C2">
      <w:pPr>
        <w:keepNext w:val="0"/>
        <w:keepLines w:val="0"/>
        <w:pageBreakBefore w:val="0"/>
        <w:widowControl w:val="0"/>
        <w:spacing w:line="520" w:lineRule="exact"/>
        <w:ind w:firstLine="480"/>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3、监狱和戒毒企业价格扣除</w:t>
      </w:r>
    </w:p>
    <w:p w14:paraId="7B3575EB">
      <w:pPr>
        <w:keepNext w:val="0"/>
        <w:keepLines w:val="0"/>
        <w:pageBreakBefore w:val="0"/>
        <w:widowControl w:val="0"/>
        <w:spacing w:line="520" w:lineRule="exact"/>
        <w:ind w:firstLine="480"/>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（1）本项目对监狱和戒毒企业（简称监狱企业）视同小型、微型企业，给予20%的价格扣除，用扣除后的价格参与评审。</w:t>
      </w:r>
    </w:p>
    <w:p w14:paraId="25E2C728">
      <w:pPr>
        <w:keepNext w:val="0"/>
        <w:keepLines w:val="0"/>
        <w:pageBreakBefore w:val="0"/>
        <w:widowControl w:val="0"/>
        <w:spacing w:line="520" w:lineRule="exact"/>
        <w:ind w:firstLine="480"/>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（2）监狱企业参加政府采购活动时，需提供由省级以上监狱管理局、戒毒管理局(含新疆生产建设兵团)出具的属于监狱企业的证明文件。供应商如不提供上述证明文件，价格将不做相应扣除。</w:t>
      </w:r>
    </w:p>
    <w:p w14:paraId="512663A1">
      <w:pPr>
        <w:keepNext w:val="0"/>
        <w:keepLines w:val="0"/>
        <w:pageBreakBefore w:val="0"/>
        <w:widowControl w:val="0"/>
        <w:spacing w:line="520" w:lineRule="exact"/>
        <w:ind w:firstLine="480"/>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（3）监狱企业标准请参照《关于政府采购支持监狱企业发展有关问题的通知》（财库[2014]68号）。</w:t>
      </w:r>
    </w:p>
    <w:p w14:paraId="5BB874D6">
      <w:pPr>
        <w:keepNext w:val="0"/>
        <w:keepLines w:val="0"/>
        <w:pageBreakBefore w:val="0"/>
        <w:widowControl w:val="0"/>
        <w:spacing w:line="520" w:lineRule="exact"/>
        <w:ind w:firstLine="480"/>
        <w:rPr>
          <w:rFonts w:hint="default" w:ascii="Times New Roman" w:hAnsi="Times New Roman" w:eastAsia="宋体" w:cs="Times New Roman"/>
          <w:b/>
          <w:bCs/>
          <w:sz w:val="21"/>
          <w:szCs w:val="21"/>
          <w:highlight w:val="none"/>
        </w:rPr>
      </w:pPr>
      <w:r>
        <w:rPr>
          <w:rFonts w:hint="default" w:ascii="Times New Roman" w:hAnsi="Times New Roman" w:eastAsia="宋体" w:cs="Times New Roman"/>
          <w:color w:val="000000"/>
          <w:sz w:val="21"/>
          <w:szCs w:val="21"/>
          <w:highlight w:val="none"/>
          <w:lang w:val="en-US" w:eastAsia="zh-CN"/>
        </w:rPr>
        <w:t>4、残疾人福利单位、监狱企业属于小型、微型企业的，不重复享受政策。</w:t>
      </w:r>
    </w:p>
    <w:p w14:paraId="70773B65">
      <w:pPr>
        <w:keepNext w:val="0"/>
        <w:keepLines w:val="0"/>
        <w:pageBreakBefore w:val="0"/>
        <w:widowControl w:val="0"/>
        <w:kinsoku/>
        <w:wordWrap w:val="0"/>
        <w:overflowPunct/>
        <w:topLinePunct w:val="0"/>
        <w:autoSpaceDE/>
        <w:autoSpaceDN/>
        <w:bidi w:val="0"/>
        <w:snapToGrid w:val="0"/>
        <w:spacing w:line="360" w:lineRule="auto"/>
        <w:outlineLvl w:val="1"/>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sz w:val="21"/>
          <w:szCs w:val="21"/>
          <w:highlight w:val="none"/>
        </w:rPr>
        <w:t>二、</w:t>
      </w:r>
      <w:r>
        <w:rPr>
          <w:rFonts w:hint="default" w:ascii="Times New Roman" w:hAnsi="Times New Roman" w:eastAsia="宋体" w:cs="Times New Roman"/>
          <w:b/>
          <w:bCs/>
          <w:color w:val="auto"/>
          <w:sz w:val="21"/>
          <w:szCs w:val="21"/>
          <w:highlight w:val="none"/>
        </w:rPr>
        <w:t>评标标准和程序</w:t>
      </w:r>
    </w:p>
    <w:p w14:paraId="3D3DDF52">
      <w:pPr>
        <w:keepNext w:val="0"/>
        <w:keepLines w:val="0"/>
        <w:pageBreakBefore w:val="0"/>
        <w:widowControl w:val="0"/>
        <w:kinsoku/>
        <w:wordWrap w:val="0"/>
        <w:overflowPunct/>
        <w:topLinePunct w:val="0"/>
        <w:autoSpaceDE/>
        <w:autoSpaceDN/>
        <w:bidi w:val="0"/>
        <w:spacing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评标委员会根据评审标准和无效标书条款对每一份投标文件进行评审，凡有无效标书条款规定情形之一的，作无效标处理。</w:t>
      </w:r>
    </w:p>
    <w:p w14:paraId="41522FA6">
      <w:pPr>
        <w:keepNext w:val="0"/>
        <w:keepLines w:val="0"/>
        <w:pageBreakBefore w:val="0"/>
        <w:widowControl w:val="0"/>
        <w:kinsoku/>
        <w:wordWrap w:val="0"/>
        <w:overflowPunct/>
        <w:topLinePunct w:val="0"/>
        <w:autoSpaceDE/>
        <w:autoSpaceDN/>
        <w:bidi w:val="0"/>
        <w:spacing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投标报价评审的修正原则：1.大写报价与小写报价不一致的以大写报价为准；2.投标单价合计结果与总价不一致的以单价为准；3.前述原则并列遵循。</w:t>
      </w:r>
    </w:p>
    <w:p w14:paraId="3F4D04AA">
      <w:pPr>
        <w:keepNext w:val="0"/>
        <w:keepLines w:val="0"/>
        <w:pageBreakBefore w:val="0"/>
        <w:widowControl w:val="0"/>
        <w:kinsoku/>
        <w:wordWrap w:val="0"/>
        <w:overflowPunct/>
        <w:topLinePunct w:val="0"/>
        <w:autoSpaceDE/>
        <w:autoSpaceDN/>
        <w:bidi w:val="0"/>
        <w:spacing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投标文件的评审按以下顺序进行，上一阶段未通过的不进入下一阶段评审：</w:t>
      </w:r>
    </w:p>
    <w:p w14:paraId="449E2884">
      <w:pPr>
        <w:keepNext w:val="0"/>
        <w:keepLines w:val="0"/>
        <w:pageBreakBefore w:val="0"/>
        <w:widowControl w:val="0"/>
        <w:kinsoku/>
        <w:wordWrap w:val="0"/>
        <w:overflowPunct/>
        <w:topLinePunct w:val="0"/>
        <w:autoSpaceDE/>
        <w:autoSpaceDN/>
        <w:bidi w:val="0"/>
        <w:spacing w:line="360" w:lineRule="auto"/>
        <w:ind w:firstLine="422" w:firstLineChars="200"/>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1、初步评审</w:t>
      </w:r>
    </w:p>
    <w:p w14:paraId="36894187">
      <w:pPr>
        <w:keepNext w:val="0"/>
        <w:keepLines w:val="0"/>
        <w:pageBreakBefore w:val="0"/>
        <w:widowControl w:val="0"/>
        <w:kinsoku/>
        <w:wordWrap w:val="0"/>
        <w:overflowPunct/>
        <w:topLinePunct w:val="0"/>
        <w:autoSpaceDE/>
        <w:autoSpaceDN/>
        <w:bidi w:val="0"/>
        <w:spacing w:line="360" w:lineRule="auto"/>
        <w:ind w:firstLine="422" w:firstLineChars="200"/>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1.1资格审查（资格后审）</w:t>
      </w:r>
    </w:p>
    <w:p w14:paraId="35AC4A07">
      <w:pPr>
        <w:keepNext w:val="0"/>
        <w:keepLines w:val="0"/>
        <w:pageBreakBefore w:val="0"/>
        <w:widowControl w:val="0"/>
        <w:kinsoku/>
        <w:wordWrap w:val="0"/>
        <w:overflowPunct/>
        <w:topLinePunct w:val="0"/>
        <w:autoSpaceDE/>
        <w:autoSpaceDN/>
        <w:bidi w:val="0"/>
        <w:spacing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采购人</w:t>
      </w:r>
      <w:r>
        <w:rPr>
          <w:rFonts w:hint="default" w:ascii="Times New Roman" w:hAnsi="Times New Roman" w:eastAsia="宋体" w:cs="Times New Roman"/>
          <w:color w:val="auto"/>
          <w:sz w:val="21"/>
          <w:szCs w:val="21"/>
          <w:highlight w:val="none"/>
        </w:rPr>
        <w:t>对所有参加投标的投标供应商的资格对照招标文件资格审查的规定要求进行审查，只有通过资格审查的投标供应商方可进行下一阶段的评审。</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4"/>
        <w:gridCol w:w="3944"/>
        <w:gridCol w:w="3514"/>
      </w:tblGrid>
      <w:tr w14:paraId="1475E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blHeader/>
          <w:jc w:val="center"/>
        </w:trPr>
        <w:tc>
          <w:tcPr>
            <w:tcW w:w="1064" w:type="dxa"/>
            <w:shd w:val="clear" w:color="auto" w:fill="F1F1F1"/>
            <w:noWrap w:val="0"/>
            <w:vAlign w:val="center"/>
          </w:tcPr>
          <w:p w14:paraId="381F765A">
            <w:pPr>
              <w:pStyle w:val="248"/>
              <w:keepNext w:val="0"/>
              <w:keepLines w:val="0"/>
              <w:pageBreakBefore w:val="0"/>
              <w:widowControl w:val="0"/>
              <w:kinsoku/>
              <w:wordWrap w:val="0"/>
              <w:overflowPunct/>
              <w:topLinePunct w:val="0"/>
              <w:autoSpaceDE/>
              <w:autoSpaceDN/>
              <w:bidi w:val="0"/>
              <w:spacing w:before="0" w:after="0" w:line="360" w:lineRule="auto"/>
              <w:ind w:firstLine="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序号</w:t>
            </w:r>
          </w:p>
        </w:tc>
        <w:tc>
          <w:tcPr>
            <w:tcW w:w="3944" w:type="dxa"/>
            <w:shd w:val="clear" w:color="auto" w:fill="F1F1F1"/>
            <w:noWrap w:val="0"/>
            <w:vAlign w:val="center"/>
          </w:tcPr>
          <w:p w14:paraId="41320178">
            <w:pPr>
              <w:pStyle w:val="248"/>
              <w:keepNext w:val="0"/>
              <w:keepLines w:val="0"/>
              <w:pageBreakBefore w:val="0"/>
              <w:widowControl w:val="0"/>
              <w:kinsoku/>
              <w:wordWrap w:val="0"/>
              <w:overflowPunct/>
              <w:topLinePunct w:val="0"/>
              <w:autoSpaceDE/>
              <w:autoSpaceDN/>
              <w:bidi w:val="0"/>
              <w:spacing w:before="0" w:after="0" w:line="360" w:lineRule="auto"/>
              <w:ind w:firstLine="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审查材料名称</w:t>
            </w:r>
          </w:p>
        </w:tc>
        <w:tc>
          <w:tcPr>
            <w:tcW w:w="3514" w:type="dxa"/>
            <w:shd w:val="clear" w:color="auto" w:fill="F1F1F1"/>
            <w:noWrap w:val="0"/>
            <w:vAlign w:val="center"/>
          </w:tcPr>
          <w:p w14:paraId="0573B73A">
            <w:pPr>
              <w:pStyle w:val="248"/>
              <w:keepNext w:val="0"/>
              <w:keepLines w:val="0"/>
              <w:pageBreakBefore w:val="0"/>
              <w:widowControl w:val="0"/>
              <w:kinsoku/>
              <w:wordWrap w:val="0"/>
              <w:overflowPunct/>
              <w:topLinePunct w:val="0"/>
              <w:autoSpaceDE/>
              <w:autoSpaceDN/>
              <w:bidi w:val="0"/>
              <w:spacing w:before="0" w:after="0" w:line="360" w:lineRule="auto"/>
              <w:ind w:firstLine="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备注</w:t>
            </w:r>
          </w:p>
        </w:tc>
      </w:tr>
      <w:tr w14:paraId="6CA74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 w:hRule="atLeast"/>
          <w:jc w:val="center"/>
        </w:trPr>
        <w:tc>
          <w:tcPr>
            <w:tcW w:w="1064" w:type="dxa"/>
            <w:noWrap w:val="0"/>
            <w:vAlign w:val="center"/>
          </w:tcPr>
          <w:p w14:paraId="2E9529A4">
            <w:pPr>
              <w:pStyle w:val="248"/>
              <w:keepNext w:val="0"/>
              <w:keepLines w:val="0"/>
              <w:pageBreakBefore w:val="0"/>
              <w:widowControl w:val="0"/>
              <w:kinsoku/>
              <w:wordWrap w:val="0"/>
              <w:overflowPunct/>
              <w:topLinePunct w:val="0"/>
              <w:autoSpaceDE/>
              <w:autoSpaceDN/>
              <w:bidi w:val="0"/>
              <w:spacing w:before="0" w:after="0" w:line="360" w:lineRule="auto"/>
              <w:ind w:firstLine="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p>
        </w:tc>
        <w:tc>
          <w:tcPr>
            <w:tcW w:w="3944" w:type="dxa"/>
            <w:noWrap w:val="0"/>
            <w:vAlign w:val="center"/>
          </w:tcPr>
          <w:p w14:paraId="676DC636">
            <w:pPr>
              <w:pStyle w:val="248"/>
              <w:keepNext w:val="0"/>
              <w:keepLines w:val="0"/>
              <w:pageBreakBefore w:val="0"/>
              <w:widowControl w:val="0"/>
              <w:kinsoku/>
              <w:wordWrap w:val="0"/>
              <w:overflowPunct/>
              <w:topLinePunct w:val="0"/>
              <w:autoSpaceDE/>
              <w:autoSpaceDN/>
              <w:bidi w:val="0"/>
              <w:spacing w:before="0" w:after="0" w:line="360" w:lineRule="auto"/>
              <w:ind w:firstLine="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营业执照、税务登记证（或多证合一的营业执照）或事业单位法人证书</w:t>
            </w:r>
          </w:p>
        </w:tc>
        <w:tc>
          <w:tcPr>
            <w:tcW w:w="3514" w:type="dxa"/>
            <w:noWrap w:val="0"/>
            <w:vAlign w:val="center"/>
          </w:tcPr>
          <w:p w14:paraId="7368FFD0">
            <w:pPr>
              <w:pStyle w:val="248"/>
              <w:keepNext w:val="0"/>
              <w:keepLines w:val="0"/>
              <w:pageBreakBefore w:val="0"/>
              <w:widowControl w:val="0"/>
              <w:kinsoku/>
              <w:wordWrap w:val="0"/>
              <w:overflowPunct/>
              <w:topLinePunct w:val="0"/>
              <w:autoSpaceDE/>
              <w:autoSpaceDN/>
              <w:bidi w:val="0"/>
              <w:spacing w:before="0" w:after="0" w:line="360" w:lineRule="auto"/>
              <w:ind w:firstLine="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提供扫描件</w:t>
            </w:r>
          </w:p>
        </w:tc>
      </w:tr>
      <w:tr w14:paraId="0D2F0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1064" w:type="dxa"/>
            <w:noWrap w:val="0"/>
            <w:vAlign w:val="center"/>
          </w:tcPr>
          <w:p w14:paraId="74083EFF">
            <w:pPr>
              <w:pStyle w:val="248"/>
              <w:keepNext w:val="0"/>
              <w:keepLines w:val="0"/>
              <w:pageBreakBefore w:val="0"/>
              <w:widowControl w:val="0"/>
              <w:kinsoku/>
              <w:wordWrap w:val="0"/>
              <w:overflowPunct/>
              <w:topLinePunct w:val="0"/>
              <w:autoSpaceDE/>
              <w:autoSpaceDN/>
              <w:bidi w:val="0"/>
              <w:spacing w:before="0" w:after="0" w:line="360" w:lineRule="auto"/>
              <w:ind w:firstLine="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w:t>
            </w:r>
          </w:p>
        </w:tc>
        <w:tc>
          <w:tcPr>
            <w:tcW w:w="3944" w:type="dxa"/>
            <w:noWrap w:val="0"/>
            <w:vAlign w:val="center"/>
          </w:tcPr>
          <w:p w14:paraId="3F3692C3">
            <w:pPr>
              <w:pStyle w:val="248"/>
              <w:keepNext w:val="0"/>
              <w:keepLines w:val="0"/>
              <w:pageBreakBefore w:val="0"/>
              <w:widowControl w:val="0"/>
              <w:kinsoku/>
              <w:wordWrap w:val="0"/>
              <w:overflowPunct/>
              <w:topLinePunct w:val="0"/>
              <w:autoSpaceDE/>
              <w:autoSpaceDN/>
              <w:bidi w:val="0"/>
              <w:spacing w:before="0" w:after="0" w:line="360" w:lineRule="auto"/>
              <w:ind w:firstLine="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上一年度的财务报表（成立不满一年不需提供）</w:t>
            </w:r>
          </w:p>
        </w:tc>
        <w:tc>
          <w:tcPr>
            <w:tcW w:w="3514" w:type="dxa"/>
            <w:noWrap w:val="0"/>
            <w:vAlign w:val="center"/>
          </w:tcPr>
          <w:p w14:paraId="78E5FDB2">
            <w:pPr>
              <w:pStyle w:val="248"/>
              <w:keepNext w:val="0"/>
              <w:keepLines w:val="0"/>
              <w:pageBreakBefore w:val="0"/>
              <w:widowControl w:val="0"/>
              <w:kinsoku/>
              <w:wordWrap w:val="0"/>
              <w:overflowPunct/>
              <w:topLinePunct w:val="0"/>
              <w:autoSpaceDE/>
              <w:autoSpaceDN/>
              <w:bidi w:val="0"/>
              <w:spacing w:before="0" w:after="0" w:line="360" w:lineRule="auto"/>
              <w:ind w:firstLine="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提供扫描件</w:t>
            </w:r>
          </w:p>
        </w:tc>
      </w:tr>
      <w:tr w14:paraId="6AAC7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64" w:type="dxa"/>
            <w:noWrap w:val="0"/>
            <w:vAlign w:val="center"/>
          </w:tcPr>
          <w:p w14:paraId="37250339">
            <w:pPr>
              <w:pStyle w:val="248"/>
              <w:keepNext w:val="0"/>
              <w:keepLines w:val="0"/>
              <w:pageBreakBefore w:val="0"/>
              <w:widowControl w:val="0"/>
              <w:kinsoku/>
              <w:wordWrap w:val="0"/>
              <w:overflowPunct/>
              <w:topLinePunct w:val="0"/>
              <w:autoSpaceDE/>
              <w:autoSpaceDN/>
              <w:bidi w:val="0"/>
              <w:spacing w:before="0" w:after="0" w:line="360" w:lineRule="auto"/>
              <w:ind w:firstLine="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w:t>
            </w:r>
          </w:p>
        </w:tc>
        <w:tc>
          <w:tcPr>
            <w:tcW w:w="3944" w:type="dxa"/>
            <w:noWrap w:val="0"/>
            <w:vAlign w:val="center"/>
          </w:tcPr>
          <w:p w14:paraId="38C24422">
            <w:pPr>
              <w:pStyle w:val="248"/>
              <w:keepNext w:val="0"/>
              <w:keepLines w:val="0"/>
              <w:pageBreakBefore w:val="0"/>
              <w:widowControl w:val="0"/>
              <w:kinsoku/>
              <w:wordWrap w:val="0"/>
              <w:overflowPunct/>
              <w:topLinePunct w:val="0"/>
              <w:autoSpaceDE/>
              <w:autoSpaceDN/>
              <w:bidi w:val="0"/>
              <w:spacing w:before="0" w:after="0" w:line="360" w:lineRule="auto"/>
              <w:ind w:firstLine="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依法缴纳税收和社会保障资金的相关材料</w:t>
            </w:r>
          </w:p>
        </w:tc>
        <w:tc>
          <w:tcPr>
            <w:tcW w:w="3514" w:type="dxa"/>
            <w:noWrap w:val="0"/>
            <w:vAlign w:val="center"/>
          </w:tcPr>
          <w:p w14:paraId="603DBB6D">
            <w:pPr>
              <w:pStyle w:val="248"/>
              <w:keepNext w:val="0"/>
              <w:keepLines w:val="0"/>
              <w:pageBreakBefore w:val="0"/>
              <w:widowControl w:val="0"/>
              <w:kinsoku/>
              <w:wordWrap w:val="0"/>
              <w:overflowPunct/>
              <w:topLinePunct w:val="0"/>
              <w:autoSpaceDE/>
              <w:autoSpaceDN/>
              <w:bidi w:val="0"/>
              <w:spacing w:before="0" w:after="0" w:line="360" w:lineRule="auto"/>
              <w:ind w:firstLine="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提供承诺函，格式附后</w:t>
            </w:r>
          </w:p>
        </w:tc>
      </w:tr>
      <w:tr w14:paraId="2301F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64" w:type="dxa"/>
            <w:noWrap w:val="0"/>
            <w:vAlign w:val="center"/>
          </w:tcPr>
          <w:p w14:paraId="4926CC14">
            <w:pPr>
              <w:pStyle w:val="248"/>
              <w:keepNext w:val="0"/>
              <w:keepLines w:val="0"/>
              <w:pageBreakBefore w:val="0"/>
              <w:widowControl w:val="0"/>
              <w:kinsoku/>
              <w:wordWrap w:val="0"/>
              <w:overflowPunct/>
              <w:topLinePunct w:val="0"/>
              <w:autoSpaceDE/>
              <w:autoSpaceDN/>
              <w:bidi w:val="0"/>
              <w:spacing w:before="0" w:after="0" w:line="360" w:lineRule="auto"/>
              <w:ind w:firstLine="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w:t>
            </w:r>
          </w:p>
        </w:tc>
        <w:tc>
          <w:tcPr>
            <w:tcW w:w="3944" w:type="dxa"/>
            <w:noWrap w:val="0"/>
            <w:vAlign w:val="center"/>
          </w:tcPr>
          <w:p w14:paraId="312CD70C">
            <w:pPr>
              <w:pStyle w:val="248"/>
              <w:keepNext w:val="0"/>
              <w:keepLines w:val="0"/>
              <w:pageBreakBefore w:val="0"/>
              <w:widowControl w:val="0"/>
              <w:kinsoku/>
              <w:wordWrap w:val="0"/>
              <w:overflowPunct/>
              <w:topLinePunct w:val="0"/>
              <w:autoSpaceDE/>
              <w:autoSpaceDN/>
              <w:bidi w:val="0"/>
              <w:spacing w:before="0" w:after="0" w:line="360" w:lineRule="auto"/>
              <w:ind w:firstLine="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具备履行合同所必需的设备和专业技术能力的书面声明</w:t>
            </w:r>
          </w:p>
        </w:tc>
        <w:tc>
          <w:tcPr>
            <w:tcW w:w="3514" w:type="dxa"/>
            <w:noWrap w:val="0"/>
            <w:vAlign w:val="center"/>
          </w:tcPr>
          <w:p w14:paraId="401079F0">
            <w:pPr>
              <w:pStyle w:val="248"/>
              <w:keepNext w:val="0"/>
              <w:keepLines w:val="0"/>
              <w:pageBreakBefore w:val="0"/>
              <w:widowControl w:val="0"/>
              <w:kinsoku/>
              <w:wordWrap w:val="0"/>
              <w:overflowPunct/>
              <w:topLinePunct w:val="0"/>
              <w:autoSpaceDE/>
              <w:autoSpaceDN/>
              <w:bidi w:val="0"/>
              <w:spacing w:before="0" w:after="0" w:line="360" w:lineRule="auto"/>
              <w:ind w:firstLine="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提供书面声明，格式附后</w:t>
            </w:r>
          </w:p>
        </w:tc>
      </w:tr>
      <w:tr w14:paraId="564B3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 w:hRule="atLeast"/>
          <w:jc w:val="center"/>
        </w:trPr>
        <w:tc>
          <w:tcPr>
            <w:tcW w:w="1064" w:type="dxa"/>
            <w:noWrap w:val="0"/>
            <w:vAlign w:val="center"/>
          </w:tcPr>
          <w:p w14:paraId="6AC55614">
            <w:pPr>
              <w:pStyle w:val="248"/>
              <w:keepNext w:val="0"/>
              <w:keepLines w:val="0"/>
              <w:pageBreakBefore w:val="0"/>
              <w:widowControl w:val="0"/>
              <w:kinsoku/>
              <w:wordWrap w:val="0"/>
              <w:overflowPunct/>
              <w:topLinePunct w:val="0"/>
              <w:autoSpaceDE/>
              <w:autoSpaceDN/>
              <w:bidi w:val="0"/>
              <w:spacing w:before="0" w:after="0" w:line="360" w:lineRule="auto"/>
              <w:ind w:firstLine="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5</w:t>
            </w:r>
          </w:p>
        </w:tc>
        <w:tc>
          <w:tcPr>
            <w:tcW w:w="3944" w:type="dxa"/>
            <w:noWrap w:val="0"/>
            <w:vAlign w:val="center"/>
          </w:tcPr>
          <w:p w14:paraId="4AB3547F">
            <w:pPr>
              <w:pStyle w:val="248"/>
              <w:keepNext w:val="0"/>
              <w:keepLines w:val="0"/>
              <w:pageBreakBefore w:val="0"/>
              <w:widowControl w:val="0"/>
              <w:kinsoku/>
              <w:wordWrap w:val="0"/>
              <w:overflowPunct/>
              <w:topLinePunct w:val="0"/>
              <w:autoSpaceDE/>
              <w:autoSpaceDN/>
              <w:bidi w:val="0"/>
              <w:spacing w:before="0" w:after="0" w:line="360" w:lineRule="auto"/>
              <w:ind w:firstLine="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参加政府采购活动前3年内在经营活动中没有重大违法记录的书面声明</w:t>
            </w:r>
          </w:p>
        </w:tc>
        <w:tc>
          <w:tcPr>
            <w:tcW w:w="3514" w:type="dxa"/>
            <w:noWrap w:val="0"/>
            <w:vAlign w:val="center"/>
          </w:tcPr>
          <w:p w14:paraId="0278EBD3">
            <w:pPr>
              <w:pStyle w:val="248"/>
              <w:keepNext w:val="0"/>
              <w:keepLines w:val="0"/>
              <w:pageBreakBefore w:val="0"/>
              <w:widowControl w:val="0"/>
              <w:kinsoku/>
              <w:wordWrap w:val="0"/>
              <w:overflowPunct/>
              <w:topLinePunct w:val="0"/>
              <w:autoSpaceDE/>
              <w:autoSpaceDN/>
              <w:bidi w:val="0"/>
              <w:spacing w:before="0" w:after="0" w:line="360" w:lineRule="auto"/>
              <w:ind w:firstLine="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提供书面声明，格式附后</w:t>
            </w:r>
          </w:p>
        </w:tc>
      </w:tr>
      <w:tr w14:paraId="52B23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 w:hRule="atLeast"/>
          <w:jc w:val="center"/>
        </w:trPr>
        <w:tc>
          <w:tcPr>
            <w:tcW w:w="1064" w:type="dxa"/>
            <w:noWrap w:val="0"/>
            <w:vAlign w:val="center"/>
          </w:tcPr>
          <w:p w14:paraId="395759E1">
            <w:pPr>
              <w:pStyle w:val="248"/>
              <w:keepNext w:val="0"/>
              <w:keepLines w:val="0"/>
              <w:pageBreakBefore w:val="0"/>
              <w:widowControl w:val="0"/>
              <w:kinsoku/>
              <w:wordWrap w:val="0"/>
              <w:overflowPunct/>
              <w:topLinePunct w:val="0"/>
              <w:autoSpaceDE/>
              <w:autoSpaceDN/>
              <w:bidi w:val="0"/>
              <w:spacing w:before="0" w:after="0" w:line="360" w:lineRule="auto"/>
              <w:ind w:firstLine="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6</w:t>
            </w:r>
          </w:p>
        </w:tc>
        <w:tc>
          <w:tcPr>
            <w:tcW w:w="3944" w:type="dxa"/>
            <w:noWrap w:val="0"/>
            <w:vAlign w:val="center"/>
          </w:tcPr>
          <w:p w14:paraId="40CE9DE2">
            <w:pPr>
              <w:pStyle w:val="248"/>
              <w:keepNext w:val="0"/>
              <w:keepLines w:val="0"/>
              <w:pageBreakBefore w:val="0"/>
              <w:widowControl w:val="0"/>
              <w:kinsoku/>
              <w:wordWrap w:val="0"/>
              <w:overflowPunct/>
              <w:topLinePunct w:val="0"/>
              <w:autoSpaceDE/>
              <w:autoSpaceDN/>
              <w:bidi w:val="0"/>
              <w:spacing w:before="0" w:after="0" w:line="360" w:lineRule="auto"/>
              <w:ind w:firstLine="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未被“信用中国”网站（www.creditchina.gov.cn）列入失信被执行人、重大税收违法案件当事人名单、政府采购严重失信行为记录名单。</w:t>
            </w:r>
          </w:p>
        </w:tc>
        <w:tc>
          <w:tcPr>
            <w:tcW w:w="3514" w:type="dxa"/>
            <w:noWrap w:val="0"/>
            <w:vAlign w:val="center"/>
          </w:tcPr>
          <w:p w14:paraId="7D6790B1">
            <w:pPr>
              <w:pStyle w:val="248"/>
              <w:keepNext w:val="0"/>
              <w:keepLines w:val="0"/>
              <w:pageBreakBefore w:val="0"/>
              <w:widowControl w:val="0"/>
              <w:kinsoku/>
              <w:wordWrap w:val="0"/>
              <w:overflowPunct/>
              <w:topLinePunct w:val="0"/>
              <w:autoSpaceDE/>
              <w:autoSpaceDN/>
              <w:bidi w:val="0"/>
              <w:spacing w:before="0" w:after="0" w:line="360" w:lineRule="auto"/>
              <w:ind w:firstLine="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提供信用中国网页截图或信用中国下载的信用报告</w:t>
            </w:r>
          </w:p>
        </w:tc>
      </w:tr>
      <w:tr w14:paraId="0C5AC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 w:hRule="atLeast"/>
          <w:jc w:val="center"/>
        </w:trPr>
        <w:tc>
          <w:tcPr>
            <w:tcW w:w="1064" w:type="dxa"/>
            <w:noWrap w:val="0"/>
            <w:vAlign w:val="center"/>
          </w:tcPr>
          <w:p w14:paraId="0ED42FF8">
            <w:pPr>
              <w:pStyle w:val="248"/>
              <w:keepNext w:val="0"/>
              <w:keepLines w:val="0"/>
              <w:pageBreakBefore w:val="0"/>
              <w:widowControl w:val="0"/>
              <w:kinsoku/>
              <w:wordWrap w:val="0"/>
              <w:overflowPunct/>
              <w:topLinePunct w:val="0"/>
              <w:autoSpaceDE/>
              <w:autoSpaceDN/>
              <w:bidi w:val="0"/>
              <w:spacing w:before="0" w:after="0" w:line="360" w:lineRule="auto"/>
              <w:ind w:firstLine="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7</w:t>
            </w:r>
          </w:p>
        </w:tc>
        <w:tc>
          <w:tcPr>
            <w:tcW w:w="3944" w:type="dxa"/>
            <w:noWrap w:val="0"/>
            <w:vAlign w:val="center"/>
          </w:tcPr>
          <w:p w14:paraId="636BF306">
            <w:pPr>
              <w:pStyle w:val="248"/>
              <w:keepNext w:val="0"/>
              <w:keepLines w:val="0"/>
              <w:pageBreakBefore w:val="0"/>
              <w:widowControl w:val="0"/>
              <w:kinsoku/>
              <w:wordWrap w:val="0"/>
              <w:overflowPunct/>
              <w:topLinePunct w:val="0"/>
              <w:autoSpaceDE/>
              <w:autoSpaceDN/>
              <w:bidi w:val="0"/>
              <w:spacing w:before="0" w:after="0" w:line="360" w:lineRule="auto"/>
              <w:ind w:firstLine="0"/>
              <w:jc w:val="center"/>
              <w:rPr>
                <w:rFonts w:hint="eastAsia"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val="0"/>
                <w:bCs w:val="0"/>
                <w:color w:val="auto"/>
                <w:kern w:val="0"/>
                <w:sz w:val="21"/>
                <w:szCs w:val="21"/>
                <w:highlight w:val="none"/>
                <w:lang w:bidi="ar"/>
              </w:rPr>
              <w:t>有效期内</w:t>
            </w:r>
            <w:r>
              <w:rPr>
                <w:rFonts w:hint="eastAsia" w:ascii="Times New Roman" w:hAnsi="Times New Roman" w:cs="Times New Roman"/>
                <w:b w:val="0"/>
                <w:bCs w:val="0"/>
                <w:color w:val="auto"/>
                <w:kern w:val="0"/>
                <w:sz w:val="21"/>
                <w:szCs w:val="21"/>
                <w:highlight w:val="none"/>
                <w:lang w:eastAsia="zh-CN" w:bidi="ar"/>
              </w:rPr>
              <w:t>的</w:t>
            </w:r>
            <w:r>
              <w:rPr>
                <w:rFonts w:hint="default" w:ascii="Times New Roman" w:hAnsi="Times New Roman" w:eastAsia="宋体" w:cs="Times New Roman"/>
                <w:b w:val="0"/>
                <w:bCs w:val="0"/>
                <w:color w:val="auto"/>
                <w:kern w:val="0"/>
                <w:sz w:val="21"/>
                <w:szCs w:val="21"/>
                <w:highlight w:val="none"/>
                <w:lang w:bidi="ar"/>
              </w:rPr>
              <w:t>城乡规划编制</w:t>
            </w:r>
            <w:r>
              <w:rPr>
                <w:rFonts w:hint="eastAsia" w:ascii="Times New Roman" w:hAnsi="Times New Roman" w:cs="Times New Roman"/>
                <w:b w:val="0"/>
                <w:bCs w:val="0"/>
                <w:color w:val="auto"/>
                <w:kern w:val="0"/>
                <w:sz w:val="21"/>
                <w:szCs w:val="21"/>
                <w:highlight w:val="none"/>
                <w:lang w:eastAsia="zh-CN" w:bidi="ar"/>
              </w:rPr>
              <w:t>乙级</w:t>
            </w:r>
            <w:r>
              <w:rPr>
                <w:rFonts w:hint="default" w:ascii="Times New Roman" w:hAnsi="Times New Roman" w:eastAsia="宋体" w:cs="Times New Roman"/>
                <w:b w:val="0"/>
                <w:bCs w:val="0"/>
                <w:color w:val="auto"/>
                <w:kern w:val="0"/>
                <w:sz w:val="21"/>
                <w:szCs w:val="21"/>
                <w:highlight w:val="none"/>
                <w:lang w:bidi="ar"/>
              </w:rPr>
              <w:t>及以上资质</w:t>
            </w:r>
            <w:r>
              <w:rPr>
                <w:rFonts w:hint="eastAsia" w:ascii="Times New Roman" w:hAnsi="Times New Roman" w:cs="Times New Roman"/>
                <w:b w:val="0"/>
                <w:bCs w:val="0"/>
                <w:color w:val="auto"/>
                <w:kern w:val="0"/>
                <w:sz w:val="21"/>
                <w:szCs w:val="21"/>
                <w:highlight w:val="none"/>
                <w:lang w:eastAsia="zh-CN" w:bidi="ar"/>
              </w:rPr>
              <w:t>扫描件</w:t>
            </w:r>
          </w:p>
        </w:tc>
        <w:tc>
          <w:tcPr>
            <w:tcW w:w="3514" w:type="dxa"/>
            <w:noWrap w:val="0"/>
            <w:vAlign w:val="center"/>
          </w:tcPr>
          <w:p w14:paraId="2DCF546C">
            <w:pPr>
              <w:pStyle w:val="248"/>
              <w:keepNext w:val="0"/>
              <w:keepLines w:val="0"/>
              <w:pageBreakBefore w:val="0"/>
              <w:widowControl w:val="0"/>
              <w:kinsoku/>
              <w:wordWrap w:val="0"/>
              <w:overflowPunct/>
              <w:topLinePunct w:val="0"/>
              <w:autoSpaceDE/>
              <w:autoSpaceDN/>
              <w:bidi w:val="0"/>
              <w:spacing w:before="0" w:after="0" w:line="360" w:lineRule="auto"/>
              <w:ind w:firstLine="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提供扫描件</w:t>
            </w:r>
          </w:p>
        </w:tc>
      </w:tr>
      <w:tr w14:paraId="497DA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 w:hRule="atLeast"/>
          <w:jc w:val="center"/>
        </w:trPr>
        <w:tc>
          <w:tcPr>
            <w:tcW w:w="1064" w:type="dxa"/>
            <w:noWrap w:val="0"/>
            <w:vAlign w:val="center"/>
          </w:tcPr>
          <w:p w14:paraId="6628E1A0">
            <w:pPr>
              <w:pStyle w:val="248"/>
              <w:keepNext w:val="0"/>
              <w:keepLines w:val="0"/>
              <w:pageBreakBefore w:val="0"/>
              <w:widowControl w:val="0"/>
              <w:kinsoku/>
              <w:wordWrap w:val="0"/>
              <w:overflowPunct/>
              <w:topLinePunct w:val="0"/>
              <w:autoSpaceDE/>
              <w:autoSpaceDN/>
              <w:bidi w:val="0"/>
              <w:spacing w:before="0" w:after="0" w:line="360" w:lineRule="auto"/>
              <w:ind w:firstLine="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8</w:t>
            </w:r>
          </w:p>
        </w:tc>
        <w:tc>
          <w:tcPr>
            <w:tcW w:w="3944" w:type="dxa"/>
            <w:noWrap w:val="0"/>
            <w:vAlign w:val="center"/>
          </w:tcPr>
          <w:p w14:paraId="5B9A990A">
            <w:pPr>
              <w:pStyle w:val="248"/>
              <w:keepNext w:val="0"/>
              <w:keepLines w:val="0"/>
              <w:pageBreakBefore w:val="0"/>
              <w:widowControl w:val="0"/>
              <w:kinsoku/>
              <w:wordWrap w:val="0"/>
              <w:overflowPunct/>
              <w:topLinePunct w:val="0"/>
              <w:autoSpaceDE/>
              <w:autoSpaceDN/>
              <w:bidi w:val="0"/>
              <w:spacing w:before="0" w:after="0" w:line="360" w:lineRule="auto"/>
              <w:ind w:firstLine="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中小企业声明函</w:t>
            </w:r>
          </w:p>
        </w:tc>
        <w:tc>
          <w:tcPr>
            <w:tcW w:w="3514" w:type="dxa"/>
            <w:noWrap w:val="0"/>
            <w:vAlign w:val="center"/>
          </w:tcPr>
          <w:p w14:paraId="4D8A9401">
            <w:pPr>
              <w:pStyle w:val="248"/>
              <w:keepNext w:val="0"/>
              <w:keepLines w:val="0"/>
              <w:pageBreakBefore w:val="0"/>
              <w:widowControl w:val="0"/>
              <w:kinsoku/>
              <w:wordWrap w:val="0"/>
              <w:overflowPunct/>
              <w:topLinePunct w:val="0"/>
              <w:autoSpaceDE/>
              <w:autoSpaceDN/>
              <w:bidi w:val="0"/>
              <w:spacing w:before="0" w:after="0" w:line="360" w:lineRule="auto"/>
              <w:ind w:firstLine="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格式附后</w:t>
            </w:r>
          </w:p>
        </w:tc>
      </w:tr>
      <w:tr w14:paraId="256BA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64" w:type="dxa"/>
            <w:noWrap w:val="0"/>
            <w:vAlign w:val="center"/>
          </w:tcPr>
          <w:p w14:paraId="6727F7CE">
            <w:pPr>
              <w:pStyle w:val="248"/>
              <w:keepNext w:val="0"/>
              <w:keepLines w:val="0"/>
              <w:pageBreakBefore w:val="0"/>
              <w:widowControl w:val="0"/>
              <w:kinsoku/>
              <w:wordWrap w:val="0"/>
              <w:overflowPunct/>
              <w:topLinePunct w:val="0"/>
              <w:autoSpaceDE/>
              <w:autoSpaceDN/>
              <w:bidi w:val="0"/>
              <w:spacing w:before="0" w:after="0" w:line="360" w:lineRule="auto"/>
              <w:ind w:firstLine="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说明</w:t>
            </w:r>
          </w:p>
        </w:tc>
        <w:tc>
          <w:tcPr>
            <w:tcW w:w="7458" w:type="dxa"/>
            <w:gridSpan w:val="2"/>
            <w:noWrap w:val="0"/>
            <w:vAlign w:val="center"/>
          </w:tcPr>
          <w:p w14:paraId="103C73C4">
            <w:pPr>
              <w:pStyle w:val="248"/>
              <w:keepNext w:val="0"/>
              <w:keepLines w:val="0"/>
              <w:pageBreakBefore w:val="0"/>
              <w:widowControl w:val="0"/>
              <w:kinsoku/>
              <w:wordWrap w:val="0"/>
              <w:overflowPunct/>
              <w:topLinePunct w:val="0"/>
              <w:autoSpaceDE/>
              <w:autoSpaceDN/>
              <w:bidi w:val="0"/>
              <w:spacing w:before="0" w:after="0" w:line="360" w:lineRule="auto"/>
              <w:ind w:firstLine="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投标供应商（申请人）必须按照上述要求提供资格审查材料，否则将会被评标委员会作无效标处理；2.除上述材料及本文件第二章投标人须知24.1条规定的不符合资格审查要求的情形外，评标委员会一般不应判定投标人资格审查不通过。</w:t>
            </w:r>
          </w:p>
        </w:tc>
      </w:tr>
    </w:tbl>
    <w:p w14:paraId="6E2FEB8E">
      <w:pPr>
        <w:keepNext w:val="0"/>
        <w:keepLines w:val="0"/>
        <w:pageBreakBefore w:val="0"/>
        <w:widowControl w:val="0"/>
        <w:kinsoku/>
        <w:wordWrap w:val="0"/>
        <w:overflowPunct/>
        <w:topLinePunct w:val="0"/>
        <w:autoSpaceDE/>
        <w:autoSpaceDN/>
        <w:bidi w:val="0"/>
        <w:spacing w:line="360" w:lineRule="auto"/>
        <w:ind w:firstLine="422" w:firstLineChars="200"/>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1.2形式评审标准</w:t>
      </w:r>
    </w:p>
    <w:p w14:paraId="08235FA6">
      <w:pPr>
        <w:keepNext w:val="0"/>
        <w:keepLines w:val="0"/>
        <w:pageBreakBefore w:val="0"/>
        <w:widowControl w:val="0"/>
        <w:kinsoku/>
        <w:wordWrap w:val="0"/>
        <w:overflowPunct/>
        <w:topLinePunct w:val="0"/>
        <w:autoSpaceDE/>
        <w:autoSpaceDN/>
        <w:bidi w:val="0"/>
        <w:spacing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评标委员会参照本文件</w:t>
      </w:r>
      <w:r>
        <w:rPr>
          <w:rFonts w:hint="default" w:ascii="Times New Roman" w:hAnsi="Times New Roman" w:eastAsia="宋体" w:cs="Times New Roman"/>
          <w:color w:val="auto"/>
          <w:sz w:val="21"/>
          <w:szCs w:val="21"/>
          <w:highlight w:val="none"/>
          <w:u w:val="single"/>
        </w:rPr>
        <w:t>第二章投标人须知第29.1条“无效投标条款”</w:t>
      </w:r>
      <w:r>
        <w:rPr>
          <w:rFonts w:hint="default" w:ascii="Times New Roman" w:hAnsi="Times New Roman" w:eastAsia="宋体" w:cs="Times New Roman"/>
          <w:color w:val="auto"/>
          <w:sz w:val="21"/>
          <w:szCs w:val="21"/>
          <w:highlight w:val="none"/>
        </w:rPr>
        <w:t>对投标文件的有效性等进行评审。</w:t>
      </w:r>
    </w:p>
    <w:p w14:paraId="6F6806C8">
      <w:pPr>
        <w:keepNext w:val="0"/>
        <w:keepLines w:val="0"/>
        <w:pageBreakBefore w:val="0"/>
        <w:widowControl w:val="0"/>
        <w:kinsoku/>
        <w:wordWrap w:val="0"/>
        <w:overflowPunct/>
        <w:topLinePunct w:val="0"/>
        <w:autoSpaceDE/>
        <w:autoSpaceDN/>
        <w:bidi w:val="0"/>
        <w:spacing w:line="360" w:lineRule="auto"/>
        <w:ind w:firstLine="422" w:firstLineChars="200"/>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1.3响应性审查</w:t>
      </w:r>
    </w:p>
    <w:p w14:paraId="150A7623">
      <w:pPr>
        <w:keepNext w:val="0"/>
        <w:keepLines w:val="0"/>
        <w:pageBreakBefore w:val="0"/>
        <w:widowControl w:val="0"/>
        <w:kinsoku/>
        <w:wordWrap w:val="0"/>
        <w:overflowPunct/>
        <w:topLinePunct w:val="0"/>
        <w:autoSpaceDE/>
        <w:autoSpaceDN/>
        <w:bidi w:val="0"/>
        <w:spacing w:line="360" w:lineRule="auto"/>
        <w:ind w:firstLine="420" w:firstLineChars="20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对招标文件要求的工期、质量及质量目标、履约担保、投标有效期、不可竞争费用等实质性要求的响应性进行评审，未响应的按无效标处理。</w:t>
      </w:r>
    </w:p>
    <w:p w14:paraId="34B6BD85">
      <w:pPr>
        <w:keepNext w:val="0"/>
        <w:keepLines w:val="0"/>
        <w:pageBreakBefore w:val="0"/>
        <w:widowControl w:val="0"/>
        <w:kinsoku/>
        <w:wordWrap w:val="0"/>
        <w:overflowPunct/>
        <w:topLinePunct w:val="0"/>
        <w:autoSpaceDE/>
        <w:autoSpaceDN/>
        <w:bidi w:val="0"/>
        <w:spacing w:line="360" w:lineRule="auto"/>
        <w:ind w:firstLine="422" w:firstLineChars="200"/>
        <w:jc w:val="left"/>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2、详细评审</w:t>
      </w:r>
    </w:p>
    <w:p w14:paraId="4BBFFE9F">
      <w:pPr>
        <w:keepNext w:val="0"/>
        <w:keepLines w:val="0"/>
        <w:pageBreakBefore w:val="0"/>
        <w:widowControl w:val="0"/>
        <w:kinsoku/>
        <w:wordWrap w:val="0"/>
        <w:overflowPunct/>
        <w:topLinePunct w:val="0"/>
        <w:autoSpaceDE/>
        <w:autoSpaceDN/>
        <w:bidi w:val="0"/>
        <w:spacing w:line="360" w:lineRule="auto"/>
        <w:ind w:firstLine="420" w:firstLineChars="20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2.1评标委员会对开、清标过程中发现的的情况予以评审，被认定为无效标的投标文件不能进入本阶段评审。</w:t>
      </w:r>
    </w:p>
    <w:p w14:paraId="0F2FDD1F">
      <w:pPr>
        <w:keepNext w:val="0"/>
        <w:keepLines w:val="0"/>
        <w:pageBreakBefore w:val="0"/>
        <w:widowControl w:val="0"/>
        <w:kinsoku/>
        <w:wordWrap w:val="0"/>
        <w:overflowPunct/>
        <w:topLinePunct w:val="0"/>
        <w:autoSpaceDE/>
        <w:autoSpaceDN/>
        <w:bidi w:val="0"/>
        <w:spacing w:line="360" w:lineRule="auto"/>
        <w:ind w:firstLine="420" w:firstLineChars="20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2.2商务性评审</w:t>
      </w:r>
    </w:p>
    <w:p w14:paraId="32396671">
      <w:pPr>
        <w:keepNext w:val="0"/>
        <w:keepLines w:val="0"/>
        <w:pageBreakBefore w:val="0"/>
        <w:widowControl w:val="0"/>
        <w:kinsoku/>
        <w:wordWrap w:val="0"/>
        <w:overflowPunct/>
        <w:topLinePunct w:val="0"/>
        <w:autoSpaceDE/>
        <w:autoSpaceDN/>
        <w:bidi w:val="0"/>
        <w:spacing w:line="360" w:lineRule="auto"/>
        <w:ind w:firstLine="420" w:firstLineChars="20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2.2.1有下列情形之一的，商务性评审不予通过：</w:t>
      </w:r>
    </w:p>
    <w:p w14:paraId="0A38423F">
      <w:pPr>
        <w:keepNext w:val="0"/>
        <w:keepLines w:val="0"/>
        <w:pageBreakBefore w:val="0"/>
        <w:widowControl w:val="0"/>
        <w:kinsoku/>
        <w:wordWrap w:val="0"/>
        <w:overflowPunct/>
        <w:topLinePunct w:val="0"/>
        <w:autoSpaceDE/>
        <w:autoSpaceDN/>
        <w:bidi w:val="0"/>
        <w:spacing w:line="360" w:lineRule="auto"/>
        <w:ind w:firstLine="420" w:firstLineChars="20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①不可竞争费费率、规费费率、税率不按规定计取的；②投标函中的投标报价（指大写金额）与开标一览表（清单）不一致且无法确认的；③经评标委员会认定投标供应商的投标报价低于成本价的。注：未通过商务性评审的不得推荐为中标候选人。</w:t>
      </w:r>
    </w:p>
    <w:p w14:paraId="3062D17E">
      <w:pPr>
        <w:keepNext w:val="0"/>
        <w:keepLines w:val="0"/>
        <w:pageBreakBefore w:val="0"/>
        <w:widowControl w:val="0"/>
        <w:kinsoku/>
        <w:wordWrap w:val="0"/>
        <w:overflowPunct/>
        <w:topLinePunct w:val="0"/>
        <w:autoSpaceDE/>
        <w:autoSpaceDN/>
        <w:bidi w:val="0"/>
        <w:spacing w:line="360" w:lineRule="auto"/>
        <w:ind w:firstLine="420" w:firstLineChars="200"/>
        <w:jc w:val="left"/>
        <w:rPr>
          <w:rFonts w:hint="default" w:ascii="Times New Roman" w:hAnsi="Times New Roman" w:eastAsia="宋体" w:cs="Times New Roman"/>
          <w:b w:val="0"/>
          <w:bCs/>
          <w:color w:val="auto"/>
          <w:sz w:val="21"/>
          <w:szCs w:val="21"/>
          <w:highlight w:val="none"/>
          <w:u w:val="single"/>
        </w:rPr>
      </w:pPr>
      <w:r>
        <w:rPr>
          <w:rFonts w:hint="default" w:ascii="Times New Roman" w:hAnsi="Times New Roman" w:eastAsia="宋体" w:cs="Times New Roman"/>
          <w:b w:val="0"/>
          <w:bCs/>
          <w:color w:val="auto"/>
          <w:sz w:val="21"/>
          <w:szCs w:val="21"/>
          <w:highlight w:val="none"/>
        </w:rPr>
        <w:t>★2.2.2供应商（申请人）合理报价注意事项：</w:t>
      </w:r>
      <w:r>
        <w:rPr>
          <w:rFonts w:hint="default" w:ascii="Times New Roman" w:hAnsi="Times New Roman" w:eastAsia="宋体" w:cs="Times New Roman"/>
          <w:b w:val="0"/>
          <w:bCs/>
          <w:color w:val="auto"/>
          <w:sz w:val="21"/>
          <w:szCs w:val="21"/>
          <w:highlight w:val="none"/>
          <w:u w:val="single"/>
        </w:rPr>
        <w:t>投标供应商投标报价</w:t>
      </w:r>
      <w:r>
        <w:rPr>
          <w:rFonts w:hint="default" w:ascii="Times New Roman" w:hAnsi="Times New Roman" w:eastAsia="宋体" w:cs="Times New Roman"/>
          <w:b w:val="0"/>
          <w:bCs/>
          <w:color w:val="auto"/>
          <w:sz w:val="21"/>
          <w:szCs w:val="21"/>
          <w:highlight w:val="none"/>
          <w:u w:val="single"/>
          <w:lang w:val="en-US" w:eastAsia="zh-CN"/>
        </w:rPr>
        <w:t>高于</w:t>
      </w:r>
      <w:r>
        <w:rPr>
          <w:rFonts w:hint="default" w:ascii="Times New Roman" w:hAnsi="Times New Roman" w:eastAsia="宋体" w:cs="Times New Roman"/>
          <w:b w:val="0"/>
          <w:bCs/>
          <w:color w:val="auto"/>
          <w:sz w:val="21"/>
          <w:szCs w:val="21"/>
          <w:highlight w:val="none"/>
          <w:u w:val="single"/>
        </w:rPr>
        <w:t>采购人设定的最高限价的或低于企业成本价的，视其为不以中标为目的的投标，将作为失信行为予以公示。（</w:t>
      </w:r>
      <w:r>
        <w:rPr>
          <w:rFonts w:hint="default" w:ascii="Times New Roman" w:hAnsi="Times New Roman" w:eastAsia="宋体" w:cs="Times New Roman"/>
          <w:b/>
          <w:bCs w:val="0"/>
          <w:color w:val="auto"/>
          <w:sz w:val="21"/>
          <w:szCs w:val="21"/>
          <w:highlight w:val="none"/>
          <w:u w:val="single"/>
        </w:rPr>
        <w:t>投标报价低于成本价：当评标委员会发现某投标供应商的投标报价明显低于其他所有通过初步评审的投标供应商的平均报价时，视为其报价存在不能正常履约的风险</w:t>
      </w:r>
      <w:r>
        <w:rPr>
          <w:rFonts w:hint="default" w:ascii="Times New Roman" w:hAnsi="Times New Roman" w:eastAsia="宋体" w:cs="Times New Roman"/>
          <w:b w:val="0"/>
          <w:bCs/>
          <w:color w:val="auto"/>
          <w:sz w:val="21"/>
          <w:szCs w:val="21"/>
          <w:highlight w:val="none"/>
          <w:u w:val="single"/>
        </w:rPr>
        <w:t>，将当场质询其法定代表人或其委托代理人，该投标供应商的法定代表人或委托代理人须当场对投标报价的组成作出合理的书面解释并签署，评标委员会认为其解释合理的，予以认可其报价，否则将作出任何有可能不利于该投标供应商本次投标活动的判断且不作中标候选人推荐。）</w:t>
      </w:r>
    </w:p>
    <w:p w14:paraId="6F90BE56">
      <w:pPr>
        <w:keepNext w:val="0"/>
        <w:keepLines w:val="0"/>
        <w:pageBreakBefore w:val="0"/>
        <w:widowControl w:val="0"/>
        <w:kinsoku/>
        <w:wordWrap w:val="0"/>
        <w:overflowPunct/>
        <w:topLinePunct w:val="0"/>
        <w:autoSpaceDE/>
        <w:autoSpaceDN/>
        <w:bidi w:val="0"/>
        <w:spacing w:line="360" w:lineRule="auto"/>
        <w:ind w:firstLine="422" w:firstLineChars="200"/>
        <w:jc w:val="left"/>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color w:val="auto"/>
          <w:sz w:val="21"/>
          <w:szCs w:val="21"/>
          <w:highlight w:val="none"/>
        </w:rPr>
        <w:t>2.3</w:t>
      </w:r>
      <w:r>
        <w:rPr>
          <w:rFonts w:hint="default" w:ascii="Times New Roman" w:hAnsi="Times New Roman" w:eastAsia="宋体" w:cs="Times New Roman"/>
          <w:b/>
          <w:bCs/>
          <w:color w:val="auto"/>
          <w:sz w:val="21"/>
          <w:szCs w:val="21"/>
          <w:highlight w:val="none"/>
        </w:rPr>
        <w:t>评分标准（综合评分表）</w:t>
      </w:r>
    </w:p>
    <w:p w14:paraId="2E422DA1">
      <w:pPr>
        <w:pStyle w:val="291"/>
        <w:keepNext w:val="0"/>
        <w:keepLines w:val="0"/>
        <w:pageBreakBefore w:val="0"/>
        <w:widowControl w:val="0"/>
        <w:kinsoku/>
        <w:wordWrap w:val="0"/>
        <w:overflowPunct/>
        <w:topLinePunct w:val="0"/>
        <w:autoSpaceDE/>
        <w:autoSpaceDN/>
        <w:bidi w:val="0"/>
        <w:spacing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本项目采用“资格后审”的“综合评分法”确定中标候选人。对通过初步评审的投标文件，评标委员会将按下表评分办法和标准进行评分，总分值为100分。</w:t>
      </w:r>
    </w:p>
    <w:tbl>
      <w:tblPr>
        <w:tblStyle w:val="38"/>
        <w:tblW w:w="8522"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
      <w:tblGrid>
        <w:gridCol w:w="800"/>
        <w:gridCol w:w="1158"/>
        <w:gridCol w:w="1159"/>
        <w:gridCol w:w="4457"/>
        <w:gridCol w:w="948"/>
      </w:tblGrid>
      <w:tr w14:paraId="0F5938D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68" w:hRule="atLeast"/>
          <w:jc w:val="center"/>
        </w:trPr>
        <w:tc>
          <w:tcPr>
            <w:tcW w:w="800" w:type="dxa"/>
            <w:tcBorders>
              <w:tl2br w:val="nil"/>
              <w:tr2bl w:val="nil"/>
            </w:tcBorders>
            <w:noWrap/>
            <w:vAlign w:val="center"/>
          </w:tcPr>
          <w:p w14:paraId="4BD5E2BC">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b w:val="0"/>
                <w:bCs w:val="0"/>
                <w:color w:val="auto"/>
                <w:kern w:val="0"/>
                <w:sz w:val="21"/>
                <w:szCs w:val="21"/>
                <w:highlight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SA"/>
              </w:rPr>
              <w:t>序号</w:t>
            </w:r>
          </w:p>
        </w:tc>
        <w:tc>
          <w:tcPr>
            <w:tcW w:w="2317" w:type="dxa"/>
            <w:gridSpan w:val="2"/>
            <w:tcBorders>
              <w:tl2br w:val="nil"/>
              <w:tr2bl w:val="nil"/>
            </w:tcBorders>
            <w:noWrap w:val="0"/>
            <w:vAlign w:val="center"/>
          </w:tcPr>
          <w:p w14:paraId="0E3AACBE">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b w:val="0"/>
                <w:bCs w:val="0"/>
                <w:color w:val="auto"/>
                <w:kern w:val="0"/>
                <w:sz w:val="21"/>
                <w:szCs w:val="21"/>
                <w:highlight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SA"/>
              </w:rPr>
              <w:t>评审内容</w:t>
            </w:r>
          </w:p>
        </w:tc>
        <w:tc>
          <w:tcPr>
            <w:tcW w:w="4457" w:type="dxa"/>
            <w:tcBorders>
              <w:tl2br w:val="nil"/>
              <w:tr2bl w:val="nil"/>
            </w:tcBorders>
            <w:noWrap w:val="0"/>
            <w:vAlign w:val="center"/>
          </w:tcPr>
          <w:p w14:paraId="4B27DD80">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b w:val="0"/>
                <w:bCs w:val="0"/>
                <w:color w:val="auto"/>
                <w:kern w:val="0"/>
                <w:sz w:val="21"/>
                <w:szCs w:val="21"/>
                <w:highlight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SA"/>
              </w:rPr>
              <w:t>评分标准</w:t>
            </w:r>
          </w:p>
        </w:tc>
        <w:tc>
          <w:tcPr>
            <w:tcW w:w="948" w:type="dxa"/>
            <w:tcBorders>
              <w:tl2br w:val="nil"/>
              <w:tr2bl w:val="nil"/>
            </w:tcBorders>
            <w:noWrap w:val="0"/>
            <w:vAlign w:val="center"/>
          </w:tcPr>
          <w:p w14:paraId="1782B9AF">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b w:val="0"/>
                <w:bCs w:val="0"/>
                <w:color w:val="auto"/>
                <w:kern w:val="0"/>
                <w:sz w:val="21"/>
                <w:szCs w:val="21"/>
                <w:highlight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SA"/>
              </w:rPr>
              <w:t>最高分值/满分分值</w:t>
            </w:r>
          </w:p>
        </w:tc>
      </w:tr>
      <w:tr w14:paraId="4DFF260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43" w:hRule="atLeast"/>
          <w:jc w:val="center"/>
        </w:trPr>
        <w:tc>
          <w:tcPr>
            <w:tcW w:w="800" w:type="dxa"/>
            <w:tcBorders>
              <w:tl2br w:val="nil"/>
              <w:tr2bl w:val="nil"/>
            </w:tcBorders>
            <w:noWrap/>
            <w:vAlign w:val="center"/>
          </w:tcPr>
          <w:p w14:paraId="5E71289B">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b w:val="0"/>
                <w:bCs w:val="0"/>
                <w:color w:val="auto"/>
                <w:kern w:val="0"/>
                <w:sz w:val="21"/>
                <w:szCs w:val="21"/>
                <w:highlight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SA"/>
              </w:rPr>
              <w:t>1</w:t>
            </w:r>
          </w:p>
        </w:tc>
        <w:tc>
          <w:tcPr>
            <w:tcW w:w="1158" w:type="dxa"/>
            <w:tcBorders>
              <w:tl2br w:val="nil"/>
              <w:tr2bl w:val="nil"/>
            </w:tcBorders>
            <w:noWrap w:val="0"/>
            <w:vAlign w:val="center"/>
          </w:tcPr>
          <w:p w14:paraId="30FBD098">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b w:val="0"/>
                <w:bCs w:val="0"/>
                <w:color w:val="auto"/>
                <w:kern w:val="0"/>
                <w:sz w:val="21"/>
                <w:szCs w:val="21"/>
                <w:highlight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SA"/>
              </w:rPr>
              <w:t>投标报价（10分）</w:t>
            </w:r>
          </w:p>
        </w:tc>
        <w:tc>
          <w:tcPr>
            <w:tcW w:w="1159" w:type="dxa"/>
            <w:tcBorders>
              <w:tl2br w:val="nil"/>
              <w:tr2bl w:val="nil"/>
            </w:tcBorders>
            <w:noWrap w:val="0"/>
            <w:vAlign w:val="center"/>
          </w:tcPr>
          <w:p w14:paraId="4F7A695B">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b w:val="0"/>
                <w:bCs w:val="0"/>
                <w:color w:val="auto"/>
                <w:kern w:val="0"/>
                <w:sz w:val="21"/>
                <w:szCs w:val="21"/>
                <w:highlight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SA"/>
              </w:rPr>
              <w:t>投标报价</w:t>
            </w:r>
          </w:p>
        </w:tc>
        <w:tc>
          <w:tcPr>
            <w:tcW w:w="4457" w:type="dxa"/>
            <w:tcBorders>
              <w:tl2br w:val="nil"/>
              <w:tr2bl w:val="nil"/>
            </w:tcBorders>
            <w:noWrap w:val="0"/>
            <w:vAlign w:val="center"/>
          </w:tcPr>
          <w:p w14:paraId="120EE250">
            <w:pPr>
              <w:keepNext w:val="0"/>
              <w:keepLines w:val="0"/>
              <w:pageBreakBefore w:val="0"/>
              <w:widowControl/>
              <w:suppressLineNumbers w:val="0"/>
              <w:kinsoku/>
              <w:overflowPunct/>
              <w:topLinePunct w:val="0"/>
              <w:autoSpaceDE/>
              <w:autoSpaceDN/>
              <w:bidi w:val="0"/>
              <w:adjustRightInd/>
              <w:snapToGrid/>
              <w:spacing w:line="240" w:lineRule="auto"/>
              <w:jc w:val="left"/>
              <w:textAlignment w:val="center"/>
              <w:rPr>
                <w:rFonts w:hint="default" w:ascii="Times New Roman" w:hAnsi="Times New Roman" w:eastAsia="宋体" w:cs="Times New Roman"/>
                <w:b w:val="0"/>
                <w:bCs w:val="0"/>
                <w:color w:val="auto"/>
                <w:kern w:val="0"/>
                <w:sz w:val="21"/>
                <w:szCs w:val="21"/>
                <w:highlight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SA"/>
              </w:rPr>
              <w:t>投标报价分采用最低价优先法计算，即通过初步评审的投标报价中的最低报价为评标基准价，其报价分为满分，其他投标人的报价分按照下列公式计算：报价得分=（评标基准价/投标报价）×10</w:t>
            </w:r>
            <w:r>
              <w:rPr>
                <w:rFonts w:hint="default" w:ascii="Times New Roman" w:hAnsi="Times New Roman" w:eastAsia="宋体" w:cs="Times New Roman"/>
                <w:b w:val="0"/>
                <w:bCs w:val="0"/>
                <w:color w:val="auto"/>
                <w:kern w:val="0"/>
                <w:sz w:val="21"/>
                <w:szCs w:val="21"/>
                <w:highlight w:val="none"/>
                <w:lang w:val="en-US" w:eastAsia="zh-CN" w:bidi="ar-SA"/>
              </w:rPr>
              <w:br w:type="textWrapping"/>
            </w:r>
            <w:r>
              <w:rPr>
                <w:rFonts w:hint="default" w:ascii="Times New Roman" w:hAnsi="Times New Roman" w:eastAsia="宋体" w:cs="Times New Roman"/>
                <w:b w:val="0"/>
                <w:bCs w:val="0"/>
                <w:color w:val="auto"/>
                <w:kern w:val="0"/>
                <w:sz w:val="21"/>
                <w:szCs w:val="21"/>
                <w:highlight w:val="none"/>
                <w:lang w:val="en-US" w:eastAsia="zh-CN" w:bidi="ar-SA"/>
              </w:rPr>
              <w:t>注：</w:t>
            </w:r>
            <w:r>
              <w:rPr>
                <w:rFonts w:hint="default" w:ascii="Times New Roman" w:hAnsi="Times New Roman" w:eastAsia="宋体" w:cs="Times New Roman"/>
                <w:b w:val="0"/>
                <w:bCs w:val="0"/>
                <w:color w:val="auto"/>
                <w:kern w:val="0"/>
                <w:sz w:val="21"/>
                <w:szCs w:val="21"/>
                <w:highlight w:val="none"/>
                <w:lang w:val="en-US" w:eastAsia="zh-CN" w:bidi="ar-SA"/>
              </w:rPr>
              <w:br w:type="textWrapping"/>
            </w:r>
            <w:r>
              <w:rPr>
                <w:rFonts w:hint="default" w:ascii="Times New Roman" w:hAnsi="Times New Roman" w:eastAsia="宋体" w:cs="Times New Roman"/>
                <w:b w:val="0"/>
                <w:bCs w:val="0"/>
                <w:color w:val="auto"/>
                <w:kern w:val="0"/>
                <w:sz w:val="21"/>
                <w:szCs w:val="21"/>
                <w:highlight w:val="none"/>
                <w:lang w:val="en-US" w:eastAsia="zh-CN" w:bidi="ar-SA"/>
              </w:rPr>
              <w:t>①评标委员会认为投标人的报价明显过低，有可能影响服务质量或者不能诚信履约的，将要求其在评标现场合理的时间内提供书面说明，必要时提交相关证明材料；投标人（供应商）不能证明其报价合理性的，评标委员将其作为无效投标处理。</w:t>
            </w:r>
            <w:r>
              <w:rPr>
                <w:rFonts w:hint="default" w:ascii="Times New Roman" w:hAnsi="Times New Roman" w:eastAsia="宋体" w:cs="Times New Roman"/>
                <w:b w:val="0"/>
                <w:bCs w:val="0"/>
                <w:color w:val="auto"/>
                <w:kern w:val="0"/>
                <w:sz w:val="21"/>
                <w:szCs w:val="21"/>
                <w:highlight w:val="none"/>
                <w:lang w:val="en-US" w:eastAsia="zh-CN" w:bidi="ar-SA"/>
              </w:rPr>
              <w:br w:type="textWrapping"/>
            </w:r>
            <w:r>
              <w:rPr>
                <w:rFonts w:hint="default" w:ascii="Times New Roman" w:hAnsi="Times New Roman" w:eastAsia="宋体" w:cs="Times New Roman"/>
                <w:b w:val="0"/>
                <w:bCs w:val="0"/>
                <w:color w:val="auto"/>
                <w:kern w:val="0"/>
                <w:sz w:val="21"/>
                <w:szCs w:val="21"/>
                <w:highlight w:val="none"/>
                <w:lang w:val="en-US" w:eastAsia="zh-CN" w:bidi="ar-SA"/>
              </w:rPr>
              <w:t>②得分保留小数点后两位小数，第三位四舍五入。</w:t>
            </w:r>
          </w:p>
        </w:tc>
        <w:tc>
          <w:tcPr>
            <w:tcW w:w="948" w:type="dxa"/>
            <w:tcBorders>
              <w:tl2br w:val="nil"/>
              <w:tr2bl w:val="nil"/>
            </w:tcBorders>
            <w:noWrap/>
            <w:vAlign w:val="center"/>
          </w:tcPr>
          <w:p w14:paraId="3D9067BC">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b w:val="0"/>
                <w:bCs w:val="0"/>
                <w:color w:val="auto"/>
                <w:kern w:val="0"/>
                <w:sz w:val="21"/>
                <w:szCs w:val="21"/>
                <w:highlight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SA"/>
              </w:rPr>
              <w:t>10</w:t>
            </w:r>
          </w:p>
        </w:tc>
      </w:tr>
      <w:tr w14:paraId="19B1748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99" w:hRule="atLeast"/>
          <w:jc w:val="center"/>
        </w:trPr>
        <w:tc>
          <w:tcPr>
            <w:tcW w:w="800" w:type="dxa"/>
            <w:vMerge w:val="restart"/>
            <w:tcBorders>
              <w:tl2br w:val="nil"/>
              <w:tr2bl w:val="nil"/>
            </w:tcBorders>
            <w:noWrap/>
            <w:vAlign w:val="center"/>
          </w:tcPr>
          <w:p w14:paraId="73BA85F6">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b w:val="0"/>
                <w:bCs w:val="0"/>
                <w:color w:val="auto"/>
                <w:kern w:val="0"/>
                <w:sz w:val="21"/>
                <w:szCs w:val="21"/>
                <w:highlight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SA"/>
              </w:rPr>
              <w:t>2</w:t>
            </w:r>
          </w:p>
        </w:tc>
        <w:tc>
          <w:tcPr>
            <w:tcW w:w="1158" w:type="dxa"/>
            <w:vMerge w:val="restart"/>
            <w:tcBorders>
              <w:tl2br w:val="nil"/>
              <w:tr2bl w:val="nil"/>
            </w:tcBorders>
            <w:noWrap w:val="0"/>
            <w:vAlign w:val="center"/>
          </w:tcPr>
          <w:p w14:paraId="01F22B69">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b w:val="0"/>
                <w:bCs w:val="0"/>
                <w:color w:val="auto"/>
                <w:kern w:val="0"/>
                <w:sz w:val="21"/>
                <w:szCs w:val="21"/>
                <w:highlight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SA"/>
              </w:rPr>
              <w:t>商务评审（</w:t>
            </w:r>
            <w:r>
              <w:rPr>
                <w:rFonts w:hint="eastAsia" w:cs="Times New Roman"/>
                <w:b w:val="0"/>
                <w:bCs w:val="0"/>
                <w:color w:val="auto"/>
                <w:kern w:val="0"/>
                <w:sz w:val="21"/>
                <w:szCs w:val="21"/>
                <w:highlight w:val="none"/>
                <w:lang w:val="en-US" w:eastAsia="zh-CN" w:bidi="ar-SA"/>
              </w:rPr>
              <w:t>3</w:t>
            </w:r>
            <w:r>
              <w:rPr>
                <w:rFonts w:hint="default" w:ascii="Times New Roman" w:hAnsi="Times New Roman" w:eastAsia="宋体" w:cs="Times New Roman"/>
                <w:b w:val="0"/>
                <w:bCs w:val="0"/>
                <w:color w:val="auto"/>
                <w:kern w:val="0"/>
                <w:sz w:val="21"/>
                <w:szCs w:val="21"/>
                <w:highlight w:val="none"/>
                <w:lang w:val="en-US" w:eastAsia="zh-CN" w:bidi="ar-SA"/>
              </w:rPr>
              <w:t>5分）</w:t>
            </w:r>
          </w:p>
        </w:tc>
        <w:tc>
          <w:tcPr>
            <w:tcW w:w="1159" w:type="dxa"/>
            <w:tcBorders>
              <w:tl2br w:val="nil"/>
              <w:tr2bl w:val="nil"/>
            </w:tcBorders>
            <w:noWrap w:val="0"/>
            <w:vAlign w:val="center"/>
          </w:tcPr>
          <w:p w14:paraId="226731C7">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b w:val="0"/>
                <w:bCs w:val="0"/>
                <w:color w:val="auto"/>
                <w:kern w:val="0"/>
                <w:sz w:val="21"/>
                <w:szCs w:val="21"/>
                <w:highlight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SA"/>
              </w:rPr>
              <w:t>服务案例</w:t>
            </w:r>
          </w:p>
        </w:tc>
        <w:tc>
          <w:tcPr>
            <w:tcW w:w="4457" w:type="dxa"/>
            <w:tcBorders>
              <w:tl2br w:val="nil"/>
              <w:tr2bl w:val="nil"/>
            </w:tcBorders>
            <w:noWrap w:val="0"/>
            <w:vAlign w:val="center"/>
          </w:tcPr>
          <w:p w14:paraId="64C8A4C3">
            <w:pPr>
              <w:keepNext w:val="0"/>
              <w:keepLines w:val="0"/>
              <w:pageBreakBefore w:val="0"/>
              <w:widowControl/>
              <w:suppressLineNumbers w:val="0"/>
              <w:kinsoku/>
              <w:overflowPunct/>
              <w:topLinePunct w:val="0"/>
              <w:autoSpaceDE/>
              <w:autoSpaceDN/>
              <w:bidi w:val="0"/>
              <w:adjustRightInd/>
              <w:snapToGrid/>
              <w:spacing w:line="240" w:lineRule="auto"/>
              <w:jc w:val="left"/>
              <w:textAlignment w:val="center"/>
              <w:rPr>
                <w:rFonts w:hint="default" w:ascii="Times New Roman" w:hAnsi="Times New Roman" w:eastAsia="宋体" w:cs="Times New Roman"/>
                <w:b w:val="0"/>
                <w:bCs w:val="0"/>
                <w:color w:val="auto"/>
                <w:kern w:val="0"/>
                <w:sz w:val="21"/>
                <w:szCs w:val="21"/>
                <w:highlight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SA"/>
              </w:rPr>
              <w:t>投标人（供应商）自2020年11月1日（以合同签订时间为准）以来完成过</w:t>
            </w:r>
            <w:r>
              <w:rPr>
                <w:rFonts w:hint="default" w:ascii="Times New Roman" w:hAnsi="Times New Roman" w:eastAsia="宋体" w:cs="Times New Roman"/>
                <w:b w:val="0"/>
                <w:bCs w:val="0"/>
                <w:color w:val="auto"/>
                <w:sz w:val="21"/>
                <w:szCs w:val="21"/>
                <w:highlight w:val="none"/>
              </w:rPr>
              <w:t>村庄规划编制项目相关</w:t>
            </w:r>
            <w:r>
              <w:rPr>
                <w:rFonts w:hint="default" w:ascii="Times New Roman" w:hAnsi="Times New Roman" w:eastAsia="宋体" w:cs="Times New Roman"/>
                <w:b w:val="0"/>
                <w:bCs w:val="0"/>
                <w:color w:val="auto"/>
                <w:kern w:val="0"/>
                <w:sz w:val="21"/>
                <w:szCs w:val="21"/>
                <w:highlight w:val="none"/>
                <w:lang w:val="en-US" w:eastAsia="zh-CN" w:bidi="ar-SA"/>
              </w:rPr>
              <w:t>服务的，每提供一个案例得0.5分，本项最高得</w:t>
            </w:r>
            <w:r>
              <w:rPr>
                <w:rFonts w:hint="eastAsia" w:cs="Times New Roman"/>
                <w:b w:val="0"/>
                <w:bCs w:val="0"/>
                <w:color w:val="auto"/>
                <w:kern w:val="0"/>
                <w:sz w:val="21"/>
                <w:szCs w:val="21"/>
                <w:highlight w:val="none"/>
                <w:lang w:val="en-US" w:eastAsia="zh-CN" w:bidi="ar-SA"/>
              </w:rPr>
              <w:t>2</w:t>
            </w:r>
            <w:r>
              <w:rPr>
                <w:rFonts w:hint="default" w:ascii="Times New Roman" w:hAnsi="Times New Roman" w:eastAsia="宋体" w:cs="Times New Roman"/>
                <w:b w:val="0"/>
                <w:bCs w:val="0"/>
                <w:color w:val="auto"/>
                <w:kern w:val="0"/>
                <w:sz w:val="21"/>
                <w:szCs w:val="21"/>
                <w:highlight w:val="none"/>
                <w:lang w:val="en-US" w:eastAsia="zh-CN" w:bidi="ar-SA"/>
              </w:rPr>
              <w:t>分。</w:t>
            </w:r>
            <w:r>
              <w:rPr>
                <w:rFonts w:hint="default" w:ascii="Times New Roman" w:hAnsi="Times New Roman" w:eastAsia="宋体" w:cs="Times New Roman"/>
                <w:b w:val="0"/>
                <w:bCs w:val="0"/>
                <w:color w:val="auto"/>
                <w:kern w:val="0"/>
                <w:sz w:val="21"/>
                <w:szCs w:val="21"/>
                <w:highlight w:val="none"/>
                <w:lang w:val="en-US" w:eastAsia="zh-CN" w:bidi="ar-SA"/>
              </w:rPr>
              <w:br w:type="textWrapping"/>
            </w:r>
            <w:r>
              <w:rPr>
                <w:rFonts w:hint="default" w:ascii="Times New Roman" w:hAnsi="Times New Roman" w:eastAsia="宋体" w:cs="Times New Roman"/>
                <w:b w:val="0"/>
                <w:bCs w:val="0"/>
                <w:color w:val="auto"/>
                <w:kern w:val="0"/>
                <w:sz w:val="21"/>
                <w:szCs w:val="21"/>
                <w:highlight w:val="none"/>
                <w:lang w:val="en-US" w:eastAsia="zh-CN" w:bidi="ar-SA"/>
              </w:rPr>
              <w:t>注：本项须提供服务案例合同扫描件，未提供不得分。</w:t>
            </w:r>
          </w:p>
        </w:tc>
        <w:tc>
          <w:tcPr>
            <w:tcW w:w="948" w:type="dxa"/>
            <w:tcBorders>
              <w:tl2br w:val="nil"/>
              <w:tr2bl w:val="nil"/>
            </w:tcBorders>
            <w:noWrap/>
            <w:vAlign w:val="center"/>
          </w:tcPr>
          <w:p w14:paraId="45316961">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default"/>
                <w:b w:val="0"/>
                <w:bCs w:val="0"/>
                <w:color w:val="auto"/>
                <w:highlight w:val="none"/>
                <w:lang w:val="en-US" w:eastAsia="zh-CN"/>
              </w:rPr>
            </w:pPr>
            <w:r>
              <w:rPr>
                <w:rFonts w:hint="eastAsia" w:cs="Times New Roman"/>
                <w:b w:val="0"/>
                <w:bCs w:val="0"/>
                <w:color w:val="auto"/>
                <w:kern w:val="0"/>
                <w:sz w:val="21"/>
                <w:szCs w:val="21"/>
                <w:highlight w:val="none"/>
                <w:lang w:val="en-US" w:eastAsia="zh-CN" w:bidi="ar-SA"/>
              </w:rPr>
              <w:t>2</w:t>
            </w:r>
          </w:p>
        </w:tc>
      </w:tr>
      <w:tr w14:paraId="3F815DF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99" w:hRule="atLeast"/>
          <w:jc w:val="center"/>
        </w:trPr>
        <w:tc>
          <w:tcPr>
            <w:tcW w:w="800" w:type="dxa"/>
            <w:vMerge w:val="continue"/>
            <w:tcBorders>
              <w:tl2br w:val="nil"/>
              <w:tr2bl w:val="nil"/>
            </w:tcBorders>
            <w:noWrap/>
            <w:vAlign w:val="center"/>
          </w:tcPr>
          <w:p w14:paraId="5A32E52A">
            <w:pPr>
              <w:keepNext w:val="0"/>
              <w:keepLines w:val="0"/>
              <w:pageBreakBefore w:val="0"/>
              <w:kinsoku/>
              <w:overflowPunct/>
              <w:topLinePunct w:val="0"/>
              <w:autoSpaceDE/>
              <w:autoSpaceDN/>
              <w:bidi w:val="0"/>
              <w:adjustRightInd/>
              <w:snapToGrid/>
              <w:spacing w:line="240" w:lineRule="auto"/>
              <w:jc w:val="center"/>
              <w:rPr>
                <w:rFonts w:hint="default" w:ascii="Times New Roman" w:hAnsi="Times New Roman" w:eastAsia="宋体" w:cs="Times New Roman"/>
                <w:b w:val="0"/>
                <w:bCs w:val="0"/>
                <w:color w:val="auto"/>
                <w:kern w:val="0"/>
                <w:sz w:val="21"/>
                <w:szCs w:val="21"/>
                <w:highlight w:val="none"/>
                <w:lang w:val="en-US" w:eastAsia="zh-CN" w:bidi="ar-SA"/>
              </w:rPr>
            </w:pPr>
          </w:p>
        </w:tc>
        <w:tc>
          <w:tcPr>
            <w:tcW w:w="1158" w:type="dxa"/>
            <w:vMerge w:val="continue"/>
            <w:tcBorders>
              <w:tl2br w:val="nil"/>
              <w:tr2bl w:val="nil"/>
            </w:tcBorders>
            <w:noWrap w:val="0"/>
            <w:vAlign w:val="center"/>
          </w:tcPr>
          <w:p w14:paraId="4564A412">
            <w:pPr>
              <w:keepNext w:val="0"/>
              <w:keepLines w:val="0"/>
              <w:pageBreakBefore w:val="0"/>
              <w:kinsoku/>
              <w:overflowPunct/>
              <w:topLinePunct w:val="0"/>
              <w:autoSpaceDE/>
              <w:autoSpaceDN/>
              <w:bidi w:val="0"/>
              <w:adjustRightInd/>
              <w:snapToGrid/>
              <w:spacing w:line="240" w:lineRule="auto"/>
              <w:jc w:val="center"/>
              <w:rPr>
                <w:rFonts w:hint="default" w:ascii="Times New Roman" w:hAnsi="Times New Roman" w:eastAsia="宋体" w:cs="Times New Roman"/>
                <w:b w:val="0"/>
                <w:bCs w:val="0"/>
                <w:color w:val="auto"/>
                <w:kern w:val="0"/>
                <w:sz w:val="21"/>
                <w:szCs w:val="21"/>
                <w:highlight w:val="none"/>
                <w:lang w:val="en-US" w:eastAsia="zh-CN" w:bidi="ar-SA"/>
              </w:rPr>
            </w:pPr>
          </w:p>
        </w:tc>
        <w:tc>
          <w:tcPr>
            <w:tcW w:w="1159" w:type="dxa"/>
            <w:tcBorders>
              <w:tl2br w:val="nil"/>
              <w:tr2bl w:val="nil"/>
            </w:tcBorders>
            <w:noWrap w:val="0"/>
            <w:vAlign w:val="center"/>
          </w:tcPr>
          <w:p w14:paraId="42024B26">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b w:val="0"/>
                <w:bCs w:val="0"/>
                <w:color w:val="auto"/>
                <w:kern w:val="0"/>
                <w:sz w:val="21"/>
                <w:szCs w:val="21"/>
                <w:highlight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SA"/>
              </w:rPr>
              <w:t>认证证书</w:t>
            </w:r>
          </w:p>
        </w:tc>
        <w:tc>
          <w:tcPr>
            <w:tcW w:w="4457" w:type="dxa"/>
            <w:tcBorders>
              <w:tl2br w:val="nil"/>
              <w:tr2bl w:val="nil"/>
            </w:tcBorders>
            <w:noWrap w:val="0"/>
            <w:vAlign w:val="center"/>
          </w:tcPr>
          <w:p w14:paraId="25183C4E">
            <w:pPr>
              <w:keepNext w:val="0"/>
              <w:keepLines w:val="0"/>
              <w:pageBreakBefore w:val="0"/>
              <w:widowControl/>
              <w:suppressLineNumbers w:val="0"/>
              <w:kinsoku/>
              <w:overflowPunct/>
              <w:topLinePunct w:val="0"/>
              <w:autoSpaceDE/>
              <w:autoSpaceDN/>
              <w:bidi w:val="0"/>
              <w:adjustRightInd/>
              <w:snapToGrid/>
              <w:spacing w:line="240" w:lineRule="auto"/>
              <w:jc w:val="left"/>
              <w:textAlignment w:val="center"/>
              <w:rPr>
                <w:rFonts w:hint="default" w:ascii="Times New Roman" w:hAnsi="Times New Roman" w:eastAsia="宋体" w:cs="Times New Roman"/>
                <w:b w:val="0"/>
                <w:bCs w:val="0"/>
                <w:color w:val="auto"/>
                <w:kern w:val="0"/>
                <w:sz w:val="21"/>
                <w:szCs w:val="21"/>
                <w:highlight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SA"/>
              </w:rPr>
              <w:t>投标人（供应商）具有有效期内的第三方机构颁发的ISO9001质量管理体系认证证书、ISO45001职业健康安全管理体系认证证书、ISO14001环境管理体系认证证书的，每有一项得</w:t>
            </w:r>
            <w:r>
              <w:rPr>
                <w:rFonts w:hint="eastAsia" w:cs="Times New Roman"/>
                <w:b w:val="0"/>
                <w:bCs w:val="0"/>
                <w:color w:val="auto"/>
                <w:kern w:val="0"/>
                <w:sz w:val="21"/>
                <w:szCs w:val="21"/>
                <w:highlight w:val="none"/>
                <w:lang w:val="en-US" w:eastAsia="zh-CN" w:bidi="ar-SA"/>
              </w:rPr>
              <w:t>2</w:t>
            </w:r>
            <w:r>
              <w:rPr>
                <w:rFonts w:hint="default" w:ascii="Times New Roman" w:hAnsi="Times New Roman" w:eastAsia="宋体" w:cs="Times New Roman"/>
                <w:b w:val="0"/>
                <w:bCs w:val="0"/>
                <w:color w:val="auto"/>
                <w:kern w:val="0"/>
                <w:sz w:val="21"/>
                <w:szCs w:val="21"/>
                <w:highlight w:val="none"/>
                <w:lang w:val="en-US" w:eastAsia="zh-CN" w:bidi="ar-SA"/>
              </w:rPr>
              <w:t>分，本项最高得</w:t>
            </w:r>
            <w:r>
              <w:rPr>
                <w:rFonts w:hint="eastAsia" w:cs="Times New Roman"/>
                <w:b w:val="0"/>
                <w:bCs w:val="0"/>
                <w:color w:val="auto"/>
                <w:kern w:val="0"/>
                <w:sz w:val="21"/>
                <w:szCs w:val="21"/>
                <w:highlight w:val="none"/>
                <w:lang w:val="en-US" w:eastAsia="zh-CN" w:bidi="ar-SA"/>
              </w:rPr>
              <w:t>6</w:t>
            </w:r>
            <w:r>
              <w:rPr>
                <w:rFonts w:hint="default" w:ascii="Times New Roman" w:hAnsi="Times New Roman" w:eastAsia="宋体" w:cs="Times New Roman"/>
                <w:b w:val="0"/>
                <w:bCs w:val="0"/>
                <w:color w:val="auto"/>
                <w:kern w:val="0"/>
                <w:sz w:val="21"/>
                <w:szCs w:val="21"/>
                <w:highlight w:val="none"/>
                <w:lang w:val="en-US" w:eastAsia="zh-CN" w:bidi="ar-SA"/>
              </w:rPr>
              <w:t>分。</w:t>
            </w:r>
            <w:r>
              <w:rPr>
                <w:rFonts w:hint="default" w:ascii="Times New Roman" w:hAnsi="Times New Roman" w:eastAsia="宋体" w:cs="Times New Roman"/>
                <w:b w:val="0"/>
                <w:bCs w:val="0"/>
                <w:color w:val="auto"/>
                <w:kern w:val="0"/>
                <w:sz w:val="21"/>
                <w:szCs w:val="21"/>
                <w:highlight w:val="none"/>
                <w:lang w:val="en-US" w:eastAsia="zh-CN" w:bidi="ar-SA"/>
              </w:rPr>
              <w:br w:type="textWrapping"/>
            </w:r>
            <w:r>
              <w:rPr>
                <w:rFonts w:hint="default" w:ascii="Times New Roman" w:hAnsi="Times New Roman" w:eastAsia="宋体" w:cs="Times New Roman"/>
                <w:b w:val="0"/>
                <w:bCs w:val="0"/>
                <w:color w:val="auto"/>
                <w:kern w:val="0"/>
                <w:sz w:val="21"/>
                <w:szCs w:val="21"/>
                <w:highlight w:val="none"/>
                <w:lang w:val="en-US" w:eastAsia="zh-CN" w:bidi="ar-SA"/>
              </w:rPr>
              <w:t>注：本项须提供认证证书扫描件，未提供不得分。</w:t>
            </w:r>
          </w:p>
        </w:tc>
        <w:tc>
          <w:tcPr>
            <w:tcW w:w="948" w:type="dxa"/>
            <w:tcBorders>
              <w:tl2br w:val="nil"/>
              <w:tr2bl w:val="nil"/>
            </w:tcBorders>
            <w:noWrap/>
            <w:vAlign w:val="center"/>
          </w:tcPr>
          <w:p w14:paraId="3B4F60C9">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default"/>
                <w:b w:val="0"/>
                <w:bCs w:val="0"/>
                <w:color w:val="auto"/>
                <w:highlight w:val="none"/>
                <w:lang w:val="en-US" w:eastAsia="zh-CN"/>
              </w:rPr>
            </w:pPr>
            <w:r>
              <w:rPr>
                <w:rFonts w:hint="eastAsia" w:cs="Times New Roman"/>
                <w:b w:val="0"/>
                <w:bCs w:val="0"/>
                <w:color w:val="auto"/>
                <w:kern w:val="0"/>
                <w:sz w:val="21"/>
                <w:szCs w:val="21"/>
                <w:highlight w:val="none"/>
                <w:lang w:val="en-US" w:eastAsia="zh-CN" w:bidi="ar-SA"/>
              </w:rPr>
              <w:t>6</w:t>
            </w:r>
          </w:p>
        </w:tc>
      </w:tr>
      <w:tr w14:paraId="60A1CAB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37" w:hRule="atLeast"/>
          <w:jc w:val="center"/>
        </w:trPr>
        <w:tc>
          <w:tcPr>
            <w:tcW w:w="800" w:type="dxa"/>
            <w:vMerge w:val="continue"/>
            <w:tcBorders>
              <w:tl2br w:val="nil"/>
              <w:tr2bl w:val="nil"/>
            </w:tcBorders>
            <w:noWrap/>
            <w:vAlign w:val="center"/>
          </w:tcPr>
          <w:p w14:paraId="2F40C31A">
            <w:pPr>
              <w:keepNext w:val="0"/>
              <w:keepLines w:val="0"/>
              <w:pageBreakBefore w:val="0"/>
              <w:kinsoku/>
              <w:overflowPunct/>
              <w:topLinePunct w:val="0"/>
              <w:autoSpaceDE/>
              <w:autoSpaceDN/>
              <w:bidi w:val="0"/>
              <w:adjustRightInd/>
              <w:snapToGrid/>
              <w:spacing w:line="240" w:lineRule="auto"/>
              <w:jc w:val="center"/>
              <w:rPr>
                <w:rFonts w:hint="default" w:ascii="Times New Roman" w:hAnsi="Times New Roman" w:eastAsia="宋体" w:cs="Times New Roman"/>
                <w:b w:val="0"/>
                <w:bCs w:val="0"/>
                <w:color w:val="auto"/>
                <w:kern w:val="0"/>
                <w:sz w:val="21"/>
                <w:szCs w:val="21"/>
                <w:highlight w:val="none"/>
                <w:lang w:val="en-US" w:eastAsia="zh-CN" w:bidi="ar-SA"/>
              </w:rPr>
            </w:pPr>
          </w:p>
        </w:tc>
        <w:tc>
          <w:tcPr>
            <w:tcW w:w="1158" w:type="dxa"/>
            <w:vMerge w:val="continue"/>
            <w:tcBorders>
              <w:tl2br w:val="nil"/>
              <w:tr2bl w:val="nil"/>
            </w:tcBorders>
            <w:noWrap w:val="0"/>
            <w:vAlign w:val="center"/>
          </w:tcPr>
          <w:p w14:paraId="43BBCA23">
            <w:pPr>
              <w:keepNext w:val="0"/>
              <w:keepLines w:val="0"/>
              <w:pageBreakBefore w:val="0"/>
              <w:kinsoku/>
              <w:overflowPunct/>
              <w:topLinePunct w:val="0"/>
              <w:autoSpaceDE/>
              <w:autoSpaceDN/>
              <w:bidi w:val="0"/>
              <w:adjustRightInd/>
              <w:snapToGrid/>
              <w:spacing w:line="240" w:lineRule="auto"/>
              <w:jc w:val="center"/>
              <w:rPr>
                <w:rFonts w:hint="default" w:ascii="Times New Roman" w:hAnsi="Times New Roman" w:eastAsia="宋体" w:cs="Times New Roman"/>
                <w:b w:val="0"/>
                <w:bCs w:val="0"/>
                <w:color w:val="auto"/>
                <w:kern w:val="0"/>
                <w:sz w:val="21"/>
                <w:szCs w:val="21"/>
                <w:highlight w:val="none"/>
                <w:lang w:val="en-US" w:eastAsia="zh-CN" w:bidi="ar-SA"/>
              </w:rPr>
            </w:pPr>
          </w:p>
        </w:tc>
        <w:tc>
          <w:tcPr>
            <w:tcW w:w="1159" w:type="dxa"/>
            <w:tcBorders>
              <w:tl2br w:val="nil"/>
              <w:tr2bl w:val="nil"/>
            </w:tcBorders>
            <w:noWrap w:val="0"/>
            <w:vAlign w:val="center"/>
          </w:tcPr>
          <w:p w14:paraId="7057FF15">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b w:val="0"/>
                <w:bCs w:val="0"/>
                <w:color w:val="auto"/>
                <w:kern w:val="0"/>
                <w:sz w:val="21"/>
                <w:szCs w:val="21"/>
                <w:highlight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SA"/>
              </w:rPr>
              <w:t>项目负责人</w:t>
            </w:r>
          </w:p>
        </w:tc>
        <w:tc>
          <w:tcPr>
            <w:tcW w:w="4457" w:type="dxa"/>
            <w:tcBorders>
              <w:tl2br w:val="nil"/>
              <w:tr2bl w:val="nil"/>
            </w:tcBorders>
            <w:noWrap w:val="0"/>
            <w:vAlign w:val="center"/>
          </w:tcPr>
          <w:p w14:paraId="79A1EC65">
            <w:pPr>
              <w:keepNext w:val="0"/>
              <w:keepLines w:val="0"/>
              <w:pageBreakBefore w:val="0"/>
              <w:numPr>
                <w:ilvl w:val="0"/>
                <w:numId w:val="9"/>
              </w:numPr>
              <w:kinsoku/>
              <w:overflowPunct/>
              <w:topLinePunct w:val="0"/>
              <w:autoSpaceDE/>
              <w:autoSpaceDN/>
              <w:bidi w:val="0"/>
              <w:adjustRightInd/>
              <w:snapToGrid/>
              <w:spacing w:line="240" w:lineRule="auto"/>
              <w:jc w:val="left"/>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kern w:val="0"/>
                <w:sz w:val="21"/>
                <w:szCs w:val="21"/>
                <w:highlight w:val="none"/>
                <w:lang w:val="en-US" w:eastAsia="zh-CN" w:bidi="ar-SA"/>
              </w:rPr>
              <w:t>拟派项目负责人</w:t>
            </w:r>
            <w:r>
              <w:rPr>
                <w:rFonts w:hint="default" w:ascii="Times New Roman" w:hAnsi="Times New Roman" w:eastAsia="宋体" w:cs="Times New Roman"/>
                <w:b w:val="0"/>
                <w:bCs w:val="0"/>
                <w:color w:val="auto"/>
                <w:sz w:val="21"/>
                <w:szCs w:val="21"/>
                <w:highlight w:val="none"/>
              </w:rPr>
              <w:t>具有土地或测绘相关专业高级及以上职称的得4分</w:t>
            </w:r>
            <w:r>
              <w:rPr>
                <w:rFonts w:hint="default" w:ascii="Times New Roman" w:hAnsi="Times New Roman" w:eastAsia="宋体" w:cs="Times New Roman"/>
                <w:b w:val="0"/>
                <w:bCs w:val="0"/>
                <w:color w:val="auto"/>
                <w:sz w:val="21"/>
                <w:szCs w:val="21"/>
                <w:highlight w:val="none"/>
                <w:lang w:eastAsia="zh-CN"/>
              </w:rPr>
              <w:t>。</w:t>
            </w:r>
          </w:p>
          <w:p w14:paraId="074D21EA">
            <w:pPr>
              <w:keepNext w:val="0"/>
              <w:keepLines w:val="0"/>
              <w:pageBreakBefore w:val="0"/>
              <w:numPr>
                <w:ilvl w:val="0"/>
                <w:numId w:val="9"/>
              </w:numPr>
              <w:kinsoku/>
              <w:overflowPunct/>
              <w:topLinePunct w:val="0"/>
              <w:autoSpaceDE/>
              <w:autoSpaceDN/>
              <w:bidi w:val="0"/>
              <w:adjustRightInd/>
              <w:snapToGrid/>
              <w:spacing w:line="240" w:lineRule="auto"/>
              <w:jc w:val="left"/>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项目负责人参与过规划主管部门土地利用、土地规划类总图编制并出台技术标准或文件，按以下标准计分：</w:t>
            </w:r>
          </w:p>
          <w:p w14:paraId="05C79394">
            <w:pPr>
              <w:keepNext w:val="0"/>
              <w:keepLines w:val="0"/>
              <w:pageBreakBefore w:val="0"/>
              <w:kinsoku/>
              <w:overflowPunct/>
              <w:topLinePunct w:val="0"/>
              <w:autoSpaceDE/>
              <w:autoSpaceDN/>
              <w:bidi w:val="0"/>
              <w:spacing w:line="240" w:lineRule="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（1）国家级规划主管部门得</w:t>
            </w:r>
            <w:r>
              <w:rPr>
                <w:rFonts w:hint="eastAsia" w:cs="Times New Roman"/>
                <w:b w:val="0"/>
                <w:bCs w:val="0"/>
                <w:color w:val="auto"/>
                <w:sz w:val="21"/>
                <w:szCs w:val="21"/>
                <w:highlight w:val="none"/>
                <w:lang w:val="en-US" w:eastAsia="zh-CN"/>
              </w:rPr>
              <w:t>6</w:t>
            </w:r>
            <w:r>
              <w:rPr>
                <w:rFonts w:hint="default" w:ascii="Times New Roman" w:hAnsi="Times New Roman" w:eastAsia="宋体" w:cs="Times New Roman"/>
                <w:b w:val="0"/>
                <w:bCs w:val="0"/>
                <w:color w:val="auto"/>
                <w:sz w:val="21"/>
                <w:szCs w:val="21"/>
                <w:highlight w:val="none"/>
              </w:rPr>
              <w:t>分；</w:t>
            </w:r>
          </w:p>
          <w:p w14:paraId="7B4593CE">
            <w:pPr>
              <w:keepNext w:val="0"/>
              <w:keepLines w:val="0"/>
              <w:pageBreakBefore w:val="0"/>
              <w:kinsoku/>
              <w:overflowPunct/>
              <w:topLinePunct w:val="0"/>
              <w:autoSpaceDE/>
              <w:autoSpaceDN/>
              <w:bidi w:val="0"/>
              <w:spacing w:line="240" w:lineRule="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 w:val="0"/>
                <w:bCs w:val="0"/>
                <w:color w:val="auto"/>
                <w:sz w:val="21"/>
                <w:szCs w:val="21"/>
                <w:highlight w:val="none"/>
              </w:rPr>
              <w:t>（2）省级规划主管部门得2分</w:t>
            </w:r>
            <w:r>
              <w:rPr>
                <w:rFonts w:hint="default" w:ascii="Times New Roman" w:hAnsi="Times New Roman" w:eastAsia="宋体" w:cs="Times New Roman"/>
                <w:b w:val="0"/>
                <w:bCs w:val="0"/>
                <w:color w:val="auto"/>
                <w:sz w:val="21"/>
                <w:szCs w:val="21"/>
                <w:highlight w:val="none"/>
                <w:lang w:eastAsia="zh-CN"/>
              </w:rPr>
              <w:t>；</w:t>
            </w:r>
          </w:p>
          <w:p w14:paraId="1E550EB8">
            <w:pPr>
              <w:keepNext w:val="0"/>
              <w:keepLines w:val="0"/>
              <w:pageBreakBefore w:val="0"/>
              <w:kinsoku/>
              <w:overflowPunct/>
              <w:topLinePunct w:val="0"/>
              <w:autoSpaceDE/>
              <w:autoSpaceDN/>
              <w:bidi w:val="0"/>
              <w:spacing w:line="240" w:lineRule="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（3）设区市级规划主管部门得1分；</w:t>
            </w:r>
          </w:p>
          <w:p w14:paraId="7C947D84">
            <w:pPr>
              <w:keepNext w:val="0"/>
              <w:keepLines w:val="0"/>
              <w:pageBreakBefore w:val="0"/>
              <w:kinsoku/>
              <w:overflowPunct/>
              <w:topLinePunct w:val="0"/>
              <w:autoSpaceDE/>
              <w:autoSpaceDN/>
              <w:bidi w:val="0"/>
              <w:spacing w:line="240" w:lineRule="auto"/>
              <w:rPr>
                <w:rFonts w:hint="default" w:ascii="Times New Roman" w:hAnsi="Times New Roman" w:eastAsia="宋体" w:cs="Times New Roman"/>
                <w:b w:val="0"/>
                <w:bCs w:val="0"/>
                <w:color w:val="auto"/>
                <w:kern w:val="0"/>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rPr>
              <w:t>（4）县（区）级规划主管部门得0.5分。</w:t>
            </w:r>
          </w:p>
          <w:p w14:paraId="744F5816">
            <w:pPr>
              <w:pStyle w:val="2"/>
              <w:keepNext w:val="0"/>
              <w:keepLines w:val="0"/>
              <w:pageBreakBefore w:val="0"/>
              <w:kinsoku/>
              <w:overflowPunct/>
              <w:topLinePunct w:val="0"/>
              <w:autoSpaceDE/>
              <w:autoSpaceDN/>
              <w:bidi w:val="0"/>
              <w:adjustRightInd/>
              <w:snapToGrid/>
              <w:spacing w:line="240" w:lineRule="auto"/>
              <w:ind w:left="0" w:leftChars="0" w:firstLine="0" w:firstLineChars="0"/>
              <w:rPr>
                <w:rFonts w:hint="default" w:ascii="Times New Roman" w:hAnsi="Times New Roman" w:eastAsia="宋体" w:cs="Times New Roman"/>
                <w:b w:val="0"/>
                <w:bCs w:val="0"/>
                <w:color w:val="auto"/>
                <w:kern w:val="0"/>
                <w:sz w:val="21"/>
                <w:szCs w:val="21"/>
                <w:highlight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SA"/>
              </w:rPr>
              <w:t>注：</w:t>
            </w:r>
            <w:r>
              <w:rPr>
                <w:rFonts w:hint="default" w:ascii="Times New Roman" w:hAnsi="Times New Roman" w:eastAsia="宋体" w:cs="Times New Roman"/>
                <w:b w:val="0"/>
                <w:bCs w:val="0"/>
                <w:color w:val="auto"/>
                <w:kern w:val="0"/>
                <w:sz w:val="21"/>
                <w:szCs w:val="21"/>
                <w:highlight w:val="none"/>
                <w:lang w:val="en-US" w:eastAsia="zh-CN" w:bidi="ar"/>
              </w:rPr>
              <w:t>①</w:t>
            </w:r>
            <w:r>
              <w:rPr>
                <w:rFonts w:hint="default" w:ascii="Times New Roman" w:hAnsi="Times New Roman" w:eastAsia="宋体" w:cs="Times New Roman"/>
                <w:b w:val="0"/>
                <w:bCs w:val="0"/>
                <w:color w:val="auto"/>
                <w:kern w:val="0"/>
                <w:sz w:val="21"/>
                <w:szCs w:val="21"/>
                <w:highlight w:val="none"/>
                <w:lang w:bidi="ar"/>
              </w:rPr>
              <w:t>本项须提供职称证书扫描件并加盖投标人公章，未提供不得分。</w:t>
            </w:r>
            <w:r>
              <w:rPr>
                <w:rFonts w:hint="default" w:ascii="Times New Roman" w:hAnsi="Times New Roman" w:eastAsia="宋体" w:cs="Times New Roman"/>
                <w:b w:val="0"/>
                <w:bCs w:val="0"/>
                <w:color w:val="auto"/>
                <w:kern w:val="0"/>
                <w:sz w:val="21"/>
                <w:szCs w:val="21"/>
                <w:highlight w:val="none"/>
                <w:lang w:val="en-US" w:eastAsia="zh-CN" w:bidi="ar"/>
              </w:rPr>
              <w:t>②</w:t>
            </w:r>
            <w:r>
              <w:rPr>
                <w:rFonts w:hint="default" w:ascii="Times New Roman" w:hAnsi="Times New Roman" w:eastAsia="宋体" w:cs="Times New Roman"/>
                <w:b w:val="0"/>
                <w:bCs w:val="0"/>
                <w:color w:val="auto"/>
                <w:kern w:val="0"/>
                <w:sz w:val="21"/>
                <w:szCs w:val="21"/>
                <w:highlight w:val="none"/>
                <w:lang w:val="en-US" w:eastAsia="zh-CN" w:bidi="ar-SA"/>
              </w:rPr>
              <w:t>项目负责人参与过规划主管部门土地利用、土地规划类总图编制并出台技术标准或文件证明材料。</w:t>
            </w:r>
            <w:r>
              <w:rPr>
                <w:rFonts w:hint="default" w:ascii="Times New Roman" w:hAnsi="Times New Roman" w:eastAsia="宋体" w:cs="Times New Roman"/>
                <w:b w:val="0"/>
                <w:bCs w:val="0"/>
                <w:color w:val="auto"/>
                <w:kern w:val="0"/>
                <w:sz w:val="21"/>
                <w:szCs w:val="21"/>
                <w:highlight w:val="none"/>
                <w:lang w:val="en-US" w:eastAsia="zh-CN" w:bidi="ar"/>
              </w:rPr>
              <w:t>③</w:t>
            </w:r>
            <w:r>
              <w:rPr>
                <w:rFonts w:hint="default" w:ascii="Times New Roman" w:hAnsi="Times New Roman" w:eastAsia="宋体" w:cs="Times New Roman"/>
                <w:b w:val="0"/>
                <w:bCs w:val="0"/>
                <w:color w:val="auto"/>
                <w:kern w:val="0"/>
                <w:sz w:val="21"/>
                <w:szCs w:val="21"/>
                <w:highlight w:val="none"/>
                <w:lang w:bidi="ar"/>
              </w:rPr>
              <w:t>提供近</w:t>
            </w:r>
            <w:r>
              <w:rPr>
                <w:rFonts w:hint="default" w:ascii="Times New Roman" w:hAnsi="Times New Roman" w:eastAsia="宋体" w:cs="Times New Roman"/>
                <w:b w:val="0"/>
                <w:bCs w:val="0"/>
                <w:color w:val="auto"/>
                <w:kern w:val="0"/>
                <w:sz w:val="21"/>
                <w:szCs w:val="21"/>
                <w:highlight w:val="none"/>
                <w:lang w:val="en-US" w:eastAsia="zh-CN" w:bidi="ar"/>
              </w:rPr>
              <w:t>2</w:t>
            </w:r>
            <w:r>
              <w:rPr>
                <w:rFonts w:hint="default" w:ascii="Times New Roman" w:hAnsi="Times New Roman" w:eastAsia="宋体" w:cs="Times New Roman"/>
                <w:b w:val="0"/>
                <w:bCs w:val="0"/>
                <w:color w:val="auto"/>
                <w:kern w:val="0"/>
                <w:sz w:val="21"/>
                <w:szCs w:val="21"/>
                <w:highlight w:val="none"/>
                <w:lang w:bidi="ar"/>
              </w:rPr>
              <w:t>个月（不含投标当月）任意</w:t>
            </w:r>
            <w:r>
              <w:rPr>
                <w:rFonts w:hint="default" w:ascii="Times New Roman" w:hAnsi="Times New Roman" w:eastAsia="宋体" w:cs="Times New Roman"/>
                <w:b w:val="0"/>
                <w:bCs w:val="0"/>
                <w:color w:val="auto"/>
                <w:kern w:val="0"/>
                <w:sz w:val="21"/>
                <w:szCs w:val="21"/>
                <w:highlight w:val="none"/>
                <w:lang w:eastAsia="zh-CN" w:bidi="ar"/>
              </w:rPr>
              <w:t>连续二</w:t>
            </w:r>
            <w:r>
              <w:rPr>
                <w:rFonts w:hint="default" w:ascii="Times New Roman" w:hAnsi="Times New Roman" w:eastAsia="宋体" w:cs="Times New Roman"/>
                <w:b w:val="0"/>
                <w:bCs w:val="0"/>
                <w:color w:val="auto"/>
                <w:kern w:val="0"/>
                <w:sz w:val="21"/>
                <w:szCs w:val="21"/>
                <w:highlight w:val="none"/>
                <w:lang w:bidi="ar"/>
              </w:rPr>
              <w:t>个月缴纳社保的证明材料扫描件并加盖公章，未按要求提供的不得分。</w:t>
            </w:r>
            <w:r>
              <w:rPr>
                <w:rFonts w:hint="default" w:ascii="Times New Roman" w:hAnsi="Times New Roman" w:eastAsia="宋体" w:cs="Times New Roman"/>
                <w:b w:val="0"/>
                <w:bCs w:val="0"/>
                <w:color w:val="auto"/>
                <w:kern w:val="0"/>
                <w:sz w:val="21"/>
                <w:szCs w:val="21"/>
                <w:highlight w:val="none"/>
                <w:lang w:val="en-US" w:eastAsia="zh-CN" w:bidi="ar"/>
              </w:rPr>
              <w:t>④同一人员</w:t>
            </w:r>
            <w:r>
              <w:rPr>
                <w:rFonts w:hint="default" w:ascii="Times New Roman" w:hAnsi="Times New Roman" w:eastAsia="宋体" w:cs="Times New Roman"/>
                <w:b w:val="0"/>
                <w:bCs w:val="0"/>
                <w:color w:val="auto"/>
                <w:sz w:val="21"/>
                <w:szCs w:val="21"/>
                <w:highlight w:val="none"/>
                <w:lang w:eastAsia="zh-CN"/>
              </w:rPr>
              <w:t>参与过不同等级规划部门总图编制的</w:t>
            </w:r>
            <w:r>
              <w:rPr>
                <w:rFonts w:hint="default" w:ascii="Times New Roman" w:hAnsi="Times New Roman" w:eastAsia="宋体" w:cs="Times New Roman"/>
                <w:b w:val="0"/>
                <w:bCs w:val="0"/>
                <w:color w:val="auto"/>
                <w:kern w:val="0"/>
                <w:sz w:val="21"/>
                <w:szCs w:val="21"/>
                <w:highlight w:val="none"/>
                <w:lang w:val="en-US" w:eastAsia="zh-CN" w:bidi="ar"/>
              </w:rPr>
              <w:t>不累计计分，按最高等级计分。</w:t>
            </w:r>
          </w:p>
        </w:tc>
        <w:tc>
          <w:tcPr>
            <w:tcW w:w="948" w:type="dxa"/>
            <w:tcBorders>
              <w:tl2br w:val="nil"/>
              <w:tr2bl w:val="nil"/>
            </w:tcBorders>
            <w:noWrap/>
            <w:vAlign w:val="center"/>
          </w:tcPr>
          <w:p w14:paraId="3673C618">
            <w:pPr>
              <w:keepNext w:val="0"/>
              <w:keepLines w:val="0"/>
              <w:pageBreakBefore w:val="0"/>
              <w:kinsoku/>
              <w:overflowPunct/>
              <w:topLinePunct w:val="0"/>
              <w:autoSpaceDE/>
              <w:autoSpaceDN/>
              <w:bidi w:val="0"/>
              <w:adjustRightInd/>
              <w:snapToGrid/>
              <w:spacing w:line="240" w:lineRule="auto"/>
              <w:jc w:val="center"/>
              <w:rPr>
                <w:rFonts w:hint="default"/>
                <w:b w:val="0"/>
                <w:bCs w:val="0"/>
                <w:color w:val="auto"/>
                <w:highlight w:val="none"/>
                <w:lang w:val="en-US" w:eastAsia="zh-CN"/>
              </w:rPr>
            </w:pPr>
            <w:r>
              <w:rPr>
                <w:rFonts w:hint="eastAsia" w:cs="Times New Roman"/>
                <w:b w:val="0"/>
                <w:bCs w:val="0"/>
                <w:color w:val="auto"/>
                <w:kern w:val="0"/>
                <w:sz w:val="21"/>
                <w:szCs w:val="21"/>
                <w:highlight w:val="none"/>
                <w:lang w:val="en-US" w:eastAsia="zh-CN" w:bidi="ar-SA"/>
              </w:rPr>
              <w:t>10</w:t>
            </w:r>
          </w:p>
        </w:tc>
      </w:tr>
      <w:tr w14:paraId="31B45D2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535" w:hRule="atLeast"/>
          <w:jc w:val="center"/>
        </w:trPr>
        <w:tc>
          <w:tcPr>
            <w:tcW w:w="800" w:type="dxa"/>
            <w:vMerge w:val="continue"/>
            <w:tcBorders>
              <w:tl2br w:val="nil"/>
              <w:tr2bl w:val="nil"/>
            </w:tcBorders>
            <w:noWrap/>
            <w:vAlign w:val="center"/>
          </w:tcPr>
          <w:p w14:paraId="52C0B9AC">
            <w:pPr>
              <w:keepNext w:val="0"/>
              <w:keepLines w:val="0"/>
              <w:pageBreakBefore w:val="0"/>
              <w:kinsoku/>
              <w:overflowPunct/>
              <w:topLinePunct w:val="0"/>
              <w:autoSpaceDE/>
              <w:autoSpaceDN/>
              <w:bidi w:val="0"/>
              <w:adjustRightInd/>
              <w:snapToGrid/>
              <w:spacing w:line="240" w:lineRule="auto"/>
              <w:jc w:val="center"/>
              <w:rPr>
                <w:rFonts w:hint="default" w:ascii="Times New Roman" w:hAnsi="Times New Roman" w:eastAsia="宋体" w:cs="Times New Roman"/>
                <w:b w:val="0"/>
                <w:bCs w:val="0"/>
                <w:color w:val="auto"/>
                <w:kern w:val="0"/>
                <w:sz w:val="21"/>
                <w:szCs w:val="21"/>
                <w:highlight w:val="none"/>
                <w:lang w:val="en-US" w:eastAsia="zh-CN" w:bidi="ar-SA"/>
              </w:rPr>
            </w:pPr>
          </w:p>
        </w:tc>
        <w:tc>
          <w:tcPr>
            <w:tcW w:w="1158" w:type="dxa"/>
            <w:vMerge w:val="continue"/>
            <w:tcBorders>
              <w:tl2br w:val="nil"/>
              <w:tr2bl w:val="nil"/>
            </w:tcBorders>
            <w:noWrap w:val="0"/>
            <w:vAlign w:val="center"/>
          </w:tcPr>
          <w:p w14:paraId="6C6A55AA">
            <w:pPr>
              <w:keepNext w:val="0"/>
              <w:keepLines w:val="0"/>
              <w:pageBreakBefore w:val="0"/>
              <w:kinsoku/>
              <w:overflowPunct/>
              <w:topLinePunct w:val="0"/>
              <w:autoSpaceDE/>
              <w:autoSpaceDN/>
              <w:bidi w:val="0"/>
              <w:adjustRightInd/>
              <w:snapToGrid/>
              <w:spacing w:line="240" w:lineRule="auto"/>
              <w:jc w:val="center"/>
              <w:rPr>
                <w:rFonts w:hint="default" w:ascii="Times New Roman" w:hAnsi="Times New Roman" w:eastAsia="宋体" w:cs="Times New Roman"/>
                <w:b w:val="0"/>
                <w:bCs w:val="0"/>
                <w:color w:val="auto"/>
                <w:kern w:val="0"/>
                <w:sz w:val="21"/>
                <w:szCs w:val="21"/>
                <w:highlight w:val="none"/>
                <w:lang w:val="en-US" w:eastAsia="zh-CN" w:bidi="ar-SA"/>
              </w:rPr>
            </w:pPr>
          </w:p>
        </w:tc>
        <w:tc>
          <w:tcPr>
            <w:tcW w:w="1159" w:type="dxa"/>
            <w:tcBorders>
              <w:tl2br w:val="nil"/>
              <w:tr2bl w:val="nil"/>
            </w:tcBorders>
            <w:noWrap w:val="0"/>
            <w:vAlign w:val="center"/>
          </w:tcPr>
          <w:p w14:paraId="2ACCDF98">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b w:val="0"/>
                <w:bCs w:val="0"/>
                <w:color w:val="auto"/>
                <w:kern w:val="0"/>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rPr>
              <w:t>项目组成员配备</w:t>
            </w:r>
          </w:p>
        </w:tc>
        <w:tc>
          <w:tcPr>
            <w:tcW w:w="4457" w:type="dxa"/>
            <w:tcBorders>
              <w:tl2br w:val="nil"/>
              <w:tr2bl w:val="nil"/>
            </w:tcBorders>
            <w:noWrap w:val="0"/>
            <w:vAlign w:val="center"/>
          </w:tcPr>
          <w:p w14:paraId="7256FB27">
            <w:pPr>
              <w:pStyle w:val="2"/>
              <w:keepNext w:val="0"/>
              <w:keepLines w:val="0"/>
              <w:pageBreakBefore w:val="0"/>
              <w:kinsoku/>
              <w:overflowPunct/>
              <w:topLinePunct w:val="0"/>
              <w:autoSpaceDE/>
              <w:autoSpaceDN/>
              <w:bidi w:val="0"/>
              <w:adjustRightInd/>
              <w:snapToGrid/>
              <w:spacing w:line="240" w:lineRule="auto"/>
              <w:ind w:left="0" w:leftChars="0" w:firstLine="0" w:firstLineChars="0"/>
              <w:rPr>
                <w:rFonts w:hint="default" w:ascii="Times New Roman" w:hAnsi="Times New Roman" w:eastAsia="宋体" w:cs="Times New Roman"/>
                <w:b w:val="0"/>
                <w:bCs w:val="0"/>
                <w:color w:val="auto"/>
                <w:kern w:val="0"/>
                <w:sz w:val="21"/>
                <w:szCs w:val="21"/>
                <w:highlight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SA"/>
              </w:rPr>
              <w:t>项目组成员（不含项目负责人）：</w:t>
            </w:r>
          </w:p>
          <w:p w14:paraId="6D7200F5">
            <w:pPr>
              <w:pStyle w:val="2"/>
              <w:keepNext w:val="0"/>
              <w:keepLines w:val="0"/>
              <w:pageBreakBefore w:val="0"/>
              <w:kinsoku/>
              <w:overflowPunct/>
              <w:topLinePunct w:val="0"/>
              <w:autoSpaceDE/>
              <w:autoSpaceDN/>
              <w:bidi w:val="0"/>
              <w:adjustRightInd/>
              <w:snapToGrid/>
              <w:spacing w:line="240" w:lineRule="auto"/>
              <w:ind w:left="0" w:leftChars="0" w:firstLine="0" w:firstLineChars="0"/>
              <w:rPr>
                <w:rFonts w:hint="default" w:ascii="Times New Roman" w:hAnsi="Times New Roman" w:eastAsia="宋体" w:cs="Times New Roman"/>
                <w:b w:val="0"/>
                <w:bCs w:val="0"/>
                <w:color w:val="auto"/>
                <w:kern w:val="0"/>
                <w:sz w:val="21"/>
                <w:szCs w:val="21"/>
                <w:highlight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SA"/>
              </w:rPr>
              <w:t>具有土地或测绘相关专业高级及以上职称的，有1个得</w:t>
            </w:r>
            <w:r>
              <w:rPr>
                <w:rFonts w:hint="eastAsia" w:ascii="Times New Roman" w:hAnsi="Times New Roman" w:eastAsia="宋体" w:cs="Times New Roman"/>
                <w:b w:val="0"/>
                <w:bCs w:val="0"/>
                <w:color w:val="auto"/>
                <w:kern w:val="0"/>
                <w:sz w:val="21"/>
                <w:szCs w:val="21"/>
                <w:highlight w:val="none"/>
                <w:lang w:val="en-US" w:eastAsia="zh-CN" w:bidi="ar-SA"/>
              </w:rPr>
              <w:t>4</w:t>
            </w:r>
            <w:r>
              <w:rPr>
                <w:rFonts w:hint="default" w:ascii="Times New Roman" w:hAnsi="Times New Roman" w:eastAsia="宋体" w:cs="Times New Roman"/>
                <w:b w:val="0"/>
                <w:bCs w:val="0"/>
                <w:color w:val="auto"/>
                <w:kern w:val="0"/>
                <w:sz w:val="21"/>
                <w:szCs w:val="21"/>
                <w:highlight w:val="none"/>
                <w:lang w:val="en-US" w:eastAsia="zh-CN" w:bidi="ar-SA"/>
              </w:rPr>
              <w:t>分，最高得</w:t>
            </w:r>
            <w:r>
              <w:rPr>
                <w:rFonts w:hint="eastAsia" w:ascii="Times New Roman" w:hAnsi="Times New Roman" w:eastAsia="宋体" w:cs="Times New Roman"/>
                <w:b w:val="0"/>
                <w:bCs w:val="0"/>
                <w:color w:val="auto"/>
                <w:kern w:val="0"/>
                <w:sz w:val="21"/>
                <w:szCs w:val="21"/>
                <w:highlight w:val="none"/>
                <w:lang w:val="en-US" w:eastAsia="zh-CN" w:bidi="ar-SA"/>
              </w:rPr>
              <w:t>8</w:t>
            </w:r>
            <w:r>
              <w:rPr>
                <w:rFonts w:hint="default" w:ascii="Times New Roman" w:hAnsi="Times New Roman" w:eastAsia="宋体" w:cs="Times New Roman"/>
                <w:b w:val="0"/>
                <w:bCs w:val="0"/>
                <w:color w:val="auto"/>
                <w:kern w:val="0"/>
                <w:sz w:val="21"/>
                <w:szCs w:val="21"/>
                <w:highlight w:val="none"/>
                <w:lang w:val="en-US" w:eastAsia="zh-CN" w:bidi="ar-SA"/>
              </w:rPr>
              <w:t>分；</w:t>
            </w:r>
          </w:p>
          <w:p w14:paraId="40437388">
            <w:pPr>
              <w:pStyle w:val="2"/>
              <w:keepNext w:val="0"/>
              <w:keepLines w:val="0"/>
              <w:pageBreakBefore w:val="0"/>
              <w:kinsoku/>
              <w:overflowPunct/>
              <w:topLinePunct w:val="0"/>
              <w:autoSpaceDE/>
              <w:autoSpaceDN/>
              <w:bidi w:val="0"/>
              <w:adjustRightInd/>
              <w:snapToGrid/>
              <w:spacing w:line="240" w:lineRule="auto"/>
              <w:ind w:left="0" w:leftChars="0" w:firstLine="0" w:firstLineChars="0"/>
              <w:rPr>
                <w:rFonts w:hint="default" w:ascii="Times New Roman" w:hAnsi="Times New Roman" w:eastAsia="宋体" w:cs="Times New Roman"/>
                <w:b w:val="0"/>
                <w:bCs w:val="0"/>
                <w:color w:val="auto"/>
                <w:kern w:val="0"/>
                <w:sz w:val="21"/>
                <w:szCs w:val="21"/>
                <w:highlight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SA"/>
              </w:rPr>
              <w:t>具有土地或测绘相关专业中级职称的，有1个得1.5分，最高得</w:t>
            </w:r>
            <w:r>
              <w:rPr>
                <w:rFonts w:hint="eastAsia" w:ascii="Times New Roman" w:hAnsi="Times New Roman" w:eastAsia="宋体" w:cs="Times New Roman"/>
                <w:b w:val="0"/>
                <w:bCs w:val="0"/>
                <w:color w:val="auto"/>
                <w:kern w:val="0"/>
                <w:sz w:val="21"/>
                <w:szCs w:val="21"/>
                <w:highlight w:val="none"/>
                <w:lang w:val="en-US" w:eastAsia="zh-CN" w:bidi="ar-SA"/>
              </w:rPr>
              <w:t>3</w:t>
            </w:r>
            <w:r>
              <w:rPr>
                <w:rFonts w:hint="default" w:ascii="Times New Roman" w:hAnsi="Times New Roman" w:eastAsia="宋体" w:cs="Times New Roman"/>
                <w:b w:val="0"/>
                <w:bCs w:val="0"/>
                <w:color w:val="auto"/>
                <w:kern w:val="0"/>
                <w:sz w:val="21"/>
                <w:szCs w:val="21"/>
                <w:highlight w:val="none"/>
                <w:lang w:val="en-US" w:eastAsia="zh-CN" w:bidi="ar-SA"/>
              </w:rPr>
              <w:t>分；</w:t>
            </w:r>
          </w:p>
          <w:p w14:paraId="66E582E8">
            <w:pPr>
              <w:pStyle w:val="2"/>
              <w:keepNext w:val="0"/>
              <w:keepLines w:val="0"/>
              <w:pageBreakBefore w:val="0"/>
              <w:kinsoku/>
              <w:overflowPunct/>
              <w:topLinePunct w:val="0"/>
              <w:autoSpaceDE/>
              <w:autoSpaceDN/>
              <w:bidi w:val="0"/>
              <w:adjustRightInd/>
              <w:snapToGrid/>
              <w:spacing w:line="240" w:lineRule="auto"/>
              <w:ind w:left="0" w:leftChars="0" w:firstLine="0" w:firstLineChars="0"/>
              <w:rPr>
                <w:rFonts w:hint="default" w:ascii="Times New Roman" w:hAnsi="Times New Roman" w:eastAsia="宋体" w:cs="Times New Roman"/>
                <w:b w:val="0"/>
                <w:bCs w:val="0"/>
                <w:color w:val="auto"/>
                <w:kern w:val="0"/>
                <w:sz w:val="21"/>
                <w:szCs w:val="21"/>
                <w:highlight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SA"/>
              </w:rPr>
              <w:t>具有土地或测绘相关专业初级职称的，有1个得</w:t>
            </w:r>
            <w:r>
              <w:rPr>
                <w:rFonts w:hint="eastAsia" w:ascii="Times New Roman" w:hAnsi="Times New Roman" w:eastAsia="宋体" w:cs="Times New Roman"/>
                <w:b w:val="0"/>
                <w:bCs w:val="0"/>
                <w:color w:val="auto"/>
                <w:kern w:val="0"/>
                <w:sz w:val="21"/>
                <w:szCs w:val="21"/>
                <w:highlight w:val="none"/>
                <w:lang w:val="en-US" w:eastAsia="zh-CN" w:bidi="ar-SA"/>
              </w:rPr>
              <w:t>1</w:t>
            </w:r>
            <w:r>
              <w:rPr>
                <w:rFonts w:hint="default" w:ascii="Times New Roman" w:hAnsi="Times New Roman" w:eastAsia="宋体" w:cs="Times New Roman"/>
                <w:b w:val="0"/>
                <w:bCs w:val="0"/>
                <w:color w:val="auto"/>
                <w:kern w:val="0"/>
                <w:sz w:val="21"/>
                <w:szCs w:val="21"/>
                <w:highlight w:val="none"/>
                <w:lang w:val="en-US" w:eastAsia="zh-CN" w:bidi="ar-SA"/>
              </w:rPr>
              <w:t>分，最高得1分。</w:t>
            </w:r>
          </w:p>
          <w:p w14:paraId="20B60CDB">
            <w:pPr>
              <w:pStyle w:val="2"/>
              <w:keepNext w:val="0"/>
              <w:keepLines w:val="0"/>
              <w:pageBreakBefore w:val="0"/>
              <w:kinsoku/>
              <w:overflowPunct/>
              <w:topLinePunct w:val="0"/>
              <w:autoSpaceDE/>
              <w:autoSpaceDN/>
              <w:bidi w:val="0"/>
              <w:adjustRightInd/>
              <w:snapToGrid/>
              <w:spacing w:line="240" w:lineRule="auto"/>
              <w:ind w:left="0" w:leftChars="0" w:firstLine="0" w:firstLineChars="0"/>
              <w:rPr>
                <w:rFonts w:hint="default" w:ascii="Times New Roman" w:hAnsi="Times New Roman" w:eastAsia="宋体" w:cs="Times New Roman"/>
                <w:b w:val="0"/>
                <w:bCs w:val="0"/>
                <w:color w:val="auto"/>
                <w:kern w:val="0"/>
                <w:sz w:val="21"/>
                <w:szCs w:val="21"/>
                <w:highlight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SA"/>
              </w:rPr>
              <w:t>本项最高得</w:t>
            </w:r>
            <w:r>
              <w:rPr>
                <w:rFonts w:hint="eastAsia" w:ascii="Times New Roman" w:hAnsi="Times New Roman" w:eastAsia="宋体" w:cs="Times New Roman"/>
                <w:b w:val="0"/>
                <w:bCs w:val="0"/>
                <w:color w:val="auto"/>
                <w:kern w:val="0"/>
                <w:sz w:val="21"/>
                <w:szCs w:val="21"/>
                <w:highlight w:val="none"/>
                <w:lang w:val="en-US" w:eastAsia="zh-CN" w:bidi="ar-SA"/>
              </w:rPr>
              <w:t>12</w:t>
            </w:r>
            <w:r>
              <w:rPr>
                <w:rFonts w:hint="default" w:ascii="Times New Roman" w:hAnsi="Times New Roman" w:eastAsia="宋体" w:cs="Times New Roman"/>
                <w:b w:val="0"/>
                <w:bCs w:val="0"/>
                <w:color w:val="auto"/>
                <w:kern w:val="0"/>
                <w:sz w:val="21"/>
                <w:szCs w:val="21"/>
                <w:highlight w:val="none"/>
                <w:lang w:val="en-US" w:eastAsia="zh-CN" w:bidi="ar-SA"/>
              </w:rPr>
              <w:t>分。</w:t>
            </w:r>
          </w:p>
          <w:p w14:paraId="082B3473">
            <w:pPr>
              <w:pStyle w:val="2"/>
              <w:keepNext w:val="0"/>
              <w:keepLines w:val="0"/>
              <w:pageBreakBefore w:val="0"/>
              <w:kinsoku/>
              <w:overflowPunct/>
              <w:topLinePunct w:val="0"/>
              <w:autoSpaceDE/>
              <w:autoSpaceDN/>
              <w:bidi w:val="0"/>
              <w:adjustRightInd/>
              <w:snapToGrid/>
              <w:spacing w:line="240" w:lineRule="auto"/>
              <w:ind w:left="0" w:leftChars="0" w:firstLine="0" w:firstLineChars="0"/>
              <w:rPr>
                <w:rFonts w:hint="default" w:ascii="Times New Roman" w:hAnsi="Times New Roman" w:eastAsia="宋体" w:cs="Times New Roman"/>
                <w:b w:val="0"/>
                <w:bCs w:val="0"/>
                <w:color w:val="auto"/>
                <w:kern w:val="0"/>
                <w:sz w:val="21"/>
                <w:szCs w:val="21"/>
                <w:highlight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SA"/>
              </w:rPr>
              <w:t>注：①本项须提供相关人员职称证书扫描件。②</w:t>
            </w:r>
            <w:r>
              <w:rPr>
                <w:rFonts w:hint="default" w:ascii="Times New Roman" w:hAnsi="Times New Roman" w:eastAsia="宋体" w:cs="Times New Roman"/>
                <w:b w:val="0"/>
                <w:bCs w:val="0"/>
                <w:color w:val="auto"/>
                <w:kern w:val="0"/>
                <w:sz w:val="21"/>
                <w:szCs w:val="21"/>
                <w:highlight w:val="none"/>
                <w:lang w:bidi="ar"/>
              </w:rPr>
              <w:t>提供近</w:t>
            </w:r>
            <w:r>
              <w:rPr>
                <w:rFonts w:hint="default" w:ascii="Times New Roman" w:hAnsi="Times New Roman" w:eastAsia="宋体" w:cs="Times New Roman"/>
                <w:b w:val="0"/>
                <w:bCs w:val="0"/>
                <w:color w:val="auto"/>
                <w:kern w:val="0"/>
                <w:sz w:val="21"/>
                <w:szCs w:val="21"/>
                <w:highlight w:val="none"/>
                <w:lang w:val="en-US" w:eastAsia="zh-CN" w:bidi="ar"/>
              </w:rPr>
              <w:t>2</w:t>
            </w:r>
            <w:r>
              <w:rPr>
                <w:rFonts w:hint="default" w:ascii="Times New Roman" w:hAnsi="Times New Roman" w:eastAsia="宋体" w:cs="Times New Roman"/>
                <w:b w:val="0"/>
                <w:bCs w:val="0"/>
                <w:color w:val="auto"/>
                <w:kern w:val="0"/>
                <w:sz w:val="21"/>
                <w:szCs w:val="21"/>
                <w:highlight w:val="none"/>
                <w:lang w:bidi="ar"/>
              </w:rPr>
              <w:t>个月（不含投标当月）任意</w:t>
            </w:r>
            <w:r>
              <w:rPr>
                <w:rFonts w:hint="default" w:ascii="Times New Roman" w:hAnsi="Times New Roman" w:eastAsia="宋体" w:cs="Times New Roman"/>
                <w:b w:val="0"/>
                <w:bCs w:val="0"/>
                <w:color w:val="auto"/>
                <w:kern w:val="0"/>
                <w:sz w:val="21"/>
                <w:szCs w:val="21"/>
                <w:highlight w:val="none"/>
                <w:lang w:eastAsia="zh-CN" w:bidi="ar"/>
              </w:rPr>
              <w:t>连续二</w:t>
            </w:r>
            <w:r>
              <w:rPr>
                <w:rFonts w:hint="default" w:ascii="Times New Roman" w:hAnsi="Times New Roman" w:eastAsia="宋体" w:cs="Times New Roman"/>
                <w:b w:val="0"/>
                <w:bCs w:val="0"/>
                <w:color w:val="auto"/>
                <w:kern w:val="0"/>
                <w:sz w:val="21"/>
                <w:szCs w:val="21"/>
                <w:highlight w:val="none"/>
                <w:lang w:bidi="ar"/>
              </w:rPr>
              <w:t>个月缴纳社保的证明材料扫描件并加盖公章，未按要求提供的不得分</w:t>
            </w:r>
            <w:r>
              <w:rPr>
                <w:rFonts w:hint="default" w:ascii="Times New Roman" w:hAnsi="Times New Roman" w:eastAsia="宋体" w:cs="Times New Roman"/>
                <w:b w:val="0"/>
                <w:bCs w:val="0"/>
                <w:color w:val="auto"/>
                <w:kern w:val="0"/>
                <w:sz w:val="21"/>
                <w:szCs w:val="21"/>
                <w:highlight w:val="none"/>
                <w:lang w:val="en-US" w:eastAsia="zh-CN" w:bidi="ar-SA"/>
              </w:rPr>
              <w:t>。</w:t>
            </w:r>
          </w:p>
        </w:tc>
        <w:tc>
          <w:tcPr>
            <w:tcW w:w="948" w:type="dxa"/>
            <w:tcBorders>
              <w:tl2br w:val="nil"/>
              <w:tr2bl w:val="nil"/>
            </w:tcBorders>
            <w:noWrap/>
            <w:vAlign w:val="center"/>
          </w:tcPr>
          <w:p w14:paraId="381EF7D3">
            <w:pPr>
              <w:keepNext w:val="0"/>
              <w:keepLines w:val="0"/>
              <w:pageBreakBefore w:val="0"/>
              <w:kinsoku/>
              <w:overflowPunct/>
              <w:topLinePunct w:val="0"/>
              <w:autoSpaceDE/>
              <w:autoSpaceDN/>
              <w:bidi w:val="0"/>
              <w:adjustRightInd/>
              <w:snapToGrid/>
              <w:spacing w:line="240" w:lineRule="auto"/>
              <w:jc w:val="center"/>
              <w:rPr>
                <w:rFonts w:hint="default"/>
                <w:b w:val="0"/>
                <w:bCs w:val="0"/>
                <w:color w:val="auto"/>
                <w:highlight w:val="none"/>
                <w:lang w:val="en-US" w:eastAsia="zh-CN"/>
              </w:rPr>
            </w:pPr>
            <w:r>
              <w:rPr>
                <w:rFonts w:hint="eastAsia" w:cs="Times New Roman"/>
                <w:b w:val="0"/>
                <w:bCs w:val="0"/>
                <w:color w:val="auto"/>
                <w:kern w:val="0"/>
                <w:sz w:val="21"/>
                <w:szCs w:val="21"/>
                <w:highlight w:val="none"/>
                <w:lang w:val="en-US" w:eastAsia="zh-CN" w:bidi="ar-SA"/>
              </w:rPr>
              <w:t>12</w:t>
            </w:r>
          </w:p>
        </w:tc>
      </w:tr>
      <w:tr w14:paraId="2FE658E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535" w:hRule="atLeast"/>
          <w:jc w:val="center"/>
        </w:trPr>
        <w:tc>
          <w:tcPr>
            <w:tcW w:w="800" w:type="dxa"/>
            <w:vMerge w:val="continue"/>
            <w:tcBorders>
              <w:tl2br w:val="nil"/>
              <w:tr2bl w:val="nil"/>
            </w:tcBorders>
            <w:noWrap/>
            <w:vAlign w:val="center"/>
          </w:tcPr>
          <w:p w14:paraId="5A8E156E">
            <w:pPr>
              <w:keepNext w:val="0"/>
              <w:keepLines w:val="0"/>
              <w:pageBreakBefore w:val="0"/>
              <w:kinsoku/>
              <w:overflowPunct/>
              <w:topLinePunct w:val="0"/>
              <w:autoSpaceDE/>
              <w:autoSpaceDN/>
              <w:bidi w:val="0"/>
              <w:adjustRightInd/>
              <w:snapToGrid/>
              <w:spacing w:line="240" w:lineRule="auto"/>
              <w:jc w:val="center"/>
              <w:rPr>
                <w:rFonts w:hint="default" w:ascii="Times New Roman" w:hAnsi="Times New Roman" w:eastAsia="宋体" w:cs="Times New Roman"/>
                <w:b w:val="0"/>
                <w:bCs w:val="0"/>
                <w:color w:val="auto"/>
                <w:kern w:val="0"/>
                <w:sz w:val="21"/>
                <w:szCs w:val="21"/>
                <w:highlight w:val="none"/>
                <w:lang w:val="en-US" w:eastAsia="zh-CN" w:bidi="ar-SA"/>
              </w:rPr>
            </w:pPr>
          </w:p>
        </w:tc>
        <w:tc>
          <w:tcPr>
            <w:tcW w:w="1158" w:type="dxa"/>
            <w:vMerge w:val="continue"/>
            <w:tcBorders>
              <w:tl2br w:val="nil"/>
              <w:tr2bl w:val="nil"/>
            </w:tcBorders>
            <w:noWrap w:val="0"/>
            <w:vAlign w:val="center"/>
          </w:tcPr>
          <w:p w14:paraId="062062F0">
            <w:pPr>
              <w:keepNext w:val="0"/>
              <w:keepLines w:val="0"/>
              <w:pageBreakBefore w:val="0"/>
              <w:kinsoku/>
              <w:overflowPunct/>
              <w:topLinePunct w:val="0"/>
              <w:autoSpaceDE/>
              <w:autoSpaceDN/>
              <w:bidi w:val="0"/>
              <w:adjustRightInd/>
              <w:snapToGrid/>
              <w:spacing w:line="240" w:lineRule="auto"/>
              <w:jc w:val="center"/>
              <w:rPr>
                <w:rFonts w:hint="default" w:ascii="Times New Roman" w:hAnsi="Times New Roman" w:eastAsia="宋体" w:cs="Times New Roman"/>
                <w:b w:val="0"/>
                <w:bCs w:val="0"/>
                <w:color w:val="auto"/>
                <w:kern w:val="0"/>
                <w:sz w:val="21"/>
                <w:szCs w:val="21"/>
                <w:highlight w:val="none"/>
                <w:lang w:val="en-US" w:eastAsia="zh-CN" w:bidi="ar-SA"/>
              </w:rPr>
            </w:pPr>
          </w:p>
        </w:tc>
        <w:tc>
          <w:tcPr>
            <w:tcW w:w="1159" w:type="dxa"/>
            <w:tcBorders>
              <w:tl2br w:val="nil"/>
              <w:tr2bl w:val="nil"/>
            </w:tcBorders>
            <w:noWrap w:val="0"/>
            <w:vAlign w:val="center"/>
          </w:tcPr>
          <w:p w14:paraId="4094A34D">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企业实力</w:t>
            </w:r>
          </w:p>
        </w:tc>
        <w:tc>
          <w:tcPr>
            <w:tcW w:w="4457" w:type="dxa"/>
            <w:tcBorders>
              <w:tl2br w:val="nil"/>
              <w:tr2bl w:val="nil"/>
            </w:tcBorders>
            <w:noWrap w:val="0"/>
            <w:vAlign w:val="center"/>
          </w:tcPr>
          <w:p w14:paraId="65E69278">
            <w:pPr>
              <w:pStyle w:val="2"/>
              <w:keepNext w:val="0"/>
              <w:keepLines w:val="0"/>
              <w:pageBreakBefore w:val="0"/>
              <w:kinsoku/>
              <w:overflowPunct/>
              <w:topLinePunct w:val="0"/>
              <w:autoSpaceDE/>
              <w:autoSpaceDN/>
              <w:bidi w:val="0"/>
              <w:adjustRightInd/>
              <w:snapToGrid/>
              <w:spacing w:line="240" w:lineRule="auto"/>
              <w:ind w:left="0" w:leftChars="0" w:firstLine="0" w:firstLineChars="0"/>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kern w:val="0"/>
                <w:sz w:val="21"/>
                <w:szCs w:val="21"/>
                <w:highlight w:val="none"/>
                <w:lang w:val="en-US" w:eastAsia="zh-CN" w:bidi="ar-SA"/>
              </w:rPr>
              <w:t>投标人（供应商）</w:t>
            </w:r>
            <w:r>
              <w:rPr>
                <w:rFonts w:hint="default" w:ascii="Times New Roman" w:hAnsi="Times New Roman" w:eastAsia="宋体" w:cs="Times New Roman"/>
                <w:b w:val="0"/>
                <w:bCs w:val="0"/>
                <w:color w:val="auto"/>
                <w:sz w:val="21"/>
                <w:szCs w:val="21"/>
                <w:highlight w:val="none"/>
              </w:rPr>
              <w:t>自2020年1月1日(以证书发证日期为准)以来服务过的村庄规划类项日:</w:t>
            </w:r>
            <w:r>
              <w:rPr>
                <w:rFonts w:hint="default" w:ascii="Times New Roman" w:hAnsi="Times New Roman" w:eastAsia="宋体" w:cs="Times New Roman"/>
                <w:b w:val="0"/>
                <w:bCs w:val="0"/>
                <w:color w:val="auto"/>
                <w:sz w:val="21"/>
                <w:szCs w:val="21"/>
                <w:highlight w:val="none"/>
                <w:lang w:eastAsia="zh-CN"/>
              </w:rPr>
              <w:t>获</w:t>
            </w:r>
            <w:r>
              <w:rPr>
                <w:rFonts w:hint="default" w:ascii="Times New Roman" w:hAnsi="Times New Roman" w:eastAsia="宋体" w:cs="Times New Roman"/>
                <w:b w:val="0"/>
                <w:bCs w:val="0"/>
                <w:color w:val="auto"/>
                <w:sz w:val="21"/>
                <w:szCs w:val="21"/>
                <w:highlight w:val="none"/>
              </w:rPr>
              <w:t>得过省级及以上自然资源主管部门荣誉的，每有一</w:t>
            </w:r>
            <w:r>
              <w:rPr>
                <w:rFonts w:hint="default" w:ascii="Times New Roman" w:hAnsi="Times New Roman" w:eastAsia="宋体" w:cs="Times New Roman"/>
                <w:b w:val="0"/>
                <w:bCs w:val="0"/>
                <w:color w:val="auto"/>
                <w:sz w:val="21"/>
                <w:szCs w:val="21"/>
                <w:highlight w:val="none"/>
                <w:lang w:eastAsia="zh-CN"/>
              </w:rPr>
              <w:t>个</w:t>
            </w:r>
            <w:r>
              <w:rPr>
                <w:rFonts w:hint="default" w:ascii="Times New Roman" w:hAnsi="Times New Roman" w:eastAsia="宋体" w:cs="Times New Roman"/>
                <w:b w:val="0"/>
                <w:bCs w:val="0"/>
                <w:color w:val="auto"/>
                <w:sz w:val="21"/>
                <w:szCs w:val="21"/>
                <w:highlight w:val="none"/>
              </w:rPr>
              <w:t>得</w:t>
            </w:r>
            <w:r>
              <w:rPr>
                <w:rFonts w:hint="eastAsia" w:ascii="Times New Roman" w:hAnsi="Times New Roman" w:eastAsia="宋体" w:cs="Times New Roman"/>
                <w:b w:val="0"/>
                <w:bCs w:val="0"/>
                <w:color w:val="auto"/>
                <w:sz w:val="21"/>
                <w:szCs w:val="21"/>
                <w:highlight w:val="none"/>
                <w:lang w:val="en-US" w:eastAsia="zh-CN"/>
              </w:rPr>
              <w:t>5</w:t>
            </w:r>
            <w:r>
              <w:rPr>
                <w:rFonts w:hint="default" w:ascii="Times New Roman" w:hAnsi="Times New Roman" w:eastAsia="宋体" w:cs="Times New Roman"/>
                <w:b w:val="0"/>
                <w:bCs w:val="0"/>
                <w:color w:val="auto"/>
                <w:sz w:val="21"/>
                <w:szCs w:val="21"/>
                <w:highlight w:val="none"/>
              </w:rPr>
              <w:t>分；</w:t>
            </w:r>
          </w:p>
          <w:p w14:paraId="4B20F651">
            <w:pPr>
              <w:pStyle w:val="2"/>
              <w:keepNext w:val="0"/>
              <w:keepLines w:val="0"/>
              <w:pageBreakBefore w:val="0"/>
              <w:kinsoku/>
              <w:overflowPunct/>
              <w:topLinePunct w:val="0"/>
              <w:autoSpaceDE/>
              <w:autoSpaceDN/>
              <w:bidi w:val="0"/>
              <w:adjustRightInd/>
              <w:snapToGrid/>
              <w:spacing w:line="240" w:lineRule="auto"/>
              <w:ind w:left="0" w:leftChars="0" w:firstLine="0" w:firstLineChars="0"/>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lang w:eastAsia="zh-CN"/>
              </w:rPr>
              <w:t>获</w:t>
            </w:r>
            <w:r>
              <w:rPr>
                <w:rFonts w:hint="default" w:ascii="Times New Roman" w:hAnsi="Times New Roman" w:eastAsia="宋体" w:cs="Times New Roman"/>
                <w:b w:val="0"/>
                <w:bCs w:val="0"/>
                <w:color w:val="auto"/>
                <w:sz w:val="21"/>
                <w:szCs w:val="21"/>
                <w:highlight w:val="none"/>
              </w:rPr>
              <w:t>得市级自然资源主管部门荣誉的，每有一</w:t>
            </w:r>
            <w:r>
              <w:rPr>
                <w:rFonts w:hint="default" w:ascii="Times New Roman" w:hAnsi="Times New Roman" w:eastAsia="宋体" w:cs="Times New Roman"/>
                <w:b w:val="0"/>
                <w:bCs w:val="0"/>
                <w:color w:val="auto"/>
                <w:sz w:val="21"/>
                <w:szCs w:val="21"/>
                <w:highlight w:val="none"/>
                <w:lang w:eastAsia="zh-CN"/>
              </w:rPr>
              <w:t>个</w:t>
            </w:r>
            <w:r>
              <w:rPr>
                <w:rFonts w:hint="default" w:ascii="Times New Roman" w:hAnsi="Times New Roman" w:eastAsia="宋体" w:cs="Times New Roman"/>
                <w:b w:val="0"/>
                <w:bCs w:val="0"/>
                <w:color w:val="auto"/>
                <w:sz w:val="21"/>
                <w:szCs w:val="21"/>
                <w:highlight w:val="none"/>
              </w:rPr>
              <w:t>得</w:t>
            </w:r>
            <w:r>
              <w:rPr>
                <w:rFonts w:hint="eastAsia" w:ascii="Times New Roman" w:hAnsi="Times New Roman" w:eastAsia="宋体" w:cs="Times New Roman"/>
                <w:b w:val="0"/>
                <w:bCs w:val="0"/>
                <w:color w:val="auto"/>
                <w:sz w:val="21"/>
                <w:szCs w:val="21"/>
                <w:highlight w:val="none"/>
                <w:lang w:val="en-US" w:eastAsia="zh-CN"/>
              </w:rPr>
              <w:t>3</w:t>
            </w:r>
            <w:r>
              <w:rPr>
                <w:rFonts w:hint="default" w:ascii="Times New Roman" w:hAnsi="Times New Roman" w:eastAsia="宋体" w:cs="Times New Roman"/>
                <w:b w:val="0"/>
                <w:bCs w:val="0"/>
                <w:color w:val="auto"/>
                <w:sz w:val="21"/>
                <w:szCs w:val="21"/>
                <w:highlight w:val="none"/>
              </w:rPr>
              <w:t>分；</w:t>
            </w:r>
          </w:p>
          <w:p w14:paraId="725DC44A">
            <w:pPr>
              <w:pStyle w:val="2"/>
              <w:keepNext w:val="0"/>
              <w:keepLines w:val="0"/>
              <w:pageBreakBefore w:val="0"/>
              <w:kinsoku/>
              <w:overflowPunct/>
              <w:topLinePunct w:val="0"/>
              <w:autoSpaceDE/>
              <w:autoSpaceDN/>
              <w:bidi w:val="0"/>
              <w:adjustRightInd/>
              <w:snapToGrid/>
              <w:spacing w:line="240" w:lineRule="auto"/>
              <w:ind w:left="0" w:leftChars="0" w:firstLine="0" w:firstLineChars="0"/>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lang w:eastAsia="zh-CN"/>
              </w:rPr>
              <w:t>获</w:t>
            </w:r>
            <w:r>
              <w:rPr>
                <w:rFonts w:hint="default" w:ascii="Times New Roman" w:hAnsi="Times New Roman" w:eastAsia="宋体" w:cs="Times New Roman"/>
                <w:b w:val="0"/>
                <w:bCs w:val="0"/>
                <w:color w:val="auto"/>
                <w:sz w:val="21"/>
                <w:szCs w:val="21"/>
                <w:highlight w:val="none"/>
              </w:rPr>
              <w:t>得区县级自然资源主管部门荣誉的，每有一</w:t>
            </w:r>
            <w:r>
              <w:rPr>
                <w:rFonts w:hint="default" w:ascii="Times New Roman" w:hAnsi="Times New Roman" w:eastAsia="宋体" w:cs="Times New Roman"/>
                <w:b w:val="0"/>
                <w:bCs w:val="0"/>
                <w:color w:val="auto"/>
                <w:sz w:val="21"/>
                <w:szCs w:val="21"/>
                <w:highlight w:val="none"/>
                <w:lang w:eastAsia="zh-CN"/>
              </w:rPr>
              <w:t>个</w:t>
            </w:r>
            <w:r>
              <w:rPr>
                <w:rFonts w:hint="default" w:ascii="Times New Roman" w:hAnsi="Times New Roman" w:eastAsia="宋体" w:cs="Times New Roman"/>
                <w:b w:val="0"/>
                <w:bCs w:val="0"/>
                <w:color w:val="auto"/>
                <w:sz w:val="21"/>
                <w:szCs w:val="21"/>
                <w:highlight w:val="none"/>
              </w:rPr>
              <w:t>得1分；</w:t>
            </w:r>
          </w:p>
          <w:p w14:paraId="3C547186">
            <w:pPr>
              <w:pStyle w:val="2"/>
              <w:keepNext w:val="0"/>
              <w:keepLines w:val="0"/>
              <w:pageBreakBefore w:val="0"/>
              <w:kinsoku/>
              <w:overflowPunct/>
              <w:topLinePunct w:val="0"/>
              <w:autoSpaceDE/>
              <w:autoSpaceDN/>
              <w:bidi w:val="0"/>
              <w:adjustRightInd/>
              <w:snapToGrid/>
              <w:spacing w:line="240" w:lineRule="auto"/>
              <w:ind w:left="0" w:leftChars="0" w:firstLine="0" w:firstLineChars="0"/>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本项最高得</w:t>
            </w:r>
            <w:r>
              <w:rPr>
                <w:rFonts w:hint="eastAsia" w:ascii="Times New Roman" w:hAnsi="Times New Roman" w:eastAsia="宋体" w:cs="Times New Roman"/>
                <w:b w:val="0"/>
                <w:bCs w:val="0"/>
                <w:color w:val="auto"/>
                <w:sz w:val="21"/>
                <w:szCs w:val="21"/>
                <w:highlight w:val="none"/>
                <w:lang w:val="en-US" w:eastAsia="zh-CN"/>
              </w:rPr>
              <w:t>5</w:t>
            </w:r>
            <w:r>
              <w:rPr>
                <w:rFonts w:hint="default" w:ascii="Times New Roman" w:hAnsi="Times New Roman" w:eastAsia="宋体" w:cs="Times New Roman"/>
                <w:b w:val="0"/>
                <w:bCs w:val="0"/>
                <w:color w:val="auto"/>
                <w:sz w:val="21"/>
                <w:szCs w:val="21"/>
                <w:highlight w:val="none"/>
              </w:rPr>
              <w:t>分。</w:t>
            </w:r>
          </w:p>
          <w:p w14:paraId="35658A25">
            <w:pPr>
              <w:pStyle w:val="2"/>
              <w:keepNext w:val="0"/>
              <w:keepLines w:val="0"/>
              <w:pageBreakBefore w:val="0"/>
              <w:kinsoku/>
              <w:overflowPunct/>
              <w:topLinePunct w:val="0"/>
              <w:autoSpaceDE/>
              <w:autoSpaceDN/>
              <w:bidi w:val="0"/>
              <w:adjustRightInd/>
              <w:snapToGrid/>
              <w:spacing w:line="240" w:lineRule="auto"/>
              <w:ind w:left="0" w:leftChars="0" w:firstLine="0" w:firstLineChars="0"/>
              <w:rPr>
                <w:rFonts w:hint="default" w:ascii="Times New Roman" w:hAnsi="Times New Roman" w:eastAsia="宋体" w:cs="Times New Roman"/>
                <w:b w:val="0"/>
                <w:bCs w:val="0"/>
                <w:color w:val="auto"/>
                <w:kern w:val="0"/>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eastAsia="zh-CN"/>
              </w:rPr>
              <w:t>注：①本项须提供</w:t>
            </w:r>
            <w:r>
              <w:rPr>
                <w:rFonts w:hint="eastAsia" w:ascii="Times New Roman" w:hAnsi="Times New Roman" w:eastAsia="宋体" w:cs="Times New Roman"/>
                <w:b w:val="0"/>
                <w:bCs w:val="0"/>
                <w:color w:val="auto"/>
                <w:sz w:val="21"/>
                <w:szCs w:val="21"/>
                <w:highlight w:val="none"/>
                <w:lang w:eastAsia="zh-CN"/>
              </w:rPr>
              <w:t>荣誉</w:t>
            </w:r>
            <w:r>
              <w:rPr>
                <w:rFonts w:hint="default" w:ascii="Times New Roman" w:hAnsi="Times New Roman" w:eastAsia="宋体" w:cs="Times New Roman"/>
                <w:b w:val="0"/>
                <w:bCs w:val="0"/>
                <w:color w:val="auto"/>
                <w:sz w:val="21"/>
                <w:szCs w:val="21"/>
                <w:highlight w:val="none"/>
                <w:lang w:eastAsia="zh-CN"/>
              </w:rPr>
              <w:t>证书扫描件</w:t>
            </w:r>
            <w:r>
              <w:rPr>
                <w:rFonts w:hint="default" w:ascii="Times New Roman" w:hAnsi="Times New Roman" w:eastAsia="宋体" w:cs="Times New Roman"/>
                <w:b w:val="0"/>
                <w:bCs w:val="0"/>
                <w:color w:val="auto"/>
                <w:sz w:val="21"/>
                <w:szCs w:val="21"/>
                <w:highlight w:val="none"/>
              </w:rPr>
              <w:t>，</w:t>
            </w:r>
            <w:r>
              <w:rPr>
                <w:rFonts w:hint="default" w:ascii="Times New Roman" w:hAnsi="Times New Roman" w:eastAsia="宋体" w:cs="Times New Roman"/>
                <w:b w:val="0"/>
                <w:bCs w:val="0"/>
                <w:color w:val="auto"/>
                <w:sz w:val="21"/>
                <w:szCs w:val="21"/>
                <w:highlight w:val="none"/>
                <w:lang w:eastAsia="zh-CN"/>
              </w:rPr>
              <w:t>未</w:t>
            </w:r>
            <w:r>
              <w:rPr>
                <w:rFonts w:hint="default" w:ascii="Times New Roman" w:hAnsi="Times New Roman" w:eastAsia="宋体" w:cs="Times New Roman"/>
                <w:b w:val="0"/>
                <w:bCs w:val="0"/>
                <w:color w:val="auto"/>
                <w:sz w:val="21"/>
                <w:szCs w:val="21"/>
                <w:highlight w:val="none"/>
              </w:rPr>
              <w:t>提供不得分。</w:t>
            </w:r>
            <w:r>
              <w:rPr>
                <w:rFonts w:hint="default" w:ascii="Times New Roman" w:hAnsi="Times New Roman" w:eastAsia="宋体" w:cs="Times New Roman"/>
                <w:b w:val="0"/>
                <w:bCs w:val="0"/>
                <w:color w:val="auto"/>
                <w:sz w:val="21"/>
                <w:szCs w:val="21"/>
                <w:highlight w:val="none"/>
                <w:lang w:eastAsia="zh-CN"/>
              </w:rPr>
              <w:t>②如投标人提供多个荣誉的，在评审时只认定</w:t>
            </w:r>
            <w:r>
              <w:rPr>
                <w:rFonts w:hint="default" w:ascii="Times New Roman" w:hAnsi="Times New Roman" w:eastAsia="宋体" w:cs="Times New Roman"/>
                <w:b w:val="0"/>
                <w:bCs w:val="0"/>
                <w:color w:val="auto"/>
                <w:sz w:val="21"/>
                <w:szCs w:val="21"/>
                <w:highlight w:val="none"/>
                <w:lang w:val="en-US" w:eastAsia="zh-CN"/>
              </w:rPr>
              <w:t>1个，以提供的最高荣誉计分。</w:t>
            </w:r>
          </w:p>
        </w:tc>
        <w:tc>
          <w:tcPr>
            <w:tcW w:w="948" w:type="dxa"/>
            <w:tcBorders>
              <w:tl2br w:val="nil"/>
              <w:tr2bl w:val="nil"/>
            </w:tcBorders>
            <w:noWrap/>
            <w:vAlign w:val="center"/>
          </w:tcPr>
          <w:p w14:paraId="3D5A92CF">
            <w:pPr>
              <w:keepNext w:val="0"/>
              <w:keepLines w:val="0"/>
              <w:pageBreakBefore w:val="0"/>
              <w:kinsoku/>
              <w:overflowPunct/>
              <w:topLinePunct w:val="0"/>
              <w:autoSpaceDE/>
              <w:autoSpaceDN/>
              <w:bidi w:val="0"/>
              <w:adjustRightInd/>
              <w:snapToGrid/>
              <w:spacing w:line="240" w:lineRule="auto"/>
              <w:jc w:val="center"/>
              <w:rPr>
                <w:rFonts w:hint="default"/>
                <w:b w:val="0"/>
                <w:bCs w:val="0"/>
                <w:color w:val="auto"/>
                <w:highlight w:val="none"/>
                <w:lang w:val="en-US" w:eastAsia="zh-CN"/>
              </w:rPr>
            </w:pPr>
            <w:r>
              <w:rPr>
                <w:rFonts w:hint="eastAsia" w:cs="Times New Roman"/>
                <w:b w:val="0"/>
                <w:bCs w:val="0"/>
                <w:color w:val="auto"/>
                <w:kern w:val="0"/>
                <w:sz w:val="21"/>
                <w:szCs w:val="21"/>
                <w:highlight w:val="none"/>
                <w:lang w:val="en-US" w:eastAsia="zh-CN" w:bidi="ar-SA"/>
              </w:rPr>
              <w:t>5</w:t>
            </w:r>
          </w:p>
        </w:tc>
      </w:tr>
      <w:tr w14:paraId="0E9F558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00" w:type="dxa"/>
            <w:vMerge w:val="restart"/>
            <w:tcBorders>
              <w:tl2br w:val="nil"/>
              <w:tr2bl w:val="nil"/>
            </w:tcBorders>
            <w:noWrap/>
            <w:vAlign w:val="center"/>
          </w:tcPr>
          <w:p w14:paraId="368AE0FB">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b w:val="0"/>
                <w:bCs w:val="0"/>
                <w:color w:val="auto"/>
                <w:kern w:val="0"/>
                <w:sz w:val="21"/>
                <w:szCs w:val="21"/>
                <w:highlight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SA"/>
              </w:rPr>
              <w:t>3</w:t>
            </w:r>
          </w:p>
        </w:tc>
        <w:tc>
          <w:tcPr>
            <w:tcW w:w="1158" w:type="dxa"/>
            <w:vMerge w:val="restart"/>
            <w:tcBorders>
              <w:tl2br w:val="nil"/>
              <w:tr2bl w:val="nil"/>
            </w:tcBorders>
            <w:noWrap w:val="0"/>
            <w:vAlign w:val="center"/>
          </w:tcPr>
          <w:p w14:paraId="25EC18F2">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b w:val="0"/>
                <w:bCs w:val="0"/>
                <w:color w:val="auto"/>
                <w:kern w:val="0"/>
                <w:sz w:val="21"/>
                <w:szCs w:val="21"/>
                <w:highlight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SA"/>
              </w:rPr>
              <w:t>技术评审（</w:t>
            </w:r>
            <w:r>
              <w:rPr>
                <w:rFonts w:hint="eastAsia" w:cs="Times New Roman"/>
                <w:b w:val="0"/>
                <w:bCs w:val="0"/>
                <w:color w:val="auto"/>
                <w:kern w:val="0"/>
                <w:sz w:val="21"/>
                <w:szCs w:val="21"/>
                <w:highlight w:val="none"/>
                <w:lang w:val="en-US" w:eastAsia="zh-CN" w:bidi="ar-SA"/>
              </w:rPr>
              <w:t>5</w:t>
            </w:r>
            <w:r>
              <w:rPr>
                <w:rFonts w:hint="default" w:ascii="Times New Roman" w:hAnsi="Times New Roman" w:eastAsia="宋体" w:cs="Times New Roman"/>
                <w:b w:val="0"/>
                <w:bCs w:val="0"/>
                <w:color w:val="auto"/>
                <w:kern w:val="0"/>
                <w:sz w:val="21"/>
                <w:szCs w:val="21"/>
                <w:highlight w:val="none"/>
                <w:lang w:val="en-US" w:eastAsia="zh-CN" w:bidi="ar-SA"/>
              </w:rPr>
              <w:t>5分）</w:t>
            </w:r>
          </w:p>
        </w:tc>
        <w:tc>
          <w:tcPr>
            <w:tcW w:w="1159" w:type="dxa"/>
            <w:tcBorders>
              <w:tl2br w:val="nil"/>
              <w:tr2bl w:val="nil"/>
            </w:tcBorders>
            <w:noWrap w:val="0"/>
            <w:vAlign w:val="center"/>
          </w:tcPr>
          <w:p w14:paraId="7C3C998D">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b w:val="0"/>
                <w:bCs w:val="0"/>
                <w:color w:val="auto"/>
                <w:kern w:val="0"/>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rPr>
              <w:t>项目现状理解和相关规划的理解</w:t>
            </w:r>
          </w:p>
        </w:tc>
        <w:tc>
          <w:tcPr>
            <w:tcW w:w="4457" w:type="dxa"/>
            <w:tcBorders>
              <w:tl2br w:val="nil"/>
              <w:tr2bl w:val="nil"/>
            </w:tcBorders>
            <w:noWrap w:val="0"/>
            <w:vAlign w:val="center"/>
          </w:tcPr>
          <w:p w14:paraId="7DCA28DC">
            <w:pPr>
              <w:keepNext w:val="0"/>
              <w:keepLines w:val="0"/>
              <w:pageBreakBefore w:val="0"/>
              <w:kinsoku/>
              <w:overflowPunct/>
              <w:topLinePunct w:val="0"/>
              <w:autoSpaceDE/>
              <w:autoSpaceDN/>
              <w:bidi w:val="0"/>
              <w:adjustRightInd w:val="0"/>
              <w:snapToGrid w:val="0"/>
              <w:spacing w:line="240" w:lineRule="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rPr>
              <w:t>对规划背景、所在乡镇规划进行解读，对村庄发展现状进行分析。</w:t>
            </w:r>
          </w:p>
          <w:p w14:paraId="2BEEF24B">
            <w:pPr>
              <w:keepNext w:val="0"/>
              <w:keepLines w:val="0"/>
              <w:pageBreakBefore w:val="0"/>
              <w:kinsoku/>
              <w:overflowPunct/>
              <w:topLinePunct w:val="0"/>
              <w:autoSpaceDE/>
              <w:autoSpaceDN/>
              <w:bidi w:val="0"/>
              <w:adjustRightInd w:val="0"/>
              <w:snapToGrid w:val="0"/>
              <w:spacing w:line="240" w:lineRule="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 w:val="0"/>
                <w:bCs w:val="0"/>
                <w:color w:val="auto"/>
                <w:sz w:val="21"/>
                <w:szCs w:val="21"/>
                <w:highlight w:val="none"/>
              </w:rPr>
              <w:t>（1）背景和规划解读认知准确、阐述全面、分析深入、优于项目需求得1</w:t>
            </w:r>
            <w:r>
              <w:rPr>
                <w:rFonts w:hint="eastAsia" w:cs="Times New Roman"/>
                <w:b w:val="0"/>
                <w:bCs w:val="0"/>
                <w:color w:val="auto"/>
                <w:sz w:val="21"/>
                <w:szCs w:val="21"/>
                <w:highlight w:val="none"/>
                <w:lang w:val="en-US" w:eastAsia="zh-CN"/>
              </w:rPr>
              <w:t>0</w:t>
            </w:r>
            <w:r>
              <w:rPr>
                <w:rFonts w:hint="default" w:ascii="Times New Roman" w:hAnsi="Times New Roman" w:eastAsia="宋体" w:cs="Times New Roman"/>
                <w:b w:val="0"/>
                <w:bCs w:val="0"/>
                <w:color w:val="auto"/>
                <w:sz w:val="21"/>
                <w:szCs w:val="21"/>
                <w:highlight w:val="none"/>
              </w:rPr>
              <w:t>分</w:t>
            </w:r>
            <w:r>
              <w:rPr>
                <w:rFonts w:hint="default" w:ascii="Times New Roman" w:hAnsi="Times New Roman" w:eastAsia="宋体" w:cs="Times New Roman"/>
                <w:b w:val="0"/>
                <w:bCs w:val="0"/>
                <w:color w:val="auto"/>
                <w:sz w:val="21"/>
                <w:szCs w:val="21"/>
                <w:highlight w:val="none"/>
                <w:lang w:eastAsia="zh-CN"/>
              </w:rPr>
              <w:t>；</w:t>
            </w:r>
          </w:p>
          <w:p w14:paraId="14DEB075">
            <w:pPr>
              <w:keepNext w:val="0"/>
              <w:keepLines w:val="0"/>
              <w:pageBreakBefore w:val="0"/>
              <w:kinsoku/>
              <w:overflowPunct/>
              <w:topLinePunct w:val="0"/>
              <w:autoSpaceDE/>
              <w:autoSpaceDN/>
              <w:bidi w:val="0"/>
              <w:spacing w:line="240" w:lineRule="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 w:val="0"/>
                <w:bCs w:val="0"/>
                <w:color w:val="auto"/>
                <w:sz w:val="21"/>
                <w:szCs w:val="21"/>
                <w:highlight w:val="none"/>
              </w:rPr>
              <w:t>（2）背景和规划解读具有一定深度、分析较深入，</w:t>
            </w:r>
            <w:r>
              <w:rPr>
                <w:rFonts w:hint="eastAsia" w:cs="Times New Roman"/>
                <w:b w:val="0"/>
                <w:bCs w:val="0"/>
                <w:color w:val="auto"/>
                <w:sz w:val="21"/>
                <w:szCs w:val="21"/>
                <w:highlight w:val="none"/>
                <w:lang w:val="en-US" w:eastAsia="zh-CN"/>
              </w:rPr>
              <w:t>能较好的</w:t>
            </w:r>
            <w:r>
              <w:rPr>
                <w:rFonts w:hint="default" w:ascii="Times New Roman" w:hAnsi="Times New Roman" w:eastAsia="宋体" w:cs="Times New Roman"/>
                <w:b w:val="0"/>
                <w:bCs w:val="0"/>
                <w:color w:val="auto"/>
                <w:sz w:val="21"/>
                <w:szCs w:val="21"/>
                <w:highlight w:val="none"/>
              </w:rPr>
              <w:t>符合项目需求得</w:t>
            </w:r>
            <w:r>
              <w:rPr>
                <w:rFonts w:hint="eastAsia" w:cs="Times New Roman"/>
                <w:b w:val="0"/>
                <w:bCs w:val="0"/>
                <w:color w:val="auto"/>
                <w:sz w:val="21"/>
                <w:szCs w:val="21"/>
                <w:highlight w:val="none"/>
                <w:lang w:val="en-US" w:eastAsia="zh-CN"/>
              </w:rPr>
              <w:t>7</w:t>
            </w:r>
            <w:r>
              <w:rPr>
                <w:rFonts w:hint="default" w:ascii="Times New Roman" w:hAnsi="Times New Roman" w:eastAsia="宋体" w:cs="Times New Roman"/>
                <w:b w:val="0"/>
                <w:bCs w:val="0"/>
                <w:color w:val="auto"/>
                <w:sz w:val="21"/>
                <w:szCs w:val="21"/>
                <w:highlight w:val="none"/>
              </w:rPr>
              <w:t>分</w:t>
            </w:r>
            <w:r>
              <w:rPr>
                <w:rFonts w:hint="default" w:ascii="Times New Roman" w:hAnsi="Times New Roman" w:eastAsia="宋体" w:cs="Times New Roman"/>
                <w:b w:val="0"/>
                <w:bCs w:val="0"/>
                <w:color w:val="auto"/>
                <w:sz w:val="21"/>
                <w:szCs w:val="21"/>
                <w:highlight w:val="none"/>
                <w:lang w:eastAsia="zh-CN"/>
              </w:rPr>
              <w:t>；</w:t>
            </w:r>
          </w:p>
          <w:p w14:paraId="6FBD147C">
            <w:pPr>
              <w:keepNext w:val="0"/>
              <w:keepLines w:val="0"/>
              <w:pageBreakBefore w:val="0"/>
              <w:kinsoku/>
              <w:overflowPunct/>
              <w:topLinePunct w:val="0"/>
              <w:autoSpaceDE/>
              <w:autoSpaceDN/>
              <w:bidi w:val="0"/>
              <w:spacing w:line="240" w:lineRule="auto"/>
              <w:rPr>
                <w:rFonts w:hint="default"/>
                <w:b w:val="0"/>
                <w:bCs w:val="0"/>
                <w:color w:val="auto"/>
                <w:highlight w:val="none"/>
                <w:lang w:eastAsia="zh-CN"/>
              </w:rPr>
            </w:pPr>
            <w:r>
              <w:rPr>
                <w:rFonts w:hint="default" w:ascii="Times New Roman" w:hAnsi="Times New Roman" w:eastAsia="宋体" w:cs="Times New Roman"/>
                <w:b w:val="0"/>
                <w:bCs w:val="0"/>
                <w:color w:val="auto"/>
                <w:sz w:val="21"/>
                <w:szCs w:val="21"/>
                <w:highlight w:val="none"/>
              </w:rPr>
              <w:t>（3）背景和规划解读</w:t>
            </w:r>
            <w:r>
              <w:rPr>
                <w:rFonts w:hint="eastAsia" w:cs="Times New Roman"/>
                <w:b w:val="0"/>
                <w:bCs w:val="0"/>
                <w:color w:val="auto"/>
                <w:sz w:val="21"/>
                <w:szCs w:val="21"/>
                <w:highlight w:val="none"/>
                <w:lang w:val="en-US" w:eastAsia="zh-CN"/>
              </w:rPr>
              <w:t>一般</w:t>
            </w:r>
            <w:r>
              <w:rPr>
                <w:rFonts w:hint="default" w:ascii="Times New Roman" w:hAnsi="Times New Roman" w:eastAsia="宋体" w:cs="Times New Roman"/>
                <w:b w:val="0"/>
                <w:bCs w:val="0"/>
                <w:color w:val="auto"/>
                <w:sz w:val="21"/>
                <w:szCs w:val="21"/>
                <w:highlight w:val="none"/>
              </w:rPr>
              <w:t>、分析深</w:t>
            </w:r>
            <w:r>
              <w:rPr>
                <w:rFonts w:hint="eastAsia" w:cs="Times New Roman"/>
                <w:b w:val="0"/>
                <w:bCs w:val="0"/>
                <w:color w:val="auto"/>
                <w:sz w:val="21"/>
                <w:szCs w:val="21"/>
                <w:highlight w:val="none"/>
                <w:lang w:val="en-US" w:eastAsia="zh-CN"/>
              </w:rPr>
              <w:t>度一般</w:t>
            </w:r>
            <w:r>
              <w:rPr>
                <w:rFonts w:hint="default" w:ascii="Times New Roman" w:hAnsi="Times New Roman" w:eastAsia="宋体" w:cs="Times New Roman"/>
                <w:b w:val="0"/>
                <w:bCs w:val="0"/>
                <w:color w:val="auto"/>
                <w:sz w:val="21"/>
                <w:szCs w:val="21"/>
                <w:highlight w:val="none"/>
              </w:rPr>
              <w:t>、现状分析简单、与项目需求</w:t>
            </w:r>
            <w:r>
              <w:rPr>
                <w:rFonts w:hint="eastAsia" w:cs="Times New Roman"/>
                <w:b w:val="0"/>
                <w:bCs w:val="0"/>
                <w:color w:val="auto"/>
                <w:sz w:val="21"/>
                <w:szCs w:val="21"/>
                <w:highlight w:val="none"/>
                <w:lang w:val="en-US" w:eastAsia="zh-CN"/>
              </w:rPr>
              <w:t>基本</w:t>
            </w:r>
            <w:r>
              <w:rPr>
                <w:rFonts w:hint="default" w:ascii="Times New Roman" w:hAnsi="Times New Roman" w:eastAsia="宋体" w:cs="Times New Roman"/>
                <w:b w:val="0"/>
                <w:bCs w:val="0"/>
                <w:color w:val="auto"/>
                <w:sz w:val="21"/>
                <w:szCs w:val="21"/>
                <w:highlight w:val="none"/>
              </w:rPr>
              <w:t>相符得</w:t>
            </w:r>
            <w:r>
              <w:rPr>
                <w:rFonts w:hint="eastAsia" w:cs="Times New Roman"/>
                <w:b w:val="0"/>
                <w:bCs w:val="0"/>
                <w:color w:val="auto"/>
                <w:sz w:val="21"/>
                <w:szCs w:val="21"/>
                <w:highlight w:val="none"/>
                <w:lang w:val="en-US" w:eastAsia="zh-CN"/>
              </w:rPr>
              <w:t>4</w:t>
            </w:r>
            <w:r>
              <w:rPr>
                <w:rFonts w:hint="default" w:ascii="Times New Roman" w:hAnsi="Times New Roman" w:eastAsia="宋体" w:cs="Times New Roman"/>
                <w:b w:val="0"/>
                <w:bCs w:val="0"/>
                <w:color w:val="auto"/>
                <w:sz w:val="21"/>
                <w:szCs w:val="21"/>
                <w:highlight w:val="none"/>
                <w:lang w:val="en-US" w:eastAsia="zh-CN"/>
              </w:rPr>
              <w:t>分；</w:t>
            </w:r>
          </w:p>
          <w:p w14:paraId="00110303">
            <w:pPr>
              <w:keepNext w:val="0"/>
              <w:keepLines w:val="0"/>
              <w:pageBreakBefore w:val="0"/>
              <w:kinsoku/>
              <w:overflowPunct/>
              <w:topLinePunct w:val="0"/>
              <w:autoSpaceDE/>
              <w:autoSpaceDN/>
              <w:bidi w:val="0"/>
              <w:spacing w:line="240" w:lineRule="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rPr>
              <w:t>（</w:t>
            </w:r>
            <w:r>
              <w:rPr>
                <w:rFonts w:hint="eastAsia" w:cs="Times New Roman"/>
                <w:b w:val="0"/>
                <w:bCs w:val="0"/>
                <w:color w:val="auto"/>
                <w:sz w:val="21"/>
                <w:szCs w:val="21"/>
                <w:highlight w:val="none"/>
                <w:lang w:val="en-US" w:eastAsia="zh-CN"/>
              </w:rPr>
              <w:t>4</w:t>
            </w:r>
            <w:r>
              <w:rPr>
                <w:rFonts w:hint="default" w:ascii="Times New Roman" w:hAnsi="Times New Roman" w:eastAsia="宋体" w:cs="Times New Roman"/>
                <w:b w:val="0"/>
                <w:bCs w:val="0"/>
                <w:color w:val="auto"/>
                <w:sz w:val="21"/>
                <w:szCs w:val="21"/>
                <w:highlight w:val="none"/>
              </w:rPr>
              <w:t>）背景和规划解读</w:t>
            </w:r>
            <w:r>
              <w:rPr>
                <w:rFonts w:hint="eastAsia" w:cs="Times New Roman"/>
                <w:b w:val="0"/>
                <w:bCs w:val="0"/>
                <w:color w:val="auto"/>
                <w:sz w:val="21"/>
                <w:szCs w:val="21"/>
                <w:highlight w:val="none"/>
                <w:lang w:val="en-US" w:eastAsia="zh-CN"/>
              </w:rPr>
              <w:t>简单</w:t>
            </w:r>
            <w:r>
              <w:rPr>
                <w:rFonts w:hint="default" w:ascii="Times New Roman" w:hAnsi="Times New Roman" w:eastAsia="宋体" w:cs="Times New Roman"/>
                <w:b w:val="0"/>
                <w:bCs w:val="0"/>
                <w:color w:val="auto"/>
                <w:sz w:val="21"/>
                <w:szCs w:val="21"/>
                <w:highlight w:val="none"/>
              </w:rPr>
              <w:t>、分析不够深入、现状分析</w:t>
            </w:r>
            <w:r>
              <w:rPr>
                <w:rFonts w:hint="eastAsia" w:cs="Times New Roman"/>
                <w:b w:val="0"/>
                <w:bCs w:val="0"/>
                <w:color w:val="auto"/>
                <w:sz w:val="21"/>
                <w:szCs w:val="21"/>
                <w:highlight w:val="none"/>
                <w:lang w:val="en-US" w:eastAsia="zh-CN"/>
              </w:rPr>
              <w:t>粗略</w:t>
            </w:r>
            <w:r>
              <w:rPr>
                <w:rFonts w:hint="default" w:ascii="Times New Roman" w:hAnsi="Times New Roman" w:eastAsia="宋体" w:cs="Times New Roman"/>
                <w:b w:val="0"/>
                <w:bCs w:val="0"/>
                <w:color w:val="auto"/>
                <w:sz w:val="21"/>
                <w:szCs w:val="21"/>
                <w:highlight w:val="none"/>
              </w:rPr>
              <w:t>、与项目需求</w:t>
            </w:r>
            <w:r>
              <w:rPr>
                <w:rFonts w:hint="eastAsia" w:cs="Times New Roman"/>
                <w:b w:val="0"/>
                <w:bCs w:val="0"/>
                <w:color w:val="auto"/>
                <w:sz w:val="21"/>
                <w:szCs w:val="21"/>
                <w:highlight w:val="none"/>
                <w:lang w:val="en-US" w:eastAsia="zh-CN"/>
              </w:rPr>
              <w:t>不匹配</w:t>
            </w:r>
            <w:r>
              <w:rPr>
                <w:rFonts w:hint="default" w:ascii="Times New Roman" w:hAnsi="Times New Roman" w:eastAsia="宋体" w:cs="Times New Roman"/>
                <w:b w:val="0"/>
                <w:bCs w:val="0"/>
                <w:color w:val="auto"/>
                <w:sz w:val="21"/>
                <w:szCs w:val="21"/>
                <w:highlight w:val="none"/>
              </w:rPr>
              <w:t>得</w:t>
            </w:r>
            <w:r>
              <w:rPr>
                <w:rFonts w:hint="eastAsia" w:cs="Times New Roman"/>
                <w:b w:val="0"/>
                <w:bCs w:val="0"/>
                <w:color w:val="auto"/>
                <w:sz w:val="21"/>
                <w:szCs w:val="21"/>
                <w:highlight w:val="none"/>
                <w:lang w:val="en-US" w:eastAsia="zh-CN"/>
              </w:rPr>
              <w:t>1</w:t>
            </w:r>
            <w:r>
              <w:rPr>
                <w:rFonts w:hint="default" w:ascii="Times New Roman" w:hAnsi="Times New Roman" w:eastAsia="宋体" w:cs="Times New Roman"/>
                <w:b w:val="0"/>
                <w:bCs w:val="0"/>
                <w:color w:val="auto"/>
                <w:sz w:val="21"/>
                <w:szCs w:val="21"/>
                <w:highlight w:val="none"/>
                <w:lang w:val="en-US" w:eastAsia="zh-CN"/>
              </w:rPr>
              <w:t>分；</w:t>
            </w:r>
          </w:p>
          <w:p w14:paraId="2E9144F3">
            <w:pPr>
              <w:pStyle w:val="2"/>
              <w:keepNext w:val="0"/>
              <w:keepLines w:val="0"/>
              <w:pageBreakBefore w:val="0"/>
              <w:kinsoku/>
              <w:overflowPunct/>
              <w:topLinePunct w:val="0"/>
              <w:autoSpaceDE/>
              <w:autoSpaceDN/>
              <w:bidi w:val="0"/>
              <w:spacing w:line="240" w:lineRule="auto"/>
              <w:ind w:left="0" w:leftChars="0" w:firstLine="0" w:firstLineChars="0"/>
              <w:rPr>
                <w:rFonts w:hint="default" w:ascii="Times New Roman" w:hAnsi="Times New Roman" w:eastAsia="宋体" w:cs="Times New Roman"/>
                <w:b w:val="0"/>
                <w:bCs w:val="0"/>
                <w:color w:val="auto"/>
                <w:kern w:val="0"/>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（5）未作说明的不得分。</w:t>
            </w:r>
          </w:p>
        </w:tc>
        <w:tc>
          <w:tcPr>
            <w:tcW w:w="948" w:type="dxa"/>
            <w:tcBorders>
              <w:tl2br w:val="nil"/>
              <w:tr2bl w:val="nil"/>
            </w:tcBorders>
            <w:noWrap/>
            <w:vAlign w:val="center"/>
          </w:tcPr>
          <w:p w14:paraId="6CFF937B">
            <w:pPr>
              <w:keepNext w:val="0"/>
              <w:keepLines w:val="0"/>
              <w:pageBreakBefore w:val="0"/>
              <w:kinsoku/>
              <w:overflowPunct/>
              <w:topLinePunct w:val="0"/>
              <w:autoSpaceDE/>
              <w:autoSpaceDN/>
              <w:bidi w:val="0"/>
              <w:adjustRightInd/>
              <w:snapToGrid/>
              <w:spacing w:line="240" w:lineRule="auto"/>
              <w:jc w:val="center"/>
              <w:rPr>
                <w:rFonts w:hint="default" w:ascii="Times New Roman" w:hAnsi="Times New Roman" w:eastAsia="宋体" w:cs="Times New Roman"/>
                <w:b w:val="0"/>
                <w:bCs w:val="0"/>
                <w:color w:val="auto"/>
                <w:kern w:val="0"/>
                <w:sz w:val="21"/>
                <w:szCs w:val="21"/>
                <w:highlight w:val="none"/>
                <w:lang w:val="en-US" w:eastAsia="zh-CN" w:bidi="ar-SA"/>
              </w:rPr>
            </w:pPr>
            <w:r>
              <w:rPr>
                <w:rFonts w:hint="eastAsia" w:cs="Times New Roman"/>
                <w:b w:val="0"/>
                <w:bCs w:val="0"/>
                <w:color w:val="auto"/>
                <w:kern w:val="0"/>
                <w:sz w:val="21"/>
                <w:szCs w:val="21"/>
                <w:highlight w:val="none"/>
                <w:lang w:val="en-US" w:eastAsia="zh-CN" w:bidi="ar-SA"/>
              </w:rPr>
              <w:t>10</w:t>
            </w:r>
          </w:p>
        </w:tc>
      </w:tr>
      <w:tr w14:paraId="72576B0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725" w:hRule="atLeast"/>
          <w:jc w:val="center"/>
        </w:trPr>
        <w:tc>
          <w:tcPr>
            <w:tcW w:w="800" w:type="dxa"/>
            <w:vMerge w:val="continue"/>
            <w:tcBorders>
              <w:tl2br w:val="nil"/>
              <w:tr2bl w:val="nil"/>
            </w:tcBorders>
            <w:noWrap/>
            <w:vAlign w:val="center"/>
          </w:tcPr>
          <w:p w14:paraId="68DB70E4">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b w:val="0"/>
                <w:bCs w:val="0"/>
                <w:color w:val="auto"/>
                <w:kern w:val="0"/>
                <w:sz w:val="21"/>
                <w:szCs w:val="21"/>
                <w:highlight w:val="none"/>
                <w:lang w:val="en-US" w:eastAsia="zh-CN" w:bidi="ar-SA"/>
              </w:rPr>
            </w:pPr>
          </w:p>
        </w:tc>
        <w:tc>
          <w:tcPr>
            <w:tcW w:w="1158" w:type="dxa"/>
            <w:vMerge w:val="continue"/>
            <w:tcBorders>
              <w:tl2br w:val="nil"/>
              <w:tr2bl w:val="nil"/>
            </w:tcBorders>
            <w:noWrap w:val="0"/>
            <w:vAlign w:val="center"/>
          </w:tcPr>
          <w:p w14:paraId="3D185FB5">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b w:val="0"/>
                <w:bCs w:val="0"/>
                <w:color w:val="auto"/>
                <w:kern w:val="0"/>
                <w:sz w:val="21"/>
                <w:szCs w:val="21"/>
                <w:highlight w:val="none"/>
                <w:lang w:val="en-US" w:eastAsia="zh-CN" w:bidi="ar-SA"/>
              </w:rPr>
            </w:pPr>
          </w:p>
        </w:tc>
        <w:tc>
          <w:tcPr>
            <w:tcW w:w="1159" w:type="dxa"/>
            <w:tcBorders>
              <w:tl2br w:val="nil"/>
              <w:tr2bl w:val="nil"/>
            </w:tcBorders>
            <w:noWrap w:val="0"/>
            <w:vAlign w:val="center"/>
          </w:tcPr>
          <w:p w14:paraId="62E8F5ED">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b w:val="0"/>
                <w:bCs w:val="0"/>
                <w:color w:val="auto"/>
                <w:szCs w:val="21"/>
                <w:highlight w:val="none"/>
              </w:rPr>
            </w:pPr>
            <w:r>
              <w:rPr>
                <w:rFonts w:hint="eastAsia" w:ascii="宋体" w:hAnsi="宋体"/>
                <w:b w:val="0"/>
                <w:bCs w:val="0"/>
                <w:color w:val="auto"/>
                <w:szCs w:val="21"/>
                <w:highlight w:val="none"/>
              </w:rPr>
              <w:t>本项目的重点、难点及应对措施</w:t>
            </w:r>
          </w:p>
        </w:tc>
        <w:tc>
          <w:tcPr>
            <w:tcW w:w="4457" w:type="dxa"/>
            <w:tcBorders>
              <w:tl2br w:val="nil"/>
              <w:tr2bl w:val="nil"/>
            </w:tcBorders>
            <w:noWrap w:val="0"/>
            <w:vAlign w:val="center"/>
          </w:tcPr>
          <w:p w14:paraId="00CAAF81">
            <w:pPr>
              <w:keepNext w:val="0"/>
              <w:keepLines w:val="0"/>
              <w:pageBreakBefore w:val="0"/>
              <w:kinsoku/>
              <w:overflowPunct/>
              <w:topLinePunct w:val="0"/>
              <w:autoSpaceDE/>
              <w:autoSpaceDN/>
              <w:bidi w:val="0"/>
              <w:spacing w:line="24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从各供应商对本招标项目的重点、难点及关键性技术问题的分析与对策措施等方面酌情评分。</w:t>
            </w:r>
          </w:p>
          <w:p w14:paraId="02CFAF2A">
            <w:pPr>
              <w:keepNext w:val="0"/>
              <w:keepLines w:val="0"/>
              <w:pageBreakBefore w:val="0"/>
              <w:kinsoku/>
              <w:overflowPunct/>
              <w:topLinePunct w:val="0"/>
              <w:autoSpaceDE/>
              <w:autoSpaceDN/>
              <w:bidi w:val="0"/>
              <w:spacing w:line="24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（1）分析内容科学合理，描述详细，清晰准确，措施有效扎实，有针对性得的得</w:t>
            </w:r>
            <w:r>
              <w:rPr>
                <w:rFonts w:hint="eastAsia" w:ascii="宋体" w:hAnsi="宋体" w:cs="宋体"/>
                <w:b w:val="0"/>
                <w:bCs w:val="0"/>
                <w:color w:val="auto"/>
                <w:szCs w:val="21"/>
                <w:highlight w:val="none"/>
                <w:lang w:val="en-US" w:eastAsia="zh-CN"/>
              </w:rPr>
              <w:t>10</w:t>
            </w:r>
            <w:r>
              <w:rPr>
                <w:rFonts w:hint="eastAsia" w:ascii="宋体" w:hAnsi="宋体" w:eastAsia="宋体" w:cs="宋体"/>
                <w:b w:val="0"/>
                <w:bCs w:val="0"/>
                <w:color w:val="auto"/>
                <w:szCs w:val="21"/>
                <w:highlight w:val="none"/>
              </w:rPr>
              <w:t>分；</w:t>
            </w:r>
          </w:p>
          <w:p w14:paraId="1721C5FC">
            <w:pPr>
              <w:keepNext w:val="0"/>
              <w:keepLines w:val="0"/>
              <w:pageBreakBefore w:val="0"/>
              <w:kinsoku/>
              <w:overflowPunct/>
              <w:topLinePunct w:val="0"/>
              <w:autoSpaceDE/>
              <w:autoSpaceDN/>
              <w:bidi w:val="0"/>
              <w:spacing w:line="24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（2）分析内容比较合理，描述比较详细，能满足项目实施需要，措施有一定的可行性，较有针对性的</w:t>
            </w:r>
            <w:r>
              <w:rPr>
                <w:rFonts w:hint="eastAsia" w:ascii="宋体" w:hAnsi="宋体" w:cs="宋体"/>
                <w:b w:val="0"/>
                <w:bCs w:val="0"/>
                <w:color w:val="auto"/>
                <w:szCs w:val="21"/>
                <w:highlight w:val="none"/>
                <w:lang w:val="en-US" w:eastAsia="zh-CN"/>
              </w:rPr>
              <w:t>7</w:t>
            </w:r>
            <w:r>
              <w:rPr>
                <w:rFonts w:hint="eastAsia" w:ascii="宋体" w:hAnsi="宋体" w:eastAsia="宋体" w:cs="宋体"/>
                <w:b w:val="0"/>
                <w:bCs w:val="0"/>
                <w:color w:val="auto"/>
                <w:szCs w:val="21"/>
                <w:highlight w:val="none"/>
              </w:rPr>
              <w:t>分；</w:t>
            </w:r>
          </w:p>
          <w:p w14:paraId="6D285A37">
            <w:pPr>
              <w:keepNext w:val="0"/>
              <w:keepLines w:val="0"/>
              <w:pageBreakBefore w:val="0"/>
              <w:kinsoku/>
              <w:overflowPunct/>
              <w:topLinePunct w:val="0"/>
              <w:autoSpaceDE/>
              <w:autoSpaceDN/>
              <w:bidi w:val="0"/>
              <w:spacing w:line="24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（3）分析内容一般，可行性及针对性一般的得</w:t>
            </w:r>
            <w:r>
              <w:rPr>
                <w:rFonts w:hint="eastAsia" w:ascii="宋体" w:hAnsi="宋体" w:cs="宋体"/>
                <w:b w:val="0"/>
                <w:bCs w:val="0"/>
                <w:color w:val="auto"/>
                <w:szCs w:val="21"/>
                <w:highlight w:val="none"/>
                <w:lang w:val="en-US" w:eastAsia="zh-CN"/>
              </w:rPr>
              <w:t>4</w:t>
            </w:r>
            <w:r>
              <w:rPr>
                <w:rFonts w:hint="eastAsia" w:ascii="宋体" w:hAnsi="宋体" w:eastAsia="宋体" w:cs="宋体"/>
                <w:b w:val="0"/>
                <w:bCs w:val="0"/>
                <w:color w:val="auto"/>
                <w:szCs w:val="21"/>
                <w:highlight w:val="none"/>
              </w:rPr>
              <w:t>分；</w:t>
            </w:r>
          </w:p>
          <w:p w14:paraId="7A95C78D">
            <w:pPr>
              <w:keepNext w:val="0"/>
              <w:keepLines w:val="0"/>
              <w:pageBreakBefore w:val="0"/>
              <w:kinsoku/>
              <w:overflowPunct/>
              <w:topLinePunct w:val="0"/>
              <w:autoSpaceDE/>
              <w:autoSpaceDN/>
              <w:bidi w:val="0"/>
              <w:spacing w:line="24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（4）分析内容简单，描述不完整，可行性及针对性较差的得</w:t>
            </w:r>
            <w:r>
              <w:rPr>
                <w:rFonts w:hint="eastAsia" w:ascii="宋体" w:hAnsi="宋体" w:cs="宋体"/>
                <w:b w:val="0"/>
                <w:bCs w:val="0"/>
                <w:color w:val="auto"/>
                <w:szCs w:val="21"/>
                <w:highlight w:val="none"/>
                <w:lang w:val="en-US" w:eastAsia="zh-CN"/>
              </w:rPr>
              <w:t>1</w:t>
            </w:r>
            <w:r>
              <w:rPr>
                <w:rFonts w:hint="eastAsia" w:ascii="宋体" w:hAnsi="宋体" w:eastAsia="宋体" w:cs="宋体"/>
                <w:b w:val="0"/>
                <w:bCs w:val="0"/>
                <w:color w:val="auto"/>
                <w:szCs w:val="21"/>
                <w:highlight w:val="none"/>
              </w:rPr>
              <w:t>分；</w:t>
            </w:r>
          </w:p>
          <w:p w14:paraId="7611ECD2">
            <w:pPr>
              <w:keepNext w:val="0"/>
              <w:keepLines w:val="0"/>
              <w:pageBreakBefore w:val="0"/>
              <w:widowControl/>
              <w:suppressLineNumbers w:val="0"/>
              <w:kinsoku/>
              <w:overflowPunct/>
              <w:topLinePunct w:val="0"/>
              <w:autoSpaceDE/>
              <w:autoSpaceDN/>
              <w:bidi w:val="0"/>
              <w:adjustRightInd/>
              <w:snapToGrid/>
              <w:spacing w:line="240" w:lineRule="auto"/>
              <w:jc w:val="left"/>
              <w:textAlignment w:val="center"/>
              <w:rPr>
                <w:rFonts w:hint="eastAsia" w:ascii="宋体" w:hAnsi="宋体"/>
                <w:b w:val="0"/>
                <w:bCs w:val="0"/>
                <w:color w:val="auto"/>
                <w:szCs w:val="21"/>
                <w:highlight w:val="none"/>
              </w:rPr>
            </w:pPr>
            <w:r>
              <w:rPr>
                <w:rFonts w:hint="eastAsia" w:ascii="宋体" w:hAnsi="宋体" w:eastAsia="宋体" w:cs="宋体"/>
                <w:b w:val="0"/>
                <w:bCs w:val="0"/>
                <w:color w:val="auto"/>
                <w:szCs w:val="21"/>
                <w:highlight w:val="none"/>
              </w:rPr>
              <w:t>（5）未作说明不得分。</w:t>
            </w:r>
          </w:p>
        </w:tc>
        <w:tc>
          <w:tcPr>
            <w:tcW w:w="948" w:type="dxa"/>
            <w:tcBorders>
              <w:tl2br w:val="nil"/>
              <w:tr2bl w:val="nil"/>
            </w:tcBorders>
            <w:noWrap/>
            <w:vAlign w:val="center"/>
          </w:tcPr>
          <w:p w14:paraId="226BB41B">
            <w:pPr>
              <w:keepNext w:val="0"/>
              <w:keepLines w:val="0"/>
              <w:pageBreakBefore w:val="0"/>
              <w:kinsoku/>
              <w:overflowPunct/>
              <w:topLinePunct w:val="0"/>
              <w:autoSpaceDE/>
              <w:autoSpaceDN/>
              <w:bidi w:val="0"/>
              <w:adjustRightInd/>
              <w:snapToGrid/>
              <w:spacing w:line="240" w:lineRule="auto"/>
              <w:jc w:val="center"/>
              <w:rPr>
                <w:rFonts w:hint="default" w:ascii="Times New Roman" w:hAnsi="Times New Roman" w:eastAsia="宋体" w:cs="Times New Roman"/>
                <w:b w:val="0"/>
                <w:bCs w:val="0"/>
                <w:color w:val="auto"/>
                <w:kern w:val="0"/>
                <w:sz w:val="21"/>
                <w:szCs w:val="21"/>
                <w:highlight w:val="none"/>
                <w:lang w:val="en-US" w:eastAsia="zh-CN" w:bidi="ar-SA"/>
              </w:rPr>
            </w:pPr>
            <w:r>
              <w:rPr>
                <w:rFonts w:hint="eastAsia" w:cs="Times New Roman"/>
                <w:b w:val="0"/>
                <w:bCs w:val="0"/>
                <w:color w:val="auto"/>
                <w:kern w:val="0"/>
                <w:sz w:val="21"/>
                <w:szCs w:val="21"/>
                <w:highlight w:val="none"/>
                <w:lang w:val="en-US" w:eastAsia="zh-CN" w:bidi="ar-SA"/>
              </w:rPr>
              <w:t>10</w:t>
            </w:r>
          </w:p>
        </w:tc>
      </w:tr>
      <w:tr w14:paraId="05677F2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800" w:type="dxa"/>
            <w:vMerge w:val="continue"/>
            <w:tcBorders>
              <w:tl2br w:val="nil"/>
              <w:tr2bl w:val="nil"/>
            </w:tcBorders>
            <w:noWrap/>
            <w:vAlign w:val="center"/>
          </w:tcPr>
          <w:p w14:paraId="7B387540">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b w:val="0"/>
                <w:bCs w:val="0"/>
                <w:color w:val="auto"/>
                <w:kern w:val="0"/>
                <w:sz w:val="21"/>
                <w:szCs w:val="21"/>
                <w:highlight w:val="none"/>
                <w:lang w:val="en-US" w:eastAsia="zh-CN" w:bidi="ar-SA"/>
              </w:rPr>
            </w:pPr>
          </w:p>
        </w:tc>
        <w:tc>
          <w:tcPr>
            <w:tcW w:w="1158" w:type="dxa"/>
            <w:vMerge w:val="continue"/>
            <w:tcBorders>
              <w:tl2br w:val="nil"/>
              <w:tr2bl w:val="nil"/>
            </w:tcBorders>
            <w:noWrap w:val="0"/>
            <w:vAlign w:val="center"/>
          </w:tcPr>
          <w:p w14:paraId="2A129E60">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b w:val="0"/>
                <w:bCs w:val="0"/>
                <w:color w:val="auto"/>
                <w:kern w:val="0"/>
                <w:sz w:val="21"/>
                <w:szCs w:val="21"/>
                <w:highlight w:val="none"/>
                <w:lang w:val="en-US" w:eastAsia="zh-CN" w:bidi="ar-SA"/>
              </w:rPr>
            </w:pPr>
          </w:p>
        </w:tc>
        <w:tc>
          <w:tcPr>
            <w:tcW w:w="1159" w:type="dxa"/>
            <w:tcBorders>
              <w:tl2br w:val="nil"/>
              <w:tr2bl w:val="nil"/>
            </w:tcBorders>
            <w:noWrap w:val="0"/>
            <w:vAlign w:val="center"/>
          </w:tcPr>
          <w:p w14:paraId="598D93B3">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b w:val="0"/>
                <w:bCs w:val="0"/>
                <w:color w:val="auto"/>
                <w:kern w:val="0"/>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rPr>
              <w:t>规划设计方案主要内容</w:t>
            </w:r>
          </w:p>
        </w:tc>
        <w:tc>
          <w:tcPr>
            <w:tcW w:w="4457" w:type="dxa"/>
            <w:tcBorders>
              <w:tl2br w:val="nil"/>
              <w:tr2bl w:val="nil"/>
            </w:tcBorders>
            <w:noWrap w:val="0"/>
            <w:vAlign w:val="center"/>
          </w:tcPr>
          <w:p w14:paraId="685EC379">
            <w:pPr>
              <w:keepNext w:val="0"/>
              <w:keepLines w:val="0"/>
              <w:pageBreakBefore w:val="0"/>
              <w:kinsoku/>
              <w:overflowPunct/>
              <w:topLinePunct w:val="0"/>
              <w:autoSpaceDE/>
              <w:autoSpaceDN/>
              <w:bidi w:val="0"/>
              <w:adjustRightInd w:val="0"/>
              <w:snapToGrid w:val="0"/>
              <w:spacing w:line="240" w:lineRule="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结合所在乡镇发展实情，提出村庄规划优化方案，包括人口和空间引导、村庄布局优化、村庄设计等。</w:t>
            </w:r>
          </w:p>
          <w:p w14:paraId="3F1EAF08">
            <w:pPr>
              <w:keepNext w:val="0"/>
              <w:keepLines w:val="0"/>
              <w:pageBreakBefore w:val="0"/>
              <w:kinsoku/>
              <w:overflowPunct/>
              <w:topLinePunct w:val="0"/>
              <w:autoSpaceDE/>
              <w:autoSpaceDN/>
              <w:bidi w:val="0"/>
              <w:adjustRightInd w:val="0"/>
              <w:snapToGrid w:val="0"/>
              <w:spacing w:line="240" w:lineRule="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 w:val="0"/>
                <w:bCs w:val="0"/>
                <w:color w:val="auto"/>
                <w:sz w:val="21"/>
                <w:szCs w:val="21"/>
                <w:highlight w:val="none"/>
              </w:rPr>
              <w:t>（1）规划方案全面、清晰、准确、内容丰富、深入，有针对性、可实施性强，优于项目需求得</w:t>
            </w:r>
            <w:r>
              <w:rPr>
                <w:rFonts w:hint="eastAsia" w:cs="Times New Roman"/>
                <w:b w:val="0"/>
                <w:bCs w:val="0"/>
                <w:color w:val="auto"/>
                <w:sz w:val="21"/>
                <w:szCs w:val="21"/>
                <w:highlight w:val="none"/>
                <w:lang w:val="en-US" w:eastAsia="zh-CN"/>
              </w:rPr>
              <w:t>15</w:t>
            </w:r>
            <w:r>
              <w:rPr>
                <w:rFonts w:hint="default" w:ascii="Times New Roman" w:hAnsi="Times New Roman" w:eastAsia="宋体" w:cs="Times New Roman"/>
                <w:b w:val="0"/>
                <w:bCs w:val="0"/>
                <w:color w:val="auto"/>
                <w:sz w:val="21"/>
                <w:szCs w:val="21"/>
                <w:highlight w:val="none"/>
              </w:rPr>
              <w:t>分</w:t>
            </w:r>
            <w:r>
              <w:rPr>
                <w:rFonts w:hint="default" w:ascii="Times New Roman" w:hAnsi="Times New Roman" w:eastAsia="宋体" w:cs="Times New Roman"/>
                <w:b w:val="0"/>
                <w:bCs w:val="0"/>
                <w:color w:val="auto"/>
                <w:sz w:val="21"/>
                <w:szCs w:val="21"/>
                <w:highlight w:val="none"/>
                <w:lang w:eastAsia="zh-CN"/>
              </w:rPr>
              <w:t>；</w:t>
            </w:r>
          </w:p>
          <w:p w14:paraId="32CCE933">
            <w:pPr>
              <w:keepNext w:val="0"/>
              <w:keepLines w:val="0"/>
              <w:pageBreakBefore w:val="0"/>
              <w:kinsoku/>
              <w:overflowPunct/>
              <w:topLinePunct w:val="0"/>
              <w:autoSpaceDE/>
              <w:autoSpaceDN/>
              <w:bidi w:val="0"/>
              <w:adjustRightInd w:val="0"/>
              <w:snapToGrid w:val="0"/>
              <w:spacing w:line="240" w:lineRule="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 w:val="0"/>
                <w:bCs w:val="0"/>
                <w:color w:val="auto"/>
                <w:sz w:val="21"/>
                <w:szCs w:val="21"/>
                <w:highlight w:val="none"/>
              </w:rPr>
              <w:t>（2）规划方案较为全面、较有针对性、可实施性较强，</w:t>
            </w:r>
            <w:r>
              <w:rPr>
                <w:rFonts w:hint="eastAsia" w:cs="Times New Roman"/>
                <w:b w:val="0"/>
                <w:bCs w:val="0"/>
                <w:color w:val="auto"/>
                <w:sz w:val="21"/>
                <w:szCs w:val="21"/>
                <w:highlight w:val="none"/>
                <w:lang w:val="en-US" w:eastAsia="zh-CN"/>
              </w:rPr>
              <w:t>较好的</w:t>
            </w:r>
            <w:r>
              <w:rPr>
                <w:rFonts w:hint="default" w:ascii="Times New Roman" w:hAnsi="Times New Roman" w:eastAsia="宋体" w:cs="Times New Roman"/>
                <w:b w:val="0"/>
                <w:bCs w:val="0"/>
                <w:color w:val="auto"/>
                <w:sz w:val="21"/>
                <w:szCs w:val="21"/>
                <w:highlight w:val="none"/>
              </w:rPr>
              <w:t>符合项目需求得</w:t>
            </w:r>
            <w:r>
              <w:rPr>
                <w:rFonts w:hint="eastAsia" w:cs="Times New Roman"/>
                <w:b w:val="0"/>
                <w:bCs w:val="0"/>
                <w:color w:val="auto"/>
                <w:sz w:val="21"/>
                <w:szCs w:val="21"/>
                <w:highlight w:val="none"/>
                <w:lang w:val="en-US" w:eastAsia="zh-CN"/>
              </w:rPr>
              <w:t>11</w:t>
            </w:r>
            <w:r>
              <w:rPr>
                <w:rFonts w:hint="default" w:ascii="Times New Roman" w:hAnsi="Times New Roman" w:eastAsia="宋体" w:cs="Times New Roman"/>
                <w:b w:val="0"/>
                <w:bCs w:val="0"/>
                <w:color w:val="auto"/>
                <w:sz w:val="21"/>
                <w:szCs w:val="21"/>
                <w:highlight w:val="none"/>
              </w:rPr>
              <w:t>分</w:t>
            </w:r>
            <w:r>
              <w:rPr>
                <w:rFonts w:hint="default" w:ascii="Times New Roman" w:hAnsi="Times New Roman" w:eastAsia="宋体" w:cs="Times New Roman"/>
                <w:b w:val="0"/>
                <w:bCs w:val="0"/>
                <w:color w:val="auto"/>
                <w:sz w:val="21"/>
                <w:szCs w:val="21"/>
                <w:highlight w:val="none"/>
                <w:lang w:eastAsia="zh-CN"/>
              </w:rPr>
              <w:t>；</w:t>
            </w:r>
          </w:p>
          <w:p w14:paraId="3CD8EC18">
            <w:pPr>
              <w:keepNext w:val="0"/>
              <w:keepLines w:val="0"/>
              <w:pageBreakBefore w:val="0"/>
              <w:kinsoku/>
              <w:overflowPunct/>
              <w:topLinePunct w:val="0"/>
              <w:autoSpaceDE/>
              <w:autoSpaceDN/>
              <w:bidi w:val="0"/>
              <w:adjustRightInd w:val="0"/>
              <w:snapToGrid w:val="0"/>
              <w:spacing w:line="240" w:lineRule="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（3）规划方案</w:t>
            </w:r>
            <w:r>
              <w:rPr>
                <w:rFonts w:hint="eastAsia" w:cs="Times New Roman"/>
                <w:b w:val="0"/>
                <w:bCs w:val="0"/>
                <w:color w:val="auto"/>
                <w:sz w:val="21"/>
                <w:szCs w:val="21"/>
                <w:highlight w:val="none"/>
                <w:lang w:val="en-US" w:eastAsia="zh-CN"/>
              </w:rPr>
              <w:t>简单</w:t>
            </w:r>
            <w:r>
              <w:rPr>
                <w:rFonts w:hint="default" w:ascii="Times New Roman" w:hAnsi="Times New Roman" w:eastAsia="宋体" w:cs="Times New Roman"/>
                <w:b w:val="0"/>
                <w:bCs w:val="0"/>
                <w:color w:val="auto"/>
                <w:sz w:val="21"/>
                <w:szCs w:val="21"/>
                <w:highlight w:val="none"/>
              </w:rPr>
              <w:t>，设计</w:t>
            </w:r>
            <w:r>
              <w:rPr>
                <w:rFonts w:hint="eastAsia" w:cs="Times New Roman"/>
                <w:b w:val="0"/>
                <w:bCs w:val="0"/>
                <w:color w:val="auto"/>
                <w:sz w:val="21"/>
                <w:szCs w:val="21"/>
                <w:highlight w:val="none"/>
                <w:lang w:val="en-US" w:eastAsia="zh-CN"/>
              </w:rPr>
              <w:t>的</w:t>
            </w:r>
            <w:r>
              <w:rPr>
                <w:rFonts w:hint="default" w:ascii="Times New Roman" w:hAnsi="Times New Roman" w:eastAsia="宋体" w:cs="Times New Roman"/>
                <w:b w:val="0"/>
                <w:bCs w:val="0"/>
                <w:color w:val="auto"/>
                <w:sz w:val="21"/>
                <w:szCs w:val="21"/>
                <w:highlight w:val="none"/>
              </w:rPr>
              <w:t>指导性</w:t>
            </w:r>
            <w:r>
              <w:rPr>
                <w:rFonts w:hint="eastAsia" w:cs="Times New Roman"/>
                <w:b w:val="0"/>
                <w:bCs w:val="0"/>
                <w:color w:val="auto"/>
                <w:sz w:val="21"/>
                <w:szCs w:val="21"/>
                <w:highlight w:val="none"/>
                <w:lang w:val="en-US" w:eastAsia="zh-CN"/>
              </w:rPr>
              <w:t>一般</w:t>
            </w:r>
            <w:r>
              <w:rPr>
                <w:rFonts w:hint="default" w:ascii="Times New Roman" w:hAnsi="Times New Roman" w:eastAsia="宋体" w:cs="Times New Roman"/>
                <w:b w:val="0"/>
                <w:bCs w:val="0"/>
                <w:color w:val="auto"/>
                <w:sz w:val="21"/>
                <w:szCs w:val="21"/>
                <w:highlight w:val="none"/>
              </w:rPr>
              <w:t>，与项目需求</w:t>
            </w:r>
            <w:r>
              <w:rPr>
                <w:rFonts w:hint="eastAsia" w:cs="Times New Roman"/>
                <w:b w:val="0"/>
                <w:bCs w:val="0"/>
                <w:color w:val="auto"/>
                <w:sz w:val="21"/>
                <w:szCs w:val="21"/>
                <w:highlight w:val="none"/>
                <w:lang w:val="en-US" w:eastAsia="zh-CN"/>
              </w:rPr>
              <w:t>基本</w:t>
            </w:r>
            <w:r>
              <w:rPr>
                <w:rFonts w:hint="default" w:ascii="Times New Roman" w:hAnsi="Times New Roman" w:eastAsia="宋体" w:cs="Times New Roman"/>
                <w:b w:val="0"/>
                <w:bCs w:val="0"/>
                <w:color w:val="auto"/>
                <w:sz w:val="21"/>
                <w:szCs w:val="21"/>
                <w:highlight w:val="none"/>
              </w:rPr>
              <w:t>相符得</w:t>
            </w:r>
            <w:r>
              <w:rPr>
                <w:rFonts w:hint="eastAsia" w:cs="Times New Roman"/>
                <w:b w:val="0"/>
                <w:bCs w:val="0"/>
                <w:color w:val="auto"/>
                <w:sz w:val="21"/>
                <w:szCs w:val="21"/>
                <w:highlight w:val="none"/>
                <w:lang w:val="en-US" w:eastAsia="zh-CN"/>
              </w:rPr>
              <w:t>8</w:t>
            </w:r>
            <w:r>
              <w:rPr>
                <w:rFonts w:hint="default" w:ascii="Times New Roman" w:hAnsi="Times New Roman" w:eastAsia="宋体" w:cs="Times New Roman"/>
                <w:b w:val="0"/>
                <w:bCs w:val="0"/>
                <w:color w:val="auto"/>
                <w:sz w:val="21"/>
                <w:szCs w:val="21"/>
                <w:highlight w:val="none"/>
              </w:rPr>
              <w:t>分；</w:t>
            </w:r>
          </w:p>
          <w:p w14:paraId="52F22EEF">
            <w:pPr>
              <w:keepNext w:val="0"/>
              <w:keepLines w:val="0"/>
              <w:pageBreakBefore w:val="0"/>
              <w:kinsoku/>
              <w:overflowPunct/>
              <w:topLinePunct w:val="0"/>
              <w:autoSpaceDE/>
              <w:autoSpaceDN/>
              <w:bidi w:val="0"/>
              <w:adjustRightInd w:val="0"/>
              <w:snapToGrid w:val="0"/>
              <w:spacing w:line="240" w:lineRule="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w:t>
            </w:r>
            <w:r>
              <w:rPr>
                <w:rFonts w:hint="eastAsia" w:cs="Times New Roman"/>
                <w:b w:val="0"/>
                <w:bCs w:val="0"/>
                <w:color w:val="auto"/>
                <w:sz w:val="21"/>
                <w:szCs w:val="21"/>
                <w:highlight w:val="none"/>
                <w:lang w:val="en-US" w:eastAsia="zh-CN"/>
              </w:rPr>
              <w:t>4</w:t>
            </w:r>
            <w:r>
              <w:rPr>
                <w:rFonts w:hint="default" w:ascii="Times New Roman" w:hAnsi="Times New Roman" w:eastAsia="宋体" w:cs="Times New Roman"/>
                <w:b w:val="0"/>
                <w:bCs w:val="0"/>
                <w:color w:val="auto"/>
                <w:sz w:val="21"/>
                <w:szCs w:val="21"/>
                <w:highlight w:val="none"/>
              </w:rPr>
              <w:t>）规划方案</w:t>
            </w:r>
            <w:r>
              <w:rPr>
                <w:rFonts w:hint="eastAsia" w:cs="Times New Roman"/>
                <w:b w:val="0"/>
                <w:bCs w:val="0"/>
                <w:color w:val="auto"/>
                <w:sz w:val="21"/>
                <w:szCs w:val="21"/>
                <w:highlight w:val="none"/>
                <w:lang w:val="en-US" w:eastAsia="zh-CN"/>
              </w:rPr>
              <w:t>粗略</w:t>
            </w:r>
            <w:r>
              <w:rPr>
                <w:rFonts w:hint="default" w:ascii="Times New Roman" w:hAnsi="Times New Roman" w:eastAsia="宋体" w:cs="Times New Roman"/>
                <w:b w:val="0"/>
                <w:bCs w:val="0"/>
                <w:color w:val="auto"/>
                <w:sz w:val="21"/>
                <w:szCs w:val="21"/>
                <w:highlight w:val="none"/>
              </w:rPr>
              <w:t>，设计</w:t>
            </w:r>
            <w:r>
              <w:rPr>
                <w:rFonts w:hint="eastAsia" w:cs="Times New Roman"/>
                <w:b w:val="0"/>
                <w:bCs w:val="0"/>
                <w:color w:val="auto"/>
                <w:sz w:val="21"/>
                <w:szCs w:val="21"/>
                <w:highlight w:val="none"/>
                <w:lang w:val="en-US" w:eastAsia="zh-CN"/>
              </w:rPr>
              <w:t>的</w:t>
            </w:r>
            <w:r>
              <w:rPr>
                <w:rFonts w:hint="default" w:ascii="Times New Roman" w:hAnsi="Times New Roman" w:eastAsia="宋体" w:cs="Times New Roman"/>
                <w:b w:val="0"/>
                <w:bCs w:val="0"/>
                <w:color w:val="auto"/>
                <w:sz w:val="21"/>
                <w:szCs w:val="21"/>
                <w:highlight w:val="none"/>
              </w:rPr>
              <w:t>指导性</w:t>
            </w:r>
            <w:r>
              <w:rPr>
                <w:rFonts w:hint="eastAsia" w:cs="Times New Roman"/>
                <w:b w:val="0"/>
                <w:bCs w:val="0"/>
                <w:color w:val="auto"/>
                <w:sz w:val="21"/>
                <w:szCs w:val="21"/>
                <w:highlight w:val="none"/>
                <w:lang w:val="en-US" w:eastAsia="zh-CN"/>
              </w:rPr>
              <w:t>较差</w:t>
            </w:r>
            <w:r>
              <w:rPr>
                <w:rFonts w:hint="default" w:ascii="Times New Roman" w:hAnsi="Times New Roman" w:eastAsia="宋体" w:cs="Times New Roman"/>
                <w:b w:val="0"/>
                <w:bCs w:val="0"/>
                <w:color w:val="auto"/>
                <w:sz w:val="21"/>
                <w:szCs w:val="21"/>
                <w:highlight w:val="none"/>
              </w:rPr>
              <w:t>，与项目需求</w:t>
            </w:r>
            <w:r>
              <w:rPr>
                <w:rFonts w:hint="eastAsia" w:cs="Times New Roman"/>
                <w:b w:val="0"/>
                <w:bCs w:val="0"/>
                <w:color w:val="auto"/>
                <w:sz w:val="21"/>
                <w:szCs w:val="21"/>
                <w:highlight w:val="none"/>
                <w:lang w:val="en-US" w:eastAsia="zh-CN"/>
              </w:rPr>
              <w:t>不能</w:t>
            </w:r>
            <w:r>
              <w:rPr>
                <w:rFonts w:hint="default" w:ascii="Times New Roman" w:hAnsi="Times New Roman" w:eastAsia="宋体" w:cs="Times New Roman"/>
                <w:b w:val="0"/>
                <w:bCs w:val="0"/>
                <w:color w:val="auto"/>
                <w:sz w:val="21"/>
                <w:szCs w:val="21"/>
                <w:highlight w:val="none"/>
              </w:rPr>
              <w:t>相符得</w:t>
            </w:r>
            <w:r>
              <w:rPr>
                <w:rFonts w:hint="eastAsia" w:cs="Times New Roman"/>
                <w:b w:val="0"/>
                <w:bCs w:val="0"/>
                <w:color w:val="auto"/>
                <w:sz w:val="21"/>
                <w:szCs w:val="21"/>
                <w:highlight w:val="none"/>
                <w:lang w:val="en-US" w:eastAsia="zh-CN"/>
              </w:rPr>
              <w:t>4</w:t>
            </w:r>
            <w:r>
              <w:rPr>
                <w:rFonts w:hint="default" w:ascii="Times New Roman" w:hAnsi="Times New Roman" w:eastAsia="宋体" w:cs="Times New Roman"/>
                <w:b w:val="0"/>
                <w:bCs w:val="0"/>
                <w:color w:val="auto"/>
                <w:sz w:val="21"/>
                <w:szCs w:val="21"/>
                <w:highlight w:val="none"/>
              </w:rPr>
              <w:t>分；</w:t>
            </w:r>
          </w:p>
          <w:p w14:paraId="1BFBF30B">
            <w:pPr>
              <w:keepNext w:val="0"/>
              <w:keepLines w:val="0"/>
              <w:pageBreakBefore w:val="0"/>
              <w:kinsoku/>
              <w:overflowPunct/>
              <w:topLinePunct w:val="0"/>
              <w:autoSpaceDE/>
              <w:autoSpaceDN/>
              <w:bidi w:val="0"/>
              <w:adjustRightInd w:val="0"/>
              <w:snapToGrid w:val="0"/>
              <w:spacing w:line="240" w:lineRule="auto"/>
              <w:rPr>
                <w:rFonts w:hint="default" w:ascii="Times New Roman" w:hAnsi="Times New Roman" w:eastAsia="宋体" w:cs="Times New Roman"/>
                <w:b w:val="0"/>
                <w:bCs w:val="0"/>
                <w:color w:val="auto"/>
                <w:kern w:val="0"/>
                <w:sz w:val="21"/>
                <w:szCs w:val="21"/>
                <w:highlight w:val="none"/>
                <w:lang w:val="en-US" w:eastAsia="zh-CN" w:bidi="ar-SA"/>
              </w:rPr>
            </w:pPr>
            <w:r>
              <w:rPr>
                <w:rFonts w:hint="eastAsia" w:ascii="宋体" w:hAnsi="宋体" w:eastAsia="宋体" w:cs="宋体"/>
                <w:b w:val="0"/>
                <w:bCs w:val="0"/>
                <w:color w:val="auto"/>
                <w:szCs w:val="21"/>
                <w:highlight w:val="none"/>
              </w:rPr>
              <w:t>（5）未作说明不得分。</w:t>
            </w:r>
          </w:p>
        </w:tc>
        <w:tc>
          <w:tcPr>
            <w:tcW w:w="948" w:type="dxa"/>
            <w:tcBorders>
              <w:tl2br w:val="nil"/>
              <w:tr2bl w:val="nil"/>
            </w:tcBorders>
            <w:noWrap/>
            <w:vAlign w:val="center"/>
          </w:tcPr>
          <w:p w14:paraId="30A98BAC">
            <w:pPr>
              <w:keepNext w:val="0"/>
              <w:keepLines w:val="0"/>
              <w:pageBreakBefore w:val="0"/>
              <w:kinsoku/>
              <w:overflowPunct/>
              <w:topLinePunct w:val="0"/>
              <w:autoSpaceDE/>
              <w:autoSpaceDN/>
              <w:bidi w:val="0"/>
              <w:adjustRightInd/>
              <w:snapToGrid/>
              <w:spacing w:line="240" w:lineRule="auto"/>
              <w:jc w:val="center"/>
              <w:rPr>
                <w:rFonts w:hint="default" w:ascii="Times New Roman" w:hAnsi="Times New Roman" w:eastAsia="宋体" w:cs="Times New Roman"/>
                <w:b w:val="0"/>
                <w:bCs w:val="0"/>
                <w:color w:val="auto"/>
                <w:kern w:val="0"/>
                <w:sz w:val="21"/>
                <w:szCs w:val="21"/>
                <w:highlight w:val="none"/>
                <w:lang w:val="en-US" w:eastAsia="zh-CN" w:bidi="ar-SA"/>
              </w:rPr>
            </w:pPr>
            <w:r>
              <w:rPr>
                <w:rFonts w:hint="eastAsia" w:cs="Times New Roman"/>
                <w:b w:val="0"/>
                <w:bCs w:val="0"/>
                <w:color w:val="auto"/>
                <w:kern w:val="0"/>
                <w:sz w:val="21"/>
                <w:szCs w:val="21"/>
                <w:highlight w:val="none"/>
                <w:lang w:val="en-US" w:eastAsia="zh-CN" w:bidi="ar-SA"/>
              </w:rPr>
              <w:t>15</w:t>
            </w:r>
          </w:p>
        </w:tc>
      </w:tr>
      <w:tr w14:paraId="6DDC368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800" w:type="dxa"/>
            <w:vMerge w:val="continue"/>
            <w:tcBorders>
              <w:tl2br w:val="nil"/>
              <w:tr2bl w:val="nil"/>
            </w:tcBorders>
            <w:noWrap/>
            <w:vAlign w:val="center"/>
          </w:tcPr>
          <w:p w14:paraId="20E87E5C">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b w:val="0"/>
                <w:bCs w:val="0"/>
                <w:color w:val="auto"/>
                <w:kern w:val="0"/>
                <w:sz w:val="21"/>
                <w:szCs w:val="21"/>
                <w:highlight w:val="none"/>
                <w:lang w:val="en-US" w:eastAsia="zh-CN" w:bidi="ar-SA"/>
              </w:rPr>
            </w:pPr>
          </w:p>
        </w:tc>
        <w:tc>
          <w:tcPr>
            <w:tcW w:w="1158" w:type="dxa"/>
            <w:vMerge w:val="continue"/>
            <w:tcBorders>
              <w:tl2br w:val="nil"/>
              <w:tr2bl w:val="nil"/>
            </w:tcBorders>
            <w:noWrap w:val="0"/>
            <w:vAlign w:val="center"/>
          </w:tcPr>
          <w:p w14:paraId="116E9DFB">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b w:val="0"/>
                <w:bCs w:val="0"/>
                <w:color w:val="auto"/>
                <w:kern w:val="0"/>
                <w:sz w:val="21"/>
                <w:szCs w:val="21"/>
                <w:highlight w:val="none"/>
                <w:lang w:val="en-US" w:eastAsia="zh-CN" w:bidi="ar-SA"/>
              </w:rPr>
            </w:pPr>
          </w:p>
        </w:tc>
        <w:tc>
          <w:tcPr>
            <w:tcW w:w="1159" w:type="dxa"/>
            <w:tcBorders>
              <w:tl2br w:val="nil"/>
              <w:tr2bl w:val="nil"/>
            </w:tcBorders>
            <w:noWrap w:val="0"/>
            <w:vAlign w:val="center"/>
          </w:tcPr>
          <w:p w14:paraId="0FE66AD6">
            <w:pPr>
              <w:pStyle w:val="2"/>
              <w:keepNext w:val="0"/>
              <w:keepLines w:val="0"/>
              <w:pageBreakBefore w:val="0"/>
              <w:kinsoku/>
              <w:overflowPunct/>
              <w:topLinePunct w:val="0"/>
              <w:autoSpaceDE/>
              <w:autoSpaceDN/>
              <w:bidi w:val="0"/>
              <w:spacing w:line="240" w:lineRule="auto"/>
              <w:ind w:left="0" w:leftChars="0" w:firstLine="0" w:firstLineChars="0"/>
              <w:jc w:val="center"/>
              <w:rPr>
                <w:rFonts w:hint="eastAsia" w:ascii="宋体" w:hAnsi="宋体" w:eastAsia="宋体" w:cs="Times New Roman"/>
                <w:b w:val="0"/>
                <w:bCs w:val="0"/>
                <w:color w:val="auto"/>
                <w:sz w:val="21"/>
                <w:szCs w:val="21"/>
                <w:highlight w:val="none"/>
                <w:lang w:val="en-US" w:eastAsia="zh-CN" w:bidi="ar-SA"/>
              </w:rPr>
            </w:pPr>
            <w:r>
              <w:rPr>
                <w:rFonts w:hint="eastAsia" w:ascii="宋体" w:hAnsi="宋体" w:eastAsia="宋体" w:cs="Times New Roman"/>
                <w:b w:val="0"/>
                <w:bCs w:val="0"/>
                <w:color w:val="auto"/>
                <w:sz w:val="21"/>
                <w:szCs w:val="21"/>
                <w:highlight w:val="none"/>
                <w:lang w:val="en-US" w:eastAsia="zh-CN" w:bidi="ar-SA"/>
              </w:rPr>
              <w:t>项目进度管理和</w:t>
            </w:r>
            <w:r>
              <w:rPr>
                <w:rFonts w:hint="default" w:ascii="宋体" w:hAnsi="宋体" w:eastAsia="宋体" w:cs="Times New Roman"/>
                <w:b w:val="0"/>
                <w:bCs w:val="0"/>
                <w:color w:val="auto"/>
                <w:sz w:val="21"/>
                <w:szCs w:val="21"/>
                <w:highlight w:val="none"/>
                <w:lang w:val="en-US" w:eastAsia="zh-CN" w:bidi="ar-SA"/>
              </w:rPr>
              <w:t>项目质量保障措</w:t>
            </w:r>
          </w:p>
          <w:p w14:paraId="223BDF47">
            <w:pPr>
              <w:keepNext w:val="0"/>
              <w:keepLines w:val="0"/>
              <w:pageBreakBefore w:val="0"/>
              <w:kinsoku/>
              <w:overflowPunct/>
              <w:topLinePunct w:val="0"/>
              <w:autoSpaceDE/>
              <w:autoSpaceDN/>
              <w:bidi w:val="0"/>
              <w:spacing w:line="240" w:lineRule="auto"/>
              <w:rPr>
                <w:rFonts w:hint="eastAsia"/>
                <w:b w:val="0"/>
                <w:bCs w:val="0"/>
                <w:color w:val="auto"/>
                <w:highlight w:val="none"/>
              </w:rPr>
            </w:pPr>
          </w:p>
          <w:p w14:paraId="45FF2904">
            <w:pPr>
              <w:pStyle w:val="4"/>
              <w:keepNext w:val="0"/>
              <w:keepLines w:val="0"/>
              <w:pageBreakBefore w:val="0"/>
              <w:kinsoku/>
              <w:overflowPunct/>
              <w:topLinePunct w:val="0"/>
              <w:autoSpaceDE/>
              <w:autoSpaceDN/>
              <w:bidi w:val="0"/>
              <w:spacing w:line="240" w:lineRule="auto"/>
              <w:ind w:left="2100" w:leftChars="1000"/>
              <w:rPr>
                <w:rFonts w:hint="default" w:ascii="Times New Roman" w:hAnsi="Times New Roman" w:eastAsia="宋体" w:cs="Times New Roman"/>
                <w:b w:val="0"/>
                <w:bCs w:val="0"/>
                <w:color w:val="auto"/>
                <w:sz w:val="21"/>
                <w:szCs w:val="21"/>
                <w:highlight w:val="none"/>
              </w:rPr>
            </w:pPr>
          </w:p>
        </w:tc>
        <w:tc>
          <w:tcPr>
            <w:tcW w:w="4457" w:type="dxa"/>
            <w:tcBorders>
              <w:tl2br w:val="nil"/>
              <w:tr2bl w:val="nil"/>
            </w:tcBorders>
            <w:noWrap w:val="0"/>
            <w:vAlign w:val="center"/>
          </w:tcPr>
          <w:p w14:paraId="659A47E9">
            <w:pPr>
              <w:keepNext w:val="0"/>
              <w:keepLines w:val="0"/>
              <w:pageBreakBefore w:val="0"/>
              <w:kinsoku/>
              <w:overflowPunct/>
              <w:topLinePunct w:val="0"/>
              <w:autoSpaceDE/>
              <w:autoSpaceDN/>
              <w:bidi w:val="0"/>
              <w:spacing w:line="24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从各供应商的</w:t>
            </w:r>
            <w:r>
              <w:rPr>
                <w:rFonts w:hint="eastAsia" w:ascii="宋体" w:hAnsi="宋体"/>
                <w:b w:val="0"/>
                <w:bCs w:val="0"/>
                <w:color w:val="auto"/>
                <w:szCs w:val="21"/>
                <w:highlight w:val="none"/>
                <w:lang w:val="en-US" w:eastAsia="zh-CN"/>
              </w:rPr>
              <w:t>项目进度、</w:t>
            </w:r>
            <w:r>
              <w:rPr>
                <w:rFonts w:hint="eastAsia" w:ascii="宋体" w:hAnsi="宋体"/>
                <w:b w:val="0"/>
                <w:bCs w:val="0"/>
                <w:color w:val="auto"/>
                <w:szCs w:val="21"/>
                <w:highlight w:val="none"/>
              </w:rPr>
              <w:t>质量保</w:t>
            </w:r>
            <w:r>
              <w:rPr>
                <w:rFonts w:hint="eastAsia" w:ascii="宋体" w:hAnsi="宋体"/>
                <w:b w:val="0"/>
                <w:bCs w:val="0"/>
                <w:color w:val="auto"/>
                <w:szCs w:val="21"/>
                <w:highlight w:val="none"/>
                <w:lang w:val="en-US" w:eastAsia="zh-CN"/>
              </w:rPr>
              <w:t>障</w:t>
            </w:r>
            <w:r>
              <w:rPr>
                <w:rFonts w:hint="eastAsia" w:ascii="宋体" w:hAnsi="宋体"/>
                <w:b w:val="0"/>
                <w:bCs w:val="0"/>
                <w:color w:val="auto"/>
                <w:szCs w:val="21"/>
                <w:highlight w:val="none"/>
              </w:rPr>
              <w:t>措施等方面酌情评分。</w:t>
            </w:r>
          </w:p>
          <w:p w14:paraId="29A8BD7C">
            <w:pPr>
              <w:keepNext w:val="0"/>
              <w:keepLines w:val="0"/>
              <w:pageBreakBefore w:val="0"/>
              <w:kinsoku/>
              <w:overflowPunct/>
              <w:topLinePunct w:val="0"/>
              <w:autoSpaceDE/>
              <w:autoSpaceDN/>
              <w:bidi w:val="0"/>
              <w:spacing w:line="24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（1）措施与</w:t>
            </w:r>
            <w:r>
              <w:rPr>
                <w:rFonts w:hint="eastAsia" w:ascii="宋体" w:hAnsi="宋体"/>
                <w:b w:val="0"/>
                <w:bCs w:val="0"/>
                <w:color w:val="auto"/>
                <w:szCs w:val="21"/>
                <w:highlight w:val="none"/>
                <w:lang w:val="en-US" w:eastAsia="zh-CN"/>
              </w:rPr>
              <w:t>管理</w:t>
            </w:r>
            <w:r>
              <w:rPr>
                <w:rFonts w:hint="eastAsia" w:ascii="宋体" w:hAnsi="宋体"/>
                <w:b w:val="0"/>
                <w:bCs w:val="0"/>
                <w:color w:val="auto"/>
                <w:szCs w:val="21"/>
                <w:highlight w:val="none"/>
              </w:rPr>
              <w:t>方案完整、有针对性得</w:t>
            </w:r>
            <w:r>
              <w:rPr>
                <w:rFonts w:hint="eastAsia" w:ascii="宋体" w:hAnsi="宋体"/>
                <w:b w:val="0"/>
                <w:bCs w:val="0"/>
                <w:color w:val="auto"/>
                <w:szCs w:val="21"/>
                <w:highlight w:val="none"/>
                <w:lang w:val="en-US" w:eastAsia="zh-CN"/>
              </w:rPr>
              <w:t>10</w:t>
            </w:r>
            <w:r>
              <w:rPr>
                <w:rFonts w:hint="eastAsia" w:ascii="宋体" w:hAnsi="宋体"/>
                <w:b w:val="0"/>
                <w:bCs w:val="0"/>
                <w:color w:val="auto"/>
                <w:szCs w:val="21"/>
                <w:highlight w:val="none"/>
              </w:rPr>
              <w:t>分；</w:t>
            </w:r>
          </w:p>
          <w:p w14:paraId="05EFA0CD">
            <w:pPr>
              <w:keepNext w:val="0"/>
              <w:keepLines w:val="0"/>
              <w:pageBreakBefore w:val="0"/>
              <w:kinsoku/>
              <w:overflowPunct/>
              <w:topLinePunct w:val="0"/>
              <w:autoSpaceDE/>
              <w:autoSpaceDN/>
              <w:bidi w:val="0"/>
              <w:spacing w:line="24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（2）措施与</w:t>
            </w:r>
            <w:r>
              <w:rPr>
                <w:rFonts w:hint="eastAsia" w:ascii="宋体" w:hAnsi="宋体"/>
                <w:b w:val="0"/>
                <w:bCs w:val="0"/>
                <w:color w:val="auto"/>
                <w:szCs w:val="21"/>
                <w:highlight w:val="none"/>
                <w:lang w:val="en-US" w:eastAsia="zh-CN"/>
              </w:rPr>
              <w:t>管理</w:t>
            </w:r>
            <w:r>
              <w:rPr>
                <w:rFonts w:hint="eastAsia" w:ascii="宋体" w:hAnsi="宋体"/>
                <w:b w:val="0"/>
                <w:bCs w:val="0"/>
                <w:color w:val="auto"/>
                <w:szCs w:val="21"/>
                <w:highlight w:val="none"/>
              </w:rPr>
              <w:t>方案较完整得</w:t>
            </w:r>
            <w:r>
              <w:rPr>
                <w:rFonts w:hint="eastAsia" w:ascii="宋体" w:hAnsi="宋体"/>
                <w:b w:val="0"/>
                <w:bCs w:val="0"/>
                <w:color w:val="auto"/>
                <w:szCs w:val="21"/>
                <w:highlight w:val="none"/>
                <w:lang w:val="en-US" w:eastAsia="zh-CN"/>
              </w:rPr>
              <w:t>7</w:t>
            </w:r>
            <w:r>
              <w:rPr>
                <w:rFonts w:hint="eastAsia" w:ascii="宋体" w:hAnsi="宋体"/>
                <w:b w:val="0"/>
                <w:bCs w:val="0"/>
                <w:color w:val="auto"/>
                <w:szCs w:val="21"/>
                <w:highlight w:val="none"/>
              </w:rPr>
              <w:t>分；</w:t>
            </w:r>
          </w:p>
          <w:p w14:paraId="0717653C">
            <w:pPr>
              <w:keepNext w:val="0"/>
              <w:keepLines w:val="0"/>
              <w:pageBreakBefore w:val="0"/>
              <w:kinsoku/>
              <w:overflowPunct/>
              <w:topLinePunct w:val="0"/>
              <w:autoSpaceDE/>
              <w:autoSpaceDN/>
              <w:bidi w:val="0"/>
              <w:spacing w:line="24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（3）措施与</w:t>
            </w:r>
            <w:r>
              <w:rPr>
                <w:rFonts w:hint="eastAsia" w:ascii="宋体" w:hAnsi="宋体"/>
                <w:b w:val="0"/>
                <w:bCs w:val="0"/>
                <w:color w:val="auto"/>
                <w:szCs w:val="21"/>
                <w:highlight w:val="none"/>
                <w:lang w:val="en-US" w:eastAsia="zh-CN"/>
              </w:rPr>
              <w:t>管理</w:t>
            </w:r>
            <w:r>
              <w:rPr>
                <w:rFonts w:hint="eastAsia" w:ascii="宋体" w:hAnsi="宋体"/>
                <w:b w:val="0"/>
                <w:bCs w:val="0"/>
                <w:color w:val="auto"/>
                <w:szCs w:val="21"/>
                <w:highlight w:val="none"/>
              </w:rPr>
              <w:t>方案一般得</w:t>
            </w:r>
            <w:r>
              <w:rPr>
                <w:rFonts w:hint="eastAsia" w:ascii="宋体" w:hAnsi="宋体"/>
                <w:b w:val="0"/>
                <w:bCs w:val="0"/>
                <w:color w:val="auto"/>
                <w:szCs w:val="21"/>
                <w:highlight w:val="none"/>
                <w:lang w:val="en-US" w:eastAsia="zh-CN"/>
              </w:rPr>
              <w:t>4</w:t>
            </w:r>
            <w:r>
              <w:rPr>
                <w:rFonts w:hint="eastAsia" w:ascii="宋体" w:hAnsi="宋体"/>
                <w:b w:val="0"/>
                <w:bCs w:val="0"/>
                <w:color w:val="auto"/>
                <w:szCs w:val="21"/>
                <w:highlight w:val="none"/>
              </w:rPr>
              <w:t>分；</w:t>
            </w:r>
          </w:p>
          <w:p w14:paraId="1FB46B2A">
            <w:pPr>
              <w:keepNext w:val="0"/>
              <w:keepLines w:val="0"/>
              <w:pageBreakBefore w:val="0"/>
              <w:kinsoku/>
              <w:overflowPunct/>
              <w:topLinePunct w:val="0"/>
              <w:autoSpaceDE/>
              <w:autoSpaceDN/>
              <w:bidi w:val="0"/>
              <w:spacing w:line="24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（4）措施与</w:t>
            </w:r>
            <w:r>
              <w:rPr>
                <w:rFonts w:hint="eastAsia" w:ascii="宋体" w:hAnsi="宋体"/>
                <w:b w:val="0"/>
                <w:bCs w:val="0"/>
                <w:color w:val="auto"/>
                <w:szCs w:val="21"/>
                <w:highlight w:val="none"/>
                <w:lang w:val="en-US" w:eastAsia="zh-CN"/>
              </w:rPr>
              <w:t>管理</w:t>
            </w:r>
            <w:r>
              <w:rPr>
                <w:rFonts w:hint="eastAsia" w:ascii="宋体" w:hAnsi="宋体"/>
                <w:b w:val="0"/>
                <w:bCs w:val="0"/>
                <w:color w:val="auto"/>
                <w:szCs w:val="21"/>
                <w:highlight w:val="none"/>
              </w:rPr>
              <w:t>方案较差得</w:t>
            </w:r>
            <w:r>
              <w:rPr>
                <w:rFonts w:hint="eastAsia" w:ascii="宋体" w:hAnsi="宋体"/>
                <w:b w:val="0"/>
                <w:bCs w:val="0"/>
                <w:color w:val="auto"/>
                <w:szCs w:val="21"/>
                <w:highlight w:val="none"/>
                <w:lang w:val="en-US" w:eastAsia="zh-CN"/>
              </w:rPr>
              <w:t>1</w:t>
            </w:r>
            <w:r>
              <w:rPr>
                <w:rFonts w:hint="eastAsia" w:ascii="宋体" w:hAnsi="宋体"/>
                <w:b w:val="0"/>
                <w:bCs w:val="0"/>
                <w:color w:val="auto"/>
                <w:szCs w:val="21"/>
                <w:highlight w:val="none"/>
              </w:rPr>
              <w:t>分；</w:t>
            </w:r>
          </w:p>
          <w:p w14:paraId="3839AEBA">
            <w:pPr>
              <w:keepNext w:val="0"/>
              <w:keepLines w:val="0"/>
              <w:pageBreakBefore w:val="0"/>
              <w:widowControl/>
              <w:suppressLineNumbers w:val="0"/>
              <w:kinsoku/>
              <w:overflowPunct/>
              <w:topLinePunct w:val="0"/>
              <w:autoSpaceDE/>
              <w:autoSpaceDN/>
              <w:bidi w:val="0"/>
              <w:adjustRightInd/>
              <w:snapToGrid/>
              <w:spacing w:line="240" w:lineRule="auto"/>
              <w:jc w:val="left"/>
              <w:textAlignment w:val="center"/>
              <w:rPr>
                <w:rFonts w:hint="default" w:ascii="Times New Roman" w:hAnsi="Times New Roman" w:eastAsia="宋体" w:cs="Times New Roman"/>
                <w:b w:val="0"/>
                <w:bCs w:val="0"/>
                <w:color w:val="auto"/>
                <w:sz w:val="21"/>
                <w:szCs w:val="21"/>
                <w:highlight w:val="none"/>
              </w:rPr>
            </w:pPr>
            <w:r>
              <w:rPr>
                <w:rFonts w:hint="eastAsia" w:ascii="宋体" w:hAnsi="宋体"/>
                <w:b w:val="0"/>
                <w:bCs w:val="0"/>
                <w:color w:val="auto"/>
                <w:szCs w:val="21"/>
                <w:highlight w:val="none"/>
              </w:rPr>
              <w:t>（5）未作说明不得分。</w:t>
            </w:r>
          </w:p>
        </w:tc>
        <w:tc>
          <w:tcPr>
            <w:tcW w:w="948" w:type="dxa"/>
            <w:tcBorders>
              <w:tl2br w:val="nil"/>
              <w:tr2bl w:val="nil"/>
            </w:tcBorders>
            <w:noWrap/>
            <w:vAlign w:val="center"/>
          </w:tcPr>
          <w:p w14:paraId="0B210058">
            <w:pPr>
              <w:keepNext w:val="0"/>
              <w:keepLines w:val="0"/>
              <w:pageBreakBefore w:val="0"/>
              <w:kinsoku/>
              <w:overflowPunct/>
              <w:topLinePunct w:val="0"/>
              <w:autoSpaceDE/>
              <w:autoSpaceDN/>
              <w:bidi w:val="0"/>
              <w:adjustRightInd/>
              <w:snapToGrid/>
              <w:spacing w:line="240" w:lineRule="auto"/>
              <w:jc w:val="center"/>
              <w:rPr>
                <w:rFonts w:hint="default" w:ascii="Times New Roman" w:hAnsi="Times New Roman" w:eastAsia="宋体" w:cs="Times New Roman"/>
                <w:b w:val="0"/>
                <w:bCs w:val="0"/>
                <w:color w:val="auto"/>
                <w:kern w:val="0"/>
                <w:sz w:val="21"/>
                <w:szCs w:val="21"/>
                <w:highlight w:val="none"/>
                <w:lang w:val="en-US" w:eastAsia="zh-CN" w:bidi="ar-SA"/>
              </w:rPr>
            </w:pPr>
            <w:r>
              <w:rPr>
                <w:rFonts w:hint="eastAsia" w:cs="Times New Roman"/>
                <w:b w:val="0"/>
                <w:bCs w:val="0"/>
                <w:color w:val="auto"/>
                <w:kern w:val="0"/>
                <w:sz w:val="21"/>
                <w:szCs w:val="21"/>
                <w:highlight w:val="none"/>
                <w:lang w:val="en-US" w:eastAsia="zh-CN" w:bidi="ar-SA"/>
              </w:rPr>
              <w:t>10</w:t>
            </w:r>
          </w:p>
        </w:tc>
      </w:tr>
      <w:tr w14:paraId="3F8552B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707" w:hRule="atLeast"/>
          <w:jc w:val="center"/>
        </w:trPr>
        <w:tc>
          <w:tcPr>
            <w:tcW w:w="800" w:type="dxa"/>
            <w:vMerge w:val="continue"/>
            <w:tcBorders>
              <w:tl2br w:val="nil"/>
              <w:tr2bl w:val="nil"/>
            </w:tcBorders>
            <w:noWrap/>
            <w:vAlign w:val="center"/>
          </w:tcPr>
          <w:p w14:paraId="2525369D">
            <w:pPr>
              <w:keepNext w:val="0"/>
              <w:keepLines w:val="0"/>
              <w:pageBreakBefore w:val="0"/>
              <w:kinsoku/>
              <w:overflowPunct/>
              <w:topLinePunct w:val="0"/>
              <w:autoSpaceDE/>
              <w:autoSpaceDN/>
              <w:bidi w:val="0"/>
              <w:adjustRightInd/>
              <w:snapToGrid/>
              <w:spacing w:line="240" w:lineRule="auto"/>
              <w:jc w:val="center"/>
              <w:rPr>
                <w:rFonts w:hint="default" w:ascii="Times New Roman" w:hAnsi="Times New Roman" w:eastAsia="宋体" w:cs="Times New Roman"/>
                <w:b w:val="0"/>
                <w:bCs w:val="0"/>
                <w:color w:val="auto"/>
                <w:kern w:val="0"/>
                <w:sz w:val="21"/>
                <w:szCs w:val="21"/>
                <w:highlight w:val="none"/>
                <w:lang w:val="en-US" w:eastAsia="zh-CN" w:bidi="ar-SA"/>
              </w:rPr>
            </w:pPr>
          </w:p>
        </w:tc>
        <w:tc>
          <w:tcPr>
            <w:tcW w:w="1158" w:type="dxa"/>
            <w:vMerge w:val="continue"/>
            <w:tcBorders>
              <w:tl2br w:val="nil"/>
              <w:tr2bl w:val="nil"/>
            </w:tcBorders>
            <w:noWrap w:val="0"/>
            <w:vAlign w:val="center"/>
          </w:tcPr>
          <w:p w14:paraId="338439A5">
            <w:pPr>
              <w:keepNext w:val="0"/>
              <w:keepLines w:val="0"/>
              <w:pageBreakBefore w:val="0"/>
              <w:kinsoku/>
              <w:overflowPunct/>
              <w:topLinePunct w:val="0"/>
              <w:autoSpaceDE/>
              <w:autoSpaceDN/>
              <w:bidi w:val="0"/>
              <w:adjustRightInd/>
              <w:snapToGrid/>
              <w:spacing w:line="240" w:lineRule="auto"/>
              <w:jc w:val="center"/>
              <w:rPr>
                <w:rFonts w:hint="default" w:ascii="Times New Roman" w:hAnsi="Times New Roman" w:eastAsia="宋体" w:cs="Times New Roman"/>
                <w:b w:val="0"/>
                <w:bCs w:val="0"/>
                <w:color w:val="auto"/>
                <w:kern w:val="0"/>
                <w:sz w:val="21"/>
                <w:szCs w:val="21"/>
                <w:highlight w:val="none"/>
                <w:lang w:val="en-US" w:eastAsia="zh-CN" w:bidi="ar-SA"/>
              </w:rPr>
            </w:pPr>
          </w:p>
        </w:tc>
        <w:tc>
          <w:tcPr>
            <w:tcW w:w="1159" w:type="dxa"/>
            <w:tcBorders>
              <w:tl2br w:val="nil"/>
              <w:tr2bl w:val="nil"/>
            </w:tcBorders>
            <w:noWrap w:val="0"/>
            <w:vAlign w:val="center"/>
          </w:tcPr>
          <w:p w14:paraId="3565B1F9">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b w:val="0"/>
                <w:bCs w:val="0"/>
                <w:color w:val="auto"/>
                <w:kern w:val="0"/>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rPr>
              <w:t>后续服务承诺</w:t>
            </w:r>
            <w:r>
              <w:rPr>
                <w:rFonts w:hint="eastAsia" w:ascii="宋体" w:hAnsi="宋体"/>
                <w:b w:val="0"/>
                <w:bCs w:val="0"/>
                <w:color w:val="auto"/>
                <w:szCs w:val="21"/>
                <w:highlight w:val="none"/>
              </w:rPr>
              <w:t>及</w:t>
            </w:r>
            <w:r>
              <w:rPr>
                <w:rFonts w:hint="eastAsia" w:ascii="宋体" w:hAnsi="宋体"/>
                <w:b w:val="0"/>
                <w:bCs w:val="0"/>
                <w:color w:val="auto"/>
                <w:szCs w:val="21"/>
                <w:highlight w:val="none"/>
                <w:lang w:val="en-US" w:eastAsia="zh-CN"/>
              </w:rPr>
              <w:t>保障</w:t>
            </w:r>
            <w:r>
              <w:rPr>
                <w:rFonts w:hint="eastAsia" w:ascii="宋体" w:hAnsi="宋体"/>
                <w:b w:val="0"/>
                <w:bCs w:val="0"/>
                <w:color w:val="auto"/>
                <w:szCs w:val="21"/>
                <w:highlight w:val="none"/>
              </w:rPr>
              <w:t>措施</w:t>
            </w:r>
          </w:p>
        </w:tc>
        <w:tc>
          <w:tcPr>
            <w:tcW w:w="4457" w:type="dxa"/>
            <w:tcBorders>
              <w:tl2br w:val="nil"/>
              <w:tr2bl w:val="nil"/>
            </w:tcBorders>
            <w:noWrap w:val="0"/>
            <w:vAlign w:val="center"/>
          </w:tcPr>
          <w:p w14:paraId="50B3BD82">
            <w:pPr>
              <w:keepNext w:val="0"/>
              <w:keepLines w:val="0"/>
              <w:pageBreakBefore w:val="0"/>
              <w:kinsoku/>
              <w:overflowPunct/>
              <w:topLinePunct w:val="0"/>
              <w:autoSpaceDE/>
              <w:autoSpaceDN/>
              <w:bidi w:val="0"/>
              <w:adjustRightInd w:val="0"/>
              <w:snapToGrid w:val="0"/>
              <w:spacing w:line="240" w:lineRule="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根据投标人提供的工程管理、保障措施及后续服务承诺，进行综合评分。</w:t>
            </w:r>
          </w:p>
          <w:p w14:paraId="23FD5144">
            <w:pPr>
              <w:keepNext w:val="0"/>
              <w:keepLines w:val="0"/>
              <w:pageBreakBefore w:val="0"/>
              <w:kinsoku/>
              <w:overflowPunct/>
              <w:topLinePunct w:val="0"/>
              <w:autoSpaceDE/>
              <w:autoSpaceDN/>
              <w:bidi w:val="0"/>
              <w:adjustRightInd w:val="0"/>
              <w:snapToGrid w:val="0"/>
              <w:spacing w:line="240" w:lineRule="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 w:val="0"/>
                <w:bCs w:val="0"/>
                <w:color w:val="auto"/>
                <w:sz w:val="21"/>
                <w:szCs w:val="21"/>
                <w:highlight w:val="none"/>
              </w:rPr>
              <w:t>（1）方案合理性、针对性可操作性高的得1</w:t>
            </w:r>
            <w:r>
              <w:rPr>
                <w:rFonts w:hint="eastAsia" w:cs="Times New Roman"/>
                <w:b w:val="0"/>
                <w:bCs w:val="0"/>
                <w:color w:val="auto"/>
                <w:sz w:val="21"/>
                <w:szCs w:val="21"/>
                <w:highlight w:val="none"/>
                <w:lang w:val="en-US" w:eastAsia="zh-CN"/>
              </w:rPr>
              <w:t>0</w:t>
            </w:r>
            <w:r>
              <w:rPr>
                <w:rFonts w:hint="default" w:ascii="Times New Roman" w:hAnsi="Times New Roman" w:eastAsia="宋体" w:cs="Times New Roman"/>
                <w:b w:val="0"/>
                <w:bCs w:val="0"/>
                <w:color w:val="auto"/>
                <w:sz w:val="21"/>
                <w:szCs w:val="21"/>
                <w:highlight w:val="none"/>
              </w:rPr>
              <w:t>分</w:t>
            </w:r>
            <w:r>
              <w:rPr>
                <w:rFonts w:hint="default" w:ascii="Times New Roman" w:hAnsi="Times New Roman" w:eastAsia="宋体" w:cs="Times New Roman"/>
                <w:b w:val="0"/>
                <w:bCs w:val="0"/>
                <w:color w:val="auto"/>
                <w:sz w:val="21"/>
                <w:szCs w:val="21"/>
                <w:highlight w:val="none"/>
                <w:lang w:eastAsia="zh-CN"/>
              </w:rPr>
              <w:t>；</w:t>
            </w:r>
          </w:p>
          <w:p w14:paraId="01A49880">
            <w:pPr>
              <w:keepNext w:val="0"/>
              <w:keepLines w:val="0"/>
              <w:pageBreakBefore w:val="0"/>
              <w:kinsoku/>
              <w:overflowPunct/>
              <w:topLinePunct w:val="0"/>
              <w:autoSpaceDE/>
              <w:autoSpaceDN/>
              <w:bidi w:val="0"/>
              <w:adjustRightInd w:val="0"/>
              <w:snapToGrid w:val="0"/>
              <w:spacing w:line="240" w:lineRule="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 w:val="0"/>
                <w:bCs w:val="0"/>
                <w:color w:val="auto"/>
                <w:sz w:val="21"/>
                <w:szCs w:val="21"/>
                <w:highlight w:val="none"/>
              </w:rPr>
              <w:t>（2）方案合理性、针对性、可操作性较高的得</w:t>
            </w:r>
            <w:r>
              <w:rPr>
                <w:rFonts w:hint="eastAsia" w:cs="Times New Roman"/>
                <w:b w:val="0"/>
                <w:bCs w:val="0"/>
                <w:color w:val="auto"/>
                <w:sz w:val="21"/>
                <w:szCs w:val="21"/>
                <w:highlight w:val="none"/>
                <w:lang w:val="en-US" w:eastAsia="zh-CN"/>
              </w:rPr>
              <w:t>7</w:t>
            </w:r>
            <w:r>
              <w:rPr>
                <w:rFonts w:hint="default" w:ascii="Times New Roman" w:hAnsi="Times New Roman" w:eastAsia="宋体" w:cs="Times New Roman"/>
                <w:b w:val="0"/>
                <w:bCs w:val="0"/>
                <w:color w:val="auto"/>
                <w:sz w:val="21"/>
                <w:szCs w:val="21"/>
                <w:highlight w:val="none"/>
              </w:rPr>
              <w:t>分</w:t>
            </w:r>
            <w:r>
              <w:rPr>
                <w:rFonts w:hint="default" w:ascii="Times New Roman" w:hAnsi="Times New Roman" w:eastAsia="宋体" w:cs="Times New Roman"/>
                <w:b w:val="0"/>
                <w:bCs w:val="0"/>
                <w:color w:val="auto"/>
                <w:sz w:val="21"/>
                <w:szCs w:val="21"/>
                <w:highlight w:val="none"/>
                <w:lang w:eastAsia="zh-CN"/>
              </w:rPr>
              <w:t>；</w:t>
            </w:r>
          </w:p>
          <w:p w14:paraId="7F667AB5">
            <w:pPr>
              <w:keepNext w:val="0"/>
              <w:keepLines w:val="0"/>
              <w:pageBreakBefore w:val="0"/>
              <w:kinsoku/>
              <w:overflowPunct/>
              <w:topLinePunct w:val="0"/>
              <w:autoSpaceDE/>
              <w:autoSpaceDN/>
              <w:bidi w:val="0"/>
              <w:adjustRightInd w:val="0"/>
              <w:snapToGrid w:val="0"/>
              <w:spacing w:line="240" w:lineRule="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（3）方案合理性、针对性、可操作性一般的得</w:t>
            </w:r>
            <w:r>
              <w:rPr>
                <w:rFonts w:hint="eastAsia" w:cs="Times New Roman"/>
                <w:b w:val="0"/>
                <w:bCs w:val="0"/>
                <w:color w:val="auto"/>
                <w:sz w:val="21"/>
                <w:szCs w:val="21"/>
                <w:highlight w:val="none"/>
                <w:lang w:val="en-US" w:eastAsia="zh-CN"/>
              </w:rPr>
              <w:t>4</w:t>
            </w:r>
            <w:r>
              <w:rPr>
                <w:rFonts w:hint="default" w:ascii="Times New Roman" w:hAnsi="Times New Roman" w:eastAsia="宋体" w:cs="Times New Roman"/>
                <w:b w:val="0"/>
                <w:bCs w:val="0"/>
                <w:color w:val="auto"/>
                <w:sz w:val="21"/>
                <w:szCs w:val="21"/>
                <w:highlight w:val="none"/>
              </w:rPr>
              <w:t>分。</w:t>
            </w:r>
          </w:p>
          <w:p w14:paraId="333373F6">
            <w:pPr>
              <w:keepNext w:val="0"/>
              <w:keepLines w:val="0"/>
              <w:pageBreakBefore w:val="0"/>
              <w:kinsoku/>
              <w:overflowPunct/>
              <w:topLinePunct w:val="0"/>
              <w:autoSpaceDE/>
              <w:autoSpaceDN/>
              <w:bidi w:val="0"/>
              <w:adjustRightInd w:val="0"/>
              <w:snapToGrid w:val="0"/>
              <w:spacing w:line="240" w:lineRule="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w:t>
            </w:r>
            <w:r>
              <w:rPr>
                <w:rFonts w:hint="eastAsia" w:cs="Times New Roman"/>
                <w:b w:val="0"/>
                <w:bCs w:val="0"/>
                <w:color w:val="auto"/>
                <w:sz w:val="21"/>
                <w:szCs w:val="21"/>
                <w:highlight w:val="none"/>
                <w:lang w:val="en-US" w:eastAsia="zh-CN"/>
              </w:rPr>
              <w:t>4</w:t>
            </w:r>
            <w:r>
              <w:rPr>
                <w:rFonts w:hint="default" w:ascii="Times New Roman" w:hAnsi="Times New Roman" w:eastAsia="宋体" w:cs="Times New Roman"/>
                <w:b w:val="0"/>
                <w:bCs w:val="0"/>
                <w:color w:val="auto"/>
                <w:sz w:val="21"/>
                <w:szCs w:val="21"/>
                <w:highlight w:val="none"/>
              </w:rPr>
              <w:t>）方案合理性</w:t>
            </w:r>
            <w:bookmarkStart w:id="221" w:name="_GoBack"/>
            <w:bookmarkEnd w:id="221"/>
            <w:r>
              <w:rPr>
                <w:rFonts w:hint="default" w:ascii="Times New Roman" w:hAnsi="Times New Roman" w:eastAsia="宋体" w:cs="Times New Roman"/>
                <w:b w:val="0"/>
                <w:bCs w:val="0"/>
                <w:color w:val="auto"/>
                <w:sz w:val="21"/>
                <w:szCs w:val="21"/>
                <w:highlight w:val="none"/>
              </w:rPr>
              <w:t>、针对性、可操作性</w:t>
            </w:r>
            <w:r>
              <w:rPr>
                <w:rFonts w:hint="eastAsia" w:cs="Times New Roman"/>
                <w:b w:val="0"/>
                <w:bCs w:val="0"/>
                <w:color w:val="auto"/>
                <w:sz w:val="21"/>
                <w:szCs w:val="21"/>
                <w:highlight w:val="none"/>
                <w:lang w:val="en-US" w:eastAsia="zh-CN"/>
              </w:rPr>
              <w:t>较差</w:t>
            </w:r>
            <w:r>
              <w:rPr>
                <w:rFonts w:hint="default" w:ascii="Times New Roman" w:hAnsi="Times New Roman" w:eastAsia="宋体" w:cs="Times New Roman"/>
                <w:b w:val="0"/>
                <w:bCs w:val="0"/>
                <w:color w:val="auto"/>
                <w:sz w:val="21"/>
                <w:szCs w:val="21"/>
                <w:highlight w:val="none"/>
              </w:rPr>
              <w:t>的得</w:t>
            </w:r>
            <w:r>
              <w:rPr>
                <w:rFonts w:hint="eastAsia" w:cs="Times New Roman"/>
                <w:b w:val="0"/>
                <w:bCs w:val="0"/>
                <w:color w:val="auto"/>
                <w:sz w:val="21"/>
                <w:szCs w:val="21"/>
                <w:highlight w:val="none"/>
                <w:lang w:val="en-US" w:eastAsia="zh-CN"/>
              </w:rPr>
              <w:t>1</w:t>
            </w:r>
            <w:r>
              <w:rPr>
                <w:rFonts w:hint="default" w:ascii="Times New Roman" w:hAnsi="Times New Roman" w:eastAsia="宋体" w:cs="Times New Roman"/>
                <w:b w:val="0"/>
                <w:bCs w:val="0"/>
                <w:color w:val="auto"/>
                <w:sz w:val="21"/>
                <w:szCs w:val="21"/>
                <w:highlight w:val="none"/>
              </w:rPr>
              <w:t>分。</w:t>
            </w:r>
          </w:p>
          <w:p w14:paraId="349C6939">
            <w:pPr>
              <w:keepNext w:val="0"/>
              <w:keepLines w:val="0"/>
              <w:pageBreakBefore w:val="0"/>
              <w:kinsoku/>
              <w:overflowPunct/>
              <w:topLinePunct w:val="0"/>
              <w:autoSpaceDE/>
              <w:autoSpaceDN/>
              <w:bidi w:val="0"/>
              <w:adjustRightInd w:val="0"/>
              <w:snapToGrid w:val="0"/>
              <w:spacing w:line="240" w:lineRule="auto"/>
              <w:rPr>
                <w:rFonts w:hint="default" w:ascii="Times New Roman" w:hAnsi="Times New Roman" w:eastAsia="宋体" w:cs="Times New Roman"/>
                <w:b w:val="0"/>
                <w:bCs w:val="0"/>
                <w:color w:val="auto"/>
                <w:kern w:val="0"/>
                <w:sz w:val="21"/>
                <w:szCs w:val="21"/>
                <w:highlight w:val="none"/>
                <w:lang w:val="en-US" w:eastAsia="zh-CN" w:bidi="ar-SA"/>
              </w:rPr>
            </w:pPr>
            <w:r>
              <w:rPr>
                <w:rFonts w:hint="eastAsia" w:ascii="宋体" w:hAnsi="宋体" w:cs="宋体"/>
                <w:b w:val="0"/>
                <w:bCs w:val="0"/>
                <w:color w:val="auto"/>
                <w:szCs w:val="21"/>
                <w:highlight w:val="none"/>
              </w:rPr>
              <w:t>（5）未作说明不得分。</w:t>
            </w:r>
          </w:p>
        </w:tc>
        <w:tc>
          <w:tcPr>
            <w:tcW w:w="948" w:type="dxa"/>
            <w:tcBorders>
              <w:tl2br w:val="nil"/>
              <w:tr2bl w:val="nil"/>
            </w:tcBorders>
            <w:noWrap/>
            <w:vAlign w:val="center"/>
          </w:tcPr>
          <w:p w14:paraId="4C229CFD">
            <w:pPr>
              <w:keepNext w:val="0"/>
              <w:keepLines w:val="0"/>
              <w:pageBreakBefore w:val="0"/>
              <w:kinsoku/>
              <w:overflowPunct/>
              <w:topLinePunct w:val="0"/>
              <w:autoSpaceDE/>
              <w:autoSpaceDN/>
              <w:bidi w:val="0"/>
              <w:adjustRightInd/>
              <w:snapToGrid/>
              <w:spacing w:line="240" w:lineRule="auto"/>
              <w:jc w:val="center"/>
              <w:rPr>
                <w:rFonts w:hint="default" w:ascii="Times New Roman" w:hAnsi="Times New Roman" w:eastAsia="宋体" w:cs="Times New Roman"/>
                <w:b w:val="0"/>
                <w:bCs w:val="0"/>
                <w:color w:val="auto"/>
                <w:kern w:val="0"/>
                <w:sz w:val="21"/>
                <w:szCs w:val="21"/>
                <w:highlight w:val="none"/>
                <w:lang w:val="en-US" w:eastAsia="zh-CN" w:bidi="ar-SA"/>
              </w:rPr>
            </w:pPr>
            <w:r>
              <w:rPr>
                <w:rFonts w:hint="eastAsia" w:cs="Times New Roman"/>
                <w:b w:val="0"/>
                <w:bCs w:val="0"/>
                <w:color w:val="auto"/>
                <w:kern w:val="0"/>
                <w:sz w:val="21"/>
                <w:szCs w:val="21"/>
                <w:highlight w:val="none"/>
                <w:lang w:val="en-US" w:eastAsia="zh-CN" w:bidi="ar-SA"/>
              </w:rPr>
              <w:t>10</w:t>
            </w:r>
          </w:p>
        </w:tc>
      </w:tr>
      <w:tr w14:paraId="661E099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54" w:hRule="atLeast"/>
          <w:jc w:val="center"/>
        </w:trPr>
        <w:tc>
          <w:tcPr>
            <w:tcW w:w="7574" w:type="dxa"/>
            <w:gridSpan w:val="4"/>
            <w:tcBorders>
              <w:tl2br w:val="nil"/>
              <w:tr2bl w:val="nil"/>
            </w:tcBorders>
            <w:noWrap/>
            <w:vAlign w:val="center"/>
          </w:tcPr>
          <w:p w14:paraId="3F1C2030">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b w:val="0"/>
                <w:bCs w:val="0"/>
                <w:color w:val="auto"/>
                <w:kern w:val="0"/>
                <w:sz w:val="21"/>
                <w:szCs w:val="21"/>
                <w:highlight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SA"/>
              </w:rPr>
              <w:t>总分</w:t>
            </w:r>
          </w:p>
        </w:tc>
        <w:tc>
          <w:tcPr>
            <w:tcW w:w="948" w:type="dxa"/>
            <w:tcBorders>
              <w:tl2br w:val="nil"/>
              <w:tr2bl w:val="nil"/>
            </w:tcBorders>
            <w:noWrap/>
            <w:vAlign w:val="center"/>
          </w:tcPr>
          <w:p w14:paraId="6F4F901A">
            <w:pPr>
              <w:keepNext w:val="0"/>
              <w:keepLines w:val="0"/>
              <w:pageBreakBefore w:val="0"/>
              <w:kinsoku/>
              <w:overflowPunct/>
              <w:topLinePunct w:val="0"/>
              <w:autoSpaceDE/>
              <w:autoSpaceDN/>
              <w:bidi w:val="0"/>
              <w:adjustRightInd/>
              <w:snapToGrid/>
              <w:spacing w:line="240" w:lineRule="auto"/>
              <w:jc w:val="center"/>
              <w:rPr>
                <w:rFonts w:hint="default" w:ascii="Times New Roman" w:hAnsi="Times New Roman" w:eastAsia="宋体" w:cs="Times New Roman"/>
                <w:b w:val="0"/>
                <w:bCs w:val="0"/>
                <w:color w:val="auto"/>
                <w:kern w:val="0"/>
                <w:sz w:val="21"/>
                <w:szCs w:val="21"/>
                <w:highlight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SA"/>
              </w:rPr>
              <w:t>100分</w:t>
            </w:r>
          </w:p>
        </w:tc>
      </w:tr>
      <w:tr w14:paraId="4475517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54" w:hRule="atLeast"/>
          <w:jc w:val="center"/>
        </w:trPr>
        <w:tc>
          <w:tcPr>
            <w:tcW w:w="8522" w:type="dxa"/>
            <w:gridSpan w:val="5"/>
            <w:tcBorders>
              <w:tl2br w:val="nil"/>
              <w:tr2bl w:val="nil"/>
            </w:tcBorders>
            <w:noWrap/>
            <w:vAlign w:val="center"/>
          </w:tcPr>
          <w:p w14:paraId="1D68A3D7">
            <w:pPr>
              <w:keepNext w:val="0"/>
              <w:keepLines w:val="0"/>
              <w:pageBreakBefore w:val="0"/>
              <w:widowControl/>
              <w:suppressLineNumbers w:val="0"/>
              <w:kinsoku/>
              <w:wordWrap w:val="0"/>
              <w:overflowPunct/>
              <w:topLinePunct w:val="0"/>
              <w:autoSpaceDE/>
              <w:autoSpaceDN/>
              <w:bidi w:val="0"/>
              <w:adjustRightInd/>
              <w:snapToGrid/>
              <w:spacing w:line="240" w:lineRule="auto"/>
              <w:jc w:val="left"/>
              <w:textAlignment w:val="center"/>
              <w:rPr>
                <w:rFonts w:hint="default" w:ascii="Times New Roman" w:hAnsi="Times New Roman" w:eastAsia="宋体" w:cs="Times New Roman"/>
                <w:b w:val="0"/>
                <w:bCs w:val="0"/>
                <w:color w:val="auto"/>
                <w:kern w:val="0"/>
                <w:sz w:val="21"/>
                <w:szCs w:val="21"/>
                <w:highlight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SA"/>
              </w:rPr>
              <w:t>①评标办法中所涉及的所有证书、报告均需提供证明材料进行审核，如有载明需要原件的部分若原件印有有效的查询二维码的，可以使用加盖公章的复印件代替原件使用（详见招标文件）；</w:t>
            </w:r>
          </w:p>
          <w:p w14:paraId="15AE0F6E">
            <w:pPr>
              <w:keepNext w:val="0"/>
              <w:keepLines w:val="0"/>
              <w:pageBreakBefore w:val="0"/>
              <w:widowControl/>
              <w:suppressLineNumbers w:val="0"/>
              <w:kinsoku/>
              <w:wordWrap w:val="0"/>
              <w:overflowPunct/>
              <w:topLinePunct w:val="0"/>
              <w:autoSpaceDE/>
              <w:autoSpaceDN/>
              <w:bidi w:val="0"/>
              <w:adjustRightInd/>
              <w:snapToGrid/>
              <w:spacing w:line="240" w:lineRule="auto"/>
              <w:jc w:val="left"/>
              <w:textAlignment w:val="center"/>
              <w:rPr>
                <w:rFonts w:hint="default" w:ascii="Times New Roman" w:hAnsi="Times New Roman" w:eastAsia="宋体" w:cs="Times New Roman"/>
                <w:b w:val="0"/>
                <w:bCs w:val="0"/>
                <w:color w:val="auto"/>
                <w:kern w:val="0"/>
                <w:sz w:val="21"/>
                <w:szCs w:val="21"/>
                <w:highlight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SA"/>
              </w:rPr>
              <w:t>②本项目涉及面较广、点位分散、现状复杂，投标人应当自行踏勘现场对现状进行了解，以确保制定出合理的投标方案，否则因不了解实际现状而造成的一切后果（包括但不限于投标报价存在的成本风险及要求的服务期风险）由投标人自行承担；</w:t>
            </w:r>
          </w:p>
          <w:p w14:paraId="2A1530E4">
            <w:pPr>
              <w:keepNext w:val="0"/>
              <w:keepLines w:val="0"/>
              <w:pageBreakBefore w:val="0"/>
              <w:widowControl/>
              <w:suppressLineNumbers w:val="0"/>
              <w:kinsoku/>
              <w:wordWrap w:val="0"/>
              <w:overflowPunct/>
              <w:topLinePunct w:val="0"/>
              <w:autoSpaceDE/>
              <w:autoSpaceDN/>
              <w:bidi w:val="0"/>
              <w:adjustRightInd/>
              <w:snapToGrid/>
              <w:spacing w:line="240" w:lineRule="auto"/>
              <w:jc w:val="left"/>
              <w:textAlignment w:val="center"/>
              <w:rPr>
                <w:rFonts w:hint="default" w:ascii="Times New Roman" w:hAnsi="Times New Roman" w:eastAsia="宋体" w:cs="Times New Roman"/>
                <w:b w:val="0"/>
                <w:bCs w:val="0"/>
                <w:color w:val="auto"/>
                <w:kern w:val="0"/>
                <w:sz w:val="21"/>
                <w:szCs w:val="21"/>
                <w:highlight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SA"/>
              </w:rPr>
              <w:t>③以上认证均应在有效期范围，且发证机关网站未公布为暂停状态方可有效；</w:t>
            </w:r>
          </w:p>
          <w:p w14:paraId="31F92397">
            <w:pPr>
              <w:keepNext w:val="0"/>
              <w:keepLines w:val="0"/>
              <w:pageBreakBefore w:val="0"/>
              <w:widowControl/>
              <w:suppressLineNumbers w:val="0"/>
              <w:kinsoku/>
              <w:wordWrap w:val="0"/>
              <w:overflowPunct/>
              <w:topLinePunct w:val="0"/>
              <w:autoSpaceDE/>
              <w:autoSpaceDN/>
              <w:bidi w:val="0"/>
              <w:adjustRightInd/>
              <w:snapToGrid/>
              <w:spacing w:line="240" w:lineRule="auto"/>
              <w:jc w:val="left"/>
              <w:textAlignment w:val="center"/>
              <w:rPr>
                <w:rFonts w:hint="default" w:ascii="Times New Roman" w:hAnsi="Times New Roman" w:eastAsia="宋体" w:cs="Times New Roman"/>
                <w:b w:val="0"/>
                <w:bCs w:val="0"/>
                <w:color w:val="auto"/>
                <w:kern w:val="0"/>
                <w:sz w:val="21"/>
                <w:szCs w:val="21"/>
                <w:highlight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SA"/>
              </w:rPr>
              <w:t>④上述提及的复印件或网络打印件材料均须加盖投标人公章；</w:t>
            </w:r>
          </w:p>
          <w:p w14:paraId="4405B651">
            <w:pPr>
              <w:keepNext w:val="0"/>
              <w:keepLines w:val="0"/>
              <w:pageBreakBefore w:val="0"/>
              <w:widowControl/>
              <w:suppressLineNumbers w:val="0"/>
              <w:kinsoku/>
              <w:wordWrap w:val="0"/>
              <w:overflowPunct/>
              <w:topLinePunct w:val="0"/>
              <w:autoSpaceDE/>
              <w:autoSpaceDN/>
              <w:bidi w:val="0"/>
              <w:adjustRightInd/>
              <w:snapToGrid/>
              <w:spacing w:line="240" w:lineRule="auto"/>
              <w:jc w:val="left"/>
              <w:textAlignment w:val="center"/>
              <w:rPr>
                <w:rFonts w:hint="default" w:ascii="Times New Roman" w:hAnsi="Times New Roman" w:eastAsia="宋体" w:cs="Times New Roman"/>
                <w:b w:val="0"/>
                <w:bCs w:val="0"/>
                <w:color w:val="auto"/>
                <w:kern w:val="0"/>
                <w:sz w:val="21"/>
                <w:szCs w:val="21"/>
                <w:highlight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SA"/>
              </w:rPr>
              <w:t>⑤上述评分办法中主观分部分均以0.1分为一个计分点；</w:t>
            </w:r>
          </w:p>
        </w:tc>
      </w:tr>
    </w:tbl>
    <w:p w14:paraId="0F9876DB">
      <w:pPr>
        <w:keepNext w:val="0"/>
        <w:keepLines w:val="0"/>
        <w:pageBreakBefore w:val="0"/>
        <w:widowControl w:val="0"/>
        <w:kinsoku/>
        <w:wordWrap w:val="0"/>
        <w:overflowPunct/>
        <w:topLinePunct w:val="0"/>
        <w:autoSpaceDE/>
        <w:autoSpaceDN/>
        <w:bidi w:val="0"/>
        <w:adjustRightInd/>
        <w:spacing w:line="360" w:lineRule="auto"/>
        <w:ind w:firstLine="422" w:firstLineChars="200"/>
        <w:jc w:val="left"/>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3、中标候选人推荐方法：</w:t>
      </w:r>
    </w:p>
    <w:p w14:paraId="4BCEAAEA">
      <w:pPr>
        <w:keepNext w:val="0"/>
        <w:keepLines w:val="0"/>
        <w:pageBreakBefore w:val="0"/>
        <w:widowControl w:val="0"/>
        <w:kinsoku/>
        <w:wordWrap w:val="0"/>
        <w:overflowPunct/>
        <w:topLinePunct w:val="0"/>
        <w:autoSpaceDE/>
        <w:autoSpaceDN/>
        <w:bidi w:val="0"/>
        <w:adjustRightInd/>
        <w:spacing w:line="360" w:lineRule="auto"/>
        <w:ind w:firstLine="420" w:firstLineChars="200"/>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除符合性</w:t>
      </w:r>
      <w:r>
        <w:rPr>
          <w:rFonts w:hint="default" w:ascii="Times New Roman" w:hAnsi="Times New Roman" w:eastAsia="宋体" w:cs="Times New Roman"/>
          <w:b/>
          <w:color w:val="auto"/>
          <w:sz w:val="21"/>
          <w:szCs w:val="21"/>
          <w:highlight w:val="none"/>
        </w:rPr>
        <w:t>（指初步评审中形式评审和响应性审查）</w:t>
      </w:r>
      <w:r>
        <w:rPr>
          <w:rFonts w:hint="default" w:ascii="Times New Roman" w:hAnsi="Times New Roman" w:eastAsia="宋体" w:cs="Times New Roman"/>
          <w:color w:val="auto"/>
          <w:sz w:val="21"/>
          <w:szCs w:val="21"/>
          <w:highlight w:val="none"/>
        </w:rPr>
        <w:t>、商务性评审未通过的及本文件规定的其他不作中标候选人的情况不得作为中标候选人推荐外，</w:t>
      </w:r>
      <w:r>
        <w:rPr>
          <w:rFonts w:hint="default" w:ascii="Times New Roman" w:hAnsi="Times New Roman" w:eastAsia="宋体" w:cs="Times New Roman"/>
          <w:b/>
          <w:color w:val="auto"/>
          <w:sz w:val="21"/>
          <w:szCs w:val="21"/>
          <w:highlight w:val="none"/>
        </w:rPr>
        <w:t>其余按综合评分得分从高到底依次推荐1名中标候选人，如总分得分相同，按报价由低至高顺序排序。</w:t>
      </w:r>
      <w:r>
        <w:rPr>
          <w:rFonts w:hint="default" w:ascii="Times New Roman" w:hAnsi="Times New Roman" w:eastAsia="宋体" w:cs="Times New Roman"/>
          <w:b/>
          <w:color w:val="auto"/>
          <w:sz w:val="21"/>
          <w:szCs w:val="21"/>
          <w:highlight w:val="none"/>
          <w:u w:val="single"/>
        </w:rPr>
        <w:t>如得分最高者不止一个，则得分相同中报价低的为第一中标候选人。如最高得分相同且报价相同者不止一个，则由评标委员会抽签决定第一中标候选人。</w:t>
      </w:r>
    </w:p>
    <w:p w14:paraId="2CF7655A">
      <w:pPr>
        <w:keepNext w:val="0"/>
        <w:keepLines w:val="0"/>
        <w:pageBreakBefore w:val="0"/>
        <w:widowControl w:val="0"/>
        <w:kinsoku/>
        <w:wordWrap w:val="0"/>
        <w:overflowPunct/>
        <w:topLinePunct w:val="0"/>
        <w:autoSpaceDE/>
        <w:autoSpaceDN/>
        <w:bidi w:val="0"/>
        <w:adjustRightInd/>
        <w:snapToGrid w:val="0"/>
        <w:spacing w:line="360" w:lineRule="auto"/>
        <w:textAlignment w:val="auto"/>
        <w:outlineLvl w:val="1"/>
        <w:rPr>
          <w:rFonts w:hint="default" w:ascii="Times New Roman" w:hAnsi="Times New Roman" w:eastAsia="宋体" w:cs="Times New Roman"/>
          <w:b/>
          <w:bCs/>
          <w:color w:val="auto"/>
          <w:sz w:val="21"/>
          <w:szCs w:val="21"/>
          <w:highlight w:val="none"/>
        </w:rPr>
      </w:pPr>
      <w:bookmarkStart w:id="203" w:name="_Toc22623"/>
      <w:bookmarkStart w:id="204" w:name="_Toc17909"/>
      <w:bookmarkStart w:id="205" w:name="_Toc30603"/>
      <w:r>
        <w:rPr>
          <w:rFonts w:hint="default" w:ascii="Times New Roman" w:hAnsi="Times New Roman" w:eastAsia="宋体" w:cs="Times New Roman"/>
          <w:b/>
          <w:bCs/>
          <w:color w:val="auto"/>
          <w:sz w:val="21"/>
          <w:szCs w:val="21"/>
          <w:highlight w:val="none"/>
        </w:rPr>
        <w:t>三、其它</w:t>
      </w:r>
      <w:bookmarkEnd w:id="203"/>
      <w:bookmarkEnd w:id="204"/>
      <w:bookmarkEnd w:id="205"/>
    </w:p>
    <w:p w14:paraId="7DB94D62">
      <w:pPr>
        <w:keepNext w:val="0"/>
        <w:keepLines w:val="0"/>
        <w:pageBreakBefore w:val="0"/>
        <w:widowControl w:val="0"/>
        <w:kinsoku/>
        <w:wordWrap w:val="0"/>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在评标过程中，评标委员会如发现投标供应商的投标报价可能低于其个别成本的，应当要求该投标供应商在规定时间内作出书面澄清，并提供相关材料。投标供应商不能合理说明或者不能提供相关证明材料的，由评标委员会认定该投标供应商以低于成本价竞标，其投标报价作无效报价处理。</w:t>
      </w:r>
    </w:p>
    <w:p w14:paraId="534F0712">
      <w:pPr>
        <w:keepNext w:val="0"/>
        <w:keepLines w:val="0"/>
        <w:pageBreakBefore w:val="0"/>
        <w:widowControl w:val="0"/>
        <w:kinsoku/>
        <w:wordWrap w:val="0"/>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在评标过程中，评委会如发现投标供应商的有效投标报价不足3个，使得投标缺乏竞争的，评委会可以决定否决全部投标，采购人应当依照规定重新招标；评委会如发现投标供应商的有效投标报价不足3个但仍具有竞争性的，可以继续评标或采购人选择重新招标。</w:t>
      </w:r>
    </w:p>
    <w:p w14:paraId="798329CA">
      <w:pPr>
        <w:keepNext w:val="0"/>
        <w:keepLines w:val="0"/>
        <w:pageBreakBefore w:val="0"/>
        <w:widowControl w:val="0"/>
        <w:kinsoku/>
        <w:wordWrap w:val="0"/>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3.本评标办法未述及的事宜，由评标委员会依据法律法规处置。</w:t>
      </w:r>
    </w:p>
    <w:p w14:paraId="3FF5ED14">
      <w:pPr>
        <w:keepNext w:val="0"/>
        <w:keepLines w:val="0"/>
        <w:pageBreakBefore w:val="0"/>
        <w:widowControl w:val="0"/>
        <w:kinsoku/>
        <w:wordWrap w:val="0"/>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4.有不符合法律、法规规定，出现《江苏省预防职务犯罪条例》限制情形的，按照规定予以废标处置。</w:t>
      </w:r>
    </w:p>
    <w:p w14:paraId="0A747594">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color w:val="auto"/>
          <w:sz w:val="21"/>
          <w:szCs w:val="21"/>
          <w:highlight w:val="none"/>
        </w:rPr>
        <w:t>5.经审查为虚假材料的，按相关法律、法规要求作无效标处理同时上报行政主管部门予以列入黑名单并予以公示不低于6个月。</w:t>
      </w:r>
    </w:p>
    <w:p w14:paraId="7DC2A80D">
      <w:pPr>
        <w:pStyle w:val="194"/>
        <w:rPr>
          <w:rFonts w:ascii="Times New Roman" w:hAnsi="Times New Roman" w:eastAsia="黑体" w:cs="Times New Roman"/>
          <w:bCs/>
          <w:sz w:val="44"/>
        </w:rPr>
      </w:pPr>
      <w:r>
        <w:rPr>
          <w:rFonts w:ascii="Times New Roman" w:hAnsi="Times New Roman" w:eastAsia="黑体" w:cs="Times New Roman"/>
          <w:bCs/>
          <w:sz w:val="44"/>
        </w:rPr>
        <w:br w:type="page" w:clear="all"/>
      </w:r>
      <w:r>
        <w:rPr>
          <w:rFonts w:ascii="Times New Roman" w:hAnsi="Times New Roman" w:eastAsia="黑体" w:cs="Times New Roman"/>
          <w:bCs/>
          <w:sz w:val="44"/>
        </w:rPr>
        <w:t>第六章  投标</w:t>
      </w:r>
      <w:bookmarkEnd w:id="200"/>
      <w:bookmarkEnd w:id="201"/>
      <w:bookmarkEnd w:id="202"/>
      <w:r>
        <w:rPr>
          <w:rFonts w:ascii="Times New Roman" w:hAnsi="Times New Roman" w:eastAsia="黑体" w:cs="Times New Roman"/>
          <w:bCs/>
          <w:sz w:val="44"/>
        </w:rPr>
        <w:t xml:space="preserve">文件格式 </w:t>
      </w:r>
    </w:p>
    <w:p w14:paraId="0160B936">
      <w:pPr>
        <w:keepNext w:val="0"/>
        <w:keepLines w:val="0"/>
        <w:pageBreakBefore w:val="0"/>
        <w:widowControl/>
        <w:suppressLineNumbers w:val="0"/>
        <w:spacing w:line="520" w:lineRule="exact"/>
        <w:ind w:firstLine="560"/>
        <w:jc w:val="left"/>
        <w:rPr>
          <w:rFonts w:ascii="仿宋" w:hAnsi="仿宋" w:eastAsia="仿宋" w:cs="仿宋"/>
          <w:color w:val="000000"/>
          <w:sz w:val="28"/>
          <w:szCs w:val="28"/>
          <w:lang w:val="en-US" w:eastAsia="zh-CN" w:bidi="ar"/>
        </w:rPr>
      </w:pPr>
      <w:bookmarkStart w:id="206" w:name="_Hlt26955039"/>
      <w:bookmarkEnd w:id="206"/>
      <w:bookmarkStart w:id="207" w:name="_Hlt26671244"/>
      <w:bookmarkEnd w:id="207"/>
      <w:bookmarkStart w:id="208" w:name="_Toc26554094"/>
      <w:bookmarkStart w:id="209" w:name="_Toc49090576"/>
      <w:bookmarkStart w:id="210" w:name="_Toc120614282"/>
    </w:p>
    <w:p w14:paraId="223FD711">
      <w:pPr>
        <w:keepNext w:val="0"/>
        <w:keepLines w:val="0"/>
        <w:pageBreakBefore w:val="0"/>
        <w:widowControl/>
        <w:suppressLineNumbers w:val="0"/>
        <w:spacing w:line="520" w:lineRule="exact"/>
        <w:ind w:firstLine="560"/>
        <w:jc w:val="left"/>
      </w:pPr>
      <w:r>
        <w:rPr>
          <w:rFonts w:ascii="仿宋" w:hAnsi="仿宋" w:eastAsia="仿宋" w:cs="仿宋"/>
          <w:color w:val="000000"/>
          <w:sz w:val="28"/>
          <w:szCs w:val="28"/>
          <w:lang w:val="en-US" w:eastAsia="zh-CN" w:bidi="ar"/>
        </w:rPr>
        <w:t>说明：</w:t>
      </w:r>
      <w:r>
        <w:rPr>
          <w:rFonts w:hint="eastAsia" w:ascii="仿宋" w:hAnsi="仿宋" w:eastAsia="仿宋" w:cs="仿宋"/>
          <w:color w:val="000000"/>
          <w:sz w:val="28"/>
          <w:szCs w:val="28"/>
          <w:lang w:val="en-US" w:eastAsia="zh-CN" w:bidi="ar"/>
        </w:rPr>
        <w:t>本章提供的格式，投标供应商可以根据自身情况在现有格式上增加或补充，但不得删减或改变已提供的格式的实质性内容，否则评标委员会有权对之做出不利的评审判断。</w:t>
      </w:r>
    </w:p>
    <w:p w14:paraId="2D4CF211">
      <w:pPr>
        <w:keepNext w:val="0"/>
        <w:keepLines w:val="0"/>
        <w:pageBreakBefore w:val="0"/>
        <w:widowControl w:val="0"/>
        <w:kinsoku/>
        <w:wordWrap w:val="0"/>
        <w:overflowPunct/>
        <w:topLinePunct w:val="0"/>
        <w:bidi w:val="0"/>
        <w:jc w:val="center"/>
        <w:rPr>
          <w:rFonts w:ascii="Times New Roman" w:hAnsi="Times New Roman" w:cs="Times New Roman"/>
          <w:sz w:val="24"/>
          <w:szCs w:val="24"/>
        </w:rPr>
      </w:pPr>
      <w:r>
        <w:rPr>
          <w:rFonts w:ascii="Times New Roman" w:hAnsi="Times New Roman" w:cs="Times New Roman"/>
          <w:sz w:val="24"/>
          <w:szCs w:val="24"/>
        </w:rPr>
        <w:br w:type="page" w:clear="all"/>
      </w:r>
      <w:bookmarkEnd w:id="198"/>
      <w:bookmarkEnd w:id="199"/>
      <w:bookmarkEnd w:id="208"/>
      <w:bookmarkEnd w:id="209"/>
      <w:bookmarkEnd w:id="210"/>
    </w:p>
    <w:p w14:paraId="0FFEAE61">
      <w:pPr>
        <w:keepNext w:val="0"/>
        <w:keepLines w:val="0"/>
        <w:pageBreakBefore w:val="0"/>
        <w:widowControl w:val="0"/>
        <w:kinsoku/>
        <w:wordWrap w:val="0"/>
        <w:overflowPunct/>
        <w:topLinePunct w:val="0"/>
        <w:bidi w:val="0"/>
        <w:jc w:val="center"/>
        <w:rPr>
          <w:rFonts w:ascii="Times New Roman" w:hAnsi="Times New Roman" w:cs="Times New Roman"/>
          <w:sz w:val="24"/>
          <w:szCs w:val="24"/>
        </w:rPr>
      </w:pPr>
    </w:p>
    <w:p w14:paraId="2938B05D">
      <w:pPr>
        <w:keepNext w:val="0"/>
        <w:keepLines w:val="0"/>
        <w:pageBreakBefore w:val="0"/>
        <w:widowControl w:val="0"/>
        <w:kinsoku/>
        <w:wordWrap w:val="0"/>
        <w:overflowPunct/>
        <w:topLinePunct w:val="0"/>
        <w:bidi w:val="0"/>
        <w:jc w:val="center"/>
        <w:rPr>
          <w:rFonts w:ascii="Times New Roman" w:hAnsi="Times New Roman" w:cs="Times New Roman"/>
          <w:sz w:val="24"/>
          <w:szCs w:val="24"/>
        </w:rPr>
      </w:pPr>
    </w:p>
    <w:p w14:paraId="15214038">
      <w:pPr>
        <w:keepNext w:val="0"/>
        <w:keepLines w:val="0"/>
        <w:pageBreakBefore w:val="0"/>
        <w:widowControl w:val="0"/>
        <w:kinsoku/>
        <w:wordWrap w:val="0"/>
        <w:overflowPunct/>
        <w:topLinePunct w:val="0"/>
        <w:bidi w:val="0"/>
        <w:jc w:val="center"/>
        <w:rPr>
          <w:rFonts w:ascii="Times New Roman" w:hAnsi="Times New Roman" w:cs="Times New Roman"/>
          <w:sz w:val="24"/>
          <w:szCs w:val="24"/>
        </w:rPr>
      </w:pPr>
    </w:p>
    <w:p w14:paraId="490F9F04">
      <w:pPr>
        <w:keepNext w:val="0"/>
        <w:keepLines w:val="0"/>
        <w:pageBreakBefore w:val="0"/>
        <w:widowControl w:val="0"/>
        <w:kinsoku/>
        <w:wordWrap w:val="0"/>
        <w:overflowPunct/>
        <w:topLinePunct w:val="0"/>
        <w:bidi w:val="0"/>
        <w:jc w:val="center"/>
        <w:rPr>
          <w:rFonts w:ascii="Times New Roman" w:hAnsi="Times New Roman" w:cs="Times New Roman"/>
          <w:sz w:val="24"/>
          <w:szCs w:val="24"/>
        </w:rPr>
      </w:pPr>
    </w:p>
    <w:p w14:paraId="5C64CAC2">
      <w:pPr>
        <w:keepNext w:val="0"/>
        <w:keepLines w:val="0"/>
        <w:pageBreakBefore w:val="0"/>
        <w:widowControl w:val="0"/>
        <w:kinsoku/>
        <w:wordWrap w:val="0"/>
        <w:overflowPunct/>
        <w:topLinePunct w:val="0"/>
        <w:bidi w:val="0"/>
        <w:jc w:val="center"/>
        <w:rPr>
          <w:rFonts w:ascii="Times New Roman" w:hAnsi="Times New Roman" w:cs="Times New Roman"/>
          <w:sz w:val="24"/>
          <w:szCs w:val="24"/>
        </w:rPr>
      </w:pPr>
    </w:p>
    <w:p w14:paraId="1054AF04">
      <w:pPr>
        <w:keepNext w:val="0"/>
        <w:keepLines w:val="0"/>
        <w:pageBreakBefore w:val="0"/>
        <w:widowControl w:val="0"/>
        <w:kinsoku/>
        <w:wordWrap w:val="0"/>
        <w:overflowPunct/>
        <w:topLinePunct w:val="0"/>
        <w:bidi w:val="0"/>
        <w:jc w:val="center"/>
        <w:rPr>
          <w:rFonts w:ascii="Times New Roman" w:hAnsi="Times New Roman" w:cs="Times New Roman"/>
          <w:sz w:val="24"/>
          <w:szCs w:val="24"/>
        </w:rPr>
      </w:pPr>
    </w:p>
    <w:p w14:paraId="2312BC96">
      <w:pPr>
        <w:keepNext w:val="0"/>
        <w:keepLines w:val="0"/>
        <w:pageBreakBefore w:val="0"/>
        <w:widowControl w:val="0"/>
        <w:kinsoku/>
        <w:wordWrap w:val="0"/>
        <w:overflowPunct/>
        <w:topLinePunct w:val="0"/>
        <w:bidi w:val="0"/>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t>投  标  文  件</w:t>
      </w:r>
    </w:p>
    <w:p w14:paraId="158FE538">
      <w:pPr>
        <w:keepNext w:val="0"/>
        <w:keepLines w:val="0"/>
        <w:pageBreakBefore w:val="0"/>
        <w:widowControl w:val="0"/>
        <w:kinsoku/>
        <w:wordWrap w:val="0"/>
        <w:overflowPunct/>
        <w:topLinePunct w:val="0"/>
        <w:bidi w:val="0"/>
        <w:jc w:val="center"/>
        <w:rPr>
          <w:rFonts w:hint="eastAsia" w:ascii="宋体" w:hAnsi="宋体" w:eastAsia="宋体" w:cs="宋体"/>
          <w:b/>
          <w:color w:val="auto"/>
          <w:sz w:val="72"/>
          <w:highlight w:val="none"/>
        </w:rPr>
      </w:pPr>
      <w:r>
        <w:rPr>
          <w:rFonts w:hint="eastAsia" w:ascii="宋体" w:hAnsi="宋体" w:eastAsia="宋体" w:cs="宋体"/>
          <w:b/>
          <w:color w:val="auto"/>
          <w:sz w:val="36"/>
          <w:highlight w:val="none"/>
        </w:rPr>
        <w:t>（正或副本）</w:t>
      </w:r>
    </w:p>
    <w:p w14:paraId="275CD391">
      <w:pPr>
        <w:keepNext w:val="0"/>
        <w:keepLines w:val="0"/>
        <w:pageBreakBefore w:val="0"/>
        <w:widowControl w:val="0"/>
        <w:kinsoku/>
        <w:wordWrap w:val="0"/>
        <w:overflowPunct/>
        <w:topLinePunct w:val="0"/>
        <w:bidi w:val="0"/>
        <w:jc w:val="center"/>
        <w:rPr>
          <w:rFonts w:hint="eastAsia" w:ascii="宋体" w:hAnsi="宋体" w:eastAsia="宋体" w:cs="宋体"/>
          <w:b/>
          <w:color w:val="auto"/>
          <w:sz w:val="72"/>
          <w:highlight w:val="none"/>
        </w:rPr>
      </w:pPr>
    </w:p>
    <w:p w14:paraId="1140967E">
      <w:pPr>
        <w:keepNext w:val="0"/>
        <w:keepLines w:val="0"/>
        <w:pageBreakBefore w:val="0"/>
        <w:widowControl w:val="0"/>
        <w:kinsoku/>
        <w:wordWrap w:val="0"/>
        <w:overflowPunct/>
        <w:topLinePunct w:val="0"/>
        <w:bidi w:val="0"/>
        <w:jc w:val="center"/>
        <w:rPr>
          <w:rFonts w:hint="eastAsia" w:ascii="宋体" w:hAnsi="宋体" w:eastAsia="宋体" w:cs="宋体"/>
          <w:b/>
          <w:color w:val="auto"/>
          <w:sz w:val="36"/>
          <w:highlight w:val="none"/>
        </w:rPr>
      </w:pPr>
    </w:p>
    <w:p w14:paraId="4539982B">
      <w:pPr>
        <w:keepNext w:val="0"/>
        <w:keepLines w:val="0"/>
        <w:pageBreakBefore w:val="0"/>
        <w:widowControl w:val="0"/>
        <w:kinsoku/>
        <w:wordWrap w:val="0"/>
        <w:overflowPunct/>
        <w:topLinePunct w:val="0"/>
        <w:bidi w:val="0"/>
        <w:jc w:val="center"/>
        <w:rPr>
          <w:rFonts w:hint="eastAsia" w:ascii="宋体" w:hAnsi="宋体" w:eastAsia="宋体" w:cs="宋体"/>
          <w:b/>
          <w:color w:val="auto"/>
          <w:sz w:val="36"/>
          <w:highlight w:val="none"/>
        </w:rPr>
      </w:pPr>
    </w:p>
    <w:p w14:paraId="0741AAF6">
      <w:pPr>
        <w:keepNext w:val="0"/>
        <w:keepLines w:val="0"/>
        <w:pageBreakBefore w:val="0"/>
        <w:widowControl w:val="0"/>
        <w:kinsoku/>
        <w:wordWrap w:val="0"/>
        <w:overflowPunct/>
        <w:topLinePunct w:val="0"/>
        <w:bidi w:val="0"/>
        <w:jc w:val="center"/>
        <w:rPr>
          <w:rFonts w:hint="eastAsia" w:ascii="宋体" w:hAnsi="宋体" w:eastAsia="宋体" w:cs="宋体"/>
          <w:b/>
          <w:color w:val="auto"/>
          <w:sz w:val="36"/>
          <w:highlight w:val="none"/>
        </w:rPr>
      </w:pPr>
    </w:p>
    <w:p w14:paraId="1E70B73C">
      <w:pPr>
        <w:keepNext w:val="0"/>
        <w:keepLines w:val="0"/>
        <w:pageBreakBefore w:val="0"/>
        <w:widowControl w:val="0"/>
        <w:kinsoku/>
        <w:wordWrap w:val="0"/>
        <w:overflowPunct/>
        <w:topLinePunct w:val="0"/>
        <w:bidi w:val="0"/>
        <w:snapToGrid w:val="0"/>
        <w:spacing w:line="480" w:lineRule="auto"/>
        <w:ind w:left="630" w:leftChars="300"/>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t>项 目 名 称：</w:t>
      </w:r>
      <w:r>
        <w:rPr>
          <w:rFonts w:hint="eastAsia" w:ascii="宋体" w:hAnsi="宋体" w:eastAsia="宋体" w:cs="宋体"/>
          <w:bCs/>
          <w:color w:val="auto"/>
          <w:sz w:val="36"/>
          <w:highlight w:val="none"/>
          <w:u w:val="single"/>
        </w:rPr>
        <w:t xml:space="preserve">               </w:t>
      </w:r>
    </w:p>
    <w:p w14:paraId="049184D2">
      <w:pPr>
        <w:keepNext w:val="0"/>
        <w:keepLines w:val="0"/>
        <w:pageBreakBefore w:val="0"/>
        <w:widowControl w:val="0"/>
        <w:kinsoku/>
        <w:wordWrap w:val="0"/>
        <w:overflowPunct/>
        <w:topLinePunct w:val="0"/>
        <w:bidi w:val="0"/>
        <w:snapToGrid w:val="0"/>
        <w:spacing w:line="480" w:lineRule="auto"/>
        <w:ind w:left="630" w:leftChars="300"/>
        <w:rPr>
          <w:rFonts w:hint="eastAsia" w:ascii="宋体" w:hAnsi="宋体" w:eastAsia="宋体" w:cs="宋体"/>
          <w:bCs/>
          <w:color w:val="auto"/>
          <w:sz w:val="36"/>
          <w:highlight w:val="none"/>
          <w:u w:val="single"/>
        </w:rPr>
      </w:pPr>
      <w:r>
        <w:rPr>
          <w:rFonts w:hint="eastAsia" w:ascii="宋体" w:hAnsi="宋体" w:eastAsia="宋体" w:cs="宋体"/>
          <w:bCs/>
          <w:color w:val="auto"/>
          <w:sz w:val="36"/>
          <w:highlight w:val="none"/>
        </w:rPr>
        <w:t>招 标 编 号：</w:t>
      </w:r>
      <w:r>
        <w:rPr>
          <w:rFonts w:hint="eastAsia" w:ascii="宋体" w:hAnsi="宋体" w:eastAsia="宋体" w:cs="宋体"/>
          <w:bCs/>
          <w:color w:val="auto"/>
          <w:sz w:val="36"/>
          <w:highlight w:val="none"/>
          <w:u w:val="single"/>
        </w:rPr>
        <w:t xml:space="preserve">               </w:t>
      </w:r>
    </w:p>
    <w:p w14:paraId="7109B85C">
      <w:pPr>
        <w:keepNext w:val="0"/>
        <w:keepLines w:val="0"/>
        <w:pageBreakBefore w:val="0"/>
        <w:widowControl w:val="0"/>
        <w:kinsoku/>
        <w:wordWrap w:val="0"/>
        <w:overflowPunct/>
        <w:topLinePunct w:val="0"/>
        <w:bidi w:val="0"/>
        <w:snapToGrid w:val="0"/>
        <w:spacing w:line="480" w:lineRule="auto"/>
        <w:ind w:left="630" w:leftChars="300"/>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t>投标人名称 ：</w:t>
      </w:r>
      <w:r>
        <w:rPr>
          <w:rFonts w:hint="eastAsia" w:ascii="宋体" w:hAnsi="宋体" w:eastAsia="宋体" w:cs="宋体"/>
          <w:bCs/>
          <w:color w:val="auto"/>
          <w:sz w:val="36"/>
          <w:highlight w:val="none"/>
          <w:u w:val="single"/>
        </w:rPr>
        <w:t xml:space="preserve"> （加盖CA电子公章）        </w:t>
      </w:r>
      <w:r>
        <w:rPr>
          <w:rFonts w:hint="eastAsia" w:ascii="宋体" w:hAnsi="宋体" w:eastAsia="宋体" w:cs="宋体"/>
          <w:bCs/>
          <w:color w:val="auto"/>
          <w:sz w:val="36"/>
          <w:highlight w:val="none"/>
        </w:rPr>
        <w:t>日      期 ：</w:t>
      </w:r>
      <w:r>
        <w:rPr>
          <w:rFonts w:hint="eastAsia" w:ascii="宋体" w:hAnsi="宋体" w:eastAsia="宋体" w:cs="宋体"/>
          <w:bCs/>
          <w:color w:val="auto"/>
          <w:sz w:val="36"/>
          <w:highlight w:val="none"/>
          <w:u w:val="single"/>
        </w:rPr>
        <w:t xml:space="preserve">            </w:t>
      </w:r>
    </w:p>
    <w:p w14:paraId="1E074163">
      <w:pPr>
        <w:keepNext w:val="0"/>
        <w:keepLines w:val="0"/>
        <w:pageBreakBefore w:val="0"/>
        <w:widowControl w:val="0"/>
        <w:kinsoku/>
        <w:wordWrap w:val="0"/>
        <w:overflowPunct/>
        <w:topLinePunct w:val="0"/>
        <w:bidi w:val="0"/>
        <w:spacing w:line="440" w:lineRule="exact"/>
        <w:jc w:val="center"/>
        <w:rPr>
          <w:rFonts w:hint="eastAsia" w:ascii="宋体" w:hAnsi="宋体" w:eastAsia="宋体" w:cs="宋体"/>
          <w:b/>
          <w:bCs/>
          <w:color w:val="auto"/>
          <w:sz w:val="32"/>
          <w:szCs w:val="32"/>
          <w:highlight w:val="none"/>
        </w:rPr>
      </w:pPr>
    </w:p>
    <w:p w14:paraId="4370C522">
      <w:pPr>
        <w:keepNext w:val="0"/>
        <w:keepLines w:val="0"/>
        <w:pageBreakBefore w:val="0"/>
        <w:widowControl w:val="0"/>
        <w:kinsoku/>
        <w:wordWrap w:val="0"/>
        <w:overflowPunct/>
        <w:topLinePunct w:val="0"/>
        <w:bidi w:val="0"/>
        <w:spacing w:line="440" w:lineRule="exact"/>
        <w:ind w:firstLine="480" w:firstLineChars="200"/>
        <w:rPr>
          <w:rFonts w:hint="eastAsia" w:ascii="宋体" w:hAnsi="宋体" w:eastAsia="宋体" w:cs="宋体"/>
          <w:color w:val="auto"/>
          <w:sz w:val="24"/>
          <w:highlight w:val="none"/>
        </w:rPr>
      </w:pPr>
    </w:p>
    <w:p w14:paraId="5FD0721C">
      <w:pPr>
        <w:keepNext w:val="0"/>
        <w:keepLines w:val="0"/>
        <w:pageBreakBefore w:val="0"/>
        <w:widowControl w:val="0"/>
        <w:kinsoku/>
        <w:wordWrap w:val="0"/>
        <w:overflowPunct/>
        <w:topLinePunct w:val="0"/>
        <w:bidi w:val="0"/>
        <w:spacing w:before="290" w:beforeLines="100" w:after="290" w:afterLines="100"/>
        <w:jc w:val="center"/>
        <w:rPr>
          <w:rFonts w:hint="eastAsia" w:ascii="宋体" w:hAnsi="宋体" w:eastAsia="宋体" w:cs="宋体"/>
          <w:b/>
          <w:color w:val="auto"/>
          <w:sz w:val="32"/>
          <w:szCs w:val="32"/>
          <w:highlight w:val="none"/>
        </w:rPr>
        <w:sectPr>
          <w:pgSz w:w="11906" w:h="16838"/>
          <w:pgMar w:top="1440" w:right="1800" w:bottom="1440" w:left="1800" w:header="851" w:footer="992" w:gutter="0"/>
          <w:cols w:space="720" w:num="1"/>
          <w:docGrid w:type="lines" w:linePitch="312" w:charSpace="0"/>
        </w:sectPr>
      </w:pPr>
    </w:p>
    <w:p w14:paraId="13B1664C">
      <w:pPr>
        <w:keepNext w:val="0"/>
        <w:keepLines w:val="0"/>
        <w:pageBreakBefore w:val="0"/>
        <w:widowControl w:val="0"/>
        <w:kinsoku/>
        <w:wordWrap w:val="0"/>
        <w:overflowPunct/>
        <w:topLinePunct w:val="0"/>
        <w:bidi w:val="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投标主要文件目录</w:t>
      </w:r>
    </w:p>
    <w:p w14:paraId="63046505">
      <w:pPr>
        <w:keepNext w:val="0"/>
        <w:keepLines w:val="0"/>
        <w:pageBreakBefore w:val="0"/>
        <w:widowControl w:val="0"/>
        <w:kinsoku/>
        <w:wordWrap w:val="0"/>
        <w:overflowPunct/>
        <w:topLinePunct w:val="0"/>
        <w:bidi w:val="0"/>
        <w:spacing w:line="440" w:lineRule="exact"/>
        <w:jc w:val="center"/>
        <w:rPr>
          <w:rFonts w:hint="eastAsia" w:ascii="宋体" w:hAnsi="宋体" w:eastAsia="宋体" w:cs="宋体"/>
          <w:b/>
          <w:bCs/>
          <w:color w:val="auto"/>
          <w:sz w:val="32"/>
          <w:szCs w:val="32"/>
          <w:highlight w:val="none"/>
        </w:rPr>
      </w:pPr>
    </w:p>
    <w:p w14:paraId="32E45DCF">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一、</w:t>
      </w:r>
      <w:r>
        <w:rPr>
          <w:rFonts w:hint="eastAsia" w:ascii="宋体" w:hAnsi="宋体" w:eastAsia="宋体" w:cs="宋体"/>
          <w:bCs/>
          <w:color w:val="auto"/>
          <w:sz w:val="24"/>
          <w:highlight w:val="none"/>
        </w:rPr>
        <w:t>资信证明文件要求</w:t>
      </w:r>
    </w:p>
    <w:p w14:paraId="56023B5A">
      <w:pPr>
        <w:keepNext w:val="0"/>
        <w:keepLines w:val="0"/>
        <w:pageBreakBefore w:val="0"/>
        <w:widowControl w:val="0"/>
        <w:kinsoku/>
        <w:wordWrap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二</w:t>
      </w:r>
      <w:r>
        <w:rPr>
          <w:rFonts w:hint="eastAsia" w:ascii="宋体" w:hAnsi="宋体" w:eastAsia="宋体" w:cs="宋体"/>
          <w:color w:val="auto"/>
          <w:sz w:val="24"/>
          <w:highlight w:val="none"/>
        </w:rPr>
        <w:t>、资格性审查响应对照表</w:t>
      </w:r>
    </w:p>
    <w:p w14:paraId="3B6DA9BB">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三、符合性检查响应对照表</w:t>
      </w:r>
    </w:p>
    <w:p w14:paraId="0F99B895">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四、投标函</w:t>
      </w:r>
    </w:p>
    <w:p w14:paraId="7B057446">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五</w:t>
      </w:r>
      <w:r>
        <w:rPr>
          <w:rFonts w:hint="eastAsia" w:ascii="宋体" w:hAnsi="宋体" w:eastAsia="宋体" w:cs="宋体"/>
          <w:b/>
          <w:bCs/>
          <w:color w:val="auto"/>
          <w:sz w:val="24"/>
          <w:highlight w:val="none"/>
        </w:rPr>
        <w:t>、</w:t>
      </w:r>
      <w:r>
        <w:rPr>
          <w:rFonts w:hint="eastAsia" w:ascii="宋体" w:hAnsi="宋体" w:eastAsia="宋体" w:cs="宋体"/>
          <w:color w:val="auto"/>
          <w:sz w:val="24"/>
          <w:highlight w:val="none"/>
        </w:rPr>
        <w:t>开标一览表</w:t>
      </w:r>
    </w:p>
    <w:p w14:paraId="5D179B48">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六、投标配置与分项报价表</w:t>
      </w:r>
    </w:p>
    <w:p w14:paraId="5CC83EF4">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七</w:t>
      </w:r>
      <w:r>
        <w:rPr>
          <w:rFonts w:hint="eastAsia" w:ascii="宋体" w:hAnsi="宋体" w:eastAsia="宋体" w:cs="宋体"/>
          <w:color w:val="auto"/>
          <w:sz w:val="24"/>
          <w:szCs w:val="24"/>
          <w:highlight w:val="none"/>
        </w:rPr>
        <w:t>、技术参数响应及偏离表</w:t>
      </w:r>
    </w:p>
    <w:p w14:paraId="17BB3C1A">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八、商务条款响应及偏离表</w:t>
      </w:r>
    </w:p>
    <w:p w14:paraId="469F3A7E">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九、技术方案、服务承诺、培训承诺等</w:t>
      </w:r>
    </w:p>
    <w:p w14:paraId="643B7337">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十、滨海县政府采购事前信用承诺书</w:t>
      </w:r>
    </w:p>
    <w:p w14:paraId="7ADFC3B4">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十一、中小企业声明函</w:t>
      </w:r>
    </w:p>
    <w:p w14:paraId="330CA9B3">
      <w:pPr>
        <w:pStyle w:val="248"/>
        <w:keepNext w:val="0"/>
        <w:keepLines w:val="0"/>
        <w:pageBreakBefore w:val="0"/>
        <w:widowControl w:val="0"/>
        <w:kinsoku/>
        <w:wordWrap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 </w:t>
      </w:r>
      <w:r>
        <w:rPr>
          <w:rFonts w:hint="eastAsia" w:ascii="宋体" w:hAnsi="宋体" w:eastAsia="宋体" w:cs="宋体"/>
          <w:color w:val="auto"/>
          <w:highlight w:val="none"/>
        </w:rPr>
        <w:t>本目录为投标文件一般应当包括的内容，招标文件其他处有要求提供其他文件的，须按照招标文件要求执行，投标人也可以根据投标文件编制的实际需求进行顺序调整或内容补充。</w:t>
      </w:r>
      <w:r>
        <w:rPr>
          <w:rFonts w:hint="eastAsia" w:ascii="宋体" w:hAnsi="宋体" w:eastAsia="宋体" w:cs="宋体"/>
          <w:color w:val="auto"/>
          <w:highlight w:val="none"/>
          <w:u w:val="single"/>
        </w:rPr>
        <w:t>本招标文件第二章投标人须知11.3条款的内容，强烈建议投标人全部提供。</w:t>
      </w:r>
    </w:p>
    <w:p w14:paraId="06ED505A">
      <w:pPr>
        <w:keepNext w:val="0"/>
        <w:keepLines w:val="0"/>
        <w:pageBreakBefore w:val="0"/>
        <w:widowControl w:val="0"/>
        <w:kinsoku/>
        <w:wordWrap w:val="0"/>
        <w:overflowPunct/>
        <w:topLinePunct w:val="0"/>
        <w:bidi w:val="0"/>
        <w:spacing w:line="440" w:lineRule="exact"/>
        <w:ind w:firstLine="480" w:firstLineChars="200"/>
        <w:rPr>
          <w:rFonts w:hint="eastAsia" w:ascii="宋体" w:hAnsi="宋体" w:eastAsia="宋体" w:cs="宋体"/>
          <w:color w:val="auto"/>
          <w:sz w:val="24"/>
          <w:highlight w:val="none"/>
        </w:rPr>
      </w:pPr>
    </w:p>
    <w:p w14:paraId="1DB9D13F">
      <w:pPr>
        <w:keepNext w:val="0"/>
        <w:keepLines w:val="0"/>
        <w:pageBreakBefore w:val="0"/>
        <w:widowControl w:val="0"/>
        <w:kinsoku/>
        <w:wordWrap w:val="0"/>
        <w:overflowPunct/>
        <w:topLinePunct w:val="0"/>
        <w:bidi w:val="0"/>
        <w:spacing w:line="440" w:lineRule="exact"/>
        <w:ind w:firstLine="480" w:firstLineChars="200"/>
        <w:rPr>
          <w:rFonts w:hint="eastAsia" w:ascii="宋体" w:hAnsi="宋体" w:eastAsia="宋体" w:cs="宋体"/>
          <w:color w:val="auto"/>
          <w:sz w:val="24"/>
          <w:highlight w:val="none"/>
        </w:rPr>
      </w:pPr>
    </w:p>
    <w:p w14:paraId="4DC3FBA3">
      <w:pPr>
        <w:keepNext w:val="0"/>
        <w:keepLines w:val="0"/>
        <w:pageBreakBefore w:val="0"/>
        <w:widowControl w:val="0"/>
        <w:kinsoku/>
        <w:wordWrap w:val="0"/>
        <w:overflowPunct/>
        <w:topLinePunct w:val="0"/>
        <w:bidi w:val="0"/>
        <w:spacing w:line="440" w:lineRule="exact"/>
        <w:ind w:firstLine="480" w:firstLineChars="200"/>
        <w:rPr>
          <w:rFonts w:hint="eastAsia" w:ascii="宋体" w:hAnsi="宋体" w:eastAsia="宋体" w:cs="宋体"/>
          <w:color w:val="auto"/>
          <w:sz w:val="24"/>
          <w:highlight w:val="none"/>
        </w:rPr>
      </w:pPr>
    </w:p>
    <w:p w14:paraId="1206EE77">
      <w:pPr>
        <w:keepNext w:val="0"/>
        <w:keepLines w:val="0"/>
        <w:pageBreakBefore w:val="0"/>
        <w:widowControl w:val="0"/>
        <w:kinsoku/>
        <w:wordWrap w:val="0"/>
        <w:overflowPunct/>
        <w:topLinePunct w:val="0"/>
        <w:bidi w:val="0"/>
        <w:spacing w:line="440" w:lineRule="exact"/>
        <w:ind w:firstLine="480" w:firstLineChars="200"/>
        <w:rPr>
          <w:rFonts w:hint="eastAsia" w:ascii="宋体" w:hAnsi="宋体" w:eastAsia="宋体" w:cs="宋体"/>
          <w:color w:val="auto"/>
          <w:sz w:val="24"/>
          <w:highlight w:val="none"/>
        </w:rPr>
      </w:pPr>
    </w:p>
    <w:p w14:paraId="0AAD59E1">
      <w:pPr>
        <w:keepNext w:val="0"/>
        <w:keepLines w:val="0"/>
        <w:pageBreakBefore w:val="0"/>
        <w:widowControl w:val="0"/>
        <w:kinsoku/>
        <w:wordWrap w:val="0"/>
        <w:overflowPunct/>
        <w:topLinePunct w:val="0"/>
        <w:bidi w:val="0"/>
        <w:spacing w:line="440" w:lineRule="exact"/>
        <w:ind w:firstLine="480" w:firstLineChars="200"/>
        <w:rPr>
          <w:rFonts w:hint="eastAsia" w:ascii="宋体" w:hAnsi="宋体" w:eastAsia="宋体" w:cs="宋体"/>
          <w:color w:val="auto"/>
          <w:sz w:val="24"/>
          <w:highlight w:val="none"/>
        </w:rPr>
      </w:pPr>
    </w:p>
    <w:p w14:paraId="6DE367E1">
      <w:pPr>
        <w:keepNext w:val="0"/>
        <w:keepLines w:val="0"/>
        <w:pageBreakBefore w:val="0"/>
        <w:widowControl w:val="0"/>
        <w:kinsoku/>
        <w:wordWrap w:val="0"/>
        <w:overflowPunct/>
        <w:topLinePunct w:val="0"/>
        <w:bidi w:val="0"/>
        <w:snapToGrid w:val="0"/>
        <w:spacing w:before="50" w:after="50"/>
        <w:jc w:val="center"/>
        <w:rPr>
          <w:rFonts w:hint="eastAsia" w:ascii="宋体" w:hAnsi="宋体" w:eastAsia="宋体" w:cs="宋体"/>
          <w:b/>
          <w:bCs/>
          <w:color w:val="auto"/>
          <w:sz w:val="32"/>
          <w:szCs w:val="32"/>
          <w:highlight w:val="none"/>
        </w:rPr>
      </w:pPr>
      <w:r>
        <w:rPr>
          <w:rFonts w:hint="eastAsia" w:ascii="宋体" w:hAnsi="宋体" w:eastAsia="宋体" w:cs="宋体"/>
          <w:color w:val="auto"/>
          <w:sz w:val="24"/>
          <w:highlight w:val="none"/>
        </w:rPr>
        <w:br w:type="page"/>
      </w:r>
      <w:r>
        <w:rPr>
          <w:rFonts w:hint="eastAsia" w:ascii="宋体" w:hAnsi="宋体" w:eastAsia="宋体" w:cs="宋体"/>
          <w:color w:val="auto"/>
          <w:sz w:val="32"/>
          <w:szCs w:val="32"/>
          <w:highlight w:val="none"/>
        </w:rPr>
        <w:t>一、</w:t>
      </w:r>
      <w:r>
        <w:rPr>
          <w:rFonts w:hint="eastAsia" w:ascii="宋体" w:hAnsi="宋体" w:eastAsia="宋体" w:cs="宋体"/>
          <w:b/>
          <w:bCs/>
          <w:color w:val="auto"/>
          <w:sz w:val="32"/>
          <w:szCs w:val="32"/>
          <w:highlight w:val="none"/>
        </w:rPr>
        <w:t>资信证明文件要求</w:t>
      </w:r>
    </w:p>
    <w:p w14:paraId="7366BABA">
      <w:pPr>
        <w:keepNext w:val="0"/>
        <w:keepLines w:val="0"/>
        <w:pageBreakBefore w:val="0"/>
        <w:widowControl w:val="0"/>
        <w:kinsoku/>
        <w:wordWrap w:val="0"/>
        <w:overflowPunct/>
        <w:topLinePunct w:val="0"/>
        <w:bidi w:val="0"/>
        <w:snapToGrid w:val="0"/>
        <w:spacing w:before="50" w:after="50"/>
        <w:rPr>
          <w:rFonts w:hint="eastAsia" w:ascii="宋体" w:hAnsi="宋体" w:eastAsia="宋体" w:cs="宋体"/>
          <w:i/>
          <w:color w:val="auto"/>
          <w:szCs w:val="24"/>
          <w:highlight w:val="none"/>
          <w:u w:val="single"/>
        </w:rPr>
      </w:pPr>
    </w:p>
    <w:p w14:paraId="12BD5424">
      <w:pPr>
        <w:keepNext w:val="0"/>
        <w:keepLines w:val="0"/>
        <w:pageBreakBefore w:val="0"/>
        <w:widowControl w:val="0"/>
        <w:kinsoku/>
        <w:wordWrap w:val="0"/>
        <w:overflowPunct/>
        <w:topLinePunct w:val="0"/>
        <w:bidi w:val="0"/>
        <w:spacing w:line="520" w:lineRule="exact"/>
        <w:outlineLvl w:val="1"/>
        <w:rPr>
          <w:rFonts w:hint="eastAsia" w:ascii="宋体" w:hAnsi="宋体" w:eastAsia="宋体" w:cs="宋体"/>
          <w:color w:val="auto"/>
          <w:sz w:val="24"/>
          <w:szCs w:val="20"/>
          <w:highlight w:val="none"/>
        </w:rPr>
      </w:pPr>
      <w:bookmarkStart w:id="211" w:name="_Toc32068"/>
      <w:r>
        <w:rPr>
          <w:rFonts w:hint="eastAsia" w:ascii="宋体" w:hAnsi="宋体" w:eastAsia="宋体" w:cs="宋体"/>
          <w:b/>
          <w:bCs/>
          <w:color w:val="auto"/>
          <w:sz w:val="24"/>
          <w:highlight w:val="none"/>
        </w:rPr>
        <w:t>1、实质性资格证明文件目录</w:t>
      </w:r>
      <w:bookmarkEnd w:id="211"/>
    </w:p>
    <w:p w14:paraId="3430B6F7">
      <w:pPr>
        <w:keepNext w:val="0"/>
        <w:keepLines w:val="0"/>
        <w:pageBreakBefore w:val="0"/>
        <w:widowControl w:val="0"/>
        <w:kinsoku/>
        <w:wordWrap w:val="0"/>
        <w:overflowPunct/>
        <w:topLinePunct w:val="0"/>
        <w:bidi w:val="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文件1 </w:t>
      </w:r>
      <w:r>
        <w:rPr>
          <w:rFonts w:hint="eastAsia" w:ascii="宋体" w:hAnsi="宋体" w:eastAsia="宋体" w:cs="宋体"/>
          <w:color w:val="auto"/>
          <w:sz w:val="24"/>
          <w:highlight w:val="none"/>
        </w:rPr>
        <w:t>法人或者其他组织的营业执照等证明文件，自然人的身份证明</w:t>
      </w:r>
    </w:p>
    <w:p w14:paraId="721F82E6">
      <w:pPr>
        <w:keepNext w:val="0"/>
        <w:keepLines w:val="0"/>
        <w:pageBreakBefore w:val="0"/>
        <w:widowControl w:val="0"/>
        <w:kinsoku/>
        <w:wordWrap w:val="0"/>
        <w:overflowPunct/>
        <w:topLinePunct w:val="0"/>
        <w:bidi w:val="0"/>
        <w:spacing w:line="52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文件2 有效期内的城乡规划编制</w:t>
      </w:r>
      <w:r>
        <w:rPr>
          <w:rFonts w:hint="eastAsia" w:ascii="宋体" w:hAnsi="宋体" w:cs="宋体"/>
          <w:color w:val="auto"/>
          <w:sz w:val="24"/>
          <w:szCs w:val="24"/>
          <w:highlight w:val="none"/>
          <w:lang w:eastAsia="zh-CN"/>
        </w:rPr>
        <w:t>乙级</w:t>
      </w:r>
      <w:r>
        <w:rPr>
          <w:rFonts w:hint="eastAsia" w:ascii="宋体" w:hAnsi="宋体" w:eastAsia="宋体" w:cs="宋体"/>
          <w:color w:val="auto"/>
          <w:sz w:val="24"/>
          <w:szCs w:val="24"/>
          <w:highlight w:val="none"/>
        </w:rPr>
        <w:t>及以上资质扫描件</w:t>
      </w:r>
    </w:p>
    <w:p w14:paraId="40BB602C">
      <w:pPr>
        <w:keepNext w:val="0"/>
        <w:keepLines w:val="0"/>
        <w:pageBreakBefore w:val="0"/>
        <w:widowControl w:val="0"/>
        <w:kinsoku/>
        <w:wordWrap w:val="0"/>
        <w:overflowPunct/>
        <w:topLinePunct w:val="0"/>
        <w:bidi w:val="0"/>
        <w:spacing w:line="52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文件3上一年度</w:t>
      </w:r>
      <w:r>
        <w:rPr>
          <w:rFonts w:hint="eastAsia" w:ascii="宋体" w:hAnsi="宋体" w:eastAsia="宋体" w:cs="宋体"/>
          <w:color w:val="auto"/>
          <w:sz w:val="24"/>
          <w:highlight w:val="none"/>
        </w:rPr>
        <w:t>财务状况报表（成立不满一年不需提供）</w:t>
      </w:r>
    </w:p>
    <w:p w14:paraId="31D72A0E">
      <w:pPr>
        <w:keepNext w:val="0"/>
        <w:keepLines w:val="0"/>
        <w:pageBreakBefore w:val="0"/>
        <w:widowControl w:val="0"/>
        <w:kinsoku/>
        <w:wordWrap w:val="0"/>
        <w:overflowPunct/>
        <w:topLinePunct w:val="0"/>
        <w:bidi w:val="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文件</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highlight w:val="none"/>
        </w:rPr>
        <w:t>依法缴纳税收和社会保障资金的相关材料</w:t>
      </w:r>
    </w:p>
    <w:p w14:paraId="1B1977C0">
      <w:pPr>
        <w:keepNext w:val="0"/>
        <w:keepLines w:val="0"/>
        <w:pageBreakBefore w:val="0"/>
        <w:widowControl w:val="0"/>
        <w:kinsoku/>
        <w:wordWrap w:val="0"/>
        <w:overflowPunct/>
        <w:topLinePunct w:val="0"/>
        <w:bidi w:val="0"/>
        <w:spacing w:line="52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文件</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highlight w:val="none"/>
        </w:rPr>
        <w:t>具备履行合同所必需的设备和专业技术能力</w:t>
      </w:r>
      <w:r>
        <w:rPr>
          <w:rFonts w:hint="eastAsia" w:ascii="宋体" w:hAnsi="宋体" w:eastAsia="宋体" w:cs="宋体"/>
          <w:color w:val="auto"/>
          <w:sz w:val="24"/>
          <w:szCs w:val="24"/>
          <w:highlight w:val="none"/>
        </w:rPr>
        <w:t>证明材料</w:t>
      </w:r>
    </w:p>
    <w:p w14:paraId="52A7CD5E">
      <w:pPr>
        <w:keepNext w:val="0"/>
        <w:keepLines w:val="0"/>
        <w:pageBreakBefore w:val="0"/>
        <w:widowControl w:val="0"/>
        <w:kinsoku/>
        <w:wordWrap w:val="0"/>
        <w:overflowPunct/>
        <w:topLinePunct w:val="0"/>
        <w:bidi w:val="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文件</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highlight w:val="none"/>
        </w:rPr>
        <w:t xml:space="preserve">参加政府采购活动前 </w:t>
      </w:r>
      <w:r>
        <w:rPr>
          <w:rFonts w:hint="eastAsia" w:ascii="宋体" w:hAnsi="宋体" w:eastAsia="宋体" w:cs="宋体"/>
          <w:color w:val="auto"/>
          <w:sz w:val="24"/>
          <w:szCs w:val="24"/>
          <w:highlight w:val="none"/>
        </w:rPr>
        <w:t xml:space="preserve">3 </w:t>
      </w:r>
      <w:r>
        <w:rPr>
          <w:rFonts w:hint="eastAsia" w:ascii="宋体" w:hAnsi="宋体" w:eastAsia="宋体" w:cs="宋体"/>
          <w:color w:val="auto"/>
          <w:sz w:val="24"/>
          <w:highlight w:val="none"/>
        </w:rPr>
        <w:t>年内在经营活动中没有重大违法记录的书面声明</w:t>
      </w:r>
    </w:p>
    <w:p w14:paraId="6FEAF8A1">
      <w:pPr>
        <w:keepNext w:val="0"/>
        <w:keepLines w:val="0"/>
        <w:pageBreakBefore w:val="0"/>
        <w:widowControl w:val="0"/>
        <w:kinsoku/>
        <w:wordWrap w:val="0"/>
        <w:overflowPunct/>
        <w:topLinePunct w:val="0"/>
        <w:bidi w:val="0"/>
        <w:spacing w:line="5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文件</w:t>
      </w: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中小企业声明函</w:t>
      </w:r>
    </w:p>
    <w:p w14:paraId="066ABB7A">
      <w:pPr>
        <w:keepNext w:val="0"/>
        <w:keepLines w:val="0"/>
        <w:pageBreakBefore w:val="0"/>
        <w:widowControl w:val="0"/>
        <w:kinsoku/>
        <w:wordWrap w:val="0"/>
        <w:overflowPunct/>
        <w:topLinePunct w:val="0"/>
        <w:bidi w:val="0"/>
        <w:spacing w:line="52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文件</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highlight w:val="none"/>
        </w:rPr>
        <w:t xml:space="preserve"> 法人授权书</w:t>
      </w:r>
    </w:p>
    <w:p w14:paraId="28D6E9DD">
      <w:pPr>
        <w:keepNext w:val="0"/>
        <w:keepLines w:val="0"/>
        <w:pageBreakBefore w:val="0"/>
        <w:widowControl w:val="0"/>
        <w:kinsoku/>
        <w:wordWrap w:val="0"/>
        <w:overflowPunct/>
        <w:topLinePunct w:val="0"/>
        <w:bidi w:val="0"/>
        <w:spacing w:line="520" w:lineRule="exact"/>
        <w:jc w:val="lef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文件</w:t>
      </w:r>
      <w:r>
        <w:rPr>
          <w:rFonts w:hint="eastAsia" w:ascii="宋体" w:hAnsi="宋体" w:eastAsia="宋体" w:cs="宋体"/>
          <w:color w:val="auto"/>
          <w:szCs w:val="24"/>
          <w:highlight w:val="none"/>
          <w:lang w:val="en-US" w:eastAsia="zh-CN"/>
        </w:rPr>
        <w:t>9</w:t>
      </w:r>
      <w:r>
        <w:rPr>
          <w:rFonts w:hint="eastAsia" w:ascii="宋体" w:hAnsi="宋体" w:eastAsia="宋体" w:cs="宋体"/>
          <w:color w:val="auto"/>
          <w:szCs w:val="24"/>
          <w:highlight w:val="none"/>
        </w:rPr>
        <w:t xml:space="preserve"> </w:t>
      </w:r>
      <w:r>
        <w:rPr>
          <w:rFonts w:hint="eastAsia" w:ascii="宋体" w:hAnsi="宋体" w:eastAsia="宋体" w:cs="宋体"/>
          <w:color w:val="auto"/>
          <w:sz w:val="24"/>
          <w:highlight w:val="none"/>
        </w:rPr>
        <w:t>招标文件中规定要求提供的证明材料和投标人认为需要提供的其他材料</w:t>
      </w:r>
    </w:p>
    <w:p w14:paraId="72332CC2">
      <w:pPr>
        <w:keepNext w:val="0"/>
        <w:keepLines w:val="0"/>
        <w:pageBreakBefore w:val="0"/>
        <w:widowControl w:val="0"/>
        <w:kinsoku/>
        <w:wordWrap w:val="0"/>
        <w:overflowPunct/>
        <w:topLinePunct w:val="0"/>
        <w:bidi w:val="0"/>
        <w:spacing w:line="520" w:lineRule="exact"/>
        <w:outlineLvl w:val="1"/>
        <w:rPr>
          <w:rFonts w:hint="eastAsia" w:ascii="宋体" w:hAnsi="宋体" w:eastAsia="宋体" w:cs="宋体"/>
          <w:color w:val="auto"/>
          <w:sz w:val="24"/>
          <w:szCs w:val="20"/>
          <w:highlight w:val="none"/>
        </w:rPr>
      </w:pPr>
      <w:bookmarkStart w:id="212" w:name="_Toc17447"/>
      <w:r>
        <w:rPr>
          <w:rFonts w:hint="eastAsia" w:ascii="宋体" w:hAnsi="宋体" w:eastAsia="宋体" w:cs="宋体"/>
          <w:b/>
          <w:bCs/>
          <w:color w:val="auto"/>
          <w:sz w:val="24"/>
          <w:highlight w:val="none"/>
        </w:rPr>
        <w:t>2、非实质性资信证明文件目录</w:t>
      </w:r>
      <w:bookmarkEnd w:id="212"/>
    </w:p>
    <w:p w14:paraId="71E9F6AA">
      <w:pPr>
        <w:pStyle w:val="7"/>
        <w:keepNext w:val="0"/>
        <w:keepLines w:val="0"/>
        <w:pageBreakBefore w:val="0"/>
        <w:widowControl w:val="0"/>
        <w:kinsoku/>
        <w:wordWrap w:val="0"/>
        <w:overflowPunct/>
        <w:topLinePunct w:val="0"/>
        <w:bidi w:val="0"/>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w:t>
      </w:r>
    </w:p>
    <w:p w14:paraId="6CB26DC7">
      <w:pPr>
        <w:pStyle w:val="7"/>
        <w:keepNext w:val="0"/>
        <w:keepLines w:val="0"/>
        <w:pageBreakBefore w:val="0"/>
        <w:widowControl w:val="0"/>
        <w:kinsoku/>
        <w:wordWrap w:val="0"/>
        <w:overflowPunct/>
        <w:topLinePunct w:val="0"/>
        <w:bidi w:val="0"/>
        <w:spacing w:line="0" w:lineRule="atLeast"/>
        <w:rPr>
          <w:rFonts w:hint="eastAsia" w:ascii="宋体" w:hAnsi="宋体" w:eastAsia="宋体" w:cs="宋体"/>
          <w:color w:val="auto"/>
          <w:sz w:val="24"/>
          <w:szCs w:val="24"/>
          <w:highlight w:val="none"/>
        </w:rPr>
      </w:pPr>
    </w:p>
    <w:p w14:paraId="47AA4D58">
      <w:pPr>
        <w:pStyle w:val="7"/>
        <w:keepNext w:val="0"/>
        <w:keepLines w:val="0"/>
        <w:pageBreakBefore w:val="0"/>
        <w:widowControl w:val="0"/>
        <w:kinsoku/>
        <w:wordWrap w:val="0"/>
        <w:overflowPunct/>
        <w:topLinePunct w:val="0"/>
        <w:bidi w:val="0"/>
        <w:spacing w:line="0" w:lineRule="atLeast"/>
        <w:rPr>
          <w:rFonts w:hint="eastAsia" w:ascii="宋体" w:hAnsi="宋体" w:eastAsia="宋体" w:cs="宋体"/>
          <w:color w:val="auto"/>
          <w:sz w:val="24"/>
          <w:szCs w:val="24"/>
          <w:highlight w:val="none"/>
        </w:rPr>
      </w:pPr>
    </w:p>
    <w:p w14:paraId="22AA767F">
      <w:pPr>
        <w:pStyle w:val="7"/>
        <w:keepNext w:val="0"/>
        <w:keepLines w:val="0"/>
        <w:pageBreakBefore w:val="0"/>
        <w:widowControl w:val="0"/>
        <w:kinsoku/>
        <w:wordWrap w:val="0"/>
        <w:overflowPunct/>
        <w:topLinePunct w:val="0"/>
        <w:bidi w:val="0"/>
        <w:spacing w:line="0" w:lineRule="atLeast"/>
        <w:rPr>
          <w:rFonts w:hint="eastAsia" w:ascii="宋体" w:hAnsi="宋体" w:eastAsia="宋体" w:cs="宋体"/>
          <w:color w:val="auto"/>
          <w:sz w:val="24"/>
          <w:szCs w:val="24"/>
          <w:highlight w:val="none"/>
        </w:rPr>
      </w:pPr>
    </w:p>
    <w:p w14:paraId="4C705772">
      <w:pPr>
        <w:pStyle w:val="7"/>
        <w:keepNext w:val="0"/>
        <w:keepLines w:val="0"/>
        <w:pageBreakBefore w:val="0"/>
        <w:widowControl w:val="0"/>
        <w:kinsoku/>
        <w:wordWrap w:val="0"/>
        <w:overflowPunct/>
        <w:topLinePunct w:val="0"/>
        <w:bidi w:val="0"/>
        <w:spacing w:line="0" w:lineRule="atLeast"/>
        <w:rPr>
          <w:rFonts w:hint="eastAsia" w:ascii="宋体" w:hAnsi="宋体" w:eastAsia="宋体" w:cs="宋体"/>
          <w:color w:val="auto"/>
          <w:sz w:val="24"/>
          <w:szCs w:val="24"/>
          <w:highlight w:val="none"/>
        </w:rPr>
      </w:pPr>
    </w:p>
    <w:p w14:paraId="33C5A0A3">
      <w:pPr>
        <w:pStyle w:val="7"/>
        <w:keepNext w:val="0"/>
        <w:keepLines w:val="0"/>
        <w:pageBreakBefore w:val="0"/>
        <w:widowControl w:val="0"/>
        <w:kinsoku/>
        <w:wordWrap w:val="0"/>
        <w:overflowPunct/>
        <w:topLinePunct w:val="0"/>
        <w:bidi w:val="0"/>
        <w:spacing w:line="0" w:lineRule="atLeast"/>
        <w:rPr>
          <w:rFonts w:hint="eastAsia" w:ascii="宋体" w:hAnsi="宋体" w:eastAsia="宋体" w:cs="宋体"/>
          <w:color w:val="auto"/>
          <w:sz w:val="24"/>
          <w:szCs w:val="24"/>
          <w:highlight w:val="none"/>
        </w:rPr>
      </w:pPr>
    </w:p>
    <w:p w14:paraId="626D6B8D">
      <w:pPr>
        <w:pStyle w:val="7"/>
        <w:keepNext w:val="0"/>
        <w:keepLines w:val="0"/>
        <w:pageBreakBefore w:val="0"/>
        <w:widowControl w:val="0"/>
        <w:kinsoku/>
        <w:wordWrap w:val="0"/>
        <w:overflowPunct/>
        <w:topLinePunct w:val="0"/>
        <w:bidi w:val="0"/>
        <w:spacing w:line="0" w:lineRule="atLeast"/>
        <w:rPr>
          <w:rFonts w:hint="eastAsia" w:ascii="宋体" w:hAnsi="宋体" w:eastAsia="宋体" w:cs="宋体"/>
          <w:color w:val="auto"/>
          <w:sz w:val="24"/>
          <w:szCs w:val="24"/>
          <w:highlight w:val="none"/>
        </w:rPr>
      </w:pPr>
    </w:p>
    <w:p w14:paraId="52602C60">
      <w:pPr>
        <w:pStyle w:val="7"/>
        <w:keepNext w:val="0"/>
        <w:keepLines w:val="0"/>
        <w:pageBreakBefore w:val="0"/>
        <w:widowControl w:val="0"/>
        <w:kinsoku/>
        <w:wordWrap w:val="0"/>
        <w:overflowPunct/>
        <w:topLinePunct w:val="0"/>
        <w:bidi w:val="0"/>
        <w:spacing w:line="0" w:lineRule="atLeast"/>
        <w:rPr>
          <w:rFonts w:hint="eastAsia" w:ascii="宋体" w:hAnsi="宋体" w:eastAsia="宋体" w:cs="宋体"/>
          <w:color w:val="auto"/>
          <w:sz w:val="24"/>
          <w:szCs w:val="24"/>
          <w:highlight w:val="none"/>
        </w:rPr>
      </w:pPr>
    </w:p>
    <w:p w14:paraId="466430AD">
      <w:pPr>
        <w:pStyle w:val="7"/>
        <w:keepNext w:val="0"/>
        <w:keepLines w:val="0"/>
        <w:pageBreakBefore w:val="0"/>
        <w:widowControl w:val="0"/>
        <w:kinsoku/>
        <w:wordWrap w:val="0"/>
        <w:overflowPunct/>
        <w:topLinePunct w:val="0"/>
        <w:bidi w:val="0"/>
        <w:spacing w:line="0" w:lineRule="atLeast"/>
        <w:rPr>
          <w:rFonts w:hint="eastAsia" w:ascii="宋体" w:hAnsi="宋体" w:eastAsia="宋体" w:cs="宋体"/>
          <w:color w:val="auto"/>
          <w:sz w:val="24"/>
          <w:szCs w:val="24"/>
          <w:highlight w:val="none"/>
        </w:rPr>
      </w:pPr>
    </w:p>
    <w:p w14:paraId="52ED6374">
      <w:pPr>
        <w:pStyle w:val="7"/>
        <w:keepNext w:val="0"/>
        <w:keepLines w:val="0"/>
        <w:pageBreakBefore w:val="0"/>
        <w:widowControl w:val="0"/>
        <w:kinsoku/>
        <w:wordWrap w:val="0"/>
        <w:overflowPunct/>
        <w:topLinePunct w:val="0"/>
        <w:bidi w:val="0"/>
        <w:spacing w:line="0" w:lineRule="atLeast"/>
        <w:rPr>
          <w:rFonts w:hint="eastAsia" w:ascii="宋体" w:hAnsi="宋体" w:eastAsia="宋体" w:cs="宋体"/>
          <w:color w:val="auto"/>
          <w:sz w:val="24"/>
          <w:szCs w:val="24"/>
          <w:highlight w:val="none"/>
        </w:rPr>
      </w:pPr>
    </w:p>
    <w:p w14:paraId="1B3B476B">
      <w:pPr>
        <w:pStyle w:val="7"/>
        <w:keepNext w:val="0"/>
        <w:keepLines w:val="0"/>
        <w:pageBreakBefore w:val="0"/>
        <w:widowControl w:val="0"/>
        <w:kinsoku/>
        <w:wordWrap w:val="0"/>
        <w:overflowPunct/>
        <w:topLinePunct w:val="0"/>
        <w:bidi w:val="0"/>
        <w:spacing w:line="0" w:lineRule="atLeast"/>
        <w:rPr>
          <w:rFonts w:hint="eastAsia" w:ascii="宋体" w:hAnsi="宋体" w:eastAsia="宋体" w:cs="宋体"/>
          <w:color w:val="auto"/>
          <w:sz w:val="24"/>
          <w:szCs w:val="24"/>
          <w:highlight w:val="none"/>
        </w:rPr>
      </w:pPr>
    </w:p>
    <w:p w14:paraId="442FD47E">
      <w:pPr>
        <w:pStyle w:val="7"/>
        <w:keepNext w:val="0"/>
        <w:keepLines w:val="0"/>
        <w:pageBreakBefore w:val="0"/>
        <w:widowControl w:val="0"/>
        <w:kinsoku/>
        <w:wordWrap w:val="0"/>
        <w:overflowPunct/>
        <w:topLinePunct w:val="0"/>
        <w:bidi w:val="0"/>
        <w:spacing w:line="0" w:lineRule="atLeast"/>
        <w:rPr>
          <w:rFonts w:hint="eastAsia" w:ascii="宋体" w:hAnsi="宋体" w:eastAsia="宋体" w:cs="宋体"/>
          <w:color w:val="auto"/>
          <w:sz w:val="24"/>
          <w:szCs w:val="24"/>
          <w:highlight w:val="none"/>
        </w:rPr>
      </w:pPr>
    </w:p>
    <w:p w14:paraId="40DCBAE2">
      <w:pPr>
        <w:pStyle w:val="7"/>
        <w:keepNext w:val="0"/>
        <w:keepLines w:val="0"/>
        <w:pageBreakBefore w:val="0"/>
        <w:widowControl w:val="0"/>
        <w:kinsoku/>
        <w:wordWrap w:val="0"/>
        <w:overflowPunct/>
        <w:topLinePunct w:val="0"/>
        <w:bidi w:val="0"/>
        <w:spacing w:line="0" w:lineRule="atLeast"/>
        <w:rPr>
          <w:rFonts w:hint="eastAsia" w:ascii="宋体" w:hAnsi="宋体" w:eastAsia="宋体" w:cs="宋体"/>
          <w:color w:val="auto"/>
          <w:sz w:val="24"/>
          <w:szCs w:val="24"/>
          <w:highlight w:val="none"/>
        </w:rPr>
      </w:pPr>
    </w:p>
    <w:p w14:paraId="02453228">
      <w:pPr>
        <w:pStyle w:val="7"/>
        <w:keepNext w:val="0"/>
        <w:keepLines w:val="0"/>
        <w:pageBreakBefore w:val="0"/>
        <w:widowControl w:val="0"/>
        <w:kinsoku/>
        <w:wordWrap w:val="0"/>
        <w:overflowPunct/>
        <w:topLinePunct w:val="0"/>
        <w:bidi w:val="0"/>
        <w:spacing w:line="0" w:lineRule="atLeast"/>
        <w:rPr>
          <w:rFonts w:hint="eastAsia" w:ascii="宋体" w:hAnsi="宋体" w:eastAsia="宋体" w:cs="宋体"/>
          <w:color w:val="auto"/>
          <w:sz w:val="24"/>
          <w:szCs w:val="24"/>
          <w:highlight w:val="none"/>
        </w:rPr>
      </w:pPr>
    </w:p>
    <w:p w14:paraId="63CC42AE">
      <w:pPr>
        <w:pStyle w:val="7"/>
        <w:keepNext w:val="0"/>
        <w:keepLines w:val="0"/>
        <w:pageBreakBefore w:val="0"/>
        <w:widowControl w:val="0"/>
        <w:kinsoku/>
        <w:wordWrap w:val="0"/>
        <w:overflowPunct/>
        <w:topLinePunct w:val="0"/>
        <w:bidi w:val="0"/>
        <w:spacing w:line="0" w:lineRule="atLeast"/>
        <w:rPr>
          <w:rFonts w:hint="eastAsia" w:ascii="宋体" w:hAnsi="宋体" w:eastAsia="宋体" w:cs="宋体"/>
          <w:color w:val="auto"/>
          <w:sz w:val="24"/>
          <w:szCs w:val="24"/>
          <w:highlight w:val="none"/>
        </w:rPr>
      </w:pPr>
    </w:p>
    <w:p w14:paraId="4FFDBF1C">
      <w:pPr>
        <w:pStyle w:val="8"/>
        <w:keepNext w:val="0"/>
        <w:keepLines w:val="0"/>
        <w:pageBreakBefore w:val="0"/>
        <w:widowControl w:val="0"/>
        <w:kinsoku/>
        <w:wordWrap w:val="0"/>
        <w:overflowPunct/>
        <w:topLinePunct w:val="0"/>
        <w:bidi w:val="0"/>
        <w:jc w:val="center"/>
        <w:rPr>
          <w:rFonts w:hint="eastAsia" w:ascii="宋体" w:hAnsi="宋体" w:eastAsia="宋体" w:cs="宋体"/>
          <w:color w:val="auto"/>
          <w:sz w:val="24"/>
          <w:szCs w:val="24"/>
          <w:highlight w:val="none"/>
        </w:rPr>
        <w:sectPr>
          <w:pgSz w:w="11906" w:h="16838"/>
          <w:pgMar w:top="1440" w:right="1800" w:bottom="1440" w:left="1800" w:header="851" w:footer="992" w:gutter="0"/>
          <w:cols w:space="720" w:num="1"/>
          <w:docGrid w:type="lines" w:linePitch="312" w:charSpace="0"/>
        </w:sectPr>
      </w:pPr>
    </w:p>
    <w:p w14:paraId="4E641765">
      <w:pPr>
        <w:pStyle w:val="8"/>
        <w:keepNext w:val="0"/>
        <w:keepLines w:val="0"/>
        <w:pageBreakBefore w:val="0"/>
        <w:widowControl w:val="0"/>
        <w:kinsoku/>
        <w:wordWrap w:val="0"/>
        <w:overflowPunct/>
        <w:topLinePunct w:val="0"/>
        <w:bidi w:val="0"/>
        <w:spacing w:before="290" w:beforeLines="100" w:after="290" w:afterLines="100" w:line="240" w:lineRule="auto"/>
        <w:jc w:val="center"/>
        <w:rPr>
          <w:rFonts w:hint="eastAsia" w:ascii="宋体" w:hAnsi="宋体" w:eastAsia="宋体" w:cs="宋体"/>
          <w:b/>
          <w:bCs/>
          <w:color w:val="auto"/>
          <w:sz w:val="32"/>
          <w:szCs w:val="40"/>
          <w:highlight w:val="none"/>
          <w:lang w:val="en-US" w:eastAsia="zh-CN" w:bidi="ar-SA"/>
        </w:rPr>
      </w:pPr>
      <w:r>
        <w:rPr>
          <w:rFonts w:hint="eastAsia" w:ascii="宋体" w:hAnsi="宋体" w:eastAsia="宋体" w:cs="宋体"/>
          <w:b/>
          <w:bCs/>
          <w:color w:val="auto"/>
          <w:sz w:val="32"/>
          <w:szCs w:val="40"/>
          <w:highlight w:val="none"/>
          <w:lang w:val="en-US" w:eastAsia="zh-CN" w:bidi="ar-SA"/>
        </w:rPr>
        <w:t>法人授权书</w:t>
      </w:r>
    </w:p>
    <w:p w14:paraId="1C8A1EBB">
      <w:pPr>
        <w:pStyle w:val="281"/>
        <w:keepNext w:val="0"/>
        <w:keepLines w:val="0"/>
        <w:pageBreakBefore w:val="0"/>
        <w:widowControl w:val="0"/>
        <w:kinsoku/>
        <w:wordWrap w:val="0"/>
        <w:overflowPunct/>
        <w:topLinePunct w:val="0"/>
        <w:bidi w:val="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本授权书声明：____________（供应商名称）授权________________（被授权人的姓名）为我方就</w:t>
      </w:r>
      <w:r>
        <w:rPr>
          <w:rFonts w:hint="eastAsia" w:ascii="宋体" w:hAnsi="宋体" w:eastAsia="宋体" w:cs="宋体"/>
          <w:color w:val="auto"/>
          <w:szCs w:val="28"/>
          <w:highlight w:val="none"/>
          <w:u w:val="single"/>
          <w:lang w:val="en-US" w:eastAsia="zh-CN"/>
        </w:rPr>
        <w:t xml:space="preserve">               </w:t>
      </w:r>
      <w:r>
        <w:rPr>
          <w:rFonts w:hint="eastAsia" w:ascii="宋体" w:hAnsi="宋体" w:eastAsia="宋体" w:cs="宋体"/>
          <w:color w:val="auto"/>
          <w:sz w:val="24"/>
          <w:szCs w:val="24"/>
          <w:highlight w:val="none"/>
        </w:rPr>
        <w:t>号项目采购活动的合法代理人，以本公司名义全权处理一切与该项目采购有关的事务。</w:t>
      </w:r>
    </w:p>
    <w:p w14:paraId="030C52DE">
      <w:pPr>
        <w:pStyle w:val="281"/>
        <w:keepNext w:val="0"/>
        <w:keepLines w:val="0"/>
        <w:pageBreakBefore w:val="0"/>
        <w:widowControl w:val="0"/>
        <w:kinsoku/>
        <w:wordWrap w:val="0"/>
        <w:overflowPunct/>
        <w:topLinePunct w:val="0"/>
        <w:bidi w:val="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本授权书于______年____月____日起生效，特此声明。</w:t>
      </w:r>
    </w:p>
    <w:p w14:paraId="014EB753">
      <w:pPr>
        <w:pStyle w:val="281"/>
        <w:keepNext w:val="0"/>
        <w:keepLines w:val="0"/>
        <w:pageBreakBefore w:val="0"/>
        <w:widowControl w:val="0"/>
        <w:kinsoku/>
        <w:wordWrap w:val="0"/>
        <w:overflowPunct/>
        <w:topLinePunct w:val="0"/>
        <w:bidi w:val="0"/>
        <w:ind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代理人（被授权人）：_______________________</w:t>
      </w:r>
    </w:p>
    <w:p w14:paraId="01C5CA70">
      <w:pPr>
        <w:pStyle w:val="281"/>
        <w:keepNext w:val="0"/>
        <w:keepLines w:val="0"/>
        <w:pageBreakBefore w:val="0"/>
        <w:widowControl w:val="0"/>
        <w:kinsoku/>
        <w:wordWrap w:val="0"/>
        <w:overflowPunct/>
        <w:topLinePunct w:val="0"/>
        <w:bidi w:val="0"/>
        <w:ind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单位名称（加盖CA电子公章）：________________________</w:t>
      </w:r>
    </w:p>
    <w:p w14:paraId="225A4B16">
      <w:pPr>
        <w:pStyle w:val="281"/>
        <w:keepNext w:val="0"/>
        <w:keepLines w:val="0"/>
        <w:pageBreakBefore w:val="0"/>
        <w:widowControl w:val="0"/>
        <w:kinsoku/>
        <w:wordWrap w:val="0"/>
        <w:overflowPunct/>
        <w:topLinePunct w:val="0"/>
        <w:bidi w:val="0"/>
        <w:ind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授权单位盖章：</w:t>
      </w:r>
      <w:r>
        <w:rPr>
          <w:rFonts w:hint="eastAsia" w:ascii="宋体" w:hAnsi="宋体" w:eastAsia="宋体" w:cs="宋体"/>
          <w:color w:val="auto"/>
          <w:sz w:val="24"/>
          <w:szCs w:val="24"/>
          <w:highlight w:val="none"/>
          <w:u w:val="single"/>
        </w:rPr>
        <w:t>（加盖CA电子公章）</w:t>
      </w:r>
    </w:p>
    <w:p w14:paraId="31C68345">
      <w:pPr>
        <w:pStyle w:val="281"/>
        <w:keepNext w:val="0"/>
        <w:keepLines w:val="0"/>
        <w:pageBreakBefore w:val="0"/>
        <w:widowControl w:val="0"/>
        <w:kinsoku/>
        <w:wordWrap w:val="0"/>
        <w:overflowPunct/>
        <w:topLinePunct w:val="0"/>
        <w:bidi w:val="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单位名称：_____________________________________</w:t>
      </w:r>
    </w:p>
    <w:p w14:paraId="4AD8F37E">
      <w:pPr>
        <w:pStyle w:val="281"/>
        <w:keepNext w:val="0"/>
        <w:keepLines w:val="0"/>
        <w:pageBreakBefore w:val="0"/>
        <w:widowControl w:val="0"/>
        <w:kinsoku/>
        <w:wordWrap w:val="0"/>
        <w:overflowPunct/>
        <w:topLinePunct w:val="0"/>
        <w:bidi w:val="0"/>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地址：</w:t>
      </w:r>
      <w:r>
        <w:rPr>
          <w:rFonts w:hint="eastAsia" w:ascii="宋体" w:hAnsi="宋体" w:eastAsia="宋体" w:cs="宋体"/>
          <w:color w:val="auto"/>
          <w:sz w:val="24"/>
          <w:szCs w:val="24"/>
          <w:highlight w:val="none"/>
          <w:u w:val="single"/>
        </w:rPr>
        <w:t xml:space="preserve">                                         </w:t>
      </w:r>
    </w:p>
    <w:p w14:paraId="2450A6EC">
      <w:pPr>
        <w:pStyle w:val="281"/>
        <w:keepNext w:val="0"/>
        <w:keepLines w:val="0"/>
        <w:pageBreakBefore w:val="0"/>
        <w:widowControl w:val="0"/>
        <w:kinsoku/>
        <w:wordWrap w:val="0"/>
        <w:overflowPunct/>
        <w:topLinePunct w:val="0"/>
        <w:bidi w:val="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w:t>
      </w:r>
    </w:p>
    <w:p w14:paraId="5EEE77F6">
      <w:pPr>
        <w:pStyle w:val="8"/>
        <w:keepNext w:val="0"/>
        <w:keepLines w:val="0"/>
        <w:pageBreakBefore w:val="0"/>
        <w:widowControl w:val="0"/>
        <w:kinsoku/>
        <w:wordWrap w:val="0"/>
        <w:overflowPunct/>
        <w:topLinePunct w:val="0"/>
        <w:bidi w:val="0"/>
        <w:rPr>
          <w:rFonts w:hint="eastAsia" w:ascii="宋体" w:hAnsi="宋体" w:eastAsia="宋体" w:cs="宋体"/>
          <w:color w:val="auto"/>
          <w:highlight w:val="none"/>
        </w:rPr>
      </w:pPr>
      <w:bookmarkStart w:id="213" w:name="_格式3__银行出具的资信证明"/>
      <w:bookmarkEnd w:id="213"/>
      <w:bookmarkStart w:id="214" w:name="_Hlt26671380"/>
      <w:bookmarkEnd w:id="214"/>
      <w:bookmarkStart w:id="215" w:name="_Hlt26955070"/>
      <w:bookmarkEnd w:id="215"/>
    </w:p>
    <w:p w14:paraId="165C0853">
      <w:pPr>
        <w:pStyle w:val="7"/>
        <w:keepNext w:val="0"/>
        <w:keepLines w:val="0"/>
        <w:pageBreakBefore w:val="0"/>
        <w:widowControl w:val="0"/>
        <w:kinsoku/>
        <w:wordWrap w:val="0"/>
        <w:overflowPunct/>
        <w:topLinePunct w:val="0"/>
        <w:bidi w:val="0"/>
        <w:rPr>
          <w:rFonts w:hint="eastAsia" w:ascii="宋体" w:hAnsi="宋体" w:eastAsia="宋体" w:cs="宋体"/>
          <w:color w:val="auto"/>
          <w:highlight w:val="none"/>
        </w:rPr>
      </w:pPr>
    </w:p>
    <w:p w14:paraId="2BC19EB2">
      <w:pPr>
        <w:pStyle w:val="7"/>
        <w:keepNext w:val="0"/>
        <w:keepLines w:val="0"/>
        <w:pageBreakBefore w:val="0"/>
        <w:widowControl w:val="0"/>
        <w:kinsoku/>
        <w:wordWrap w:val="0"/>
        <w:overflowPunct/>
        <w:topLinePunct w:val="0"/>
        <w:bidi w:val="0"/>
        <w:rPr>
          <w:rFonts w:hint="eastAsia" w:ascii="宋体" w:hAnsi="宋体" w:eastAsia="宋体" w:cs="宋体"/>
          <w:color w:val="auto"/>
          <w:highlight w:val="none"/>
        </w:rPr>
      </w:pPr>
    </w:p>
    <w:p w14:paraId="4F934268">
      <w:pPr>
        <w:pStyle w:val="7"/>
        <w:keepNext w:val="0"/>
        <w:keepLines w:val="0"/>
        <w:pageBreakBefore w:val="0"/>
        <w:widowControl w:val="0"/>
        <w:kinsoku/>
        <w:wordWrap w:val="0"/>
        <w:overflowPunct/>
        <w:topLinePunct w:val="0"/>
        <w:bidi w:val="0"/>
        <w:rPr>
          <w:rFonts w:hint="eastAsia" w:ascii="宋体" w:hAnsi="宋体" w:eastAsia="宋体" w:cs="宋体"/>
          <w:color w:val="auto"/>
          <w:highlight w:val="none"/>
        </w:rPr>
      </w:pPr>
    </w:p>
    <w:p w14:paraId="3FDC550E">
      <w:pPr>
        <w:pStyle w:val="7"/>
        <w:keepNext w:val="0"/>
        <w:keepLines w:val="0"/>
        <w:pageBreakBefore w:val="0"/>
        <w:widowControl w:val="0"/>
        <w:kinsoku/>
        <w:wordWrap w:val="0"/>
        <w:overflowPunct/>
        <w:topLinePunct w:val="0"/>
        <w:bidi w:val="0"/>
        <w:rPr>
          <w:rFonts w:hint="eastAsia" w:ascii="宋体" w:hAnsi="宋体" w:eastAsia="宋体" w:cs="宋体"/>
          <w:color w:val="auto"/>
          <w:highlight w:val="none"/>
        </w:rPr>
      </w:pPr>
    </w:p>
    <w:p w14:paraId="2AEF77DA">
      <w:pPr>
        <w:pStyle w:val="7"/>
        <w:keepNext w:val="0"/>
        <w:keepLines w:val="0"/>
        <w:pageBreakBefore w:val="0"/>
        <w:widowControl w:val="0"/>
        <w:kinsoku/>
        <w:wordWrap w:val="0"/>
        <w:overflowPunct/>
        <w:topLinePunct w:val="0"/>
        <w:bidi w:val="0"/>
        <w:rPr>
          <w:rFonts w:hint="eastAsia" w:ascii="宋体" w:hAnsi="宋体" w:eastAsia="宋体" w:cs="宋体"/>
          <w:color w:val="auto"/>
          <w:highlight w:val="none"/>
        </w:rPr>
      </w:pPr>
    </w:p>
    <w:p w14:paraId="33FBCCC0">
      <w:pPr>
        <w:pStyle w:val="7"/>
        <w:keepNext w:val="0"/>
        <w:keepLines w:val="0"/>
        <w:pageBreakBefore w:val="0"/>
        <w:widowControl w:val="0"/>
        <w:kinsoku/>
        <w:wordWrap w:val="0"/>
        <w:overflowPunct/>
        <w:topLinePunct w:val="0"/>
        <w:bidi w:val="0"/>
        <w:rPr>
          <w:rFonts w:hint="eastAsia" w:ascii="宋体" w:hAnsi="宋体" w:eastAsia="宋体" w:cs="宋体"/>
          <w:color w:val="auto"/>
          <w:highlight w:val="none"/>
        </w:rPr>
      </w:pPr>
    </w:p>
    <w:p w14:paraId="30F62AEA">
      <w:pPr>
        <w:pStyle w:val="7"/>
        <w:keepNext w:val="0"/>
        <w:keepLines w:val="0"/>
        <w:pageBreakBefore w:val="0"/>
        <w:widowControl w:val="0"/>
        <w:kinsoku/>
        <w:wordWrap w:val="0"/>
        <w:overflowPunct/>
        <w:topLinePunct w:val="0"/>
        <w:bidi w:val="0"/>
        <w:rPr>
          <w:rFonts w:hint="eastAsia" w:ascii="宋体" w:hAnsi="宋体" w:eastAsia="宋体" w:cs="宋体"/>
          <w:color w:val="auto"/>
          <w:highlight w:val="none"/>
        </w:rPr>
      </w:pPr>
    </w:p>
    <w:p w14:paraId="1621A238">
      <w:pPr>
        <w:pStyle w:val="7"/>
        <w:keepNext w:val="0"/>
        <w:keepLines w:val="0"/>
        <w:pageBreakBefore w:val="0"/>
        <w:widowControl w:val="0"/>
        <w:kinsoku/>
        <w:wordWrap w:val="0"/>
        <w:overflowPunct/>
        <w:topLinePunct w:val="0"/>
        <w:bidi w:val="0"/>
        <w:rPr>
          <w:rFonts w:hint="eastAsia" w:ascii="宋体" w:hAnsi="宋体" w:eastAsia="宋体" w:cs="宋体"/>
          <w:color w:val="auto"/>
          <w:highlight w:val="none"/>
        </w:rPr>
      </w:pPr>
    </w:p>
    <w:p w14:paraId="29E4B103">
      <w:pPr>
        <w:keepNext w:val="0"/>
        <w:keepLines w:val="0"/>
        <w:pageBreakBefore w:val="0"/>
        <w:widowControl w:val="0"/>
        <w:kinsoku/>
        <w:wordWrap w:val="0"/>
        <w:overflowPunct/>
        <w:topLinePunct w:val="0"/>
        <w:bidi w:val="0"/>
        <w:snapToGrid w:val="0"/>
        <w:spacing w:before="50" w:after="50"/>
        <w:jc w:val="center"/>
        <w:rPr>
          <w:rFonts w:hint="eastAsia" w:ascii="宋体" w:hAnsi="宋体" w:eastAsia="宋体" w:cs="宋体"/>
          <w:color w:val="auto"/>
          <w:sz w:val="32"/>
          <w:szCs w:val="32"/>
          <w:highlight w:val="none"/>
        </w:rPr>
        <w:sectPr>
          <w:pgSz w:w="11906" w:h="16838"/>
          <w:pgMar w:top="1418" w:right="1588" w:bottom="1418" w:left="1365" w:header="851" w:footer="907" w:gutter="0"/>
          <w:pgBorders>
            <w:top w:val="none" w:sz="0" w:space="0"/>
            <w:left w:val="none" w:sz="0" w:space="0"/>
            <w:bottom w:val="none" w:sz="0" w:space="0"/>
            <w:right w:val="none" w:sz="0" w:space="0"/>
          </w:pgBorders>
          <w:pgNumType w:fmt="numberInDash"/>
          <w:cols w:space="720" w:num="1"/>
          <w:titlePg/>
          <w:docGrid w:type="lines" w:linePitch="290" w:charSpace="0"/>
        </w:sectPr>
      </w:pPr>
    </w:p>
    <w:p w14:paraId="47B759A5">
      <w:pPr>
        <w:keepNext w:val="0"/>
        <w:keepLines w:val="0"/>
        <w:pageBreakBefore w:val="0"/>
        <w:widowControl w:val="0"/>
        <w:kinsoku/>
        <w:wordWrap w:val="0"/>
        <w:overflowPunct/>
        <w:topLinePunct w:val="0"/>
        <w:bidi w:val="0"/>
        <w:spacing w:before="290" w:beforeLines="100" w:after="290" w:afterLines="100"/>
        <w:jc w:val="center"/>
        <w:rPr>
          <w:rFonts w:hint="eastAsia" w:ascii="宋体" w:hAnsi="宋体" w:eastAsia="宋体" w:cs="宋体"/>
          <w:b/>
          <w:bCs/>
          <w:color w:val="auto"/>
          <w:sz w:val="32"/>
          <w:szCs w:val="40"/>
          <w:highlight w:val="none"/>
        </w:rPr>
      </w:pPr>
      <w:r>
        <w:rPr>
          <w:rFonts w:hint="eastAsia" w:ascii="宋体" w:hAnsi="宋体" w:eastAsia="宋体" w:cs="宋体"/>
          <w:b/>
          <w:bCs/>
          <w:color w:val="auto"/>
          <w:sz w:val="32"/>
          <w:szCs w:val="40"/>
          <w:highlight w:val="none"/>
        </w:rPr>
        <w:t>投标供应商依法缴纳税收和社会保障资金承诺函</w:t>
      </w:r>
    </w:p>
    <w:p w14:paraId="46989993">
      <w:pPr>
        <w:keepNext w:val="0"/>
        <w:keepLines w:val="0"/>
        <w:pageBreakBefore w:val="0"/>
        <w:widowControl w:val="0"/>
        <w:kinsoku/>
        <w:wordWrap w:val="0"/>
        <w:overflowPunct/>
        <w:topLinePunct w:val="0"/>
        <w:bidi w:val="0"/>
        <w:rPr>
          <w:rFonts w:hint="eastAsia" w:ascii="宋体" w:hAnsi="宋体" w:eastAsia="宋体" w:cs="宋体"/>
          <w:color w:val="auto"/>
          <w:highlight w:val="none"/>
        </w:rPr>
      </w:pPr>
    </w:p>
    <w:p w14:paraId="2CA0FC12">
      <w:pPr>
        <w:keepNext w:val="0"/>
        <w:keepLines w:val="0"/>
        <w:pageBreakBefore w:val="0"/>
        <w:widowControl w:val="0"/>
        <w:kinsoku/>
        <w:wordWrap w:val="0"/>
        <w:overflowPunct/>
        <w:topLinePunct w:val="0"/>
        <w:bidi w:val="0"/>
        <w:spacing w:line="56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滨海县界牌镇人民政府</w:t>
      </w:r>
      <w:r>
        <w:rPr>
          <w:rFonts w:hint="eastAsia" w:ascii="宋体" w:hAnsi="宋体" w:eastAsia="宋体" w:cs="宋体"/>
          <w:color w:val="auto"/>
          <w:sz w:val="24"/>
          <w:szCs w:val="24"/>
          <w:highlight w:val="none"/>
        </w:rPr>
        <w:t>：</w:t>
      </w:r>
    </w:p>
    <w:p w14:paraId="747804A1">
      <w:pPr>
        <w:keepNext w:val="0"/>
        <w:keepLines w:val="0"/>
        <w:pageBreakBefore w:val="0"/>
        <w:widowControl w:val="0"/>
        <w:kinsoku/>
        <w:wordWrap w:val="0"/>
        <w:overflowPunct/>
        <w:topLinePunct w:val="0"/>
        <w:bidi w:val="0"/>
        <w:spacing w:line="560" w:lineRule="exact"/>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我单位承诺我单位已依法缴纳税收和社会保障资金，如查实我单位未缴纳税收和社会保障资金，我单位愿因虚假响应接受一切相关处罚。</w:t>
      </w:r>
    </w:p>
    <w:p w14:paraId="04859B14">
      <w:pPr>
        <w:keepNext w:val="0"/>
        <w:keepLines w:val="0"/>
        <w:pageBreakBefore w:val="0"/>
        <w:widowControl w:val="0"/>
        <w:kinsoku/>
        <w:wordWrap w:val="0"/>
        <w:overflowPunct/>
        <w:topLinePunct w:val="0"/>
        <w:bidi w:val="0"/>
        <w:spacing w:line="560" w:lineRule="exact"/>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特此承诺。</w:t>
      </w:r>
    </w:p>
    <w:p w14:paraId="634E1C9B">
      <w:pPr>
        <w:keepNext w:val="0"/>
        <w:keepLines w:val="0"/>
        <w:pageBreakBefore w:val="0"/>
        <w:widowControl w:val="0"/>
        <w:kinsoku/>
        <w:wordWrap w:val="0"/>
        <w:overflowPunct/>
        <w:topLinePunct w:val="0"/>
        <w:bidi w:val="0"/>
        <w:spacing w:line="560" w:lineRule="exact"/>
        <w:rPr>
          <w:rFonts w:hint="eastAsia" w:ascii="宋体" w:hAnsi="宋体" w:eastAsia="宋体" w:cs="宋体"/>
          <w:color w:val="auto"/>
          <w:highlight w:val="none"/>
        </w:rPr>
      </w:pPr>
    </w:p>
    <w:p w14:paraId="6D0B7E2A">
      <w:pPr>
        <w:keepNext w:val="0"/>
        <w:keepLines w:val="0"/>
        <w:pageBreakBefore w:val="0"/>
        <w:widowControl w:val="0"/>
        <w:kinsoku/>
        <w:wordWrap w:val="0"/>
        <w:overflowPunct/>
        <w:topLinePunct w:val="0"/>
        <w:bidi w:val="0"/>
        <w:spacing w:line="560" w:lineRule="exact"/>
        <w:rPr>
          <w:rFonts w:hint="eastAsia" w:ascii="宋体" w:hAnsi="宋体" w:eastAsia="宋体" w:cs="宋体"/>
          <w:color w:val="auto"/>
          <w:highlight w:val="none"/>
        </w:rPr>
      </w:pPr>
    </w:p>
    <w:p w14:paraId="2DE3DFEF">
      <w:pPr>
        <w:keepNext w:val="0"/>
        <w:keepLines w:val="0"/>
        <w:pageBreakBefore w:val="0"/>
        <w:widowControl w:val="0"/>
        <w:kinsoku/>
        <w:wordWrap w:val="0"/>
        <w:overflowPunct/>
        <w:topLinePunct w:val="0"/>
        <w:bidi w:val="0"/>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highlight w:val="none"/>
        </w:rPr>
        <w:t xml:space="preserve">                                </w:t>
      </w:r>
      <w:r>
        <w:rPr>
          <w:rFonts w:hint="eastAsia" w:ascii="宋体" w:hAnsi="宋体" w:eastAsia="宋体" w:cs="宋体"/>
          <w:color w:val="auto"/>
          <w:sz w:val="24"/>
          <w:szCs w:val="24"/>
          <w:highlight w:val="none"/>
        </w:rPr>
        <w:t xml:space="preserve">   投标供应商（加盖CA电子公章）：</w:t>
      </w:r>
    </w:p>
    <w:p w14:paraId="4CE55FB8">
      <w:pPr>
        <w:keepNext w:val="0"/>
        <w:keepLines w:val="0"/>
        <w:pageBreakBefore w:val="0"/>
        <w:widowControl w:val="0"/>
        <w:kinsoku/>
        <w:wordWrap w:val="0"/>
        <w:overflowPunct/>
        <w:topLinePunct w:val="0"/>
        <w:bidi w:val="0"/>
        <w:spacing w:line="560" w:lineRule="exact"/>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   月   日</w:t>
      </w:r>
    </w:p>
    <w:p w14:paraId="16A0BBC3">
      <w:pPr>
        <w:keepNext w:val="0"/>
        <w:keepLines w:val="0"/>
        <w:pageBreakBefore w:val="0"/>
        <w:widowControl w:val="0"/>
        <w:kinsoku/>
        <w:wordWrap w:val="0"/>
        <w:overflowPunct/>
        <w:topLinePunct w:val="0"/>
        <w:bidi w:val="0"/>
        <w:snapToGrid w:val="0"/>
        <w:spacing w:before="50" w:after="50"/>
        <w:jc w:val="center"/>
        <w:rPr>
          <w:rFonts w:hint="eastAsia" w:ascii="宋体" w:hAnsi="宋体" w:eastAsia="宋体" w:cs="宋体"/>
          <w:color w:val="auto"/>
          <w:sz w:val="32"/>
          <w:szCs w:val="32"/>
          <w:highlight w:val="none"/>
        </w:rPr>
        <w:sectPr>
          <w:pgSz w:w="11906" w:h="16838"/>
          <w:pgMar w:top="1418" w:right="1588" w:bottom="1418" w:left="1365" w:header="851" w:footer="907" w:gutter="0"/>
          <w:pgBorders>
            <w:top w:val="none" w:sz="0" w:space="0"/>
            <w:left w:val="none" w:sz="0" w:space="0"/>
            <w:bottom w:val="none" w:sz="0" w:space="0"/>
            <w:right w:val="none" w:sz="0" w:space="0"/>
          </w:pgBorders>
          <w:pgNumType w:fmt="numberInDash"/>
          <w:cols w:space="720" w:num="1"/>
          <w:titlePg/>
          <w:docGrid w:type="lines" w:linePitch="290" w:charSpace="0"/>
        </w:sectPr>
      </w:pPr>
    </w:p>
    <w:p w14:paraId="7E2EE75A">
      <w:pPr>
        <w:pStyle w:val="8"/>
        <w:keepNext w:val="0"/>
        <w:keepLines w:val="0"/>
        <w:pageBreakBefore w:val="0"/>
        <w:widowControl w:val="0"/>
        <w:kinsoku/>
        <w:wordWrap w:val="0"/>
        <w:overflowPunct/>
        <w:topLinePunct w:val="0"/>
        <w:bidi w:val="0"/>
        <w:spacing w:before="290" w:beforeLines="100" w:after="290" w:afterLines="100" w:line="240" w:lineRule="auto"/>
        <w:jc w:val="center"/>
        <w:rPr>
          <w:rFonts w:hint="eastAsia" w:ascii="宋体" w:hAnsi="宋体" w:eastAsia="宋体" w:cs="宋体"/>
          <w:b/>
          <w:bCs/>
          <w:color w:val="auto"/>
          <w:sz w:val="32"/>
          <w:szCs w:val="40"/>
          <w:highlight w:val="none"/>
          <w:lang w:val="en-US" w:eastAsia="zh-CN" w:bidi="ar-SA"/>
        </w:rPr>
      </w:pPr>
      <w:r>
        <w:rPr>
          <w:rFonts w:hint="eastAsia" w:ascii="宋体" w:hAnsi="宋体" w:eastAsia="宋体" w:cs="宋体"/>
          <w:b/>
          <w:bCs/>
          <w:color w:val="auto"/>
          <w:sz w:val="32"/>
          <w:szCs w:val="40"/>
          <w:highlight w:val="none"/>
          <w:lang w:val="en-US" w:eastAsia="zh-CN" w:bidi="ar-SA"/>
        </w:rPr>
        <w:t>具备履行合同所必需的设备和专业技术能力的书面声明</w:t>
      </w:r>
    </w:p>
    <w:p w14:paraId="02962287">
      <w:pPr>
        <w:keepNext w:val="0"/>
        <w:keepLines w:val="0"/>
        <w:pageBreakBefore w:val="0"/>
        <w:widowControl w:val="0"/>
        <w:kinsoku/>
        <w:wordWrap w:val="0"/>
        <w:overflowPunct/>
        <w:topLinePunct w:val="0"/>
        <w:bidi w:val="0"/>
        <w:spacing w:line="460" w:lineRule="exact"/>
        <w:ind w:firstLine="492"/>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我公司郑重声明：我公司具备履行本项采购合同所必需的设备和专业技术能力，为履行本项采购合同我公司具备如下主要设备和主要专业技术能力：</w:t>
      </w:r>
    </w:p>
    <w:p w14:paraId="3569F0DA">
      <w:pPr>
        <w:keepNext w:val="0"/>
        <w:keepLines w:val="0"/>
        <w:pageBreakBefore w:val="0"/>
        <w:widowControl w:val="0"/>
        <w:kinsoku/>
        <w:wordWrap w:val="0"/>
        <w:overflowPunct/>
        <w:topLinePunct w:val="0"/>
        <w:bidi w:val="0"/>
        <w:spacing w:line="460" w:lineRule="exact"/>
        <w:ind w:firstLine="492"/>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主要设备有：</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w:t>
      </w:r>
    </w:p>
    <w:p w14:paraId="7A5E9E64">
      <w:pPr>
        <w:keepNext w:val="0"/>
        <w:keepLines w:val="0"/>
        <w:pageBreakBefore w:val="0"/>
        <w:widowControl w:val="0"/>
        <w:kinsoku/>
        <w:wordWrap w:val="0"/>
        <w:overflowPunct/>
        <w:topLinePunct w:val="0"/>
        <w:bidi w:val="0"/>
        <w:spacing w:line="460" w:lineRule="exact"/>
        <w:ind w:firstLine="492"/>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主要专业技术能力有：</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w:t>
      </w:r>
    </w:p>
    <w:p w14:paraId="5491CE34">
      <w:pPr>
        <w:keepNext w:val="0"/>
        <w:keepLines w:val="0"/>
        <w:pageBreakBefore w:val="0"/>
        <w:widowControl w:val="0"/>
        <w:kinsoku/>
        <w:wordWrap w:val="0"/>
        <w:overflowPunct/>
        <w:topLinePunct w:val="0"/>
        <w:bidi w:val="0"/>
        <w:spacing w:line="460" w:lineRule="exact"/>
        <w:ind w:firstLine="492"/>
        <w:rPr>
          <w:rFonts w:hint="eastAsia" w:ascii="宋体" w:hAnsi="宋体" w:eastAsia="宋体" w:cs="宋体"/>
          <w:bCs/>
          <w:color w:val="auto"/>
          <w:sz w:val="24"/>
          <w:highlight w:val="none"/>
        </w:rPr>
      </w:pPr>
    </w:p>
    <w:p w14:paraId="7C26DF18">
      <w:pPr>
        <w:keepNext w:val="0"/>
        <w:keepLines w:val="0"/>
        <w:pageBreakBefore w:val="0"/>
        <w:widowControl w:val="0"/>
        <w:kinsoku/>
        <w:wordWrap w:val="0"/>
        <w:overflowPunct/>
        <w:topLinePunct w:val="0"/>
        <w:bidi w:val="0"/>
        <w:spacing w:line="460" w:lineRule="exact"/>
        <w:ind w:firstLine="492"/>
        <w:rPr>
          <w:rFonts w:hint="eastAsia" w:ascii="宋体" w:hAnsi="宋体" w:eastAsia="宋体" w:cs="宋体"/>
          <w:bCs/>
          <w:color w:val="auto"/>
          <w:sz w:val="24"/>
          <w:highlight w:val="none"/>
        </w:rPr>
      </w:pPr>
    </w:p>
    <w:p w14:paraId="32929A6F">
      <w:pPr>
        <w:keepNext w:val="0"/>
        <w:keepLines w:val="0"/>
        <w:pageBreakBefore w:val="0"/>
        <w:widowControl w:val="0"/>
        <w:kinsoku/>
        <w:wordWrap w:val="0"/>
        <w:overflowPunct/>
        <w:topLinePunct w:val="0"/>
        <w:bidi w:val="0"/>
        <w:spacing w:line="460" w:lineRule="exact"/>
        <w:ind w:firstLine="492"/>
        <w:rPr>
          <w:rFonts w:hint="eastAsia" w:ascii="宋体" w:hAnsi="宋体" w:eastAsia="宋体" w:cs="宋体"/>
          <w:bCs/>
          <w:color w:val="auto"/>
          <w:sz w:val="24"/>
          <w:highlight w:val="none"/>
        </w:rPr>
      </w:pPr>
    </w:p>
    <w:p w14:paraId="11EB8904">
      <w:pPr>
        <w:keepNext w:val="0"/>
        <w:keepLines w:val="0"/>
        <w:pageBreakBefore w:val="0"/>
        <w:widowControl w:val="0"/>
        <w:kinsoku/>
        <w:wordWrap w:val="0"/>
        <w:overflowPunct/>
        <w:topLinePunct w:val="0"/>
        <w:bidi w:val="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供应商名称（加盖CA电子公章）：</w:t>
      </w:r>
    </w:p>
    <w:p w14:paraId="58681A36">
      <w:pPr>
        <w:keepNext w:val="0"/>
        <w:keepLines w:val="0"/>
        <w:pageBreakBefore w:val="0"/>
        <w:widowControl w:val="0"/>
        <w:kinsoku/>
        <w:wordWrap w:val="0"/>
        <w:overflowPunct/>
        <w:topLinePunct w:val="0"/>
        <w:bidi w:val="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p>
    <w:p w14:paraId="53E9263C">
      <w:pPr>
        <w:keepNext w:val="0"/>
        <w:keepLines w:val="0"/>
        <w:pageBreakBefore w:val="0"/>
        <w:widowControl w:val="0"/>
        <w:kinsoku/>
        <w:wordWrap w:val="0"/>
        <w:overflowPunct/>
        <w:topLinePunct w:val="0"/>
        <w:bidi w:val="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w:t>
      </w:r>
      <w:r>
        <w:rPr>
          <w:rFonts w:hint="eastAsia" w:ascii="宋体" w:hAnsi="宋体" w:eastAsia="宋体" w:cs="宋体"/>
          <w:bCs/>
          <w:color w:val="auto"/>
          <w:sz w:val="24"/>
          <w:highlight w:val="none"/>
          <w:u w:val="single"/>
        </w:rPr>
        <w:t>______</w:t>
      </w:r>
      <w:r>
        <w:rPr>
          <w:rFonts w:hint="eastAsia" w:ascii="宋体" w:hAnsi="宋体" w:eastAsia="宋体" w:cs="宋体"/>
          <w:bCs/>
          <w:color w:val="auto"/>
          <w:sz w:val="24"/>
          <w:highlight w:val="none"/>
        </w:rPr>
        <w:t>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日</w:t>
      </w:r>
    </w:p>
    <w:p w14:paraId="3D1E56BD">
      <w:pPr>
        <w:pStyle w:val="7"/>
        <w:keepNext w:val="0"/>
        <w:keepLines w:val="0"/>
        <w:pageBreakBefore w:val="0"/>
        <w:widowControl w:val="0"/>
        <w:kinsoku/>
        <w:wordWrap w:val="0"/>
        <w:overflowPunct/>
        <w:topLinePunct w:val="0"/>
        <w:bidi w:val="0"/>
        <w:rPr>
          <w:rFonts w:hint="eastAsia" w:ascii="宋体" w:hAnsi="宋体" w:eastAsia="宋体" w:cs="宋体"/>
          <w:color w:val="auto"/>
          <w:highlight w:val="none"/>
        </w:rPr>
      </w:pPr>
    </w:p>
    <w:p w14:paraId="4ED0B66D">
      <w:pPr>
        <w:pStyle w:val="7"/>
        <w:keepNext w:val="0"/>
        <w:keepLines w:val="0"/>
        <w:pageBreakBefore w:val="0"/>
        <w:widowControl w:val="0"/>
        <w:kinsoku/>
        <w:wordWrap w:val="0"/>
        <w:overflowPunct/>
        <w:topLinePunct w:val="0"/>
        <w:bidi w:val="0"/>
        <w:rPr>
          <w:rFonts w:hint="eastAsia" w:ascii="宋体" w:hAnsi="宋体" w:eastAsia="宋体" w:cs="宋体"/>
          <w:color w:val="auto"/>
          <w:highlight w:val="none"/>
        </w:rPr>
      </w:pPr>
    </w:p>
    <w:p w14:paraId="12D19073">
      <w:pPr>
        <w:pStyle w:val="8"/>
        <w:keepNext w:val="0"/>
        <w:keepLines w:val="0"/>
        <w:pageBreakBefore w:val="0"/>
        <w:widowControl w:val="0"/>
        <w:kinsoku/>
        <w:wordWrap w:val="0"/>
        <w:overflowPunct/>
        <w:topLinePunct w:val="0"/>
        <w:bidi w:val="0"/>
        <w:jc w:val="center"/>
        <w:rPr>
          <w:rFonts w:hint="eastAsia" w:ascii="宋体" w:hAnsi="宋体" w:eastAsia="宋体" w:cs="宋体"/>
          <w:color w:val="auto"/>
          <w:sz w:val="24"/>
          <w:szCs w:val="24"/>
          <w:highlight w:val="none"/>
        </w:rPr>
        <w:sectPr>
          <w:pgSz w:w="11906" w:h="16838"/>
          <w:pgMar w:top="1418" w:right="1588" w:bottom="1418" w:left="1365" w:header="851" w:footer="907" w:gutter="0"/>
          <w:pgBorders>
            <w:top w:val="none" w:sz="0" w:space="0"/>
            <w:left w:val="none" w:sz="0" w:space="0"/>
            <w:bottom w:val="none" w:sz="0" w:space="0"/>
            <w:right w:val="none" w:sz="0" w:space="0"/>
          </w:pgBorders>
          <w:pgNumType w:fmt="numberInDash"/>
          <w:cols w:space="720" w:num="1"/>
          <w:titlePg/>
          <w:docGrid w:type="lines" w:linePitch="290" w:charSpace="0"/>
        </w:sectPr>
      </w:pPr>
    </w:p>
    <w:p w14:paraId="08830DC7">
      <w:pPr>
        <w:pStyle w:val="8"/>
        <w:keepNext w:val="0"/>
        <w:keepLines w:val="0"/>
        <w:pageBreakBefore w:val="0"/>
        <w:widowControl w:val="0"/>
        <w:kinsoku/>
        <w:wordWrap w:val="0"/>
        <w:overflowPunct/>
        <w:topLinePunct w:val="0"/>
        <w:bidi w:val="0"/>
        <w:spacing w:before="290" w:beforeLines="100" w:after="290" w:afterLines="100" w:line="240" w:lineRule="auto"/>
        <w:jc w:val="center"/>
        <w:rPr>
          <w:rFonts w:hint="eastAsia" w:ascii="宋体" w:hAnsi="宋体" w:eastAsia="宋体" w:cs="宋体"/>
          <w:b/>
          <w:bCs/>
          <w:color w:val="auto"/>
          <w:sz w:val="32"/>
          <w:szCs w:val="40"/>
          <w:highlight w:val="none"/>
          <w:lang w:val="en-US" w:eastAsia="zh-CN" w:bidi="ar-SA"/>
        </w:rPr>
      </w:pPr>
      <w:r>
        <w:rPr>
          <w:rFonts w:hint="eastAsia" w:ascii="宋体" w:hAnsi="宋体" w:eastAsia="宋体" w:cs="宋体"/>
          <w:b/>
          <w:bCs/>
          <w:color w:val="auto"/>
          <w:sz w:val="32"/>
          <w:szCs w:val="40"/>
          <w:highlight w:val="none"/>
          <w:lang w:val="en-US" w:eastAsia="zh-CN" w:bidi="ar-SA"/>
        </w:rPr>
        <w:t>参加政府采购活动前3年内在经营活动中没有重大违法记录的书面声明</w:t>
      </w:r>
    </w:p>
    <w:p w14:paraId="6C79630F">
      <w:pPr>
        <w:keepNext w:val="0"/>
        <w:keepLines w:val="0"/>
        <w:pageBreakBefore w:val="0"/>
        <w:widowControl w:val="0"/>
        <w:kinsoku/>
        <w:wordWrap w:val="0"/>
        <w:overflowPunct/>
        <w:topLinePunct w:val="0"/>
        <w:bidi w:val="0"/>
        <w:spacing w:line="460" w:lineRule="exact"/>
        <w:rPr>
          <w:rFonts w:hint="eastAsia" w:ascii="宋体" w:hAnsi="宋体" w:eastAsia="宋体" w:cs="宋体"/>
          <w:b/>
          <w:bCs/>
          <w:color w:val="auto"/>
          <w:sz w:val="44"/>
          <w:szCs w:val="44"/>
          <w:highlight w:val="none"/>
        </w:rPr>
      </w:pPr>
      <w:r>
        <w:rPr>
          <w:rFonts w:hint="eastAsia" w:ascii="宋体" w:hAnsi="宋体" w:eastAsia="宋体" w:cs="宋体"/>
          <w:b/>
          <w:bCs/>
          <w:color w:val="auto"/>
          <w:sz w:val="24"/>
          <w:highlight w:val="none"/>
        </w:rPr>
        <w:t xml:space="preserve">                       </w:t>
      </w:r>
      <w:r>
        <w:rPr>
          <w:rFonts w:hint="eastAsia" w:ascii="宋体" w:hAnsi="宋体" w:eastAsia="宋体" w:cs="宋体"/>
          <w:b/>
          <w:bCs/>
          <w:color w:val="auto"/>
          <w:sz w:val="44"/>
          <w:szCs w:val="44"/>
          <w:highlight w:val="none"/>
        </w:rPr>
        <w:t xml:space="preserve">   </w:t>
      </w:r>
    </w:p>
    <w:p w14:paraId="4731C8EC">
      <w:pPr>
        <w:keepNext w:val="0"/>
        <w:keepLines w:val="0"/>
        <w:pageBreakBefore w:val="0"/>
        <w:widowControl w:val="0"/>
        <w:kinsoku/>
        <w:wordWrap w:val="0"/>
        <w:overflowPunct/>
        <w:topLinePunct w:val="0"/>
        <w:bidi w:val="0"/>
        <w:spacing w:line="460" w:lineRule="exac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                   声  明</w:t>
      </w:r>
    </w:p>
    <w:p w14:paraId="4A288430">
      <w:pPr>
        <w:keepNext w:val="0"/>
        <w:keepLines w:val="0"/>
        <w:pageBreakBefore w:val="0"/>
        <w:widowControl w:val="0"/>
        <w:kinsoku/>
        <w:wordWrap w:val="0"/>
        <w:overflowPunct/>
        <w:topLinePunct w:val="0"/>
        <w:bidi w:val="0"/>
        <w:spacing w:line="460" w:lineRule="exact"/>
        <w:rPr>
          <w:rFonts w:hint="eastAsia" w:ascii="宋体" w:hAnsi="宋体" w:eastAsia="宋体" w:cs="宋体"/>
          <w:bCs/>
          <w:color w:val="auto"/>
          <w:sz w:val="24"/>
          <w:highlight w:val="none"/>
        </w:rPr>
      </w:pPr>
      <w:r>
        <w:rPr>
          <w:rFonts w:hint="eastAsia" w:ascii="宋体" w:hAnsi="宋体" w:eastAsia="宋体" w:cs="宋体"/>
          <w:b/>
          <w:bCs/>
          <w:color w:val="auto"/>
          <w:sz w:val="24"/>
          <w:highlight w:val="none"/>
        </w:rPr>
        <w:t xml:space="preserve">    </w:t>
      </w:r>
      <w:r>
        <w:rPr>
          <w:rFonts w:hint="eastAsia" w:ascii="宋体" w:hAnsi="宋体" w:eastAsia="宋体" w:cs="宋体"/>
          <w:bCs/>
          <w:color w:val="auto"/>
          <w:sz w:val="24"/>
          <w:highlight w:val="none"/>
        </w:rPr>
        <w:t>我公司郑重声明：参加本次政府采购活动前 3 年内，我公司在经营活动中没有因违法经营受到刑事处罚或者责令停产停业、吊销许可证或者执照、较大数额罚款等行政处罚。</w:t>
      </w:r>
    </w:p>
    <w:p w14:paraId="5A6F8D27">
      <w:pPr>
        <w:keepNext w:val="0"/>
        <w:keepLines w:val="0"/>
        <w:pageBreakBefore w:val="0"/>
        <w:widowControl w:val="0"/>
        <w:kinsoku/>
        <w:wordWrap w:val="0"/>
        <w:overflowPunct/>
        <w:topLinePunct w:val="0"/>
        <w:bidi w:val="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供应商名称（加盖CA电子公章）：</w:t>
      </w:r>
    </w:p>
    <w:p w14:paraId="5C673D05">
      <w:pPr>
        <w:keepNext w:val="0"/>
        <w:keepLines w:val="0"/>
        <w:pageBreakBefore w:val="0"/>
        <w:widowControl w:val="0"/>
        <w:kinsoku/>
        <w:wordWrap w:val="0"/>
        <w:overflowPunct/>
        <w:topLinePunct w:val="0"/>
        <w:bidi w:val="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授权代表签字：</w:t>
      </w:r>
      <w:r>
        <w:rPr>
          <w:rFonts w:hint="eastAsia" w:ascii="宋体" w:hAnsi="宋体" w:eastAsia="宋体" w:cs="宋体"/>
          <w:bCs/>
          <w:color w:val="auto"/>
          <w:sz w:val="24"/>
          <w:highlight w:val="none"/>
          <w:u w:val="single"/>
        </w:rPr>
        <w:t>______________________</w:t>
      </w:r>
    </w:p>
    <w:p w14:paraId="489CA31D">
      <w:pPr>
        <w:keepNext w:val="0"/>
        <w:keepLines w:val="0"/>
        <w:pageBreakBefore w:val="0"/>
        <w:widowControl w:val="0"/>
        <w:kinsoku/>
        <w:wordWrap w:val="0"/>
        <w:overflowPunct/>
        <w:topLinePunct w:val="0"/>
        <w:bidi w:val="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w:t>
      </w:r>
      <w:r>
        <w:rPr>
          <w:rFonts w:hint="eastAsia" w:ascii="宋体" w:hAnsi="宋体" w:eastAsia="宋体" w:cs="宋体"/>
          <w:bCs/>
          <w:color w:val="auto"/>
          <w:sz w:val="24"/>
          <w:highlight w:val="none"/>
          <w:u w:val="single"/>
        </w:rPr>
        <w:t>______</w:t>
      </w:r>
      <w:r>
        <w:rPr>
          <w:rFonts w:hint="eastAsia" w:ascii="宋体" w:hAnsi="宋体" w:eastAsia="宋体" w:cs="宋体"/>
          <w:bCs/>
          <w:color w:val="auto"/>
          <w:sz w:val="24"/>
          <w:highlight w:val="none"/>
        </w:rPr>
        <w:t>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日</w:t>
      </w:r>
    </w:p>
    <w:p w14:paraId="6E27246F">
      <w:pPr>
        <w:keepNext w:val="0"/>
        <w:keepLines w:val="0"/>
        <w:pageBreakBefore w:val="0"/>
        <w:widowControl w:val="0"/>
        <w:kinsoku/>
        <w:wordWrap w:val="0"/>
        <w:overflowPunct/>
        <w:topLinePunct w:val="0"/>
        <w:bidi w:val="0"/>
        <w:spacing w:line="460" w:lineRule="exact"/>
        <w:rPr>
          <w:rFonts w:hint="eastAsia" w:ascii="宋体" w:hAnsi="宋体" w:eastAsia="宋体" w:cs="宋体"/>
          <w:bCs/>
          <w:color w:val="auto"/>
          <w:sz w:val="24"/>
          <w:highlight w:val="none"/>
        </w:rPr>
      </w:pPr>
    </w:p>
    <w:p w14:paraId="1F15B05C">
      <w:pPr>
        <w:keepNext w:val="0"/>
        <w:keepLines w:val="0"/>
        <w:pageBreakBefore w:val="0"/>
        <w:widowControl w:val="0"/>
        <w:kinsoku/>
        <w:wordWrap w:val="0"/>
        <w:overflowPunct/>
        <w:topLinePunct w:val="0"/>
        <w:bidi w:val="0"/>
        <w:spacing w:line="460" w:lineRule="exact"/>
        <w:rPr>
          <w:rFonts w:hint="eastAsia" w:ascii="宋体" w:hAnsi="宋体" w:eastAsia="宋体" w:cs="宋体"/>
          <w:bCs/>
          <w:color w:val="auto"/>
          <w:sz w:val="24"/>
          <w:highlight w:val="none"/>
        </w:rPr>
      </w:pPr>
    </w:p>
    <w:p w14:paraId="6955F695">
      <w:pPr>
        <w:keepNext w:val="0"/>
        <w:keepLines w:val="0"/>
        <w:pageBreakBefore w:val="0"/>
        <w:widowControl w:val="0"/>
        <w:kinsoku/>
        <w:wordWrap w:val="0"/>
        <w:overflowPunct/>
        <w:topLinePunct w:val="0"/>
        <w:bidi w:val="0"/>
        <w:spacing w:line="460" w:lineRule="exact"/>
        <w:rPr>
          <w:rFonts w:hint="eastAsia" w:ascii="宋体" w:hAnsi="宋体" w:eastAsia="宋体" w:cs="宋体"/>
          <w:bCs/>
          <w:color w:val="auto"/>
          <w:sz w:val="24"/>
          <w:highlight w:val="none"/>
        </w:rPr>
      </w:pPr>
    </w:p>
    <w:p w14:paraId="07336077">
      <w:pPr>
        <w:keepNext w:val="0"/>
        <w:keepLines w:val="0"/>
        <w:pageBreakBefore w:val="0"/>
        <w:widowControl w:val="0"/>
        <w:kinsoku/>
        <w:wordWrap w:val="0"/>
        <w:overflowPunct/>
        <w:topLinePunct w:val="0"/>
        <w:bidi w:val="0"/>
        <w:spacing w:line="460" w:lineRule="exact"/>
        <w:rPr>
          <w:rFonts w:hint="eastAsia" w:ascii="宋体" w:hAnsi="宋体" w:eastAsia="宋体" w:cs="宋体"/>
          <w:bCs/>
          <w:color w:val="auto"/>
          <w:sz w:val="24"/>
          <w:highlight w:val="none"/>
        </w:rPr>
      </w:pPr>
    </w:p>
    <w:p w14:paraId="09D6D196">
      <w:pPr>
        <w:keepNext w:val="0"/>
        <w:keepLines w:val="0"/>
        <w:pageBreakBefore w:val="0"/>
        <w:widowControl w:val="0"/>
        <w:kinsoku/>
        <w:wordWrap w:val="0"/>
        <w:overflowPunct/>
        <w:topLinePunct w:val="0"/>
        <w:bidi w:val="0"/>
        <w:spacing w:line="460" w:lineRule="exact"/>
        <w:rPr>
          <w:rFonts w:hint="eastAsia" w:ascii="宋体" w:hAnsi="宋体" w:eastAsia="宋体" w:cs="宋体"/>
          <w:bCs/>
          <w:color w:val="auto"/>
          <w:sz w:val="24"/>
          <w:highlight w:val="none"/>
        </w:rPr>
      </w:pPr>
    </w:p>
    <w:p w14:paraId="2834DBE3">
      <w:pPr>
        <w:keepNext w:val="0"/>
        <w:keepLines w:val="0"/>
        <w:pageBreakBefore w:val="0"/>
        <w:widowControl w:val="0"/>
        <w:kinsoku/>
        <w:wordWrap w:val="0"/>
        <w:overflowPunct/>
        <w:topLinePunct w:val="0"/>
        <w:bidi w:val="0"/>
        <w:spacing w:line="460" w:lineRule="exact"/>
        <w:rPr>
          <w:rFonts w:hint="eastAsia" w:ascii="宋体" w:hAnsi="宋体" w:eastAsia="宋体" w:cs="宋体"/>
          <w:bCs/>
          <w:color w:val="auto"/>
          <w:sz w:val="24"/>
          <w:highlight w:val="none"/>
        </w:rPr>
      </w:pPr>
    </w:p>
    <w:p w14:paraId="3C46F67C">
      <w:pPr>
        <w:keepNext w:val="0"/>
        <w:keepLines w:val="0"/>
        <w:pageBreakBefore w:val="0"/>
        <w:widowControl w:val="0"/>
        <w:kinsoku/>
        <w:wordWrap w:val="0"/>
        <w:overflowPunct/>
        <w:topLinePunct w:val="0"/>
        <w:bidi w:val="0"/>
        <w:spacing w:line="460" w:lineRule="exact"/>
        <w:rPr>
          <w:rFonts w:hint="eastAsia" w:ascii="宋体" w:hAnsi="宋体" w:eastAsia="宋体" w:cs="宋体"/>
          <w:bCs/>
          <w:color w:val="auto"/>
          <w:sz w:val="24"/>
          <w:highlight w:val="none"/>
        </w:rPr>
      </w:pPr>
    </w:p>
    <w:p w14:paraId="41BD51F2">
      <w:pPr>
        <w:keepNext w:val="0"/>
        <w:keepLines w:val="0"/>
        <w:pageBreakBefore w:val="0"/>
        <w:widowControl w:val="0"/>
        <w:kinsoku/>
        <w:wordWrap w:val="0"/>
        <w:overflowPunct/>
        <w:topLinePunct w:val="0"/>
        <w:bidi w:val="0"/>
        <w:spacing w:line="460" w:lineRule="exact"/>
        <w:rPr>
          <w:rFonts w:hint="eastAsia" w:ascii="宋体" w:hAnsi="宋体" w:eastAsia="宋体" w:cs="宋体"/>
          <w:bCs/>
          <w:color w:val="auto"/>
          <w:sz w:val="24"/>
          <w:highlight w:val="none"/>
        </w:rPr>
      </w:pPr>
    </w:p>
    <w:p w14:paraId="01279ADE">
      <w:pPr>
        <w:keepNext w:val="0"/>
        <w:keepLines w:val="0"/>
        <w:pageBreakBefore w:val="0"/>
        <w:widowControl w:val="0"/>
        <w:kinsoku/>
        <w:wordWrap w:val="0"/>
        <w:overflowPunct/>
        <w:topLinePunct w:val="0"/>
        <w:bidi w:val="0"/>
        <w:spacing w:line="460" w:lineRule="exact"/>
        <w:rPr>
          <w:rFonts w:hint="eastAsia" w:ascii="宋体" w:hAnsi="宋体" w:eastAsia="宋体" w:cs="宋体"/>
          <w:bCs/>
          <w:color w:val="auto"/>
          <w:sz w:val="24"/>
          <w:highlight w:val="none"/>
        </w:rPr>
      </w:pPr>
    </w:p>
    <w:p w14:paraId="6E1EF5BA">
      <w:pPr>
        <w:keepNext w:val="0"/>
        <w:keepLines w:val="0"/>
        <w:pageBreakBefore w:val="0"/>
        <w:widowControl w:val="0"/>
        <w:kinsoku/>
        <w:wordWrap w:val="0"/>
        <w:overflowPunct/>
        <w:topLinePunct w:val="0"/>
        <w:bidi w:val="0"/>
        <w:spacing w:line="460" w:lineRule="exact"/>
        <w:rPr>
          <w:rFonts w:hint="eastAsia" w:ascii="宋体" w:hAnsi="宋体" w:eastAsia="宋体" w:cs="宋体"/>
          <w:bCs/>
          <w:color w:val="auto"/>
          <w:sz w:val="24"/>
          <w:highlight w:val="none"/>
        </w:rPr>
      </w:pPr>
    </w:p>
    <w:p w14:paraId="4D01DC0D">
      <w:pPr>
        <w:keepNext w:val="0"/>
        <w:keepLines w:val="0"/>
        <w:pageBreakBefore w:val="0"/>
        <w:widowControl w:val="0"/>
        <w:kinsoku/>
        <w:wordWrap w:val="0"/>
        <w:overflowPunct/>
        <w:topLinePunct w:val="0"/>
        <w:bidi w:val="0"/>
        <w:spacing w:line="460" w:lineRule="exact"/>
        <w:rPr>
          <w:rFonts w:hint="eastAsia" w:ascii="宋体" w:hAnsi="宋体" w:eastAsia="宋体" w:cs="宋体"/>
          <w:bCs/>
          <w:color w:val="auto"/>
          <w:sz w:val="24"/>
          <w:highlight w:val="none"/>
        </w:rPr>
      </w:pPr>
    </w:p>
    <w:p w14:paraId="0BE45737">
      <w:pPr>
        <w:keepNext w:val="0"/>
        <w:keepLines w:val="0"/>
        <w:pageBreakBefore w:val="0"/>
        <w:widowControl w:val="0"/>
        <w:kinsoku/>
        <w:wordWrap w:val="0"/>
        <w:overflowPunct/>
        <w:topLinePunct w:val="0"/>
        <w:bidi w:val="0"/>
        <w:spacing w:line="460" w:lineRule="exact"/>
        <w:rPr>
          <w:rFonts w:hint="eastAsia" w:ascii="宋体" w:hAnsi="宋体" w:eastAsia="宋体" w:cs="宋体"/>
          <w:bCs/>
          <w:color w:val="auto"/>
          <w:sz w:val="24"/>
          <w:highlight w:val="none"/>
        </w:rPr>
      </w:pPr>
    </w:p>
    <w:p w14:paraId="11A88E71">
      <w:pPr>
        <w:keepNext w:val="0"/>
        <w:keepLines w:val="0"/>
        <w:pageBreakBefore w:val="0"/>
        <w:widowControl w:val="0"/>
        <w:kinsoku/>
        <w:wordWrap w:val="0"/>
        <w:overflowPunct/>
        <w:topLinePunct w:val="0"/>
        <w:bidi w:val="0"/>
        <w:spacing w:line="460" w:lineRule="exact"/>
        <w:rPr>
          <w:rFonts w:hint="eastAsia" w:ascii="宋体" w:hAnsi="宋体" w:eastAsia="宋体" w:cs="宋体"/>
          <w:bCs/>
          <w:color w:val="auto"/>
          <w:sz w:val="24"/>
          <w:highlight w:val="none"/>
        </w:rPr>
      </w:pPr>
    </w:p>
    <w:p w14:paraId="30D84329">
      <w:pPr>
        <w:keepNext w:val="0"/>
        <w:keepLines w:val="0"/>
        <w:pageBreakBefore w:val="0"/>
        <w:widowControl w:val="0"/>
        <w:kinsoku/>
        <w:wordWrap w:val="0"/>
        <w:overflowPunct/>
        <w:topLinePunct w:val="0"/>
        <w:bidi w:val="0"/>
        <w:spacing w:line="460" w:lineRule="exact"/>
        <w:rPr>
          <w:rFonts w:hint="eastAsia" w:ascii="宋体" w:hAnsi="宋体" w:eastAsia="宋体" w:cs="宋体"/>
          <w:bCs/>
          <w:color w:val="auto"/>
          <w:sz w:val="24"/>
          <w:highlight w:val="none"/>
        </w:rPr>
      </w:pPr>
    </w:p>
    <w:p w14:paraId="78EFB437">
      <w:pPr>
        <w:keepNext w:val="0"/>
        <w:keepLines w:val="0"/>
        <w:pageBreakBefore w:val="0"/>
        <w:widowControl w:val="0"/>
        <w:kinsoku/>
        <w:wordWrap w:val="0"/>
        <w:overflowPunct/>
        <w:topLinePunct w:val="0"/>
        <w:bidi w:val="0"/>
        <w:spacing w:line="460" w:lineRule="exact"/>
        <w:rPr>
          <w:rFonts w:hint="eastAsia" w:ascii="宋体" w:hAnsi="宋体" w:eastAsia="宋体" w:cs="宋体"/>
          <w:bCs/>
          <w:color w:val="auto"/>
          <w:sz w:val="24"/>
          <w:highlight w:val="none"/>
        </w:rPr>
      </w:pPr>
    </w:p>
    <w:p w14:paraId="397563B0">
      <w:pPr>
        <w:keepNext w:val="0"/>
        <w:keepLines w:val="0"/>
        <w:pageBreakBefore w:val="0"/>
        <w:widowControl w:val="0"/>
        <w:kinsoku/>
        <w:wordWrap w:val="0"/>
        <w:overflowPunct/>
        <w:topLinePunct w:val="0"/>
        <w:bidi w:val="0"/>
        <w:spacing w:line="460" w:lineRule="exact"/>
        <w:rPr>
          <w:rFonts w:hint="eastAsia" w:ascii="宋体" w:hAnsi="宋体" w:eastAsia="宋体" w:cs="宋体"/>
          <w:bCs/>
          <w:color w:val="auto"/>
          <w:sz w:val="24"/>
          <w:highlight w:val="none"/>
        </w:rPr>
      </w:pPr>
    </w:p>
    <w:p w14:paraId="7CB63416">
      <w:pPr>
        <w:keepNext w:val="0"/>
        <w:keepLines w:val="0"/>
        <w:pageBreakBefore w:val="0"/>
        <w:widowControl w:val="0"/>
        <w:kinsoku/>
        <w:wordWrap w:val="0"/>
        <w:overflowPunct/>
        <w:topLinePunct w:val="0"/>
        <w:bidi w:val="0"/>
        <w:spacing w:line="460" w:lineRule="exact"/>
        <w:rPr>
          <w:rFonts w:hint="eastAsia" w:ascii="宋体" w:hAnsi="宋体" w:eastAsia="宋体" w:cs="宋体"/>
          <w:bCs/>
          <w:color w:val="auto"/>
          <w:sz w:val="24"/>
          <w:highlight w:val="none"/>
        </w:rPr>
      </w:pPr>
    </w:p>
    <w:p w14:paraId="03ABF69A">
      <w:pPr>
        <w:pStyle w:val="8"/>
        <w:keepNext w:val="0"/>
        <w:keepLines w:val="0"/>
        <w:pageBreakBefore w:val="0"/>
        <w:widowControl w:val="0"/>
        <w:kinsoku/>
        <w:wordWrap w:val="0"/>
        <w:overflowPunct/>
        <w:topLinePunct w:val="0"/>
        <w:bidi w:val="0"/>
        <w:jc w:val="center"/>
        <w:rPr>
          <w:rFonts w:hint="eastAsia" w:ascii="宋体" w:hAnsi="宋体" w:eastAsia="宋体" w:cs="宋体"/>
          <w:color w:val="auto"/>
          <w:sz w:val="24"/>
          <w:szCs w:val="24"/>
          <w:highlight w:val="none"/>
        </w:rPr>
        <w:sectPr>
          <w:pgSz w:w="11906" w:h="16838"/>
          <w:pgMar w:top="1418" w:right="1588" w:bottom="1418" w:left="1365" w:header="851" w:footer="907" w:gutter="0"/>
          <w:pgBorders>
            <w:top w:val="none" w:sz="0" w:space="0"/>
            <w:left w:val="none" w:sz="0" w:space="0"/>
            <w:bottom w:val="none" w:sz="0" w:space="0"/>
            <w:right w:val="none" w:sz="0" w:space="0"/>
          </w:pgBorders>
          <w:pgNumType w:fmt="numberInDash"/>
          <w:cols w:space="720" w:num="1"/>
          <w:titlePg/>
          <w:docGrid w:type="lines" w:linePitch="290" w:charSpace="0"/>
        </w:sectPr>
      </w:pPr>
    </w:p>
    <w:p w14:paraId="5EA7EF68">
      <w:pPr>
        <w:keepNext w:val="0"/>
        <w:keepLines w:val="0"/>
        <w:pageBreakBefore w:val="0"/>
        <w:widowControl w:val="0"/>
        <w:kinsoku/>
        <w:wordWrap w:val="0"/>
        <w:overflowPunct/>
        <w:topLinePunct w:val="0"/>
        <w:bidi w:val="0"/>
        <w:snapToGrid w:val="0"/>
        <w:spacing w:before="50" w:after="50"/>
        <w:jc w:val="center"/>
        <w:rPr>
          <w:rFonts w:hint="eastAsia" w:ascii="宋体" w:hAnsi="宋体" w:eastAsia="宋体" w:cs="宋体"/>
          <w:b/>
          <w:bCs/>
          <w:color w:val="auto"/>
          <w:sz w:val="32"/>
          <w:szCs w:val="40"/>
          <w:highlight w:val="none"/>
          <w:lang w:val="en-US" w:eastAsia="zh-CN" w:bidi="ar-SA"/>
        </w:rPr>
      </w:pPr>
      <w:r>
        <w:rPr>
          <w:rFonts w:hint="eastAsia" w:ascii="宋体" w:hAnsi="宋体" w:eastAsia="宋体" w:cs="宋体"/>
          <w:b/>
          <w:bCs/>
          <w:color w:val="auto"/>
          <w:sz w:val="32"/>
          <w:szCs w:val="40"/>
          <w:highlight w:val="none"/>
          <w:lang w:val="en-US" w:eastAsia="zh-CN" w:bidi="ar-SA"/>
        </w:rPr>
        <w:t>二、资格性审查响应对照表（格式）</w:t>
      </w:r>
    </w:p>
    <w:p w14:paraId="7860E17B">
      <w:pPr>
        <w:keepNext w:val="0"/>
        <w:keepLines w:val="0"/>
        <w:pageBreakBefore w:val="0"/>
        <w:widowControl w:val="0"/>
        <w:kinsoku/>
        <w:wordWrap w:val="0"/>
        <w:overflowPunct/>
        <w:topLinePunct w:val="0"/>
        <w:bidi w:val="0"/>
        <w:ind w:firstLine="3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投标人（加盖CA电子公章）：</w:t>
      </w:r>
    </w:p>
    <w:tbl>
      <w:tblPr>
        <w:tblStyle w:val="38"/>
        <w:tblW w:w="95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448"/>
        <w:gridCol w:w="1680"/>
        <w:gridCol w:w="1785"/>
      </w:tblGrid>
      <w:tr w14:paraId="6D01F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9" w:hRule="atLeast"/>
        </w:trPr>
        <w:tc>
          <w:tcPr>
            <w:tcW w:w="646" w:type="dxa"/>
            <w:noWrap w:val="0"/>
            <w:vAlign w:val="center"/>
          </w:tcPr>
          <w:p w14:paraId="3C10CE3A">
            <w:pPr>
              <w:keepNext w:val="0"/>
              <w:keepLines w:val="0"/>
              <w:pageBreakBefore w:val="0"/>
              <w:widowControl w:val="0"/>
              <w:kinsoku/>
              <w:wordWrap w:val="0"/>
              <w:overflowPunct/>
              <w:topLinePunct w:val="0"/>
              <w:bidi w:val="0"/>
              <w:snapToGrid w:val="0"/>
              <w:spacing w:line="240" w:lineRule="atLeast"/>
              <w:jc w:val="center"/>
              <w:rPr>
                <w:rFonts w:hint="eastAsia" w:ascii="宋体" w:hAnsi="宋体" w:eastAsia="宋体" w:cs="宋体"/>
                <w:b/>
                <w:color w:val="auto"/>
                <w:highlight w:val="none"/>
              </w:rPr>
            </w:pPr>
            <w:r>
              <w:rPr>
                <w:rFonts w:hint="eastAsia" w:ascii="宋体" w:hAnsi="宋体" w:eastAsia="宋体" w:cs="宋体"/>
                <w:b/>
                <w:color w:val="auto"/>
                <w:highlight w:val="none"/>
              </w:rPr>
              <w:t>序号</w:t>
            </w:r>
          </w:p>
        </w:tc>
        <w:tc>
          <w:tcPr>
            <w:tcW w:w="5448" w:type="dxa"/>
            <w:noWrap w:val="0"/>
            <w:vAlign w:val="center"/>
          </w:tcPr>
          <w:p w14:paraId="00BE3ACD">
            <w:pPr>
              <w:keepNext w:val="0"/>
              <w:keepLines w:val="0"/>
              <w:pageBreakBefore w:val="0"/>
              <w:widowControl w:val="0"/>
              <w:kinsoku/>
              <w:wordWrap w:val="0"/>
              <w:overflowPunct/>
              <w:topLinePunct w:val="0"/>
              <w:bidi w:val="0"/>
              <w:snapToGrid w:val="0"/>
              <w:spacing w:line="240" w:lineRule="atLeast"/>
              <w:jc w:val="center"/>
              <w:rPr>
                <w:rFonts w:hint="eastAsia" w:ascii="宋体" w:hAnsi="宋体" w:eastAsia="宋体" w:cs="宋体"/>
                <w:b/>
                <w:color w:val="auto"/>
                <w:highlight w:val="none"/>
              </w:rPr>
            </w:pPr>
            <w:r>
              <w:rPr>
                <w:rFonts w:hint="eastAsia" w:ascii="宋体" w:hAnsi="宋体" w:eastAsia="宋体" w:cs="宋体"/>
                <w:b/>
                <w:color w:val="auto"/>
                <w:highlight w:val="none"/>
              </w:rPr>
              <w:t>资格性审查响应内容</w:t>
            </w:r>
          </w:p>
        </w:tc>
        <w:tc>
          <w:tcPr>
            <w:tcW w:w="1680" w:type="dxa"/>
            <w:noWrap w:val="0"/>
            <w:vAlign w:val="center"/>
          </w:tcPr>
          <w:p w14:paraId="15251546">
            <w:pPr>
              <w:keepNext w:val="0"/>
              <w:keepLines w:val="0"/>
              <w:pageBreakBefore w:val="0"/>
              <w:widowControl w:val="0"/>
              <w:kinsoku/>
              <w:wordWrap w:val="0"/>
              <w:overflowPunct/>
              <w:topLinePunct w:val="0"/>
              <w:bidi w:val="0"/>
              <w:snapToGrid w:val="0"/>
              <w:spacing w:line="240" w:lineRule="atLeast"/>
              <w:jc w:val="center"/>
              <w:rPr>
                <w:rFonts w:hint="eastAsia" w:ascii="宋体" w:hAnsi="宋体" w:eastAsia="宋体" w:cs="宋体"/>
                <w:b/>
                <w:color w:val="auto"/>
                <w:highlight w:val="none"/>
              </w:rPr>
            </w:pPr>
            <w:r>
              <w:rPr>
                <w:rFonts w:hint="eastAsia" w:ascii="宋体" w:hAnsi="宋体" w:eastAsia="宋体" w:cs="宋体"/>
                <w:b/>
                <w:color w:val="auto"/>
                <w:highlight w:val="none"/>
              </w:rPr>
              <w:t>是否响应</w:t>
            </w:r>
          </w:p>
          <w:p w14:paraId="56B47DDD">
            <w:pPr>
              <w:keepNext w:val="0"/>
              <w:keepLines w:val="0"/>
              <w:pageBreakBefore w:val="0"/>
              <w:widowControl w:val="0"/>
              <w:kinsoku/>
              <w:wordWrap w:val="0"/>
              <w:overflowPunct/>
              <w:topLinePunct w:val="0"/>
              <w:bidi w:val="0"/>
              <w:snapToGrid w:val="0"/>
              <w:spacing w:line="240" w:lineRule="atLeast"/>
              <w:jc w:val="center"/>
              <w:rPr>
                <w:rFonts w:hint="eastAsia" w:ascii="宋体" w:hAnsi="宋体" w:eastAsia="宋体" w:cs="宋体"/>
                <w:b/>
                <w:color w:val="auto"/>
                <w:highlight w:val="none"/>
              </w:rPr>
            </w:pPr>
            <w:r>
              <w:rPr>
                <w:rFonts w:hint="eastAsia" w:ascii="宋体" w:hAnsi="宋体" w:eastAsia="宋体" w:cs="宋体"/>
                <w:b/>
                <w:color w:val="auto"/>
                <w:highlight w:val="none"/>
              </w:rPr>
              <w:t>（填是或者否）</w:t>
            </w:r>
          </w:p>
        </w:tc>
        <w:tc>
          <w:tcPr>
            <w:tcW w:w="1785" w:type="dxa"/>
            <w:noWrap w:val="0"/>
            <w:vAlign w:val="center"/>
          </w:tcPr>
          <w:p w14:paraId="5583D111">
            <w:pPr>
              <w:keepNext w:val="0"/>
              <w:keepLines w:val="0"/>
              <w:pageBreakBefore w:val="0"/>
              <w:widowControl w:val="0"/>
              <w:kinsoku/>
              <w:wordWrap w:val="0"/>
              <w:overflowPunct/>
              <w:topLinePunct w:val="0"/>
              <w:bidi w:val="0"/>
              <w:snapToGrid w:val="0"/>
              <w:spacing w:line="240" w:lineRule="atLeast"/>
              <w:jc w:val="center"/>
              <w:rPr>
                <w:rFonts w:hint="eastAsia" w:ascii="宋体" w:hAnsi="宋体" w:eastAsia="宋体" w:cs="宋体"/>
                <w:b/>
                <w:color w:val="auto"/>
                <w:highlight w:val="none"/>
              </w:rPr>
            </w:pPr>
            <w:r>
              <w:rPr>
                <w:rFonts w:hint="eastAsia" w:ascii="宋体" w:hAnsi="宋体" w:eastAsia="宋体" w:cs="宋体"/>
                <w:b/>
                <w:color w:val="auto"/>
                <w:highlight w:val="none"/>
              </w:rPr>
              <w:t>投标文件中的</w:t>
            </w:r>
          </w:p>
          <w:p w14:paraId="3A64C72A">
            <w:pPr>
              <w:keepNext w:val="0"/>
              <w:keepLines w:val="0"/>
              <w:pageBreakBefore w:val="0"/>
              <w:widowControl w:val="0"/>
              <w:kinsoku/>
              <w:wordWrap w:val="0"/>
              <w:overflowPunct/>
              <w:topLinePunct w:val="0"/>
              <w:bidi w:val="0"/>
              <w:snapToGrid w:val="0"/>
              <w:spacing w:line="240" w:lineRule="atLeast"/>
              <w:jc w:val="center"/>
              <w:rPr>
                <w:rFonts w:hint="eastAsia" w:ascii="宋体" w:hAnsi="宋体" w:eastAsia="宋体" w:cs="宋体"/>
                <w:b/>
                <w:color w:val="auto"/>
                <w:highlight w:val="none"/>
              </w:rPr>
            </w:pPr>
            <w:r>
              <w:rPr>
                <w:rFonts w:hint="eastAsia" w:ascii="宋体" w:hAnsi="宋体" w:eastAsia="宋体" w:cs="宋体"/>
                <w:b/>
                <w:color w:val="auto"/>
                <w:highlight w:val="none"/>
              </w:rPr>
              <w:t>页码位置</w:t>
            </w:r>
          </w:p>
        </w:tc>
      </w:tr>
      <w:tr w14:paraId="0E4F7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trPr>
        <w:tc>
          <w:tcPr>
            <w:tcW w:w="646" w:type="dxa"/>
            <w:noWrap w:val="0"/>
            <w:vAlign w:val="center"/>
          </w:tcPr>
          <w:p w14:paraId="605B27BB">
            <w:pPr>
              <w:keepNext w:val="0"/>
              <w:keepLines w:val="0"/>
              <w:pageBreakBefore w:val="0"/>
              <w:widowControl w:val="0"/>
              <w:kinsoku/>
              <w:wordWrap w:val="0"/>
              <w:overflowPunct/>
              <w:topLinePunct w:val="0"/>
              <w:bidi w:val="0"/>
              <w:jc w:val="center"/>
              <w:rPr>
                <w:rFonts w:hint="eastAsia" w:ascii="宋体" w:hAnsi="宋体" w:eastAsia="宋体" w:cs="宋体"/>
                <w:bCs/>
                <w:color w:val="auto"/>
                <w:highlight w:val="none"/>
              </w:rPr>
            </w:pPr>
            <w:r>
              <w:rPr>
                <w:rFonts w:hint="eastAsia" w:ascii="宋体" w:hAnsi="宋体" w:eastAsia="宋体" w:cs="宋体"/>
                <w:bCs/>
                <w:color w:val="auto"/>
                <w:highlight w:val="none"/>
              </w:rPr>
              <w:t>1</w:t>
            </w:r>
          </w:p>
        </w:tc>
        <w:tc>
          <w:tcPr>
            <w:tcW w:w="5448" w:type="dxa"/>
            <w:noWrap w:val="0"/>
            <w:vAlign w:val="center"/>
          </w:tcPr>
          <w:p w14:paraId="126255C5">
            <w:pPr>
              <w:pStyle w:val="248"/>
              <w:keepNext w:val="0"/>
              <w:keepLines w:val="0"/>
              <w:pageBreakBefore w:val="0"/>
              <w:widowControl w:val="0"/>
              <w:kinsoku/>
              <w:wordWrap w:val="0"/>
              <w:overflowPunct/>
              <w:topLinePunct w:val="0"/>
              <w:bidi w:val="0"/>
              <w:spacing w:before="0" w:after="0" w:line="240" w:lineRule="auto"/>
              <w:ind w:firstLine="0"/>
              <w:rPr>
                <w:rFonts w:hint="eastAsia" w:ascii="宋体" w:hAnsi="宋体" w:eastAsia="宋体" w:cs="宋体"/>
                <w:bCs/>
                <w:color w:val="auto"/>
                <w:highlight w:val="none"/>
              </w:rPr>
            </w:pPr>
            <w:r>
              <w:rPr>
                <w:rFonts w:hint="eastAsia" w:ascii="宋体" w:hAnsi="宋体" w:eastAsia="宋体" w:cs="宋体"/>
                <w:bCs/>
                <w:color w:val="auto"/>
                <w:highlight w:val="none"/>
              </w:rPr>
              <w:t>营业执照、税务登记证（或多证合一的营业执照）或事业单位法人证书</w:t>
            </w:r>
          </w:p>
        </w:tc>
        <w:tc>
          <w:tcPr>
            <w:tcW w:w="1680" w:type="dxa"/>
            <w:noWrap w:val="0"/>
            <w:vAlign w:val="center"/>
          </w:tcPr>
          <w:p w14:paraId="47C8239E">
            <w:pPr>
              <w:keepNext w:val="0"/>
              <w:keepLines w:val="0"/>
              <w:pageBreakBefore w:val="0"/>
              <w:widowControl w:val="0"/>
              <w:kinsoku/>
              <w:wordWrap w:val="0"/>
              <w:overflowPunct/>
              <w:topLinePunct w:val="0"/>
              <w:bidi w:val="0"/>
              <w:rPr>
                <w:rFonts w:hint="eastAsia" w:ascii="宋体" w:hAnsi="宋体" w:eastAsia="宋体" w:cs="宋体"/>
                <w:b/>
                <w:color w:val="auto"/>
                <w:highlight w:val="none"/>
              </w:rPr>
            </w:pPr>
          </w:p>
        </w:tc>
        <w:tc>
          <w:tcPr>
            <w:tcW w:w="1785" w:type="dxa"/>
            <w:noWrap w:val="0"/>
            <w:vAlign w:val="center"/>
          </w:tcPr>
          <w:p w14:paraId="4D3B1EE7">
            <w:pPr>
              <w:keepNext w:val="0"/>
              <w:keepLines w:val="0"/>
              <w:pageBreakBefore w:val="0"/>
              <w:widowControl w:val="0"/>
              <w:kinsoku/>
              <w:wordWrap w:val="0"/>
              <w:overflowPunct/>
              <w:topLinePunct w:val="0"/>
              <w:bidi w:val="0"/>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w:t>
            </w:r>
          </w:p>
        </w:tc>
      </w:tr>
      <w:tr w14:paraId="54571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trPr>
        <w:tc>
          <w:tcPr>
            <w:tcW w:w="646" w:type="dxa"/>
            <w:noWrap w:val="0"/>
            <w:vAlign w:val="center"/>
          </w:tcPr>
          <w:p w14:paraId="1608B8B0">
            <w:pPr>
              <w:keepNext w:val="0"/>
              <w:keepLines w:val="0"/>
              <w:pageBreakBefore w:val="0"/>
              <w:widowControl w:val="0"/>
              <w:kinsoku/>
              <w:wordWrap w:val="0"/>
              <w:overflowPunct/>
              <w:topLinePunct w:val="0"/>
              <w:bidi w:val="0"/>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5448" w:type="dxa"/>
            <w:noWrap w:val="0"/>
            <w:vAlign w:val="center"/>
          </w:tcPr>
          <w:p w14:paraId="4BE4559E">
            <w:pPr>
              <w:pStyle w:val="248"/>
              <w:keepNext w:val="0"/>
              <w:keepLines w:val="0"/>
              <w:pageBreakBefore w:val="0"/>
              <w:widowControl w:val="0"/>
              <w:kinsoku/>
              <w:wordWrap w:val="0"/>
              <w:overflowPunct/>
              <w:topLinePunct w:val="0"/>
              <w:bidi w:val="0"/>
              <w:spacing w:before="0" w:after="0" w:line="240" w:lineRule="auto"/>
              <w:ind w:firstLine="0"/>
              <w:rPr>
                <w:rFonts w:hint="eastAsia" w:ascii="宋体" w:hAnsi="宋体" w:eastAsia="宋体" w:cs="宋体"/>
                <w:color w:val="auto"/>
                <w:highlight w:val="none"/>
              </w:rPr>
            </w:pPr>
            <w:r>
              <w:rPr>
                <w:rFonts w:hint="eastAsia" w:ascii="宋体" w:hAnsi="宋体" w:eastAsia="宋体" w:cs="宋体"/>
                <w:color w:val="auto"/>
                <w:highlight w:val="none"/>
              </w:rPr>
              <w:t>上一年度的财务报表（成立不满一年不需提供）</w:t>
            </w:r>
          </w:p>
        </w:tc>
        <w:tc>
          <w:tcPr>
            <w:tcW w:w="1680" w:type="dxa"/>
            <w:noWrap w:val="0"/>
            <w:vAlign w:val="center"/>
          </w:tcPr>
          <w:p w14:paraId="6D1F8F9E">
            <w:pPr>
              <w:keepNext w:val="0"/>
              <w:keepLines w:val="0"/>
              <w:pageBreakBefore w:val="0"/>
              <w:widowControl w:val="0"/>
              <w:kinsoku/>
              <w:wordWrap w:val="0"/>
              <w:overflowPunct/>
              <w:topLinePunct w:val="0"/>
              <w:bidi w:val="0"/>
              <w:rPr>
                <w:rFonts w:hint="eastAsia" w:ascii="宋体" w:hAnsi="宋体" w:eastAsia="宋体" w:cs="宋体"/>
                <w:color w:val="auto"/>
                <w:highlight w:val="none"/>
              </w:rPr>
            </w:pPr>
          </w:p>
        </w:tc>
        <w:tc>
          <w:tcPr>
            <w:tcW w:w="1785" w:type="dxa"/>
            <w:noWrap w:val="0"/>
            <w:vAlign w:val="center"/>
          </w:tcPr>
          <w:p w14:paraId="0BB035FD">
            <w:pPr>
              <w:keepNext w:val="0"/>
              <w:keepLines w:val="0"/>
              <w:pageBreakBefore w:val="0"/>
              <w:widowControl w:val="0"/>
              <w:kinsoku/>
              <w:wordWrap w:val="0"/>
              <w:overflowPunct/>
              <w:topLinePunct w:val="0"/>
              <w:bidi w:val="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w:t>
            </w:r>
          </w:p>
        </w:tc>
      </w:tr>
      <w:tr w14:paraId="61C95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trPr>
        <w:tc>
          <w:tcPr>
            <w:tcW w:w="646" w:type="dxa"/>
            <w:noWrap w:val="0"/>
            <w:vAlign w:val="center"/>
          </w:tcPr>
          <w:p w14:paraId="08B25E8D">
            <w:pPr>
              <w:keepNext w:val="0"/>
              <w:keepLines w:val="0"/>
              <w:pageBreakBefore w:val="0"/>
              <w:widowControl w:val="0"/>
              <w:kinsoku/>
              <w:wordWrap w:val="0"/>
              <w:overflowPunct/>
              <w:topLinePunct w:val="0"/>
              <w:bidi w:val="0"/>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5448" w:type="dxa"/>
            <w:noWrap w:val="0"/>
            <w:vAlign w:val="center"/>
          </w:tcPr>
          <w:p w14:paraId="111D2586">
            <w:pPr>
              <w:pStyle w:val="248"/>
              <w:keepNext w:val="0"/>
              <w:keepLines w:val="0"/>
              <w:pageBreakBefore w:val="0"/>
              <w:widowControl w:val="0"/>
              <w:kinsoku/>
              <w:wordWrap w:val="0"/>
              <w:overflowPunct/>
              <w:topLinePunct w:val="0"/>
              <w:bidi w:val="0"/>
              <w:spacing w:before="0" w:after="0" w:line="240" w:lineRule="auto"/>
              <w:ind w:firstLine="0"/>
              <w:rPr>
                <w:rFonts w:hint="eastAsia" w:ascii="宋体" w:hAnsi="宋体" w:eastAsia="宋体" w:cs="宋体"/>
                <w:color w:val="auto"/>
                <w:highlight w:val="none"/>
              </w:rPr>
            </w:pPr>
            <w:r>
              <w:rPr>
                <w:rFonts w:hint="eastAsia" w:ascii="宋体" w:hAnsi="宋体" w:eastAsia="宋体" w:cs="宋体"/>
                <w:color w:val="auto"/>
                <w:highlight w:val="none"/>
              </w:rPr>
              <w:t>依法缴纳税收和社会保障资金的相关材料</w:t>
            </w:r>
          </w:p>
        </w:tc>
        <w:tc>
          <w:tcPr>
            <w:tcW w:w="1680" w:type="dxa"/>
            <w:noWrap w:val="0"/>
            <w:vAlign w:val="center"/>
          </w:tcPr>
          <w:p w14:paraId="30DDB054">
            <w:pPr>
              <w:keepNext w:val="0"/>
              <w:keepLines w:val="0"/>
              <w:pageBreakBefore w:val="0"/>
              <w:widowControl w:val="0"/>
              <w:kinsoku/>
              <w:wordWrap w:val="0"/>
              <w:overflowPunct/>
              <w:topLinePunct w:val="0"/>
              <w:bidi w:val="0"/>
              <w:rPr>
                <w:rFonts w:hint="eastAsia" w:ascii="宋体" w:hAnsi="宋体" w:eastAsia="宋体" w:cs="宋体"/>
                <w:color w:val="auto"/>
                <w:highlight w:val="none"/>
              </w:rPr>
            </w:pPr>
          </w:p>
        </w:tc>
        <w:tc>
          <w:tcPr>
            <w:tcW w:w="1785" w:type="dxa"/>
            <w:noWrap w:val="0"/>
            <w:vAlign w:val="center"/>
          </w:tcPr>
          <w:p w14:paraId="60CF6540">
            <w:pPr>
              <w:keepNext w:val="0"/>
              <w:keepLines w:val="0"/>
              <w:pageBreakBefore w:val="0"/>
              <w:widowControl w:val="0"/>
              <w:kinsoku/>
              <w:wordWrap w:val="0"/>
              <w:overflowPunct/>
              <w:topLinePunct w:val="0"/>
              <w:bidi w:val="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w:t>
            </w:r>
          </w:p>
        </w:tc>
      </w:tr>
      <w:tr w14:paraId="4FB65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trPr>
        <w:tc>
          <w:tcPr>
            <w:tcW w:w="646" w:type="dxa"/>
            <w:noWrap w:val="0"/>
            <w:vAlign w:val="center"/>
          </w:tcPr>
          <w:p w14:paraId="3C44B4F5">
            <w:pPr>
              <w:keepNext w:val="0"/>
              <w:keepLines w:val="0"/>
              <w:pageBreakBefore w:val="0"/>
              <w:widowControl w:val="0"/>
              <w:kinsoku/>
              <w:wordWrap w:val="0"/>
              <w:overflowPunct/>
              <w:topLinePunct w:val="0"/>
              <w:bidi w:val="0"/>
              <w:jc w:val="center"/>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5448" w:type="dxa"/>
            <w:noWrap w:val="0"/>
            <w:vAlign w:val="center"/>
          </w:tcPr>
          <w:p w14:paraId="1C7B00AC">
            <w:pPr>
              <w:pStyle w:val="248"/>
              <w:keepNext w:val="0"/>
              <w:keepLines w:val="0"/>
              <w:pageBreakBefore w:val="0"/>
              <w:widowControl w:val="0"/>
              <w:kinsoku/>
              <w:wordWrap w:val="0"/>
              <w:overflowPunct/>
              <w:topLinePunct w:val="0"/>
              <w:bidi w:val="0"/>
              <w:spacing w:before="0" w:after="0" w:line="240" w:lineRule="auto"/>
              <w:ind w:firstLine="0"/>
              <w:rPr>
                <w:rFonts w:hint="eastAsia" w:ascii="宋体" w:hAnsi="宋体" w:eastAsia="宋体" w:cs="宋体"/>
                <w:color w:val="auto"/>
                <w:highlight w:val="none"/>
              </w:rPr>
            </w:pPr>
            <w:r>
              <w:rPr>
                <w:rFonts w:hint="eastAsia" w:ascii="宋体" w:hAnsi="宋体" w:eastAsia="宋体" w:cs="宋体"/>
                <w:color w:val="auto"/>
                <w:highlight w:val="none"/>
              </w:rPr>
              <w:t>具备履行合同所必需的设备和专业技术能力的书面声明</w:t>
            </w:r>
          </w:p>
        </w:tc>
        <w:tc>
          <w:tcPr>
            <w:tcW w:w="1680" w:type="dxa"/>
            <w:noWrap w:val="0"/>
            <w:vAlign w:val="center"/>
          </w:tcPr>
          <w:p w14:paraId="680A2BFA">
            <w:pPr>
              <w:keepNext w:val="0"/>
              <w:keepLines w:val="0"/>
              <w:pageBreakBefore w:val="0"/>
              <w:widowControl w:val="0"/>
              <w:kinsoku/>
              <w:wordWrap w:val="0"/>
              <w:overflowPunct/>
              <w:topLinePunct w:val="0"/>
              <w:bidi w:val="0"/>
              <w:rPr>
                <w:rFonts w:hint="eastAsia" w:ascii="宋体" w:hAnsi="宋体" w:eastAsia="宋体" w:cs="宋体"/>
                <w:color w:val="auto"/>
                <w:highlight w:val="none"/>
              </w:rPr>
            </w:pPr>
          </w:p>
        </w:tc>
        <w:tc>
          <w:tcPr>
            <w:tcW w:w="1785" w:type="dxa"/>
            <w:noWrap w:val="0"/>
            <w:vAlign w:val="center"/>
          </w:tcPr>
          <w:p w14:paraId="4C1B6114">
            <w:pPr>
              <w:keepNext w:val="0"/>
              <w:keepLines w:val="0"/>
              <w:pageBreakBefore w:val="0"/>
              <w:widowControl w:val="0"/>
              <w:kinsoku/>
              <w:wordWrap w:val="0"/>
              <w:overflowPunct/>
              <w:topLinePunct w:val="0"/>
              <w:bidi w:val="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w:t>
            </w:r>
          </w:p>
        </w:tc>
      </w:tr>
      <w:tr w14:paraId="5E5F6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trPr>
        <w:tc>
          <w:tcPr>
            <w:tcW w:w="646" w:type="dxa"/>
            <w:noWrap w:val="0"/>
            <w:vAlign w:val="center"/>
          </w:tcPr>
          <w:p w14:paraId="403ED49D">
            <w:pPr>
              <w:keepNext w:val="0"/>
              <w:keepLines w:val="0"/>
              <w:pageBreakBefore w:val="0"/>
              <w:widowControl w:val="0"/>
              <w:kinsoku/>
              <w:wordWrap w:val="0"/>
              <w:overflowPunct/>
              <w:topLinePunct w:val="0"/>
              <w:bidi w:val="0"/>
              <w:jc w:val="center"/>
              <w:rPr>
                <w:rFonts w:hint="eastAsia" w:ascii="宋体" w:hAnsi="宋体" w:eastAsia="宋体" w:cs="宋体"/>
                <w:color w:val="auto"/>
                <w:highlight w:val="none"/>
              </w:rPr>
            </w:pPr>
            <w:r>
              <w:rPr>
                <w:rFonts w:hint="eastAsia" w:ascii="宋体" w:hAnsi="宋体" w:eastAsia="宋体" w:cs="宋体"/>
                <w:color w:val="auto"/>
                <w:highlight w:val="none"/>
              </w:rPr>
              <w:t>5</w:t>
            </w:r>
          </w:p>
        </w:tc>
        <w:tc>
          <w:tcPr>
            <w:tcW w:w="5448" w:type="dxa"/>
            <w:noWrap w:val="0"/>
            <w:vAlign w:val="center"/>
          </w:tcPr>
          <w:p w14:paraId="3B68C055">
            <w:pPr>
              <w:pStyle w:val="248"/>
              <w:keepNext w:val="0"/>
              <w:keepLines w:val="0"/>
              <w:pageBreakBefore w:val="0"/>
              <w:widowControl w:val="0"/>
              <w:kinsoku/>
              <w:wordWrap w:val="0"/>
              <w:overflowPunct/>
              <w:topLinePunct w:val="0"/>
              <w:bidi w:val="0"/>
              <w:spacing w:before="0" w:after="0" w:line="240" w:lineRule="auto"/>
              <w:ind w:firstLine="0"/>
              <w:rPr>
                <w:rFonts w:hint="eastAsia" w:ascii="宋体" w:hAnsi="宋体" w:eastAsia="宋体" w:cs="宋体"/>
                <w:color w:val="auto"/>
                <w:highlight w:val="none"/>
              </w:rPr>
            </w:pPr>
            <w:r>
              <w:rPr>
                <w:rFonts w:hint="eastAsia" w:ascii="宋体" w:hAnsi="宋体" w:eastAsia="宋体" w:cs="宋体"/>
                <w:color w:val="auto"/>
                <w:highlight w:val="none"/>
              </w:rPr>
              <w:t>参加政府采购活动前3年内在经营活动中没有重大违法记录的书面声明</w:t>
            </w:r>
          </w:p>
        </w:tc>
        <w:tc>
          <w:tcPr>
            <w:tcW w:w="1680" w:type="dxa"/>
            <w:noWrap w:val="0"/>
            <w:vAlign w:val="center"/>
          </w:tcPr>
          <w:p w14:paraId="5D64C376">
            <w:pPr>
              <w:keepNext w:val="0"/>
              <w:keepLines w:val="0"/>
              <w:pageBreakBefore w:val="0"/>
              <w:widowControl w:val="0"/>
              <w:kinsoku/>
              <w:wordWrap w:val="0"/>
              <w:overflowPunct/>
              <w:topLinePunct w:val="0"/>
              <w:bidi w:val="0"/>
              <w:rPr>
                <w:rFonts w:hint="eastAsia" w:ascii="宋体" w:hAnsi="宋体" w:eastAsia="宋体" w:cs="宋体"/>
                <w:color w:val="auto"/>
                <w:highlight w:val="none"/>
              </w:rPr>
            </w:pPr>
          </w:p>
        </w:tc>
        <w:tc>
          <w:tcPr>
            <w:tcW w:w="1785" w:type="dxa"/>
            <w:noWrap w:val="0"/>
            <w:vAlign w:val="center"/>
          </w:tcPr>
          <w:p w14:paraId="40970A89">
            <w:pPr>
              <w:keepNext w:val="0"/>
              <w:keepLines w:val="0"/>
              <w:pageBreakBefore w:val="0"/>
              <w:widowControl w:val="0"/>
              <w:kinsoku/>
              <w:wordWrap w:val="0"/>
              <w:overflowPunct/>
              <w:topLinePunct w:val="0"/>
              <w:bidi w:val="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w:t>
            </w:r>
          </w:p>
        </w:tc>
      </w:tr>
      <w:tr w14:paraId="1B950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trPr>
        <w:tc>
          <w:tcPr>
            <w:tcW w:w="646" w:type="dxa"/>
            <w:noWrap w:val="0"/>
            <w:vAlign w:val="center"/>
          </w:tcPr>
          <w:p w14:paraId="77AF9B9E">
            <w:pPr>
              <w:keepNext w:val="0"/>
              <w:keepLines w:val="0"/>
              <w:pageBreakBefore w:val="0"/>
              <w:widowControl w:val="0"/>
              <w:kinsoku/>
              <w:wordWrap w:val="0"/>
              <w:overflowPunct/>
              <w:topLinePunct w:val="0"/>
              <w:bidi w:val="0"/>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6</w:t>
            </w:r>
          </w:p>
        </w:tc>
        <w:tc>
          <w:tcPr>
            <w:tcW w:w="5448" w:type="dxa"/>
            <w:noWrap w:val="0"/>
            <w:vAlign w:val="center"/>
          </w:tcPr>
          <w:p w14:paraId="04F180DF">
            <w:pPr>
              <w:pStyle w:val="248"/>
              <w:keepNext w:val="0"/>
              <w:keepLines w:val="0"/>
              <w:pageBreakBefore w:val="0"/>
              <w:widowControl w:val="0"/>
              <w:kinsoku/>
              <w:wordWrap w:val="0"/>
              <w:overflowPunct/>
              <w:topLinePunct w:val="0"/>
              <w:bidi w:val="0"/>
              <w:spacing w:before="0" w:after="0" w:line="240" w:lineRule="auto"/>
              <w:ind w:firstLine="0"/>
              <w:rPr>
                <w:rFonts w:hint="eastAsia" w:ascii="宋体" w:hAnsi="宋体" w:eastAsia="宋体" w:cs="宋体"/>
                <w:color w:val="auto"/>
                <w:highlight w:val="none"/>
              </w:rPr>
            </w:pPr>
            <w:r>
              <w:rPr>
                <w:rFonts w:hint="eastAsia" w:ascii="宋体" w:hAnsi="宋体" w:eastAsia="宋体" w:cs="宋体"/>
                <w:color w:val="auto"/>
                <w:highlight w:val="none"/>
              </w:rPr>
              <w:t>未被“信用中国”网站（www.creditchina.gov.cn）列入失信被执行人、重大税收违法案件当事人名单、政府采购严重失信行为记录名单。</w:t>
            </w:r>
          </w:p>
        </w:tc>
        <w:tc>
          <w:tcPr>
            <w:tcW w:w="1680" w:type="dxa"/>
            <w:noWrap w:val="0"/>
            <w:vAlign w:val="center"/>
          </w:tcPr>
          <w:p w14:paraId="70D4E496">
            <w:pPr>
              <w:keepNext w:val="0"/>
              <w:keepLines w:val="0"/>
              <w:pageBreakBefore w:val="0"/>
              <w:widowControl w:val="0"/>
              <w:kinsoku/>
              <w:wordWrap w:val="0"/>
              <w:overflowPunct/>
              <w:topLinePunct w:val="0"/>
              <w:bidi w:val="0"/>
              <w:rPr>
                <w:rFonts w:hint="eastAsia" w:ascii="宋体" w:hAnsi="宋体" w:eastAsia="宋体" w:cs="宋体"/>
                <w:color w:val="auto"/>
                <w:highlight w:val="none"/>
              </w:rPr>
            </w:pPr>
          </w:p>
        </w:tc>
        <w:tc>
          <w:tcPr>
            <w:tcW w:w="1785" w:type="dxa"/>
            <w:noWrap w:val="0"/>
            <w:vAlign w:val="center"/>
          </w:tcPr>
          <w:p w14:paraId="5BC5B553">
            <w:pPr>
              <w:keepNext w:val="0"/>
              <w:keepLines w:val="0"/>
              <w:pageBreakBefore w:val="0"/>
              <w:widowControl w:val="0"/>
              <w:kinsoku/>
              <w:wordWrap w:val="0"/>
              <w:overflowPunct/>
              <w:topLinePunct w:val="0"/>
              <w:bidi w:val="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w:t>
            </w:r>
          </w:p>
        </w:tc>
      </w:tr>
      <w:tr w14:paraId="1F366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trPr>
        <w:tc>
          <w:tcPr>
            <w:tcW w:w="646" w:type="dxa"/>
            <w:noWrap w:val="0"/>
            <w:vAlign w:val="center"/>
          </w:tcPr>
          <w:p w14:paraId="33B29878">
            <w:pPr>
              <w:keepNext w:val="0"/>
              <w:keepLines w:val="0"/>
              <w:pageBreakBefore w:val="0"/>
              <w:widowControl w:val="0"/>
              <w:kinsoku/>
              <w:wordWrap w:val="0"/>
              <w:overflowPunct/>
              <w:topLinePunct w:val="0"/>
              <w:bidi w:val="0"/>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7</w:t>
            </w:r>
          </w:p>
        </w:tc>
        <w:tc>
          <w:tcPr>
            <w:tcW w:w="5448" w:type="dxa"/>
            <w:noWrap w:val="0"/>
            <w:vAlign w:val="center"/>
          </w:tcPr>
          <w:p w14:paraId="312C06EE">
            <w:pPr>
              <w:keepNext w:val="0"/>
              <w:keepLines w:val="0"/>
              <w:pageBreakBefore w:val="0"/>
              <w:widowControl w:val="0"/>
              <w:kinsoku/>
              <w:wordWrap w:val="0"/>
              <w:overflowPunct/>
              <w:topLinePunct w:val="0"/>
              <w:bidi w:val="0"/>
              <w:jc w:val="center"/>
              <w:textAlignment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有效期内的城乡规划编制</w:t>
            </w:r>
            <w:r>
              <w:rPr>
                <w:rFonts w:hint="eastAsia" w:ascii="宋体" w:hAnsi="宋体" w:cs="宋体"/>
                <w:color w:val="auto"/>
                <w:kern w:val="0"/>
                <w:sz w:val="24"/>
                <w:szCs w:val="24"/>
                <w:highlight w:val="none"/>
                <w:lang w:val="en-US" w:eastAsia="zh-CN" w:bidi="ar-SA"/>
              </w:rPr>
              <w:t>乙级</w:t>
            </w:r>
            <w:r>
              <w:rPr>
                <w:rFonts w:hint="eastAsia" w:ascii="宋体" w:hAnsi="宋体" w:eastAsia="宋体" w:cs="宋体"/>
                <w:color w:val="auto"/>
                <w:kern w:val="0"/>
                <w:sz w:val="24"/>
                <w:szCs w:val="24"/>
                <w:highlight w:val="none"/>
                <w:lang w:val="en-US" w:eastAsia="zh-CN" w:bidi="ar-SA"/>
              </w:rPr>
              <w:t>及以上资质</w:t>
            </w:r>
            <w:r>
              <w:rPr>
                <w:rFonts w:hint="eastAsia" w:ascii="宋体" w:hAnsi="宋体" w:cs="宋体"/>
                <w:color w:val="auto"/>
                <w:kern w:val="0"/>
                <w:sz w:val="24"/>
                <w:szCs w:val="24"/>
                <w:highlight w:val="none"/>
                <w:lang w:val="en-US" w:eastAsia="zh-CN" w:bidi="ar-SA"/>
              </w:rPr>
              <w:t>的</w:t>
            </w:r>
            <w:r>
              <w:rPr>
                <w:rFonts w:hint="eastAsia" w:ascii="宋体" w:hAnsi="宋体" w:eastAsia="宋体" w:cs="宋体"/>
                <w:color w:val="auto"/>
                <w:kern w:val="0"/>
                <w:sz w:val="24"/>
                <w:szCs w:val="24"/>
                <w:highlight w:val="none"/>
                <w:lang w:val="en-US" w:eastAsia="zh-CN" w:bidi="ar-SA"/>
              </w:rPr>
              <w:t>扫描件</w:t>
            </w:r>
          </w:p>
        </w:tc>
        <w:tc>
          <w:tcPr>
            <w:tcW w:w="1680" w:type="dxa"/>
            <w:noWrap w:val="0"/>
            <w:vAlign w:val="center"/>
          </w:tcPr>
          <w:p w14:paraId="26EAEA91">
            <w:pPr>
              <w:keepNext w:val="0"/>
              <w:keepLines w:val="0"/>
              <w:pageBreakBefore w:val="0"/>
              <w:widowControl w:val="0"/>
              <w:kinsoku/>
              <w:wordWrap w:val="0"/>
              <w:overflowPunct/>
              <w:topLinePunct w:val="0"/>
              <w:bidi w:val="0"/>
              <w:jc w:val="center"/>
              <w:textAlignment w:val="center"/>
              <w:rPr>
                <w:rFonts w:hint="eastAsia" w:ascii="宋体" w:hAnsi="宋体" w:eastAsia="宋体" w:cs="宋体"/>
                <w:b/>
                <w:bCs/>
                <w:color w:val="auto"/>
                <w:kern w:val="0"/>
                <w:sz w:val="22"/>
                <w:szCs w:val="22"/>
                <w:highlight w:val="none"/>
                <w:lang w:val="en-US" w:eastAsia="zh-CN" w:bidi="ar"/>
              </w:rPr>
            </w:pPr>
          </w:p>
        </w:tc>
        <w:tc>
          <w:tcPr>
            <w:tcW w:w="1785" w:type="dxa"/>
            <w:noWrap w:val="0"/>
            <w:vAlign w:val="center"/>
          </w:tcPr>
          <w:p w14:paraId="044CF47A">
            <w:pPr>
              <w:keepNext w:val="0"/>
              <w:keepLines w:val="0"/>
              <w:pageBreakBefore w:val="0"/>
              <w:widowControl w:val="0"/>
              <w:kinsoku/>
              <w:wordWrap w:val="0"/>
              <w:overflowPunct/>
              <w:topLinePunct w:val="0"/>
              <w:bidi w:val="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w:t>
            </w:r>
          </w:p>
        </w:tc>
      </w:tr>
      <w:tr w14:paraId="4BA08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trPr>
        <w:tc>
          <w:tcPr>
            <w:tcW w:w="646" w:type="dxa"/>
            <w:noWrap w:val="0"/>
            <w:vAlign w:val="center"/>
          </w:tcPr>
          <w:p w14:paraId="7FFDB669">
            <w:pPr>
              <w:keepNext w:val="0"/>
              <w:keepLines w:val="0"/>
              <w:pageBreakBefore w:val="0"/>
              <w:widowControl w:val="0"/>
              <w:kinsoku/>
              <w:wordWrap w:val="0"/>
              <w:overflowPunct/>
              <w:topLinePunct w:val="0"/>
              <w:bidi w:val="0"/>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8</w:t>
            </w:r>
          </w:p>
        </w:tc>
        <w:tc>
          <w:tcPr>
            <w:tcW w:w="5448" w:type="dxa"/>
            <w:noWrap w:val="0"/>
            <w:vAlign w:val="center"/>
          </w:tcPr>
          <w:p w14:paraId="0D79F468">
            <w:pPr>
              <w:keepNext w:val="0"/>
              <w:keepLines w:val="0"/>
              <w:pageBreakBefore w:val="0"/>
              <w:widowControl w:val="0"/>
              <w:kinsoku/>
              <w:wordWrap w:val="0"/>
              <w:overflowPunct/>
              <w:topLinePunct w:val="0"/>
              <w:bidi w:val="0"/>
              <w:jc w:val="center"/>
              <w:textAlignment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中小企业声明函</w:t>
            </w:r>
          </w:p>
        </w:tc>
        <w:tc>
          <w:tcPr>
            <w:tcW w:w="1680" w:type="dxa"/>
            <w:noWrap w:val="0"/>
            <w:vAlign w:val="center"/>
          </w:tcPr>
          <w:p w14:paraId="53E54386">
            <w:pPr>
              <w:keepNext w:val="0"/>
              <w:keepLines w:val="0"/>
              <w:pageBreakBefore w:val="0"/>
              <w:widowControl w:val="0"/>
              <w:kinsoku/>
              <w:wordWrap w:val="0"/>
              <w:overflowPunct/>
              <w:topLinePunct w:val="0"/>
              <w:bidi w:val="0"/>
              <w:jc w:val="center"/>
              <w:textAlignment w:val="center"/>
              <w:rPr>
                <w:rFonts w:hint="eastAsia" w:ascii="宋体" w:hAnsi="宋体" w:eastAsia="宋体" w:cs="宋体"/>
                <w:b/>
                <w:bCs/>
                <w:color w:val="auto"/>
                <w:kern w:val="0"/>
                <w:sz w:val="22"/>
                <w:szCs w:val="22"/>
                <w:highlight w:val="none"/>
                <w:lang w:val="en-US" w:eastAsia="zh-CN" w:bidi="ar"/>
              </w:rPr>
            </w:pPr>
          </w:p>
        </w:tc>
        <w:tc>
          <w:tcPr>
            <w:tcW w:w="1785" w:type="dxa"/>
            <w:noWrap w:val="0"/>
            <w:vAlign w:val="center"/>
          </w:tcPr>
          <w:p w14:paraId="1F1342FB">
            <w:pPr>
              <w:keepNext w:val="0"/>
              <w:keepLines w:val="0"/>
              <w:pageBreakBefore w:val="0"/>
              <w:widowControl w:val="0"/>
              <w:kinsoku/>
              <w:wordWrap w:val="0"/>
              <w:overflowPunct/>
              <w:topLinePunct w:val="0"/>
              <w:bidi w:val="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w:t>
            </w:r>
          </w:p>
        </w:tc>
      </w:tr>
    </w:tbl>
    <w:p w14:paraId="6565E254">
      <w:pPr>
        <w:keepNext w:val="0"/>
        <w:keepLines w:val="0"/>
        <w:pageBreakBefore w:val="0"/>
        <w:widowControl w:val="0"/>
        <w:kinsoku/>
        <w:wordWrap w:val="0"/>
        <w:overflowPunct/>
        <w:topLinePunct w:val="0"/>
        <w:bidi w:val="0"/>
        <w:snapToGrid w:val="0"/>
        <w:spacing w:before="50" w:after="50"/>
        <w:jc w:val="center"/>
        <w:rPr>
          <w:rFonts w:hint="eastAsia" w:ascii="宋体" w:hAnsi="宋体" w:eastAsia="宋体" w:cs="宋体"/>
          <w:color w:val="auto"/>
          <w:sz w:val="32"/>
          <w:szCs w:val="32"/>
          <w:highlight w:val="none"/>
        </w:rPr>
      </w:pPr>
      <w:r>
        <w:rPr>
          <w:rFonts w:hint="eastAsia" w:ascii="宋体" w:hAnsi="宋体" w:eastAsia="宋体" w:cs="宋体"/>
          <w:color w:val="auto"/>
          <w:sz w:val="44"/>
          <w:highlight w:val="none"/>
        </w:rPr>
        <w:t xml:space="preserve"> </w:t>
      </w:r>
    </w:p>
    <w:p w14:paraId="6A00F27E">
      <w:pPr>
        <w:keepNext w:val="0"/>
        <w:keepLines w:val="0"/>
        <w:pageBreakBefore w:val="0"/>
        <w:widowControl w:val="0"/>
        <w:kinsoku/>
        <w:wordWrap w:val="0"/>
        <w:overflowPunct/>
        <w:topLinePunct w:val="0"/>
        <w:bidi w:val="0"/>
        <w:snapToGrid w:val="0"/>
        <w:spacing w:before="50" w:after="50"/>
        <w:jc w:val="center"/>
        <w:rPr>
          <w:rFonts w:hint="eastAsia" w:ascii="宋体" w:hAnsi="宋体" w:eastAsia="宋体" w:cs="宋体"/>
          <w:color w:val="auto"/>
          <w:sz w:val="32"/>
          <w:szCs w:val="32"/>
          <w:highlight w:val="none"/>
        </w:rPr>
      </w:pPr>
    </w:p>
    <w:p w14:paraId="78E246BD">
      <w:pPr>
        <w:keepNext w:val="0"/>
        <w:keepLines w:val="0"/>
        <w:pageBreakBefore w:val="0"/>
        <w:widowControl w:val="0"/>
        <w:kinsoku/>
        <w:wordWrap w:val="0"/>
        <w:overflowPunct/>
        <w:topLinePunct w:val="0"/>
        <w:bidi w:val="0"/>
        <w:snapToGrid w:val="0"/>
        <w:spacing w:before="50" w:after="50"/>
        <w:jc w:val="center"/>
        <w:rPr>
          <w:rFonts w:hint="eastAsia" w:ascii="宋体" w:hAnsi="宋体" w:eastAsia="宋体" w:cs="宋体"/>
          <w:color w:val="auto"/>
          <w:sz w:val="32"/>
          <w:szCs w:val="32"/>
          <w:highlight w:val="none"/>
        </w:rPr>
        <w:sectPr>
          <w:pgSz w:w="11906" w:h="16838"/>
          <w:pgMar w:top="1418" w:right="1588" w:bottom="1418" w:left="1365" w:header="851" w:footer="907" w:gutter="0"/>
          <w:pgBorders>
            <w:top w:val="none" w:sz="0" w:space="0"/>
            <w:left w:val="none" w:sz="0" w:space="0"/>
            <w:bottom w:val="none" w:sz="0" w:space="0"/>
            <w:right w:val="none" w:sz="0" w:space="0"/>
          </w:pgBorders>
          <w:pgNumType w:fmt="numberInDash"/>
          <w:cols w:space="720" w:num="1"/>
          <w:titlePg/>
          <w:docGrid w:type="lines" w:linePitch="290" w:charSpace="0"/>
        </w:sectPr>
      </w:pPr>
    </w:p>
    <w:p w14:paraId="35C72817">
      <w:pPr>
        <w:keepNext w:val="0"/>
        <w:keepLines w:val="0"/>
        <w:pageBreakBefore w:val="0"/>
        <w:widowControl w:val="0"/>
        <w:kinsoku/>
        <w:wordWrap w:val="0"/>
        <w:overflowPunct/>
        <w:topLinePunct w:val="0"/>
        <w:bidi w:val="0"/>
        <w:snapToGrid w:val="0"/>
        <w:spacing w:before="50" w:after="50"/>
        <w:jc w:val="center"/>
        <w:rPr>
          <w:rFonts w:hint="eastAsia" w:ascii="宋体" w:hAnsi="宋体" w:eastAsia="宋体" w:cs="宋体"/>
          <w:b/>
          <w:bCs/>
          <w:color w:val="auto"/>
          <w:sz w:val="32"/>
          <w:szCs w:val="40"/>
          <w:highlight w:val="none"/>
          <w:lang w:val="en-US" w:eastAsia="zh-CN" w:bidi="ar-SA"/>
        </w:rPr>
      </w:pPr>
      <w:r>
        <w:rPr>
          <w:rFonts w:hint="eastAsia" w:ascii="宋体" w:hAnsi="宋体" w:eastAsia="宋体" w:cs="宋体"/>
          <w:b/>
          <w:bCs/>
          <w:color w:val="auto"/>
          <w:sz w:val="32"/>
          <w:szCs w:val="40"/>
          <w:highlight w:val="none"/>
          <w:lang w:val="en-US" w:eastAsia="zh-CN" w:bidi="ar-SA"/>
        </w:rPr>
        <w:t>三、符合性检查响应对照表（格式）</w:t>
      </w:r>
    </w:p>
    <w:p w14:paraId="513F76D1">
      <w:pPr>
        <w:keepNext w:val="0"/>
        <w:keepLines w:val="0"/>
        <w:pageBreakBefore w:val="0"/>
        <w:widowControl w:val="0"/>
        <w:kinsoku/>
        <w:wordWrap w:val="0"/>
        <w:overflowPunct/>
        <w:topLinePunct w:val="0"/>
        <w:bidi w:val="0"/>
        <w:ind w:firstLine="3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投标人（加盖CA电子公章）：</w:t>
      </w:r>
    </w:p>
    <w:tbl>
      <w:tblPr>
        <w:tblStyle w:val="38"/>
        <w:tblW w:w="95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5471"/>
        <w:gridCol w:w="1686"/>
        <w:gridCol w:w="1793"/>
      </w:tblGrid>
      <w:tr w14:paraId="1205D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7" w:hRule="atLeast"/>
        </w:trPr>
        <w:tc>
          <w:tcPr>
            <w:tcW w:w="648" w:type="dxa"/>
            <w:noWrap w:val="0"/>
            <w:vAlign w:val="center"/>
          </w:tcPr>
          <w:p w14:paraId="6B359FF1">
            <w:pPr>
              <w:keepNext w:val="0"/>
              <w:keepLines w:val="0"/>
              <w:pageBreakBefore w:val="0"/>
              <w:widowControl w:val="0"/>
              <w:kinsoku/>
              <w:wordWrap w:val="0"/>
              <w:overflowPunct/>
              <w:topLinePunct w:val="0"/>
              <w:bidi w:val="0"/>
              <w:snapToGrid w:val="0"/>
              <w:spacing w:line="240" w:lineRule="atLeast"/>
              <w:jc w:val="center"/>
              <w:rPr>
                <w:rFonts w:hint="eastAsia" w:ascii="宋体" w:hAnsi="宋体" w:eastAsia="宋体" w:cs="宋体"/>
                <w:b/>
                <w:color w:val="auto"/>
                <w:highlight w:val="none"/>
              </w:rPr>
            </w:pPr>
            <w:r>
              <w:rPr>
                <w:rFonts w:hint="eastAsia" w:ascii="宋体" w:hAnsi="宋体" w:eastAsia="宋体" w:cs="宋体"/>
                <w:b/>
                <w:color w:val="auto"/>
                <w:highlight w:val="none"/>
              </w:rPr>
              <w:t>序号</w:t>
            </w:r>
          </w:p>
        </w:tc>
        <w:tc>
          <w:tcPr>
            <w:tcW w:w="5471" w:type="dxa"/>
            <w:noWrap w:val="0"/>
            <w:vAlign w:val="center"/>
          </w:tcPr>
          <w:p w14:paraId="67D5338C">
            <w:pPr>
              <w:keepNext w:val="0"/>
              <w:keepLines w:val="0"/>
              <w:pageBreakBefore w:val="0"/>
              <w:widowControl w:val="0"/>
              <w:kinsoku/>
              <w:wordWrap w:val="0"/>
              <w:overflowPunct/>
              <w:topLinePunct w:val="0"/>
              <w:bidi w:val="0"/>
              <w:snapToGrid w:val="0"/>
              <w:spacing w:line="240" w:lineRule="atLeast"/>
              <w:jc w:val="center"/>
              <w:rPr>
                <w:rFonts w:hint="eastAsia" w:ascii="宋体" w:hAnsi="宋体" w:eastAsia="宋体" w:cs="宋体"/>
                <w:b/>
                <w:color w:val="auto"/>
                <w:highlight w:val="none"/>
              </w:rPr>
            </w:pPr>
            <w:r>
              <w:rPr>
                <w:rFonts w:hint="eastAsia" w:ascii="宋体" w:hAnsi="宋体" w:eastAsia="宋体" w:cs="宋体"/>
                <w:b/>
                <w:color w:val="auto"/>
                <w:highlight w:val="none"/>
              </w:rPr>
              <w:t>符合性检查响应内容</w:t>
            </w:r>
          </w:p>
        </w:tc>
        <w:tc>
          <w:tcPr>
            <w:tcW w:w="1686" w:type="dxa"/>
            <w:noWrap w:val="0"/>
            <w:vAlign w:val="center"/>
          </w:tcPr>
          <w:p w14:paraId="2164E62C">
            <w:pPr>
              <w:keepNext w:val="0"/>
              <w:keepLines w:val="0"/>
              <w:pageBreakBefore w:val="0"/>
              <w:widowControl w:val="0"/>
              <w:kinsoku/>
              <w:wordWrap w:val="0"/>
              <w:overflowPunct/>
              <w:topLinePunct w:val="0"/>
              <w:bidi w:val="0"/>
              <w:snapToGrid w:val="0"/>
              <w:spacing w:line="240" w:lineRule="atLeast"/>
              <w:jc w:val="center"/>
              <w:rPr>
                <w:rFonts w:hint="eastAsia" w:ascii="宋体" w:hAnsi="宋体" w:eastAsia="宋体" w:cs="宋体"/>
                <w:b/>
                <w:color w:val="auto"/>
                <w:highlight w:val="none"/>
              </w:rPr>
            </w:pPr>
            <w:r>
              <w:rPr>
                <w:rFonts w:hint="eastAsia" w:ascii="宋体" w:hAnsi="宋体" w:eastAsia="宋体" w:cs="宋体"/>
                <w:b/>
                <w:color w:val="auto"/>
                <w:highlight w:val="none"/>
              </w:rPr>
              <w:t>是否响应</w:t>
            </w:r>
          </w:p>
          <w:p w14:paraId="7FA88B8E">
            <w:pPr>
              <w:keepNext w:val="0"/>
              <w:keepLines w:val="0"/>
              <w:pageBreakBefore w:val="0"/>
              <w:widowControl w:val="0"/>
              <w:kinsoku/>
              <w:wordWrap w:val="0"/>
              <w:overflowPunct/>
              <w:topLinePunct w:val="0"/>
              <w:bidi w:val="0"/>
              <w:snapToGrid w:val="0"/>
              <w:spacing w:line="240" w:lineRule="atLeast"/>
              <w:jc w:val="center"/>
              <w:rPr>
                <w:rFonts w:hint="eastAsia" w:ascii="宋体" w:hAnsi="宋体" w:eastAsia="宋体" w:cs="宋体"/>
                <w:b/>
                <w:color w:val="auto"/>
                <w:highlight w:val="none"/>
              </w:rPr>
            </w:pPr>
            <w:r>
              <w:rPr>
                <w:rFonts w:hint="eastAsia" w:ascii="宋体" w:hAnsi="宋体" w:eastAsia="宋体" w:cs="宋体"/>
                <w:b/>
                <w:color w:val="auto"/>
                <w:highlight w:val="none"/>
              </w:rPr>
              <w:t>（填是或者否）</w:t>
            </w:r>
          </w:p>
        </w:tc>
        <w:tc>
          <w:tcPr>
            <w:tcW w:w="1793" w:type="dxa"/>
            <w:noWrap w:val="0"/>
            <w:vAlign w:val="center"/>
          </w:tcPr>
          <w:p w14:paraId="3D6EAAFD">
            <w:pPr>
              <w:keepNext w:val="0"/>
              <w:keepLines w:val="0"/>
              <w:pageBreakBefore w:val="0"/>
              <w:widowControl w:val="0"/>
              <w:kinsoku/>
              <w:wordWrap w:val="0"/>
              <w:overflowPunct/>
              <w:topLinePunct w:val="0"/>
              <w:bidi w:val="0"/>
              <w:snapToGrid w:val="0"/>
              <w:spacing w:line="240" w:lineRule="atLeast"/>
              <w:jc w:val="center"/>
              <w:rPr>
                <w:rFonts w:hint="eastAsia" w:ascii="宋体" w:hAnsi="宋体" w:eastAsia="宋体" w:cs="宋体"/>
                <w:b/>
                <w:color w:val="auto"/>
                <w:highlight w:val="none"/>
              </w:rPr>
            </w:pPr>
            <w:r>
              <w:rPr>
                <w:rFonts w:hint="eastAsia" w:ascii="宋体" w:hAnsi="宋体" w:eastAsia="宋体" w:cs="宋体"/>
                <w:b/>
                <w:color w:val="auto"/>
                <w:highlight w:val="none"/>
              </w:rPr>
              <w:t>投标文件中的</w:t>
            </w:r>
          </w:p>
          <w:p w14:paraId="41CF4146">
            <w:pPr>
              <w:keepNext w:val="0"/>
              <w:keepLines w:val="0"/>
              <w:pageBreakBefore w:val="0"/>
              <w:widowControl w:val="0"/>
              <w:kinsoku/>
              <w:wordWrap w:val="0"/>
              <w:overflowPunct/>
              <w:topLinePunct w:val="0"/>
              <w:bidi w:val="0"/>
              <w:snapToGrid w:val="0"/>
              <w:spacing w:line="240" w:lineRule="atLeast"/>
              <w:jc w:val="center"/>
              <w:rPr>
                <w:rFonts w:hint="eastAsia" w:ascii="宋体" w:hAnsi="宋体" w:eastAsia="宋体" w:cs="宋体"/>
                <w:b/>
                <w:color w:val="auto"/>
                <w:highlight w:val="none"/>
              </w:rPr>
            </w:pPr>
            <w:r>
              <w:rPr>
                <w:rFonts w:hint="eastAsia" w:ascii="宋体" w:hAnsi="宋体" w:eastAsia="宋体" w:cs="宋体"/>
                <w:b/>
                <w:color w:val="auto"/>
                <w:highlight w:val="none"/>
              </w:rPr>
              <w:t>页码位置</w:t>
            </w:r>
          </w:p>
        </w:tc>
      </w:tr>
      <w:tr w14:paraId="66152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648" w:type="dxa"/>
            <w:noWrap w:val="0"/>
            <w:vAlign w:val="center"/>
          </w:tcPr>
          <w:p w14:paraId="1498CD79">
            <w:pPr>
              <w:keepNext w:val="0"/>
              <w:keepLines w:val="0"/>
              <w:pageBreakBefore w:val="0"/>
              <w:widowControl w:val="0"/>
              <w:kinsoku/>
              <w:wordWrap w:val="0"/>
              <w:overflowPunct/>
              <w:topLinePunct w:val="0"/>
              <w:bidi w:val="0"/>
              <w:jc w:val="center"/>
              <w:rPr>
                <w:rFonts w:hint="eastAsia" w:ascii="宋体" w:hAnsi="宋体" w:eastAsia="宋体" w:cs="宋体"/>
                <w:bCs/>
                <w:color w:val="auto"/>
                <w:highlight w:val="none"/>
              </w:rPr>
            </w:pPr>
            <w:r>
              <w:rPr>
                <w:rFonts w:hint="eastAsia" w:ascii="宋体" w:hAnsi="宋体" w:eastAsia="宋体" w:cs="宋体"/>
                <w:bCs/>
                <w:color w:val="auto"/>
                <w:highlight w:val="none"/>
              </w:rPr>
              <w:t>1</w:t>
            </w:r>
          </w:p>
        </w:tc>
        <w:tc>
          <w:tcPr>
            <w:tcW w:w="5471" w:type="dxa"/>
            <w:noWrap w:val="0"/>
            <w:vAlign w:val="center"/>
          </w:tcPr>
          <w:p w14:paraId="1DD84AF3">
            <w:pPr>
              <w:keepNext w:val="0"/>
              <w:keepLines w:val="0"/>
              <w:pageBreakBefore w:val="0"/>
              <w:widowControl w:val="0"/>
              <w:kinsoku/>
              <w:wordWrap w:val="0"/>
              <w:overflowPunct/>
              <w:topLinePunct w:val="0"/>
              <w:bidi w:val="0"/>
              <w:jc w:val="left"/>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投标文件组成完整、齐全、无误，内容真实、有效</w:t>
            </w:r>
          </w:p>
        </w:tc>
        <w:tc>
          <w:tcPr>
            <w:tcW w:w="1686" w:type="dxa"/>
            <w:noWrap w:val="0"/>
            <w:vAlign w:val="center"/>
          </w:tcPr>
          <w:p w14:paraId="4A7C6DCA">
            <w:pPr>
              <w:keepNext w:val="0"/>
              <w:keepLines w:val="0"/>
              <w:pageBreakBefore w:val="0"/>
              <w:widowControl w:val="0"/>
              <w:kinsoku/>
              <w:wordWrap w:val="0"/>
              <w:overflowPunct/>
              <w:topLinePunct w:val="0"/>
              <w:bidi w:val="0"/>
              <w:jc w:val="center"/>
              <w:rPr>
                <w:rFonts w:hint="eastAsia" w:ascii="宋体" w:hAnsi="宋体" w:eastAsia="宋体" w:cs="宋体"/>
                <w:bCs/>
                <w:color w:val="auto"/>
                <w:highlight w:val="none"/>
              </w:rPr>
            </w:pPr>
          </w:p>
        </w:tc>
        <w:tc>
          <w:tcPr>
            <w:tcW w:w="1793" w:type="dxa"/>
            <w:noWrap w:val="0"/>
            <w:vAlign w:val="center"/>
          </w:tcPr>
          <w:p w14:paraId="775773AB">
            <w:pPr>
              <w:keepNext w:val="0"/>
              <w:keepLines w:val="0"/>
              <w:pageBreakBefore w:val="0"/>
              <w:widowControl w:val="0"/>
              <w:kinsoku/>
              <w:wordWrap w:val="0"/>
              <w:overflowPunct/>
              <w:topLinePunct w:val="0"/>
              <w:bidi w:val="0"/>
              <w:jc w:val="center"/>
              <w:rPr>
                <w:rFonts w:hint="eastAsia" w:ascii="宋体" w:hAnsi="宋体" w:eastAsia="宋体" w:cs="宋体"/>
                <w:bCs/>
                <w:color w:val="auto"/>
                <w:highlight w:val="none"/>
              </w:rPr>
            </w:pPr>
            <w:r>
              <w:rPr>
                <w:rFonts w:hint="eastAsia" w:ascii="宋体" w:hAnsi="宋体" w:eastAsia="宋体" w:cs="宋体"/>
                <w:bCs/>
                <w:color w:val="auto"/>
                <w:highlight w:val="none"/>
              </w:rPr>
              <w:t>/</w:t>
            </w:r>
          </w:p>
        </w:tc>
      </w:tr>
      <w:tr w14:paraId="19337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648" w:type="dxa"/>
            <w:noWrap w:val="0"/>
            <w:vAlign w:val="center"/>
          </w:tcPr>
          <w:p w14:paraId="4D85E94A">
            <w:pPr>
              <w:keepNext w:val="0"/>
              <w:keepLines w:val="0"/>
              <w:pageBreakBefore w:val="0"/>
              <w:widowControl w:val="0"/>
              <w:kinsoku/>
              <w:wordWrap w:val="0"/>
              <w:overflowPunct/>
              <w:topLinePunct w:val="0"/>
              <w:bidi w:val="0"/>
              <w:jc w:val="center"/>
              <w:rPr>
                <w:rFonts w:hint="eastAsia" w:ascii="宋体" w:hAnsi="宋体" w:eastAsia="宋体" w:cs="宋体"/>
                <w:bCs/>
                <w:color w:val="auto"/>
                <w:highlight w:val="none"/>
              </w:rPr>
            </w:pPr>
            <w:r>
              <w:rPr>
                <w:rFonts w:hint="eastAsia" w:ascii="宋体" w:hAnsi="宋体" w:eastAsia="宋体" w:cs="宋体"/>
                <w:bCs/>
                <w:color w:val="auto"/>
                <w:highlight w:val="none"/>
              </w:rPr>
              <w:t>2</w:t>
            </w:r>
          </w:p>
        </w:tc>
        <w:tc>
          <w:tcPr>
            <w:tcW w:w="5471" w:type="dxa"/>
            <w:noWrap w:val="0"/>
            <w:vAlign w:val="center"/>
          </w:tcPr>
          <w:p w14:paraId="05B37516">
            <w:pPr>
              <w:keepNext w:val="0"/>
              <w:keepLines w:val="0"/>
              <w:pageBreakBefore w:val="0"/>
              <w:widowControl w:val="0"/>
              <w:kinsoku/>
              <w:wordWrap w:val="0"/>
              <w:overflowPunct/>
              <w:topLinePunct w:val="0"/>
              <w:bidi w:val="0"/>
              <w:jc w:val="left"/>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投标报价未超过采购预算或最高限价且不低于企业成本价</w:t>
            </w:r>
          </w:p>
        </w:tc>
        <w:tc>
          <w:tcPr>
            <w:tcW w:w="1686" w:type="dxa"/>
            <w:noWrap w:val="0"/>
            <w:vAlign w:val="center"/>
          </w:tcPr>
          <w:p w14:paraId="04B5AEF8">
            <w:pPr>
              <w:keepNext w:val="0"/>
              <w:keepLines w:val="0"/>
              <w:pageBreakBefore w:val="0"/>
              <w:widowControl w:val="0"/>
              <w:kinsoku/>
              <w:wordWrap w:val="0"/>
              <w:overflowPunct/>
              <w:topLinePunct w:val="0"/>
              <w:bidi w:val="0"/>
              <w:jc w:val="center"/>
              <w:rPr>
                <w:rFonts w:hint="eastAsia" w:ascii="宋体" w:hAnsi="宋体" w:eastAsia="宋体" w:cs="宋体"/>
                <w:bCs/>
                <w:color w:val="auto"/>
                <w:highlight w:val="none"/>
              </w:rPr>
            </w:pPr>
          </w:p>
        </w:tc>
        <w:tc>
          <w:tcPr>
            <w:tcW w:w="1793" w:type="dxa"/>
            <w:noWrap w:val="0"/>
            <w:vAlign w:val="center"/>
          </w:tcPr>
          <w:p w14:paraId="5C45E759">
            <w:pPr>
              <w:keepNext w:val="0"/>
              <w:keepLines w:val="0"/>
              <w:pageBreakBefore w:val="0"/>
              <w:widowControl w:val="0"/>
              <w:kinsoku/>
              <w:wordWrap w:val="0"/>
              <w:overflowPunct/>
              <w:topLinePunct w:val="0"/>
              <w:bidi w:val="0"/>
              <w:jc w:val="center"/>
              <w:rPr>
                <w:rFonts w:hint="eastAsia" w:ascii="宋体" w:hAnsi="宋体" w:eastAsia="宋体" w:cs="宋体"/>
                <w:bCs/>
                <w:color w:val="auto"/>
                <w:highlight w:val="none"/>
              </w:rPr>
            </w:pPr>
          </w:p>
        </w:tc>
      </w:tr>
      <w:tr w14:paraId="1F3E1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648" w:type="dxa"/>
            <w:noWrap w:val="0"/>
            <w:vAlign w:val="center"/>
          </w:tcPr>
          <w:p w14:paraId="56734964">
            <w:pPr>
              <w:keepNext w:val="0"/>
              <w:keepLines w:val="0"/>
              <w:pageBreakBefore w:val="0"/>
              <w:widowControl w:val="0"/>
              <w:kinsoku/>
              <w:wordWrap w:val="0"/>
              <w:overflowPunct/>
              <w:topLinePunct w:val="0"/>
              <w:bidi w:val="0"/>
              <w:jc w:val="center"/>
              <w:rPr>
                <w:rFonts w:hint="eastAsia" w:ascii="宋体" w:hAnsi="宋体" w:eastAsia="宋体" w:cs="宋体"/>
                <w:bCs/>
                <w:color w:val="auto"/>
                <w:highlight w:val="none"/>
              </w:rPr>
            </w:pPr>
            <w:r>
              <w:rPr>
                <w:rFonts w:hint="eastAsia" w:ascii="宋体" w:hAnsi="宋体" w:eastAsia="宋体" w:cs="宋体"/>
                <w:bCs/>
                <w:color w:val="auto"/>
                <w:highlight w:val="none"/>
              </w:rPr>
              <w:t>3</w:t>
            </w:r>
          </w:p>
        </w:tc>
        <w:tc>
          <w:tcPr>
            <w:tcW w:w="5471" w:type="dxa"/>
            <w:noWrap w:val="0"/>
            <w:vAlign w:val="center"/>
          </w:tcPr>
          <w:p w14:paraId="7907D24F">
            <w:pPr>
              <w:keepNext w:val="0"/>
              <w:keepLines w:val="0"/>
              <w:pageBreakBefore w:val="0"/>
              <w:widowControl w:val="0"/>
              <w:kinsoku/>
              <w:wordWrap w:val="0"/>
              <w:overflowPunct/>
              <w:topLinePunct w:val="0"/>
              <w:bidi w:val="0"/>
              <w:jc w:val="left"/>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投标文件按照规定进行签署、盖章、密封</w:t>
            </w:r>
          </w:p>
        </w:tc>
        <w:tc>
          <w:tcPr>
            <w:tcW w:w="1686" w:type="dxa"/>
            <w:noWrap w:val="0"/>
            <w:vAlign w:val="center"/>
          </w:tcPr>
          <w:p w14:paraId="1512866F">
            <w:pPr>
              <w:keepNext w:val="0"/>
              <w:keepLines w:val="0"/>
              <w:pageBreakBefore w:val="0"/>
              <w:widowControl w:val="0"/>
              <w:kinsoku/>
              <w:wordWrap w:val="0"/>
              <w:overflowPunct/>
              <w:topLinePunct w:val="0"/>
              <w:bidi w:val="0"/>
              <w:jc w:val="center"/>
              <w:rPr>
                <w:rFonts w:hint="eastAsia" w:ascii="宋体" w:hAnsi="宋体" w:eastAsia="宋体" w:cs="宋体"/>
                <w:bCs/>
                <w:color w:val="auto"/>
                <w:highlight w:val="none"/>
              </w:rPr>
            </w:pPr>
          </w:p>
        </w:tc>
        <w:tc>
          <w:tcPr>
            <w:tcW w:w="1793" w:type="dxa"/>
            <w:noWrap w:val="0"/>
            <w:vAlign w:val="center"/>
          </w:tcPr>
          <w:p w14:paraId="268E885E">
            <w:pPr>
              <w:keepNext w:val="0"/>
              <w:keepLines w:val="0"/>
              <w:pageBreakBefore w:val="0"/>
              <w:widowControl w:val="0"/>
              <w:kinsoku/>
              <w:wordWrap w:val="0"/>
              <w:overflowPunct/>
              <w:topLinePunct w:val="0"/>
              <w:bidi w:val="0"/>
              <w:jc w:val="center"/>
              <w:rPr>
                <w:rFonts w:hint="eastAsia" w:ascii="宋体" w:hAnsi="宋体" w:eastAsia="宋体" w:cs="宋体"/>
                <w:bCs/>
                <w:color w:val="auto"/>
                <w:highlight w:val="none"/>
              </w:rPr>
            </w:pPr>
            <w:r>
              <w:rPr>
                <w:rFonts w:hint="eastAsia" w:ascii="宋体" w:hAnsi="宋体" w:eastAsia="宋体" w:cs="宋体"/>
                <w:bCs/>
                <w:color w:val="auto"/>
                <w:highlight w:val="none"/>
              </w:rPr>
              <w:t>/</w:t>
            </w:r>
          </w:p>
        </w:tc>
      </w:tr>
      <w:tr w14:paraId="10A59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648" w:type="dxa"/>
            <w:noWrap w:val="0"/>
            <w:vAlign w:val="center"/>
          </w:tcPr>
          <w:p w14:paraId="02527CED">
            <w:pPr>
              <w:keepNext w:val="0"/>
              <w:keepLines w:val="0"/>
              <w:pageBreakBefore w:val="0"/>
              <w:widowControl w:val="0"/>
              <w:kinsoku/>
              <w:wordWrap w:val="0"/>
              <w:overflowPunct/>
              <w:topLinePunct w:val="0"/>
              <w:bidi w:val="0"/>
              <w:jc w:val="center"/>
              <w:rPr>
                <w:rFonts w:hint="eastAsia" w:ascii="宋体" w:hAnsi="宋体" w:eastAsia="宋体" w:cs="宋体"/>
                <w:bCs/>
                <w:color w:val="auto"/>
                <w:highlight w:val="none"/>
              </w:rPr>
            </w:pPr>
            <w:r>
              <w:rPr>
                <w:rFonts w:hint="eastAsia" w:ascii="宋体" w:hAnsi="宋体" w:eastAsia="宋体" w:cs="宋体"/>
                <w:bCs/>
                <w:color w:val="auto"/>
                <w:highlight w:val="none"/>
              </w:rPr>
              <w:t>4</w:t>
            </w:r>
          </w:p>
        </w:tc>
        <w:tc>
          <w:tcPr>
            <w:tcW w:w="5471" w:type="dxa"/>
            <w:noWrap w:val="0"/>
            <w:vAlign w:val="center"/>
          </w:tcPr>
          <w:p w14:paraId="09D53ADE">
            <w:pPr>
              <w:keepNext w:val="0"/>
              <w:keepLines w:val="0"/>
              <w:pageBreakBefore w:val="0"/>
              <w:widowControl w:val="0"/>
              <w:kinsoku/>
              <w:wordWrap w:val="0"/>
              <w:overflowPunct/>
              <w:topLinePunct w:val="0"/>
              <w:bidi w:val="0"/>
              <w:jc w:val="left"/>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投标文件按照规定的格式、内容进行编制</w:t>
            </w:r>
          </w:p>
        </w:tc>
        <w:tc>
          <w:tcPr>
            <w:tcW w:w="1686" w:type="dxa"/>
            <w:noWrap w:val="0"/>
            <w:vAlign w:val="center"/>
          </w:tcPr>
          <w:p w14:paraId="32F81339">
            <w:pPr>
              <w:keepNext w:val="0"/>
              <w:keepLines w:val="0"/>
              <w:pageBreakBefore w:val="0"/>
              <w:widowControl w:val="0"/>
              <w:kinsoku/>
              <w:wordWrap w:val="0"/>
              <w:overflowPunct/>
              <w:topLinePunct w:val="0"/>
              <w:bidi w:val="0"/>
              <w:jc w:val="center"/>
              <w:rPr>
                <w:rFonts w:hint="eastAsia" w:ascii="宋体" w:hAnsi="宋体" w:eastAsia="宋体" w:cs="宋体"/>
                <w:bCs/>
                <w:color w:val="auto"/>
                <w:highlight w:val="none"/>
              </w:rPr>
            </w:pPr>
          </w:p>
        </w:tc>
        <w:tc>
          <w:tcPr>
            <w:tcW w:w="1793" w:type="dxa"/>
            <w:noWrap w:val="0"/>
            <w:vAlign w:val="center"/>
          </w:tcPr>
          <w:p w14:paraId="295420CA">
            <w:pPr>
              <w:keepNext w:val="0"/>
              <w:keepLines w:val="0"/>
              <w:pageBreakBefore w:val="0"/>
              <w:widowControl w:val="0"/>
              <w:kinsoku/>
              <w:wordWrap w:val="0"/>
              <w:overflowPunct/>
              <w:topLinePunct w:val="0"/>
              <w:bidi w:val="0"/>
              <w:jc w:val="center"/>
              <w:rPr>
                <w:rFonts w:hint="eastAsia" w:ascii="宋体" w:hAnsi="宋体" w:eastAsia="宋体" w:cs="宋体"/>
                <w:bCs/>
                <w:color w:val="auto"/>
                <w:highlight w:val="none"/>
              </w:rPr>
            </w:pPr>
            <w:r>
              <w:rPr>
                <w:rFonts w:hint="eastAsia" w:ascii="宋体" w:hAnsi="宋体" w:eastAsia="宋体" w:cs="宋体"/>
                <w:bCs/>
                <w:color w:val="auto"/>
                <w:highlight w:val="none"/>
              </w:rPr>
              <w:t>/</w:t>
            </w:r>
          </w:p>
        </w:tc>
      </w:tr>
      <w:tr w14:paraId="08546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648" w:type="dxa"/>
            <w:noWrap w:val="0"/>
            <w:vAlign w:val="center"/>
          </w:tcPr>
          <w:p w14:paraId="723652AE">
            <w:pPr>
              <w:keepNext w:val="0"/>
              <w:keepLines w:val="0"/>
              <w:pageBreakBefore w:val="0"/>
              <w:widowControl w:val="0"/>
              <w:kinsoku/>
              <w:wordWrap w:val="0"/>
              <w:overflowPunct/>
              <w:topLinePunct w:val="0"/>
              <w:bidi w:val="0"/>
              <w:jc w:val="center"/>
              <w:rPr>
                <w:rFonts w:hint="eastAsia" w:ascii="宋体" w:hAnsi="宋体" w:eastAsia="宋体" w:cs="宋体"/>
                <w:bCs/>
                <w:color w:val="auto"/>
                <w:highlight w:val="none"/>
              </w:rPr>
            </w:pPr>
            <w:r>
              <w:rPr>
                <w:rFonts w:hint="eastAsia" w:ascii="宋体" w:hAnsi="宋体" w:eastAsia="宋体" w:cs="宋体"/>
                <w:bCs/>
                <w:color w:val="auto"/>
                <w:highlight w:val="none"/>
              </w:rPr>
              <w:t>5</w:t>
            </w:r>
          </w:p>
        </w:tc>
        <w:tc>
          <w:tcPr>
            <w:tcW w:w="5471" w:type="dxa"/>
            <w:noWrap w:val="0"/>
            <w:vAlign w:val="center"/>
          </w:tcPr>
          <w:p w14:paraId="0143100E">
            <w:pPr>
              <w:keepNext w:val="0"/>
              <w:keepLines w:val="0"/>
              <w:pageBreakBefore w:val="0"/>
              <w:widowControl w:val="0"/>
              <w:kinsoku/>
              <w:wordWrap w:val="0"/>
              <w:overflowPunct/>
              <w:topLinePunct w:val="0"/>
              <w:bidi w:val="0"/>
              <w:snapToGrid w:val="0"/>
              <w:jc w:val="left"/>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投标文件的编制规范、内容清晰可辩</w:t>
            </w:r>
          </w:p>
        </w:tc>
        <w:tc>
          <w:tcPr>
            <w:tcW w:w="1686" w:type="dxa"/>
            <w:noWrap w:val="0"/>
            <w:vAlign w:val="center"/>
          </w:tcPr>
          <w:p w14:paraId="2FF61F28">
            <w:pPr>
              <w:keepNext w:val="0"/>
              <w:keepLines w:val="0"/>
              <w:pageBreakBefore w:val="0"/>
              <w:widowControl w:val="0"/>
              <w:kinsoku/>
              <w:wordWrap w:val="0"/>
              <w:overflowPunct/>
              <w:topLinePunct w:val="0"/>
              <w:bidi w:val="0"/>
              <w:jc w:val="center"/>
              <w:rPr>
                <w:rFonts w:hint="eastAsia" w:ascii="宋体" w:hAnsi="宋体" w:eastAsia="宋体" w:cs="宋体"/>
                <w:bCs/>
                <w:color w:val="auto"/>
                <w:highlight w:val="none"/>
              </w:rPr>
            </w:pPr>
          </w:p>
        </w:tc>
        <w:tc>
          <w:tcPr>
            <w:tcW w:w="1793" w:type="dxa"/>
            <w:noWrap w:val="0"/>
            <w:vAlign w:val="center"/>
          </w:tcPr>
          <w:p w14:paraId="4C358A0E">
            <w:pPr>
              <w:keepNext w:val="0"/>
              <w:keepLines w:val="0"/>
              <w:pageBreakBefore w:val="0"/>
              <w:widowControl w:val="0"/>
              <w:kinsoku/>
              <w:wordWrap w:val="0"/>
              <w:overflowPunct/>
              <w:topLinePunct w:val="0"/>
              <w:bidi w:val="0"/>
              <w:jc w:val="center"/>
              <w:rPr>
                <w:rFonts w:hint="eastAsia" w:ascii="宋体" w:hAnsi="宋体" w:eastAsia="宋体" w:cs="宋体"/>
                <w:bCs/>
                <w:color w:val="auto"/>
                <w:highlight w:val="none"/>
              </w:rPr>
            </w:pPr>
            <w:r>
              <w:rPr>
                <w:rFonts w:hint="eastAsia" w:ascii="宋体" w:hAnsi="宋体" w:eastAsia="宋体" w:cs="宋体"/>
                <w:bCs/>
                <w:color w:val="auto"/>
                <w:highlight w:val="none"/>
              </w:rPr>
              <w:t>/</w:t>
            </w:r>
          </w:p>
        </w:tc>
      </w:tr>
      <w:tr w14:paraId="25681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648" w:type="dxa"/>
            <w:noWrap w:val="0"/>
            <w:vAlign w:val="center"/>
          </w:tcPr>
          <w:p w14:paraId="0363F87E">
            <w:pPr>
              <w:keepNext w:val="0"/>
              <w:keepLines w:val="0"/>
              <w:pageBreakBefore w:val="0"/>
              <w:widowControl w:val="0"/>
              <w:kinsoku/>
              <w:wordWrap w:val="0"/>
              <w:overflowPunct/>
              <w:topLinePunct w:val="0"/>
              <w:bidi w:val="0"/>
              <w:jc w:val="center"/>
              <w:rPr>
                <w:rFonts w:hint="eastAsia" w:ascii="宋体" w:hAnsi="宋体" w:eastAsia="宋体" w:cs="宋体"/>
                <w:bCs/>
                <w:color w:val="auto"/>
                <w:highlight w:val="none"/>
              </w:rPr>
            </w:pPr>
            <w:r>
              <w:rPr>
                <w:rFonts w:hint="eastAsia" w:ascii="宋体" w:hAnsi="宋体" w:eastAsia="宋体" w:cs="宋体"/>
                <w:bCs/>
                <w:color w:val="auto"/>
                <w:highlight w:val="none"/>
              </w:rPr>
              <w:t>6</w:t>
            </w:r>
          </w:p>
        </w:tc>
        <w:tc>
          <w:tcPr>
            <w:tcW w:w="5471" w:type="dxa"/>
            <w:noWrap w:val="0"/>
            <w:vAlign w:val="center"/>
          </w:tcPr>
          <w:p w14:paraId="152BCB58">
            <w:pPr>
              <w:keepNext w:val="0"/>
              <w:keepLines w:val="0"/>
              <w:pageBreakBefore w:val="0"/>
              <w:widowControl w:val="0"/>
              <w:kinsoku/>
              <w:wordWrap w:val="0"/>
              <w:overflowPunct/>
              <w:topLinePunct w:val="0"/>
              <w:bidi w:val="0"/>
              <w:snapToGrid w:val="0"/>
              <w:jc w:val="left"/>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投标的服务响应招标文件的商务、技术、期限、标准、承诺等各项强制性、实质性要求</w:t>
            </w:r>
          </w:p>
        </w:tc>
        <w:tc>
          <w:tcPr>
            <w:tcW w:w="1686" w:type="dxa"/>
            <w:noWrap w:val="0"/>
            <w:vAlign w:val="center"/>
          </w:tcPr>
          <w:p w14:paraId="63469567">
            <w:pPr>
              <w:keepNext w:val="0"/>
              <w:keepLines w:val="0"/>
              <w:pageBreakBefore w:val="0"/>
              <w:widowControl w:val="0"/>
              <w:kinsoku/>
              <w:wordWrap w:val="0"/>
              <w:overflowPunct/>
              <w:topLinePunct w:val="0"/>
              <w:bidi w:val="0"/>
              <w:jc w:val="center"/>
              <w:rPr>
                <w:rFonts w:hint="eastAsia" w:ascii="宋体" w:hAnsi="宋体" w:eastAsia="宋体" w:cs="宋体"/>
                <w:bCs/>
                <w:color w:val="auto"/>
                <w:highlight w:val="none"/>
              </w:rPr>
            </w:pPr>
          </w:p>
        </w:tc>
        <w:tc>
          <w:tcPr>
            <w:tcW w:w="1793" w:type="dxa"/>
            <w:noWrap w:val="0"/>
            <w:vAlign w:val="center"/>
          </w:tcPr>
          <w:p w14:paraId="79104F76">
            <w:pPr>
              <w:keepNext w:val="0"/>
              <w:keepLines w:val="0"/>
              <w:pageBreakBefore w:val="0"/>
              <w:widowControl w:val="0"/>
              <w:kinsoku/>
              <w:wordWrap w:val="0"/>
              <w:overflowPunct/>
              <w:topLinePunct w:val="0"/>
              <w:bidi w:val="0"/>
              <w:jc w:val="center"/>
              <w:rPr>
                <w:rFonts w:hint="eastAsia" w:ascii="宋体" w:hAnsi="宋体" w:eastAsia="宋体" w:cs="宋体"/>
                <w:bCs/>
                <w:color w:val="auto"/>
                <w:highlight w:val="none"/>
              </w:rPr>
            </w:pPr>
            <w:r>
              <w:rPr>
                <w:rFonts w:hint="eastAsia" w:ascii="宋体" w:hAnsi="宋体" w:eastAsia="宋体" w:cs="宋体"/>
                <w:bCs/>
                <w:color w:val="auto"/>
                <w:highlight w:val="none"/>
              </w:rPr>
              <w:t>/</w:t>
            </w:r>
          </w:p>
        </w:tc>
      </w:tr>
      <w:tr w14:paraId="57B03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648" w:type="dxa"/>
            <w:noWrap w:val="0"/>
            <w:vAlign w:val="center"/>
          </w:tcPr>
          <w:p w14:paraId="091B1152">
            <w:pPr>
              <w:keepNext w:val="0"/>
              <w:keepLines w:val="0"/>
              <w:pageBreakBefore w:val="0"/>
              <w:widowControl w:val="0"/>
              <w:kinsoku/>
              <w:wordWrap w:val="0"/>
              <w:overflowPunct/>
              <w:topLinePunct w:val="0"/>
              <w:bidi w:val="0"/>
              <w:jc w:val="center"/>
              <w:rPr>
                <w:rFonts w:hint="eastAsia" w:ascii="宋体" w:hAnsi="宋体" w:eastAsia="宋体" w:cs="宋体"/>
                <w:bCs/>
                <w:color w:val="auto"/>
                <w:highlight w:val="none"/>
              </w:rPr>
            </w:pPr>
            <w:r>
              <w:rPr>
                <w:rFonts w:hint="eastAsia" w:ascii="宋体" w:hAnsi="宋体" w:eastAsia="宋体" w:cs="宋体"/>
                <w:bCs/>
                <w:color w:val="auto"/>
                <w:highlight w:val="none"/>
              </w:rPr>
              <w:t>7</w:t>
            </w:r>
          </w:p>
        </w:tc>
        <w:tc>
          <w:tcPr>
            <w:tcW w:w="5471" w:type="dxa"/>
            <w:noWrap w:val="0"/>
            <w:vAlign w:val="center"/>
          </w:tcPr>
          <w:p w14:paraId="0DF29D14">
            <w:pPr>
              <w:keepNext w:val="0"/>
              <w:keepLines w:val="0"/>
              <w:pageBreakBefore w:val="0"/>
              <w:widowControl w:val="0"/>
              <w:kinsoku/>
              <w:wordWrap w:val="0"/>
              <w:overflowPunct/>
              <w:topLinePunct w:val="0"/>
              <w:bidi w:val="0"/>
              <w:snapToGrid w:val="0"/>
              <w:jc w:val="left"/>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招标文件中的其他实质性要求</w:t>
            </w:r>
          </w:p>
        </w:tc>
        <w:tc>
          <w:tcPr>
            <w:tcW w:w="1686" w:type="dxa"/>
            <w:noWrap w:val="0"/>
            <w:vAlign w:val="center"/>
          </w:tcPr>
          <w:p w14:paraId="6B811BAC">
            <w:pPr>
              <w:keepNext w:val="0"/>
              <w:keepLines w:val="0"/>
              <w:pageBreakBefore w:val="0"/>
              <w:widowControl w:val="0"/>
              <w:kinsoku/>
              <w:wordWrap w:val="0"/>
              <w:overflowPunct/>
              <w:topLinePunct w:val="0"/>
              <w:bidi w:val="0"/>
              <w:jc w:val="center"/>
              <w:rPr>
                <w:rFonts w:hint="eastAsia" w:ascii="宋体" w:hAnsi="宋体" w:eastAsia="宋体" w:cs="宋体"/>
                <w:bCs/>
                <w:color w:val="auto"/>
                <w:highlight w:val="none"/>
              </w:rPr>
            </w:pPr>
          </w:p>
        </w:tc>
        <w:tc>
          <w:tcPr>
            <w:tcW w:w="1793" w:type="dxa"/>
            <w:noWrap w:val="0"/>
            <w:vAlign w:val="center"/>
          </w:tcPr>
          <w:p w14:paraId="2D1E9809">
            <w:pPr>
              <w:keepNext w:val="0"/>
              <w:keepLines w:val="0"/>
              <w:pageBreakBefore w:val="0"/>
              <w:widowControl w:val="0"/>
              <w:kinsoku/>
              <w:wordWrap w:val="0"/>
              <w:overflowPunct/>
              <w:topLinePunct w:val="0"/>
              <w:bidi w:val="0"/>
              <w:jc w:val="center"/>
              <w:rPr>
                <w:rFonts w:hint="eastAsia" w:ascii="宋体" w:hAnsi="宋体" w:eastAsia="宋体" w:cs="宋体"/>
                <w:bCs/>
                <w:color w:val="auto"/>
                <w:highlight w:val="none"/>
              </w:rPr>
            </w:pPr>
            <w:r>
              <w:rPr>
                <w:rFonts w:hint="eastAsia" w:ascii="宋体" w:hAnsi="宋体" w:eastAsia="宋体" w:cs="宋体"/>
                <w:bCs/>
                <w:color w:val="auto"/>
                <w:highlight w:val="none"/>
              </w:rPr>
              <w:t>/</w:t>
            </w:r>
          </w:p>
        </w:tc>
      </w:tr>
    </w:tbl>
    <w:p w14:paraId="3F51BC2B">
      <w:pPr>
        <w:keepNext w:val="0"/>
        <w:keepLines w:val="0"/>
        <w:pageBreakBefore w:val="0"/>
        <w:widowControl w:val="0"/>
        <w:kinsoku/>
        <w:wordWrap w:val="0"/>
        <w:overflowPunct/>
        <w:topLinePunct w:val="0"/>
        <w:bidi w:val="0"/>
        <w:snapToGrid w:val="0"/>
        <w:spacing w:before="50" w:after="50"/>
        <w:rPr>
          <w:rFonts w:hint="eastAsia" w:ascii="宋体" w:hAnsi="宋体" w:eastAsia="宋体" w:cs="宋体"/>
          <w:color w:val="auto"/>
          <w:sz w:val="44"/>
          <w:highlight w:val="none"/>
        </w:rPr>
      </w:pPr>
    </w:p>
    <w:p w14:paraId="548F66E4">
      <w:pPr>
        <w:keepNext w:val="0"/>
        <w:keepLines w:val="0"/>
        <w:pageBreakBefore w:val="0"/>
        <w:widowControl w:val="0"/>
        <w:kinsoku/>
        <w:wordWrap w:val="0"/>
        <w:overflowPunct/>
        <w:topLinePunct w:val="0"/>
        <w:bidi w:val="0"/>
        <w:snapToGrid w:val="0"/>
        <w:spacing w:before="50" w:after="50"/>
        <w:rPr>
          <w:rFonts w:hint="eastAsia" w:ascii="宋体" w:hAnsi="宋体" w:eastAsia="宋体" w:cs="宋体"/>
          <w:color w:val="auto"/>
          <w:sz w:val="44"/>
          <w:highlight w:val="none"/>
        </w:rPr>
      </w:pPr>
    </w:p>
    <w:p w14:paraId="7FB9C790">
      <w:pPr>
        <w:keepNext w:val="0"/>
        <w:keepLines w:val="0"/>
        <w:pageBreakBefore w:val="0"/>
        <w:widowControl w:val="0"/>
        <w:kinsoku/>
        <w:wordWrap w:val="0"/>
        <w:overflowPunct/>
        <w:topLinePunct w:val="0"/>
        <w:bidi w:val="0"/>
        <w:snapToGrid w:val="0"/>
        <w:spacing w:before="50" w:after="50"/>
        <w:rPr>
          <w:rFonts w:hint="eastAsia" w:ascii="宋体" w:hAnsi="宋体" w:eastAsia="宋体" w:cs="宋体"/>
          <w:color w:val="auto"/>
          <w:sz w:val="44"/>
          <w:highlight w:val="none"/>
        </w:rPr>
      </w:pPr>
    </w:p>
    <w:p w14:paraId="3E8C3C93">
      <w:pPr>
        <w:keepNext w:val="0"/>
        <w:keepLines w:val="0"/>
        <w:pageBreakBefore w:val="0"/>
        <w:widowControl w:val="0"/>
        <w:kinsoku/>
        <w:wordWrap w:val="0"/>
        <w:overflowPunct/>
        <w:topLinePunct w:val="0"/>
        <w:bidi w:val="0"/>
        <w:snapToGrid w:val="0"/>
        <w:spacing w:before="50" w:after="50"/>
        <w:rPr>
          <w:rFonts w:hint="eastAsia" w:ascii="宋体" w:hAnsi="宋体" w:eastAsia="宋体" w:cs="宋体"/>
          <w:color w:val="auto"/>
          <w:sz w:val="44"/>
          <w:highlight w:val="none"/>
        </w:rPr>
      </w:pPr>
    </w:p>
    <w:p w14:paraId="61ADCC89">
      <w:pPr>
        <w:keepNext w:val="0"/>
        <w:keepLines w:val="0"/>
        <w:pageBreakBefore w:val="0"/>
        <w:widowControl w:val="0"/>
        <w:kinsoku/>
        <w:wordWrap w:val="0"/>
        <w:overflowPunct/>
        <w:topLinePunct w:val="0"/>
        <w:bidi w:val="0"/>
        <w:snapToGrid w:val="0"/>
        <w:spacing w:before="50" w:after="5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           </w:t>
      </w:r>
      <w:bookmarkStart w:id="216" w:name="_Toc120614284"/>
    </w:p>
    <w:p w14:paraId="3E2B45F6">
      <w:pPr>
        <w:keepNext w:val="0"/>
        <w:keepLines w:val="0"/>
        <w:pageBreakBefore w:val="0"/>
        <w:widowControl w:val="0"/>
        <w:kinsoku/>
        <w:wordWrap w:val="0"/>
        <w:overflowPunct/>
        <w:topLinePunct w:val="0"/>
        <w:bidi w:val="0"/>
        <w:snapToGrid w:val="0"/>
        <w:spacing w:before="50" w:after="50"/>
        <w:rPr>
          <w:rFonts w:hint="eastAsia" w:ascii="宋体" w:hAnsi="宋体" w:eastAsia="宋体" w:cs="宋体"/>
          <w:color w:val="auto"/>
          <w:sz w:val="24"/>
          <w:szCs w:val="24"/>
          <w:highlight w:val="none"/>
        </w:rPr>
      </w:pPr>
    </w:p>
    <w:p w14:paraId="2565D9F8">
      <w:pPr>
        <w:keepNext w:val="0"/>
        <w:keepLines w:val="0"/>
        <w:pageBreakBefore w:val="0"/>
        <w:widowControl w:val="0"/>
        <w:kinsoku/>
        <w:wordWrap w:val="0"/>
        <w:overflowPunct/>
        <w:topLinePunct w:val="0"/>
        <w:bidi w:val="0"/>
        <w:snapToGrid w:val="0"/>
        <w:spacing w:before="50" w:after="50"/>
        <w:jc w:val="center"/>
        <w:rPr>
          <w:rFonts w:hint="eastAsia" w:ascii="宋体" w:hAnsi="宋体" w:eastAsia="宋体" w:cs="宋体"/>
          <w:color w:val="auto"/>
          <w:sz w:val="32"/>
          <w:szCs w:val="32"/>
          <w:highlight w:val="none"/>
        </w:rPr>
      </w:pPr>
    </w:p>
    <w:p w14:paraId="48D91390">
      <w:pPr>
        <w:keepNext w:val="0"/>
        <w:keepLines w:val="0"/>
        <w:pageBreakBefore w:val="0"/>
        <w:widowControl w:val="0"/>
        <w:kinsoku/>
        <w:wordWrap w:val="0"/>
        <w:overflowPunct/>
        <w:topLinePunct w:val="0"/>
        <w:bidi w:val="0"/>
        <w:snapToGrid w:val="0"/>
        <w:spacing w:before="50" w:after="50"/>
        <w:jc w:val="center"/>
        <w:rPr>
          <w:rFonts w:hint="eastAsia" w:ascii="宋体" w:hAnsi="宋体" w:eastAsia="宋体" w:cs="宋体"/>
          <w:color w:val="auto"/>
          <w:sz w:val="32"/>
          <w:szCs w:val="32"/>
          <w:highlight w:val="none"/>
        </w:rPr>
      </w:pPr>
    </w:p>
    <w:p w14:paraId="475CCEE6">
      <w:pPr>
        <w:keepNext w:val="0"/>
        <w:keepLines w:val="0"/>
        <w:pageBreakBefore w:val="0"/>
        <w:widowControl w:val="0"/>
        <w:kinsoku/>
        <w:wordWrap w:val="0"/>
        <w:overflowPunct/>
        <w:topLinePunct w:val="0"/>
        <w:bidi w:val="0"/>
        <w:snapToGrid w:val="0"/>
        <w:spacing w:before="50" w:after="50"/>
        <w:jc w:val="center"/>
        <w:rPr>
          <w:rFonts w:hint="eastAsia" w:ascii="宋体" w:hAnsi="宋体" w:eastAsia="宋体" w:cs="宋体"/>
          <w:color w:val="auto"/>
          <w:sz w:val="32"/>
          <w:szCs w:val="32"/>
          <w:highlight w:val="none"/>
        </w:rPr>
        <w:sectPr>
          <w:pgSz w:w="11906" w:h="16838"/>
          <w:pgMar w:top="1418" w:right="1588" w:bottom="1418" w:left="1365" w:header="851" w:footer="907" w:gutter="0"/>
          <w:pgBorders>
            <w:top w:val="none" w:sz="0" w:space="0"/>
            <w:left w:val="none" w:sz="0" w:space="0"/>
            <w:bottom w:val="none" w:sz="0" w:space="0"/>
            <w:right w:val="none" w:sz="0" w:space="0"/>
          </w:pgBorders>
          <w:pgNumType w:fmt="numberInDash"/>
          <w:cols w:space="720" w:num="1"/>
          <w:titlePg/>
          <w:docGrid w:type="lines" w:linePitch="290" w:charSpace="0"/>
        </w:sectPr>
      </w:pPr>
    </w:p>
    <w:p w14:paraId="11162D47">
      <w:pPr>
        <w:keepNext w:val="0"/>
        <w:keepLines w:val="0"/>
        <w:pageBreakBefore w:val="0"/>
        <w:widowControl w:val="0"/>
        <w:kinsoku/>
        <w:wordWrap w:val="0"/>
        <w:overflowPunct/>
        <w:topLinePunct w:val="0"/>
        <w:bidi w:val="0"/>
        <w:snapToGrid w:val="0"/>
        <w:spacing w:before="50" w:after="50"/>
        <w:jc w:val="center"/>
        <w:rPr>
          <w:rFonts w:hint="eastAsia" w:ascii="宋体" w:hAnsi="宋体" w:eastAsia="宋体" w:cs="宋体"/>
          <w:b/>
          <w:bCs/>
          <w:color w:val="auto"/>
          <w:sz w:val="32"/>
          <w:szCs w:val="40"/>
          <w:highlight w:val="none"/>
          <w:lang w:val="en-US" w:eastAsia="zh-CN" w:bidi="ar-SA"/>
        </w:rPr>
      </w:pPr>
      <w:r>
        <w:rPr>
          <w:rFonts w:hint="eastAsia" w:ascii="宋体" w:hAnsi="宋体" w:eastAsia="宋体" w:cs="宋体"/>
          <w:b/>
          <w:bCs/>
          <w:color w:val="auto"/>
          <w:sz w:val="32"/>
          <w:szCs w:val="40"/>
          <w:highlight w:val="none"/>
          <w:lang w:val="en-US" w:eastAsia="zh-CN" w:bidi="ar-SA"/>
        </w:rPr>
        <w:t>四、投标函（格式）</w:t>
      </w:r>
    </w:p>
    <w:p w14:paraId="3FCC4335">
      <w:pPr>
        <w:pStyle w:val="248"/>
        <w:keepNext w:val="0"/>
        <w:keepLines w:val="0"/>
        <w:pageBreakBefore w:val="0"/>
        <w:widowControl w:val="0"/>
        <w:kinsoku/>
        <w:wordWrap w:val="0"/>
        <w:overflowPunct/>
        <w:topLinePunct w:val="0"/>
        <w:bidi w:val="0"/>
        <w:spacing w:before="0" w:after="0" w:line="420" w:lineRule="exact"/>
        <w:ind w:firstLine="0"/>
        <w:rPr>
          <w:rFonts w:hint="eastAsia" w:ascii="宋体" w:hAnsi="宋体" w:eastAsia="宋体" w:cs="宋体"/>
          <w:color w:val="auto"/>
          <w:kern w:val="2"/>
          <w:szCs w:val="21"/>
          <w:highlight w:val="none"/>
          <w:lang w:eastAsia="zh-CN"/>
        </w:rPr>
      </w:pPr>
      <w:r>
        <w:rPr>
          <w:rFonts w:hint="eastAsia" w:ascii="宋体" w:hAnsi="宋体" w:eastAsia="宋体" w:cs="宋体"/>
          <w:color w:val="auto"/>
          <w:kern w:val="2"/>
          <w:szCs w:val="21"/>
          <w:highlight w:val="none"/>
        </w:rPr>
        <w:t>致：</w:t>
      </w:r>
      <w:r>
        <w:rPr>
          <w:rFonts w:hint="eastAsia" w:ascii="宋体" w:hAnsi="宋体" w:cs="宋体"/>
          <w:color w:val="auto"/>
          <w:kern w:val="2"/>
          <w:szCs w:val="21"/>
          <w:highlight w:val="none"/>
          <w:u w:val="single"/>
          <w:lang w:eastAsia="zh-CN"/>
        </w:rPr>
        <w:t>滨海县界牌镇人民政府</w:t>
      </w:r>
    </w:p>
    <w:p w14:paraId="1CC27E2F">
      <w:pPr>
        <w:pStyle w:val="248"/>
        <w:keepNext w:val="0"/>
        <w:keepLines w:val="0"/>
        <w:pageBreakBefore w:val="0"/>
        <w:widowControl w:val="0"/>
        <w:kinsoku/>
        <w:wordWrap w:val="0"/>
        <w:overflowPunct/>
        <w:topLinePunct w:val="0"/>
        <w:bidi w:val="0"/>
        <w:spacing w:before="0" w:after="0" w:line="420" w:lineRule="exact"/>
        <w:ind w:firstLineChars="200"/>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根据贵方的________号招标文件，正式授权下述签字人_________________(姓名)代表我方______________（投标人的名称），全权处理本次项目投标的有关事宜。</w:t>
      </w:r>
    </w:p>
    <w:p w14:paraId="65D7BFBC">
      <w:pPr>
        <w:pStyle w:val="248"/>
        <w:keepNext w:val="0"/>
        <w:keepLines w:val="0"/>
        <w:pageBreakBefore w:val="0"/>
        <w:widowControl w:val="0"/>
        <w:kinsoku/>
        <w:wordWrap w:val="0"/>
        <w:overflowPunct/>
        <w:topLinePunct w:val="0"/>
        <w:bidi w:val="0"/>
        <w:spacing w:before="0" w:after="0" w:line="420" w:lineRule="exact"/>
        <w:ind w:firstLineChars="200"/>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据此函，__________签字人兹宣布同意如下：</w:t>
      </w:r>
    </w:p>
    <w:p w14:paraId="285D9D6D">
      <w:pPr>
        <w:pStyle w:val="248"/>
        <w:keepNext w:val="0"/>
        <w:keepLines w:val="0"/>
        <w:pageBreakBefore w:val="0"/>
        <w:widowControl w:val="0"/>
        <w:kinsoku/>
        <w:wordWrap w:val="0"/>
        <w:overflowPunct/>
        <w:topLinePunct w:val="0"/>
        <w:bidi w:val="0"/>
        <w:spacing w:before="0" w:after="0" w:line="420" w:lineRule="exac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1.按招标文件规定的各项要求，向买方提供所需货物与服务。</w:t>
      </w:r>
    </w:p>
    <w:p w14:paraId="015EE141">
      <w:pPr>
        <w:pStyle w:val="248"/>
        <w:keepNext w:val="0"/>
        <w:keepLines w:val="0"/>
        <w:pageBreakBefore w:val="0"/>
        <w:widowControl w:val="0"/>
        <w:kinsoku/>
        <w:wordWrap w:val="0"/>
        <w:overflowPunct/>
        <w:topLinePunct w:val="0"/>
        <w:bidi w:val="0"/>
        <w:spacing w:before="0" w:after="0" w:line="420" w:lineRule="exact"/>
        <w:ind w:firstLineChars="200"/>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2.我们完全理解贵方不一定将合同授予最低报价的投标人。</w:t>
      </w:r>
    </w:p>
    <w:p w14:paraId="62746476">
      <w:pPr>
        <w:pStyle w:val="248"/>
        <w:keepNext w:val="0"/>
        <w:keepLines w:val="0"/>
        <w:pageBreakBefore w:val="0"/>
        <w:widowControl w:val="0"/>
        <w:kinsoku/>
        <w:wordWrap w:val="0"/>
        <w:overflowPunct/>
        <w:topLinePunct w:val="0"/>
        <w:bidi w:val="0"/>
        <w:spacing w:before="0" w:after="0" w:line="420" w:lineRule="exact"/>
        <w:ind w:firstLineChars="200"/>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3.我们已详细审核全部招标文件及其有效补充文件，我们知道必须放弃提出含糊不清或误解问题的权利。</w:t>
      </w:r>
    </w:p>
    <w:p w14:paraId="5B9B12D4">
      <w:pPr>
        <w:pStyle w:val="248"/>
        <w:keepNext w:val="0"/>
        <w:keepLines w:val="0"/>
        <w:pageBreakBefore w:val="0"/>
        <w:widowControl w:val="0"/>
        <w:kinsoku/>
        <w:wordWrap w:val="0"/>
        <w:overflowPunct/>
        <w:topLinePunct w:val="0"/>
        <w:bidi w:val="0"/>
        <w:spacing w:before="0" w:after="0" w:line="420" w:lineRule="exac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4.我们同意从规定的开标日期起遵循本投标文件，并在规定的投标有效期期满之前均具有约束力。</w:t>
      </w:r>
    </w:p>
    <w:p w14:paraId="60E971A6">
      <w:pPr>
        <w:pStyle w:val="248"/>
        <w:keepNext w:val="0"/>
        <w:keepLines w:val="0"/>
        <w:pageBreakBefore w:val="0"/>
        <w:widowControl w:val="0"/>
        <w:kinsoku/>
        <w:wordWrap w:val="0"/>
        <w:overflowPunct/>
        <w:topLinePunct w:val="0"/>
        <w:bidi w:val="0"/>
        <w:spacing w:before="0" w:after="0" w:line="420" w:lineRule="exac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5.如果在开标后规定的投标有效期内撤回投标或中标后拒绝签订合同，则按照国家相关法律法规受到相应处罚。</w:t>
      </w:r>
    </w:p>
    <w:p w14:paraId="6D364223">
      <w:pPr>
        <w:pStyle w:val="248"/>
        <w:keepNext w:val="0"/>
        <w:keepLines w:val="0"/>
        <w:pageBreakBefore w:val="0"/>
        <w:widowControl w:val="0"/>
        <w:kinsoku/>
        <w:wordWrap w:val="0"/>
        <w:overflowPunct/>
        <w:topLinePunct w:val="0"/>
        <w:bidi w:val="0"/>
        <w:spacing w:before="0" w:after="0" w:line="420" w:lineRule="exac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6.同意向贵方提供贵方可能另外要求的与投标有关的任何证据或资料，并保证我方已提供和将要提供的文件是真实的、准确的。</w:t>
      </w:r>
    </w:p>
    <w:p w14:paraId="687ED1AA">
      <w:pPr>
        <w:pStyle w:val="248"/>
        <w:keepNext w:val="0"/>
        <w:keepLines w:val="0"/>
        <w:pageBreakBefore w:val="0"/>
        <w:widowControl w:val="0"/>
        <w:kinsoku/>
        <w:wordWrap w:val="0"/>
        <w:overflowPunct/>
        <w:topLinePunct w:val="0"/>
        <w:bidi w:val="0"/>
        <w:spacing w:before="0" w:after="0" w:line="420" w:lineRule="exac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7.一旦我方中标,我方将根据招标文件的规定，严格履行合同的责任和义务,并保证在招标文件规定的时间完成项目，交付买方验收、使用。</w:t>
      </w:r>
    </w:p>
    <w:p w14:paraId="6AF48DDE">
      <w:pPr>
        <w:pStyle w:val="248"/>
        <w:keepNext w:val="0"/>
        <w:keepLines w:val="0"/>
        <w:pageBreakBefore w:val="0"/>
        <w:widowControl w:val="0"/>
        <w:kinsoku/>
        <w:wordWrap w:val="0"/>
        <w:overflowPunct/>
        <w:topLinePunct w:val="0"/>
        <w:bidi w:val="0"/>
        <w:spacing w:before="0" w:after="0" w:line="420" w:lineRule="exact"/>
        <w:ind w:left="425" w:firstLine="0"/>
        <w:outlineLvl w:val="1"/>
        <w:rPr>
          <w:rFonts w:hint="eastAsia" w:ascii="宋体" w:hAnsi="宋体" w:eastAsia="宋体" w:cs="宋体"/>
          <w:color w:val="auto"/>
          <w:kern w:val="2"/>
          <w:szCs w:val="21"/>
          <w:highlight w:val="none"/>
        </w:rPr>
      </w:pPr>
      <w:bookmarkStart w:id="217" w:name="_Toc8170"/>
      <w:r>
        <w:rPr>
          <w:rFonts w:hint="eastAsia" w:ascii="宋体" w:hAnsi="宋体" w:eastAsia="宋体" w:cs="宋体"/>
          <w:color w:val="auto"/>
          <w:kern w:val="2"/>
          <w:szCs w:val="21"/>
          <w:highlight w:val="none"/>
        </w:rPr>
        <w:t>8.与本投标有关的正式通讯地址为：</w:t>
      </w:r>
      <w:bookmarkEnd w:id="217"/>
    </w:p>
    <w:p w14:paraId="58ECD270">
      <w:pPr>
        <w:pStyle w:val="248"/>
        <w:keepNext w:val="0"/>
        <w:keepLines w:val="0"/>
        <w:pageBreakBefore w:val="0"/>
        <w:widowControl w:val="0"/>
        <w:kinsoku/>
        <w:wordWrap w:val="0"/>
        <w:overflowPunct/>
        <w:topLinePunct w:val="0"/>
        <w:bidi w:val="0"/>
        <w:spacing w:before="0" w:after="0" w:line="420" w:lineRule="exact"/>
        <w:ind w:left="420" w:leftChars="200" w:firstLineChars="200"/>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地          址：</w:t>
      </w:r>
    </w:p>
    <w:p w14:paraId="06475A05">
      <w:pPr>
        <w:pStyle w:val="248"/>
        <w:keepNext w:val="0"/>
        <w:keepLines w:val="0"/>
        <w:pageBreakBefore w:val="0"/>
        <w:widowControl w:val="0"/>
        <w:kinsoku/>
        <w:wordWrap w:val="0"/>
        <w:overflowPunct/>
        <w:topLinePunct w:val="0"/>
        <w:bidi w:val="0"/>
        <w:spacing w:before="0" w:after="0" w:line="420" w:lineRule="exact"/>
        <w:ind w:left="420" w:leftChars="200" w:firstLineChars="200"/>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邮          编：</w:t>
      </w:r>
    </w:p>
    <w:p w14:paraId="47B2BEFC">
      <w:pPr>
        <w:pStyle w:val="248"/>
        <w:keepNext w:val="0"/>
        <w:keepLines w:val="0"/>
        <w:pageBreakBefore w:val="0"/>
        <w:widowControl w:val="0"/>
        <w:kinsoku/>
        <w:wordWrap w:val="0"/>
        <w:overflowPunct/>
        <w:topLinePunct w:val="0"/>
        <w:bidi w:val="0"/>
        <w:spacing w:before="0" w:after="0" w:line="420" w:lineRule="exact"/>
        <w:ind w:left="420" w:leftChars="200" w:firstLineChars="200"/>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电          话：</w:t>
      </w:r>
    </w:p>
    <w:p w14:paraId="538B14DE">
      <w:pPr>
        <w:pStyle w:val="248"/>
        <w:keepNext w:val="0"/>
        <w:keepLines w:val="0"/>
        <w:pageBreakBefore w:val="0"/>
        <w:widowControl w:val="0"/>
        <w:kinsoku/>
        <w:wordWrap w:val="0"/>
        <w:overflowPunct/>
        <w:topLinePunct w:val="0"/>
        <w:bidi w:val="0"/>
        <w:spacing w:before="0" w:after="0" w:line="420" w:lineRule="exact"/>
        <w:ind w:left="420" w:leftChars="200" w:firstLineChars="200"/>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传          真：</w:t>
      </w:r>
    </w:p>
    <w:p w14:paraId="638FEAB4">
      <w:pPr>
        <w:pStyle w:val="248"/>
        <w:keepNext w:val="0"/>
        <w:keepLines w:val="0"/>
        <w:pageBreakBefore w:val="0"/>
        <w:widowControl w:val="0"/>
        <w:kinsoku/>
        <w:wordWrap w:val="0"/>
        <w:overflowPunct/>
        <w:topLinePunct w:val="0"/>
        <w:bidi w:val="0"/>
        <w:spacing w:before="0" w:after="0" w:line="420" w:lineRule="exact"/>
        <w:ind w:left="420" w:leftChars="200" w:firstLineChars="200"/>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投标人开户行：</w:t>
      </w:r>
    </w:p>
    <w:p w14:paraId="1FE85701">
      <w:pPr>
        <w:pStyle w:val="248"/>
        <w:keepNext w:val="0"/>
        <w:keepLines w:val="0"/>
        <w:pageBreakBefore w:val="0"/>
        <w:widowControl w:val="0"/>
        <w:kinsoku/>
        <w:wordWrap w:val="0"/>
        <w:overflowPunct/>
        <w:topLinePunct w:val="0"/>
        <w:bidi w:val="0"/>
        <w:spacing w:before="0" w:after="0" w:line="420" w:lineRule="exact"/>
        <w:ind w:left="420" w:leftChars="200" w:firstLineChars="200"/>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 xml:space="preserve">账          户： </w:t>
      </w:r>
    </w:p>
    <w:p w14:paraId="6D685856">
      <w:pPr>
        <w:pStyle w:val="248"/>
        <w:keepNext w:val="0"/>
        <w:keepLines w:val="0"/>
        <w:pageBreakBefore w:val="0"/>
        <w:widowControl w:val="0"/>
        <w:kinsoku/>
        <w:wordWrap w:val="0"/>
        <w:overflowPunct/>
        <w:topLinePunct w:val="0"/>
        <w:bidi w:val="0"/>
        <w:spacing w:before="0" w:after="0" w:line="420" w:lineRule="exact"/>
        <w:ind w:left="420" w:leftChars="200" w:firstLineChars="200"/>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投标人授权代表姓名</w:t>
      </w:r>
      <w:r>
        <w:rPr>
          <w:rFonts w:hint="eastAsia" w:ascii="宋体" w:hAnsi="宋体" w:eastAsia="宋体" w:cs="宋体"/>
          <w:b/>
          <w:bCs/>
          <w:color w:val="auto"/>
          <w:kern w:val="2"/>
          <w:szCs w:val="21"/>
          <w:highlight w:val="none"/>
        </w:rPr>
        <w:t>（签字）</w:t>
      </w:r>
      <w:r>
        <w:rPr>
          <w:rFonts w:hint="eastAsia" w:ascii="宋体" w:hAnsi="宋体" w:eastAsia="宋体" w:cs="宋体"/>
          <w:color w:val="auto"/>
          <w:kern w:val="2"/>
          <w:szCs w:val="21"/>
          <w:highlight w:val="none"/>
        </w:rPr>
        <w:t>：</w:t>
      </w:r>
    </w:p>
    <w:p w14:paraId="1292F531">
      <w:pPr>
        <w:pStyle w:val="248"/>
        <w:keepNext w:val="0"/>
        <w:keepLines w:val="0"/>
        <w:pageBreakBefore w:val="0"/>
        <w:widowControl w:val="0"/>
        <w:kinsoku/>
        <w:wordWrap w:val="0"/>
        <w:overflowPunct/>
        <w:topLinePunct w:val="0"/>
        <w:bidi w:val="0"/>
        <w:spacing w:before="0" w:after="0" w:line="420" w:lineRule="exact"/>
        <w:ind w:left="420" w:leftChars="200" w:firstLineChars="200"/>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投标人授权代表电话（手机号码）：</w:t>
      </w:r>
    </w:p>
    <w:p w14:paraId="06265F24">
      <w:pPr>
        <w:pStyle w:val="248"/>
        <w:keepNext w:val="0"/>
        <w:keepLines w:val="0"/>
        <w:pageBreakBefore w:val="0"/>
        <w:widowControl w:val="0"/>
        <w:kinsoku/>
        <w:wordWrap w:val="0"/>
        <w:overflowPunct/>
        <w:topLinePunct w:val="0"/>
        <w:bidi w:val="0"/>
        <w:spacing w:before="0" w:after="0" w:line="420" w:lineRule="exact"/>
        <w:ind w:left="420" w:leftChars="200" w:firstLineChars="200"/>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 xml:space="preserve">投标人（加盖CA电子公章）： </w:t>
      </w:r>
    </w:p>
    <w:p w14:paraId="44ED8021">
      <w:pPr>
        <w:pStyle w:val="248"/>
        <w:keepNext w:val="0"/>
        <w:keepLines w:val="0"/>
        <w:pageBreakBefore w:val="0"/>
        <w:widowControl w:val="0"/>
        <w:kinsoku/>
        <w:wordWrap w:val="0"/>
        <w:overflowPunct/>
        <w:topLinePunct w:val="0"/>
        <w:bidi w:val="0"/>
        <w:spacing w:before="0" w:after="0" w:line="420" w:lineRule="exact"/>
        <w:ind w:left="420" w:leftChars="200" w:firstLineChars="200"/>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日           期：________年____月____日</w:t>
      </w:r>
    </w:p>
    <w:p w14:paraId="3EC5A199">
      <w:pPr>
        <w:keepNext w:val="0"/>
        <w:keepLines w:val="0"/>
        <w:pageBreakBefore w:val="0"/>
        <w:widowControl w:val="0"/>
        <w:kinsoku/>
        <w:wordWrap w:val="0"/>
        <w:overflowPunct/>
        <w:topLinePunct w:val="0"/>
        <w:bidi w:val="0"/>
        <w:snapToGrid w:val="0"/>
        <w:spacing w:before="50" w:after="145" w:afterLines="50"/>
        <w:jc w:val="left"/>
        <w:rPr>
          <w:rFonts w:hint="eastAsia" w:ascii="宋体" w:hAnsi="宋体" w:eastAsia="宋体" w:cs="宋体"/>
          <w:color w:val="auto"/>
          <w:sz w:val="24"/>
          <w:szCs w:val="20"/>
          <w:highlight w:val="none"/>
        </w:rPr>
      </w:pPr>
      <w:r>
        <w:rPr>
          <w:rFonts w:hint="eastAsia" w:ascii="宋体" w:hAnsi="宋体" w:eastAsia="宋体" w:cs="宋体"/>
          <w:color w:val="auto"/>
          <w:sz w:val="44"/>
          <w:highlight w:val="none"/>
        </w:rPr>
        <w:t xml:space="preserve">          </w:t>
      </w:r>
    </w:p>
    <w:p w14:paraId="2A1C3ADF">
      <w:pPr>
        <w:keepNext w:val="0"/>
        <w:keepLines w:val="0"/>
        <w:pageBreakBefore w:val="0"/>
        <w:widowControl w:val="0"/>
        <w:kinsoku/>
        <w:wordWrap w:val="0"/>
        <w:overflowPunct/>
        <w:topLinePunct w:val="0"/>
        <w:bidi w:val="0"/>
        <w:snapToGrid w:val="0"/>
        <w:spacing w:before="50" w:after="50"/>
        <w:jc w:val="center"/>
        <w:rPr>
          <w:rFonts w:hint="eastAsia" w:ascii="宋体" w:hAnsi="宋体" w:eastAsia="宋体" w:cs="宋体"/>
          <w:color w:val="auto"/>
          <w:sz w:val="32"/>
          <w:szCs w:val="32"/>
          <w:highlight w:val="none"/>
        </w:rPr>
        <w:sectPr>
          <w:pgSz w:w="11906" w:h="16838"/>
          <w:pgMar w:top="1418" w:right="1588" w:bottom="1418" w:left="1365" w:header="851" w:footer="907" w:gutter="0"/>
          <w:pgBorders>
            <w:top w:val="none" w:sz="0" w:space="0"/>
            <w:left w:val="none" w:sz="0" w:space="0"/>
            <w:bottom w:val="none" w:sz="0" w:space="0"/>
            <w:right w:val="none" w:sz="0" w:space="0"/>
          </w:pgBorders>
          <w:pgNumType w:fmt="numberInDash"/>
          <w:cols w:space="720" w:num="1"/>
          <w:titlePg/>
          <w:docGrid w:type="lines" w:linePitch="290" w:charSpace="0"/>
        </w:sectPr>
      </w:pPr>
    </w:p>
    <w:p w14:paraId="5B9D0CFB">
      <w:pPr>
        <w:keepNext w:val="0"/>
        <w:keepLines w:val="0"/>
        <w:pageBreakBefore w:val="0"/>
        <w:widowControl w:val="0"/>
        <w:kinsoku/>
        <w:wordWrap w:val="0"/>
        <w:overflowPunct/>
        <w:topLinePunct w:val="0"/>
        <w:bidi w:val="0"/>
        <w:snapToGrid w:val="0"/>
        <w:spacing w:before="50" w:after="50"/>
        <w:jc w:val="center"/>
        <w:rPr>
          <w:rFonts w:hint="eastAsia" w:ascii="宋体" w:hAnsi="宋体" w:eastAsia="宋体" w:cs="宋体"/>
          <w:b/>
          <w:bCs/>
          <w:color w:val="auto"/>
          <w:sz w:val="32"/>
          <w:szCs w:val="40"/>
          <w:highlight w:val="none"/>
          <w:lang w:val="en-US" w:eastAsia="zh-CN" w:bidi="ar-SA"/>
        </w:rPr>
      </w:pPr>
      <w:r>
        <w:rPr>
          <w:rFonts w:hint="eastAsia" w:ascii="宋体" w:hAnsi="宋体" w:eastAsia="宋体" w:cs="宋体"/>
          <w:b/>
          <w:bCs/>
          <w:color w:val="auto"/>
          <w:sz w:val="32"/>
          <w:szCs w:val="40"/>
          <w:highlight w:val="none"/>
          <w:lang w:val="en-US" w:eastAsia="zh-CN" w:bidi="ar-SA"/>
        </w:rPr>
        <w:t>五、开标一览表（格式）</w:t>
      </w:r>
    </w:p>
    <w:p w14:paraId="47C1F1AA">
      <w:pPr>
        <w:keepNext w:val="0"/>
        <w:keepLines w:val="0"/>
        <w:pageBreakBefore w:val="0"/>
        <w:widowControl w:val="0"/>
        <w:kinsoku/>
        <w:wordWrap w:val="0"/>
        <w:overflowPunct/>
        <w:topLinePunct w:val="0"/>
        <w:bidi w:val="0"/>
        <w:snapToGrid w:val="0"/>
        <w:spacing w:before="50" w:after="50"/>
        <w:jc w:val="center"/>
        <w:rPr>
          <w:rFonts w:hint="eastAsia" w:ascii="宋体" w:hAnsi="宋体" w:eastAsia="宋体" w:cs="宋体"/>
          <w:color w:val="auto"/>
          <w:sz w:val="32"/>
          <w:szCs w:val="32"/>
          <w:highlight w:val="none"/>
        </w:rPr>
      </w:pPr>
    </w:p>
    <w:p w14:paraId="5FCF7B3E">
      <w:pPr>
        <w:pStyle w:val="7"/>
        <w:ind w:left="0" w:leftChars="0" w:firstLine="0" w:firstLineChars="0"/>
        <w:jc w:val="lef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项目编号：项目编号</w:t>
      </w:r>
    </w:p>
    <w:p w14:paraId="6D174F84">
      <w:pPr>
        <w:rPr>
          <w:rFonts w:hint="eastAsia" w:ascii="宋体" w:hAnsi="宋体" w:eastAsia="宋体" w:cs="宋体"/>
          <w:sz w:val="28"/>
          <w:szCs w:val="28"/>
          <w:lang w:eastAsia="zh-CN"/>
        </w:rPr>
      </w:pPr>
      <w:r>
        <w:rPr>
          <w:rFonts w:hint="eastAsia" w:ascii="宋体" w:hAnsi="宋体" w:eastAsia="宋体" w:cs="宋体"/>
          <w:color w:val="auto"/>
          <w:sz w:val="28"/>
          <w:szCs w:val="28"/>
          <w:highlight w:val="none"/>
          <w:lang w:eastAsia="zh-CN"/>
        </w:rPr>
        <w:t>货币单位：人民币元</w:t>
      </w:r>
    </w:p>
    <w:tbl>
      <w:tblPr>
        <w:tblStyle w:val="38"/>
        <w:tblW w:w="500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24"/>
        <w:gridCol w:w="1926"/>
        <w:gridCol w:w="5328"/>
      </w:tblGrid>
      <w:tr w14:paraId="28031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491" w:hRule="atLeast"/>
        </w:trPr>
        <w:tc>
          <w:tcPr>
            <w:tcW w:w="1048" w:type="pct"/>
            <w:noWrap w:val="0"/>
            <w:vAlign w:val="center"/>
          </w:tcPr>
          <w:p w14:paraId="3984F958">
            <w:pPr>
              <w:keepNext w:val="0"/>
              <w:keepLines w:val="0"/>
              <w:pageBreakBefore w:val="0"/>
              <w:widowControl w:val="0"/>
              <w:kinsoku/>
              <w:wordWrap w:val="0"/>
              <w:overflowPunct/>
              <w:topLinePunct w:val="0"/>
              <w:bidi w:val="0"/>
              <w:jc w:val="center"/>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项目名称</w:t>
            </w:r>
          </w:p>
        </w:tc>
        <w:tc>
          <w:tcPr>
            <w:tcW w:w="1049" w:type="pct"/>
            <w:noWrap w:val="0"/>
            <w:vAlign w:val="center"/>
          </w:tcPr>
          <w:p w14:paraId="52457F54">
            <w:pPr>
              <w:keepNext w:val="0"/>
              <w:keepLines w:val="0"/>
              <w:pageBreakBefore w:val="0"/>
              <w:widowControl w:val="0"/>
              <w:kinsoku/>
              <w:wordWrap w:val="0"/>
              <w:overflowPunct/>
              <w:topLinePunct w:val="0"/>
              <w:bidi w:val="0"/>
              <w:jc w:val="center"/>
              <w:rPr>
                <w:rFonts w:hint="eastAsia" w:ascii="宋体" w:hAnsi="宋体" w:eastAsia="宋体" w:cs="宋体"/>
                <w:b w:val="0"/>
                <w:bCs w:val="0"/>
                <w:color w:val="auto"/>
                <w:sz w:val="28"/>
                <w:szCs w:val="28"/>
                <w:highlight w:val="none"/>
                <w:lang w:eastAsia="zh-CN"/>
              </w:rPr>
            </w:pPr>
            <w:r>
              <w:rPr>
                <w:rFonts w:hint="eastAsia" w:ascii="宋体" w:hAnsi="宋体" w:eastAsia="宋体" w:cs="宋体"/>
                <w:b w:val="0"/>
                <w:bCs w:val="0"/>
                <w:color w:val="auto"/>
                <w:sz w:val="28"/>
                <w:szCs w:val="28"/>
                <w:highlight w:val="none"/>
              </w:rPr>
              <w:t>项目</w:t>
            </w:r>
            <w:r>
              <w:rPr>
                <w:rFonts w:hint="eastAsia" w:ascii="宋体" w:hAnsi="宋体" w:eastAsia="宋体" w:cs="宋体"/>
                <w:b w:val="0"/>
                <w:bCs w:val="0"/>
                <w:color w:val="auto"/>
                <w:sz w:val="28"/>
                <w:szCs w:val="28"/>
                <w:highlight w:val="none"/>
                <w:lang w:eastAsia="zh-CN"/>
              </w:rPr>
              <w:t>内容</w:t>
            </w:r>
          </w:p>
        </w:tc>
        <w:tc>
          <w:tcPr>
            <w:tcW w:w="2902" w:type="pct"/>
            <w:noWrap w:val="0"/>
            <w:vAlign w:val="center"/>
          </w:tcPr>
          <w:p w14:paraId="46B11DE2">
            <w:pPr>
              <w:pStyle w:val="6"/>
              <w:keepNext w:val="0"/>
              <w:keepLines w:val="0"/>
              <w:pageBreakBefore w:val="0"/>
              <w:widowControl w:val="0"/>
              <w:kinsoku/>
              <w:wordWrap w:val="0"/>
              <w:overflowPunct/>
              <w:topLinePunct w:val="0"/>
              <w:bidi w:val="0"/>
              <w:jc w:val="center"/>
              <w:rPr>
                <w:rFonts w:hint="eastAsia" w:ascii="宋体" w:hAnsi="宋体" w:eastAsia="宋体" w:cs="宋体"/>
                <w:b w:val="0"/>
                <w:bCs w:val="0"/>
                <w:color w:val="auto"/>
                <w:sz w:val="28"/>
                <w:szCs w:val="28"/>
                <w:highlight w:val="none"/>
                <w:lang w:eastAsia="zh-CN"/>
              </w:rPr>
            </w:pPr>
            <w:r>
              <w:rPr>
                <w:rFonts w:hint="eastAsia" w:ascii="宋体" w:hAnsi="宋体" w:eastAsia="宋体" w:cs="宋体"/>
                <w:b w:val="0"/>
                <w:bCs w:val="0"/>
                <w:color w:val="auto"/>
                <w:sz w:val="28"/>
                <w:szCs w:val="28"/>
                <w:highlight w:val="none"/>
                <w:lang w:eastAsia="zh-CN"/>
              </w:rPr>
              <w:t>总价（小写）</w:t>
            </w:r>
          </w:p>
        </w:tc>
      </w:tr>
      <w:tr w14:paraId="7A6C3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1" w:hRule="atLeast"/>
        </w:trPr>
        <w:tc>
          <w:tcPr>
            <w:tcW w:w="1048" w:type="pct"/>
            <w:noWrap w:val="0"/>
            <w:vAlign w:val="center"/>
          </w:tcPr>
          <w:p w14:paraId="073B2246">
            <w:pPr>
              <w:keepNext w:val="0"/>
              <w:keepLines w:val="0"/>
              <w:pageBreakBefore w:val="0"/>
              <w:widowControl w:val="0"/>
              <w:kinsoku/>
              <w:wordWrap w:val="0"/>
              <w:overflowPunct/>
              <w:topLinePunct w:val="0"/>
              <w:bidi w:val="0"/>
              <w:jc w:val="center"/>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项目名称</w:t>
            </w:r>
          </w:p>
        </w:tc>
        <w:tc>
          <w:tcPr>
            <w:tcW w:w="1049" w:type="pct"/>
            <w:noWrap w:val="0"/>
            <w:vAlign w:val="center"/>
          </w:tcPr>
          <w:p w14:paraId="03716363">
            <w:pPr>
              <w:keepNext w:val="0"/>
              <w:keepLines w:val="0"/>
              <w:pageBreakBefore w:val="0"/>
              <w:widowControl w:val="0"/>
              <w:kinsoku/>
              <w:wordWrap w:val="0"/>
              <w:overflowPunct/>
              <w:topLinePunct w:val="0"/>
              <w:bidi w:val="0"/>
              <w:jc w:val="center"/>
              <w:rPr>
                <w:rFonts w:hint="eastAsia" w:ascii="宋体" w:hAnsi="宋体" w:eastAsia="宋体" w:cs="宋体"/>
                <w:b w:val="0"/>
                <w:bCs w:val="0"/>
                <w:color w:val="auto"/>
                <w:sz w:val="28"/>
                <w:szCs w:val="28"/>
                <w:highlight w:val="none"/>
                <w:lang w:eastAsia="zh-CN"/>
              </w:rPr>
            </w:pPr>
            <w:r>
              <w:rPr>
                <w:rFonts w:hint="eastAsia" w:ascii="宋体" w:hAnsi="宋体" w:eastAsia="宋体" w:cs="宋体"/>
                <w:b w:val="0"/>
                <w:bCs w:val="0"/>
                <w:color w:val="auto"/>
                <w:sz w:val="28"/>
                <w:szCs w:val="28"/>
                <w:highlight w:val="none"/>
                <w:lang w:eastAsia="zh-CN"/>
              </w:rPr>
              <w:t>详见投标文件</w:t>
            </w:r>
          </w:p>
        </w:tc>
        <w:tc>
          <w:tcPr>
            <w:tcW w:w="2902" w:type="pct"/>
            <w:noWrap w:val="0"/>
            <w:vAlign w:val="center"/>
          </w:tcPr>
          <w:p w14:paraId="1604A451">
            <w:pPr>
              <w:pStyle w:val="6"/>
              <w:keepNext w:val="0"/>
              <w:keepLines w:val="0"/>
              <w:pageBreakBefore w:val="0"/>
              <w:widowControl w:val="0"/>
              <w:kinsoku/>
              <w:wordWrap w:val="0"/>
              <w:overflowPunct/>
              <w:topLinePunct w:val="0"/>
              <w:bidi w:val="0"/>
              <w:jc w:val="center"/>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元</w:t>
            </w:r>
          </w:p>
        </w:tc>
      </w:tr>
      <w:tr w14:paraId="78F36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44" w:hRule="atLeast"/>
        </w:trPr>
        <w:tc>
          <w:tcPr>
            <w:tcW w:w="1048" w:type="pct"/>
            <w:noWrap w:val="0"/>
            <w:vAlign w:val="center"/>
          </w:tcPr>
          <w:p w14:paraId="5C6743DD">
            <w:pPr>
              <w:keepNext w:val="0"/>
              <w:keepLines w:val="0"/>
              <w:pageBreakBefore w:val="0"/>
              <w:widowControl w:val="0"/>
              <w:kinsoku/>
              <w:wordWrap w:val="0"/>
              <w:overflowPunct/>
              <w:topLinePunct w:val="0"/>
              <w:bidi w:val="0"/>
              <w:jc w:val="center"/>
              <w:rPr>
                <w:rFonts w:hint="eastAsia" w:ascii="宋体" w:hAnsi="宋体" w:eastAsia="宋体" w:cs="宋体"/>
                <w:b w:val="0"/>
                <w:bCs w:val="0"/>
                <w:color w:val="auto"/>
                <w:sz w:val="28"/>
                <w:szCs w:val="28"/>
                <w:highlight w:val="none"/>
                <w:lang w:eastAsia="zh-CN"/>
              </w:rPr>
            </w:pPr>
            <w:r>
              <w:rPr>
                <w:rFonts w:hint="eastAsia" w:ascii="宋体" w:hAnsi="宋体" w:eastAsia="宋体" w:cs="宋体"/>
                <w:b w:val="0"/>
                <w:bCs w:val="0"/>
                <w:color w:val="auto"/>
                <w:sz w:val="28"/>
                <w:szCs w:val="28"/>
                <w:highlight w:val="none"/>
                <w:lang w:eastAsia="zh-CN"/>
              </w:rPr>
              <w:t>总价（大写）</w:t>
            </w:r>
          </w:p>
        </w:tc>
        <w:tc>
          <w:tcPr>
            <w:tcW w:w="3951" w:type="pct"/>
            <w:gridSpan w:val="2"/>
            <w:noWrap w:val="0"/>
            <w:vAlign w:val="center"/>
          </w:tcPr>
          <w:p w14:paraId="230A6653">
            <w:pPr>
              <w:keepNext w:val="0"/>
              <w:keepLines w:val="0"/>
              <w:pageBreakBefore w:val="0"/>
              <w:widowControl w:val="0"/>
              <w:kinsoku/>
              <w:wordWrap w:val="0"/>
              <w:overflowPunct/>
              <w:topLinePunct w:val="0"/>
              <w:bidi w:val="0"/>
              <w:jc w:val="center"/>
              <w:rPr>
                <w:rFonts w:hint="eastAsia" w:ascii="宋体" w:hAnsi="宋体" w:eastAsia="宋体" w:cs="宋体"/>
                <w:b w:val="0"/>
                <w:bCs w:val="0"/>
                <w:color w:val="auto"/>
                <w:sz w:val="28"/>
                <w:szCs w:val="28"/>
                <w:highlight w:val="none"/>
                <w:lang w:eastAsia="zh-CN"/>
              </w:rPr>
            </w:pPr>
            <w:r>
              <w:rPr>
                <w:rFonts w:hint="eastAsia" w:ascii="宋体" w:hAnsi="宋体" w:eastAsia="宋体" w:cs="宋体"/>
                <w:b w:val="0"/>
                <w:bCs w:val="0"/>
                <w:color w:val="auto"/>
                <w:sz w:val="28"/>
                <w:szCs w:val="28"/>
                <w:highlight w:val="none"/>
                <w:lang w:eastAsia="zh-CN"/>
              </w:rPr>
              <w:t>金额大写</w:t>
            </w:r>
          </w:p>
        </w:tc>
      </w:tr>
    </w:tbl>
    <w:p w14:paraId="093F39D3">
      <w:pPr>
        <w:keepNext w:val="0"/>
        <w:keepLines w:val="0"/>
        <w:pageBreakBefore w:val="0"/>
        <w:widowControl w:val="0"/>
        <w:kinsoku/>
        <w:wordWrap w:val="0"/>
        <w:overflowPunct/>
        <w:topLinePunct w:val="0"/>
        <w:bidi w:val="0"/>
        <w:spacing w:line="180" w:lineRule="atLeast"/>
        <w:rPr>
          <w:rFonts w:hint="eastAsia" w:ascii="宋体" w:hAnsi="宋体" w:eastAsia="宋体" w:cs="宋体"/>
          <w:color w:val="auto"/>
          <w:szCs w:val="28"/>
          <w:highlight w:val="none"/>
        </w:rPr>
      </w:pPr>
      <w:r>
        <w:rPr>
          <w:rFonts w:hint="eastAsia" w:ascii="宋体" w:hAnsi="宋体" w:eastAsia="宋体" w:cs="宋体"/>
          <w:color w:val="auto"/>
          <w:szCs w:val="28"/>
          <w:highlight w:val="none"/>
        </w:rPr>
        <w:t>填写说明：</w:t>
      </w:r>
    </w:p>
    <w:p w14:paraId="7AF0E05D">
      <w:pPr>
        <w:keepNext w:val="0"/>
        <w:keepLines w:val="0"/>
        <w:pageBreakBefore w:val="0"/>
        <w:widowControl w:val="0"/>
        <w:numPr>
          <w:ilvl w:val="0"/>
          <w:numId w:val="10"/>
        </w:numPr>
        <w:kinsoku/>
        <w:wordWrap w:val="0"/>
        <w:overflowPunct/>
        <w:topLinePunct w:val="0"/>
        <w:bidi w:val="0"/>
        <w:rPr>
          <w:rFonts w:hint="eastAsia" w:ascii="宋体" w:hAnsi="宋体" w:eastAsia="宋体" w:cs="宋体"/>
          <w:color w:val="auto"/>
          <w:sz w:val="24"/>
          <w:highlight w:val="none"/>
        </w:rPr>
      </w:pPr>
      <w:r>
        <w:rPr>
          <w:rFonts w:hint="eastAsia" w:ascii="宋体" w:hAnsi="宋体" w:eastAsia="宋体" w:cs="宋体"/>
          <w:color w:val="auto"/>
          <w:sz w:val="24"/>
          <w:highlight w:val="none"/>
        </w:rPr>
        <w:t>如有分包，投标人投任何一个包的标的，都需单独填写开标一览表。</w:t>
      </w:r>
    </w:p>
    <w:p w14:paraId="5267F1FE">
      <w:pPr>
        <w:keepNext w:val="0"/>
        <w:keepLines w:val="0"/>
        <w:pageBreakBefore w:val="0"/>
        <w:widowControl w:val="0"/>
        <w:kinsoku/>
        <w:wordWrap w:val="0"/>
        <w:overflowPunct/>
        <w:topLinePunct w:val="0"/>
        <w:bidi w:val="0"/>
        <w:ind w:firstLine="2640" w:firstLineChars="600"/>
        <w:rPr>
          <w:rFonts w:hint="eastAsia" w:ascii="宋体" w:hAnsi="宋体" w:eastAsia="宋体" w:cs="宋体"/>
          <w:color w:val="auto"/>
          <w:sz w:val="44"/>
          <w:highlight w:val="none"/>
        </w:rPr>
      </w:pPr>
    </w:p>
    <w:p w14:paraId="5E69DB7A">
      <w:pPr>
        <w:keepNext w:val="0"/>
        <w:keepLines w:val="0"/>
        <w:pageBreakBefore w:val="0"/>
        <w:widowControl w:val="0"/>
        <w:kinsoku/>
        <w:wordWrap w:val="0"/>
        <w:overflowPunct/>
        <w:topLinePunct w:val="0"/>
        <w:bidi w:val="0"/>
        <w:ind w:firstLine="480"/>
        <w:rPr>
          <w:rFonts w:hint="eastAsia" w:ascii="宋体" w:hAnsi="宋体" w:eastAsia="宋体" w:cs="宋体"/>
          <w:color w:val="auto"/>
          <w:sz w:val="24"/>
          <w:highlight w:val="none"/>
        </w:rPr>
      </w:pPr>
    </w:p>
    <w:p w14:paraId="1B929337">
      <w:pPr>
        <w:keepNext w:val="0"/>
        <w:keepLines w:val="0"/>
        <w:pageBreakBefore w:val="0"/>
        <w:widowControl w:val="0"/>
        <w:kinsoku/>
        <w:wordWrap w:val="0"/>
        <w:overflowPunct/>
        <w:topLinePunct w:val="0"/>
        <w:bidi w:val="0"/>
        <w:ind w:firstLine="480"/>
        <w:rPr>
          <w:rFonts w:hint="eastAsia" w:ascii="宋体" w:hAnsi="宋体" w:eastAsia="宋体" w:cs="宋体"/>
          <w:color w:val="auto"/>
          <w:sz w:val="24"/>
          <w:highlight w:val="none"/>
        </w:rPr>
      </w:pPr>
    </w:p>
    <w:p w14:paraId="5623BFE9">
      <w:pPr>
        <w:keepNext w:val="0"/>
        <w:keepLines w:val="0"/>
        <w:pageBreakBefore w:val="0"/>
        <w:widowControl w:val="0"/>
        <w:kinsoku/>
        <w:wordWrap w:val="0"/>
        <w:overflowPunct/>
        <w:topLinePunct w:val="0"/>
        <w:bidi w:val="0"/>
        <w:ind w:firstLine="480"/>
        <w:jc w:val="center"/>
        <w:rPr>
          <w:rFonts w:hint="eastAsia" w:ascii="宋体" w:hAnsi="宋体" w:eastAsia="宋体" w:cs="宋体"/>
          <w:color w:val="auto"/>
          <w:sz w:val="24"/>
          <w:highlight w:val="none"/>
        </w:rPr>
      </w:pPr>
      <w:r>
        <w:rPr>
          <w:rFonts w:hint="eastAsia" w:ascii="宋体" w:hAnsi="宋体" w:eastAsia="宋体" w:cs="宋体"/>
          <w:bCs/>
          <w:color w:val="auto"/>
          <w:sz w:val="24"/>
          <w:highlight w:val="none"/>
        </w:rPr>
        <w:t>供应商（加盖CA电子公章）：</w:t>
      </w:r>
    </w:p>
    <w:p w14:paraId="10640314">
      <w:pPr>
        <w:keepNext w:val="0"/>
        <w:keepLines w:val="0"/>
        <w:pageBreakBefore w:val="0"/>
        <w:widowControl w:val="0"/>
        <w:kinsoku/>
        <w:wordWrap w:val="0"/>
        <w:overflowPunct/>
        <w:topLinePunct w:val="0"/>
        <w:bidi w:val="0"/>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570FEDE4">
      <w:pPr>
        <w:keepNext w:val="0"/>
        <w:keepLines w:val="0"/>
        <w:pageBreakBefore w:val="0"/>
        <w:widowControl w:val="0"/>
        <w:kinsoku/>
        <w:wordWrap w:val="0"/>
        <w:overflowPunct/>
        <w:topLinePunct w:val="0"/>
        <w:bidi w:val="0"/>
        <w:jc w:val="center"/>
        <w:rPr>
          <w:rFonts w:hint="eastAsia" w:ascii="宋体" w:hAnsi="宋体" w:eastAsia="宋体" w:cs="宋体"/>
          <w:b/>
          <w:color w:val="auto"/>
          <w:sz w:val="32"/>
          <w:szCs w:val="32"/>
          <w:highlight w:val="none"/>
        </w:rPr>
      </w:pPr>
    </w:p>
    <w:p w14:paraId="73FBFD60">
      <w:pPr>
        <w:keepNext w:val="0"/>
        <w:keepLines w:val="0"/>
        <w:pageBreakBefore w:val="0"/>
        <w:widowControl w:val="0"/>
        <w:kinsoku/>
        <w:wordWrap w:val="0"/>
        <w:overflowPunct/>
        <w:topLinePunct w:val="0"/>
        <w:bidi w:val="0"/>
        <w:jc w:val="center"/>
        <w:rPr>
          <w:rFonts w:hint="eastAsia" w:ascii="宋体" w:hAnsi="宋体" w:eastAsia="宋体" w:cs="宋体"/>
          <w:b/>
          <w:color w:val="auto"/>
          <w:sz w:val="32"/>
          <w:szCs w:val="32"/>
          <w:highlight w:val="none"/>
        </w:rPr>
      </w:pPr>
    </w:p>
    <w:p w14:paraId="5787B016">
      <w:pPr>
        <w:keepNext w:val="0"/>
        <w:keepLines w:val="0"/>
        <w:pageBreakBefore w:val="0"/>
        <w:widowControl w:val="0"/>
        <w:kinsoku/>
        <w:wordWrap w:val="0"/>
        <w:overflowPunct/>
        <w:topLinePunct w:val="0"/>
        <w:bidi w:val="0"/>
        <w:jc w:val="center"/>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rPr>
        <w:br w:type="page"/>
      </w:r>
      <w:r>
        <w:rPr>
          <w:rFonts w:hint="eastAsia" w:ascii="宋体" w:hAnsi="宋体" w:eastAsia="宋体" w:cs="宋体"/>
          <w:b/>
          <w:bCs/>
          <w:color w:val="auto"/>
          <w:sz w:val="32"/>
          <w:szCs w:val="40"/>
          <w:highlight w:val="none"/>
          <w:lang w:val="en-US" w:eastAsia="zh-CN" w:bidi="ar-SA"/>
        </w:rPr>
        <w:t>六、投标产品配置及分项报价表（格式）</w:t>
      </w:r>
    </w:p>
    <w:p w14:paraId="38A9FEF9">
      <w:pPr>
        <w:keepNext w:val="0"/>
        <w:keepLines w:val="0"/>
        <w:pageBreakBefore w:val="0"/>
        <w:widowControl w:val="0"/>
        <w:kinsoku/>
        <w:wordWrap w:val="0"/>
        <w:overflowPunct/>
        <w:topLinePunct w:val="0"/>
        <w:bidi w:val="0"/>
        <w:jc w:val="center"/>
        <w:rPr>
          <w:rFonts w:hint="eastAsia" w:ascii="宋体" w:hAnsi="宋体" w:eastAsia="宋体" w:cs="宋体"/>
          <w:sz w:val="24"/>
          <w:szCs w:val="24"/>
          <w:highlight w:val="none"/>
        </w:rPr>
      </w:pPr>
    </w:p>
    <w:p w14:paraId="35EA96E8">
      <w:pPr>
        <w:keepNext w:val="0"/>
        <w:keepLines w:val="0"/>
        <w:pageBreakBefore w:val="0"/>
        <w:widowControl w:val="0"/>
        <w:kinsoku/>
        <w:wordWrap w:val="0"/>
        <w:overflowPunct/>
        <w:topLinePunct w:val="0"/>
        <w:bidi w:val="0"/>
        <w:rPr>
          <w:rFonts w:hint="eastAsia" w:ascii="宋体" w:hAnsi="宋体" w:eastAsia="宋体" w:cs="宋体"/>
          <w:sz w:val="24"/>
          <w:szCs w:val="24"/>
          <w:highlight w:val="none"/>
        </w:rPr>
      </w:pPr>
      <w:r>
        <w:rPr>
          <w:rFonts w:hint="eastAsia" w:ascii="宋体" w:hAnsi="宋体" w:eastAsia="宋体" w:cs="宋体"/>
          <w:sz w:val="24"/>
          <w:szCs w:val="24"/>
          <w:highlight w:val="none"/>
        </w:rPr>
        <w:t>投标人全称（加盖CA电子公章）：</w:t>
      </w:r>
    </w:p>
    <w:tbl>
      <w:tblPr>
        <w:tblStyle w:val="38"/>
        <w:tblW w:w="95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92"/>
        <w:gridCol w:w="2369"/>
        <w:gridCol w:w="1442"/>
        <w:gridCol w:w="2781"/>
      </w:tblGrid>
      <w:tr w14:paraId="12673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992" w:type="dxa"/>
            <w:noWrap w:val="0"/>
            <w:vAlign w:val="center"/>
          </w:tcPr>
          <w:p w14:paraId="6A96BB9F">
            <w:pPr>
              <w:keepNext w:val="0"/>
              <w:keepLines w:val="0"/>
              <w:pageBreakBefore w:val="0"/>
              <w:widowControl w:val="0"/>
              <w:kinsoku/>
              <w:wordWrap w:val="0"/>
              <w:overflowPunct/>
              <w:topLinePunct w:val="0"/>
              <w:bidi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货物名称及规格、型号</w:t>
            </w:r>
          </w:p>
        </w:tc>
        <w:tc>
          <w:tcPr>
            <w:tcW w:w="2369" w:type="dxa"/>
            <w:noWrap w:val="0"/>
            <w:vAlign w:val="center"/>
          </w:tcPr>
          <w:p w14:paraId="2AFCBAFD">
            <w:pPr>
              <w:keepNext w:val="0"/>
              <w:keepLines w:val="0"/>
              <w:pageBreakBefore w:val="0"/>
              <w:widowControl w:val="0"/>
              <w:kinsoku/>
              <w:wordWrap w:val="0"/>
              <w:overflowPunct/>
              <w:topLinePunct w:val="0"/>
              <w:bidi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数量</w:t>
            </w:r>
          </w:p>
        </w:tc>
        <w:tc>
          <w:tcPr>
            <w:tcW w:w="1442" w:type="dxa"/>
            <w:noWrap w:val="0"/>
            <w:vAlign w:val="center"/>
          </w:tcPr>
          <w:p w14:paraId="3052ECDB">
            <w:pPr>
              <w:keepNext w:val="0"/>
              <w:keepLines w:val="0"/>
              <w:pageBreakBefore w:val="0"/>
              <w:widowControl w:val="0"/>
              <w:kinsoku/>
              <w:wordWrap w:val="0"/>
              <w:overflowPunct/>
              <w:topLinePunct w:val="0"/>
              <w:bidi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单价</w:t>
            </w:r>
          </w:p>
        </w:tc>
        <w:tc>
          <w:tcPr>
            <w:tcW w:w="2781" w:type="dxa"/>
            <w:noWrap w:val="0"/>
            <w:vAlign w:val="center"/>
          </w:tcPr>
          <w:p w14:paraId="71E05E89">
            <w:pPr>
              <w:keepNext w:val="0"/>
              <w:keepLines w:val="0"/>
              <w:pageBreakBefore w:val="0"/>
              <w:widowControl w:val="0"/>
              <w:kinsoku/>
              <w:wordWrap w:val="0"/>
              <w:overflowPunct/>
              <w:topLinePunct w:val="0"/>
              <w:bidi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总价</w:t>
            </w:r>
          </w:p>
        </w:tc>
      </w:tr>
      <w:tr w14:paraId="57CD4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0" w:hRule="atLeast"/>
        </w:trPr>
        <w:tc>
          <w:tcPr>
            <w:tcW w:w="2992" w:type="dxa"/>
            <w:noWrap w:val="0"/>
            <w:vAlign w:val="center"/>
          </w:tcPr>
          <w:p w14:paraId="72E3C531">
            <w:pPr>
              <w:keepNext w:val="0"/>
              <w:keepLines w:val="0"/>
              <w:pageBreakBefore w:val="0"/>
              <w:widowControl w:val="0"/>
              <w:kinsoku/>
              <w:wordWrap w:val="0"/>
              <w:overflowPunct/>
              <w:topLinePunct w:val="0"/>
              <w:bidi w:val="0"/>
              <w:rPr>
                <w:rFonts w:hint="eastAsia" w:ascii="宋体" w:hAnsi="宋体" w:eastAsia="宋体" w:cs="宋体"/>
                <w:sz w:val="24"/>
                <w:szCs w:val="24"/>
                <w:highlight w:val="none"/>
              </w:rPr>
            </w:pPr>
          </w:p>
        </w:tc>
        <w:tc>
          <w:tcPr>
            <w:tcW w:w="2369" w:type="dxa"/>
            <w:noWrap w:val="0"/>
            <w:vAlign w:val="center"/>
          </w:tcPr>
          <w:p w14:paraId="74A57024">
            <w:pPr>
              <w:keepNext w:val="0"/>
              <w:keepLines w:val="0"/>
              <w:pageBreakBefore w:val="0"/>
              <w:widowControl w:val="0"/>
              <w:kinsoku/>
              <w:wordWrap w:val="0"/>
              <w:overflowPunct/>
              <w:topLinePunct w:val="0"/>
              <w:bidi w:val="0"/>
              <w:rPr>
                <w:rFonts w:hint="eastAsia" w:ascii="宋体" w:hAnsi="宋体" w:eastAsia="宋体" w:cs="宋体"/>
                <w:sz w:val="24"/>
                <w:szCs w:val="24"/>
                <w:highlight w:val="none"/>
              </w:rPr>
            </w:pPr>
          </w:p>
        </w:tc>
        <w:tc>
          <w:tcPr>
            <w:tcW w:w="1442" w:type="dxa"/>
            <w:noWrap w:val="0"/>
            <w:vAlign w:val="center"/>
          </w:tcPr>
          <w:p w14:paraId="157DDEAA">
            <w:pPr>
              <w:keepNext w:val="0"/>
              <w:keepLines w:val="0"/>
              <w:pageBreakBefore w:val="0"/>
              <w:widowControl w:val="0"/>
              <w:kinsoku/>
              <w:wordWrap w:val="0"/>
              <w:overflowPunct/>
              <w:topLinePunct w:val="0"/>
              <w:bidi w:val="0"/>
              <w:rPr>
                <w:rFonts w:hint="eastAsia" w:ascii="宋体" w:hAnsi="宋体" w:eastAsia="宋体" w:cs="宋体"/>
                <w:sz w:val="24"/>
                <w:szCs w:val="24"/>
                <w:highlight w:val="none"/>
              </w:rPr>
            </w:pPr>
          </w:p>
        </w:tc>
        <w:tc>
          <w:tcPr>
            <w:tcW w:w="2781" w:type="dxa"/>
            <w:noWrap w:val="0"/>
            <w:vAlign w:val="center"/>
          </w:tcPr>
          <w:p w14:paraId="3E77415D">
            <w:pPr>
              <w:keepNext w:val="0"/>
              <w:keepLines w:val="0"/>
              <w:pageBreakBefore w:val="0"/>
              <w:widowControl w:val="0"/>
              <w:kinsoku/>
              <w:wordWrap w:val="0"/>
              <w:overflowPunct/>
              <w:topLinePunct w:val="0"/>
              <w:bidi w:val="0"/>
              <w:rPr>
                <w:rFonts w:hint="eastAsia" w:ascii="宋体" w:hAnsi="宋体" w:eastAsia="宋体" w:cs="宋体"/>
                <w:sz w:val="24"/>
                <w:szCs w:val="24"/>
                <w:highlight w:val="none"/>
              </w:rPr>
            </w:pPr>
          </w:p>
        </w:tc>
      </w:tr>
      <w:tr w14:paraId="06DDE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0" w:hRule="atLeast"/>
        </w:trPr>
        <w:tc>
          <w:tcPr>
            <w:tcW w:w="2992" w:type="dxa"/>
            <w:noWrap w:val="0"/>
            <w:vAlign w:val="center"/>
          </w:tcPr>
          <w:p w14:paraId="5763BE8C">
            <w:pPr>
              <w:keepNext w:val="0"/>
              <w:keepLines w:val="0"/>
              <w:pageBreakBefore w:val="0"/>
              <w:widowControl w:val="0"/>
              <w:kinsoku/>
              <w:wordWrap w:val="0"/>
              <w:overflowPunct/>
              <w:topLinePunct w:val="0"/>
              <w:bidi w:val="0"/>
              <w:rPr>
                <w:rFonts w:hint="eastAsia" w:ascii="宋体" w:hAnsi="宋体" w:eastAsia="宋体" w:cs="宋体"/>
                <w:sz w:val="24"/>
                <w:szCs w:val="24"/>
                <w:highlight w:val="none"/>
              </w:rPr>
            </w:pPr>
          </w:p>
        </w:tc>
        <w:tc>
          <w:tcPr>
            <w:tcW w:w="2369" w:type="dxa"/>
            <w:noWrap w:val="0"/>
            <w:vAlign w:val="center"/>
          </w:tcPr>
          <w:p w14:paraId="0D935991">
            <w:pPr>
              <w:keepNext w:val="0"/>
              <w:keepLines w:val="0"/>
              <w:pageBreakBefore w:val="0"/>
              <w:widowControl w:val="0"/>
              <w:kinsoku/>
              <w:wordWrap w:val="0"/>
              <w:overflowPunct/>
              <w:topLinePunct w:val="0"/>
              <w:bidi w:val="0"/>
              <w:rPr>
                <w:rFonts w:hint="eastAsia" w:ascii="宋体" w:hAnsi="宋体" w:eastAsia="宋体" w:cs="宋体"/>
                <w:sz w:val="24"/>
                <w:szCs w:val="24"/>
                <w:highlight w:val="none"/>
              </w:rPr>
            </w:pPr>
          </w:p>
        </w:tc>
        <w:tc>
          <w:tcPr>
            <w:tcW w:w="1442" w:type="dxa"/>
            <w:noWrap w:val="0"/>
            <w:vAlign w:val="center"/>
          </w:tcPr>
          <w:p w14:paraId="32770751">
            <w:pPr>
              <w:keepNext w:val="0"/>
              <w:keepLines w:val="0"/>
              <w:pageBreakBefore w:val="0"/>
              <w:widowControl w:val="0"/>
              <w:kinsoku/>
              <w:wordWrap w:val="0"/>
              <w:overflowPunct/>
              <w:topLinePunct w:val="0"/>
              <w:bidi w:val="0"/>
              <w:rPr>
                <w:rFonts w:hint="eastAsia" w:ascii="宋体" w:hAnsi="宋体" w:eastAsia="宋体" w:cs="宋体"/>
                <w:sz w:val="24"/>
                <w:szCs w:val="24"/>
                <w:highlight w:val="none"/>
              </w:rPr>
            </w:pPr>
          </w:p>
        </w:tc>
        <w:tc>
          <w:tcPr>
            <w:tcW w:w="2781" w:type="dxa"/>
            <w:noWrap w:val="0"/>
            <w:vAlign w:val="center"/>
          </w:tcPr>
          <w:p w14:paraId="446DA277">
            <w:pPr>
              <w:keepNext w:val="0"/>
              <w:keepLines w:val="0"/>
              <w:pageBreakBefore w:val="0"/>
              <w:widowControl w:val="0"/>
              <w:kinsoku/>
              <w:wordWrap w:val="0"/>
              <w:overflowPunct/>
              <w:topLinePunct w:val="0"/>
              <w:bidi w:val="0"/>
              <w:rPr>
                <w:rFonts w:hint="eastAsia" w:ascii="宋体" w:hAnsi="宋体" w:eastAsia="宋体" w:cs="宋体"/>
                <w:sz w:val="24"/>
                <w:szCs w:val="24"/>
                <w:highlight w:val="none"/>
              </w:rPr>
            </w:pPr>
          </w:p>
        </w:tc>
      </w:tr>
      <w:tr w14:paraId="44E2B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0" w:hRule="atLeast"/>
        </w:trPr>
        <w:tc>
          <w:tcPr>
            <w:tcW w:w="2992" w:type="dxa"/>
            <w:noWrap w:val="0"/>
            <w:vAlign w:val="center"/>
          </w:tcPr>
          <w:p w14:paraId="481258ED">
            <w:pPr>
              <w:keepNext w:val="0"/>
              <w:keepLines w:val="0"/>
              <w:pageBreakBefore w:val="0"/>
              <w:widowControl w:val="0"/>
              <w:kinsoku/>
              <w:wordWrap w:val="0"/>
              <w:overflowPunct/>
              <w:topLinePunct w:val="0"/>
              <w:bidi w:val="0"/>
              <w:rPr>
                <w:rFonts w:hint="eastAsia" w:ascii="宋体" w:hAnsi="宋体" w:eastAsia="宋体" w:cs="宋体"/>
                <w:sz w:val="24"/>
                <w:szCs w:val="24"/>
                <w:highlight w:val="none"/>
              </w:rPr>
            </w:pPr>
          </w:p>
        </w:tc>
        <w:tc>
          <w:tcPr>
            <w:tcW w:w="2369" w:type="dxa"/>
            <w:noWrap w:val="0"/>
            <w:vAlign w:val="center"/>
          </w:tcPr>
          <w:p w14:paraId="1A49B91F">
            <w:pPr>
              <w:keepNext w:val="0"/>
              <w:keepLines w:val="0"/>
              <w:pageBreakBefore w:val="0"/>
              <w:widowControl w:val="0"/>
              <w:kinsoku/>
              <w:wordWrap w:val="0"/>
              <w:overflowPunct/>
              <w:topLinePunct w:val="0"/>
              <w:bidi w:val="0"/>
              <w:rPr>
                <w:rFonts w:hint="eastAsia" w:ascii="宋体" w:hAnsi="宋体" w:eastAsia="宋体" w:cs="宋体"/>
                <w:sz w:val="24"/>
                <w:szCs w:val="24"/>
                <w:highlight w:val="none"/>
              </w:rPr>
            </w:pPr>
          </w:p>
        </w:tc>
        <w:tc>
          <w:tcPr>
            <w:tcW w:w="1442" w:type="dxa"/>
            <w:noWrap w:val="0"/>
            <w:vAlign w:val="center"/>
          </w:tcPr>
          <w:p w14:paraId="21ACB098">
            <w:pPr>
              <w:keepNext w:val="0"/>
              <w:keepLines w:val="0"/>
              <w:pageBreakBefore w:val="0"/>
              <w:widowControl w:val="0"/>
              <w:kinsoku/>
              <w:wordWrap w:val="0"/>
              <w:overflowPunct/>
              <w:topLinePunct w:val="0"/>
              <w:bidi w:val="0"/>
              <w:rPr>
                <w:rFonts w:hint="eastAsia" w:ascii="宋体" w:hAnsi="宋体" w:eastAsia="宋体" w:cs="宋体"/>
                <w:sz w:val="24"/>
                <w:szCs w:val="24"/>
                <w:highlight w:val="none"/>
              </w:rPr>
            </w:pPr>
          </w:p>
        </w:tc>
        <w:tc>
          <w:tcPr>
            <w:tcW w:w="2781" w:type="dxa"/>
            <w:noWrap w:val="0"/>
            <w:vAlign w:val="center"/>
          </w:tcPr>
          <w:p w14:paraId="634FF84A">
            <w:pPr>
              <w:keepNext w:val="0"/>
              <w:keepLines w:val="0"/>
              <w:pageBreakBefore w:val="0"/>
              <w:widowControl w:val="0"/>
              <w:kinsoku/>
              <w:wordWrap w:val="0"/>
              <w:overflowPunct/>
              <w:topLinePunct w:val="0"/>
              <w:bidi w:val="0"/>
              <w:rPr>
                <w:rFonts w:hint="eastAsia" w:ascii="宋体" w:hAnsi="宋体" w:eastAsia="宋体" w:cs="宋体"/>
                <w:sz w:val="24"/>
                <w:szCs w:val="24"/>
                <w:highlight w:val="none"/>
              </w:rPr>
            </w:pPr>
          </w:p>
        </w:tc>
      </w:tr>
      <w:tr w14:paraId="1B79E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trPr>
        <w:tc>
          <w:tcPr>
            <w:tcW w:w="2992" w:type="dxa"/>
            <w:noWrap w:val="0"/>
            <w:vAlign w:val="center"/>
          </w:tcPr>
          <w:p w14:paraId="4B69426C">
            <w:pPr>
              <w:keepNext w:val="0"/>
              <w:keepLines w:val="0"/>
              <w:pageBreakBefore w:val="0"/>
              <w:widowControl w:val="0"/>
              <w:kinsoku/>
              <w:wordWrap w:val="0"/>
              <w:overflowPunct/>
              <w:topLinePunct w:val="0"/>
              <w:bidi w:val="0"/>
              <w:rPr>
                <w:rFonts w:hint="eastAsia" w:ascii="宋体" w:hAnsi="宋体" w:eastAsia="宋体" w:cs="宋体"/>
                <w:sz w:val="24"/>
                <w:szCs w:val="24"/>
                <w:highlight w:val="none"/>
              </w:rPr>
            </w:pPr>
          </w:p>
        </w:tc>
        <w:tc>
          <w:tcPr>
            <w:tcW w:w="2369" w:type="dxa"/>
            <w:noWrap w:val="0"/>
            <w:vAlign w:val="center"/>
          </w:tcPr>
          <w:p w14:paraId="572216C2">
            <w:pPr>
              <w:keepNext w:val="0"/>
              <w:keepLines w:val="0"/>
              <w:pageBreakBefore w:val="0"/>
              <w:widowControl w:val="0"/>
              <w:kinsoku/>
              <w:wordWrap w:val="0"/>
              <w:overflowPunct/>
              <w:topLinePunct w:val="0"/>
              <w:bidi w:val="0"/>
              <w:rPr>
                <w:rFonts w:hint="eastAsia" w:ascii="宋体" w:hAnsi="宋体" w:eastAsia="宋体" w:cs="宋体"/>
                <w:sz w:val="24"/>
                <w:szCs w:val="24"/>
                <w:highlight w:val="none"/>
              </w:rPr>
            </w:pPr>
          </w:p>
        </w:tc>
        <w:tc>
          <w:tcPr>
            <w:tcW w:w="1442" w:type="dxa"/>
            <w:noWrap w:val="0"/>
            <w:vAlign w:val="center"/>
          </w:tcPr>
          <w:p w14:paraId="19F35956">
            <w:pPr>
              <w:keepNext w:val="0"/>
              <w:keepLines w:val="0"/>
              <w:pageBreakBefore w:val="0"/>
              <w:widowControl w:val="0"/>
              <w:kinsoku/>
              <w:wordWrap w:val="0"/>
              <w:overflowPunct/>
              <w:topLinePunct w:val="0"/>
              <w:bidi w:val="0"/>
              <w:rPr>
                <w:rFonts w:hint="eastAsia" w:ascii="宋体" w:hAnsi="宋体" w:eastAsia="宋体" w:cs="宋体"/>
                <w:sz w:val="24"/>
                <w:szCs w:val="24"/>
                <w:highlight w:val="none"/>
              </w:rPr>
            </w:pPr>
          </w:p>
        </w:tc>
        <w:tc>
          <w:tcPr>
            <w:tcW w:w="2781" w:type="dxa"/>
            <w:noWrap w:val="0"/>
            <w:vAlign w:val="center"/>
          </w:tcPr>
          <w:p w14:paraId="3642A790">
            <w:pPr>
              <w:keepNext w:val="0"/>
              <w:keepLines w:val="0"/>
              <w:pageBreakBefore w:val="0"/>
              <w:widowControl w:val="0"/>
              <w:kinsoku/>
              <w:wordWrap w:val="0"/>
              <w:overflowPunct/>
              <w:topLinePunct w:val="0"/>
              <w:bidi w:val="0"/>
              <w:rPr>
                <w:rFonts w:hint="eastAsia" w:ascii="宋体" w:hAnsi="宋体" w:eastAsia="宋体" w:cs="宋体"/>
                <w:sz w:val="24"/>
                <w:szCs w:val="24"/>
                <w:highlight w:val="none"/>
              </w:rPr>
            </w:pPr>
          </w:p>
        </w:tc>
      </w:tr>
      <w:tr w14:paraId="1B999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93" w:hRule="atLeast"/>
        </w:trPr>
        <w:tc>
          <w:tcPr>
            <w:tcW w:w="2992" w:type="dxa"/>
            <w:noWrap w:val="0"/>
            <w:vAlign w:val="center"/>
          </w:tcPr>
          <w:p w14:paraId="5B4BA314">
            <w:pPr>
              <w:keepNext w:val="0"/>
              <w:keepLines w:val="0"/>
              <w:pageBreakBefore w:val="0"/>
              <w:widowControl w:val="0"/>
              <w:kinsoku/>
              <w:wordWrap w:val="0"/>
              <w:overflowPunct/>
              <w:topLinePunct w:val="0"/>
              <w:bidi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合计</w:t>
            </w:r>
          </w:p>
        </w:tc>
        <w:tc>
          <w:tcPr>
            <w:tcW w:w="6592" w:type="dxa"/>
            <w:gridSpan w:val="3"/>
            <w:noWrap w:val="0"/>
            <w:vAlign w:val="top"/>
          </w:tcPr>
          <w:p w14:paraId="0F7F9EF2">
            <w:pPr>
              <w:keepNext w:val="0"/>
              <w:keepLines w:val="0"/>
              <w:pageBreakBefore w:val="0"/>
              <w:widowControl w:val="0"/>
              <w:kinsoku/>
              <w:wordWrap w:val="0"/>
              <w:overflowPunct/>
              <w:topLinePunct w:val="0"/>
              <w:bidi w:val="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tc>
      </w:tr>
    </w:tbl>
    <w:p w14:paraId="0F4FAD32">
      <w:pPr>
        <w:keepNext w:val="0"/>
        <w:keepLines w:val="0"/>
        <w:pageBreakBefore w:val="0"/>
        <w:widowControl w:val="0"/>
        <w:kinsoku/>
        <w:wordWrap w:val="0"/>
        <w:overflowPunct/>
        <w:topLinePunct w:val="0"/>
        <w:bidi w:val="0"/>
        <w:rPr>
          <w:rFonts w:hint="eastAsia" w:ascii="宋体" w:hAnsi="宋体" w:eastAsia="宋体" w:cs="宋体"/>
          <w:sz w:val="24"/>
          <w:szCs w:val="24"/>
          <w:highlight w:val="none"/>
        </w:rPr>
      </w:pPr>
    </w:p>
    <w:p w14:paraId="1C568ED3">
      <w:pPr>
        <w:keepNext w:val="0"/>
        <w:keepLines w:val="0"/>
        <w:pageBreakBefore w:val="0"/>
        <w:widowControl w:val="0"/>
        <w:kinsoku/>
        <w:wordWrap w:val="0"/>
        <w:overflowPunct/>
        <w:topLinePunct w:val="0"/>
        <w:bidi w:val="0"/>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法定代表人或授权代表签字：</w:t>
      </w:r>
    </w:p>
    <w:p w14:paraId="35E7D755">
      <w:pPr>
        <w:keepNext w:val="0"/>
        <w:keepLines w:val="0"/>
        <w:pageBreakBefore w:val="0"/>
        <w:widowControl w:val="0"/>
        <w:kinsoku/>
        <w:wordWrap w:val="0"/>
        <w:overflowPunct/>
        <w:topLinePunct w:val="0"/>
        <w:bidi w:val="0"/>
        <w:spacing w:line="360" w:lineRule="auto"/>
        <w:rPr>
          <w:rFonts w:hint="eastAsia" w:ascii="宋体" w:hAnsi="宋体" w:eastAsia="宋体" w:cs="宋体"/>
          <w:sz w:val="24"/>
          <w:highlight w:val="none"/>
        </w:rPr>
      </w:pPr>
      <w:r>
        <w:rPr>
          <w:rFonts w:hint="eastAsia" w:ascii="宋体" w:hAnsi="宋体" w:eastAsia="宋体" w:cs="宋体"/>
          <w:sz w:val="24"/>
          <w:highlight w:val="none"/>
        </w:rPr>
        <w:t>1、此表可以根据需要自行增减行数。</w:t>
      </w:r>
    </w:p>
    <w:p w14:paraId="3C5CF538">
      <w:pPr>
        <w:keepNext w:val="0"/>
        <w:keepLines w:val="0"/>
        <w:pageBreakBefore w:val="0"/>
        <w:widowControl w:val="0"/>
        <w:kinsoku/>
        <w:wordWrap w:val="0"/>
        <w:overflowPunct/>
        <w:topLinePunct w:val="0"/>
        <w:bidi w:val="0"/>
        <w:spacing w:line="360" w:lineRule="auto"/>
        <w:rPr>
          <w:rFonts w:hint="eastAsia" w:ascii="宋体" w:hAnsi="宋体" w:eastAsia="宋体" w:cs="宋体"/>
          <w:b/>
          <w:sz w:val="24"/>
          <w:highlight w:val="none"/>
        </w:rPr>
      </w:pPr>
      <w:r>
        <w:rPr>
          <w:rFonts w:hint="eastAsia" w:ascii="宋体" w:hAnsi="宋体" w:eastAsia="宋体" w:cs="宋体"/>
          <w:sz w:val="24"/>
          <w:highlight w:val="none"/>
        </w:rPr>
        <w:t>2、项目如有分包，请各供应商按投报的分包分别列表。</w:t>
      </w:r>
    </w:p>
    <w:p w14:paraId="23900347">
      <w:pPr>
        <w:keepNext w:val="0"/>
        <w:keepLines w:val="0"/>
        <w:pageBreakBefore w:val="0"/>
        <w:widowControl w:val="0"/>
        <w:kinsoku/>
        <w:wordWrap w:val="0"/>
        <w:overflowPunct/>
        <w:topLinePunct w:val="0"/>
        <w:bidi w:val="0"/>
        <w:rPr>
          <w:rFonts w:hint="eastAsia" w:ascii="宋体" w:hAnsi="宋体" w:eastAsia="宋体" w:cs="宋体"/>
          <w:b/>
          <w:color w:val="FF0000"/>
          <w:sz w:val="24"/>
          <w:highlight w:val="none"/>
        </w:rPr>
      </w:pPr>
      <w:r>
        <w:rPr>
          <w:rFonts w:hint="eastAsia" w:ascii="宋体" w:hAnsi="宋体" w:eastAsia="宋体" w:cs="宋体"/>
          <w:b/>
          <w:color w:val="FF0000"/>
          <w:sz w:val="24"/>
          <w:highlight w:val="none"/>
        </w:rPr>
        <w:t>★如服务类项目采购人可根据项目需求特点自行制作。</w:t>
      </w:r>
    </w:p>
    <w:p w14:paraId="14F04E3C">
      <w:pPr>
        <w:keepNext w:val="0"/>
        <w:keepLines w:val="0"/>
        <w:pageBreakBefore w:val="0"/>
        <w:widowControl w:val="0"/>
        <w:kinsoku/>
        <w:wordWrap w:val="0"/>
        <w:overflowPunct/>
        <w:topLinePunct w:val="0"/>
        <w:bidi w:val="0"/>
        <w:rPr>
          <w:rFonts w:hint="eastAsia" w:ascii="宋体" w:hAnsi="宋体" w:eastAsia="宋体" w:cs="宋体"/>
          <w:sz w:val="24"/>
          <w:szCs w:val="24"/>
          <w:highlight w:val="none"/>
        </w:rPr>
      </w:pPr>
    </w:p>
    <w:p w14:paraId="3E7471F0">
      <w:pPr>
        <w:keepNext w:val="0"/>
        <w:keepLines w:val="0"/>
        <w:pageBreakBefore w:val="0"/>
        <w:widowControl w:val="0"/>
        <w:kinsoku/>
        <w:wordWrap w:val="0"/>
        <w:overflowPunct/>
        <w:topLinePunct w:val="0"/>
        <w:bidi w:val="0"/>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r>
        <w:rPr>
          <w:rFonts w:hint="eastAsia" w:ascii="宋体" w:hAnsi="宋体" w:eastAsia="宋体" w:cs="宋体"/>
          <w:color w:val="auto"/>
          <w:sz w:val="32"/>
          <w:szCs w:val="32"/>
          <w:highlight w:val="none"/>
        </w:rPr>
        <w:t>附1（本项目适用）</w:t>
      </w:r>
    </w:p>
    <w:p w14:paraId="532A1696">
      <w:pPr>
        <w:keepNext w:val="0"/>
        <w:keepLines w:val="0"/>
        <w:pageBreakBefore w:val="0"/>
        <w:widowControl w:val="0"/>
        <w:kinsoku/>
        <w:wordWrap w:val="0"/>
        <w:overflowPunct/>
        <w:topLinePunct w:val="0"/>
        <w:bidi w:val="0"/>
        <w:jc w:val="center"/>
        <w:rPr>
          <w:rFonts w:hint="eastAsia" w:ascii="宋体" w:hAnsi="宋体" w:eastAsia="宋体" w:cs="宋体"/>
          <w:b/>
          <w:bCs/>
          <w:color w:val="auto"/>
          <w:sz w:val="32"/>
          <w:szCs w:val="40"/>
          <w:highlight w:val="none"/>
          <w:lang w:val="en-US" w:eastAsia="zh-CN" w:bidi="ar-SA"/>
        </w:rPr>
      </w:pPr>
      <w:r>
        <w:rPr>
          <w:rFonts w:hint="eastAsia" w:ascii="宋体" w:hAnsi="宋体" w:eastAsia="宋体" w:cs="宋体"/>
          <w:b/>
          <w:bCs/>
          <w:color w:val="auto"/>
          <w:sz w:val="32"/>
          <w:szCs w:val="40"/>
          <w:highlight w:val="none"/>
          <w:lang w:val="en-US" w:eastAsia="zh-CN" w:bidi="ar-SA"/>
        </w:rPr>
        <w:t>中小企业声明函（工程、服务）</w:t>
      </w:r>
    </w:p>
    <w:p w14:paraId="58BD0DDE">
      <w:pPr>
        <w:keepNext w:val="0"/>
        <w:keepLines w:val="0"/>
        <w:pageBreakBefore w:val="0"/>
        <w:widowControl w:val="0"/>
        <w:kinsoku/>
        <w:wordWrap w:val="0"/>
        <w:overflowPunct/>
        <w:topLinePunct w:val="0"/>
        <w:bidi w:val="0"/>
        <w:spacing w:line="560" w:lineRule="exact"/>
        <w:rPr>
          <w:rFonts w:hint="eastAsia" w:ascii="宋体" w:hAnsi="宋体" w:eastAsia="宋体" w:cs="宋体"/>
          <w:b/>
          <w:bCs/>
          <w:color w:val="auto"/>
          <w:sz w:val="28"/>
          <w:szCs w:val="28"/>
          <w:highlight w:val="none"/>
        </w:rPr>
      </w:pPr>
    </w:p>
    <w:p w14:paraId="5381A2C4">
      <w:pPr>
        <w:keepNext w:val="0"/>
        <w:keepLines w:val="0"/>
        <w:pageBreakBefore w:val="0"/>
        <w:widowControl w:val="0"/>
        <w:kinsoku/>
        <w:wordWrap w:val="0"/>
        <w:overflowPunct/>
        <w:topLinePunct w:val="0"/>
        <w:bidi w:val="0"/>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67FEE815">
      <w:pPr>
        <w:keepNext w:val="0"/>
        <w:keepLines w:val="0"/>
        <w:pageBreakBefore w:val="0"/>
        <w:widowControl w:val="0"/>
        <w:numPr>
          <w:ilvl w:val="0"/>
          <w:numId w:val="11"/>
        </w:numPr>
        <w:kinsoku/>
        <w:wordWrap w:val="0"/>
        <w:overflowPunct/>
        <w:topLinePunct w:val="0"/>
        <w:bidi w:val="0"/>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（采购文件中明确的所属行业）</w:t>
      </w:r>
      <w:r>
        <w:rPr>
          <w:rFonts w:hint="eastAsia" w:ascii="宋体" w:hAnsi="宋体" w:eastAsia="宋体" w:cs="宋体"/>
          <w:color w:val="auto"/>
          <w:sz w:val="24"/>
          <w:szCs w:val="24"/>
          <w:highlight w:val="none"/>
        </w:rPr>
        <w:t>行业；承接（承接）企业为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rPr>
        <w:t>；</w:t>
      </w:r>
    </w:p>
    <w:p w14:paraId="3D0EC5A6">
      <w:pPr>
        <w:keepNext w:val="0"/>
        <w:keepLines w:val="0"/>
        <w:pageBreakBefore w:val="0"/>
        <w:widowControl w:val="0"/>
        <w:numPr>
          <w:ilvl w:val="0"/>
          <w:numId w:val="11"/>
        </w:numPr>
        <w:kinsoku/>
        <w:wordWrap w:val="0"/>
        <w:overflowPunct/>
        <w:topLinePunct w:val="0"/>
        <w:bidi w:val="0"/>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（采购文件中明确的所属行业）</w:t>
      </w:r>
      <w:r>
        <w:rPr>
          <w:rFonts w:hint="eastAsia" w:ascii="宋体" w:hAnsi="宋体" w:eastAsia="宋体" w:cs="宋体"/>
          <w:color w:val="auto"/>
          <w:sz w:val="24"/>
          <w:szCs w:val="24"/>
          <w:highlight w:val="none"/>
        </w:rPr>
        <w:t>行业；承接（承接）企业为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rPr>
        <w:t>；</w:t>
      </w:r>
    </w:p>
    <w:p w14:paraId="05106A97">
      <w:pPr>
        <w:keepNext w:val="0"/>
        <w:keepLines w:val="0"/>
        <w:pageBreakBefore w:val="0"/>
        <w:widowControl w:val="0"/>
        <w:kinsoku/>
        <w:wordWrap w:val="0"/>
        <w:overflowPunct/>
        <w:topLinePunct w:val="0"/>
        <w:bidi w:val="0"/>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4B3F82C3">
      <w:pPr>
        <w:keepNext w:val="0"/>
        <w:keepLines w:val="0"/>
        <w:pageBreakBefore w:val="0"/>
        <w:widowControl w:val="0"/>
        <w:kinsoku/>
        <w:wordWrap w:val="0"/>
        <w:overflowPunct/>
        <w:topLinePunct w:val="0"/>
        <w:bidi w:val="0"/>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3CC4907B">
      <w:pPr>
        <w:keepNext w:val="0"/>
        <w:keepLines w:val="0"/>
        <w:pageBreakBefore w:val="0"/>
        <w:widowControl w:val="0"/>
        <w:kinsoku/>
        <w:wordWrap w:val="0"/>
        <w:overflowPunct/>
        <w:topLinePunct w:val="0"/>
        <w:bidi w:val="0"/>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09C42F66">
      <w:pPr>
        <w:keepNext w:val="0"/>
        <w:keepLines w:val="0"/>
        <w:pageBreakBefore w:val="0"/>
        <w:widowControl w:val="0"/>
        <w:kinsoku/>
        <w:wordWrap w:val="0"/>
        <w:overflowPunct/>
        <w:topLinePunct w:val="0"/>
        <w:bidi w:val="0"/>
        <w:ind w:firstLine="4080" w:firstLineChars="17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企业（加盖CA电子公章）：</w:t>
      </w:r>
    </w:p>
    <w:p w14:paraId="714D808E">
      <w:pPr>
        <w:keepNext w:val="0"/>
        <w:keepLines w:val="0"/>
        <w:pageBreakBefore w:val="0"/>
        <w:widowControl w:val="0"/>
        <w:kinsoku/>
        <w:wordWrap w:val="0"/>
        <w:overflowPunct/>
        <w:topLinePunct w:val="0"/>
        <w:bidi w:val="0"/>
        <w:ind w:firstLine="4080" w:firstLineChars="17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p>
    <w:p w14:paraId="6CC889E8">
      <w:pPr>
        <w:keepNext w:val="0"/>
        <w:keepLines w:val="0"/>
        <w:pageBreakBefore w:val="0"/>
        <w:widowControl w:val="0"/>
        <w:kinsoku/>
        <w:wordWrap w:val="0"/>
        <w:overflowPunct/>
        <w:topLinePunct w:val="0"/>
        <w:bidi w:val="0"/>
        <w:spacing w:line="560" w:lineRule="exact"/>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*从业人员、营业收入、资产总额填报上一年度数据，无上一年度数据的新成立企业可不填报。</w:t>
      </w:r>
    </w:p>
    <w:p w14:paraId="79F164C9">
      <w:pPr>
        <w:keepNext w:val="0"/>
        <w:keepLines w:val="0"/>
        <w:pageBreakBefore w:val="0"/>
        <w:widowControl w:val="0"/>
        <w:kinsoku/>
        <w:wordWrap w:val="0"/>
        <w:overflowPunct/>
        <w:topLinePunct w:val="0"/>
        <w:bidi w:val="0"/>
        <w:spacing w:line="360" w:lineRule="auto"/>
        <w:rPr>
          <w:rFonts w:hint="eastAsia" w:ascii="宋体" w:hAnsi="宋体" w:eastAsia="宋体" w:cs="宋体"/>
          <w:b/>
          <w:color w:val="auto"/>
          <w:highlight w:val="none"/>
        </w:rPr>
      </w:pPr>
      <w:r>
        <w:rPr>
          <w:rFonts w:hint="eastAsia" w:ascii="宋体" w:hAnsi="宋体" w:eastAsia="宋体" w:cs="宋体"/>
          <w:color w:val="auto"/>
          <w:kern w:val="0"/>
          <w:highlight w:val="none"/>
        </w:rPr>
        <w:t xml:space="preserve">    </w:t>
      </w:r>
    </w:p>
    <w:p w14:paraId="27714D92">
      <w:pPr>
        <w:keepNext w:val="0"/>
        <w:keepLines w:val="0"/>
        <w:pageBreakBefore w:val="0"/>
        <w:widowControl w:val="0"/>
        <w:kinsoku/>
        <w:wordWrap w:val="0"/>
        <w:overflowPunct/>
        <w:topLinePunct w:val="0"/>
        <w:bidi w:val="0"/>
        <w:spacing w:line="360" w:lineRule="auto"/>
        <w:rPr>
          <w:rFonts w:hint="eastAsia" w:ascii="宋体" w:hAnsi="宋体" w:eastAsia="宋体" w:cs="宋体"/>
          <w:b/>
          <w:color w:val="auto"/>
          <w:highlight w:val="none"/>
        </w:rPr>
      </w:pPr>
    </w:p>
    <w:p w14:paraId="1B869435">
      <w:pPr>
        <w:keepNext w:val="0"/>
        <w:keepLines w:val="0"/>
        <w:pageBreakBefore w:val="0"/>
        <w:widowControl w:val="0"/>
        <w:kinsoku/>
        <w:wordWrap w:val="0"/>
        <w:overflowPunct/>
        <w:topLinePunct w:val="0"/>
        <w:bidi w:val="0"/>
        <w:snapToGrid w:val="0"/>
        <w:spacing w:before="50" w:after="50"/>
        <w:jc w:val="center"/>
        <w:rPr>
          <w:rFonts w:hint="eastAsia" w:ascii="宋体" w:hAnsi="宋体" w:eastAsia="宋体" w:cs="宋体"/>
          <w:color w:val="auto"/>
          <w:sz w:val="32"/>
          <w:szCs w:val="32"/>
          <w:highlight w:val="none"/>
        </w:rPr>
        <w:sectPr>
          <w:pgSz w:w="11906" w:h="16838"/>
          <w:pgMar w:top="1418" w:right="1588" w:bottom="1418" w:left="1365" w:header="851" w:footer="907" w:gutter="0"/>
          <w:pgBorders>
            <w:top w:val="none" w:sz="0" w:space="0"/>
            <w:left w:val="none" w:sz="0" w:space="0"/>
            <w:bottom w:val="none" w:sz="0" w:space="0"/>
            <w:right w:val="none" w:sz="0" w:space="0"/>
          </w:pgBorders>
          <w:pgNumType w:fmt="numberInDash"/>
          <w:cols w:space="720" w:num="1"/>
          <w:titlePg/>
          <w:docGrid w:type="lines" w:linePitch="290" w:charSpace="0"/>
        </w:sectPr>
      </w:pPr>
    </w:p>
    <w:p w14:paraId="563E3633">
      <w:pPr>
        <w:keepNext w:val="0"/>
        <w:keepLines w:val="0"/>
        <w:pageBreakBefore w:val="0"/>
        <w:widowControl w:val="0"/>
        <w:kinsoku/>
        <w:wordWrap w:val="0"/>
        <w:overflowPunct/>
        <w:topLinePunct w:val="0"/>
        <w:bidi w:val="0"/>
        <w:spacing w:line="560" w:lineRule="exact"/>
        <w:jc w:val="center"/>
        <w:rPr>
          <w:rFonts w:hint="eastAsia" w:ascii="宋体" w:hAnsi="宋体" w:eastAsia="宋体" w:cs="宋体"/>
          <w:b/>
          <w:bCs/>
          <w:color w:val="auto"/>
          <w:sz w:val="32"/>
          <w:szCs w:val="32"/>
          <w:highlight w:val="none"/>
        </w:rPr>
      </w:pPr>
    </w:p>
    <w:p w14:paraId="1BBB9FE3">
      <w:pPr>
        <w:keepNext w:val="0"/>
        <w:keepLines w:val="0"/>
        <w:pageBreakBefore w:val="0"/>
        <w:widowControl w:val="0"/>
        <w:kinsoku/>
        <w:wordWrap w:val="0"/>
        <w:overflowPunct/>
        <w:topLinePunct w:val="0"/>
        <w:bidi w:val="0"/>
        <w:jc w:val="center"/>
        <w:rPr>
          <w:rFonts w:hint="eastAsia" w:ascii="宋体" w:hAnsi="宋体" w:eastAsia="宋体" w:cs="宋体"/>
          <w:b/>
          <w:bCs/>
          <w:color w:val="auto"/>
          <w:sz w:val="32"/>
          <w:szCs w:val="40"/>
          <w:highlight w:val="none"/>
          <w:lang w:val="en-US" w:eastAsia="zh-CN" w:bidi="ar-SA"/>
        </w:rPr>
      </w:pPr>
      <w:r>
        <w:rPr>
          <w:rFonts w:hint="eastAsia" w:ascii="宋体" w:hAnsi="宋体" w:eastAsia="宋体" w:cs="宋体"/>
          <w:b/>
          <w:bCs/>
          <w:color w:val="auto"/>
          <w:sz w:val="32"/>
          <w:szCs w:val="40"/>
          <w:highlight w:val="none"/>
          <w:lang w:val="en-US" w:eastAsia="zh-CN" w:bidi="ar-SA"/>
        </w:rPr>
        <w:t>残疾人福利性单位声明函</w:t>
      </w:r>
    </w:p>
    <w:p w14:paraId="1F07F863">
      <w:pPr>
        <w:pStyle w:val="248"/>
        <w:keepNext w:val="0"/>
        <w:keepLines w:val="0"/>
        <w:pageBreakBefore w:val="0"/>
        <w:widowControl w:val="0"/>
        <w:kinsoku/>
        <w:wordWrap w:val="0"/>
        <w:overflowPunct/>
        <w:topLinePunct w:val="0"/>
        <w:bidi w:val="0"/>
        <w:rPr>
          <w:rFonts w:hint="eastAsia" w:ascii="宋体" w:hAnsi="宋体" w:eastAsia="宋体" w:cs="宋体"/>
          <w:color w:val="auto"/>
          <w:highlight w:val="none"/>
        </w:rPr>
      </w:pPr>
    </w:p>
    <w:p w14:paraId="578BBEE2">
      <w:pPr>
        <w:keepNext w:val="0"/>
        <w:keepLines w:val="0"/>
        <w:pageBreakBefore w:val="0"/>
        <w:widowControl w:val="0"/>
        <w:kinsoku/>
        <w:wordWrap w:val="0"/>
        <w:overflowPunct/>
        <w:topLinePunct w:val="0"/>
        <w:bidi w:val="0"/>
        <w:snapToGrid w:val="0"/>
        <w:spacing w:line="520" w:lineRule="exact"/>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BA98FD3">
      <w:pPr>
        <w:keepNext w:val="0"/>
        <w:keepLines w:val="0"/>
        <w:pageBreakBefore w:val="0"/>
        <w:widowControl w:val="0"/>
        <w:kinsoku/>
        <w:wordWrap w:val="0"/>
        <w:overflowPunct/>
        <w:topLinePunct w:val="0"/>
        <w:bidi w:val="0"/>
        <w:snapToGrid w:val="0"/>
        <w:spacing w:line="520" w:lineRule="exact"/>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本公司对上述声明的真实性负责。如有虚假，将依法承担相应责任。</w:t>
      </w:r>
    </w:p>
    <w:p w14:paraId="416A01C0">
      <w:pPr>
        <w:keepNext w:val="0"/>
        <w:keepLines w:val="0"/>
        <w:pageBreakBefore w:val="0"/>
        <w:widowControl w:val="0"/>
        <w:kinsoku/>
        <w:wordWrap w:val="0"/>
        <w:overflowPunct/>
        <w:topLinePunct w:val="0"/>
        <w:bidi w:val="0"/>
        <w:snapToGrid w:val="0"/>
        <w:spacing w:line="520" w:lineRule="exact"/>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w:t>
      </w:r>
    </w:p>
    <w:p w14:paraId="483481C0">
      <w:pPr>
        <w:keepNext w:val="0"/>
        <w:keepLines w:val="0"/>
        <w:pageBreakBefore w:val="0"/>
        <w:widowControl w:val="0"/>
        <w:kinsoku/>
        <w:wordWrap w:val="0"/>
        <w:overflowPunct/>
        <w:topLinePunct w:val="0"/>
        <w:bidi w:val="0"/>
        <w:snapToGrid w:val="0"/>
        <w:spacing w:line="520" w:lineRule="exact"/>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企业（加盖CA电子公章）：</w:t>
      </w:r>
    </w:p>
    <w:p w14:paraId="1C9C4392">
      <w:pPr>
        <w:keepNext w:val="0"/>
        <w:keepLines w:val="0"/>
        <w:pageBreakBefore w:val="0"/>
        <w:widowControl w:val="0"/>
        <w:kinsoku/>
        <w:wordWrap w:val="0"/>
        <w:overflowPunct/>
        <w:topLinePunct w:val="0"/>
        <w:bidi w:val="0"/>
        <w:snapToGrid w:val="0"/>
        <w:spacing w:line="520" w:lineRule="exact"/>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w:t>
      </w:r>
    </w:p>
    <w:p w14:paraId="43A1CCAF">
      <w:pPr>
        <w:keepNext w:val="0"/>
        <w:keepLines w:val="0"/>
        <w:pageBreakBefore w:val="0"/>
        <w:widowControl w:val="0"/>
        <w:kinsoku/>
        <w:wordWrap w:val="0"/>
        <w:overflowPunct/>
        <w:topLinePunct w:val="0"/>
        <w:bidi w:val="0"/>
        <w:snapToGrid w:val="0"/>
        <w:spacing w:line="520" w:lineRule="exact"/>
        <w:ind w:firstLine="560" w:firstLineChars="200"/>
        <w:jc w:val="left"/>
        <w:rPr>
          <w:rFonts w:hint="eastAsia" w:ascii="宋体" w:hAnsi="宋体" w:eastAsia="宋体" w:cs="宋体"/>
          <w:color w:val="auto"/>
          <w:sz w:val="28"/>
          <w:szCs w:val="28"/>
          <w:highlight w:val="none"/>
        </w:rPr>
        <w:sectPr>
          <w:pgSz w:w="11906" w:h="16838"/>
          <w:pgMar w:top="1418" w:right="1588" w:bottom="1418" w:left="1365" w:header="851" w:footer="907" w:gutter="0"/>
          <w:pgBorders>
            <w:top w:val="none" w:sz="0" w:space="0"/>
            <w:left w:val="none" w:sz="0" w:space="0"/>
            <w:bottom w:val="none" w:sz="0" w:space="0"/>
            <w:right w:val="none" w:sz="0" w:space="0"/>
          </w:pgBorders>
          <w:pgNumType w:fmt="numberInDash"/>
          <w:cols w:space="720" w:num="1"/>
          <w:titlePg/>
          <w:docGrid w:type="lines" w:linePitch="290" w:charSpace="0"/>
        </w:sectPr>
      </w:pPr>
      <w:r>
        <w:rPr>
          <w:rFonts w:hint="eastAsia" w:ascii="宋体" w:hAnsi="宋体" w:eastAsia="宋体" w:cs="宋体"/>
          <w:color w:val="auto"/>
          <w:sz w:val="28"/>
          <w:szCs w:val="28"/>
          <w:highlight w:val="none"/>
        </w:rPr>
        <w:t>日期：</w:t>
      </w:r>
    </w:p>
    <w:p w14:paraId="3BABA3E7">
      <w:pPr>
        <w:keepNext w:val="0"/>
        <w:keepLines w:val="0"/>
        <w:pageBreakBefore w:val="0"/>
        <w:widowControl w:val="0"/>
        <w:kinsoku/>
        <w:wordWrap w:val="0"/>
        <w:overflowPunct/>
        <w:topLinePunct w:val="0"/>
        <w:bidi w:val="0"/>
        <w:jc w:val="center"/>
        <w:rPr>
          <w:rFonts w:hint="eastAsia" w:ascii="宋体" w:hAnsi="宋体" w:eastAsia="宋体" w:cs="宋体"/>
          <w:b/>
          <w:bCs/>
          <w:color w:val="auto"/>
          <w:sz w:val="32"/>
          <w:szCs w:val="40"/>
          <w:highlight w:val="none"/>
          <w:lang w:val="en-US" w:eastAsia="zh-CN" w:bidi="ar-SA"/>
        </w:rPr>
      </w:pPr>
      <w:r>
        <w:rPr>
          <w:rFonts w:hint="eastAsia" w:ascii="宋体" w:hAnsi="宋体" w:eastAsia="宋体" w:cs="宋体"/>
          <w:b/>
          <w:bCs/>
          <w:color w:val="auto"/>
          <w:sz w:val="32"/>
          <w:szCs w:val="40"/>
          <w:highlight w:val="none"/>
          <w:lang w:val="en-US" w:eastAsia="zh-CN" w:bidi="ar-SA"/>
        </w:rPr>
        <w:t>七、技术参数响应及偏离表（服务类项目无需提供）</w:t>
      </w:r>
    </w:p>
    <w:p w14:paraId="376B318F">
      <w:pPr>
        <w:keepNext w:val="0"/>
        <w:keepLines w:val="0"/>
        <w:pageBreakBefore w:val="0"/>
        <w:widowControl w:val="0"/>
        <w:kinsoku/>
        <w:wordWrap w:val="0"/>
        <w:overflowPunct/>
        <w:topLinePunct w:val="0"/>
        <w:bidi w:val="0"/>
        <w:jc w:val="center"/>
        <w:rPr>
          <w:rFonts w:hint="eastAsia" w:ascii="宋体" w:hAnsi="宋体" w:eastAsia="宋体" w:cs="宋体"/>
          <w:color w:val="auto"/>
          <w:sz w:val="24"/>
          <w:szCs w:val="24"/>
          <w:highlight w:val="none"/>
        </w:rPr>
      </w:pPr>
    </w:p>
    <w:p w14:paraId="192E968D">
      <w:pPr>
        <w:keepNext w:val="0"/>
        <w:keepLines w:val="0"/>
        <w:pageBreakBefore w:val="0"/>
        <w:widowControl w:val="0"/>
        <w:kinsoku/>
        <w:wordWrap w:val="0"/>
        <w:overflowPunct/>
        <w:topLinePunct w:val="0"/>
        <w:bidi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投标人（加盖CA电子公章）：       </w:t>
      </w:r>
    </w:p>
    <w:tbl>
      <w:tblPr>
        <w:tblStyle w:val="3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8"/>
        <w:gridCol w:w="1308"/>
        <w:gridCol w:w="1309"/>
        <w:gridCol w:w="1309"/>
        <w:gridCol w:w="1309"/>
        <w:gridCol w:w="1309"/>
        <w:gridCol w:w="1311"/>
      </w:tblGrid>
      <w:tr w14:paraId="49817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4" w:type="pct"/>
            <w:noWrap w:val="0"/>
            <w:vAlign w:val="center"/>
          </w:tcPr>
          <w:p w14:paraId="79F94E6E">
            <w:pPr>
              <w:keepNext w:val="0"/>
              <w:keepLines w:val="0"/>
              <w:pageBreakBefore w:val="0"/>
              <w:widowControl w:val="0"/>
              <w:kinsoku/>
              <w:wordWrap w:val="0"/>
              <w:overflowPunct/>
              <w:topLinePunct w:val="0"/>
              <w:bidi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714" w:type="pct"/>
            <w:noWrap w:val="0"/>
            <w:vAlign w:val="center"/>
          </w:tcPr>
          <w:p w14:paraId="3FDF2B6C">
            <w:pPr>
              <w:keepNext w:val="0"/>
              <w:keepLines w:val="0"/>
              <w:pageBreakBefore w:val="0"/>
              <w:widowControl w:val="0"/>
              <w:kinsoku/>
              <w:wordWrap w:val="0"/>
              <w:overflowPunct/>
              <w:topLinePunct w:val="0"/>
              <w:bidi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货物名称</w:t>
            </w:r>
          </w:p>
        </w:tc>
        <w:tc>
          <w:tcPr>
            <w:tcW w:w="714" w:type="pct"/>
            <w:noWrap w:val="0"/>
            <w:vAlign w:val="center"/>
          </w:tcPr>
          <w:p w14:paraId="58C5AA2D">
            <w:pPr>
              <w:keepNext w:val="0"/>
              <w:keepLines w:val="0"/>
              <w:pageBreakBefore w:val="0"/>
              <w:widowControl w:val="0"/>
              <w:kinsoku/>
              <w:wordWrap w:val="0"/>
              <w:overflowPunct/>
              <w:topLinePunct w:val="0"/>
              <w:bidi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投标品牌</w:t>
            </w:r>
          </w:p>
        </w:tc>
        <w:tc>
          <w:tcPr>
            <w:tcW w:w="714" w:type="pct"/>
            <w:noWrap w:val="0"/>
            <w:vAlign w:val="center"/>
          </w:tcPr>
          <w:p w14:paraId="2D7AAB8B">
            <w:pPr>
              <w:keepNext w:val="0"/>
              <w:keepLines w:val="0"/>
              <w:pageBreakBefore w:val="0"/>
              <w:widowControl w:val="0"/>
              <w:kinsoku/>
              <w:wordWrap w:val="0"/>
              <w:overflowPunct/>
              <w:topLinePunct w:val="0"/>
              <w:bidi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招标要求参数</w:t>
            </w:r>
          </w:p>
        </w:tc>
        <w:tc>
          <w:tcPr>
            <w:tcW w:w="714" w:type="pct"/>
            <w:noWrap w:val="0"/>
            <w:vAlign w:val="center"/>
          </w:tcPr>
          <w:p w14:paraId="4F06BC9D">
            <w:pPr>
              <w:keepNext w:val="0"/>
              <w:keepLines w:val="0"/>
              <w:pageBreakBefore w:val="0"/>
              <w:widowControl w:val="0"/>
              <w:kinsoku/>
              <w:wordWrap w:val="0"/>
              <w:overflowPunct/>
              <w:topLinePunct w:val="0"/>
              <w:bidi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投标响应参数</w:t>
            </w:r>
          </w:p>
        </w:tc>
        <w:tc>
          <w:tcPr>
            <w:tcW w:w="714" w:type="pct"/>
            <w:noWrap w:val="0"/>
            <w:vAlign w:val="center"/>
          </w:tcPr>
          <w:p w14:paraId="2C82D63D">
            <w:pPr>
              <w:keepNext w:val="0"/>
              <w:keepLines w:val="0"/>
              <w:pageBreakBefore w:val="0"/>
              <w:widowControl w:val="0"/>
              <w:kinsoku/>
              <w:wordWrap w:val="0"/>
              <w:overflowPunct/>
              <w:topLinePunct w:val="0"/>
              <w:bidi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超出、符合或偏离</w:t>
            </w:r>
          </w:p>
        </w:tc>
        <w:tc>
          <w:tcPr>
            <w:tcW w:w="715" w:type="pct"/>
            <w:noWrap w:val="0"/>
            <w:vAlign w:val="center"/>
          </w:tcPr>
          <w:p w14:paraId="41F4BE41">
            <w:pPr>
              <w:keepNext w:val="0"/>
              <w:keepLines w:val="0"/>
              <w:pageBreakBefore w:val="0"/>
              <w:widowControl w:val="0"/>
              <w:kinsoku/>
              <w:wordWrap w:val="0"/>
              <w:overflowPunct/>
              <w:topLinePunct w:val="0"/>
              <w:bidi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原因</w:t>
            </w:r>
          </w:p>
        </w:tc>
      </w:tr>
      <w:tr w14:paraId="482A5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14" w:type="pct"/>
            <w:noWrap w:val="0"/>
            <w:vAlign w:val="top"/>
          </w:tcPr>
          <w:p w14:paraId="13ED7A55">
            <w:pPr>
              <w:keepNext w:val="0"/>
              <w:keepLines w:val="0"/>
              <w:pageBreakBefore w:val="0"/>
              <w:widowControl w:val="0"/>
              <w:kinsoku/>
              <w:wordWrap w:val="0"/>
              <w:overflowPunct/>
              <w:topLinePunct w:val="0"/>
              <w:bidi w:val="0"/>
              <w:jc w:val="center"/>
              <w:rPr>
                <w:rFonts w:hint="eastAsia" w:ascii="宋体" w:hAnsi="宋体" w:eastAsia="宋体" w:cs="宋体"/>
                <w:color w:val="auto"/>
                <w:sz w:val="24"/>
                <w:szCs w:val="24"/>
                <w:highlight w:val="none"/>
              </w:rPr>
            </w:pPr>
          </w:p>
        </w:tc>
        <w:tc>
          <w:tcPr>
            <w:tcW w:w="714" w:type="pct"/>
            <w:noWrap w:val="0"/>
            <w:vAlign w:val="top"/>
          </w:tcPr>
          <w:p w14:paraId="29658332">
            <w:pPr>
              <w:keepNext w:val="0"/>
              <w:keepLines w:val="0"/>
              <w:pageBreakBefore w:val="0"/>
              <w:widowControl w:val="0"/>
              <w:kinsoku/>
              <w:wordWrap w:val="0"/>
              <w:overflowPunct/>
              <w:topLinePunct w:val="0"/>
              <w:bidi w:val="0"/>
              <w:jc w:val="center"/>
              <w:rPr>
                <w:rFonts w:hint="eastAsia" w:ascii="宋体" w:hAnsi="宋体" w:eastAsia="宋体" w:cs="宋体"/>
                <w:color w:val="auto"/>
                <w:sz w:val="24"/>
                <w:szCs w:val="24"/>
                <w:highlight w:val="none"/>
              </w:rPr>
            </w:pPr>
          </w:p>
        </w:tc>
        <w:tc>
          <w:tcPr>
            <w:tcW w:w="714" w:type="pct"/>
            <w:noWrap w:val="0"/>
            <w:vAlign w:val="top"/>
          </w:tcPr>
          <w:p w14:paraId="32E37224">
            <w:pPr>
              <w:keepNext w:val="0"/>
              <w:keepLines w:val="0"/>
              <w:pageBreakBefore w:val="0"/>
              <w:widowControl w:val="0"/>
              <w:kinsoku/>
              <w:wordWrap w:val="0"/>
              <w:overflowPunct/>
              <w:topLinePunct w:val="0"/>
              <w:bidi w:val="0"/>
              <w:jc w:val="center"/>
              <w:rPr>
                <w:rFonts w:hint="eastAsia" w:ascii="宋体" w:hAnsi="宋体" w:eastAsia="宋体" w:cs="宋体"/>
                <w:color w:val="auto"/>
                <w:sz w:val="24"/>
                <w:szCs w:val="24"/>
                <w:highlight w:val="none"/>
              </w:rPr>
            </w:pPr>
          </w:p>
        </w:tc>
        <w:tc>
          <w:tcPr>
            <w:tcW w:w="714" w:type="pct"/>
            <w:noWrap w:val="0"/>
            <w:vAlign w:val="top"/>
          </w:tcPr>
          <w:p w14:paraId="29EFBCAC">
            <w:pPr>
              <w:keepNext w:val="0"/>
              <w:keepLines w:val="0"/>
              <w:pageBreakBefore w:val="0"/>
              <w:widowControl w:val="0"/>
              <w:kinsoku/>
              <w:wordWrap w:val="0"/>
              <w:overflowPunct/>
              <w:topLinePunct w:val="0"/>
              <w:bidi w:val="0"/>
              <w:jc w:val="center"/>
              <w:rPr>
                <w:rFonts w:hint="eastAsia" w:ascii="宋体" w:hAnsi="宋体" w:eastAsia="宋体" w:cs="宋体"/>
                <w:color w:val="auto"/>
                <w:sz w:val="24"/>
                <w:szCs w:val="24"/>
                <w:highlight w:val="none"/>
              </w:rPr>
            </w:pPr>
          </w:p>
        </w:tc>
        <w:tc>
          <w:tcPr>
            <w:tcW w:w="714" w:type="pct"/>
            <w:noWrap w:val="0"/>
            <w:vAlign w:val="top"/>
          </w:tcPr>
          <w:p w14:paraId="6B1996E0">
            <w:pPr>
              <w:keepNext w:val="0"/>
              <w:keepLines w:val="0"/>
              <w:pageBreakBefore w:val="0"/>
              <w:widowControl w:val="0"/>
              <w:kinsoku/>
              <w:wordWrap w:val="0"/>
              <w:overflowPunct/>
              <w:topLinePunct w:val="0"/>
              <w:bidi w:val="0"/>
              <w:jc w:val="center"/>
              <w:rPr>
                <w:rFonts w:hint="eastAsia" w:ascii="宋体" w:hAnsi="宋体" w:eastAsia="宋体" w:cs="宋体"/>
                <w:color w:val="auto"/>
                <w:sz w:val="24"/>
                <w:szCs w:val="24"/>
                <w:highlight w:val="none"/>
              </w:rPr>
            </w:pPr>
          </w:p>
        </w:tc>
        <w:tc>
          <w:tcPr>
            <w:tcW w:w="714" w:type="pct"/>
            <w:noWrap w:val="0"/>
            <w:vAlign w:val="top"/>
          </w:tcPr>
          <w:p w14:paraId="6426D052">
            <w:pPr>
              <w:keepNext w:val="0"/>
              <w:keepLines w:val="0"/>
              <w:pageBreakBefore w:val="0"/>
              <w:widowControl w:val="0"/>
              <w:kinsoku/>
              <w:wordWrap w:val="0"/>
              <w:overflowPunct/>
              <w:topLinePunct w:val="0"/>
              <w:bidi w:val="0"/>
              <w:jc w:val="center"/>
              <w:rPr>
                <w:rFonts w:hint="eastAsia" w:ascii="宋体" w:hAnsi="宋体" w:eastAsia="宋体" w:cs="宋体"/>
                <w:color w:val="auto"/>
                <w:sz w:val="24"/>
                <w:szCs w:val="24"/>
                <w:highlight w:val="none"/>
              </w:rPr>
            </w:pPr>
          </w:p>
        </w:tc>
        <w:tc>
          <w:tcPr>
            <w:tcW w:w="715" w:type="pct"/>
            <w:noWrap w:val="0"/>
            <w:vAlign w:val="top"/>
          </w:tcPr>
          <w:p w14:paraId="1D595C4C">
            <w:pPr>
              <w:keepNext w:val="0"/>
              <w:keepLines w:val="0"/>
              <w:pageBreakBefore w:val="0"/>
              <w:widowControl w:val="0"/>
              <w:kinsoku/>
              <w:wordWrap w:val="0"/>
              <w:overflowPunct/>
              <w:topLinePunct w:val="0"/>
              <w:bidi w:val="0"/>
              <w:jc w:val="center"/>
              <w:rPr>
                <w:rFonts w:hint="eastAsia" w:ascii="宋体" w:hAnsi="宋体" w:eastAsia="宋体" w:cs="宋体"/>
                <w:color w:val="auto"/>
                <w:sz w:val="24"/>
                <w:szCs w:val="24"/>
                <w:highlight w:val="none"/>
              </w:rPr>
            </w:pPr>
          </w:p>
        </w:tc>
      </w:tr>
      <w:tr w14:paraId="3F919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14" w:type="pct"/>
            <w:noWrap w:val="0"/>
            <w:vAlign w:val="top"/>
          </w:tcPr>
          <w:p w14:paraId="57A396E2">
            <w:pPr>
              <w:keepNext w:val="0"/>
              <w:keepLines w:val="0"/>
              <w:pageBreakBefore w:val="0"/>
              <w:widowControl w:val="0"/>
              <w:kinsoku/>
              <w:wordWrap w:val="0"/>
              <w:overflowPunct/>
              <w:topLinePunct w:val="0"/>
              <w:bidi w:val="0"/>
              <w:jc w:val="center"/>
              <w:rPr>
                <w:rFonts w:hint="eastAsia" w:ascii="宋体" w:hAnsi="宋体" w:eastAsia="宋体" w:cs="宋体"/>
                <w:color w:val="auto"/>
                <w:sz w:val="24"/>
                <w:szCs w:val="24"/>
                <w:highlight w:val="none"/>
              </w:rPr>
            </w:pPr>
          </w:p>
        </w:tc>
        <w:tc>
          <w:tcPr>
            <w:tcW w:w="714" w:type="pct"/>
            <w:noWrap w:val="0"/>
            <w:vAlign w:val="top"/>
          </w:tcPr>
          <w:p w14:paraId="289335C8">
            <w:pPr>
              <w:keepNext w:val="0"/>
              <w:keepLines w:val="0"/>
              <w:pageBreakBefore w:val="0"/>
              <w:widowControl w:val="0"/>
              <w:kinsoku/>
              <w:wordWrap w:val="0"/>
              <w:overflowPunct/>
              <w:topLinePunct w:val="0"/>
              <w:bidi w:val="0"/>
              <w:jc w:val="center"/>
              <w:rPr>
                <w:rFonts w:hint="eastAsia" w:ascii="宋体" w:hAnsi="宋体" w:eastAsia="宋体" w:cs="宋体"/>
                <w:color w:val="auto"/>
                <w:sz w:val="24"/>
                <w:szCs w:val="24"/>
                <w:highlight w:val="none"/>
              </w:rPr>
            </w:pPr>
          </w:p>
        </w:tc>
        <w:tc>
          <w:tcPr>
            <w:tcW w:w="714" w:type="pct"/>
            <w:noWrap w:val="0"/>
            <w:vAlign w:val="top"/>
          </w:tcPr>
          <w:p w14:paraId="79D67B4E">
            <w:pPr>
              <w:keepNext w:val="0"/>
              <w:keepLines w:val="0"/>
              <w:pageBreakBefore w:val="0"/>
              <w:widowControl w:val="0"/>
              <w:kinsoku/>
              <w:wordWrap w:val="0"/>
              <w:overflowPunct/>
              <w:topLinePunct w:val="0"/>
              <w:bidi w:val="0"/>
              <w:jc w:val="center"/>
              <w:rPr>
                <w:rFonts w:hint="eastAsia" w:ascii="宋体" w:hAnsi="宋体" w:eastAsia="宋体" w:cs="宋体"/>
                <w:color w:val="auto"/>
                <w:sz w:val="24"/>
                <w:szCs w:val="24"/>
                <w:highlight w:val="none"/>
              </w:rPr>
            </w:pPr>
          </w:p>
        </w:tc>
        <w:tc>
          <w:tcPr>
            <w:tcW w:w="714" w:type="pct"/>
            <w:noWrap w:val="0"/>
            <w:vAlign w:val="top"/>
          </w:tcPr>
          <w:p w14:paraId="569D18B7">
            <w:pPr>
              <w:keepNext w:val="0"/>
              <w:keepLines w:val="0"/>
              <w:pageBreakBefore w:val="0"/>
              <w:widowControl w:val="0"/>
              <w:kinsoku/>
              <w:wordWrap w:val="0"/>
              <w:overflowPunct/>
              <w:topLinePunct w:val="0"/>
              <w:bidi w:val="0"/>
              <w:jc w:val="center"/>
              <w:rPr>
                <w:rFonts w:hint="eastAsia" w:ascii="宋体" w:hAnsi="宋体" w:eastAsia="宋体" w:cs="宋体"/>
                <w:color w:val="auto"/>
                <w:sz w:val="24"/>
                <w:szCs w:val="24"/>
                <w:highlight w:val="none"/>
              </w:rPr>
            </w:pPr>
          </w:p>
        </w:tc>
        <w:tc>
          <w:tcPr>
            <w:tcW w:w="714" w:type="pct"/>
            <w:noWrap w:val="0"/>
            <w:vAlign w:val="top"/>
          </w:tcPr>
          <w:p w14:paraId="6F104385">
            <w:pPr>
              <w:keepNext w:val="0"/>
              <w:keepLines w:val="0"/>
              <w:pageBreakBefore w:val="0"/>
              <w:widowControl w:val="0"/>
              <w:kinsoku/>
              <w:wordWrap w:val="0"/>
              <w:overflowPunct/>
              <w:topLinePunct w:val="0"/>
              <w:bidi w:val="0"/>
              <w:jc w:val="center"/>
              <w:rPr>
                <w:rFonts w:hint="eastAsia" w:ascii="宋体" w:hAnsi="宋体" w:eastAsia="宋体" w:cs="宋体"/>
                <w:color w:val="auto"/>
                <w:sz w:val="24"/>
                <w:szCs w:val="24"/>
                <w:highlight w:val="none"/>
              </w:rPr>
            </w:pPr>
          </w:p>
        </w:tc>
        <w:tc>
          <w:tcPr>
            <w:tcW w:w="714" w:type="pct"/>
            <w:noWrap w:val="0"/>
            <w:vAlign w:val="top"/>
          </w:tcPr>
          <w:p w14:paraId="78E4789C">
            <w:pPr>
              <w:keepNext w:val="0"/>
              <w:keepLines w:val="0"/>
              <w:pageBreakBefore w:val="0"/>
              <w:widowControl w:val="0"/>
              <w:kinsoku/>
              <w:wordWrap w:val="0"/>
              <w:overflowPunct/>
              <w:topLinePunct w:val="0"/>
              <w:bidi w:val="0"/>
              <w:jc w:val="center"/>
              <w:rPr>
                <w:rFonts w:hint="eastAsia" w:ascii="宋体" w:hAnsi="宋体" w:eastAsia="宋体" w:cs="宋体"/>
                <w:color w:val="auto"/>
                <w:sz w:val="24"/>
                <w:szCs w:val="24"/>
                <w:highlight w:val="none"/>
              </w:rPr>
            </w:pPr>
          </w:p>
        </w:tc>
        <w:tc>
          <w:tcPr>
            <w:tcW w:w="715" w:type="pct"/>
            <w:noWrap w:val="0"/>
            <w:vAlign w:val="top"/>
          </w:tcPr>
          <w:p w14:paraId="35E520C6">
            <w:pPr>
              <w:keepNext w:val="0"/>
              <w:keepLines w:val="0"/>
              <w:pageBreakBefore w:val="0"/>
              <w:widowControl w:val="0"/>
              <w:kinsoku/>
              <w:wordWrap w:val="0"/>
              <w:overflowPunct/>
              <w:topLinePunct w:val="0"/>
              <w:bidi w:val="0"/>
              <w:jc w:val="center"/>
              <w:rPr>
                <w:rFonts w:hint="eastAsia" w:ascii="宋体" w:hAnsi="宋体" w:eastAsia="宋体" w:cs="宋体"/>
                <w:color w:val="auto"/>
                <w:sz w:val="24"/>
                <w:szCs w:val="24"/>
                <w:highlight w:val="none"/>
              </w:rPr>
            </w:pPr>
          </w:p>
        </w:tc>
      </w:tr>
      <w:tr w14:paraId="3B386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14" w:type="pct"/>
            <w:noWrap w:val="0"/>
            <w:vAlign w:val="top"/>
          </w:tcPr>
          <w:p w14:paraId="7D9A0370">
            <w:pPr>
              <w:keepNext w:val="0"/>
              <w:keepLines w:val="0"/>
              <w:pageBreakBefore w:val="0"/>
              <w:widowControl w:val="0"/>
              <w:kinsoku/>
              <w:wordWrap w:val="0"/>
              <w:overflowPunct/>
              <w:topLinePunct w:val="0"/>
              <w:bidi w:val="0"/>
              <w:jc w:val="center"/>
              <w:rPr>
                <w:rFonts w:hint="eastAsia" w:ascii="宋体" w:hAnsi="宋体" w:eastAsia="宋体" w:cs="宋体"/>
                <w:color w:val="auto"/>
                <w:sz w:val="24"/>
                <w:szCs w:val="24"/>
                <w:highlight w:val="none"/>
              </w:rPr>
            </w:pPr>
          </w:p>
        </w:tc>
        <w:tc>
          <w:tcPr>
            <w:tcW w:w="714" w:type="pct"/>
            <w:noWrap w:val="0"/>
            <w:vAlign w:val="top"/>
          </w:tcPr>
          <w:p w14:paraId="1EC50693">
            <w:pPr>
              <w:keepNext w:val="0"/>
              <w:keepLines w:val="0"/>
              <w:pageBreakBefore w:val="0"/>
              <w:widowControl w:val="0"/>
              <w:kinsoku/>
              <w:wordWrap w:val="0"/>
              <w:overflowPunct/>
              <w:topLinePunct w:val="0"/>
              <w:bidi w:val="0"/>
              <w:jc w:val="center"/>
              <w:rPr>
                <w:rFonts w:hint="eastAsia" w:ascii="宋体" w:hAnsi="宋体" w:eastAsia="宋体" w:cs="宋体"/>
                <w:color w:val="auto"/>
                <w:sz w:val="24"/>
                <w:szCs w:val="24"/>
                <w:highlight w:val="none"/>
              </w:rPr>
            </w:pPr>
          </w:p>
        </w:tc>
        <w:tc>
          <w:tcPr>
            <w:tcW w:w="714" w:type="pct"/>
            <w:noWrap w:val="0"/>
            <w:vAlign w:val="top"/>
          </w:tcPr>
          <w:p w14:paraId="4119CF71">
            <w:pPr>
              <w:keepNext w:val="0"/>
              <w:keepLines w:val="0"/>
              <w:pageBreakBefore w:val="0"/>
              <w:widowControl w:val="0"/>
              <w:kinsoku/>
              <w:wordWrap w:val="0"/>
              <w:overflowPunct/>
              <w:topLinePunct w:val="0"/>
              <w:bidi w:val="0"/>
              <w:jc w:val="center"/>
              <w:rPr>
                <w:rFonts w:hint="eastAsia" w:ascii="宋体" w:hAnsi="宋体" w:eastAsia="宋体" w:cs="宋体"/>
                <w:color w:val="auto"/>
                <w:sz w:val="24"/>
                <w:szCs w:val="24"/>
                <w:highlight w:val="none"/>
              </w:rPr>
            </w:pPr>
          </w:p>
        </w:tc>
        <w:tc>
          <w:tcPr>
            <w:tcW w:w="714" w:type="pct"/>
            <w:noWrap w:val="0"/>
            <w:vAlign w:val="top"/>
          </w:tcPr>
          <w:p w14:paraId="24304130">
            <w:pPr>
              <w:keepNext w:val="0"/>
              <w:keepLines w:val="0"/>
              <w:pageBreakBefore w:val="0"/>
              <w:widowControl w:val="0"/>
              <w:kinsoku/>
              <w:wordWrap w:val="0"/>
              <w:overflowPunct/>
              <w:topLinePunct w:val="0"/>
              <w:bidi w:val="0"/>
              <w:jc w:val="center"/>
              <w:rPr>
                <w:rFonts w:hint="eastAsia" w:ascii="宋体" w:hAnsi="宋体" w:eastAsia="宋体" w:cs="宋体"/>
                <w:color w:val="auto"/>
                <w:sz w:val="24"/>
                <w:szCs w:val="24"/>
                <w:highlight w:val="none"/>
              </w:rPr>
            </w:pPr>
          </w:p>
        </w:tc>
        <w:tc>
          <w:tcPr>
            <w:tcW w:w="714" w:type="pct"/>
            <w:noWrap w:val="0"/>
            <w:vAlign w:val="top"/>
          </w:tcPr>
          <w:p w14:paraId="6453D01C">
            <w:pPr>
              <w:keepNext w:val="0"/>
              <w:keepLines w:val="0"/>
              <w:pageBreakBefore w:val="0"/>
              <w:widowControl w:val="0"/>
              <w:kinsoku/>
              <w:wordWrap w:val="0"/>
              <w:overflowPunct/>
              <w:topLinePunct w:val="0"/>
              <w:bidi w:val="0"/>
              <w:jc w:val="center"/>
              <w:rPr>
                <w:rFonts w:hint="eastAsia" w:ascii="宋体" w:hAnsi="宋体" w:eastAsia="宋体" w:cs="宋体"/>
                <w:color w:val="auto"/>
                <w:sz w:val="24"/>
                <w:szCs w:val="24"/>
                <w:highlight w:val="none"/>
              </w:rPr>
            </w:pPr>
          </w:p>
        </w:tc>
        <w:tc>
          <w:tcPr>
            <w:tcW w:w="714" w:type="pct"/>
            <w:noWrap w:val="0"/>
            <w:vAlign w:val="top"/>
          </w:tcPr>
          <w:p w14:paraId="567EF6F9">
            <w:pPr>
              <w:keepNext w:val="0"/>
              <w:keepLines w:val="0"/>
              <w:pageBreakBefore w:val="0"/>
              <w:widowControl w:val="0"/>
              <w:kinsoku/>
              <w:wordWrap w:val="0"/>
              <w:overflowPunct/>
              <w:topLinePunct w:val="0"/>
              <w:bidi w:val="0"/>
              <w:jc w:val="center"/>
              <w:rPr>
                <w:rFonts w:hint="eastAsia" w:ascii="宋体" w:hAnsi="宋体" w:eastAsia="宋体" w:cs="宋体"/>
                <w:color w:val="auto"/>
                <w:sz w:val="24"/>
                <w:szCs w:val="24"/>
                <w:highlight w:val="none"/>
              </w:rPr>
            </w:pPr>
          </w:p>
        </w:tc>
        <w:tc>
          <w:tcPr>
            <w:tcW w:w="715" w:type="pct"/>
            <w:noWrap w:val="0"/>
            <w:vAlign w:val="top"/>
          </w:tcPr>
          <w:p w14:paraId="2ECC7C32">
            <w:pPr>
              <w:keepNext w:val="0"/>
              <w:keepLines w:val="0"/>
              <w:pageBreakBefore w:val="0"/>
              <w:widowControl w:val="0"/>
              <w:kinsoku/>
              <w:wordWrap w:val="0"/>
              <w:overflowPunct/>
              <w:topLinePunct w:val="0"/>
              <w:bidi w:val="0"/>
              <w:jc w:val="center"/>
              <w:rPr>
                <w:rFonts w:hint="eastAsia" w:ascii="宋体" w:hAnsi="宋体" w:eastAsia="宋体" w:cs="宋体"/>
                <w:color w:val="auto"/>
                <w:sz w:val="24"/>
                <w:szCs w:val="24"/>
                <w:highlight w:val="none"/>
              </w:rPr>
            </w:pPr>
          </w:p>
        </w:tc>
      </w:tr>
      <w:tr w14:paraId="0AB51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14" w:type="pct"/>
            <w:noWrap w:val="0"/>
            <w:vAlign w:val="top"/>
          </w:tcPr>
          <w:p w14:paraId="6872F05E">
            <w:pPr>
              <w:keepNext w:val="0"/>
              <w:keepLines w:val="0"/>
              <w:pageBreakBefore w:val="0"/>
              <w:widowControl w:val="0"/>
              <w:kinsoku/>
              <w:wordWrap w:val="0"/>
              <w:overflowPunct/>
              <w:topLinePunct w:val="0"/>
              <w:bidi w:val="0"/>
              <w:jc w:val="center"/>
              <w:rPr>
                <w:rFonts w:hint="eastAsia" w:ascii="宋体" w:hAnsi="宋体" w:eastAsia="宋体" w:cs="宋体"/>
                <w:color w:val="auto"/>
                <w:sz w:val="24"/>
                <w:szCs w:val="24"/>
                <w:highlight w:val="none"/>
              </w:rPr>
            </w:pPr>
          </w:p>
        </w:tc>
        <w:tc>
          <w:tcPr>
            <w:tcW w:w="714" w:type="pct"/>
            <w:noWrap w:val="0"/>
            <w:vAlign w:val="top"/>
          </w:tcPr>
          <w:p w14:paraId="58643393">
            <w:pPr>
              <w:keepNext w:val="0"/>
              <w:keepLines w:val="0"/>
              <w:pageBreakBefore w:val="0"/>
              <w:widowControl w:val="0"/>
              <w:kinsoku/>
              <w:wordWrap w:val="0"/>
              <w:overflowPunct/>
              <w:topLinePunct w:val="0"/>
              <w:bidi w:val="0"/>
              <w:jc w:val="center"/>
              <w:rPr>
                <w:rFonts w:hint="eastAsia" w:ascii="宋体" w:hAnsi="宋体" w:eastAsia="宋体" w:cs="宋体"/>
                <w:color w:val="auto"/>
                <w:sz w:val="24"/>
                <w:szCs w:val="24"/>
                <w:highlight w:val="none"/>
              </w:rPr>
            </w:pPr>
          </w:p>
        </w:tc>
        <w:tc>
          <w:tcPr>
            <w:tcW w:w="714" w:type="pct"/>
            <w:noWrap w:val="0"/>
            <w:vAlign w:val="top"/>
          </w:tcPr>
          <w:p w14:paraId="2C253BCF">
            <w:pPr>
              <w:keepNext w:val="0"/>
              <w:keepLines w:val="0"/>
              <w:pageBreakBefore w:val="0"/>
              <w:widowControl w:val="0"/>
              <w:kinsoku/>
              <w:wordWrap w:val="0"/>
              <w:overflowPunct/>
              <w:topLinePunct w:val="0"/>
              <w:bidi w:val="0"/>
              <w:jc w:val="center"/>
              <w:rPr>
                <w:rFonts w:hint="eastAsia" w:ascii="宋体" w:hAnsi="宋体" w:eastAsia="宋体" w:cs="宋体"/>
                <w:color w:val="auto"/>
                <w:sz w:val="24"/>
                <w:szCs w:val="24"/>
                <w:highlight w:val="none"/>
              </w:rPr>
            </w:pPr>
          </w:p>
        </w:tc>
        <w:tc>
          <w:tcPr>
            <w:tcW w:w="714" w:type="pct"/>
            <w:noWrap w:val="0"/>
            <w:vAlign w:val="top"/>
          </w:tcPr>
          <w:p w14:paraId="21F6F6C7">
            <w:pPr>
              <w:keepNext w:val="0"/>
              <w:keepLines w:val="0"/>
              <w:pageBreakBefore w:val="0"/>
              <w:widowControl w:val="0"/>
              <w:kinsoku/>
              <w:wordWrap w:val="0"/>
              <w:overflowPunct/>
              <w:topLinePunct w:val="0"/>
              <w:bidi w:val="0"/>
              <w:jc w:val="center"/>
              <w:rPr>
                <w:rFonts w:hint="eastAsia" w:ascii="宋体" w:hAnsi="宋体" w:eastAsia="宋体" w:cs="宋体"/>
                <w:color w:val="auto"/>
                <w:sz w:val="24"/>
                <w:szCs w:val="24"/>
                <w:highlight w:val="none"/>
              </w:rPr>
            </w:pPr>
          </w:p>
        </w:tc>
        <w:tc>
          <w:tcPr>
            <w:tcW w:w="714" w:type="pct"/>
            <w:noWrap w:val="0"/>
            <w:vAlign w:val="top"/>
          </w:tcPr>
          <w:p w14:paraId="4160A31B">
            <w:pPr>
              <w:keepNext w:val="0"/>
              <w:keepLines w:val="0"/>
              <w:pageBreakBefore w:val="0"/>
              <w:widowControl w:val="0"/>
              <w:kinsoku/>
              <w:wordWrap w:val="0"/>
              <w:overflowPunct/>
              <w:topLinePunct w:val="0"/>
              <w:bidi w:val="0"/>
              <w:jc w:val="center"/>
              <w:rPr>
                <w:rFonts w:hint="eastAsia" w:ascii="宋体" w:hAnsi="宋体" w:eastAsia="宋体" w:cs="宋体"/>
                <w:color w:val="auto"/>
                <w:sz w:val="24"/>
                <w:szCs w:val="24"/>
                <w:highlight w:val="none"/>
              </w:rPr>
            </w:pPr>
          </w:p>
        </w:tc>
        <w:tc>
          <w:tcPr>
            <w:tcW w:w="714" w:type="pct"/>
            <w:noWrap w:val="0"/>
            <w:vAlign w:val="top"/>
          </w:tcPr>
          <w:p w14:paraId="77A5CAD1">
            <w:pPr>
              <w:keepNext w:val="0"/>
              <w:keepLines w:val="0"/>
              <w:pageBreakBefore w:val="0"/>
              <w:widowControl w:val="0"/>
              <w:kinsoku/>
              <w:wordWrap w:val="0"/>
              <w:overflowPunct/>
              <w:topLinePunct w:val="0"/>
              <w:bidi w:val="0"/>
              <w:jc w:val="center"/>
              <w:rPr>
                <w:rFonts w:hint="eastAsia" w:ascii="宋体" w:hAnsi="宋体" w:eastAsia="宋体" w:cs="宋体"/>
                <w:color w:val="auto"/>
                <w:sz w:val="24"/>
                <w:szCs w:val="24"/>
                <w:highlight w:val="none"/>
              </w:rPr>
            </w:pPr>
          </w:p>
        </w:tc>
        <w:tc>
          <w:tcPr>
            <w:tcW w:w="715" w:type="pct"/>
            <w:noWrap w:val="0"/>
            <w:vAlign w:val="top"/>
          </w:tcPr>
          <w:p w14:paraId="0D60B27E">
            <w:pPr>
              <w:keepNext w:val="0"/>
              <w:keepLines w:val="0"/>
              <w:pageBreakBefore w:val="0"/>
              <w:widowControl w:val="0"/>
              <w:kinsoku/>
              <w:wordWrap w:val="0"/>
              <w:overflowPunct/>
              <w:topLinePunct w:val="0"/>
              <w:bidi w:val="0"/>
              <w:jc w:val="center"/>
              <w:rPr>
                <w:rFonts w:hint="eastAsia" w:ascii="宋体" w:hAnsi="宋体" w:eastAsia="宋体" w:cs="宋体"/>
                <w:color w:val="auto"/>
                <w:sz w:val="24"/>
                <w:szCs w:val="24"/>
                <w:highlight w:val="none"/>
              </w:rPr>
            </w:pPr>
          </w:p>
        </w:tc>
      </w:tr>
      <w:tr w14:paraId="40C9B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14" w:type="pct"/>
            <w:noWrap w:val="0"/>
            <w:vAlign w:val="top"/>
          </w:tcPr>
          <w:p w14:paraId="746D11E3">
            <w:pPr>
              <w:keepNext w:val="0"/>
              <w:keepLines w:val="0"/>
              <w:pageBreakBefore w:val="0"/>
              <w:widowControl w:val="0"/>
              <w:kinsoku/>
              <w:wordWrap w:val="0"/>
              <w:overflowPunct/>
              <w:topLinePunct w:val="0"/>
              <w:bidi w:val="0"/>
              <w:jc w:val="center"/>
              <w:rPr>
                <w:rFonts w:hint="eastAsia" w:ascii="宋体" w:hAnsi="宋体" w:eastAsia="宋体" w:cs="宋体"/>
                <w:color w:val="auto"/>
                <w:sz w:val="24"/>
                <w:szCs w:val="24"/>
                <w:highlight w:val="none"/>
              </w:rPr>
            </w:pPr>
          </w:p>
        </w:tc>
        <w:tc>
          <w:tcPr>
            <w:tcW w:w="714" w:type="pct"/>
            <w:noWrap w:val="0"/>
            <w:vAlign w:val="top"/>
          </w:tcPr>
          <w:p w14:paraId="7C40BAB4">
            <w:pPr>
              <w:keepNext w:val="0"/>
              <w:keepLines w:val="0"/>
              <w:pageBreakBefore w:val="0"/>
              <w:widowControl w:val="0"/>
              <w:kinsoku/>
              <w:wordWrap w:val="0"/>
              <w:overflowPunct/>
              <w:topLinePunct w:val="0"/>
              <w:bidi w:val="0"/>
              <w:jc w:val="center"/>
              <w:rPr>
                <w:rFonts w:hint="eastAsia" w:ascii="宋体" w:hAnsi="宋体" w:eastAsia="宋体" w:cs="宋体"/>
                <w:color w:val="auto"/>
                <w:sz w:val="24"/>
                <w:szCs w:val="24"/>
                <w:highlight w:val="none"/>
              </w:rPr>
            </w:pPr>
          </w:p>
        </w:tc>
        <w:tc>
          <w:tcPr>
            <w:tcW w:w="714" w:type="pct"/>
            <w:noWrap w:val="0"/>
            <w:vAlign w:val="top"/>
          </w:tcPr>
          <w:p w14:paraId="272497DB">
            <w:pPr>
              <w:keepNext w:val="0"/>
              <w:keepLines w:val="0"/>
              <w:pageBreakBefore w:val="0"/>
              <w:widowControl w:val="0"/>
              <w:kinsoku/>
              <w:wordWrap w:val="0"/>
              <w:overflowPunct/>
              <w:topLinePunct w:val="0"/>
              <w:bidi w:val="0"/>
              <w:jc w:val="center"/>
              <w:rPr>
                <w:rFonts w:hint="eastAsia" w:ascii="宋体" w:hAnsi="宋体" w:eastAsia="宋体" w:cs="宋体"/>
                <w:color w:val="auto"/>
                <w:sz w:val="24"/>
                <w:szCs w:val="24"/>
                <w:highlight w:val="none"/>
              </w:rPr>
            </w:pPr>
          </w:p>
        </w:tc>
        <w:tc>
          <w:tcPr>
            <w:tcW w:w="714" w:type="pct"/>
            <w:noWrap w:val="0"/>
            <w:vAlign w:val="top"/>
          </w:tcPr>
          <w:p w14:paraId="0673A1BE">
            <w:pPr>
              <w:keepNext w:val="0"/>
              <w:keepLines w:val="0"/>
              <w:pageBreakBefore w:val="0"/>
              <w:widowControl w:val="0"/>
              <w:kinsoku/>
              <w:wordWrap w:val="0"/>
              <w:overflowPunct/>
              <w:topLinePunct w:val="0"/>
              <w:bidi w:val="0"/>
              <w:jc w:val="center"/>
              <w:rPr>
                <w:rFonts w:hint="eastAsia" w:ascii="宋体" w:hAnsi="宋体" w:eastAsia="宋体" w:cs="宋体"/>
                <w:color w:val="auto"/>
                <w:sz w:val="24"/>
                <w:szCs w:val="24"/>
                <w:highlight w:val="none"/>
              </w:rPr>
            </w:pPr>
          </w:p>
        </w:tc>
        <w:tc>
          <w:tcPr>
            <w:tcW w:w="714" w:type="pct"/>
            <w:noWrap w:val="0"/>
            <w:vAlign w:val="top"/>
          </w:tcPr>
          <w:p w14:paraId="1623B4D7">
            <w:pPr>
              <w:keepNext w:val="0"/>
              <w:keepLines w:val="0"/>
              <w:pageBreakBefore w:val="0"/>
              <w:widowControl w:val="0"/>
              <w:kinsoku/>
              <w:wordWrap w:val="0"/>
              <w:overflowPunct/>
              <w:topLinePunct w:val="0"/>
              <w:bidi w:val="0"/>
              <w:jc w:val="center"/>
              <w:rPr>
                <w:rFonts w:hint="eastAsia" w:ascii="宋体" w:hAnsi="宋体" w:eastAsia="宋体" w:cs="宋体"/>
                <w:color w:val="auto"/>
                <w:sz w:val="24"/>
                <w:szCs w:val="24"/>
                <w:highlight w:val="none"/>
              </w:rPr>
            </w:pPr>
          </w:p>
        </w:tc>
        <w:tc>
          <w:tcPr>
            <w:tcW w:w="714" w:type="pct"/>
            <w:noWrap w:val="0"/>
            <w:vAlign w:val="top"/>
          </w:tcPr>
          <w:p w14:paraId="4844B811">
            <w:pPr>
              <w:keepNext w:val="0"/>
              <w:keepLines w:val="0"/>
              <w:pageBreakBefore w:val="0"/>
              <w:widowControl w:val="0"/>
              <w:kinsoku/>
              <w:wordWrap w:val="0"/>
              <w:overflowPunct/>
              <w:topLinePunct w:val="0"/>
              <w:bidi w:val="0"/>
              <w:jc w:val="center"/>
              <w:rPr>
                <w:rFonts w:hint="eastAsia" w:ascii="宋体" w:hAnsi="宋体" w:eastAsia="宋体" w:cs="宋体"/>
                <w:color w:val="auto"/>
                <w:sz w:val="24"/>
                <w:szCs w:val="24"/>
                <w:highlight w:val="none"/>
              </w:rPr>
            </w:pPr>
          </w:p>
        </w:tc>
        <w:tc>
          <w:tcPr>
            <w:tcW w:w="715" w:type="pct"/>
            <w:noWrap w:val="0"/>
            <w:vAlign w:val="top"/>
          </w:tcPr>
          <w:p w14:paraId="0F83AF12">
            <w:pPr>
              <w:keepNext w:val="0"/>
              <w:keepLines w:val="0"/>
              <w:pageBreakBefore w:val="0"/>
              <w:widowControl w:val="0"/>
              <w:kinsoku/>
              <w:wordWrap w:val="0"/>
              <w:overflowPunct/>
              <w:topLinePunct w:val="0"/>
              <w:bidi w:val="0"/>
              <w:jc w:val="center"/>
              <w:rPr>
                <w:rFonts w:hint="eastAsia" w:ascii="宋体" w:hAnsi="宋体" w:eastAsia="宋体" w:cs="宋体"/>
                <w:color w:val="auto"/>
                <w:sz w:val="24"/>
                <w:szCs w:val="24"/>
                <w:highlight w:val="none"/>
              </w:rPr>
            </w:pPr>
          </w:p>
        </w:tc>
      </w:tr>
      <w:tr w14:paraId="53730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14" w:type="pct"/>
            <w:noWrap w:val="0"/>
            <w:vAlign w:val="top"/>
          </w:tcPr>
          <w:p w14:paraId="0697F0DF">
            <w:pPr>
              <w:keepNext w:val="0"/>
              <w:keepLines w:val="0"/>
              <w:pageBreakBefore w:val="0"/>
              <w:widowControl w:val="0"/>
              <w:kinsoku/>
              <w:wordWrap w:val="0"/>
              <w:overflowPunct/>
              <w:topLinePunct w:val="0"/>
              <w:bidi w:val="0"/>
              <w:jc w:val="center"/>
              <w:rPr>
                <w:rFonts w:hint="eastAsia" w:ascii="宋体" w:hAnsi="宋体" w:eastAsia="宋体" w:cs="宋体"/>
                <w:color w:val="auto"/>
                <w:sz w:val="24"/>
                <w:szCs w:val="24"/>
                <w:highlight w:val="none"/>
              </w:rPr>
            </w:pPr>
          </w:p>
        </w:tc>
        <w:tc>
          <w:tcPr>
            <w:tcW w:w="714" w:type="pct"/>
            <w:noWrap w:val="0"/>
            <w:vAlign w:val="top"/>
          </w:tcPr>
          <w:p w14:paraId="2A773CE1">
            <w:pPr>
              <w:keepNext w:val="0"/>
              <w:keepLines w:val="0"/>
              <w:pageBreakBefore w:val="0"/>
              <w:widowControl w:val="0"/>
              <w:kinsoku/>
              <w:wordWrap w:val="0"/>
              <w:overflowPunct/>
              <w:topLinePunct w:val="0"/>
              <w:bidi w:val="0"/>
              <w:jc w:val="center"/>
              <w:rPr>
                <w:rFonts w:hint="eastAsia" w:ascii="宋体" w:hAnsi="宋体" w:eastAsia="宋体" w:cs="宋体"/>
                <w:color w:val="auto"/>
                <w:sz w:val="24"/>
                <w:szCs w:val="24"/>
                <w:highlight w:val="none"/>
              </w:rPr>
            </w:pPr>
          </w:p>
        </w:tc>
        <w:tc>
          <w:tcPr>
            <w:tcW w:w="714" w:type="pct"/>
            <w:noWrap w:val="0"/>
            <w:vAlign w:val="top"/>
          </w:tcPr>
          <w:p w14:paraId="35A81D65">
            <w:pPr>
              <w:keepNext w:val="0"/>
              <w:keepLines w:val="0"/>
              <w:pageBreakBefore w:val="0"/>
              <w:widowControl w:val="0"/>
              <w:kinsoku/>
              <w:wordWrap w:val="0"/>
              <w:overflowPunct/>
              <w:topLinePunct w:val="0"/>
              <w:bidi w:val="0"/>
              <w:jc w:val="center"/>
              <w:rPr>
                <w:rFonts w:hint="eastAsia" w:ascii="宋体" w:hAnsi="宋体" w:eastAsia="宋体" w:cs="宋体"/>
                <w:color w:val="auto"/>
                <w:sz w:val="24"/>
                <w:szCs w:val="24"/>
                <w:highlight w:val="none"/>
              </w:rPr>
            </w:pPr>
          </w:p>
        </w:tc>
        <w:tc>
          <w:tcPr>
            <w:tcW w:w="714" w:type="pct"/>
            <w:noWrap w:val="0"/>
            <w:vAlign w:val="top"/>
          </w:tcPr>
          <w:p w14:paraId="4DF20802">
            <w:pPr>
              <w:keepNext w:val="0"/>
              <w:keepLines w:val="0"/>
              <w:pageBreakBefore w:val="0"/>
              <w:widowControl w:val="0"/>
              <w:kinsoku/>
              <w:wordWrap w:val="0"/>
              <w:overflowPunct/>
              <w:topLinePunct w:val="0"/>
              <w:bidi w:val="0"/>
              <w:jc w:val="center"/>
              <w:rPr>
                <w:rFonts w:hint="eastAsia" w:ascii="宋体" w:hAnsi="宋体" w:eastAsia="宋体" w:cs="宋体"/>
                <w:color w:val="auto"/>
                <w:sz w:val="24"/>
                <w:szCs w:val="24"/>
                <w:highlight w:val="none"/>
              </w:rPr>
            </w:pPr>
          </w:p>
        </w:tc>
        <w:tc>
          <w:tcPr>
            <w:tcW w:w="714" w:type="pct"/>
            <w:noWrap w:val="0"/>
            <w:vAlign w:val="top"/>
          </w:tcPr>
          <w:p w14:paraId="730C0BEE">
            <w:pPr>
              <w:keepNext w:val="0"/>
              <w:keepLines w:val="0"/>
              <w:pageBreakBefore w:val="0"/>
              <w:widowControl w:val="0"/>
              <w:kinsoku/>
              <w:wordWrap w:val="0"/>
              <w:overflowPunct/>
              <w:topLinePunct w:val="0"/>
              <w:bidi w:val="0"/>
              <w:jc w:val="center"/>
              <w:rPr>
                <w:rFonts w:hint="eastAsia" w:ascii="宋体" w:hAnsi="宋体" w:eastAsia="宋体" w:cs="宋体"/>
                <w:color w:val="auto"/>
                <w:sz w:val="24"/>
                <w:szCs w:val="24"/>
                <w:highlight w:val="none"/>
              </w:rPr>
            </w:pPr>
          </w:p>
        </w:tc>
        <w:tc>
          <w:tcPr>
            <w:tcW w:w="714" w:type="pct"/>
            <w:noWrap w:val="0"/>
            <w:vAlign w:val="top"/>
          </w:tcPr>
          <w:p w14:paraId="554B3D06">
            <w:pPr>
              <w:keepNext w:val="0"/>
              <w:keepLines w:val="0"/>
              <w:pageBreakBefore w:val="0"/>
              <w:widowControl w:val="0"/>
              <w:kinsoku/>
              <w:wordWrap w:val="0"/>
              <w:overflowPunct/>
              <w:topLinePunct w:val="0"/>
              <w:bidi w:val="0"/>
              <w:jc w:val="center"/>
              <w:rPr>
                <w:rFonts w:hint="eastAsia" w:ascii="宋体" w:hAnsi="宋体" w:eastAsia="宋体" w:cs="宋体"/>
                <w:color w:val="auto"/>
                <w:sz w:val="24"/>
                <w:szCs w:val="24"/>
                <w:highlight w:val="none"/>
              </w:rPr>
            </w:pPr>
          </w:p>
        </w:tc>
        <w:tc>
          <w:tcPr>
            <w:tcW w:w="715" w:type="pct"/>
            <w:noWrap w:val="0"/>
            <w:vAlign w:val="top"/>
          </w:tcPr>
          <w:p w14:paraId="0AB727FD">
            <w:pPr>
              <w:keepNext w:val="0"/>
              <w:keepLines w:val="0"/>
              <w:pageBreakBefore w:val="0"/>
              <w:widowControl w:val="0"/>
              <w:kinsoku/>
              <w:wordWrap w:val="0"/>
              <w:overflowPunct/>
              <w:topLinePunct w:val="0"/>
              <w:bidi w:val="0"/>
              <w:jc w:val="center"/>
              <w:rPr>
                <w:rFonts w:hint="eastAsia" w:ascii="宋体" w:hAnsi="宋体" w:eastAsia="宋体" w:cs="宋体"/>
                <w:color w:val="auto"/>
                <w:sz w:val="24"/>
                <w:szCs w:val="24"/>
                <w:highlight w:val="none"/>
              </w:rPr>
            </w:pPr>
          </w:p>
        </w:tc>
      </w:tr>
      <w:tr w14:paraId="09864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14" w:type="pct"/>
            <w:noWrap w:val="0"/>
            <w:vAlign w:val="top"/>
          </w:tcPr>
          <w:p w14:paraId="3F33DDE6">
            <w:pPr>
              <w:keepNext w:val="0"/>
              <w:keepLines w:val="0"/>
              <w:pageBreakBefore w:val="0"/>
              <w:widowControl w:val="0"/>
              <w:kinsoku/>
              <w:wordWrap w:val="0"/>
              <w:overflowPunct/>
              <w:topLinePunct w:val="0"/>
              <w:bidi w:val="0"/>
              <w:jc w:val="center"/>
              <w:rPr>
                <w:rFonts w:hint="eastAsia" w:ascii="宋体" w:hAnsi="宋体" w:eastAsia="宋体" w:cs="宋体"/>
                <w:color w:val="auto"/>
                <w:sz w:val="24"/>
                <w:szCs w:val="24"/>
                <w:highlight w:val="none"/>
              </w:rPr>
            </w:pPr>
          </w:p>
        </w:tc>
        <w:tc>
          <w:tcPr>
            <w:tcW w:w="714" w:type="pct"/>
            <w:noWrap w:val="0"/>
            <w:vAlign w:val="top"/>
          </w:tcPr>
          <w:p w14:paraId="5DB556D6">
            <w:pPr>
              <w:keepNext w:val="0"/>
              <w:keepLines w:val="0"/>
              <w:pageBreakBefore w:val="0"/>
              <w:widowControl w:val="0"/>
              <w:kinsoku/>
              <w:wordWrap w:val="0"/>
              <w:overflowPunct/>
              <w:topLinePunct w:val="0"/>
              <w:bidi w:val="0"/>
              <w:jc w:val="center"/>
              <w:rPr>
                <w:rFonts w:hint="eastAsia" w:ascii="宋体" w:hAnsi="宋体" w:eastAsia="宋体" w:cs="宋体"/>
                <w:color w:val="auto"/>
                <w:sz w:val="24"/>
                <w:szCs w:val="24"/>
                <w:highlight w:val="none"/>
              </w:rPr>
            </w:pPr>
          </w:p>
        </w:tc>
        <w:tc>
          <w:tcPr>
            <w:tcW w:w="714" w:type="pct"/>
            <w:noWrap w:val="0"/>
            <w:vAlign w:val="top"/>
          </w:tcPr>
          <w:p w14:paraId="37335D68">
            <w:pPr>
              <w:keepNext w:val="0"/>
              <w:keepLines w:val="0"/>
              <w:pageBreakBefore w:val="0"/>
              <w:widowControl w:val="0"/>
              <w:kinsoku/>
              <w:wordWrap w:val="0"/>
              <w:overflowPunct/>
              <w:topLinePunct w:val="0"/>
              <w:bidi w:val="0"/>
              <w:jc w:val="center"/>
              <w:rPr>
                <w:rFonts w:hint="eastAsia" w:ascii="宋体" w:hAnsi="宋体" w:eastAsia="宋体" w:cs="宋体"/>
                <w:color w:val="auto"/>
                <w:sz w:val="24"/>
                <w:szCs w:val="24"/>
                <w:highlight w:val="none"/>
              </w:rPr>
            </w:pPr>
          </w:p>
        </w:tc>
        <w:tc>
          <w:tcPr>
            <w:tcW w:w="714" w:type="pct"/>
            <w:noWrap w:val="0"/>
            <w:vAlign w:val="top"/>
          </w:tcPr>
          <w:p w14:paraId="6E9B6D97">
            <w:pPr>
              <w:keepNext w:val="0"/>
              <w:keepLines w:val="0"/>
              <w:pageBreakBefore w:val="0"/>
              <w:widowControl w:val="0"/>
              <w:kinsoku/>
              <w:wordWrap w:val="0"/>
              <w:overflowPunct/>
              <w:topLinePunct w:val="0"/>
              <w:bidi w:val="0"/>
              <w:jc w:val="center"/>
              <w:rPr>
                <w:rFonts w:hint="eastAsia" w:ascii="宋体" w:hAnsi="宋体" w:eastAsia="宋体" w:cs="宋体"/>
                <w:color w:val="auto"/>
                <w:sz w:val="24"/>
                <w:szCs w:val="24"/>
                <w:highlight w:val="none"/>
              </w:rPr>
            </w:pPr>
          </w:p>
        </w:tc>
        <w:tc>
          <w:tcPr>
            <w:tcW w:w="714" w:type="pct"/>
            <w:noWrap w:val="0"/>
            <w:vAlign w:val="top"/>
          </w:tcPr>
          <w:p w14:paraId="49FF7BDD">
            <w:pPr>
              <w:keepNext w:val="0"/>
              <w:keepLines w:val="0"/>
              <w:pageBreakBefore w:val="0"/>
              <w:widowControl w:val="0"/>
              <w:kinsoku/>
              <w:wordWrap w:val="0"/>
              <w:overflowPunct/>
              <w:topLinePunct w:val="0"/>
              <w:bidi w:val="0"/>
              <w:jc w:val="center"/>
              <w:rPr>
                <w:rFonts w:hint="eastAsia" w:ascii="宋体" w:hAnsi="宋体" w:eastAsia="宋体" w:cs="宋体"/>
                <w:color w:val="auto"/>
                <w:sz w:val="24"/>
                <w:szCs w:val="24"/>
                <w:highlight w:val="none"/>
              </w:rPr>
            </w:pPr>
          </w:p>
        </w:tc>
        <w:tc>
          <w:tcPr>
            <w:tcW w:w="714" w:type="pct"/>
            <w:noWrap w:val="0"/>
            <w:vAlign w:val="top"/>
          </w:tcPr>
          <w:p w14:paraId="4E800E3D">
            <w:pPr>
              <w:keepNext w:val="0"/>
              <w:keepLines w:val="0"/>
              <w:pageBreakBefore w:val="0"/>
              <w:widowControl w:val="0"/>
              <w:kinsoku/>
              <w:wordWrap w:val="0"/>
              <w:overflowPunct/>
              <w:topLinePunct w:val="0"/>
              <w:bidi w:val="0"/>
              <w:jc w:val="center"/>
              <w:rPr>
                <w:rFonts w:hint="eastAsia" w:ascii="宋体" w:hAnsi="宋体" w:eastAsia="宋体" w:cs="宋体"/>
                <w:color w:val="auto"/>
                <w:sz w:val="24"/>
                <w:szCs w:val="24"/>
                <w:highlight w:val="none"/>
              </w:rPr>
            </w:pPr>
          </w:p>
        </w:tc>
        <w:tc>
          <w:tcPr>
            <w:tcW w:w="715" w:type="pct"/>
            <w:noWrap w:val="0"/>
            <w:vAlign w:val="top"/>
          </w:tcPr>
          <w:p w14:paraId="291671BE">
            <w:pPr>
              <w:keepNext w:val="0"/>
              <w:keepLines w:val="0"/>
              <w:pageBreakBefore w:val="0"/>
              <w:widowControl w:val="0"/>
              <w:kinsoku/>
              <w:wordWrap w:val="0"/>
              <w:overflowPunct/>
              <w:topLinePunct w:val="0"/>
              <w:bidi w:val="0"/>
              <w:jc w:val="center"/>
              <w:rPr>
                <w:rFonts w:hint="eastAsia" w:ascii="宋体" w:hAnsi="宋体" w:eastAsia="宋体" w:cs="宋体"/>
                <w:color w:val="auto"/>
                <w:sz w:val="24"/>
                <w:szCs w:val="24"/>
                <w:highlight w:val="none"/>
              </w:rPr>
            </w:pPr>
          </w:p>
        </w:tc>
      </w:tr>
      <w:tr w14:paraId="2152F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14" w:type="pct"/>
            <w:noWrap w:val="0"/>
            <w:vAlign w:val="top"/>
          </w:tcPr>
          <w:p w14:paraId="34D463B2">
            <w:pPr>
              <w:keepNext w:val="0"/>
              <w:keepLines w:val="0"/>
              <w:pageBreakBefore w:val="0"/>
              <w:widowControl w:val="0"/>
              <w:kinsoku/>
              <w:wordWrap w:val="0"/>
              <w:overflowPunct/>
              <w:topLinePunct w:val="0"/>
              <w:bidi w:val="0"/>
              <w:jc w:val="center"/>
              <w:rPr>
                <w:rFonts w:hint="eastAsia" w:ascii="宋体" w:hAnsi="宋体" w:eastAsia="宋体" w:cs="宋体"/>
                <w:color w:val="auto"/>
                <w:sz w:val="24"/>
                <w:szCs w:val="24"/>
                <w:highlight w:val="none"/>
              </w:rPr>
            </w:pPr>
          </w:p>
        </w:tc>
        <w:tc>
          <w:tcPr>
            <w:tcW w:w="714" w:type="pct"/>
            <w:noWrap w:val="0"/>
            <w:vAlign w:val="top"/>
          </w:tcPr>
          <w:p w14:paraId="5AD2B69A">
            <w:pPr>
              <w:keepNext w:val="0"/>
              <w:keepLines w:val="0"/>
              <w:pageBreakBefore w:val="0"/>
              <w:widowControl w:val="0"/>
              <w:kinsoku/>
              <w:wordWrap w:val="0"/>
              <w:overflowPunct/>
              <w:topLinePunct w:val="0"/>
              <w:bidi w:val="0"/>
              <w:jc w:val="center"/>
              <w:rPr>
                <w:rFonts w:hint="eastAsia" w:ascii="宋体" w:hAnsi="宋体" w:eastAsia="宋体" w:cs="宋体"/>
                <w:color w:val="auto"/>
                <w:sz w:val="24"/>
                <w:szCs w:val="24"/>
                <w:highlight w:val="none"/>
              </w:rPr>
            </w:pPr>
          </w:p>
        </w:tc>
        <w:tc>
          <w:tcPr>
            <w:tcW w:w="714" w:type="pct"/>
            <w:noWrap w:val="0"/>
            <w:vAlign w:val="top"/>
          </w:tcPr>
          <w:p w14:paraId="60459CA6">
            <w:pPr>
              <w:keepNext w:val="0"/>
              <w:keepLines w:val="0"/>
              <w:pageBreakBefore w:val="0"/>
              <w:widowControl w:val="0"/>
              <w:kinsoku/>
              <w:wordWrap w:val="0"/>
              <w:overflowPunct/>
              <w:topLinePunct w:val="0"/>
              <w:bidi w:val="0"/>
              <w:jc w:val="center"/>
              <w:rPr>
                <w:rFonts w:hint="eastAsia" w:ascii="宋体" w:hAnsi="宋体" w:eastAsia="宋体" w:cs="宋体"/>
                <w:color w:val="auto"/>
                <w:sz w:val="24"/>
                <w:szCs w:val="24"/>
                <w:highlight w:val="none"/>
              </w:rPr>
            </w:pPr>
          </w:p>
        </w:tc>
        <w:tc>
          <w:tcPr>
            <w:tcW w:w="714" w:type="pct"/>
            <w:noWrap w:val="0"/>
            <w:vAlign w:val="top"/>
          </w:tcPr>
          <w:p w14:paraId="0B75E109">
            <w:pPr>
              <w:keepNext w:val="0"/>
              <w:keepLines w:val="0"/>
              <w:pageBreakBefore w:val="0"/>
              <w:widowControl w:val="0"/>
              <w:kinsoku/>
              <w:wordWrap w:val="0"/>
              <w:overflowPunct/>
              <w:topLinePunct w:val="0"/>
              <w:bidi w:val="0"/>
              <w:jc w:val="center"/>
              <w:rPr>
                <w:rFonts w:hint="eastAsia" w:ascii="宋体" w:hAnsi="宋体" w:eastAsia="宋体" w:cs="宋体"/>
                <w:color w:val="auto"/>
                <w:sz w:val="24"/>
                <w:szCs w:val="24"/>
                <w:highlight w:val="none"/>
              </w:rPr>
            </w:pPr>
          </w:p>
        </w:tc>
        <w:tc>
          <w:tcPr>
            <w:tcW w:w="714" w:type="pct"/>
            <w:noWrap w:val="0"/>
            <w:vAlign w:val="top"/>
          </w:tcPr>
          <w:p w14:paraId="2B3875F5">
            <w:pPr>
              <w:keepNext w:val="0"/>
              <w:keepLines w:val="0"/>
              <w:pageBreakBefore w:val="0"/>
              <w:widowControl w:val="0"/>
              <w:kinsoku/>
              <w:wordWrap w:val="0"/>
              <w:overflowPunct/>
              <w:topLinePunct w:val="0"/>
              <w:bidi w:val="0"/>
              <w:jc w:val="center"/>
              <w:rPr>
                <w:rFonts w:hint="eastAsia" w:ascii="宋体" w:hAnsi="宋体" w:eastAsia="宋体" w:cs="宋体"/>
                <w:color w:val="auto"/>
                <w:sz w:val="24"/>
                <w:szCs w:val="24"/>
                <w:highlight w:val="none"/>
              </w:rPr>
            </w:pPr>
          </w:p>
        </w:tc>
        <w:tc>
          <w:tcPr>
            <w:tcW w:w="714" w:type="pct"/>
            <w:noWrap w:val="0"/>
            <w:vAlign w:val="top"/>
          </w:tcPr>
          <w:p w14:paraId="1883E503">
            <w:pPr>
              <w:keepNext w:val="0"/>
              <w:keepLines w:val="0"/>
              <w:pageBreakBefore w:val="0"/>
              <w:widowControl w:val="0"/>
              <w:kinsoku/>
              <w:wordWrap w:val="0"/>
              <w:overflowPunct/>
              <w:topLinePunct w:val="0"/>
              <w:bidi w:val="0"/>
              <w:jc w:val="center"/>
              <w:rPr>
                <w:rFonts w:hint="eastAsia" w:ascii="宋体" w:hAnsi="宋体" w:eastAsia="宋体" w:cs="宋体"/>
                <w:color w:val="auto"/>
                <w:sz w:val="24"/>
                <w:szCs w:val="24"/>
                <w:highlight w:val="none"/>
              </w:rPr>
            </w:pPr>
          </w:p>
        </w:tc>
        <w:tc>
          <w:tcPr>
            <w:tcW w:w="715" w:type="pct"/>
            <w:noWrap w:val="0"/>
            <w:vAlign w:val="top"/>
          </w:tcPr>
          <w:p w14:paraId="41E34A5D">
            <w:pPr>
              <w:keepNext w:val="0"/>
              <w:keepLines w:val="0"/>
              <w:pageBreakBefore w:val="0"/>
              <w:widowControl w:val="0"/>
              <w:kinsoku/>
              <w:wordWrap w:val="0"/>
              <w:overflowPunct/>
              <w:topLinePunct w:val="0"/>
              <w:bidi w:val="0"/>
              <w:jc w:val="center"/>
              <w:rPr>
                <w:rFonts w:hint="eastAsia" w:ascii="宋体" w:hAnsi="宋体" w:eastAsia="宋体" w:cs="宋体"/>
                <w:color w:val="auto"/>
                <w:sz w:val="24"/>
                <w:szCs w:val="24"/>
                <w:highlight w:val="none"/>
              </w:rPr>
            </w:pPr>
          </w:p>
        </w:tc>
      </w:tr>
    </w:tbl>
    <w:p w14:paraId="67C96EFD">
      <w:pPr>
        <w:keepNext w:val="0"/>
        <w:keepLines w:val="0"/>
        <w:pageBreakBefore w:val="0"/>
        <w:widowControl w:val="0"/>
        <w:kinsoku/>
        <w:wordWrap w:val="0"/>
        <w:overflowPunct/>
        <w:topLinePunct w:val="0"/>
        <w:bidi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法定代表人或授权代表</w:t>
      </w:r>
      <w:r>
        <w:rPr>
          <w:rFonts w:hint="eastAsia" w:ascii="宋体" w:hAnsi="宋体" w:eastAsia="宋体" w:cs="宋体"/>
          <w:b/>
          <w:bCs/>
          <w:color w:val="auto"/>
          <w:sz w:val="24"/>
          <w:szCs w:val="24"/>
          <w:highlight w:val="none"/>
        </w:rPr>
        <w:t>签字</w:t>
      </w:r>
      <w:r>
        <w:rPr>
          <w:rFonts w:hint="eastAsia" w:ascii="宋体" w:hAnsi="宋体" w:eastAsia="宋体" w:cs="宋体"/>
          <w:color w:val="auto"/>
          <w:sz w:val="24"/>
          <w:szCs w:val="24"/>
          <w:highlight w:val="none"/>
        </w:rPr>
        <w:t>：</w:t>
      </w:r>
    </w:p>
    <w:p w14:paraId="7CA63B08">
      <w:pPr>
        <w:keepNext w:val="0"/>
        <w:keepLines w:val="0"/>
        <w:pageBreakBefore w:val="0"/>
        <w:widowControl w:val="0"/>
        <w:kinsoku/>
        <w:wordWrap w:val="0"/>
        <w:overflowPunct/>
        <w:topLinePunct w:val="0"/>
        <w:bidi w:val="0"/>
        <w:rPr>
          <w:rFonts w:hint="eastAsia" w:ascii="宋体" w:hAnsi="宋体" w:eastAsia="宋体" w:cs="宋体"/>
          <w:color w:val="auto"/>
          <w:sz w:val="24"/>
          <w:szCs w:val="24"/>
          <w:highlight w:val="none"/>
        </w:rPr>
      </w:pPr>
    </w:p>
    <w:p w14:paraId="1B2D2097">
      <w:pPr>
        <w:keepNext w:val="0"/>
        <w:keepLines w:val="0"/>
        <w:pageBreakBefore w:val="0"/>
        <w:widowControl w:val="0"/>
        <w:kinsoku/>
        <w:wordWrap w:val="0"/>
        <w:overflowPunct/>
        <w:topLinePunct w:val="0"/>
        <w:bidi w:val="0"/>
        <w:rPr>
          <w:rFonts w:hint="eastAsia" w:ascii="宋体" w:hAnsi="宋体" w:eastAsia="宋体" w:cs="宋体"/>
          <w:color w:val="auto"/>
          <w:sz w:val="24"/>
          <w:szCs w:val="24"/>
          <w:highlight w:val="none"/>
        </w:rPr>
      </w:pPr>
    </w:p>
    <w:p w14:paraId="1750D49A">
      <w:pPr>
        <w:keepNext w:val="0"/>
        <w:keepLines w:val="0"/>
        <w:pageBreakBefore w:val="0"/>
        <w:widowControl w:val="0"/>
        <w:kinsoku/>
        <w:wordWrap w:val="0"/>
        <w:overflowPunct/>
        <w:topLinePunct w:val="0"/>
        <w:bidi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注：1、按照基本技术要求详细填列。</w:t>
      </w:r>
    </w:p>
    <w:p w14:paraId="0B7764F0">
      <w:pPr>
        <w:keepNext w:val="0"/>
        <w:keepLines w:val="0"/>
        <w:pageBreakBefore w:val="0"/>
        <w:widowControl w:val="0"/>
        <w:numPr>
          <w:ilvl w:val="0"/>
          <w:numId w:val="12"/>
        </w:numPr>
        <w:kinsoku/>
        <w:wordWrap w:val="0"/>
        <w:overflowPunct/>
        <w:topLinePunct w:val="0"/>
        <w:bidi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行数不够，可自行添加。</w:t>
      </w:r>
    </w:p>
    <w:p w14:paraId="1F11E1E5">
      <w:pPr>
        <w:keepNext w:val="0"/>
        <w:keepLines w:val="0"/>
        <w:pageBreakBefore w:val="0"/>
        <w:widowControl w:val="0"/>
        <w:numPr>
          <w:ilvl w:val="0"/>
          <w:numId w:val="12"/>
        </w:numPr>
        <w:kinsoku/>
        <w:wordWrap w:val="0"/>
        <w:overflowPunct/>
        <w:topLinePunct w:val="0"/>
        <w:bidi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技术偏离表应针对项目需求逐条应答。</w:t>
      </w:r>
    </w:p>
    <w:p w14:paraId="32104469">
      <w:pPr>
        <w:keepNext w:val="0"/>
        <w:keepLines w:val="0"/>
        <w:pageBreakBefore w:val="0"/>
        <w:widowControl w:val="0"/>
        <w:numPr>
          <w:ilvl w:val="0"/>
          <w:numId w:val="12"/>
        </w:numPr>
        <w:kinsoku/>
        <w:wordWrap w:val="0"/>
        <w:overflowPunct/>
        <w:topLinePunct w:val="0"/>
        <w:bidi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建议编制时突出显示偏离部分参数，便于评标委员会审查。</w:t>
      </w:r>
    </w:p>
    <w:p w14:paraId="3D12BA1C">
      <w:pPr>
        <w:keepNext w:val="0"/>
        <w:keepLines w:val="0"/>
        <w:pageBreakBefore w:val="0"/>
        <w:widowControl w:val="0"/>
        <w:numPr>
          <w:ilvl w:val="0"/>
          <w:numId w:val="12"/>
        </w:numPr>
        <w:kinsoku/>
        <w:wordWrap w:val="0"/>
        <w:overflowPunct/>
        <w:topLinePunct w:val="0"/>
        <w:bidi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投标供应商必须确保并承诺本表所填写的内容的真实性，否则一经发现本表内容不属实的，将被视为虚假响应行为受到严厉的处罚。</w:t>
      </w:r>
    </w:p>
    <w:bookmarkEnd w:id="216"/>
    <w:p w14:paraId="5F27D8EE">
      <w:pPr>
        <w:keepNext w:val="0"/>
        <w:keepLines w:val="0"/>
        <w:pageBreakBefore w:val="0"/>
        <w:widowControl w:val="0"/>
        <w:kinsoku/>
        <w:wordWrap w:val="0"/>
        <w:overflowPunct/>
        <w:topLinePunct w:val="0"/>
        <w:bidi w:val="0"/>
        <w:snapToGrid w:val="0"/>
        <w:spacing w:before="50" w:after="50"/>
        <w:jc w:val="center"/>
        <w:rPr>
          <w:rFonts w:hint="eastAsia" w:ascii="宋体" w:hAnsi="宋体" w:eastAsia="宋体" w:cs="宋体"/>
          <w:color w:val="auto"/>
          <w:sz w:val="32"/>
          <w:szCs w:val="32"/>
          <w:highlight w:val="none"/>
        </w:rPr>
        <w:sectPr>
          <w:pgSz w:w="11906" w:h="16838"/>
          <w:pgMar w:top="1418" w:right="1588" w:bottom="1418" w:left="1365" w:header="851" w:footer="907" w:gutter="0"/>
          <w:pgBorders>
            <w:top w:val="none" w:sz="0" w:space="0"/>
            <w:left w:val="none" w:sz="0" w:space="0"/>
            <w:bottom w:val="none" w:sz="0" w:space="0"/>
            <w:right w:val="none" w:sz="0" w:space="0"/>
          </w:pgBorders>
          <w:pgNumType w:fmt="numberInDash"/>
          <w:cols w:space="720" w:num="1"/>
          <w:titlePg/>
          <w:docGrid w:type="lines" w:linePitch="290" w:charSpace="0"/>
        </w:sectPr>
      </w:pPr>
      <w:bookmarkStart w:id="218" w:name="_Hlt26955054"/>
      <w:bookmarkEnd w:id="218"/>
    </w:p>
    <w:p w14:paraId="4C775609">
      <w:pPr>
        <w:keepNext w:val="0"/>
        <w:keepLines w:val="0"/>
        <w:pageBreakBefore w:val="0"/>
        <w:widowControl w:val="0"/>
        <w:kinsoku/>
        <w:wordWrap w:val="0"/>
        <w:overflowPunct/>
        <w:topLinePunct w:val="0"/>
        <w:bidi w:val="0"/>
        <w:jc w:val="center"/>
        <w:rPr>
          <w:rFonts w:hint="eastAsia" w:ascii="宋体" w:hAnsi="宋体" w:eastAsia="宋体" w:cs="宋体"/>
          <w:b/>
          <w:bCs/>
          <w:color w:val="auto"/>
          <w:sz w:val="32"/>
          <w:szCs w:val="40"/>
          <w:highlight w:val="none"/>
          <w:lang w:val="en-US" w:eastAsia="zh-CN" w:bidi="ar-SA"/>
        </w:rPr>
      </w:pPr>
      <w:r>
        <w:rPr>
          <w:rFonts w:hint="eastAsia" w:ascii="宋体" w:hAnsi="宋体" w:eastAsia="宋体" w:cs="宋体"/>
          <w:b/>
          <w:bCs/>
          <w:color w:val="auto"/>
          <w:sz w:val="32"/>
          <w:szCs w:val="40"/>
          <w:highlight w:val="none"/>
          <w:lang w:val="en-US" w:eastAsia="zh-CN" w:bidi="ar-SA"/>
        </w:rPr>
        <w:t>八、商务条款响应及偏离表</w:t>
      </w:r>
    </w:p>
    <w:p w14:paraId="4D6FCA48">
      <w:pPr>
        <w:keepNext w:val="0"/>
        <w:keepLines w:val="0"/>
        <w:pageBreakBefore w:val="0"/>
        <w:widowControl w:val="0"/>
        <w:kinsoku/>
        <w:wordWrap w:val="0"/>
        <w:overflowPunct/>
        <w:topLinePunct w:val="0"/>
        <w:bidi w:val="0"/>
        <w:jc w:val="center"/>
        <w:rPr>
          <w:rFonts w:hint="eastAsia" w:ascii="宋体" w:hAnsi="宋体" w:eastAsia="宋体" w:cs="宋体"/>
          <w:color w:val="auto"/>
          <w:sz w:val="24"/>
          <w:szCs w:val="24"/>
          <w:highlight w:val="none"/>
        </w:rPr>
      </w:pPr>
    </w:p>
    <w:p w14:paraId="2E12B96E">
      <w:pPr>
        <w:keepNext w:val="0"/>
        <w:keepLines w:val="0"/>
        <w:pageBreakBefore w:val="0"/>
        <w:widowControl w:val="0"/>
        <w:kinsoku/>
        <w:wordWrap w:val="0"/>
        <w:overflowPunct/>
        <w:topLinePunct w:val="0"/>
        <w:bidi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投标人（加盖CA电子公章）：        </w:t>
      </w:r>
    </w:p>
    <w:tbl>
      <w:tblPr>
        <w:tblStyle w:val="38"/>
        <w:tblW w:w="4996"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1662"/>
        <w:gridCol w:w="4587"/>
        <w:gridCol w:w="913"/>
        <w:gridCol w:w="2000"/>
      </w:tblGrid>
      <w:tr w14:paraId="64439E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907" w:type="pct"/>
            <w:tcBorders>
              <w:top w:val="single" w:color="auto" w:sz="4" w:space="0"/>
              <w:left w:val="single" w:color="auto" w:sz="4" w:space="0"/>
              <w:bottom w:val="single" w:color="auto" w:sz="4" w:space="0"/>
              <w:right w:val="single" w:color="auto" w:sz="4" w:space="0"/>
            </w:tcBorders>
            <w:noWrap w:val="0"/>
            <w:vAlign w:val="top"/>
          </w:tcPr>
          <w:p w14:paraId="19B353DE">
            <w:pPr>
              <w:keepNext w:val="0"/>
              <w:keepLines w:val="0"/>
              <w:pageBreakBefore w:val="0"/>
              <w:widowControl w:val="0"/>
              <w:kinsoku/>
              <w:wordWrap w:val="0"/>
              <w:overflowPunct/>
              <w:topLinePunct w:val="0"/>
              <w:bidi w:val="0"/>
              <w:snapToGrid w:val="0"/>
              <w:spacing w:before="145" w:beforeLines="50"/>
              <w:jc w:val="center"/>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t>项目</w:t>
            </w:r>
          </w:p>
        </w:tc>
        <w:tc>
          <w:tcPr>
            <w:tcW w:w="2502" w:type="pct"/>
            <w:tcBorders>
              <w:top w:val="single" w:color="auto" w:sz="4" w:space="0"/>
              <w:left w:val="single" w:color="auto" w:sz="4" w:space="0"/>
              <w:bottom w:val="single" w:color="auto" w:sz="4" w:space="0"/>
              <w:right w:val="single" w:color="auto" w:sz="4" w:space="0"/>
            </w:tcBorders>
            <w:noWrap w:val="0"/>
            <w:vAlign w:val="top"/>
          </w:tcPr>
          <w:p w14:paraId="7EEA4CC2">
            <w:pPr>
              <w:keepNext w:val="0"/>
              <w:keepLines w:val="0"/>
              <w:pageBreakBefore w:val="0"/>
              <w:widowControl w:val="0"/>
              <w:kinsoku/>
              <w:wordWrap w:val="0"/>
              <w:overflowPunct/>
              <w:topLinePunct w:val="0"/>
              <w:bidi w:val="0"/>
              <w:snapToGrid w:val="0"/>
              <w:spacing w:before="145" w:beforeLines="50"/>
              <w:jc w:val="center"/>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t>招标文件要求</w:t>
            </w:r>
          </w:p>
        </w:tc>
        <w:tc>
          <w:tcPr>
            <w:tcW w:w="498" w:type="pct"/>
            <w:tcBorders>
              <w:top w:val="single" w:color="auto" w:sz="4" w:space="0"/>
              <w:left w:val="single" w:color="auto" w:sz="4" w:space="0"/>
              <w:bottom w:val="single" w:color="auto" w:sz="4" w:space="0"/>
              <w:right w:val="single" w:color="auto" w:sz="4" w:space="0"/>
            </w:tcBorders>
            <w:noWrap w:val="0"/>
            <w:vAlign w:val="top"/>
          </w:tcPr>
          <w:p w14:paraId="6B5C32AC">
            <w:pPr>
              <w:keepNext w:val="0"/>
              <w:keepLines w:val="0"/>
              <w:pageBreakBefore w:val="0"/>
              <w:widowControl w:val="0"/>
              <w:kinsoku/>
              <w:wordWrap w:val="0"/>
              <w:overflowPunct/>
              <w:topLinePunct w:val="0"/>
              <w:bidi w:val="0"/>
              <w:snapToGrid w:val="0"/>
              <w:spacing w:before="145" w:beforeLines="50"/>
              <w:jc w:val="center"/>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t>是否响应</w:t>
            </w:r>
          </w:p>
        </w:tc>
        <w:tc>
          <w:tcPr>
            <w:tcW w:w="1091" w:type="pct"/>
            <w:tcBorders>
              <w:top w:val="single" w:color="auto" w:sz="4" w:space="0"/>
              <w:left w:val="single" w:color="auto" w:sz="4" w:space="0"/>
              <w:bottom w:val="single" w:color="auto" w:sz="4" w:space="0"/>
              <w:right w:val="single" w:color="auto" w:sz="4" w:space="0"/>
            </w:tcBorders>
            <w:noWrap w:val="0"/>
            <w:vAlign w:val="top"/>
          </w:tcPr>
          <w:p w14:paraId="26D97DFD">
            <w:pPr>
              <w:keepNext w:val="0"/>
              <w:keepLines w:val="0"/>
              <w:pageBreakBefore w:val="0"/>
              <w:widowControl w:val="0"/>
              <w:kinsoku/>
              <w:wordWrap w:val="0"/>
              <w:overflowPunct/>
              <w:topLinePunct w:val="0"/>
              <w:bidi w:val="0"/>
              <w:snapToGrid w:val="0"/>
              <w:spacing w:before="145" w:beforeLines="50"/>
              <w:jc w:val="center"/>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t>投标人的承诺或说明</w:t>
            </w:r>
          </w:p>
        </w:tc>
      </w:tr>
      <w:tr w14:paraId="46CAE5B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9" w:hRule="atLeast"/>
        </w:trPr>
        <w:tc>
          <w:tcPr>
            <w:tcW w:w="907" w:type="pct"/>
            <w:tcBorders>
              <w:top w:val="single" w:color="auto" w:sz="4" w:space="0"/>
              <w:left w:val="single" w:color="auto" w:sz="4" w:space="0"/>
              <w:bottom w:val="single" w:color="auto" w:sz="4" w:space="0"/>
              <w:right w:val="single" w:color="auto" w:sz="4" w:space="0"/>
            </w:tcBorders>
            <w:noWrap w:val="0"/>
            <w:vAlign w:val="center"/>
          </w:tcPr>
          <w:p w14:paraId="4C5FE43D">
            <w:pPr>
              <w:keepNext w:val="0"/>
              <w:keepLines w:val="0"/>
              <w:pageBreakBefore w:val="0"/>
              <w:widowControl w:val="0"/>
              <w:kinsoku/>
              <w:wordWrap w:val="0"/>
              <w:overflowPunct/>
              <w:topLinePunct w:val="0"/>
              <w:bidi w:val="0"/>
              <w:snapToGrid w:val="0"/>
              <w:spacing w:before="145" w:beforeLines="50"/>
              <w:jc w:val="center"/>
              <w:rPr>
                <w:rFonts w:hint="eastAsia" w:ascii="宋体" w:hAnsi="宋体" w:eastAsia="宋体" w:cs="宋体"/>
                <w:color w:val="FF0000"/>
                <w:sz w:val="24"/>
                <w:szCs w:val="20"/>
                <w:highlight w:val="none"/>
                <w:lang w:val="en-US" w:eastAsia="zh-CN"/>
              </w:rPr>
            </w:pPr>
            <w:r>
              <w:rPr>
                <w:rFonts w:hint="eastAsia" w:ascii="宋体" w:hAnsi="宋体" w:eastAsia="宋体" w:cs="宋体"/>
                <w:color w:val="FF0000"/>
                <w:sz w:val="24"/>
                <w:szCs w:val="20"/>
                <w:highlight w:val="none"/>
                <w:lang w:val="en-US" w:eastAsia="zh-CN"/>
              </w:rPr>
              <w:t>合同履行期限</w:t>
            </w:r>
          </w:p>
        </w:tc>
        <w:tc>
          <w:tcPr>
            <w:tcW w:w="2502" w:type="pct"/>
            <w:tcBorders>
              <w:top w:val="single" w:color="auto" w:sz="4" w:space="0"/>
              <w:left w:val="single" w:color="auto" w:sz="4" w:space="0"/>
              <w:bottom w:val="single" w:color="auto" w:sz="4" w:space="0"/>
              <w:right w:val="single" w:color="auto" w:sz="4" w:space="0"/>
            </w:tcBorders>
            <w:noWrap w:val="0"/>
            <w:vAlign w:val="center"/>
          </w:tcPr>
          <w:p w14:paraId="4CC7E4DB">
            <w:pPr>
              <w:keepNext w:val="0"/>
              <w:keepLines w:val="0"/>
              <w:pageBreakBefore w:val="0"/>
              <w:widowControl w:val="0"/>
              <w:kinsoku/>
              <w:wordWrap w:val="0"/>
              <w:overflowPunct/>
              <w:topLinePunct w:val="0"/>
              <w:bidi w:val="0"/>
              <w:snapToGrid w:val="0"/>
              <w:spacing w:before="145" w:beforeLines="50"/>
              <w:jc w:val="left"/>
              <w:rPr>
                <w:rFonts w:hint="eastAsia" w:ascii="宋体" w:hAnsi="宋体" w:eastAsia="宋体" w:cs="宋体"/>
                <w:color w:val="FF0000"/>
                <w:sz w:val="24"/>
                <w:szCs w:val="20"/>
                <w:highlight w:val="none"/>
                <w:lang w:val="en-US" w:eastAsia="zh-CN"/>
              </w:rPr>
            </w:pPr>
            <w:r>
              <w:rPr>
                <w:rFonts w:hint="eastAsia" w:ascii="宋体" w:hAnsi="宋体" w:eastAsia="宋体" w:cs="宋体"/>
                <w:color w:val="FF0000"/>
                <w:sz w:val="24"/>
                <w:szCs w:val="20"/>
                <w:highlight w:val="none"/>
                <w:lang w:val="en-US" w:eastAsia="zh-CN"/>
              </w:rPr>
              <w:t>签订合同后80日历天内完成村庄规划编制，并完成审批及报备</w:t>
            </w:r>
            <w:r>
              <w:rPr>
                <w:rFonts w:hint="eastAsia" w:ascii="宋体" w:hAnsi="宋体" w:cs="宋体"/>
                <w:color w:val="FF0000"/>
                <w:sz w:val="24"/>
                <w:szCs w:val="20"/>
                <w:highlight w:val="none"/>
                <w:lang w:val="en-US" w:eastAsia="zh-CN"/>
              </w:rPr>
              <w:t>。</w:t>
            </w:r>
          </w:p>
        </w:tc>
        <w:tc>
          <w:tcPr>
            <w:tcW w:w="498" w:type="pct"/>
            <w:tcBorders>
              <w:top w:val="single" w:color="auto" w:sz="4" w:space="0"/>
              <w:left w:val="single" w:color="auto" w:sz="4" w:space="0"/>
              <w:bottom w:val="single" w:color="auto" w:sz="4" w:space="0"/>
              <w:right w:val="single" w:color="auto" w:sz="4" w:space="0"/>
            </w:tcBorders>
            <w:noWrap w:val="0"/>
            <w:vAlign w:val="top"/>
          </w:tcPr>
          <w:p w14:paraId="7ACAD973">
            <w:pPr>
              <w:keepNext w:val="0"/>
              <w:keepLines w:val="0"/>
              <w:pageBreakBefore w:val="0"/>
              <w:widowControl w:val="0"/>
              <w:kinsoku/>
              <w:wordWrap w:val="0"/>
              <w:overflowPunct/>
              <w:topLinePunct w:val="0"/>
              <w:bidi w:val="0"/>
              <w:snapToGrid w:val="0"/>
              <w:spacing w:before="145" w:beforeLines="50"/>
              <w:rPr>
                <w:rFonts w:hint="eastAsia" w:ascii="宋体" w:hAnsi="宋体" w:eastAsia="宋体" w:cs="宋体"/>
                <w:color w:val="auto"/>
                <w:sz w:val="24"/>
                <w:szCs w:val="20"/>
                <w:highlight w:val="none"/>
              </w:rPr>
            </w:pPr>
          </w:p>
        </w:tc>
        <w:tc>
          <w:tcPr>
            <w:tcW w:w="1091" w:type="pct"/>
            <w:tcBorders>
              <w:top w:val="single" w:color="auto" w:sz="4" w:space="0"/>
              <w:left w:val="single" w:color="auto" w:sz="4" w:space="0"/>
              <w:bottom w:val="single" w:color="auto" w:sz="4" w:space="0"/>
              <w:right w:val="single" w:color="auto" w:sz="4" w:space="0"/>
            </w:tcBorders>
            <w:noWrap w:val="0"/>
            <w:vAlign w:val="top"/>
          </w:tcPr>
          <w:p w14:paraId="47B2FC81">
            <w:pPr>
              <w:keepNext w:val="0"/>
              <w:keepLines w:val="0"/>
              <w:pageBreakBefore w:val="0"/>
              <w:widowControl w:val="0"/>
              <w:kinsoku/>
              <w:wordWrap w:val="0"/>
              <w:overflowPunct/>
              <w:topLinePunct w:val="0"/>
              <w:bidi w:val="0"/>
              <w:snapToGrid w:val="0"/>
              <w:spacing w:before="145" w:beforeLines="50"/>
              <w:rPr>
                <w:rFonts w:hint="eastAsia" w:ascii="宋体" w:hAnsi="宋体" w:eastAsia="宋体" w:cs="宋体"/>
                <w:color w:val="auto"/>
                <w:sz w:val="24"/>
                <w:szCs w:val="20"/>
                <w:highlight w:val="none"/>
              </w:rPr>
            </w:pPr>
          </w:p>
        </w:tc>
      </w:tr>
      <w:tr w14:paraId="61566A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3" w:hRule="atLeast"/>
        </w:trPr>
        <w:tc>
          <w:tcPr>
            <w:tcW w:w="907" w:type="pct"/>
            <w:tcBorders>
              <w:top w:val="single" w:color="auto" w:sz="4" w:space="0"/>
              <w:left w:val="single" w:color="auto" w:sz="4" w:space="0"/>
              <w:bottom w:val="single" w:color="auto" w:sz="4" w:space="0"/>
              <w:right w:val="single" w:color="auto" w:sz="4" w:space="0"/>
            </w:tcBorders>
            <w:noWrap w:val="0"/>
            <w:vAlign w:val="center"/>
          </w:tcPr>
          <w:p w14:paraId="665D9D4D">
            <w:pPr>
              <w:keepNext w:val="0"/>
              <w:keepLines w:val="0"/>
              <w:pageBreakBefore w:val="0"/>
              <w:widowControl w:val="0"/>
              <w:kinsoku/>
              <w:wordWrap w:val="0"/>
              <w:overflowPunct/>
              <w:topLinePunct w:val="0"/>
              <w:bidi w:val="0"/>
              <w:snapToGrid w:val="0"/>
              <w:spacing w:before="145" w:beforeLines="50"/>
              <w:jc w:val="center"/>
              <w:rPr>
                <w:rFonts w:hint="eastAsia" w:ascii="宋体" w:hAnsi="宋体" w:eastAsia="宋体" w:cs="宋体"/>
                <w:color w:val="auto"/>
                <w:sz w:val="24"/>
                <w:szCs w:val="20"/>
                <w:highlight w:val="none"/>
              </w:rPr>
            </w:pPr>
          </w:p>
        </w:tc>
        <w:tc>
          <w:tcPr>
            <w:tcW w:w="2502" w:type="pct"/>
            <w:tcBorders>
              <w:top w:val="single" w:color="auto" w:sz="4" w:space="0"/>
              <w:left w:val="single" w:color="auto" w:sz="4" w:space="0"/>
              <w:bottom w:val="single" w:color="auto" w:sz="4" w:space="0"/>
              <w:right w:val="single" w:color="auto" w:sz="4" w:space="0"/>
            </w:tcBorders>
            <w:noWrap w:val="0"/>
            <w:vAlign w:val="top"/>
          </w:tcPr>
          <w:p w14:paraId="59BDDCB4">
            <w:pPr>
              <w:keepNext w:val="0"/>
              <w:keepLines w:val="0"/>
              <w:pageBreakBefore w:val="0"/>
              <w:widowControl w:val="0"/>
              <w:kinsoku/>
              <w:wordWrap w:val="0"/>
              <w:overflowPunct/>
              <w:topLinePunct w:val="0"/>
              <w:bidi w:val="0"/>
              <w:snapToGrid w:val="0"/>
              <w:spacing w:before="145" w:beforeLines="50"/>
              <w:jc w:val="left"/>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4"/>
                <w:highlight w:val="none"/>
                <w:lang w:val="en-US" w:eastAsia="zh-CN"/>
              </w:rPr>
              <w:t xml:space="preserve"> </w:t>
            </w:r>
          </w:p>
        </w:tc>
        <w:tc>
          <w:tcPr>
            <w:tcW w:w="498" w:type="pct"/>
            <w:tcBorders>
              <w:top w:val="single" w:color="auto" w:sz="4" w:space="0"/>
              <w:left w:val="single" w:color="auto" w:sz="4" w:space="0"/>
              <w:bottom w:val="single" w:color="auto" w:sz="4" w:space="0"/>
              <w:right w:val="single" w:color="auto" w:sz="4" w:space="0"/>
            </w:tcBorders>
            <w:noWrap w:val="0"/>
            <w:vAlign w:val="top"/>
          </w:tcPr>
          <w:p w14:paraId="6ADF2703">
            <w:pPr>
              <w:keepNext w:val="0"/>
              <w:keepLines w:val="0"/>
              <w:pageBreakBefore w:val="0"/>
              <w:widowControl w:val="0"/>
              <w:kinsoku/>
              <w:wordWrap w:val="0"/>
              <w:overflowPunct/>
              <w:topLinePunct w:val="0"/>
              <w:bidi w:val="0"/>
              <w:snapToGrid w:val="0"/>
              <w:spacing w:before="145" w:beforeLines="50"/>
              <w:jc w:val="center"/>
              <w:rPr>
                <w:rFonts w:hint="eastAsia" w:ascii="宋体" w:hAnsi="宋体" w:eastAsia="宋体" w:cs="宋体"/>
                <w:color w:val="auto"/>
                <w:sz w:val="24"/>
                <w:szCs w:val="20"/>
                <w:highlight w:val="none"/>
              </w:rPr>
            </w:pPr>
          </w:p>
        </w:tc>
        <w:tc>
          <w:tcPr>
            <w:tcW w:w="1091" w:type="pct"/>
            <w:tcBorders>
              <w:top w:val="single" w:color="auto" w:sz="4" w:space="0"/>
              <w:left w:val="single" w:color="auto" w:sz="4" w:space="0"/>
              <w:bottom w:val="single" w:color="auto" w:sz="4" w:space="0"/>
              <w:right w:val="single" w:color="auto" w:sz="4" w:space="0"/>
            </w:tcBorders>
            <w:noWrap w:val="0"/>
            <w:vAlign w:val="top"/>
          </w:tcPr>
          <w:p w14:paraId="56115794">
            <w:pPr>
              <w:keepNext w:val="0"/>
              <w:keepLines w:val="0"/>
              <w:pageBreakBefore w:val="0"/>
              <w:widowControl w:val="0"/>
              <w:kinsoku/>
              <w:wordWrap w:val="0"/>
              <w:overflowPunct/>
              <w:topLinePunct w:val="0"/>
              <w:bidi w:val="0"/>
              <w:snapToGrid w:val="0"/>
              <w:spacing w:before="145" w:beforeLines="50"/>
              <w:jc w:val="center"/>
              <w:rPr>
                <w:rFonts w:hint="eastAsia" w:ascii="宋体" w:hAnsi="宋体" w:eastAsia="宋体" w:cs="宋体"/>
                <w:color w:val="auto"/>
                <w:sz w:val="24"/>
                <w:szCs w:val="20"/>
                <w:highlight w:val="none"/>
              </w:rPr>
            </w:pPr>
          </w:p>
        </w:tc>
      </w:tr>
      <w:tr w14:paraId="496320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3" w:hRule="atLeast"/>
        </w:trPr>
        <w:tc>
          <w:tcPr>
            <w:tcW w:w="907" w:type="pct"/>
            <w:tcBorders>
              <w:top w:val="single" w:color="auto" w:sz="4" w:space="0"/>
              <w:left w:val="single" w:color="auto" w:sz="4" w:space="0"/>
              <w:bottom w:val="single" w:color="auto" w:sz="4" w:space="0"/>
              <w:right w:val="single" w:color="auto" w:sz="4" w:space="0"/>
            </w:tcBorders>
            <w:noWrap w:val="0"/>
            <w:vAlign w:val="center"/>
          </w:tcPr>
          <w:p w14:paraId="7EB3648C">
            <w:pPr>
              <w:keepNext w:val="0"/>
              <w:keepLines w:val="0"/>
              <w:pageBreakBefore w:val="0"/>
              <w:widowControl w:val="0"/>
              <w:kinsoku/>
              <w:wordWrap w:val="0"/>
              <w:overflowPunct/>
              <w:topLinePunct w:val="0"/>
              <w:bidi w:val="0"/>
              <w:snapToGrid w:val="0"/>
              <w:spacing w:before="145" w:beforeLines="50"/>
              <w:jc w:val="center"/>
              <w:rPr>
                <w:rFonts w:hint="eastAsia" w:ascii="宋体" w:hAnsi="宋体" w:eastAsia="宋体" w:cs="宋体"/>
                <w:color w:val="auto"/>
                <w:sz w:val="24"/>
                <w:szCs w:val="20"/>
                <w:highlight w:val="none"/>
              </w:rPr>
            </w:pPr>
          </w:p>
        </w:tc>
        <w:tc>
          <w:tcPr>
            <w:tcW w:w="2502" w:type="pct"/>
            <w:tcBorders>
              <w:top w:val="single" w:color="auto" w:sz="4" w:space="0"/>
              <w:left w:val="single" w:color="auto" w:sz="4" w:space="0"/>
              <w:bottom w:val="single" w:color="auto" w:sz="4" w:space="0"/>
              <w:right w:val="single" w:color="auto" w:sz="4" w:space="0"/>
            </w:tcBorders>
            <w:noWrap w:val="0"/>
            <w:vAlign w:val="top"/>
          </w:tcPr>
          <w:p w14:paraId="6508793B">
            <w:pPr>
              <w:keepNext w:val="0"/>
              <w:keepLines w:val="0"/>
              <w:pageBreakBefore w:val="0"/>
              <w:widowControl w:val="0"/>
              <w:kinsoku/>
              <w:wordWrap w:val="0"/>
              <w:overflowPunct/>
              <w:topLinePunct w:val="0"/>
              <w:bidi w:val="0"/>
              <w:snapToGrid w:val="0"/>
              <w:spacing w:before="145" w:beforeLines="5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4"/>
                <w:highlight w:val="none"/>
                <w:lang w:val="en-US" w:eastAsia="zh-CN"/>
              </w:rPr>
              <w:t xml:space="preserve"> </w:t>
            </w:r>
          </w:p>
        </w:tc>
        <w:tc>
          <w:tcPr>
            <w:tcW w:w="498" w:type="pct"/>
            <w:tcBorders>
              <w:top w:val="single" w:color="auto" w:sz="4" w:space="0"/>
              <w:left w:val="single" w:color="auto" w:sz="4" w:space="0"/>
              <w:bottom w:val="single" w:color="auto" w:sz="4" w:space="0"/>
              <w:right w:val="single" w:color="auto" w:sz="4" w:space="0"/>
            </w:tcBorders>
            <w:noWrap w:val="0"/>
            <w:vAlign w:val="top"/>
          </w:tcPr>
          <w:p w14:paraId="7DC370A1">
            <w:pPr>
              <w:keepNext w:val="0"/>
              <w:keepLines w:val="0"/>
              <w:pageBreakBefore w:val="0"/>
              <w:widowControl w:val="0"/>
              <w:kinsoku/>
              <w:wordWrap w:val="0"/>
              <w:overflowPunct/>
              <w:topLinePunct w:val="0"/>
              <w:bidi w:val="0"/>
              <w:snapToGrid w:val="0"/>
              <w:spacing w:before="145" w:beforeLines="50"/>
              <w:jc w:val="center"/>
              <w:rPr>
                <w:rFonts w:hint="eastAsia" w:ascii="宋体" w:hAnsi="宋体" w:eastAsia="宋体" w:cs="宋体"/>
                <w:color w:val="auto"/>
                <w:sz w:val="24"/>
                <w:szCs w:val="20"/>
                <w:highlight w:val="none"/>
              </w:rPr>
            </w:pPr>
          </w:p>
        </w:tc>
        <w:tc>
          <w:tcPr>
            <w:tcW w:w="1091" w:type="pct"/>
            <w:tcBorders>
              <w:top w:val="single" w:color="auto" w:sz="4" w:space="0"/>
              <w:left w:val="single" w:color="auto" w:sz="4" w:space="0"/>
              <w:bottom w:val="single" w:color="auto" w:sz="4" w:space="0"/>
              <w:right w:val="single" w:color="auto" w:sz="4" w:space="0"/>
            </w:tcBorders>
            <w:noWrap w:val="0"/>
            <w:vAlign w:val="top"/>
          </w:tcPr>
          <w:p w14:paraId="0A22469E">
            <w:pPr>
              <w:keepNext w:val="0"/>
              <w:keepLines w:val="0"/>
              <w:pageBreakBefore w:val="0"/>
              <w:widowControl w:val="0"/>
              <w:kinsoku/>
              <w:wordWrap w:val="0"/>
              <w:overflowPunct/>
              <w:topLinePunct w:val="0"/>
              <w:bidi w:val="0"/>
              <w:snapToGrid w:val="0"/>
              <w:spacing w:before="145" w:beforeLines="50"/>
              <w:jc w:val="center"/>
              <w:rPr>
                <w:rFonts w:hint="eastAsia" w:ascii="宋体" w:hAnsi="宋体" w:eastAsia="宋体" w:cs="宋体"/>
                <w:color w:val="auto"/>
                <w:sz w:val="24"/>
                <w:szCs w:val="20"/>
                <w:highlight w:val="none"/>
              </w:rPr>
            </w:pPr>
          </w:p>
        </w:tc>
      </w:tr>
      <w:tr w14:paraId="20D925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3" w:hRule="atLeast"/>
        </w:trPr>
        <w:tc>
          <w:tcPr>
            <w:tcW w:w="907" w:type="pct"/>
            <w:tcBorders>
              <w:top w:val="single" w:color="auto" w:sz="4" w:space="0"/>
              <w:left w:val="single" w:color="auto" w:sz="4" w:space="0"/>
              <w:bottom w:val="single" w:color="auto" w:sz="4" w:space="0"/>
              <w:right w:val="single" w:color="auto" w:sz="4" w:space="0"/>
            </w:tcBorders>
            <w:noWrap w:val="0"/>
            <w:vAlign w:val="top"/>
          </w:tcPr>
          <w:p w14:paraId="0146FD66">
            <w:pPr>
              <w:keepNext w:val="0"/>
              <w:keepLines w:val="0"/>
              <w:pageBreakBefore w:val="0"/>
              <w:widowControl w:val="0"/>
              <w:kinsoku/>
              <w:wordWrap w:val="0"/>
              <w:overflowPunct/>
              <w:topLinePunct w:val="0"/>
              <w:bidi w:val="0"/>
              <w:snapToGrid w:val="0"/>
              <w:spacing w:before="145" w:beforeLines="50"/>
              <w:jc w:val="cente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其他</w:t>
            </w:r>
          </w:p>
        </w:tc>
        <w:tc>
          <w:tcPr>
            <w:tcW w:w="2502" w:type="pct"/>
            <w:tcBorders>
              <w:top w:val="single" w:color="auto" w:sz="4" w:space="0"/>
              <w:left w:val="single" w:color="auto" w:sz="4" w:space="0"/>
              <w:bottom w:val="single" w:color="auto" w:sz="4" w:space="0"/>
              <w:right w:val="single" w:color="auto" w:sz="4" w:space="0"/>
            </w:tcBorders>
            <w:noWrap w:val="0"/>
            <w:vAlign w:val="top"/>
          </w:tcPr>
          <w:p w14:paraId="094691C4">
            <w:pPr>
              <w:keepNext w:val="0"/>
              <w:keepLines w:val="0"/>
              <w:pageBreakBefore w:val="0"/>
              <w:widowControl w:val="0"/>
              <w:kinsoku/>
              <w:wordWrap w:val="0"/>
              <w:overflowPunct/>
              <w:topLinePunct w:val="0"/>
              <w:bidi w:val="0"/>
              <w:snapToGrid w:val="0"/>
              <w:spacing w:before="145" w:beforeLines="50"/>
              <w:jc w:val="cente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w:t>
            </w:r>
          </w:p>
        </w:tc>
        <w:tc>
          <w:tcPr>
            <w:tcW w:w="498" w:type="pct"/>
            <w:tcBorders>
              <w:top w:val="single" w:color="auto" w:sz="4" w:space="0"/>
              <w:left w:val="single" w:color="auto" w:sz="4" w:space="0"/>
              <w:bottom w:val="single" w:color="auto" w:sz="4" w:space="0"/>
              <w:right w:val="single" w:color="auto" w:sz="4" w:space="0"/>
            </w:tcBorders>
            <w:noWrap w:val="0"/>
            <w:vAlign w:val="top"/>
          </w:tcPr>
          <w:p w14:paraId="34739604">
            <w:pPr>
              <w:keepNext w:val="0"/>
              <w:keepLines w:val="0"/>
              <w:pageBreakBefore w:val="0"/>
              <w:widowControl w:val="0"/>
              <w:kinsoku/>
              <w:wordWrap w:val="0"/>
              <w:overflowPunct/>
              <w:topLinePunct w:val="0"/>
              <w:bidi w:val="0"/>
              <w:snapToGrid w:val="0"/>
              <w:spacing w:before="145" w:beforeLines="50"/>
              <w:jc w:val="center"/>
              <w:rPr>
                <w:rFonts w:hint="eastAsia" w:ascii="宋体" w:hAnsi="宋体" w:eastAsia="宋体" w:cs="宋体"/>
                <w:color w:val="auto"/>
                <w:sz w:val="24"/>
                <w:szCs w:val="20"/>
                <w:highlight w:val="none"/>
              </w:rPr>
            </w:pPr>
          </w:p>
        </w:tc>
        <w:tc>
          <w:tcPr>
            <w:tcW w:w="1091" w:type="pct"/>
            <w:tcBorders>
              <w:top w:val="single" w:color="auto" w:sz="4" w:space="0"/>
              <w:left w:val="single" w:color="auto" w:sz="4" w:space="0"/>
              <w:bottom w:val="single" w:color="auto" w:sz="4" w:space="0"/>
              <w:right w:val="single" w:color="auto" w:sz="4" w:space="0"/>
            </w:tcBorders>
            <w:noWrap w:val="0"/>
            <w:vAlign w:val="top"/>
          </w:tcPr>
          <w:p w14:paraId="2A7D68B9">
            <w:pPr>
              <w:keepNext w:val="0"/>
              <w:keepLines w:val="0"/>
              <w:pageBreakBefore w:val="0"/>
              <w:widowControl w:val="0"/>
              <w:kinsoku/>
              <w:wordWrap w:val="0"/>
              <w:overflowPunct/>
              <w:topLinePunct w:val="0"/>
              <w:bidi w:val="0"/>
              <w:snapToGrid w:val="0"/>
              <w:spacing w:before="145" w:beforeLines="50"/>
              <w:jc w:val="center"/>
              <w:rPr>
                <w:rFonts w:hint="eastAsia" w:ascii="宋体" w:hAnsi="宋体" w:eastAsia="宋体" w:cs="宋体"/>
                <w:color w:val="auto"/>
                <w:sz w:val="24"/>
                <w:szCs w:val="20"/>
                <w:highlight w:val="none"/>
              </w:rPr>
            </w:pPr>
          </w:p>
        </w:tc>
      </w:tr>
      <w:tr w14:paraId="2B459F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3" w:hRule="atLeast"/>
        </w:trPr>
        <w:tc>
          <w:tcPr>
            <w:tcW w:w="907" w:type="pct"/>
            <w:tcBorders>
              <w:top w:val="single" w:color="auto" w:sz="4" w:space="0"/>
              <w:left w:val="single" w:color="auto" w:sz="4" w:space="0"/>
              <w:bottom w:val="single" w:color="auto" w:sz="4" w:space="0"/>
              <w:right w:val="single" w:color="auto" w:sz="4" w:space="0"/>
            </w:tcBorders>
            <w:noWrap w:val="0"/>
            <w:vAlign w:val="top"/>
          </w:tcPr>
          <w:p w14:paraId="6C16010E">
            <w:pPr>
              <w:keepNext w:val="0"/>
              <w:keepLines w:val="0"/>
              <w:pageBreakBefore w:val="0"/>
              <w:widowControl w:val="0"/>
              <w:kinsoku/>
              <w:wordWrap w:val="0"/>
              <w:overflowPunct/>
              <w:topLinePunct w:val="0"/>
              <w:bidi w:val="0"/>
              <w:snapToGrid w:val="0"/>
              <w:spacing w:before="145" w:beforeLines="50"/>
              <w:jc w:val="center"/>
              <w:rPr>
                <w:rFonts w:hint="eastAsia" w:ascii="宋体" w:hAnsi="宋体" w:eastAsia="宋体" w:cs="宋体"/>
                <w:color w:val="auto"/>
                <w:sz w:val="24"/>
                <w:szCs w:val="20"/>
                <w:highlight w:val="none"/>
              </w:rPr>
            </w:pPr>
          </w:p>
        </w:tc>
        <w:tc>
          <w:tcPr>
            <w:tcW w:w="2502" w:type="pct"/>
            <w:tcBorders>
              <w:top w:val="single" w:color="auto" w:sz="4" w:space="0"/>
              <w:left w:val="single" w:color="auto" w:sz="4" w:space="0"/>
              <w:bottom w:val="single" w:color="auto" w:sz="4" w:space="0"/>
              <w:right w:val="single" w:color="auto" w:sz="4" w:space="0"/>
            </w:tcBorders>
            <w:noWrap w:val="0"/>
            <w:vAlign w:val="top"/>
          </w:tcPr>
          <w:p w14:paraId="28C4C8B4">
            <w:pPr>
              <w:keepNext w:val="0"/>
              <w:keepLines w:val="0"/>
              <w:pageBreakBefore w:val="0"/>
              <w:widowControl w:val="0"/>
              <w:kinsoku/>
              <w:wordWrap w:val="0"/>
              <w:overflowPunct/>
              <w:topLinePunct w:val="0"/>
              <w:bidi w:val="0"/>
              <w:snapToGrid w:val="0"/>
              <w:spacing w:before="145" w:beforeLines="50"/>
              <w:jc w:val="center"/>
              <w:rPr>
                <w:rFonts w:hint="eastAsia" w:ascii="宋体" w:hAnsi="宋体" w:eastAsia="宋体" w:cs="宋体"/>
                <w:color w:val="auto"/>
                <w:sz w:val="24"/>
                <w:szCs w:val="20"/>
                <w:highlight w:val="none"/>
              </w:rPr>
            </w:pPr>
          </w:p>
        </w:tc>
        <w:tc>
          <w:tcPr>
            <w:tcW w:w="498" w:type="pct"/>
            <w:tcBorders>
              <w:top w:val="single" w:color="auto" w:sz="4" w:space="0"/>
              <w:left w:val="single" w:color="auto" w:sz="4" w:space="0"/>
              <w:bottom w:val="single" w:color="auto" w:sz="4" w:space="0"/>
              <w:right w:val="single" w:color="auto" w:sz="4" w:space="0"/>
            </w:tcBorders>
            <w:noWrap w:val="0"/>
            <w:vAlign w:val="top"/>
          </w:tcPr>
          <w:p w14:paraId="5F4E83B1">
            <w:pPr>
              <w:keepNext w:val="0"/>
              <w:keepLines w:val="0"/>
              <w:pageBreakBefore w:val="0"/>
              <w:widowControl w:val="0"/>
              <w:kinsoku/>
              <w:wordWrap w:val="0"/>
              <w:overflowPunct/>
              <w:topLinePunct w:val="0"/>
              <w:bidi w:val="0"/>
              <w:snapToGrid w:val="0"/>
              <w:spacing w:before="145" w:beforeLines="50"/>
              <w:jc w:val="center"/>
              <w:rPr>
                <w:rFonts w:hint="eastAsia" w:ascii="宋体" w:hAnsi="宋体" w:eastAsia="宋体" w:cs="宋体"/>
                <w:color w:val="auto"/>
                <w:sz w:val="24"/>
                <w:szCs w:val="20"/>
                <w:highlight w:val="none"/>
              </w:rPr>
            </w:pPr>
          </w:p>
        </w:tc>
        <w:tc>
          <w:tcPr>
            <w:tcW w:w="1091" w:type="pct"/>
            <w:tcBorders>
              <w:top w:val="single" w:color="auto" w:sz="4" w:space="0"/>
              <w:left w:val="single" w:color="auto" w:sz="4" w:space="0"/>
              <w:bottom w:val="single" w:color="auto" w:sz="4" w:space="0"/>
              <w:right w:val="single" w:color="auto" w:sz="4" w:space="0"/>
            </w:tcBorders>
            <w:noWrap w:val="0"/>
            <w:vAlign w:val="top"/>
          </w:tcPr>
          <w:p w14:paraId="44C3F68B">
            <w:pPr>
              <w:keepNext w:val="0"/>
              <w:keepLines w:val="0"/>
              <w:pageBreakBefore w:val="0"/>
              <w:widowControl w:val="0"/>
              <w:kinsoku/>
              <w:wordWrap w:val="0"/>
              <w:overflowPunct/>
              <w:topLinePunct w:val="0"/>
              <w:bidi w:val="0"/>
              <w:snapToGrid w:val="0"/>
              <w:spacing w:before="145" w:beforeLines="50"/>
              <w:jc w:val="center"/>
              <w:rPr>
                <w:rFonts w:hint="eastAsia" w:ascii="宋体" w:hAnsi="宋体" w:eastAsia="宋体" w:cs="宋体"/>
                <w:color w:val="auto"/>
                <w:sz w:val="24"/>
                <w:szCs w:val="20"/>
                <w:highlight w:val="none"/>
              </w:rPr>
            </w:pPr>
          </w:p>
        </w:tc>
      </w:tr>
      <w:tr w14:paraId="015D2B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3" w:hRule="atLeast"/>
        </w:trPr>
        <w:tc>
          <w:tcPr>
            <w:tcW w:w="907" w:type="pct"/>
            <w:tcBorders>
              <w:top w:val="single" w:color="auto" w:sz="4" w:space="0"/>
              <w:left w:val="single" w:color="auto" w:sz="4" w:space="0"/>
              <w:bottom w:val="single" w:color="auto" w:sz="4" w:space="0"/>
              <w:right w:val="single" w:color="auto" w:sz="4" w:space="0"/>
            </w:tcBorders>
            <w:noWrap w:val="0"/>
            <w:vAlign w:val="top"/>
          </w:tcPr>
          <w:p w14:paraId="0330EBBD">
            <w:pPr>
              <w:keepNext w:val="0"/>
              <w:keepLines w:val="0"/>
              <w:pageBreakBefore w:val="0"/>
              <w:widowControl w:val="0"/>
              <w:kinsoku/>
              <w:wordWrap w:val="0"/>
              <w:overflowPunct/>
              <w:topLinePunct w:val="0"/>
              <w:bidi w:val="0"/>
              <w:snapToGrid w:val="0"/>
              <w:spacing w:before="145" w:beforeLines="50"/>
              <w:jc w:val="center"/>
              <w:rPr>
                <w:rFonts w:hint="eastAsia" w:ascii="宋体" w:hAnsi="宋体" w:eastAsia="宋体" w:cs="宋体"/>
                <w:color w:val="auto"/>
                <w:sz w:val="24"/>
                <w:szCs w:val="20"/>
                <w:highlight w:val="none"/>
              </w:rPr>
            </w:pPr>
          </w:p>
        </w:tc>
        <w:tc>
          <w:tcPr>
            <w:tcW w:w="2502" w:type="pct"/>
            <w:tcBorders>
              <w:top w:val="single" w:color="auto" w:sz="4" w:space="0"/>
              <w:left w:val="single" w:color="auto" w:sz="4" w:space="0"/>
              <w:bottom w:val="single" w:color="auto" w:sz="4" w:space="0"/>
              <w:right w:val="single" w:color="auto" w:sz="4" w:space="0"/>
            </w:tcBorders>
            <w:noWrap w:val="0"/>
            <w:vAlign w:val="top"/>
          </w:tcPr>
          <w:p w14:paraId="1E43588B">
            <w:pPr>
              <w:keepNext w:val="0"/>
              <w:keepLines w:val="0"/>
              <w:pageBreakBefore w:val="0"/>
              <w:widowControl w:val="0"/>
              <w:kinsoku/>
              <w:wordWrap w:val="0"/>
              <w:overflowPunct/>
              <w:topLinePunct w:val="0"/>
              <w:bidi w:val="0"/>
              <w:snapToGrid w:val="0"/>
              <w:spacing w:before="145" w:beforeLines="50"/>
              <w:jc w:val="center"/>
              <w:rPr>
                <w:rFonts w:hint="eastAsia" w:ascii="宋体" w:hAnsi="宋体" w:eastAsia="宋体" w:cs="宋体"/>
                <w:color w:val="auto"/>
                <w:sz w:val="24"/>
                <w:szCs w:val="20"/>
                <w:highlight w:val="none"/>
              </w:rPr>
            </w:pPr>
          </w:p>
        </w:tc>
        <w:tc>
          <w:tcPr>
            <w:tcW w:w="498" w:type="pct"/>
            <w:tcBorders>
              <w:top w:val="single" w:color="auto" w:sz="4" w:space="0"/>
              <w:left w:val="single" w:color="auto" w:sz="4" w:space="0"/>
              <w:bottom w:val="single" w:color="auto" w:sz="4" w:space="0"/>
              <w:right w:val="single" w:color="auto" w:sz="4" w:space="0"/>
            </w:tcBorders>
            <w:noWrap w:val="0"/>
            <w:vAlign w:val="top"/>
          </w:tcPr>
          <w:p w14:paraId="75529A8A">
            <w:pPr>
              <w:keepNext w:val="0"/>
              <w:keepLines w:val="0"/>
              <w:pageBreakBefore w:val="0"/>
              <w:widowControl w:val="0"/>
              <w:kinsoku/>
              <w:wordWrap w:val="0"/>
              <w:overflowPunct/>
              <w:topLinePunct w:val="0"/>
              <w:bidi w:val="0"/>
              <w:snapToGrid w:val="0"/>
              <w:spacing w:before="145" w:beforeLines="50"/>
              <w:jc w:val="center"/>
              <w:rPr>
                <w:rFonts w:hint="eastAsia" w:ascii="宋体" w:hAnsi="宋体" w:eastAsia="宋体" w:cs="宋体"/>
                <w:color w:val="auto"/>
                <w:sz w:val="24"/>
                <w:szCs w:val="20"/>
                <w:highlight w:val="none"/>
              </w:rPr>
            </w:pPr>
          </w:p>
        </w:tc>
        <w:tc>
          <w:tcPr>
            <w:tcW w:w="1091" w:type="pct"/>
            <w:tcBorders>
              <w:top w:val="single" w:color="auto" w:sz="4" w:space="0"/>
              <w:left w:val="single" w:color="auto" w:sz="4" w:space="0"/>
              <w:bottom w:val="single" w:color="auto" w:sz="4" w:space="0"/>
              <w:right w:val="single" w:color="auto" w:sz="4" w:space="0"/>
            </w:tcBorders>
            <w:noWrap w:val="0"/>
            <w:vAlign w:val="top"/>
          </w:tcPr>
          <w:p w14:paraId="1B9FC8C7">
            <w:pPr>
              <w:keepNext w:val="0"/>
              <w:keepLines w:val="0"/>
              <w:pageBreakBefore w:val="0"/>
              <w:widowControl w:val="0"/>
              <w:kinsoku/>
              <w:wordWrap w:val="0"/>
              <w:overflowPunct/>
              <w:topLinePunct w:val="0"/>
              <w:bidi w:val="0"/>
              <w:snapToGrid w:val="0"/>
              <w:spacing w:before="145" w:beforeLines="50"/>
              <w:jc w:val="center"/>
              <w:rPr>
                <w:rFonts w:hint="eastAsia" w:ascii="宋体" w:hAnsi="宋体" w:eastAsia="宋体" w:cs="宋体"/>
                <w:color w:val="auto"/>
                <w:sz w:val="24"/>
                <w:szCs w:val="20"/>
                <w:highlight w:val="none"/>
              </w:rPr>
            </w:pPr>
          </w:p>
        </w:tc>
      </w:tr>
      <w:tr w14:paraId="572A0E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3" w:hRule="atLeast"/>
        </w:trPr>
        <w:tc>
          <w:tcPr>
            <w:tcW w:w="907" w:type="pct"/>
            <w:tcBorders>
              <w:top w:val="single" w:color="auto" w:sz="4" w:space="0"/>
              <w:left w:val="single" w:color="auto" w:sz="4" w:space="0"/>
              <w:bottom w:val="single" w:color="auto" w:sz="4" w:space="0"/>
              <w:right w:val="single" w:color="auto" w:sz="4" w:space="0"/>
            </w:tcBorders>
            <w:noWrap w:val="0"/>
            <w:vAlign w:val="top"/>
          </w:tcPr>
          <w:p w14:paraId="25328BE6">
            <w:pPr>
              <w:keepNext w:val="0"/>
              <w:keepLines w:val="0"/>
              <w:pageBreakBefore w:val="0"/>
              <w:widowControl w:val="0"/>
              <w:kinsoku/>
              <w:wordWrap w:val="0"/>
              <w:overflowPunct/>
              <w:topLinePunct w:val="0"/>
              <w:bidi w:val="0"/>
              <w:snapToGrid w:val="0"/>
              <w:spacing w:before="145" w:beforeLines="50"/>
              <w:rPr>
                <w:rFonts w:hint="eastAsia" w:ascii="宋体" w:hAnsi="宋体" w:eastAsia="宋体" w:cs="宋体"/>
                <w:color w:val="auto"/>
                <w:sz w:val="24"/>
                <w:szCs w:val="20"/>
                <w:highlight w:val="none"/>
              </w:rPr>
            </w:pPr>
          </w:p>
        </w:tc>
        <w:tc>
          <w:tcPr>
            <w:tcW w:w="2502" w:type="pct"/>
            <w:tcBorders>
              <w:top w:val="single" w:color="auto" w:sz="4" w:space="0"/>
              <w:left w:val="single" w:color="auto" w:sz="4" w:space="0"/>
              <w:bottom w:val="single" w:color="auto" w:sz="4" w:space="0"/>
              <w:right w:val="single" w:color="auto" w:sz="4" w:space="0"/>
            </w:tcBorders>
            <w:noWrap w:val="0"/>
            <w:vAlign w:val="top"/>
          </w:tcPr>
          <w:p w14:paraId="5539DAD8">
            <w:pPr>
              <w:keepNext w:val="0"/>
              <w:keepLines w:val="0"/>
              <w:pageBreakBefore w:val="0"/>
              <w:widowControl w:val="0"/>
              <w:kinsoku/>
              <w:wordWrap w:val="0"/>
              <w:overflowPunct/>
              <w:topLinePunct w:val="0"/>
              <w:bidi w:val="0"/>
              <w:snapToGrid w:val="0"/>
              <w:spacing w:before="145" w:beforeLines="50"/>
              <w:rPr>
                <w:rFonts w:hint="eastAsia" w:ascii="宋体" w:hAnsi="宋体" w:eastAsia="宋体" w:cs="宋体"/>
                <w:color w:val="auto"/>
                <w:sz w:val="24"/>
                <w:szCs w:val="20"/>
                <w:highlight w:val="none"/>
              </w:rPr>
            </w:pPr>
          </w:p>
        </w:tc>
        <w:tc>
          <w:tcPr>
            <w:tcW w:w="498" w:type="pct"/>
            <w:tcBorders>
              <w:top w:val="single" w:color="auto" w:sz="4" w:space="0"/>
              <w:left w:val="single" w:color="auto" w:sz="4" w:space="0"/>
              <w:bottom w:val="single" w:color="auto" w:sz="4" w:space="0"/>
              <w:right w:val="single" w:color="auto" w:sz="4" w:space="0"/>
            </w:tcBorders>
            <w:noWrap w:val="0"/>
            <w:vAlign w:val="top"/>
          </w:tcPr>
          <w:p w14:paraId="29205D05">
            <w:pPr>
              <w:keepNext w:val="0"/>
              <w:keepLines w:val="0"/>
              <w:pageBreakBefore w:val="0"/>
              <w:widowControl w:val="0"/>
              <w:kinsoku/>
              <w:wordWrap w:val="0"/>
              <w:overflowPunct/>
              <w:topLinePunct w:val="0"/>
              <w:bidi w:val="0"/>
              <w:snapToGrid w:val="0"/>
              <w:spacing w:before="145" w:beforeLines="50"/>
              <w:rPr>
                <w:rFonts w:hint="eastAsia" w:ascii="宋体" w:hAnsi="宋体" w:eastAsia="宋体" w:cs="宋体"/>
                <w:color w:val="auto"/>
                <w:sz w:val="24"/>
                <w:szCs w:val="20"/>
                <w:highlight w:val="none"/>
              </w:rPr>
            </w:pPr>
          </w:p>
        </w:tc>
        <w:tc>
          <w:tcPr>
            <w:tcW w:w="1091" w:type="pct"/>
            <w:tcBorders>
              <w:top w:val="single" w:color="auto" w:sz="4" w:space="0"/>
              <w:left w:val="single" w:color="auto" w:sz="4" w:space="0"/>
              <w:bottom w:val="single" w:color="auto" w:sz="4" w:space="0"/>
              <w:right w:val="single" w:color="auto" w:sz="4" w:space="0"/>
            </w:tcBorders>
            <w:noWrap w:val="0"/>
            <w:vAlign w:val="top"/>
          </w:tcPr>
          <w:p w14:paraId="65A83087">
            <w:pPr>
              <w:keepNext w:val="0"/>
              <w:keepLines w:val="0"/>
              <w:pageBreakBefore w:val="0"/>
              <w:widowControl w:val="0"/>
              <w:kinsoku/>
              <w:wordWrap w:val="0"/>
              <w:overflowPunct/>
              <w:topLinePunct w:val="0"/>
              <w:bidi w:val="0"/>
              <w:snapToGrid w:val="0"/>
              <w:spacing w:before="145" w:beforeLines="50"/>
              <w:rPr>
                <w:rFonts w:hint="eastAsia" w:ascii="宋体" w:hAnsi="宋体" w:eastAsia="宋体" w:cs="宋体"/>
                <w:color w:val="auto"/>
                <w:sz w:val="24"/>
                <w:szCs w:val="20"/>
                <w:highlight w:val="none"/>
              </w:rPr>
            </w:pPr>
          </w:p>
        </w:tc>
      </w:tr>
      <w:tr w14:paraId="6C450E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3" w:hRule="atLeast"/>
        </w:trPr>
        <w:tc>
          <w:tcPr>
            <w:tcW w:w="907" w:type="pct"/>
            <w:tcBorders>
              <w:top w:val="single" w:color="auto" w:sz="4" w:space="0"/>
              <w:left w:val="single" w:color="auto" w:sz="4" w:space="0"/>
              <w:bottom w:val="single" w:color="auto" w:sz="4" w:space="0"/>
              <w:right w:val="single" w:color="auto" w:sz="4" w:space="0"/>
            </w:tcBorders>
            <w:noWrap w:val="0"/>
            <w:vAlign w:val="top"/>
          </w:tcPr>
          <w:p w14:paraId="6801CA1C">
            <w:pPr>
              <w:keepNext w:val="0"/>
              <w:keepLines w:val="0"/>
              <w:pageBreakBefore w:val="0"/>
              <w:widowControl w:val="0"/>
              <w:kinsoku/>
              <w:wordWrap w:val="0"/>
              <w:overflowPunct/>
              <w:topLinePunct w:val="0"/>
              <w:bidi w:val="0"/>
              <w:snapToGrid w:val="0"/>
              <w:spacing w:before="145" w:beforeLines="50"/>
              <w:rPr>
                <w:rFonts w:hint="eastAsia" w:ascii="宋体" w:hAnsi="宋体" w:eastAsia="宋体" w:cs="宋体"/>
                <w:color w:val="auto"/>
                <w:sz w:val="24"/>
                <w:highlight w:val="none"/>
              </w:rPr>
            </w:pPr>
          </w:p>
        </w:tc>
        <w:tc>
          <w:tcPr>
            <w:tcW w:w="2502" w:type="pct"/>
            <w:tcBorders>
              <w:top w:val="single" w:color="auto" w:sz="4" w:space="0"/>
              <w:left w:val="single" w:color="auto" w:sz="4" w:space="0"/>
              <w:bottom w:val="single" w:color="auto" w:sz="4" w:space="0"/>
              <w:right w:val="single" w:color="auto" w:sz="4" w:space="0"/>
            </w:tcBorders>
            <w:noWrap w:val="0"/>
            <w:vAlign w:val="top"/>
          </w:tcPr>
          <w:p w14:paraId="6F6FE4D3">
            <w:pPr>
              <w:keepNext w:val="0"/>
              <w:keepLines w:val="0"/>
              <w:pageBreakBefore w:val="0"/>
              <w:widowControl w:val="0"/>
              <w:kinsoku/>
              <w:wordWrap w:val="0"/>
              <w:overflowPunct/>
              <w:topLinePunct w:val="0"/>
              <w:bidi w:val="0"/>
              <w:snapToGrid w:val="0"/>
              <w:spacing w:before="145" w:beforeLines="50"/>
              <w:rPr>
                <w:rFonts w:hint="eastAsia" w:ascii="宋体" w:hAnsi="宋体" w:eastAsia="宋体" w:cs="宋体"/>
                <w:color w:val="auto"/>
                <w:sz w:val="24"/>
                <w:szCs w:val="20"/>
                <w:highlight w:val="none"/>
              </w:rPr>
            </w:pPr>
          </w:p>
        </w:tc>
        <w:tc>
          <w:tcPr>
            <w:tcW w:w="498" w:type="pct"/>
            <w:tcBorders>
              <w:top w:val="single" w:color="auto" w:sz="4" w:space="0"/>
              <w:left w:val="single" w:color="auto" w:sz="4" w:space="0"/>
              <w:bottom w:val="single" w:color="auto" w:sz="4" w:space="0"/>
              <w:right w:val="single" w:color="auto" w:sz="4" w:space="0"/>
            </w:tcBorders>
            <w:noWrap w:val="0"/>
            <w:vAlign w:val="top"/>
          </w:tcPr>
          <w:p w14:paraId="22F48491">
            <w:pPr>
              <w:keepNext w:val="0"/>
              <w:keepLines w:val="0"/>
              <w:pageBreakBefore w:val="0"/>
              <w:widowControl w:val="0"/>
              <w:kinsoku/>
              <w:wordWrap w:val="0"/>
              <w:overflowPunct/>
              <w:topLinePunct w:val="0"/>
              <w:bidi w:val="0"/>
              <w:snapToGrid w:val="0"/>
              <w:spacing w:before="145" w:beforeLines="50"/>
              <w:rPr>
                <w:rFonts w:hint="eastAsia" w:ascii="宋体" w:hAnsi="宋体" w:eastAsia="宋体" w:cs="宋体"/>
                <w:color w:val="auto"/>
                <w:sz w:val="24"/>
                <w:szCs w:val="20"/>
                <w:highlight w:val="none"/>
              </w:rPr>
            </w:pPr>
          </w:p>
        </w:tc>
        <w:tc>
          <w:tcPr>
            <w:tcW w:w="1091" w:type="pct"/>
            <w:tcBorders>
              <w:top w:val="single" w:color="auto" w:sz="4" w:space="0"/>
              <w:left w:val="single" w:color="auto" w:sz="4" w:space="0"/>
              <w:bottom w:val="single" w:color="auto" w:sz="4" w:space="0"/>
              <w:right w:val="single" w:color="auto" w:sz="4" w:space="0"/>
            </w:tcBorders>
            <w:noWrap w:val="0"/>
            <w:vAlign w:val="top"/>
          </w:tcPr>
          <w:p w14:paraId="72A13541">
            <w:pPr>
              <w:keepNext w:val="0"/>
              <w:keepLines w:val="0"/>
              <w:pageBreakBefore w:val="0"/>
              <w:widowControl w:val="0"/>
              <w:kinsoku/>
              <w:wordWrap w:val="0"/>
              <w:overflowPunct/>
              <w:topLinePunct w:val="0"/>
              <w:bidi w:val="0"/>
              <w:snapToGrid w:val="0"/>
              <w:spacing w:before="145" w:beforeLines="50"/>
              <w:rPr>
                <w:rFonts w:hint="eastAsia" w:ascii="宋体" w:hAnsi="宋体" w:eastAsia="宋体" w:cs="宋体"/>
                <w:color w:val="auto"/>
                <w:sz w:val="24"/>
                <w:szCs w:val="20"/>
                <w:highlight w:val="none"/>
              </w:rPr>
            </w:pPr>
          </w:p>
        </w:tc>
      </w:tr>
      <w:tr w14:paraId="4DF730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3" w:hRule="atLeast"/>
        </w:trPr>
        <w:tc>
          <w:tcPr>
            <w:tcW w:w="907" w:type="pct"/>
            <w:tcBorders>
              <w:top w:val="single" w:color="auto" w:sz="4" w:space="0"/>
              <w:left w:val="single" w:color="auto" w:sz="4" w:space="0"/>
              <w:bottom w:val="single" w:color="auto" w:sz="4" w:space="0"/>
              <w:right w:val="single" w:color="auto" w:sz="4" w:space="0"/>
            </w:tcBorders>
            <w:noWrap w:val="0"/>
            <w:vAlign w:val="top"/>
          </w:tcPr>
          <w:p w14:paraId="6FF58F66">
            <w:pPr>
              <w:keepNext w:val="0"/>
              <w:keepLines w:val="0"/>
              <w:pageBreakBefore w:val="0"/>
              <w:widowControl w:val="0"/>
              <w:kinsoku/>
              <w:wordWrap w:val="0"/>
              <w:overflowPunct/>
              <w:topLinePunct w:val="0"/>
              <w:bidi w:val="0"/>
              <w:snapToGrid w:val="0"/>
              <w:spacing w:before="145" w:beforeLines="50"/>
              <w:rPr>
                <w:rFonts w:hint="eastAsia" w:ascii="宋体" w:hAnsi="宋体" w:eastAsia="宋体" w:cs="宋体"/>
                <w:color w:val="auto"/>
                <w:sz w:val="24"/>
                <w:szCs w:val="20"/>
                <w:highlight w:val="none"/>
              </w:rPr>
            </w:pPr>
          </w:p>
        </w:tc>
        <w:tc>
          <w:tcPr>
            <w:tcW w:w="2502" w:type="pct"/>
            <w:tcBorders>
              <w:top w:val="single" w:color="auto" w:sz="4" w:space="0"/>
              <w:left w:val="single" w:color="auto" w:sz="4" w:space="0"/>
              <w:bottom w:val="single" w:color="auto" w:sz="4" w:space="0"/>
              <w:right w:val="single" w:color="auto" w:sz="4" w:space="0"/>
            </w:tcBorders>
            <w:noWrap w:val="0"/>
            <w:vAlign w:val="top"/>
          </w:tcPr>
          <w:p w14:paraId="0E116E68">
            <w:pPr>
              <w:keepNext w:val="0"/>
              <w:keepLines w:val="0"/>
              <w:pageBreakBefore w:val="0"/>
              <w:widowControl w:val="0"/>
              <w:kinsoku/>
              <w:wordWrap w:val="0"/>
              <w:overflowPunct/>
              <w:topLinePunct w:val="0"/>
              <w:bidi w:val="0"/>
              <w:snapToGrid w:val="0"/>
              <w:spacing w:before="145" w:beforeLines="50"/>
              <w:rPr>
                <w:rFonts w:hint="eastAsia" w:ascii="宋体" w:hAnsi="宋体" w:eastAsia="宋体" w:cs="宋体"/>
                <w:color w:val="auto"/>
                <w:sz w:val="24"/>
                <w:szCs w:val="20"/>
                <w:highlight w:val="none"/>
              </w:rPr>
            </w:pPr>
          </w:p>
        </w:tc>
        <w:tc>
          <w:tcPr>
            <w:tcW w:w="498" w:type="pct"/>
            <w:tcBorders>
              <w:top w:val="single" w:color="auto" w:sz="4" w:space="0"/>
              <w:left w:val="single" w:color="auto" w:sz="4" w:space="0"/>
              <w:bottom w:val="single" w:color="auto" w:sz="4" w:space="0"/>
              <w:right w:val="single" w:color="auto" w:sz="4" w:space="0"/>
            </w:tcBorders>
            <w:noWrap w:val="0"/>
            <w:vAlign w:val="top"/>
          </w:tcPr>
          <w:p w14:paraId="06782FDF">
            <w:pPr>
              <w:keepNext w:val="0"/>
              <w:keepLines w:val="0"/>
              <w:pageBreakBefore w:val="0"/>
              <w:widowControl w:val="0"/>
              <w:kinsoku/>
              <w:wordWrap w:val="0"/>
              <w:overflowPunct/>
              <w:topLinePunct w:val="0"/>
              <w:bidi w:val="0"/>
              <w:snapToGrid w:val="0"/>
              <w:spacing w:before="145" w:beforeLines="50"/>
              <w:rPr>
                <w:rFonts w:hint="eastAsia" w:ascii="宋体" w:hAnsi="宋体" w:eastAsia="宋体" w:cs="宋体"/>
                <w:color w:val="auto"/>
                <w:sz w:val="24"/>
                <w:szCs w:val="20"/>
                <w:highlight w:val="none"/>
              </w:rPr>
            </w:pPr>
          </w:p>
        </w:tc>
        <w:tc>
          <w:tcPr>
            <w:tcW w:w="1091" w:type="pct"/>
            <w:tcBorders>
              <w:top w:val="single" w:color="auto" w:sz="4" w:space="0"/>
              <w:left w:val="single" w:color="auto" w:sz="4" w:space="0"/>
              <w:bottom w:val="single" w:color="auto" w:sz="4" w:space="0"/>
              <w:right w:val="single" w:color="auto" w:sz="4" w:space="0"/>
            </w:tcBorders>
            <w:noWrap w:val="0"/>
            <w:vAlign w:val="top"/>
          </w:tcPr>
          <w:p w14:paraId="6E98D3E4">
            <w:pPr>
              <w:keepNext w:val="0"/>
              <w:keepLines w:val="0"/>
              <w:pageBreakBefore w:val="0"/>
              <w:widowControl w:val="0"/>
              <w:kinsoku/>
              <w:wordWrap w:val="0"/>
              <w:overflowPunct/>
              <w:topLinePunct w:val="0"/>
              <w:bidi w:val="0"/>
              <w:snapToGrid w:val="0"/>
              <w:spacing w:before="145" w:beforeLines="50"/>
              <w:rPr>
                <w:rFonts w:hint="eastAsia" w:ascii="宋体" w:hAnsi="宋体" w:eastAsia="宋体" w:cs="宋体"/>
                <w:color w:val="auto"/>
                <w:sz w:val="24"/>
                <w:szCs w:val="20"/>
                <w:highlight w:val="none"/>
              </w:rPr>
            </w:pPr>
          </w:p>
        </w:tc>
      </w:tr>
    </w:tbl>
    <w:p w14:paraId="1FC00E80">
      <w:pPr>
        <w:keepNext w:val="0"/>
        <w:keepLines w:val="0"/>
        <w:pageBreakBefore w:val="0"/>
        <w:widowControl w:val="0"/>
        <w:kinsoku/>
        <w:wordWrap w:val="0"/>
        <w:overflowPunct/>
        <w:topLinePunct w:val="0"/>
        <w:bidi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法定代表人或授权代表</w:t>
      </w:r>
      <w:r>
        <w:rPr>
          <w:rFonts w:hint="eastAsia" w:ascii="宋体" w:hAnsi="宋体" w:eastAsia="宋体" w:cs="宋体"/>
          <w:b/>
          <w:bCs/>
          <w:color w:val="auto"/>
          <w:sz w:val="24"/>
          <w:szCs w:val="24"/>
          <w:highlight w:val="none"/>
        </w:rPr>
        <w:t>签字</w:t>
      </w:r>
      <w:r>
        <w:rPr>
          <w:rFonts w:hint="eastAsia" w:ascii="宋体" w:hAnsi="宋体" w:eastAsia="宋体" w:cs="宋体"/>
          <w:color w:val="auto"/>
          <w:sz w:val="24"/>
          <w:szCs w:val="24"/>
          <w:highlight w:val="none"/>
        </w:rPr>
        <w:t>：</w:t>
      </w:r>
    </w:p>
    <w:p w14:paraId="156E8986">
      <w:pPr>
        <w:pStyle w:val="7"/>
        <w:keepNext w:val="0"/>
        <w:keepLines w:val="0"/>
        <w:pageBreakBefore w:val="0"/>
        <w:widowControl w:val="0"/>
        <w:kinsoku/>
        <w:wordWrap w:val="0"/>
        <w:overflowPunct/>
        <w:topLinePunct w:val="0"/>
        <w:bidi w:val="0"/>
        <w:rPr>
          <w:rFonts w:hint="eastAsia" w:ascii="宋体" w:hAnsi="宋体" w:eastAsia="宋体" w:cs="宋体"/>
          <w:color w:val="auto"/>
          <w:highlight w:val="none"/>
        </w:rPr>
      </w:pPr>
    </w:p>
    <w:p w14:paraId="1B7F9430">
      <w:pPr>
        <w:pStyle w:val="7"/>
        <w:keepNext w:val="0"/>
        <w:keepLines w:val="0"/>
        <w:pageBreakBefore w:val="0"/>
        <w:widowControl w:val="0"/>
        <w:kinsoku/>
        <w:wordWrap w:val="0"/>
        <w:overflowPunct/>
        <w:topLinePunct w:val="0"/>
        <w:bidi w:val="0"/>
        <w:ind w:firstLine="0"/>
        <w:rPr>
          <w:rFonts w:hint="eastAsia" w:ascii="宋体" w:hAnsi="宋体" w:eastAsia="宋体" w:cs="宋体"/>
          <w:color w:val="auto"/>
          <w:sz w:val="24"/>
          <w:highlight w:val="none"/>
        </w:rPr>
      </w:pPr>
      <w:bookmarkStart w:id="219" w:name="_Toc462564146"/>
    </w:p>
    <w:p w14:paraId="1711F9B3">
      <w:pPr>
        <w:keepNext w:val="0"/>
        <w:keepLines w:val="0"/>
        <w:pageBreakBefore w:val="0"/>
        <w:widowControl w:val="0"/>
        <w:kinsoku/>
        <w:wordWrap w:val="0"/>
        <w:overflowPunct/>
        <w:topLinePunct w:val="0"/>
        <w:bidi w:val="0"/>
        <w:snapToGrid w:val="0"/>
        <w:spacing w:before="50" w:after="50"/>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r>
        <w:rPr>
          <w:rFonts w:hint="eastAsia" w:ascii="宋体" w:hAnsi="宋体" w:eastAsia="宋体" w:cs="宋体"/>
          <w:b/>
          <w:bCs/>
          <w:color w:val="auto"/>
          <w:sz w:val="32"/>
          <w:szCs w:val="40"/>
          <w:highlight w:val="none"/>
          <w:lang w:val="en-US" w:eastAsia="zh-CN" w:bidi="ar-SA"/>
        </w:rPr>
        <w:t>九、技术方案、服务承诺、培训承诺等</w:t>
      </w:r>
      <w:bookmarkEnd w:id="219"/>
      <w:bookmarkStart w:id="220" w:name="_格式2__法定代表人授权书"/>
      <w:bookmarkEnd w:id="220"/>
    </w:p>
    <w:p w14:paraId="6972A2EF">
      <w:pPr>
        <w:keepNext w:val="0"/>
        <w:keepLines w:val="0"/>
        <w:pageBreakBefore w:val="0"/>
        <w:widowControl w:val="0"/>
        <w:kinsoku/>
        <w:wordWrap w:val="0"/>
        <w:overflowPunct/>
        <w:topLinePunct w:val="0"/>
        <w:bidi w:val="0"/>
        <w:snapToGrid w:val="0"/>
        <w:spacing w:before="50" w:after="50"/>
        <w:jc w:val="center"/>
        <w:rPr>
          <w:rFonts w:hint="eastAsia" w:ascii="宋体" w:hAnsi="宋体" w:eastAsia="宋体" w:cs="宋体"/>
          <w:color w:val="auto"/>
          <w:sz w:val="32"/>
          <w:szCs w:val="32"/>
          <w:highlight w:val="none"/>
        </w:rPr>
      </w:pPr>
    </w:p>
    <w:p w14:paraId="7BF54532">
      <w:pPr>
        <w:keepNext w:val="0"/>
        <w:keepLines w:val="0"/>
        <w:pageBreakBefore w:val="0"/>
        <w:widowControl w:val="0"/>
        <w:kinsoku/>
        <w:wordWrap w:val="0"/>
        <w:overflowPunct/>
        <w:topLinePunct w:val="0"/>
        <w:bidi w:val="0"/>
        <w:spacing w:line="500" w:lineRule="exact"/>
        <w:jc w:val="center"/>
        <w:rPr>
          <w:rFonts w:hint="eastAsia" w:ascii="宋体" w:hAnsi="宋体" w:eastAsia="宋体" w:cs="宋体"/>
          <w:color w:val="auto"/>
          <w:sz w:val="28"/>
          <w:szCs w:val="28"/>
          <w:highlight w:val="none"/>
        </w:rPr>
        <w:sectPr>
          <w:pgSz w:w="11906" w:h="16838"/>
          <w:pgMar w:top="1418" w:right="1588" w:bottom="1418" w:left="1365" w:header="851" w:footer="907" w:gutter="0"/>
          <w:pgBorders>
            <w:top w:val="none" w:sz="0" w:space="0"/>
            <w:left w:val="none" w:sz="0" w:space="0"/>
            <w:bottom w:val="none" w:sz="0" w:space="0"/>
            <w:right w:val="none" w:sz="0" w:space="0"/>
          </w:pgBorders>
          <w:pgNumType w:fmt="numberInDash"/>
          <w:cols w:space="720" w:num="1"/>
          <w:titlePg/>
          <w:docGrid w:type="lines" w:linePitch="290" w:charSpace="0"/>
        </w:sectPr>
      </w:pPr>
      <w:r>
        <w:rPr>
          <w:rFonts w:hint="eastAsia" w:ascii="宋体" w:hAnsi="宋体" w:eastAsia="宋体" w:cs="宋体"/>
          <w:color w:val="auto"/>
          <w:sz w:val="28"/>
          <w:szCs w:val="28"/>
          <w:highlight w:val="none"/>
        </w:rPr>
        <w:t>（格式内容自拟，建议编制规范工整）</w:t>
      </w:r>
    </w:p>
    <w:p w14:paraId="75AE155A">
      <w:pPr>
        <w:keepNext w:val="0"/>
        <w:keepLines w:val="0"/>
        <w:pageBreakBefore w:val="0"/>
        <w:widowControl w:val="0"/>
        <w:kinsoku/>
        <w:wordWrap w:val="0"/>
        <w:overflowPunct/>
        <w:topLinePunct w:val="0"/>
        <w:bidi w:val="0"/>
        <w:snapToGrid w:val="0"/>
        <w:spacing w:before="50" w:after="50"/>
        <w:jc w:val="center"/>
        <w:rPr>
          <w:rFonts w:hint="eastAsia" w:ascii="宋体" w:hAnsi="宋体" w:eastAsia="宋体" w:cs="宋体"/>
          <w:b/>
          <w:bCs/>
          <w:color w:val="auto"/>
          <w:sz w:val="32"/>
          <w:szCs w:val="40"/>
          <w:highlight w:val="none"/>
          <w:lang w:val="en-US" w:eastAsia="zh-CN" w:bidi="ar-SA"/>
        </w:rPr>
      </w:pPr>
      <w:r>
        <w:rPr>
          <w:rFonts w:hint="eastAsia" w:ascii="宋体" w:hAnsi="宋体" w:eastAsia="宋体" w:cs="宋体"/>
          <w:b/>
          <w:bCs/>
          <w:color w:val="auto"/>
          <w:sz w:val="32"/>
          <w:szCs w:val="40"/>
          <w:highlight w:val="none"/>
          <w:lang w:val="en-US" w:eastAsia="zh-CN" w:bidi="ar-SA"/>
        </w:rPr>
        <w:t>十、滨海县政府采购事前信用承诺书</w:t>
      </w:r>
    </w:p>
    <w:p w14:paraId="276CB470">
      <w:pPr>
        <w:keepNext w:val="0"/>
        <w:keepLines w:val="0"/>
        <w:pageBreakBefore w:val="0"/>
        <w:widowControl w:val="0"/>
        <w:kinsoku/>
        <w:wordWrap w:val="0"/>
        <w:overflowPunct/>
        <w:topLinePunct w:val="0"/>
        <w:bidi w:val="0"/>
        <w:spacing w:line="500" w:lineRule="exact"/>
        <w:ind w:firstLine="640" w:firstLineChars="200"/>
        <w:jc w:val="left"/>
        <w:rPr>
          <w:rFonts w:hint="eastAsia" w:ascii="宋体" w:hAnsi="宋体" w:eastAsia="宋体" w:cs="宋体"/>
          <w:color w:val="auto"/>
          <w:kern w:val="0"/>
          <w:sz w:val="32"/>
          <w:szCs w:val="32"/>
          <w:highlight w:val="none"/>
        </w:rPr>
      </w:pPr>
    </w:p>
    <w:p w14:paraId="154A22CA">
      <w:pPr>
        <w:keepNext w:val="0"/>
        <w:keepLines w:val="0"/>
        <w:pageBreakBefore w:val="0"/>
        <w:widowControl w:val="0"/>
        <w:kinsoku/>
        <w:wordWrap w:val="0"/>
        <w:overflowPunct/>
        <w:topLinePunct w:val="0"/>
        <w:bidi w:val="0"/>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为营造我县公开、公平、公正、诚实守信的政府采购交易环境，树立诚信守法的投标供应商形象，本人代表本单位作出以下承诺：</w:t>
      </w:r>
    </w:p>
    <w:p w14:paraId="5DCBEDA3">
      <w:pPr>
        <w:keepNext w:val="0"/>
        <w:keepLines w:val="0"/>
        <w:pageBreakBefore w:val="0"/>
        <w:widowControl w:val="0"/>
        <w:kinsoku/>
        <w:wordWrap w:val="0"/>
        <w:overflowPunct/>
        <w:topLinePunct w:val="0"/>
        <w:bidi w:val="0"/>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5FF124A6">
      <w:pPr>
        <w:keepNext w:val="0"/>
        <w:keepLines w:val="0"/>
        <w:pageBreakBefore w:val="0"/>
        <w:widowControl w:val="0"/>
        <w:kinsoku/>
        <w:wordWrap w:val="0"/>
        <w:overflowPunct/>
        <w:topLinePunct w:val="0"/>
        <w:bidi w:val="0"/>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4FEF2CB7">
      <w:pPr>
        <w:keepNext w:val="0"/>
        <w:keepLines w:val="0"/>
        <w:pageBreakBefore w:val="0"/>
        <w:widowControl w:val="0"/>
        <w:kinsoku/>
        <w:wordWrap w:val="0"/>
        <w:overflowPunct/>
        <w:topLinePunct w:val="0"/>
        <w:bidi w:val="0"/>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（三）严格依照国家和省、市关于政府采购的法律、法规、规章、规范性文件，参加政府采购投标活动；积极履行社会责任，促进廉政建设； </w:t>
      </w:r>
    </w:p>
    <w:p w14:paraId="48957515">
      <w:pPr>
        <w:keepNext w:val="0"/>
        <w:keepLines w:val="0"/>
        <w:pageBreakBefore w:val="0"/>
        <w:widowControl w:val="0"/>
        <w:kinsoku/>
        <w:wordWrap w:val="0"/>
        <w:overflowPunct/>
        <w:topLinePunct w:val="0"/>
        <w:bidi w:val="0"/>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（四）严格遵守即时信息公示规定，及时维护和更新盐城市政府采购网中与本单位相关的信息；</w:t>
      </w:r>
    </w:p>
    <w:p w14:paraId="7D51A26A">
      <w:pPr>
        <w:keepNext w:val="0"/>
        <w:keepLines w:val="0"/>
        <w:pageBreakBefore w:val="0"/>
        <w:widowControl w:val="0"/>
        <w:kinsoku/>
        <w:wordWrap w:val="0"/>
        <w:overflowPunct/>
        <w:topLinePunct w:val="0"/>
        <w:bidi w:val="0"/>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自我约束、自我管理，守合同、重信用，自觉维护政府采购交易的良好秩序，与参与本次政府采购活动的其他供应商不存在直接控股或管理关系，不参与围标串标、弄虚作假、骗取中标、干扰评标、违约毁约等行为；</w:t>
      </w:r>
    </w:p>
    <w:p w14:paraId="4BD6A123">
      <w:pPr>
        <w:keepNext w:val="0"/>
        <w:keepLines w:val="0"/>
        <w:pageBreakBefore w:val="0"/>
        <w:widowControl w:val="0"/>
        <w:kinsoku/>
        <w:wordWrap w:val="0"/>
        <w:overflowPunct/>
        <w:topLinePunct w:val="0"/>
        <w:bidi w:val="0"/>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（六）自觉接受政府、行业组织、社会公众、新闻舆论的监督；</w:t>
      </w:r>
    </w:p>
    <w:p w14:paraId="09533B14">
      <w:pPr>
        <w:keepNext w:val="0"/>
        <w:keepLines w:val="0"/>
        <w:pageBreakBefore w:val="0"/>
        <w:widowControl w:val="0"/>
        <w:kinsoku/>
        <w:wordWrap w:val="0"/>
        <w:overflowPunct/>
        <w:topLinePunct w:val="0"/>
        <w:bidi w:val="0"/>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3C628160">
      <w:pPr>
        <w:keepNext w:val="0"/>
        <w:keepLines w:val="0"/>
        <w:pageBreakBefore w:val="0"/>
        <w:widowControl w:val="0"/>
        <w:kinsoku/>
        <w:wordWrap w:val="0"/>
        <w:overflowPunct/>
        <w:topLinePunct w:val="0"/>
        <w:bidi w:val="0"/>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（八）本人已认真阅读了上述承诺，并向本单位员工作了宣传教育。</w:t>
      </w:r>
    </w:p>
    <w:p w14:paraId="2C18B6BC">
      <w:pPr>
        <w:keepNext w:val="0"/>
        <w:keepLines w:val="0"/>
        <w:pageBreakBefore w:val="0"/>
        <w:widowControl w:val="0"/>
        <w:kinsoku/>
        <w:wordWrap w:val="0"/>
        <w:overflowPunct/>
        <w:topLinePunct w:val="0"/>
        <w:bidi w:val="0"/>
        <w:spacing w:line="500" w:lineRule="exact"/>
        <w:ind w:left="4200" w:leftChars="2000" w:firstLine="480" w:firstLineChars="200"/>
        <w:jc w:val="left"/>
        <w:rPr>
          <w:rFonts w:hint="eastAsia" w:ascii="宋体" w:hAnsi="宋体" w:eastAsia="宋体" w:cs="宋体"/>
          <w:color w:val="auto"/>
          <w:sz w:val="24"/>
          <w:szCs w:val="24"/>
          <w:highlight w:val="none"/>
        </w:rPr>
      </w:pPr>
    </w:p>
    <w:p w14:paraId="204687CA">
      <w:pPr>
        <w:keepNext w:val="0"/>
        <w:keepLines w:val="0"/>
        <w:pageBreakBefore w:val="0"/>
        <w:widowControl w:val="0"/>
        <w:kinsoku/>
        <w:wordWrap w:val="0"/>
        <w:overflowPunct/>
        <w:topLinePunct w:val="0"/>
        <w:bidi w:val="0"/>
        <w:spacing w:line="500" w:lineRule="exact"/>
        <w:ind w:left="4200" w:leftChars="200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eastAsia="宋体" w:cs="宋体"/>
          <w:b/>
          <w:bCs/>
          <w:color w:val="auto"/>
          <w:sz w:val="24"/>
          <w:szCs w:val="24"/>
          <w:highlight w:val="none"/>
        </w:rPr>
        <w:t>签名</w:t>
      </w:r>
      <w:r>
        <w:rPr>
          <w:rFonts w:hint="eastAsia" w:ascii="宋体" w:hAnsi="宋体" w:eastAsia="宋体" w:cs="宋体"/>
          <w:color w:val="auto"/>
          <w:sz w:val="24"/>
          <w:szCs w:val="24"/>
          <w:highlight w:val="none"/>
        </w:rPr>
        <w:t>：</w:t>
      </w:r>
    </w:p>
    <w:p w14:paraId="6DD523AB">
      <w:pPr>
        <w:keepNext w:val="0"/>
        <w:keepLines w:val="0"/>
        <w:pageBreakBefore w:val="0"/>
        <w:widowControl w:val="0"/>
        <w:kinsoku/>
        <w:wordWrap w:val="0"/>
        <w:overflowPunct/>
        <w:topLinePunct w:val="0"/>
        <w:bidi w:val="0"/>
        <w:spacing w:line="500" w:lineRule="exact"/>
        <w:ind w:left="4200" w:leftChars="200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单位（加盖CA电子公章）：</w:t>
      </w:r>
    </w:p>
    <w:p w14:paraId="524E3C0A">
      <w:pPr>
        <w:ind w:firstLine="4800" w:firstLineChars="2000"/>
        <w:jc w:val="both"/>
        <w:rPr>
          <w:rFonts w:hint="eastAsia" w:ascii="宋体" w:hAnsi="宋体" w:eastAsia="宋体" w:cs="宋体"/>
        </w:rPr>
      </w:pPr>
      <w:r>
        <w:rPr>
          <w:rFonts w:hint="eastAsia" w:ascii="宋体" w:hAnsi="宋体" w:eastAsia="宋体" w:cs="宋体"/>
          <w:color w:val="auto"/>
          <w:sz w:val="24"/>
          <w:szCs w:val="24"/>
          <w:highlight w:val="none"/>
        </w:rPr>
        <w:t>年    月    日</w:t>
      </w:r>
    </w:p>
    <w:p w14:paraId="472CFAF8"/>
    <w:sectPr>
      <w:headerReference r:id="rId4" w:type="default"/>
      <w:footerReference r:id="rId5" w:type="default"/>
      <w:footerReference r:id="rId6" w:type="even"/>
      <w:pgSz w:w="11906" w:h="16838"/>
      <w:pgMar w:top="1418" w:right="1588" w:bottom="1418" w:left="1365" w:header="851" w:footer="907" w:gutter="0"/>
      <w:pgBorders>
        <w:top w:val="none" w:sz="0" w:space="0"/>
        <w:left w:val="none" w:sz="0" w:space="0"/>
        <w:bottom w:val="none" w:sz="0" w:space="0"/>
        <w:right w:val="none" w:sz="0" w:space="0"/>
      </w:pgBorders>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幼圆">
    <w:panose1 w:val="02010509060101010101"/>
    <w:charset w:val="86"/>
    <w:family w:val="auto"/>
    <w:pitch w:val="default"/>
    <w:sig w:usb0="00000001" w:usb1="080E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10006FF" w:usb1="4000205B" w:usb2="00000010" w:usb3="00000000" w:csb0="2000019F" w:csb1="00000000"/>
  </w:font>
  <w:font w:name="方正黑体_GBK">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仿宋">
    <w:panose1 w:val="02010609060101010101"/>
    <w:charset w:val="86"/>
    <w:family w:val="auto"/>
    <w:pitch w:val="default"/>
    <w:sig w:usb0="800002BF" w:usb1="38CF7CFA" w:usb2="00000016" w:usb3="00000000" w:csb0="00040001" w:csb1="00000000"/>
  </w:font>
  <w:font w:name="等线">
    <w:altName w:val="Arial Unicode MS"/>
    <w:panose1 w:val="02010600030101010101"/>
    <w:charset w:val="86"/>
    <w:family w:val="auto"/>
    <w:pitch w:val="default"/>
    <w:sig w:usb0="00000000" w:usb1="00000000" w:usb2="00000016" w:usb3="00000000" w:csb0="0004000F" w:csb1="00000000"/>
  </w:font>
  <w:font w:name="楷体">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10022FF" w:usb1="C000E47F" w:usb2="00000029" w:usb3="00000000" w:csb0="200001DF" w:csb1="2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9F37B8">
    <w:pPr>
      <w:pStyle w:val="2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12CDF">
    <w:pPr>
      <w:pStyle w:val="226"/>
      <w:jc w:val="center"/>
      <w:rPr>
        <w:rFonts w:hint="eastAsia"/>
        <w:b/>
        <w:i/>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91696F">
    <w:pPr>
      <w:pStyle w:val="226"/>
      <w:framePr w:wrap="around" w:vAnchor="text" w:hAnchor="margin" w:xAlign="center" w:y="1"/>
      <w:rPr>
        <w:rStyle w:val="244"/>
      </w:rPr>
    </w:pPr>
    <w:r>
      <w:fldChar w:fldCharType="begin"/>
    </w:r>
    <w:r>
      <w:rPr>
        <w:rStyle w:val="244"/>
      </w:rPr>
      <w:instrText xml:space="preserve">PAGE  </w:instrText>
    </w:r>
    <w:r>
      <w:fldChar w:fldCharType="separate"/>
    </w:r>
    <w:r>
      <w:rPr>
        <w:rStyle w:val="244"/>
      </w:rPr>
      <w:t>1</w:t>
    </w:r>
    <w:r>
      <w:fldChar w:fldCharType="end"/>
    </w:r>
  </w:p>
  <w:p w14:paraId="0F9A1C6A">
    <w:pPr>
      <w:pStyle w:val="22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1418DF">
    <w:pPr>
      <w:pStyle w:val="227"/>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suff w:val="nothing"/>
      <w:lvlText w:val="%1"/>
      <w:lvlJc w:val="left"/>
      <w:pPr>
        <w:ind w:left="0" w:firstLine="403"/>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E717ED7"/>
    <w:multiLevelType w:val="singleLevel"/>
    <w:tmpl w:val="BE717ED7"/>
    <w:lvl w:ilvl="0" w:tentative="0">
      <w:start w:val="1"/>
      <w:numFmt w:val="decimal"/>
      <w:lvlText w:val="%1."/>
      <w:lvlJc w:val="left"/>
      <w:pPr>
        <w:tabs>
          <w:tab w:val="left" w:pos="312"/>
        </w:tabs>
        <w:ind w:left="0" w:firstLine="0"/>
      </w:pPr>
    </w:lvl>
  </w:abstractNum>
  <w:abstractNum w:abstractNumId="2">
    <w:nsid w:val="BF205925"/>
    <w:multiLevelType w:val="multilevel"/>
    <w:tmpl w:val="BF205925"/>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035F4C2"/>
    <w:multiLevelType w:val="multilevel"/>
    <w:tmpl w:val="C035F4C2"/>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CF092B84"/>
    <w:multiLevelType w:val="multilevel"/>
    <w:tmpl w:val="CF092B84"/>
    <w:lvl w:ilvl="0" w:tentative="0">
      <w:start w:val="1"/>
      <w:numFmt w:val="upperLetter"/>
      <w:pStyle w:val="263"/>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99"/>
      <w:suff w:val="nothing"/>
      <w:lvlText w:val=""/>
      <w:lvlJc w:val="left"/>
      <w:pPr>
        <w:ind w:left="0" w:firstLine="0"/>
      </w:pPr>
      <w:rPr>
        <w:rFonts w:hint="eastAsia"/>
      </w:rPr>
    </w:lvl>
    <w:lvl w:ilvl="6" w:tentative="0">
      <w:start w:val="1"/>
      <w:numFmt w:val="decimal"/>
      <w:pStyle w:val="200"/>
      <w:suff w:val="nothing"/>
      <w:lvlText w:val=""/>
      <w:lvlJc w:val="left"/>
      <w:pPr>
        <w:ind w:left="0" w:firstLine="0"/>
      </w:pPr>
      <w:rPr>
        <w:rFonts w:hint="eastAsia"/>
      </w:rPr>
    </w:lvl>
    <w:lvl w:ilvl="7" w:tentative="0">
      <w:start w:val="1"/>
      <w:numFmt w:val="decimal"/>
      <w:pStyle w:val="201"/>
      <w:suff w:val="nothing"/>
      <w:lvlText w:val=""/>
      <w:lvlJc w:val="left"/>
      <w:pPr>
        <w:ind w:left="0" w:firstLine="0"/>
      </w:pPr>
      <w:rPr>
        <w:rFonts w:hint="eastAsia"/>
      </w:rPr>
    </w:lvl>
    <w:lvl w:ilvl="8" w:tentative="0">
      <w:start w:val="1"/>
      <w:numFmt w:val="decimal"/>
      <w:pStyle w:val="202"/>
      <w:suff w:val="nothing"/>
      <w:lvlText w:val=""/>
      <w:lvlJc w:val="left"/>
      <w:pPr>
        <w:ind w:left="0" w:firstLine="0"/>
      </w:pPr>
      <w:rPr>
        <w:rFonts w:hint="eastAsia"/>
      </w:rPr>
    </w:lvl>
  </w:abstractNum>
  <w:abstractNum w:abstractNumId="6">
    <w:nsid w:val="08AB285A"/>
    <w:multiLevelType w:val="multilevel"/>
    <w:tmpl w:val="08AB285A"/>
    <w:lvl w:ilvl="0" w:tentative="0">
      <w:start w:val="2"/>
      <w:numFmt w:val="decimal"/>
      <w:lvlText w:val="%1、"/>
      <w:lvlJc w:val="left"/>
      <w:pPr>
        <w:tabs>
          <w:tab w:val="left" w:pos="840"/>
        </w:tabs>
        <w:ind w:left="840" w:hanging="360"/>
      </w:p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7">
    <w:nsid w:val="23CA3DFE"/>
    <w:multiLevelType w:val="singleLevel"/>
    <w:tmpl w:val="23CA3DFE"/>
    <w:lvl w:ilvl="0" w:tentative="0">
      <w:start w:val="1"/>
      <w:numFmt w:val="decimal"/>
      <w:lvlText w:val="%1、"/>
      <w:lvlJc w:val="left"/>
      <w:pPr>
        <w:tabs>
          <w:tab w:val="left" w:pos="480"/>
        </w:tabs>
        <w:ind w:left="480" w:hanging="480"/>
      </w:pPr>
    </w:lvl>
  </w:abstractNum>
  <w:abstractNum w:abstractNumId="8">
    <w:nsid w:val="473A1362"/>
    <w:multiLevelType w:val="multilevel"/>
    <w:tmpl w:val="473A1362"/>
    <w:lvl w:ilvl="0" w:tentative="0">
      <w:start w:val="1"/>
      <w:numFmt w:val="chineseCounting"/>
      <w:suff w:val="space"/>
      <w:lvlText w:val="第%1条"/>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564C1668"/>
    <w:multiLevelType w:val="singleLevel"/>
    <w:tmpl w:val="564C1668"/>
    <w:lvl w:ilvl="0" w:tentative="0">
      <w:start w:val="1"/>
      <w:numFmt w:val="decimal"/>
      <w:lvlText w:val="%1."/>
      <w:lvlJc w:val="left"/>
      <w:pPr>
        <w:tabs>
          <w:tab w:val="left" w:pos="312"/>
        </w:tabs>
      </w:pPr>
    </w:lvl>
  </w:abstractNum>
  <w:abstractNum w:abstractNumId="10">
    <w:nsid w:val="59ADCABA"/>
    <w:multiLevelType w:val="multilevel"/>
    <w:tmpl w:val="59ADCABA"/>
    <w:lvl w:ilvl="0" w:tentative="0">
      <w:start w:val="1"/>
      <w:numFmt w:val="decimal"/>
      <w:pStyle w:val="272"/>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1">
    <w:nsid w:val="5F6CFEF5"/>
    <w:multiLevelType w:val="multilevel"/>
    <w:tmpl w:val="5F6CFEF5"/>
    <w:lvl w:ilvl="0" w:tentative="0">
      <w:start w:val="2"/>
      <w:numFmt w:val="decimal"/>
      <w:suff w:val="nothing"/>
      <w:lvlText w:val="%1、"/>
      <w:lvlJc w:val="left"/>
      <w:pPr>
        <w:ind w:left="0" w:firstLine="0"/>
      </w:pPr>
      <w:rPr>
        <w:rFonts w:hint="eastAsia" w:ascii="宋体" w:hAnsi="宋体" w:eastAsia="宋体" w:cs="宋体"/>
      </w:rPr>
    </w:lvl>
    <w:lvl w:ilvl="1" w:tentative="0">
      <w:start w:val="1"/>
      <w:numFmt w:val="bullet"/>
      <w:lvlText w:val=""/>
      <w:lvlJc w:val="left"/>
      <w:pPr>
        <w:ind w:left="1905" w:hanging="420"/>
      </w:pPr>
      <w:rPr>
        <w:rFonts w:hint="default" w:ascii="Wingdings" w:hAnsi="Wingdings" w:cs="Wingdings"/>
      </w:rPr>
    </w:lvl>
    <w:lvl w:ilvl="2" w:tentative="0">
      <w:start w:val="1"/>
      <w:numFmt w:val="bullet"/>
      <w:lvlText w:val=""/>
      <w:lvlJc w:val="left"/>
      <w:pPr>
        <w:ind w:left="2325" w:hanging="420"/>
      </w:pPr>
      <w:rPr>
        <w:rFonts w:hint="default" w:ascii="Wingdings" w:hAnsi="Wingdings" w:cs="Wingdings"/>
      </w:rPr>
    </w:lvl>
    <w:lvl w:ilvl="3" w:tentative="0">
      <w:start w:val="1"/>
      <w:numFmt w:val="bullet"/>
      <w:lvlText w:val=""/>
      <w:lvlJc w:val="left"/>
      <w:pPr>
        <w:ind w:left="2745" w:hanging="420"/>
      </w:pPr>
      <w:rPr>
        <w:rFonts w:hint="default" w:ascii="Wingdings" w:hAnsi="Wingdings" w:cs="Wingdings"/>
      </w:rPr>
    </w:lvl>
    <w:lvl w:ilvl="4" w:tentative="0">
      <w:start w:val="1"/>
      <w:numFmt w:val="bullet"/>
      <w:lvlText w:val=""/>
      <w:lvlJc w:val="left"/>
      <w:pPr>
        <w:ind w:left="3165" w:hanging="420"/>
      </w:pPr>
      <w:rPr>
        <w:rFonts w:hint="default" w:ascii="Wingdings" w:hAnsi="Wingdings" w:cs="Wingdings"/>
      </w:rPr>
    </w:lvl>
    <w:lvl w:ilvl="5" w:tentative="0">
      <w:start w:val="1"/>
      <w:numFmt w:val="bullet"/>
      <w:lvlText w:val=""/>
      <w:lvlJc w:val="left"/>
      <w:pPr>
        <w:ind w:left="3585" w:hanging="420"/>
      </w:pPr>
      <w:rPr>
        <w:rFonts w:hint="default" w:ascii="Wingdings" w:hAnsi="Wingdings" w:cs="Wingdings"/>
      </w:rPr>
    </w:lvl>
    <w:lvl w:ilvl="6" w:tentative="0">
      <w:start w:val="1"/>
      <w:numFmt w:val="bullet"/>
      <w:lvlText w:val=""/>
      <w:lvlJc w:val="left"/>
      <w:pPr>
        <w:ind w:left="4005" w:hanging="420"/>
      </w:pPr>
      <w:rPr>
        <w:rFonts w:hint="default" w:ascii="Wingdings" w:hAnsi="Wingdings" w:cs="Wingdings"/>
      </w:rPr>
    </w:lvl>
    <w:lvl w:ilvl="7" w:tentative="0">
      <w:start w:val="1"/>
      <w:numFmt w:val="bullet"/>
      <w:lvlText w:val=""/>
      <w:lvlJc w:val="left"/>
      <w:pPr>
        <w:ind w:left="4425" w:hanging="420"/>
      </w:pPr>
      <w:rPr>
        <w:rFonts w:hint="default" w:ascii="Wingdings" w:hAnsi="Wingdings" w:cs="Wingdings"/>
      </w:rPr>
    </w:lvl>
    <w:lvl w:ilvl="8" w:tentative="0">
      <w:start w:val="1"/>
      <w:numFmt w:val="bullet"/>
      <w:lvlText w:val=""/>
      <w:lvlJc w:val="left"/>
      <w:pPr>
        <w:ind w:left="4845" w:hanging="420"/>
      </w:pPr>
      <w:rPr>
        <w:rFonts w:hint="default" w:ascii="Wingdings" w:hAnsi="Wingdings" w:cs="Wingdings"/>
      </w:rPr>
    </w:lvl>
  </w:abstractNum>
  <w:num w:numId="1">
    <w:abstractNumId w:val="5"/>
  </w:num>
  <w:num w:numId="2">
    <w:abstractNumId w:val="4"/>
  </w:num>
  <w:num w:numId="3">
    <w:abstractNumId w:val="10"/>
  </w:num>
  <w:num w:numId="4">
    <w:abstractNumId w:val="2"/>
  </w:num>
  <w:num w:numId="5">
    <w:abstractNumId w:val="0"/>
  </w:num>
  <w:num w:numId="6">
    <w:abstractNumId w:val="8"/>
  </w:num>
  <w:num w:numId="7">
    <w:abstractNumId w:val="3"/>
  </w:num>
  <w:num w:numId="8">
    <w:abstractNumId w:val="11"/>
  </w:num>
  <w:num w:numId="9">
    <w:abstractNumId w:val="9"/>
  </w:num>
  <w:num w:numId="10">
    <w:abstractNumId w:val="7"/>
  </w:num>
  <w:num w:numId="11">
    <w:abstractNumId w:val="1"/>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5"/>
  <w:displayHorizontalDrawingGridEvery w:val="1"/>
  <w:displayVerticalDrawingGridEvery w:val="1"/>
  <w:noPunctuationKerning w:val="1"/>
  <w:characterSpacingControl w:val="doNotCompress"/>
  <w:compat>
    <w:balanceSingleByteDoubleByteWidth/>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ZkMTY2OWVkY2JiOWRlODQ4NTAzNmFlZDM3MzEwNjAifQ=="/>
  </w:docVars>
  <w:rsids>
    <w:rsidRoot w:val="00000000"/>
    <w:rsid w:val="04FB5660"/>
    <w:rsid w:val="06006D63"/>
    <w:rsid w:val="06111F74"/>
    <w:rsid w:val="07D14BCB"/>
    <w:rsid w:val="0E7819CB"/>
    <w:rsid w:val="0F31254D"/>
    <w:rsid w:val="0F732894"/>
    <w:rsid w:val="0FC05753"/>
    <w:rsid w:val="13451022"/>
    <w:rsid w:val="17A72E88"/>
    <w:rsid w:val="19D1182C"/>
    <w:rsid w:val="24AF5BC4"/>
    <w:rsid w:val="282D6FC7"/>
    <w:rsid w:val="2C9A3E89"/>
    <w:rsid w:val="2E1D3655"/>
    <w:rsid w:val="34C0375F"/>
    <w:rsid w:val="36AA531C"/>
    <w:rsid w:val="3DEC0D30"/>
    <w:rsid w:val="411C2F55"/>
    <w:rsid w:val="46044F07"/>
    <w:rsid w:val="489000A8"/>
    <w:rsid w:val="4A33319B"/>
    <w:rsid w:val="4C97407F"/>
    <w:rsid w:val="4E354915"/>
    <w:rsid w:val="4EB53E18"/>
    <w:rsid w:val="51037E7B"/>
    <w:rsid w:val="53AD7110"/>
    <w:rsid w:val="56775312"/>
    <w:rsid w:val="56A31A45"/>
    <w:rsid w:val="572B151F"/>
    <w:rsid w:val="5B09139C"/>
    <w:rsid w:val="5E867E5E"/>
    <w:rsid w:val="5F033028"/>
    <w:rsid w:val="61530950"/>
    <w:rsid w:val="62796BFA"/>
    <w:rsid w:val="63577E08"/>
    <w:rsid w:val="68710729"/>
    <w:rsid w:val="69973C49"/>
    <w:rsid w:val="6DA10D9F"/>
    <w:rsid w:val="739D261F"/>
    <w:rsid w:val="7545028A"/>
    <w:rsid w:val="7B716979"/>
    <w:rsid w:val="7BC323FF"/>
    <w:rsid w:val="7C0248E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qFormat="1" w:uiPriority="99"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qFormat="1"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99"/>
    <w:autoRedefine/>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5">
    <w:name w:val="heading 1"/>
    <w:basedOn w:val="1"/>
    <w:next w:val="1"/>
    <w:link w:val="46"/>
    <w:autoRedefine/>
    <w:qFormat/>
    <w:uiPriority w:val="9"/>
    <w:pPr>
      <w:keepNext/>
      <w:keepLines/>
      <w:spacing w:before="480" w:after="200"/>
      <w:outlineLvl w:val="0"/>
    </w:pPr>
    <w:rPr>
      <w:rFonts w:ascii="Arial" w:hAnsi="Arial" w:eastAsia="Arial" w:cs="Arial"/>
      <w:sz w:val="40"/>
      <w:szCs w:val="40"/>
    </w:rPr>
  </w:style>
  <w:style w:type="paragraph" w:styleId="6">
    <w:name w:val="heading 2"/>
    <w:basedOn w:val="1"/>
    <w:next w:val="7"/>
    <w:link w:val="47"/>
    <w:autoRedefine/>
    <w:unhideWhenUsed/>
    <w:qFormat/>
    <w:uiPriority w:val="9"/>
    <w:pPr>
      <w:keepNext/>
      <w:keepLines/>
      <w:spacing w:before="360" w:after="200"/>
      <w:outlineLvl w:val="1"/>
    </w:pPr>
    <w:rPr>
      <w:rFonts w:ascii="Arial" w:hAnsi="Arial" w:eastAsia="Arial" w:cs="Arial"/>
      <w:sz w:val="34"/>
    </w:rPr>
  </w:style>
  <w:style w:type="paragraph" w:styleId="8">
    <w:name w:val="heading 3"/>
    <w:basedOn w:val="1"/>
    <w:next w:val="1"/>
    <w:link w:val="48"/>
    <w:autoRedefine/>
    <w:unhideWhenUsed/>
    <w:qFormat/>
    <w:uiPriority w:val="9"/>
    <w:pPr>
      <w:keepNext/>
      <w:keepLines/>
      <w:spacing w:before="320" w:after="200"/>
      <w:outlineLvl w:val="2"/>
    </w:pPr>
    <w:rPr>
      <w:rFonts w:ascii="Arial" w:hAnsi="Arial" w:eastAsia="Arial" w:cs="Arial"/>
      <w:sz w:val="30"/>
      <w:szCs w:val="30"/>
    </w:rPr>
  </w:style>
  <w:style w:type="paragraph" w:styleId="9">
    <w:name w:val="heading 4"/>
    <w:basedOn w:val="1"/>
    <w:next w:val="7"/>
    <w:link w:val="49"/>
    <w:autoRedefine/>
    <w:unhideWhenUsed/>
    <w:qFormat/>
    <w:uiPriority w:val="9"/>
    <w:pPr>
      <w:keepNext/>
      <w:keepLines/>
      <w:spacing w:before="320" w:after="200"/>
      <w:outlineLvl w:val="3"/>
    </w:pPr>
    <w:rPr>
      <w:rFonts w:ascii="Arial" w:hAnsi="Arial" w:eastAsia="Arial" w:cs="Arial"/>
      <w:b/>
      <w:bCs/>
      <w:sz w:val="26"/>
      <w:szCs w:val="26"/>
    </w:rPr>
  </w:style>
  <w:style w:type="paragraph" w:styleId="10">
    <w:name w:val="heading 5"/>
    <w:basedOn w:val="1"/>
    <w:next w:val="1"/>
    <w:link w:val="50"/>
    <w:autoRedefine/>
    <w:unhideWhenUsed/>
    <w:qFormat/>
    <w:uiPriority w:val="9"/>
    <w:pPr>
      <w:keepNext/>
      <w:keepLines/>
      <w:spacing w:before="320" w:after="200"/>
      <w:outlineLvl w:val="4"/>
    </w:pPr>
    <w:rPr>
      <w:rFonts w:ascii="Arial" w:hAnsi="Arial" w:eastAsia="Arial" w:cs="Arial"/>
      <w:b/>
      <w:bCs/>
      <w:sz w:val="24"/>
      <w:szCs w:val="24"/>
    </w:rPr>
  </w:style>
  <w:style w:type="paragraph" w:styleId="11">
    <w:name w:val="heading 6"/>
    <w:basedOn w:val="1"/>
    <w:next w:val="1"/>
    <w:link w:val="51"/>
    <w:autoRedefine/>
    <w:unhideWhenUsed/>
    <w:qFormat/>
    <w:uiPriority w:val="9"/>
    <w:pPr>
      <w:keepNext/>
      <w:keepLines/>
      <w:spacing w:before="320" w:after="200"/>
      <w:outlineLvl w:val="5"/>
    </w:pPr>
    <w:rPr>
      <w:rFonts w:ascii="Arial" w:hAnsi="Arial" w:eastAsia="Arial" w:cs="Arial"/>
      <w:b/>
      <w:bCs/>
      <w:sz w:val="22"/>
      <w:szCs w:val="22"/>
    </w:rPr>
  </w:style>
  <w:style w:type="paragraph" w:styleId="12">
    <w:name w:val="heading 7"/>
    <w:basedOn w:val="1"/>
    <w:next w:val="1"/>
    <w:link w:val="52"/>
    <w:autoRedefine/>
    <w:unhideWhenUsed/>
    <w:qFormat/>
    <w:uiPriority w:val="9"/>
    <w:pPr>
      <w:keepNext/>
      <w:keepLines/>
      <w:spacing w:before="320" w:after="200"/>
      <w:outlineLvl w:val="6"/>
    </w:pPr>
    <w:rPr>
      <w:rFonts w:ascii="Arial" w:hAnsi="Arial" w:eastAsia="Arial" w:cs="Arial"/>
      <w:b/>
      <w:bCs/>
      <w:i/>
      <w:iCs/>
      <w:sz w:val="22"/>
      <w:szCs w:val="22"/>
    </w:rPr>
  </w:style>
  <w:style w:type="paragraph" w:styleId="13">
    <w:name w:val="heading 8"/>
    <w:basedOn w:val="1"/>
    <w:next w:val="1"/>
    <w:link w:val="53"/>
    <w:autoRedefine/>
    <w:unhideWhenUsed/>
    <w:qFormat/>
    <w:uiPriority w:val="9"/>
    <w:pPr>
      <w:keepNext/>
      <w:keepLines/>
      <w:spacing w:before="320" w:after="200"/>
      <w:outlineLvl w:val="7"/>
    </w:pPr>
    <w:rPr>
      <w:rFonts w:ascii="Arial" w:hAnsi="Arial" w:eastAsia="Arial" w:cs="Arial"/>
      <w:i/>
      <w:iCs/>
      <w:sz w:val="22"/>
      <w:szCs w:val="22"/>
    </w:rPr>
  </w:style>
  <w:style w:type="paragraph" w:styleId="14">
    <w:name w:val="heading 9"/>
    <w:basedOn w:val="1"/>
    <w:next w:val="1"/>
    <w:link w:val="54"/>
    <w:autoRedefine/>
    <w:unhideWhenUsed/>
    <w:qFormat/>
    <w:uiPriority w:val="9"/>
    <w:pPr>
      <w:keepNext/>
      <w:keepLines/>
      <w:spacing w:before="320" w:after="200"/>
      <w:outlineLvl w:val="8"/>
    </w:pPr>
    <w:rPr>
      <w:rFonts w:ascii="Arial" w:hAnsi="Arial" w:eastAsia="Arial" w:cs="Arial"/>
      <w:i/>
      <w:iCs/>
      <w:sz w:val="21"/>
      <w:szCs w:val="21"/>
    </w:rPr>
  </w:style>
  <w:style w:type="character" w:default="1" w:styleId="40">
    <w:name w:val="Default Paragraph Font"/>
    <w:autoRedefine/>
    <w:semiHidden/>
    <w:unhideWhenUsed/>
    <w:qFormat/>
    <w:uiPriority w:val="1"/>
  </w:style>
  <w:style w:type="table" w:default="1" w:styleId="38">
    <w:name w:val="Normal Table"/>
    <w:autoRedefine/>
    <w:semiHidden/>
    <w:unhideWhenUsed/>
    <w:qFormat/>
    <w:uiPriority w:val="99"/>
    <w:tblPr>
      <w:tblCellMar>
        <w:top w:w="0" w:type="dxa"/>
        <w:left w:w="108" w:type="dxa"/>
        <w:bottom w:w="0" w:type="dxa"/>
        <w:right w:w="108" w:type="dxa"/>
      </w:tblCellMar>
    </w:tblPr>
  </w:style>
  <w:style w:type="paragraph" w:styleId="2">
    <w:name w:val="Body Text First Indent"/>
    <w:basedOn w:val="3"/>
    <w:next w:val="4"/>
    <w:unhideWhenUsed/>
    <w:qFormat/>
    <w:uiPriority w:val="99"/>
    <w:pPr>
      <w:ind w:firstLine="420" w:firstLineChars="100"/>
    </w:pPr>
  </w:style>
  <w:style w:type="paragraph" w:styleId="3">
    <w:name w:val="Body Text"/>
    <w:basedOn w:val="1"/>
    <w:next w:val="1"/>
    <w:qFormat/>
    <w:uiPriority w:val="0"/>
    <w:rPr>
      <w:rFonts w:ascii="楷体_GB2312" w:hAnsi="Arial" w:eastAsia="楷体_GB2312"/>
      <w:sz w:val="28"/>
      <w:szCs w:val="28"/>
    </w:rPr>
  </w:style>
  <w:style w:type="paragraph" w:styleId="4">
    <w:name w:val="toc 6"/>
    <w:basedOn w:val="1"/>
    <w:next w:val="1"/>
    <w:autoRedefine/>
    <w:unhideWhenUsed/>
    <w:qFormat/>
    <w:uiPriority w:val="39"/>
    <w:pPr>
      <w:spacing w:after="57"/>
      <w:ind w:left="1417" w:right="0" w:firstLine="0"/>
    </w:pPr>
  </w:style>
  <w:style w:type="paragraph" w:styleId="7">
    <w:name w:val="Normal Indent"/>
    <w:basedOn w:val="1"/>
    <w:next w:val="1"/>
    <w:unhideWhenUsed/>
    <w:qFormat/>
    <w:uiPriority w:val="99"/>
    <w:pPr>
      <w:ind w:firstLine="420"/>
    </w:pPr>
  </w:style>
  <w:style w:type="paragraph" w:styleId="15">
    <w:name w:val="toc 7"/>
    <w:basedOn w:val="1"/>
    <w:next w:val="1"/>
    <w:autoRedefine/>
    <w:unhideWhenUsed/>
    <w:qFormat/>
    <w:uiPriority w:val="39"/>
    <w:pPr>
      <w:spacing w:after="57"/>
      <w:ind w:left="1701" w:right="0" w:firstLine="0"/>
    </w:pPr>
  </w:style>
  <w:style w:type="paragraph" w:styleId="16">
    <w:name w:val="caption"/>
    <w:basedOn w:val="1"/>
    <w:next w:val="1"/>
    <w:autoRedefine/>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7">
    <w:name w:val="Body Text Indent"/>
    <w:basedOn w:val="1"/>
    <w:next w:val="18"/>
    <w:qFormat/>
    <w:uiPriority w:val="0"/>
    <w:pPr>
      <w:spacing w:after="120"/>
      <w:ind w:left="420" w:leftChars="200"/>
    </w:pPr>
  </w:style>
  <w:style w:type="paragraph" w:styleId="18">
    <w:name w:val="envelope return"/>
    <w:basedOn w:val="1"/>
    <w:unhideWhenUsed/>
    <w:qFormat/>
    <w:uiPriority w:val="99"/>
    <w:pPr>
      <w:snapToGrid w:val="0"/>
    </w:pPr>
    <w:rPr>
      <w:rFonts w:ascii="Arial" w:hAnsi="Arial"/>
    </w:rPr>
  </w:style>
  <w:style w:type="paragraph" w:styleId="19">
    <w:name w:val="Block Text"/>
    <w:basedOn w:val="1"/>
    <w:next w:val="1"/>
    <w:unhideWhenUsed/>
    <w:qFormat/>
    <w:uiPriority w:val="0"/>
    <w:pPr>
      <w:spacing w:beforeLines="0" w:after="120" w:afterLines="0"/>
      <w:ind w:left="1440" w:leftChars="700" w:rightChars="700"/>
    </w:pPr>
    <w:rPr>
      <w:rFonts w:hint="eastAsia"/>
      <w:sz w:val="21"/>
    </w:rPr>
  </w:style>
  <w:style w:type="paragraph" w:styleId="20">
    <w:name w:val="toc 5"/>
    <w:basedOn w:val="1"/>
    <w:next w:val="1"/>
    <w:autoRedefine/>
    <w:unhideWhenUsed/>
    <w:qFormat/>
    <w:uiPriority w:val="39"/>
    <w:pPr>
      <w:spacing w:after="57"/>
      <w:ind w:left="1134" w:right="0" w:firstLine="0"/>
    </w:pPr>
  </w:style>
  <w:style w:type="paragraph" w:styleId="21">
    <w:name w:val="toc 3"/>
    <w:basedOn w:val="1"/>
    <w:next w:val="1"/>
    <w:autoRedefine/>
    <w:unhideWhenUsed/>
    <w:qFormat/>
    <w:uiPriority w:val="39"/>
    <w:pPr>
      <w:spacing w:after="57"/>
      <w:ind w:left="567" w:right="0" w:firstLine="0"/>
    </w:pPr>
  </w:style>
  <w:style w:type="paragraph" w:styleId="22">
    <w:name w:val="Plain Text"/>
    <w:basedOn w:val="1"/>
    <w:qFormat/>
    <w:uiPriority w:val="0"/>
    <w:rPr>
      <w:rFonts w:ascii="宋体" w:hAnsi="Courier New"/>
    </w:rPr>
  </w:style>
  <w:style w:type="paragraph" w:styleId="23">
    <w:name w:val="toc 8"/>
    <w:basedOn w:val="1"/>
    <w:next w:val="1"/>
    <w:autoRedefine/>
    <w:unhideWhenUsed/>
    <w:qFormat/>
    <w:uiPriority w:val="39"/>
    <w:pPr>
      <w:spacing w:after="57"/>
      <w:ind w:left="1984" w:right="0" w:firstLine="0"/>
    </w:pPr>
  </w:style>
  <w:style w:type="paragraph" w:styleId="24">
    <w:name w:val="Body Text Indent 2"/>
    <w:basedOn w:val="1"/>
    <w:qFormat/>
    <w:uiPriority w:val="0"/>
    <w:pPr>
      <w:spacing w:after="120" w:line="480" w:lineRule="auto"/>
      <w:ind w:left="420" w:leftChars="200"/>
    </w:pPr>
    <w:rPr>
      <w:rFonts w:ascii="Calibri" w:hAnsi="Calibri"/>
    </w:rPr>
  </w:style>
  <w:style w:type="paragraph" w:styleId="25">
    <w:name w:val="endnote text"/>
    <w:basedOn w:val="1"/>
    <w:link w:val="192"/>
    <w:autoRedefine/>
    <w:semiHidden/>
    <w:unhideWhenUsed/>
    <w:qFormat/>
    <w:uiPriority w:val="99"/>
    <w:pPr>
      <w:spacing w:after="0" w:line="240" w:lineRule="auto"/>
    </w:pPr>
    <w:rPr>
      <w:sz w:val="20"/>
    </w:rPr>
  </w:style>
  <w:style w:type="paragraph" w:styleId="26">
    <w:name w:val="footer"/>
    <w:basedOn w:val="1"/>
    <w:link w:val="65"/>
    <w:autoRedefine/>
    <w:unhideWhenUsed/>
    <w:qFormat/>
    <w:uiPriority w:val="99"/>
    <w:pPr>
      <w:tabs>
        <w:tab w:val="center" w:pos="7143"/>
        <w:tab w:val="right" w:pos="14287"/>
      </w:tabs>
      <w:spacing w:after="0" w:line="240" w:lineRule="auto"/>
    </w:pPr>
  </w:style>
  <w:style w:type="paragraph" w:styleId="27">
    <w:name w:val="header"/>
    <w:basedOn w:val="1"/>
    <w:link w:val="63"/>
    <w:autoRedefine/>
    <w:unhideWhenUsed/>
    <w:qFormat/>
    <w:uiPriority w:val="99"/>
    <w:pPr>
      <w:tabs>
        <w:tab w:val="center" w:pos="7143"/>
        <w:tab w:val="right" w:pos="14287"/>
      </w:tabs>
      <w:spacing w:after="0" w:line="240" w:lineRule="auto"/>
    </w:pPr>
  </w:style>
  <w:style w:type="paragraph" w:styleId="28">
    <w:name w:val="toc 1"/>
    <w:basedOn w:val="1"/>
    <w:next w:val="1"/>
    <w:autoRedefine/>
    <w:unhideWhenUsed/>
    <w:qFormat/>
    <w:uiPriority w:val="39"/>
    <w:pPr>
      <w:spacing w:after="57"/>
      <w:ind w:left="0" w:right="0" w:firstLine="0"/>
    </w:pPr>
  </w:style>
  <w:style w:type="paragraph" w:styleId="29">
    <w:name w:val="toc 4"/>
    <w:basedOn w:val="1"/>
    <w:next w:val="1"/>
    <w:autoRedefine/>
    <w:unhideWhenUsed/>
    <w:qFormat/>
    <w:uiPriority w:val="39"/>
    <w:pPr>
      <w:spacing w:after="57"/>
      <w:ind w:left="850" w:right="0" w:firstLine="0"/>
    </w:pPr>
  </w:style>
  <w:style w:type="paragraph" w:styleId="30">
    <w:name w:val="Subtitle"/>
    <w:basedOn w:val="1"/>
    <w:next w:val="1"/>
    <w:link w:val="58"/>
    <w:autoRedefine/>
    <w:qFormat/>
    <w:uiPriority w:val="11"/>
    <w:pPr>
      <w:spacing w:before="200" w:after="200"/>
    </w:pPr>
    <w:rPr>
      <w:sz w:val="24"/>
      <w:szCs w:val="24"/>
    </w:rPr>
  </w:style>
  <w:style w:type="paragraph" w:styleId="31">
    <w:name w:val="footnote text"/>
    <w:basedOn w:val="1"/>
    <w:link w:val="191"/>
    <w:autoRedefine/>
    <w:semiHidden/>
    <w:unhideWhenUsed/>
    <w:qFormat/>
    <w:uiPriority w:val="99"/>
    <w:pPr>
      <w:spacing w:after="40" w:line="240" w:lineRule="auto"/>
    </w:pPr>
    <w:rPr>
      <w:sz w:val="18"/>
    </w:rPr>
  </w:style>
  <w:style w:type="paragraph" w:styleId="32">
    <w:name w:val="table of figures"/>
    <w:basedOn w:val="1"/>
    <w:next w:val="1"/>
    <w:autoRedefine/>
    <w:unhideWhenUsed/>
    <w:qFormat/>
    <w:uiPriority w:val="99"/>
    <w:pPr>
      <w:spacing w:after="0" w:afterAutospacing="0"/>
    </w:pPr>
  </w:style>
  <w:style w:type="paragraph" w:styleId="33">
    <w:name w:val="toc 2"/>
    <w:basedOn w:val="1"/>
    <w:next w:val="1"/>
    <w:autoRedefine/>
    <w:unhideWhenUsed/>
    <w:qFormat/>
    <w:uiPriority w:val="39"/>
    <w:pPr>
      <w:spacing w:after="57"/>
      <w:ind w:left="283" w:right="0" w:firstLine="0"/>
    </w:pPr>
  </w:style>
  <w:style w:type="paragraph" w:styleId="34">
    <w:name w:val="toc 9"/>
    <w:basedOn w:val="1"/>
    <w:next w:val="1"/>
    <w:autoRedefine/>
    <w:unhideWhenUsed/>
    <w:qFormat/>
    <w:uiPriority w:val="39"/>
    <w:pPr>
      <w:spacing w:after="57"/>
      <w:ind w:left="2268" w:right="0" w:firstLine="0"/>
    </w:pPr>
  </w:style>
  <w:style w:type="paragraph" w:styleId="35">
    <w:name w:val="Normal (Web)"/>
    <w:basedOn w:val="1"/>
    <w:autoRedefine/>
    <w:qFormat/>
    <w:uiPriority w:val="0"/>
    <w:pPr>
      <w:widowControl/>
      <w:jc w:val="left"/>
    </w:pPr>
    <w:rPr>
      <w:rFonts w:ascii="宋体" w:cs="宋体"/>
      <w:kern w:val="0"/>
      <w:sz w:val="24"/>
      <w:lang w:bidi="ar-SA"/>
    </w:rPr>
  </w:style>
  <w:style w:type="paragraph" w:styleId="36">
    <w:name w:val="Title"/>
    <w:basedOn w:val="1"/>
    <w:next w:val="1"/>
    <w:link w:val="57"/>
    <w:autoRedefine/>
    <w:qFormat/>
    <w:uiPriority w:val="10"/>
    <w:pPr>
      <w:spacing w:before="300" w:after="200"/>
      <w:contextualSpacing/>
    </w:pPr>
    <w:rPr>
      <w:sz w:val="48"/>
      <w:szCs w:val="48"/>
    </w:rPr>
  </w:style>
  <w:style w:type="paragraph" w:styleId="37">
    <w:name w:val="Body Text First Indent 2"/>
    <w:basedOn w:val="17"/>
    <w:unhideWhenUsed/>
    <w:qFormat/>
    <w:uiPriority w:val="99"/>
    <w:pPr>
      <w:ind w:firstLine="200" w:firstLineChars="200"/>
    </w:pPr>
  </w:style>
  <w:style w:type="table" w:styleId="39">
    <w:name w:val="Table Grid"/>
    <w:autoRedefine/>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endnote reference"/>
    <w:autoRedefine/>
    <w:semiHidden/>
    <w:unhideWhenUsed/>
    <w:qFormat/>
    <w:uiPriority w:val="99"/>
    <w:rPr>
      <w:vertAlign w:val="superscript"/>
    </w:rPr>
  </w:style>
  <w:style w:type="character" w:styleId="42">
    <w:name w:val="Hyperlink"/>
    <w:autoRedefine/>
    <w:unhideWhenUsed/>
    <w:qFormat/>
    <w:uiPriority w:val="99"/>
    <w:rPr>
      <w:color w:val="0000FF" w:themeColor="hyperlink"/>
      <w:u w:val="single"/>
      <w14:textFill>
        <w14:solidFill>
          <w14:schemeClr w14:val="hlink"/>
        </w14:solidFill>
      </w14:textFill>
    </w:rPr>
  </w:style>
  <w:style w:type="character" w:styleId="43">
    <w:name w:val="footnote reference"/>
    <w:autoRedefine/>
    <w:unhideWhenUsed/>
    <w:qFormat/>
    <w:uiPriority w:val="99"/>
    <w:rPr>
      <w:vertAlign w:val="superscript"/>
    </w:rPr>
  </w:style>
  <w:style w:type="paragraph" w:customStyle="1" w:styleId="44">
    <w:name w:val="首行缩进"/>
    <w:autoRedefine/>
    <w:qFormat/>
    <w:uiPriority w:val="0"/>
    <w:pPr>
      <w:widowControl w:val="0"/>
      <w:ind w:firstLine="480"/>
      <w:jc w:val="both"/>
    </w:pPr>
    <w:rPr>
      <w:rFonts w:hint="default" w:ascii="Times New Roman" w:hAnsi="Times New Roman" w:eastAsia="宋体" w:cs="Times New Roman"/>
      <w:sz w:val="21"/>
      <w:lang w:val="zh-CN" w:eastAsia="zh-CN" w:bidi="ar-SA"/>
    </w:rPr>
  </w:style>
  <w:style w:type="paragraph" w:customStyle="1" w:styleId="45">
    <w:name w:val="正文缩进1"/>
    <w:basedOn w:val="1"/>
    <w:next w:val="1"/>
    <w:link w:val="205"/>
    <w:autoRedefine/>
    <w:qFormat/>
    <w:uiPriority w:val="0"/>
    <w:pPr>
      <w:ind w:firstLine="420"/>
    </w:pPr>
  </w:style>
  <w:style w:type="character" w:customStyle="1" w:styleId="46">
    <w:name w:val="Heading 1 Char"/>
    <w:link w:val="5"/>
    <w:autoRedefine/>
    <w:qFormat/>
    <w:uiPriority w:val="9"/>
    <w:rPr>
      <w:rFonts w:ascii="Arial" w:hAnsi="Arial" w:eastAsia="Arial" w:cs="Arial"/>
      <w:sz w:val="40"/>
      <w:szCs w:val="40"/>
    </w:rPr>
  </w:style>
  <w:style w:type="character" w:customStyle="1" w:styleId="47">
    <w:name w:val="Heading 2 Char"/>
    <w:link w:val="6"/>
    <w:autoRedefine/>
    <w:qFormat/>
    <w:uiPriority w:val="9"/>
    <w:rPr>
      <w:rFonts w:ascii="Arial" w:hAnsi="Arial" w:eastAsia="Arial" w:cs="Arial"/>
      <w:sz w:val="34"/>
    </w:rPr>
  </w:style>
  <w:style w:type="character" w:customStyle="1" w:styleId="48">
    <w:name w:val="Heading 3 Char"/>
    <w:link w:val="8"/>
    <w:autoRedefine/>
    <w:qFormat/>
    <w:uiPriority w:val="9"/>
    <w:rPr>
      <w:rFonts w:ascii="Arial" w:hAnsi="Arial" w:eastAsia="Arial" w:cs="Arial"/>
      <w:sz w:val="30"/>
      <w:szCs w:val="30"/>
    </w:rPr>
  </w:style>
  <w:style w:type="character" w:customStyle="1" w:styleId="49">
    <w:name w:val="Heading 4 Char"/>
    <w:link w:val="9"/>
    <w:autoRedefine/>
    <w:qFormat/>
    <w:uiPriority w:val="9"/>
    <w:rPr>
      <w:rFonts w:ascii="Arial" w:hAnsi="Arial" w:eastAsia="Arial" w:cs="Arial"/>
      <w:b/>
      <w:bCs/>
      <w:sz w:val="26"/>
      <w:szCs w:val="26"/>
    </w:rPr>
  </w:style>
  <w:style w:type="character" w:customStyle="1" w:styleId="50">
    <w:name w:val="Heading 5 Char"/>
    <w:link w:val="10"/>
    <w:autoRedefine/>
    <w:qFormat/>
    <w:uiPriority w:val="9"/>
    <w:rPr>
      <w:rFonts w:ascii="Arial" w:hAnsi="Arial" w:eastAsia="Arial" w:cs="Arial"/>
      <w:b/>
      <w:bCs/>
      <w:sz w:val="24"/>
      <w:szCs w:val="24"/>
    </w:rPr>
  </w:style>
  <w:style w:type="character" w:customStyle="1" w:styleId="51">
    <w:name w:val="Heading 6 Char"/>
    <w:link w:val="11"/>
    <w:autoRedefine/>
    <w:qFormat/>
    <w:uiPriority w:val="9"/>
    <w:rPr>
      <w:rFonts w:ascii="Arial" w:hAnsi="Arial" w:eastAsia="Arial" w:cs="Arial"/>
      <w:b/>
      <w:bCs/>
      <w:sz w:val="22"/>
      <w:szCs w:val="22"/>
    </w:rPr>
  </w:style>
  <w:style w:type="character" w:customStyle="1" w:styleId="52">
    <w:name w:val="Heading 7 Char"/>
    <w:link w:val="12"/>
    <w:autoRedefine/>
    <w:qFormat/>
    <w:uiPriority w:val="9"/>
    <w:rPr>
      <w:rFonts w:ascii="Arial" w:hAnsi="Arial" w:eastAsia="Arial" w:cs="Arial"/>
      <w:b/>
      <w:bCs/>
      <w:i/>
      <w:iCs/>
      <w:sz w:val="22"/>
      <w:szCs w:val="22"/>
    </w:rPr>
  </w:style>
  <w:style w:type="character" w:customStyle="1" w:styleId="53">
    <w:name w:val="Heading 8 Char"/>
    <w:link w:val="13"/>
    <w:autoRedefine/>
    <w:qFormat/>
    <w:uiPriority w:val="9"/>
    <w:rPr>
      <w:rFonts w:ascii="Arial" w:hAnsi="Arial" w:eastAsia="Arial" w:cs="Arial"/>
      <w:i/>
      <w:iCs/>
      <w:sz w:val="22"/>
      <w:szCs w:val="22"/>
    </w:rPr>
  </w:style>
  <w:style w:type="character" w:customStyle="1" w:styleId="54">
    <w:name w:val="Heading 9 Char"/>
    <w:link w:val="14"/>
    <w:autoRedefine/>
    <w:qFormat/>
    <w:uiPriority w:val="9"/>
    <w:rPr>
      <w:rFonts w:ascii="Arial" w:hAnsi="Arial" w:eastAsia="Arial" w:cs="Arial"/>
      <w:i/>
      <w:iCs/>
      <w:sz w:val="21"/>
      <w:szCs w:val="21"/>
    </w:rPr>
  </w:style>
  <w:style w:type="paragraph" w:styleId="55">
    <w:name w:val="List Paragraph"/>
    <w:basedOn w:val="1"/>
    <w:autoRedefine/>
    <w:qFormat/>
    <w:uiPriority w:val="34"/>
    <w:pPr>
      <w:ind w:left="720"/>
      <w:contextualSpacing/>
    </w:pPr>
  </w:style>
  <w:style w:type="paragraph" w:styleId="56">
    <w:name w:val="No Spacing"/>
    <w:autoRedefine/>
    <w:qFormat/>
    <w:uiPriority w:val="1"/>
    <w:pPr>
      <w:spacing w:before="0" w:after="0" w:line="240" w:lineRule="auto"/>
    </w:pPr>
    <w:rPr>
      <w:rFonts w:hint="default" w:ascii="Times New Roman" w:hAnsi="Times New Roman" w:eastAsia="宋体" w:cs="Times New Roman"/>
    </w:rPr>
  </w:style>
  <w:style w:type="character" w:customStyle="1" w:styleId="57">
    <w:name w:val="Title Char"/>
    <w:link w:val="36"/>
    <w:autoRedefine/>
    <w:qFormat/>
    <w:uiPriority w:val="10"/>
    <w:rPr>
      <w:sz w:val="48"/>
      <w:szCs w:val="48"/>
    </w:rPr>
  </w:style>
  <w:style w:type="character" w:customStyle="1" w:styleId="58">
    <w:name w:val="Subtitle Char"/>
    <w:link w:val="30"/>
    <w:autoRedefine/>
    <w:qFormat/>
    <w:uiPriority w:val="11"/>
    <w:rPr>
      <w:sz w:val="24"/>
      <w:szCs w:val="24"/>
    </w:rPr>
  </w:style>
  <w:style w:type="paragraph" w:styleId="59">
    <w:name w:val="Quote"/>
    <w:basedOn w:val="1"/>
    <w:next w:val="1"/>
    <w:link w:val="60"/>
    <w:autoRedefine/>
    <w:qFormat/>
    <w:uiPriority w:val="29"/>
    <w:pPr>
      <w:ind w:left="720" w:right="720"/>
    </w:pPr>
    <w:rPr>
      <w:i/>
    </w:rPr>
  </w:style>
  <w:style w:type="character" w:customStyle="1" w:styleId="60">
    <w:name w:val="Quote Char"/>
    <w:link w:val="59"/>
    <w:autoRedefine/>
    <w:qFormat/>
    <w:uiPriority w:val="29"/>
    <w:rPr>
      <w:i/>
    </w:rPr>
  </w:style>
  <w:style w:type="paragraph" w:styleId="61">
    <w:name w:val="Intense Quote"/>
    <w:basedOn w:val="1"/>
    <w:next w:val="1"/>
    <w:link w:val="62"/>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2">
    <w:name w:val="Intense Quote Char"/>
    <w:link w:val="61"/>
    <w:autoRedefine/>
    <w:qFormat/>
    <w:uiPriority w:val="30"/>
    <w:rPr>
      <w:i/>
    </w:rPr>
  </w:style>
  <w:style w:type="character" w:customStyle="1" w:styleId="63">
    <w:name w:val="Header Char"/>
    <w:link w:val="27"/>
    <w:autoRedefine/>
    <w:qFormat/>
    <w:uiPriority w:val="99"/>
  </w:style>
  <w:style w:type="character" w:customStyle="1" w:styleId="64">
    <w:name w:val="Footer Char"/>
    <w:link w:val="26"/>
    <w:autoRedefine/>
    <w:qFormat/>
    <w:uiPriority w:val="99"/>
  </w:style>
  <w:style w:type="character" w:customStyle="1" w:styleId="65">
    <w:name w:val="Caption Char"/>
    <w:link w:val="26"/>
    <w:autoRedefine/>
    <w:qFormat/>
    <w:uiPriority w:val="99"/>
  </w:style>
  <w:style w:type="table" w:customStyle="1" w:styleId="66">
    <w:name w:val="Table Grid Light"/>
    <w:autoRedefine/>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7">
    <w:name w:val="Plain Table 1"/>
    <w:autoRedefine/>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8">
    <w:name w:val="Plain Table 2"/>
    <w:autoRedefine/>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9">
    <w:name w:val="Plain Table 3"/>
    <w:autoRedefine/>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4"/>
    <w:autoRedefine/>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Plain Table 5"/>
    <w:autoRedefine/>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Grid Table 1 Light"/>
    <w:autoRedefine/>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3">
    <w:name w:val="Grid Table 1 Light - Accent 1"/>
    <w:autoRedefine/>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4">
    <w:name w:val="Grid Table 1 Light - Accent 2"/>
    <w:autoRedefine/>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5">
    <w:name w:val="Grid Table 1 Light - Accent 3"/>
    <w:autoRedefine/>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6">
    <w:name w:val="Grid Table 1 Light - Accent 4"/>
    <w:autoRedefine/>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7">
    <w:name w:val="Grid Table 1 Light - Accent 5"/>
    <w:autoRedefine/>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8">
    <w:name w:val="Grid Table 1 Light - Accent 6"/>
    <w:autoRedefine/>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9">
    <w:name w:val="Grid Table 2"/>
    <w:autoRedefine/>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2 - Accent 1"/>
    <w:autoRedefine/>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1">
    <w:name w:val="Grid Table 2 - Accent 2"/>
    <w:autoRedefine/>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2">
    <w:name w:val="Grid Table 2 - Accent 3"/>
    <w:autoRedefine/>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3">
    <w:name w:val="Grid Table 2 - Accent 4"/>
    <w:autoRedefine/>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4">
    <w:name w:val="Grid Table 2 - Accent 5"/>
    <w:autoRedefine/>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5">
    <w:name w:val="Grid Table 2 - Accent 6"/>
    <w:autoRedefine/>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6">
    <w:name w:val="Grid Table 3"/>
    <w:autoRedefine/>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3 - Accent 1"/>
    <w:autoRedefine/>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8">
    <w:name w:val="Grid Table 3 - Accent 2"/>
    <w:autoRedefine/>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3 - Accent 3"/>
    <w:autoRedefine/>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3 - Accent 4"/>
    <w:autoRedefine/>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3 - Accent 5"/>
    <w:autoRedefine/>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3 - Accent 6"/>
    <w:autoRedefine/>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Grid Table 4"/>
    <w:autoRedefine/>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4 - Accent 1"/>
    <w:autoRedefine/>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5">
    <w:name w:val="Grid Table 4 - Accent 2"/>
    <w:autoRedefine/>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6">
    <w:name w:val="Grid Table 4 - Accent 3"/>
    <w:autoRedefine/>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7">
    <w:name w:val="Grid Table 4 - Accent 4"/>
    <w:autoRedefine/>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8">
    <w:name w:val="Grid Table 4 - Accent 5"/>
    <w:autoRedefine/>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9">
    <w:name w:val="Grid Table 4 - Accent 6"/>
    <w:autoRedefine/>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0">
    <w:name w:val="Grid Table 5 Dark"/>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1">
    <w:name w:val="Grid Table 5 Dark- Accent 1"/>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2">
    <w:name w:val="Grid Table 5 Dark - Accent 2"/>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3">
    <w:name w:val="Grid Table 5 Dark - Accent 3"/>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4">
    <w:name w:val="Grid Table 5 Dark- Accent 4"/>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5">
    <w:name w:val="Grid Table 5 Dark - Accent 5"/>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6">
    <w:name w:val="Grid Table 5 Dark - Accent 6"/>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7">
    <w:name w:val="Grid Table 6 Colorful"/>
    <w:autoRedefine/>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6 Colorful - Accent 1"/>
    <w:autoRedefine/>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9">
    <w:name w:val="Grid Table 6 Colorful - Accent 2"/>
    <w:autoRedefine/>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0">
    <w:name w:val="Grid Table 6 Colorful - Accent 3"/>
    <w:autoRedefine/>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1">
    <w:name w:val="Grid Table 6 Colorful - Accent 4"/>
    <w:autoRedefine/>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2">
    <w:name w:val="Grid Table 6 Colorful - Accent 5"/>
    <w:autoRedefine/>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3">
    <w:name w:val="Grid Table 6 Colorful - Accent 6"/>
    <w:autoRedefine/>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4">
    <w:name w:val="Grid Table 7 Colorful"/>
    <w:autoRedefine/>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5">
    <w:name w:val="Grid Table 7 Colorful - Accent 1"/>
    <w:autoRedefine/>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6">
    <w:name w:val="Grid Table 7 Colorful - Accent 2"/>
    <w:autoRedefine/>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7">
    <w:name w:val="Grid Table 7 Colorful - Accent 3"/>
    <w:autoRedefine/>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8">
    <w:name w:val="Grid Table 7 Colorful - Accent 4"/>
    <w:autoRedefine/>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9">
    <w:name w:val="Grid Table 7 Colorful - Accent 5"/>
    <w:autoRedefine/>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0">
    <w:name w:val="Grid Table 7 Colorful - Accent 6"/>
    <w:autoRedefine/>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1">
    <w:name w:val="List Table 1 Light"/>
    <w:autoRedefine/>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2">
    <w:name w:val="List Table 1 Light - Accent 1"/>
    <w:autoRedefine/>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3">
    <w:name w:val="List Table 1 Light - Accent 2"/>
    <w:autoRedefine/>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4">
    <w:name w:val="List Table 1 Light - Accent 3"/>
    <w:autoRedefine/>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5">
    <w:name w:val="List Table 1 Light - Accent 4"/>
    <w:autoRedefine/>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6">
    <w:name w:val="List Table 1 Light - Accent 5"/>
    <w:autoRedefine/>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7">
    <w:name w:val="List Table 1 Light - Accent 6"/>
    <w:autoRedefine/>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8">
    <w:name w:val="List Table 2"/>
    <w:autoRedefine/>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9">
    <w:name w:val="List Table 2 - Accent 1"/>
    <w:autoRedefine/>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0">
    <w:name w:val="List Table 2 - Accent 2"/>
    <w:autoRedefine/>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1">
    <w:name w:val="List Table 2 - Accent 3"/>
    <w:autoRedefine/>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2">
    <w:name w:val="List Table 2 - Accent 4"/>
    <w:autoRedefine/>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3">
    <w:name w:val="List Table 2 - Accent 5"/>
    <w:autoRedefine/>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4">
    <w:name w:val="List Table 2 - Accent 6"/>
    <w:autoRedefine/>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5">
    <w:name w:val="List Table 3"/>
    <w:autoRedefine/>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6">
    <w:name w:val="List Table 3 - Accent 1"/>
    <w:autoRedefine/>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7">
    <w:name w:val="List Table 3 - Accent 2"/>
    <w:autoRedefine/>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8">
    <w:name w:val="List Table 3 - Accent 3"/>
    <w:autoRedefine/>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9">
    <w:name w:val="List Table 3 - Accent 4"/>
    <w:autoRedefine/>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0">
    <w:name w:val="List Table 3 - Accent 5"/>
    <w:autoRedefine/>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1">
    <w:name w:val="List Table 3 - Accent 6"/>
    <w:autoRedefine/>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2">
    <w:name w:val="List Table 4"/>
    <w:autoRedefine/>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3">
    <w:name w:val="List Table 4 - Accent 1"/>
    <w:autoRedefine/>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4">
    <w:name w:val="List Table 4 - Accent 2"/>
    <w:autoRedefine/>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5">
    <w:name w:val="List Table 4 - Accent 3"/>
    <w:autoRedefine/>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6">
    <w:name w:val="List Table 4 - Accent 4"/>
    <w:autoRedefine/>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7">
    <w:name w:val="List Table 4 - Accent 5"/>
    <w:autoRedefine/>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8">
    <w:name w:val="List Table 4 - Accent 6"/>
    <w:autoRedefine/>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9">
    <w:name w:val="List Table 5 Dark"/>
    <w:autoRedefine/>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0">
    <w:name w:val="List Table 5 Dark - Accent 1"/>
    <w:autoRedefine/>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1">
    <w:name w:val="List Table 5 Dark - Accent 2"/>
    <w:autoRedefine/>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2">
    <w:name w:val="List Table 5 Dark - Accent 3"/>
    <w:autoRedefine/>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3">
    <w:name w:val="List Table 5 Dark - Accent 4"/>
    <w:autoRedefine/>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4">
    <w:name w:val="List Table 5 Dark - Accent 5"/>
    <w:autoRedefine/>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5">
    <w:name w:val="List Table 5 Dark - Accent 6"/>
    <w:autoRedefine/>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6">
    <w:name w:val="List Table 6 Colorful"/>
    <w:autoRedefine/>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7">
    <w:name w:val="List Table 6 Colorful - Accent 1"/>
    <w:autoRedefine/>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8">
    <w:name w:val="List Table 6 Colorful - Accent 2"/>
    <w:autoRedefine/>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9">
    <w:name w:val="List Table 6 Colorful - Accent 3"/>
    <w:autoRedefine/>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0">
    <w:name w:val="List Table 6 Colorful - Accent 4"/>
    <w:autoRedefine/>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1">
    <w:name w:val="List Table 6 Colorful - Accent 5"/>
    <w:autoRedefine/>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2">
    <w:name w:val="List Table 6 Colorful - Accent 6"/>
    <w:autoRedefine/>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3">
    <w:name w:val="List Table 7 Colorful"/>
    <w:autoRedefine/>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4">
    <w:name w:val="List Table 7 Colorful - Accent 1"/>
    <w:autoRedefine/>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5">
    <w:name w:val="List Table 7 Colorful - Accent 2"/>
    <w:autoRedefine/>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6">
    <w:name w:val="List Table 7 Colorful - Accent 3"/>
    <w:autoRedefine/>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7">
    <w:name w:val="List Table 7 Colorful - Accent 4"/>
    <w:autoRedefine/>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8">
    <w:name w:val="List Table 7 Colorful - Accent 5"/>
    <w:autoRedefine/>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9">
    <w:name w:val="List Table 7 Colorful - Accent 6"/>
    <w:autoRedefine/>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0">
    <w:name w:val="Lined - Accent"/>
    <w:autoRedefine/>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Lined - Accent 1"/>
    <w:autoRedefine/>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2">
    <w:name w:val="Lined - Accent 2"/>
    <w:autoRedefine/>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3">
    <w:name w:val="Lined - Accent 3"/>
    <w:autoRedefine/>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4">
    <w:name w:val="Lined - Accent 4"/>
    <w:autoRedefine/>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5">
    <w:name w:val="Lined - Accent 5"/>
    <w:autoRedefine/>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6">
    <w:name w:val="Lined - Accent 6"/>
    <w:autoRedefine/>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7">
    <w:name w:val="Bordered &amp; Lined - Accent"/>
    <w:autoRedefine/>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8">
    <w:name w:val="Bordered &amp; Lined - Accent 1"/>
    <w:autoRedefine/>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9">
    <w:name w:val="Bordered &amp; Lined - Accent 2"/>
    <w:autoRedefine/>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0">
    <w:name w:val="Bordered &amp; Lined - Accent 3"/>
    <w:autoRedefine/>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1">
    <w:name w:val="Bordered &amp; Lined - Accent 4"/>
    <w:autoRedefine/>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2">
    <w:name w:val="Bordered &amp; Lined - Accent 5"/>
    <w:autoRedefine/>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3">
    <w:name w:val="Bordered &amp; Lined - Accent 6"/>
    <w:autoRedefine/>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4">
    <w:name w:val="Bordered"/>
    <w:autoRedefine/>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5">
    <w:name w:val="Bordered - Accent 1"/>
    <w:autoRedefine/>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6">
    <w:name w:val="Bordered - Accent 2"/>
    <w:autoRedefine/>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7">
    <w:name w:val="Bordered - Accent 3"/>
    <w:autoRedefine/>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8">
    <w:name w:val="Bordered - Accent 4"/>
    <w:autoRedefine/>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9">
    <w:name w:val="Bordered - Accent 5"/>
    <w:autoRedefine/>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0">
    <w:name w:val="Bordered - Accent 6"/>
    <w:autoRedefine/>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1">
    <w:name w:val="Footnote Text Char"/>
    <w:link w:val="31"/>
    <w:autoRedefine/>
    <w:qFormat/>
    <w:uiPriority w:val="99"/>
    <w:rPr>
      <w:sz w:val="18"/>
    </w:rPr>
  </w:style>
  <w:style w:type="character" w:customStyle="1" w:styleId="192">
    <w:name w:val="Endnote Text Char"/>
    <w:link w:val="25"/>
    <w:autoRedefine/>
    <w:qFormat/>
    <w:uiPriority w:val="99"/>
    <w:rPr>
      <w:sz w:val="20"/>
    </w:rPr>
  </w:style>
  <w:style w:type="paragraph" w:customStyle="1" w:styleId="193">
    <w:name w:val="TOC Heading"/>
    <w:autoRedefine/>
    <w:unhideWhenUsed/>
    <w:qFormat/>
    <w:uiPriority w:val="39"/>
    <w:rPr>
      <w:rFonts w:hint="default" w:ascii="Times New Roman" w:hAnsi="Times New Roman" w:eastAsia="宋体" w:cs="Times New Roman"/>
    </w:rPr>
  </w:style>
  <w:style w:type="paragraph" w:customStyle="1" w:styleId="194">
    <w:name w:val="标题 111"/>
    <w:basedOn w:val="1"/>
    <w:next w:val="1"/>
    <w:autoRedefine/>
    <w:qFormat/>
    <w:uiPriority w:val="0"/>
    <w:pPr>
      <w:keepNext/>
      <w:jc w:val="center"/>
      <w:outlineLvl w:val="0"/>
    </w:pPr>
    <w:rPr>
      <w:rFonts w:ascii="楷体_GB2312" w:eastAsia="楷体_GB2312"/>
      <w:sz w:val="28"/>
      <w:szCs w:val="28"/>
    </w:rPr>
  </w:style>
  <w:style w:type="paragraph" w:customStyle="1" w:styleId="195">
    <w:name w:val="标题 21"/>
    <w:basedOn w:val="1"/>
    <w:next w:val="1"/>
    <w:autoRedefine/>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96">
    <w:name w:val="标题 31"/>
    <w:basedOn w:val="1"/>
    <w:next w:val="1"/>
    <w:link w:val="206"/>
    <w:autoRedefine/>
    <w:qFormat/>
    <w:uiPriority w:val="0"/>
    <w:pPr>
      <w:keepNext/>
      <w:keepLines/>
      <w:spacing w:before="260" w:after="260" w:line="416" w:lineRule="auto"/>
      <w:outlineLvl w:val="2"/>
    </w:pPr>
    <w:rPr>
      <w:b/>
      <w:bCs/>
      <w:sz w:val="32"/>
      <w:szCs w:val="32"/>
    </w:rPr>
  </w:style>
  <w:style w:type="paragraph" w:customStyle="1" w:styleId="197">
    <w:name w:val="标题 411"/>
    <w:basedOn w:val="1"/>
    <w:next w:val="1"/>
    <w:autoRedefine/>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198">
    <w:name w:val="标题 51"/>
    <w:basedOn w:val="1"/>
    <w:next w:val="1"/>
    <w:autoRedefine/>
    <w:qFormat/>
    <w:uiPriority w:val="0"/>
    <w:pPr>
      <w:keepNext/>
      <w:outlineLvl w:val="4"/>
    </w:pPr>
    <w:rPr>
      <w:rFonts w:ascii="宋体"/>
      <w:color w:val="000000"/>
      <w:sz w:val="28"/>
      <w:szCs w:val="28"/>
    </w:rPr>
  </w:style>
  <w:style w:type="paragraph" w:customStyle="1" w:styleId="199">
    <w:name w:val="标题 61"/>
    <w:basedOn w:val="1"/>
    <w:next w:val="1"/>
    <w:autoRedefine/>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200">
    <w:name w:val="标题 71"/>
    <w:basedOn w:val="1"/>
    <w:next w:val="1"/>
    <w:autoRedefine/>
    <w:qFormat/>
    <w:uiPriority w:val="0"/>
    <w:pPr>
      <w:keepNext/>
      <w:keepLines/>
      <w:numPr>
        <w:ilvl w:val="6"/>
        <w:numId w:val="1"/>
      </w:numPr>
      <w:spacing w:before="240" w:after="64" w:line="320" w:lineRule="auto"/>
      <w:outlineLvl w:val="6"/>
    </w:pPr>
    <w:rPr>
      <w:b/>
      <w:bCs/>
      <w:sz w:val="24"/>
      <w:szCs w:val="24"/>
    </w:rPr>
  </w:style>
  <w:style w:type="paragraph" w:customStyle="1" w:styleId="201">
    <w:name w:val="标题 81"/>
    <w:basedOn w:val="1"/>
    <w:next w:val="1"/>
    <w:autoRedefine/>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202">
    <w:name w:val="标题 91"/>
    <w:basedOn w:val="1"/>
    <w:next w:val="1"/>
    <w:autoRedefine/>
    <w:qFormat/>
    <w:uiPriority w:val="0"/>
    <w:pPr>
      <w:keepNext/>
      <w:keepLines/>
      <w:numPr>
        <w:ilvl w:val="8"/>
        <w:numId w:val="1"/>
      </w:numPr>
      <w:spacing w:before="240" w:after="64" w:line="320" w:lineRule="auto"/>
      <w:outlineLvl w:val="8"/>
    </w:pPr>
    <w:rPr>
      <w:rFonts w:ascii="Arial" w:hAnsi="Arial" w:eastAsia="黑体"/>
    </w:rPr>
  </w:style>
  <w:style w:type="character" w:customStyle="1" w:styleId="203">
    <w:name w:val="默认段落字体1"/>
    <w:link w:val="1"/>
    <w:autoRedefine/>
    <w:semiHidden/>
    <w:qFormat/>
    <w:uiPriority w:val="0"/>
  </w:style>
  <w:style w:type="table" w:customStyle="1" w:styleId="204">
    <w:name w:val="普通表格1"/>
    <w:autoRedefine/>
    <w:semiHidden/>
    <w:qFormat/>
    <w:uiPriority w:val="0"/>
  </w:style>
  <w:style w:type="character" w:customStyle="1" w:styleId="205">
    <w:name w:val="正文缩进 字符"/>
    <w:link w:val="45"/>
    <w:autoRedefine/>
    <w:qFormat/>
    <w:uiPriority w:val="0"/>
    <w:rPr>
      <w:sz w:val="21"/>
      <w:szCs w:val="21"/>
    </w:rPr>
  </w:style>
  <w:style w:type="character" w:customStyle="1" w:styleId="206">
    <w:name w:val="标题 3 字符"/>
    <w:link w:val="196"/>
    <w:autoRedefine/>
    <w:qFormat/>
    <w:uiPriority w:val="0"/>
    <w:rPr>
      <w:rFonts w:eastAsia="宋体"/>
      <w:b/>
      <w:bCs/>
      <w:sz w:val="32"/>
      <w:szCs w:val="32"/>
      <w:lang w:val="en-US" w:eastAsia="zh-CN" w:bidi="ar-SA"/>
    </w:rPr>
  </w:style>
  <w:style w:type="paragraph" w:customStyle="1" w:styleId="207">
    <w:name w:val="列表 31"/>
    <w:basedOn w:val="1"/>
    <w:autoRedefine/>
    <w:qFormat/>
    <w:uiPriority w:val="0"/>
    <w:pPr>
      <w:ind w:left="100" w:hanging="200"/>
    </w:pPr>
  </w:style>
  <w:style w:type="paragraph" w:customStyle="1" w:styleId="208">
    <w:name w:val="目录 71"/>
    <w:basedOn w:val="1"/>
    <w:next w:val="1"/>
    <w:autoRedefine/>
    <w:semiHidden/>
    <w:qFormat/>
    <w:uiPriority w:val="0"/>
    <w:pPr>
      <w:ind w:left="1260"/>
      <w:jc w:val="left"/>
    </w:pPr>
  </w:style>
  <w:style w:type="paragraph" w:customStyle="1" w:styleId="209">
    <w:name w:val="文档结构图1"/>
    <w:basedOn w:val="1"/>
    <w:link w:val="210"/>
    <w:autoRedefine/>
    <w:semiHidden/>
    <w:qFormat/>
    <w:uiPriority w:val="0"/>
    <w:pPr>
      <w:shd w:val="clear" w:color="auto" w:fill="000080"/>
    </w:pPr>
  </w:style>
  <w:style w:type="character" w:customStyle="1" w:styleId="210">
    <w:name w:val="文档结构图 字符"/>
    <w:link w:val="209"/>
    <w:autoRedefine/>
    <w:qFormat/>
    <w:uiPriority w:val="0"/>
    <w:rPr>
      <w:rFonts w:eastAsia="宋体"/>
      <w:sz w:val="21"/>
      <w:szCs w:val="21"/>
      <w:lang w:val="en-US" w:eastAsia="zh-CN" w:bidi="ar-SA"/>
    </w:rPr>
  </w:style>
  <w:style w:type="paragraph" w:customStyle="1" w:styleId="211">
    <w:name w:val="批注文字1"/>
    <w:basedOn w:val="1"/>
    <w:autoRedefine/>
    <w:semiHidden/>
    <w:qFormat/>
    <w:uiPriority w:val="0"/>
    <w:pPr>
      <w:jc w:val="left"/>
    </w:pPr>
  </w:style>
  <w:style w:type="paragraph" w:customStyle="1" w:styleId="212">
    <w:name w:val="正文文本 31"/>
    <w:basedOn w:val="1"/>
    <w:autoRedefine/>
    <w:qFormat/>
    <w:uiPriority w:val="0"/>
    <w:rPr>
      <w:rFonts w:ascii="仿宋_GB2312" w:hAnsi="Arial" w:eastAsia="仿宋_GB2312"/>
      <w:sz w:val="32"/>
      <w:szCs w:val="32"/>
    </w:rPr>
  </w:style>
  <w:style w:type="paragraph" w:customStyle="1" w:styleId="213">
    <w:name w:val="正文文本1"/>
    <w:basedOn w:val="1"/>
    <w:autoRedefine/>
    <w:qFormat/>
    <w:uiPriority w:val="0"/>
    <w:rPr>
      <w:rFonts w:ascii="楷体_GB2312" w:hAnsi="Arial" w:eastAsia="楷体_GB2312"/>
      <w:sz w:val="28"/>
      <w:szCs w:val="28"/>
    </w:rPr>
  </w:style>
  <w:style w:type="paragraph" w:customStyle="1" w:styleId="214">
    <w:name w:val="正文文本缩进1"/>
    <w:basedOn w:val="1"/>
    <w:next w:val="215"/>
    <w:autoRedefine/>
    <w:qFormat/>
    <w:uiPriority w:val="0"/>
    <w:pPr>
      <w:ind w:firstLine="645"/>
    </w:pPr>
    <w:rPr>
      <w:rFonts w:ascii="楷体_GB2312" w:eastAsia="楷体_GB2312"/>
      <w:sz w:val="32"/>
      <w:szCs w:val="32"/>
    </w:rPr>
  </w:style>
  <w:style w:type="paragraph" w:customStyle="1" w:styleId="215">
    <w:name w:val="寄信人地址1"/>
    <w:basedOn w:val="1"/>
    <w:autoRedefine/>
    <w:unhideWhenUsed/>
    <w:qFormat/>
    <w:uiPriority w:val="99"/>
    <w:pPr>
      <w:widowControl w:val="0"/>
      <w:jc w:val="both"/>
    </w:pPr>
    <w:rPr>
      <w:rFonts w:ascii="Arial" w:hAnsi="Arial" w:eastAsia="宋体" w:cs="Times New Roman"/>
      <w:sz w:val="21"/>
      <w:szCs w:val="24"/>
      <w:lang w:val="en-US" w:eastAsia="zh-CN" w:bidi="ar-SA"/>
    </w:rPr>
  </w:style>
  <w:style w:type="paragraph" w:customStyle="1" w:styleId="216">
    <w:name w:val="列表 21"/>
    <w:basedOn w:val="1"/>
    <w:autoRedefine/>
    <w:qFormat/>
    <w:uiPriority w:val="0"/>
    <w:pPr>
      <w:ind w:left="100" w:hanging="200"/>
    </w:pPr>
  </w:style>
  <w:style w:type="paragraph" w:customStyle="1" w:styleId="217">
    <w:name w:val="文本块11"/>
    <w:basedOn w:val="1"/>
    <w:next w:val="1"/>
    <w:autoRedefine/>
    <w:unhideWhenUsed/>
    <w:qFormat/>
    <w:uiPriority w:val="0"/>
    <w:pPr>
      <w:spacing w:after="120"/>
      <w:ind w:left="1440"/>
    </w:pPr>
    <w:rPr>
      <w:rFonts w:hint="eastAsia"/>
      <w:sz w:val="21"/>
    </w:rPr>
  </w:style>
  <w:style w:type="paragraph" w:customStyle="1" w:styleId="218">
    <w:name w:val="目录 51"/>
    <w:basedOn w:val="1"/>
    <w:next w:val="1"/>
    <w:autoRedefine/>
    <w:semiHidden/>
    <w:qFormat/>
    <w:uiPriority w:val="0"/>
    <w:pPr>
      <w:ind w:left="840"/>
      <w:jc w:val="left"/>
    </w:pPr>
  </w:style>
  <w:style w:type="paragraph" w:customStyle="1" w:styleId="219">
    <w:name w:val="目录 31"/>
    <w:basedOn w:val="1"/>
    <w:next w:val="1"/>
    <w:autoRedefine/>
    <w:semiHidden/>
    <w:qFormat/>
    <w:uiPriority w:val="0"/>
    <w:pPr>
      <w:ind w:left="420"/>
      <w:jc w:val="left"/>
    </w:pPr>
    <w:rPr>
      <w:i/>
      <w:iCs/>
      <w:szCs w:val="24"/>
    </w:rPr>
  </w:style>
  <w:style w:type="paragraph" w:customStyle="1" w:styleId="220">
    <w:name w:val="纯文本1"/>
    <w:basedOn w:val="1"/>
    <w:link w:val="221"/>
    <w:autoRedefine/>
    <w:qFormat/>
    <w:uiPriority w:val="0"/>
    <w:rPr>
      <w:rFonts w:ascii="宋体" w:hAnsi="Courier New"/>
    </w:rPr>
  </w:style>
  <w:style w:type="character" w:customStyle="1" w:styleId="221">
    <w:name w:val="纯文本 字符"/>
    <w:link w:val="220"/>
    <w:autoRedefine/>
    <w:qFormat/>
    <w:uiPriority w:val="0"/>
    <w:rPr>
      <w:rFonts w:ascii="宋体" w:hAnsi="Courier New" w:cs="Courier New"/>
      <w:sz w:val="21"/>
      <w:szCs w:val="21"/>
    </w:rPr>
  </w:style>
  <w:style w:type="paragraph" w:customStyle="1" w:styleId="222">
    <w:name w:val="目录 81"/>
    <w:basedOn w:val="1"/>
    <w:next w:val="1"/>
    <w:autoRedefine/>
    <w:semiHidden/>
    <w:qFormat/>
    <w:uiPriority w:val="0"/>
    <w:pPr>
      <w:ind w:left="1470"/>
      <w:jc w:val="left"/>
    </w:pPr>
  </w:style>
  <w:style w:type="paragraph" w:customStyle="1" w:styleId="223">
    <w:name w:val="日期1"/>
    <w:basedOn w:val="1"/>
    <w:next w:val="1"/>
    <w:autoRedefine/>
    <w:qFormat/>
    <w:uiPriority w:val="0"/>
    <w:rPr>
      <w:sz w:val="24"/>
      <w:szCs w:val="24"/>
    </w:rPr>
  </w:style>
  <w:style w:type="paragraph" w:customStyle="1" w:styleId="224">
    <w:name w:val="正文文本缩进 21"/>
    <w:basedOn w:val="1"/>
    <w:autoRedefine/>
    <w:qFormat/>
    <w:uiPriority w:val="0"/>
    <w:pPr>
      <w:ind w:left="630" w:firstLine="645"/>
    </w:pPr>
    <w:rPr>
      <w:rFonts w:ascii="Arial" w:hAnsi="Arial" w:eastAsia="仿宋_GB2312" w:cs="Arial"/>
      <w:sz w:val="32"/>
      <w:szCs w:val="32"/>
    </w:rPr>
  </w:style>
  <w:style w:type="paragraph" w:customStyle="1" w:styleId="225">
    <w:name w:val="批注框文本1"/>
    <w:basedOn w:val="1"/>
    <w:autoRedefine/>
    <w:semiHidden/>
    <w:qFormat/>
    <w:uiPriority w:val="0"/>
    <w:rPr>
      <w:sz w:val="18"/>
      <w:szCs w:val="18"/>
    </w:rPr>
  </w:style>
  <w:style w:type="paragraph" w:customStyle="1" w:styleId="226">
    <w:name w:val="页脚1"/>
    <w:basedOn w:val="1"/>
    <w:autoRedefine/>
    <w:qFormat/>
    <w:uiPriority w:val="0"/>
    <w:pPr>
      <w:tabs>
        <w:tab w:val="center" w:pos="4153"/>
        <w:tab w:val="right" w:pos="8306"/>
      </w:tabs>
      <w:jc w:val="left"/>
    </w:pPr>
    <w:rPr>
      <w:sz w:val="18"/>
      <w:szCs w:val="18"/>
    </w:rPr>
  </w:style>
  <w:style w:type="paragraph" w:customStyle="1" w:styleId="227">
    <w:name w:val="页眉1"/>
    <w:basedOn w:val="1"/>
    <w:autoRedefine/>
    <w:qFormat/>
    <w:uiPriority w:val="0"/>
    <w:pPr>
      <w:pBdr>
        <w:bottom w:val="single" w:color="000000" w:sz="6" w:space="1"/>
      </w:pBdr>
      <w:tabs>
        <w:tab w:val="center" w:pos="4153"/>
        <w:tab w:val="right" w:pos="8306"/>
      </w:tabs>
      <w:jc w:val="center"/>
    </w:pPr>
    <w:rPr>
      <w:sz w:val="18"/>
      <w:szCs w:val="18"/>
    </w:rPr>
  </w:style>
  <w:style w:type="paragraph" w:customStyle="1" w:styleId="228">
    <w:name w:val="目录 11"/>
    <w:basedOn w:val="1"/>
    <w:next w:val="1"/>
    <w:autoRedefine/>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29">
    <w:name w:val="目录 41"/>
    <w:basedOn w:val="1"/>
    <w:next w:val="1"/>
    <w:autoRedefine/>
    <w:semiHidden/>
    <w:qFormat/>
    <w:uiPriority w:val="0"/>
    <w:pPr>
      <w:ind w:left="630"/>
      <w:jc w:val="left"/>
    </w:pPr>
  </w:style>
  <w:style w:type="paragraph" w:customStyle="1" w:styleId="230">
    <w:name w:val="列表1"/>
    <w:basedOn w:val="1"/>
    <w:autoRedefine/>
    <w:qFormat/>
    <w:uiPriority w:val="0"/>
    <w:pPr>
      <w:ind w:left="200" w:hanging="200"/>
    </w:pPr>
  </w:style>
  <w:style w:type="paragraph" w:customStyle="1" w:styleId="231">
    <w:name w:val="目录 61"/>
    <w:basedOn w:val="1"/>
    <w:next w:val="1"/>
    <w:autoRedefine/>
    <w:semiHidden/>
    <w:qFormat/>
    <w:uiPriority w:val="0"/>
    <w:pPr>
      <w:ind w:left="1050"/>
      <w:jc w:val="left"/>
    </w:pPr>
  </w:style>
  <w:style w:type="paragraph" w:customStyle="1" w:styleId="232">
    <w:name w:val="正文文本缩进 31"/>
    <w:basedOn w:val="1"/>
    <w:autoRedefine/>
    <w:qFormat/>
    <w:uiPriority w:val="0"/>
    <w:pPr>
      <w:ind w:left="645" w:firstLine="645"/>
    </w:pPr>
    <w:rPr>
      <w:rFonts w:ascii="Arial" w:hAnsi="Arial" w:eastAsia="仿宋_GB2312" w:cs="Arial"/>
      <w:color w:val="FFFF00"/>
      <w:sz w:val="32"/>
      <w:szCs w:val="32"/>
    </w:rPr>
  </w:style>
  <w:style w:type="paragraph" w:customStyle="1" w:styleId="233">
    <w:name w:val="图表目录1"/>
    <w:basedOn w:val="1"/>
    <w:next w:val="1"/>
    <w:autoRedefine/>
    <w:semiHidden/>
    <w:qFormat/>
    <w:uiPriority w:val="0"/>
    <w:pPr>
      <w:ind w:left="840" w:hanging="420"/>
    </w:pPr>
  </w:style>
  <w:style w:type="paragraph" w:customStyle="1" w:styleId="234">
    <w:name w:val="目录 21"/>
    <w:basedOn w:val="1"/>
    <w:next w:val="1"/>
    <w:autoRedefine/>
    <w:semiHidden/>
    <w:qFormat/>
    <w:uiPriority w:val="0"/>
    <w:pPr>
      <w:ind w:left="210"/>
      <w:jc w:val="left"/>
    </w:pPr>
    <w:rPr>
      <w:smallCaps/>
      <w:szCs w:val="24"/>
    </w:rPr>
  </w:style>
  <w:style w:type="paragraph" w:customStyle="1" w:styleId="235">
    <w:name w:val="目录 91"/>
    <w:basedOn w:val="1"/>
    <w:next w:val="1"/>
    <w:autoRedefine/>
    <w:semiHidden/>
    <w:qFormat/>
    <w:uiPriority w:val="0"/>
    <w:pPr>
      <w:ind w:left="1680"/>
      <w:jc w:val="left"/>
    </w:pPr>
  </w:style>
  <w:style w:type="paragraph" w:customStyle="1" w:styleId="236">
    <w:name w:val="正文文本 21"/>
    <w:basedOn w:val="1"/>
    <w:autoRedefine/>
    <w:qFormat/>
    <w:uiPriority w:val="0"/>
    <w:pPr>
      <w:widowControl/>
      <w:jc w:val="center"/>
    </w:pPr>
    <w:rPr>
      <w:rFonts w:ascii="楷体_GB2312" w:eastAsia="楷体_GB2312"/>
      <w:sz w:val="28"/>
      <w:szCs w:val="28"/>
    </w:rPr>
  </w:style>
  <w:style w:type="paragraph" w:customStyle="1" w:styleId="237">
    <w:name w:val="普通(网站)1"/>
    <w:basedOn w:val="1"/>
    <w:autoRedefine/>
    <w:qFormat/>
    <w:uiPriority w:val="0"/>
    <w:pPr>
      <w:widowControl/>
      <w:spacing w:before="100" w:beforeAutospacing="1" w:after="100" w:afterAutospacing="1"/>
      <w:jc w:val="left"/>
    </w:pPr>
    <w:rPr>
      <w:rFonts w:ascii="宋体" w:hAnsi="宋体" w:cs="宋体"/>
      <w:sz w:val="24"/>
      <w:szCs w:val="24"/>
    </w:rPr>
  </w:style>
  <w:style w:type="paragraph" w:customStyle="1" w:styleId="238">
    <w:name w:val="索引 11"/>
    <w:basedOn w:val="1"/>
    <w:next w:val="1"/>
    <w:autoRedefine/>
    <w:semiHidden/>
    <w:qFormat/>
    <w:uiPriority w:val="0"/>
    <w:pPr>
      <w:spacing w:line="240" w:lineRule="atLeast"/>
    </w:pPr>
    <w:rPr>
      <w:b/>
      <w:bCs/>
    </w:rPr>
  </w:style>
  <w:style w:type="paragraph" w:customStyle="1" w:styleId="239">
    <w:name w:val="批注主题1"/>
    <w:basedOn w:val="211"/>
    <w:next w:val="211"/>
    <w:autoRedefine/>
    <w:semiHidden/>
    <w:qFormat/>
    <w:uiPriority w:val="0"/>
    <w:rPr>
      <w:b/>
      <w:bCs/>
    </w:rPr>
  </w:style>
  <w:style w:type="paragraph" w:customStyle="1" w:styleId="240">
    <w:name w:val="正文首行缩进1"/>
    <w:basedOn w:val="213"/>
    <w:autoRedefine/>
    <w:qFormat/>
    <w:uiPriority w:val="0"/>
    <w:pPr>
      <w:spacing w:line="360" w:lineRule="auto"/>
      <w:ind w:firstLine="200"/>
    </w:pPr>
    <w:rPr>
      <w:rFonts w:ascii="仿宋_GB2312" w:eastAsia="仿宋_GB2312"/>
      <w:sz w:val="30"/>
      <w:szCs w:val="30"/>
    </w:rPr>
  </w:style>
  <w:style w:type="paragraph" w:customStyle="1" w:styleId="241">
    <w:name w:val="正文首行缩进 21"/>
    <w:basedOn w:val="214"/>
    <w:autoRedefine/>
    <w:qFormat/>
    <w:uiPriority w:val="0"/>
    <w:pPr>
      <w:spacing w:line="360" w:lineRule="auto"/>
      <w:ind w:firstLine="420"/>
    </w:pPr>
    <w:rPr>
      <w:rFonts w:ascii="宋体" w:hAnsi="宋体" w:eastAsia="宋体"/>
      <w:sz w:val="21"/>
      <w:szCs w:val="20"/>
    </w:rPr>
  </w:style>
  <w:style w:type="table" w:customStyle="1" w:styleId="242">
    <w:name w:val="网格型1"/>
    <w:basedOn w:val="204"/>
    <w:autoRedefine/>
    <w:qFormat/>
    <w:uiPriority w:val="0"/>
    <w:pPr>
      <w:widowControl w:val="0"/>
      <w:jc w:val="both"/>
    </w:pPr>
  </w:style>
  <w:style w:type="character" w:customStyle="1" w:styleId="243">
    <w:name w:val="要点1"/>
    <w:link w:val="1"/>
    <w:autoRedefine/>
    <w:qFormat/>
    <w:uiPriority w:val="0"/>
    <w:rPr>
      <w:b/>
      <w:bCs/>
    </w:rPr>
  </w:style>
  <w:style w:type="character" w:customStyle="1" w:styleId="244">
    <w:name w:val="页码1"/>
    <w:link w:val="1"/>
    <w:autoRedefine/>
    <w:qFormat/>
    <w:uiPriority w:val="0"/>
  </w:style>
  <w:style w:type="character" w:customStyle="1" w:styleId="245">
    <w:name w:val="已访问的超链接1"/>
    <w:link w:val="1"/>
    <w:autoRedefine/>
    <w:qFormat/>
    <w:uiPriority w:val="0"/>
    <w:rPr>
      <w:color w:val="800080"/>
      <w:u w:val="single"/>
    </w:rPr>
  </w:style>
  <w:style w:type="character" w:customStyle="1" w:styleId="246">
    <w:name w:val="超链接1"/>
    <w:link w:val="1"/>
    <w:autoRedefine/>
    <w:qFormat/>
    <w:uiPriority w:val="0"/>
    <w:rPr>
      <w:color w:val="0000FF"/>
      <w:u w:val="single"/>
    </w:rPr>
  </w:style>
  <w:style w:type="character" w:customStyle="1" w:styleId="247">
    <w:name w:val="批注引用1"/>
    <w:link w:val="1"/>
    <w:autoRedefine/>
    <w:semiHidden/>
    <w:qFormat/>
    <w:uiPriority w:val="0"/>
    <w:rPr>
      <w:sz w:val="21"/>
      <w:szCs w:val="21"/>
    </w:rPr>
  </w:style>
  <w:style w:type="paragraph" w:customStyle="1" w:styleId="248">
    <w:name w:val="普通正文"/>
    <w:basedOn w:val="1"/>
    <w:link w:val="249"/>
    <w:autoRedefine/>
    <w:qFormat/>
    <w:uiPriority w:val="0"/>
    <w:pPr>
      <w:spacing w:before="120" w:after="120" w:line="360" w:lineRule="auto"/>
      <w:ind w:firstLine="480"/>
      <w:jc w:val="left"/>
    </w:pPr>
    <w:rPr>
      <w:rFonts w:ascii="Arial" w:hAnsi="Arial"/>
      <w:sz w:val="24"/>
      <w:szCs w:val="24"/>
    </w:rPr>
  </w:style>
  <w:style w:type="character" w:customStyle="1" w:styleId="249">
    <w:name w:val="普通正文 Char"/>
    <w:link w:val="248"/>
    <w:autoRedefine/>
    <w:qFormat/>
    <w:uiPriority w:val="0"/>
    <w:rPr>
      <w:rFonts w:ascii="Arial" w:hAnsi="Arial"/>
      <w:sz w:val="24"/>
      <w:szCs w:val="24"/>
    </w:rPr>
  </w:style>
  <w:style w:type="paragraph" w:customStyle="1" w:styleId="250">
    <w:name w:val="Default"/>
    <w:autoRedefine/>
    <w:unhideWhenUsed/>
    <w:qFormat/>
    <w:uiPriority w:val="99"/>
    <w:pPr>
      <w:widowControl w:val="0"/>
    </w:pPr>
    <w:rPr>
      <w:rFonts w:hint="eastAsia" w:ascii="仿宋_GB2312" w:hAnsi="仿宋_GB2312" w:eastAsia="仿宋_GB2312" w:cs="Times New Roman"/>
      <w:color w:val="000000"/>
      <w:sz w:val="24"/>
      <w:lang w:val="en-US" w:eastAsia="zh-CN" w:bidi="ar-SA"/>
    </w:rPr>
  </w:style>
  <w:style w:type="character" w:customStyle="1" w:styleId="251">
    <w:name w:val="font5 Char"/>
    <w:link w:val="1"/>
    <w:autoRedefine/>
    <w:qFormat/>
    <w:uiPriority w:val="0"/>
    <w:rPr>
      <w:rFonts w:ascii="宋体" w:hAnsi="宋体" w:eastAsia="宋体"/>
      <w:sz w:val="28"/>
      <w:szCs w:val="28"/>
      <w:lang w:val="en-US" w:eastAsia="zh-CN" w:bidi="ar-SA"/>
    </w:rPr>
  </w:style>
  <w:style w:type="character" w:customStyle="1" w:styleId="252">
    <w:name w:val="apple-converted-space"/>
    <w:link w:val="1"/>
    <w:autoRedefine/>
    <w:qFormat/>
    <w:uiPriority w:val="99"/>
  </w:style>
  <w:style w:type="character" w:customStyle="1" w:styleId="253">
    <w:name w:val="列出段落 Char"/>
    <w:link w:val="254"/>
    <w:autoRedefine/>
    <w:qFormat/>
    <w:uiPriority w:val="0"/>
    <w:rPr>
      <w:rFonts w:ascii="Calibri" w:hAnsi="Calibri"/>
      <w:sz w:val="24"/>
      <w:szCs w:val="24"/>
      <w:lang w:eastAsia="en-US" w:bidi="en-US"/>
    </w:rPr>
  </w:style>
  <w:style w:type="paragraph" w:customStyle="1" w:styleId="254">
    <w:name w:val="列出段落1"/>
    <w:basedOn w:val="1"/>
    <w:link w:val="253"/>
    <w:autoRedefine/>
    <w:qFormat/>
    <w:uiPriority w:val="0"/>
    <w:pPr>
      <w:widowControl/>
      <w:ind w:left="720"/>
      <w:contextualSpacing/>
      <w:jc w:val="left"/>
    </w:pPr>
    <w:rPr>
      <w:rFonts w:ascii="Calibri" w:hAnsi="Calibri"/>
      <w:sz w:val="24"/>
      <w:szCs w:val="24"/>
      <w:lang w:eastAsia="en-US" w:bidi="en-US"/>
    </w:rPr>
  </w:style>
  <w:style w:type="character" w:customStyle="1" w:styleId="255">
    <w:name w:val=" Char Char Char Char Char"/>
    <w:link w:val="256"/>
    <w:autoRedefine/>
    <w:qFormat/>
    <w:uiPriority w:val="0"/>
    <w:rPr>
      <w:rFonts w:ascii="Tahoma" w:hAnsi="Tahoma" w:eastAsia="宋体"/>
      <w:sz w:val="24"/>
      <w:szCs w:val="24"/>
      <w:lang w:val="en-US" w:eastAsia="zh-CN" w:bidi="ar-SA"/>
    </w:rPr>
  </w:style>
  <w:style w:type="paragraph" w:customStyle="1" w:styleId="256">
    <w:name w:val=" Char Char Char Char"/>
    <w:basedOn w:val="209"/>
    <w:link w:val="255"/>
    <w:autoRedefine/>
    <w:qFormat/>
    <w:uiPriority w:val="0"/>
    <w:pPr>
      <w:spacing w:line="360" w:lineRule="auto"/>
    </w:pPr>
    <w:rPr>
      <w:rFonts w:ascii="Tahoma" w:hAnsi="Tahoma"/>
      <w:sz w:val="24"/>
      <w:szCs w:val="24"/>
    </w:rPr>
  </w:style>
  <w:style w:type="character" w:customStyle="1" w:styleId="257">
    <w:name w:val="二级目录 Char"/>
    <w:link w:val="258"/>
    <w:autoRedefine/>
    <w:qFormat/>
    <w:uiPriority w:val="0"/>
    <w:rPr>
      <w:b/>
      <w:sz w:val="30"/>
      <w:szCs w:val="28"/>
      <w:lang w:val="en-US" w:eastAsia="zh-CN" w:bidi="ar-SA"/>
    </w:rPr>
  </w:style>
  <w:style w:type="paragraph" w:customStyle="1" w:styleId="258">
    <w:name w:val="二级目录"/>
    <w:next w:val="1"/>
    <w:link w:val="257"/>
    <w:autoRedefine/>
    <w:qFormat/>
    <w:uiPriority w:val="0"/>
    <w:pPr>
      <w:numPr>
        <w:ilvl w:val="0"/>
        <w:numId w:val="2"/>
      </w:numPr>
      <w:tabs>
        <w:tab w:val="left" w:pos="1145"/>
      </w:tabs>
      <w:outlineLvl w:val="1"/>
    </w:pPr>
    <w:rPr>
      <w:rFonts w:hint="default" w:ascii="Times New Roman" w:hAnsi="Times New Roman" w:eastAsia="宋体" w:cs="Times New Roman"/>
      <w:b/>
      <w:sz w:val="30"/>
      <w:szCs w:val="28"/>
      <w:lang w:val="en-US" w:eastAsia="zh-CN" w:bidi="ar-SA"/>
    </w:rPr>
  </w:style>
  <w:style w:type="paragraph" w:customStyle="1" w:styleId="259">
    <w:name w:val="Char Char Char Char Char Char Char Char"/>
    <w:basedOn w:val="1"/>
    <w:autoRedefine/>
    <w:qFormat/>
    <w:uiPriority w:val="0"/>
    <w:pPr>
      <w:widowControl/>
      <w:spacing w:after="160" w:line="240" w:lineRule="exact"/>
      <w:jc w:val="left"/>
    </w:pPr>
    <w:rPr>
      <w:rFonts w:ascii="Verdana" w:hAnsi="Verdana"/>
      <w:sz w:val="20"/>
      <w:szCs w:val="20"/>
      <w:lang w:eastAsia="en-US"/>
    </w:rPr>
  </w:style>
  <w:style w:type="paragraph" w:customStyle="1" w:styleId="260">
    <w:name w:val=" Char Char Char Char Char Char Char Char"/>
    <w:basedOn w:val="1"/>
    <w:autoRedefine/>
    <w:qFormat/>
    <w:uiPriority w:val="0"/>
    <w:pPr>
      <w:widowControl/>
      <w:spacing w:after="160" w:line="240" w:lineRule="exact"/>
      <w:jc w:val="left"/>
    </w:pPr>
    <w:rPr>
      <w:rFonts w:ascii="Verdana" w:hAnsi="Verdana"/>
      <w:sz w:val="20"/>
      <w:szCs w:val="20"/>
      <w:lang w:eastAsia="en-US"/>
    </w:rPr>
  </w:style>
  <w:style w:type="paragraph" w:customStyle="1" w:styleId="261">
    <w:name w:val="font6"/>
    <w:basedOn w:val="1"/>
    <w:autoRedefine/>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62">
    <w:name w:val="Body Text(ch)"/>
    <w:basedOn w:val="1"/>
    <w:next w:val="213"/>
    <w:autoRedefine/>
    <w:qFormat/>
    <w:uiPriority w:val="0"/>
    <w:pPr>
      <w:spacing w:after="120"/>
    </w:pPr>
    <w:rPr>
      <w:rFonts w:ascii="宋体" w:hAnsi="Arial"/>
      <w:bCs/>
      <w:iCs/>
      <w:szCs w:val="24"/>
    </w:rPr>
  </w:style>
  <w:style w:type="paragraph" w:customStyle="1" w:styleId="263">
    <w:name w:val="附录1"/>
    <w:autoRedefine/>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264">
    <w:name w:val="font7"/>
    <w:basedOn w:val="1"/>
    <w:autoRedefine/>
    <w:qFormat/>
    <w:uiPriority w:val="0"/>
    <w:pPr>
      <w:widowControl/>
      <w:spacing w:before="100" w:beforeAutospacing="1" w:after="100" w:afterAutospacing="1"/>
      <w:jc w:val="left"/>
    </w:pPr>
    <w:rPr>
      <w:rFonts w:hint="eastAsia" w:ascii="宋体" w:hAnsi="宋体"/>
      <w:sz w:val="18"/>
      <w:szCs w:val="18"/>
    </w:rPr>
  </w:style>
  <w:style w:type="paragraph" w:customStyle="1" w:styleId="265">
    <w:name w:val="xl24"/>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66">
    <w:name w:val="标题3"/>
    <w:basedOn w:val="1"/>
    <w:next w:val="1"/>
    <w:autoRedefine/>
    <w:qFormat/>
    <w:uiPriority w:val="0"/>
    <w:pPr>
      <w:spacing w:line="590" w:lineRule="atLeast"/>
      <w:ind w:firstLine="624"/>
    </w:pPr>
    <w:rPr>
      <w:rFonts w:ascii="方正黑体_GBK" w:eastAsia="方正黑体_GBK"/>
      <w:sz w:val="32"/>
      <w:szCs w:val="32"/>
    </w:rPr>
  </w:style>
  <w:style w:type="paragraph" w:customStyle="1" w:styleId="267">
    <w:name w:val="普通 (Web)"/>
    <w:basedOn w:val="1"/>
    <w:autoRedefine/>
    <w:qFormat/>
    <w:uiPriority w:val="0"/>
    <w:pPr>
      <w:widowControl/>
      <w:spacing w:before="100" w:beforeAutospacing="1" w:after="100" w:afterAutospacing="1"/>
      <w:jc w:val="left"/>
    </w:pPr>
    <w:rPr>
      <w:rFonts w:ascii="宋体" w:hAnsi="宋体"/>
      <w:sz w:val="24"/>
      <w:szCs w:val="24"/>
    </w:rPr>
  </w:style>
  <w:style w:type="paragraph" w:customStyle="1" w:styleId="268">
    <w:name w:val="xl30"/>
    <w:basedOn w:val="1"/>
    <w:autoRedefine/>
    <w:qFormat/>
    <w:uiPriority w:val="0"/>
    <w:pPr>
      <w:widowControl/>
      <w:spacing w:before="100" w:beforeAutospacing="1" w:after="100" w:afterAutospacing="1"/>
      <w:jc w:val="center"/>
    </w:pPr>
    <w:rPr>
      <w:rFonts w:ascii="宋体" w:hAnsi="宋体"/>
      <w:b/>
      <w:bCs/>
      <w:sz w:val="36"/>
      <w:szCs w:val="36"/>
    </w:rPr>
  </w:style>
  <w:style w:type="paragraph" w:customStyle="1" w:styleId="269">
    <w:name w:val=" Char Char Char Char Char Char Char Char Char Char"/>
    <w:basedOn w:val="1"/>
    <w:autoRedefine/>
    <w:qFormat/>
    <w:uiPriority w:val="0"/>
    <w:pPr>
      <w:spacing w:line="360" w:lineRule="auto"/>
    </w:pPr>
    <w:rPr>
      <w:sz w:val="24"/>
      <w:szCs w:val="20"/>
    </w:rPr>
  </w:style>
  <w:style w:type="paragraph" w:customStyle="1" w:styleId="270">
    <w:name w:val="font5"/>
    <w:basedOn w:val="1"/>
    <w:autoRedefine/>
    <w:qFormat/>
    <w:uiPriority w:val="0"/>
    <w:pPr>
      <w:widowControl/>
      <w:spacing w:before="100" w:beforeAutospacing="1" w:after="100" w:afterAutospacing="1"/>
      <w:jc w:val="left"/>
    </w:pPr>
    <w:rPr>
      <w:rFonts w:hint="eastAsia" w:ascii="宋体" w:hAnsi="宋体"/>
      <w:sz w:val="28"/>
      <w:szCs w:val="28"/>
    </w:rPr>
  </w:style>
  <w:style w:type="paragraph" w:customStyle="1" w:styleId="271">
    <w:name w:val="列表段落"/>
    <w:basedOn w:val="1"/>
    <w:autoRedefine/>
    <w:qFormat/>
    <w:uiPriority w:val="34"/>
    <w:pPr>
      <w:widowControl/>
      <w:ind w:left="720"/>
      <w:contextualSpacing/>
      <w:jc w:val="left"/>
    </w:pPr>
    <w:rPr>
      <w:rFonts w:ascii="Calibri" w:hAnsi="Calibri"/>
      <w:sz w:val="24"/>
      <w:szCs w:val="24"/>
      <w:lang w:eastAsia="en-US" w:bidi="en-US"/>
    </w:rPr>
  </w:style>
  <w:style w:type="paragraph" w:customStyle="1" w:styleId="272">
    <w:name w:val="样式1"/>
    <w:basedOn w:val="1"/>
    <w:autoRedefine/>
    <w:qFormat/>
    <w:uiPriority w:val="0"/>
    <w:pPr>
      <w:numPr>
        <w:ilvl w:val="0"/>
        <w:numId w:val="3"/>
      </w:numPr>
    </w:pPr>
    <w:rPr>
      <w:rFonts w:ascii="宋体" w:hAnsi="宋体"/>
    </w:rPr>
  </w:style>
  <w:style w:type="paragraph" w:customStyle="1" w:styleId="273">
    <w:name w:val="Char Char Char Char"/>
    <w:basedOn w:val="209"/>
    <w:autoRedefine/>
    <w:qFormat/>
    <w:uiPriority w:val="0"/>
    <w:pPr>
      <w:spacing w:line="360" w:lineRule="auto"/>
    </w:pPr>
    <w:rPr>
      <w:rFonts w:ascii="Tahoma" w:hAnsi="Tahoma"/>
      <w:sz w:val="24"/>
      <w:szCs w:val="24"/>
    </w:rPr>
  </w:style>
  <w:style w:type="paragraph" w:customStyle="1" w:styleId="274">
    <w:name w:val="table_lines"/>
    <w:basedOn w:val="1"/>
    <w:autoRedefine/>
    <w:qFormat/>
    <w:uiPriority w:val="0"/>
    <w:pPr>
      <w:widowControl/>
      <w:jc w:val="left"/>
    </w:pPr>
    <w:rPr>
      <w:sz w:val="20"/>
      <w:szCs w:val="20"/>
      <w:lang w:val="de-DE" w:eastAsia="de-DE"/>
    </w:rPr>
  </w:style>
  <w:style w:type="paragraph" w:customStyle="1" w:styleId="275">
    <w:name w:val="标题1"/>
    <w:basedOn w:val="1"/>
    <w:next w:val="1"/>
    <w:autoRedefine/>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76">
    <w:name w:val="xl26"/>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77">
    <w:name w:val="xl27"/>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78">
    <w:name w:val="table_1stline"/>
    <w:basedOn w:val="1"/>
    <w:autoRedefine/>
    <w:qFormat/>
    <w:uiPriority w:val="0"/>
    <w:pPr>
      <w:widowControl/>
      <w:spacing w:before="120"/>
      <w:jc w:val="left"/>
    </w:pPr>
    <w:rPr>
      <w:bCs/>
      <w:sz w:val="20"/>
      <w:szCs w:val="20"/>
      <w:lang w:val="de-DE" w:eastAsia="de-DE"/>
    </w:rPr>
  </w:style>
  <w:style w:type="paragraph" w:customStyle="1" w:styleId="279">
    <w:name w:val="图标"/>
    <w:basedOn w:val="1"/>
    <w:next w:val="1"/>
    <w:autoRedefine/>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80">
    <w:name w:val="4"/>
    <w:basedOn w:val="1"/>
    <w:next w:val="232"/>
    <w:autoRedefine/>
    <w:qFormat/>
    <w:uiPriority w:val="99"/>
    <w:pPr>
      <w:spacing w:line="360" w:lineRule="auto"/>
      <w:ind w:firstLine="420"/>
    </w:pPr>
    <w:rPr>
      <w:color w:val="FF0000"/>
      <w:sz w:val="24"/>
      <w:szCs w:val="24"/>
    </w:rPr>
  </w:style>
  <w:style w:type="paragraph" w:customStyle="1" w:styleId="281">
    <w:name w:val="Char"/>
    <w:basedOn w:val="1"/>
    <w:autoRedefine/>
    <w:qFormat/>
    <w:uiPriority w:val="0"/>
    <w:pPr>
      <w:tabs>
        <w:tab w:val="left" w:pos="360"/>
      </w:tabs>
      <w:ind w:firstLine="200"/>
    </w:pPr>
    <w:rPr>
      <w:sz w:val="28"/>
      <w:szCs w:val="30"/>
    </w:rPr>
  </w:style>
  <w:style w:type="paragraph" w:customStyle="1" w:styleId="282">
    <w:name w:val="xl25"/>
    <w:basedOn w:val="1"/>
    <w:autoRedefine/>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83">
    <w:name w:val=" Char"/>
    <w:basedOn w:val="209"/>
    <w:autoRedefine/>
    <w:qFormat/>
    <w:uiPriority w:val="0"/>
    <w:rPr>
      <w:rFonts w:ascii="Tahoma" w:hAnsi="Tahoma"/>
      <w:sz w:val="24"/>
      <w:szCs w:val="24"/>
    </w:rPr>
  </w:style>
  <w:style w:type="paragraph" w:customStyle="1" w:styleId="284">
    <w:name w:val="xl29"/>
    <w:basedOn w:val="1"/>
    <w:autoRedefine/>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5">
    <w:name w:val="xl28"/>
    <w:basedOn w:val="1"/>
    <w:autoRedefine/>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6">
    <w:name w:val="_Style 3"/>
    <w:next w:val="232"/>
    <w:autoRedefine/>
    <w:qFormat/>
    <w:uiPriority w:val="99"/>
    <w:pPr>
      <w:widowControl w:val="0"/>
      <w:jc w:val="both"/>
    </w:pPr>
    <w:rPr>
      <w:rFonts w:hint="default" w:ascii="Times New Roman" w:hAnsi="Times New Roman" w:eastAsia="宋体" w:cs="Times New Roman"/>
      <w:sz w:val="21"/>
      <w:szCs w:val="22"/>
      <w:lang w:val="en-US" w:eastAsia="zh-CN" w:bidi="ar-SA"/>
    </w:rPr>
  </w:style>
  <w:style w:type="character" w:customStyle="1" w:styleId="287">
    <w:name w:val="未处理的提及"/>
    <w:link w:val="1"/>
    <w:autoRedefine/>
    <w:unhideWhenUsed/>
    <w:qFormat/>
    <w:uiPriority w:val="99"/>
    <w:rPr>
      <w:color w:val="605E5C"/>
      <w:shd w:val="clear" w:color="auto" w:fill="E1DFDD"/>
    </w:rPr>
  </w:style>
  <w:style w:type="paragraph" w:customStyle="1" w:styleId="288">
    <w:name w:val="文本块1"/>
    <w:basedOn w:val="1"/>
    <w:autoRedefine/>
    <w:qFormat/>
    <w:uiPriority w:val="99"/>
    <w:pPr>
      <w:tabs>
        <w:tab w:val="left" w:pos="9000"/>
      </w:tabs>
      <w:spacing w:after="120"/>
      <w:ind w:left="1440" w:right="1440"/>
    </w:pPr>
    <w:rPr>
      <w:rFonts w:ascii="Times New Roman" w:hAnsi="Times New Roman"/>
    </w:rPr>
  </w:style>
  <w:style w:type="paragraph" w:customStyle="1" w:styleId="289">
    <w:name w:val="正文(首行缩进)"/>
    <w:autoRedefine/>
    <w:qFormat/>
    <w:uiPriority w:val="0"/>
    <w:pPr>
      <w:spacing w:line="420" w:lineRule="atLeast"/>
      <w:ind w:firstLine="200"/>
      <w:jc w:val="both"/>
    </w:pPr>
    <w:rPr>
      <w:rFonts w:hint="default" w:ascii="Calibri" w:hAnsi="Calibri" w:eastAsia="仿宋_GB2312" w:cs="Times New Roman"/>
      <w:spacing w:val="2"/>
      <w:sz w:val="24"/>
      <w:szCs w:val="22"/>
      <w:lang w:val="en-US" w:eastAsia="zh-CN" w:bidi="ar-SA"/>
    </w:rPr>
  </w:style>
  <w:style w:type="paragraph" w:customStyle="1" w:styleId="290">
    <w:name w:val="表图"/>
    <w:autoRedefine/>
    <w:qFormat/>
    <w:uiPriority w:val="0"/>
    <w:pPr>
      <w:widowControl w:val="0"/>
      <w:spacing w:line="240" w:lineRule="auto"/>
      <w:ind w:firstLine="0"/>
      <w:jc w:val="left"/>
    </w:pPr>
    <w:rPr>
      <w:rFonts w:hint="default" w:ascii="Times New Roman" w:hAnsi="Times New Roman" w:eastAsia="宋体" w:cs="Times New Roman"/>
      <w:sz w:val="21"/>
      <w:szCs w:val="21"/>
      <w:lang w:val="en-US" w:eastAsia="zh-CN" w:bidi="ar-SA"/>
    </w:rPr>
  </w:style>
  <w:style w:type="paragraph" w:customStyle="1" w:styleId="291">
    <w:name w:val="p0"/>
    <w:basedOn w:val="1"/>
    <w:autoRedefine/>
    <w:qFormat/>
    <w:uiPriority w:val="0"/>
    <w:pPr>
      <w:widowControl/>
    </w:pPr>
    <w:rPr>
      <w:szCs w:val="21"/>
    </w:rPr>
  </w:style>
  <w:style w:type="character" w:customStyle="1" w:styleId="292">
    <w:name w:val="font31"/>
    <w:basedOn w:val="40"/>
    <w:link w:val="1"/>
    <w:autoRedefine/>
    <w:qFormat/>
    <w:uiPriority w:val="0"/>
    <w:rPr>
      <w:rFonts w:hint="eastAsia" w:ascii="仿宋" w:hAnsi="仿宋" w:eastAsia="仿宋" w:cs="仿宋"/>
      <w:color w:val="000000"/>
      <w:sz w:val="24"/>
      <w:szCs w:val="24"/>
      <w:u w:val="none"/>
    </w:rPr>
  </w:style>
  <w:style w:type="character" w:customStyle="1" w:styleId="293">
    <w:name w:val="font61"/>
    <w:basedOn w:val="203"/>
    <w:link w:val="1"/>
    <w:autoRedefine/>
    <w:qFormat/>
    <w:uiPriority w:val="0"/>
    <w:rPr>
      <w:rFonts w:hint="eastAsia" w:ascii="仿宋" w:hAnsi="仿宋" w:eastAsia="仿宋" w:cs="仿宋"/>
      <w:color w:val="00B050"/>
      <w:sz w:val="24"/>
      <w:szCs w:val="24"/>
      <w:u w:val="none"/>
    </w:rPr>
  </w:style>
  <w:style w:type="character" w:customStyle="1" w:styleId="294">
    <w:name w:val="font51"/>
    <w:basedOn w:val="203"/>
    <w:link w:val="1"/>
    <w:autoRedefine/>
    <w:qFormat/>
    <w:uiPriority w:val="0"/>
    <w:rPr>
      <w:rFonts w:hint="eastAsia" w:ascii="仿宋" w:hAnsi="仿宋" w:eastAsia="仿宋" w:cs="仿宋"/>
      <w:color w:val="000000"/>
      <w:sz w:val="24"/>
      <w:szCs w:val="24"/>
      <w:u w:val="none"/>
    </w:rPr>
  </w:style>
  <w:style w:type="character" w:customStyle="1" w:styleId="295">
    <w:name w:val="font21"/>
    <w:basedOn w:val="40"/>
    <w:link w:val="1"/>
    <w:autoRedefine/>
    <w:qFormat/>
    <w:uiPriority w:val="0"/>
    <w:rPr>
      <w:rFonts w:hint="eastAsia" w:ascii="仿宋" w:hAnsi="仿宋" w:eastAsia="仿宋" w:cs="仿宋"/>
      <w:color w:val="000000"/>
      <w:sz w:val="24"/>
      <w:szCs w:val="24"/>
      <w:u w:val="none"/>
    </w:rPr>
  </w:style>
  <w:style w:type="character" w:customStyle="1" w:styleId="296">
    <w:name w:val="font71"/>
    <w:basedOn w:val="203"/>
    <w:link w:val="1"/>
    <w:autoRedefine/>
    <w:qFormat/>
    <w:uiPriority w:val="0"/>
    <w:rPr>
      <w:rFonts w:hint="eastAsia" w:ascii="仿宋" w:hAnsi="仿宋" w:eastAsia="仿宋" w:cs="仿宋"/>
      <w:color w:val="EE822F"/>
      <w:sz w:val="24"/>
      <w:szCs w:val="24"/>
      <w:u w:val="none"/>
    </w:rPr>
  </w:style>
  <w:style w:type="character" w:customStyle="1" w:styleId="297">
    <w:name w:val="font81"/>
    <w:basedOn w:val="203"/>
    <w:link w:val="1"/>
    <w:autoRedefine/>
    <w:qFormat/>
    <w:uiPriority w:val="0"/>
    <w:rPr>
      <w:rFonts w:hint="eastAsia" w:ascii="仿宋" w:hAnsi="仿宋" w:eastAsia="仿宋" w:cs="仿宋"/>
      <w:color w:val="0070C0"/>
      <w:sz w:val="24"/>
      <w:szCs w:val="24"/>
      <w:u w:val="none"/>
    </w:rPr>
  </w:style>
  <w:style w:type="character" w:customStyle="1" w:styleId="298">
    <w:name w:val="font91"/>
    <w:basedOn w:val="203"/>
    <w:link w:val="1"/>
    <w:autoRedefine/>
    <w:qFormat/>
    <w:uiPriority w:val="0"/>
    <w:rPr>
      <w:rFonts w:hint="eastAsia" w:ascii="仿宋" w:hAnsi="仿宋" w:eastAsia="仿宋" w:cs="仿宋"/>
      <w:color w:val="FF0000"/>
      <w:sz w:val="24"/>
      <w:szCs w:val="24"/>
      <w:u w:val="none"/>
    </w:rPr>
  </w:style>
  <w:style w:type="character" w:customStyle="1" w:styleId="299">
    <w:name w:val="font101"/>
    <w:basedOn w:val="203"/>
    <w:link w:val="1"/>
    <w:autoRedefine/>
    <w:qFormat/>
    <w:uiPriority w:val="0"/>
    <w:rPr>
      <w:rFonts w:hint="eastAsia" w:ascii="仿宋" w:hAnsi="仿宋" w:eastAsia="仿宋" w:cs="仿宋"/>
      <w:color w:val="00B0F0"/>
      <w:sz w:val="24"/>
      <w:szCs w:val="24"/>
      <w:u w:val="none"/>
    </w:rPr>
  </w:style>
  <w:style w:type="paragraph" w:customStyle="1" w:styleId="300">
    <w:name w:val="标题 11"/>
    <w:basedOn w:val="1"/>
    <w:next w:val="1"/>
    <w:autoRedefine/>
    <w:qFormat/>
    <w:uiPriority w:val="0"/>
    <w:pPr>
      <w:keepNext/>
      <w:jc w:val="center"/>
      <w:outlineLvl w:val="0"/>
    </w:pPr>
    <w:rPr>
      <w:rFonts w:ascii="楷体_GB2312" w:eastAsia="楷体_GB2312"/>
      <w:sz w:val="28"/>
      <w:szCs w:val="28"/>
    </w:rPr>
  </w:style>
  <w:style w:type="paragraph" w:customStyle="1" w:styleId="301">
    <w:name w:val="标题 41"/>
    <w:basedOn w:val="1"/>
    <w:next w:val="1"/>
    <w:autoRedefine/>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302">
    <w:name w:val="彩色列表 - 强调文字颜色 11"/>
    <w:autoRedefine/>
    <w:qFormat/>
    <w:uiPriority w:val="0"/>
    <w:pPr>
      <w:ind w:firstLine="420"/>
    </w:pPr>
    <w:rPr>
      <w:rFonts w:hint="default" w:ascii="Times New Roman" w:hAnsi="Times New Roman" w:eastAsia="宋体" w:cs="Times New Roman"/>
      <w:sz w:val="24"/>
      <w:szCs w:val="24"/>
      <w:lang w:val="en-US" w:eastAsia="zh-CN" w:bidi="ar-SA"/>
    </w:rPr>
  </w:style>
  <w:style w:type="table" w:customStyle="1" w:styleId="303">
    <w:name w:val="Table Normal"/>
    <w:autoRedefine/>
    <w:unhideWhenUsed/>
    <w:qFormat/>
    <w:uiPriority w:val="0"/>
  </w:style>
  <w:style w:type="paragraph" w:customStyle="1" w:styleId="304">
    <w:name w:val="正文1"/>
    <w:basedOn w:val="1"/>
    <w:qFormat/>
    <w:uiPriority w:val="0"/>
    <w:pPr>
      <w:spacing w:line="360" w:lineRule="auto"/>
      <w:ind w:firstLine="361"/>
    </w:pPr>
    <w:rPr>
      <w:rFonts w:ascii="宋体" w:hAnsi="宋体"/>
    </w:rPr>
  </w:style>
  <w:style w:type="character" w:customStyle="1" w:styleId="305">
    <w:name w:val="font41"/>
    <w:basedOn w:val="40"/>
    <w:qFormat/>
    <w:uiPriority w:val="0"/>
    <w:rPr>
      <w:rFonts w:hint="default" w:ascii="Times New Roman" w:hAnsi="Times New Roman" w:eastAsia="等线" w:cs="Times New Roman"/>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财政厅局域网</Template>
  <Company> </Company>
  <Pages>61</Pages>
  <Words>6943</Words>
  <Characters>7736</Characters>
  <TotalTime>20</TotalTime>
  <ScaleCrop>false</ScaleCrop>
  <LinksUpToDate>false</LinksUpToDate>
  <CharactersWithSpaces>7773</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2023-11-29T00:27:00Z</dcterms:created>
  <dc:creator>政府采</dc:creator>
  <cp:lastModifiedBy>Xinfy</cp:lastModifiedBy>
  <dcterms:modified xsi:type="dcterms:W3CDTF">2024-11-14T02:50:19Z</dcterms:modified>
  <dc:title>江苏卫生信息</dc:title>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2E43AB3FB0FD448EB9BC00ED872F2E12_13</vt:lpwstr>
  </property>
</Properties>
</file>